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 w:hAnsi="仿宋" w:eastAsia="仿宋" w:cs="仿宋"/>
          <w:b/>
          <w:bCs/>
          <w:color w:val="auto"/>
          <w:kern w:val="0"/>
          <w:sz w:val="44"/>
          <w:szCs w:val="44"/>
          <w:highlight w:val="none"/>
        </w:rPr>
      </w:pPr>
    </w:p>
    <w:p>
      <w:pPr>
        <w:adjustRightInd w:val="0"/>
        <w:snapToGrid w:val="0"/>
        <w:jc w:val="center"/>
        <w:rPr>
          <w:rFonts w:hint="eastAsia" w:ascii="仿宋" w:hAnsi="仿宋" w:eastAsia="仿宋" w:cs="仿宋"/>
          <w:b/>
          <w:bCs/>
          <w:color w:val="auto"/>
          <w:kern w:val="0"/>
          <w:sz w:val="44"/>
          <w:szCs w:val="44"/>
          <w:highlight w:val="none"/>
          <w:lang w:eastAsia="zh-CN"/>
        </w:rPr>
      </w:pPr>
      <w:r>
        <w:rPr>
          <w:rFonts w:hint="eastAsia" w:ascii="仿宋" w:hAnsi="仿宋" w:eastAsia="仿宋" w:cs="仿宋"/>
          <w:b/>
          <w:bCs/>
          <w:color w:val="auto"/>
          <w:kern w:val="0"/>
          <w:sz w:val="44"/>
          <w:szCs w:val="44"/>
          <w:highlight w:val="none"/>
          <w:lang w:eastAsia="zh-CN"/>
        </w:rPr>
        <w:t>长葛市黄河路（人民路-魏武大道）中修铺油工程</w:t>
      </w:r>
    </w:p>
    <w:p>
      <w:pPr>
        <w:jc w:val="center"/>
        <w:rPr>
          <w:rFonts w:hint="eastAsia" w:ascii="仿宋" w:hAnsi="仿宋" w:eastAsia="仿宋" w:cs="仿宋"/>
          <w:color w:val="auto"/>
          <w:sz w:val="30"/>
          <w:szCs w:val="30"/>
          <w:highlight w:val="none"/>
        </w:rPr>
      </w:pPr>
    </w:p>
    <w:p>
      <w:pPr>
        <w:jc w:val="cente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p>
    <w:p>
      <w:pPr>
        <w:adjustRightInd w:val="0"/>
        <w:snapToGrid w:val="0"/>
        <w:jc w:val="center"/>
        <w:rPr>
          <w:rFonts w:hint="eastAsia" w:ascii="仿宋" w:hAnsi="仿宋" w:eastAsia="仿宋" w:cs="仿宋"/>
          <w:b/>
          <w:bCs/>
          <w:color w:val="auto"/>
          <w:kern w:val="0"/>
          <w:sz w:val="44"/>
          <w:szCs w:val="44"/>
          <w:highlight w:val="none"/>
          <w:lang w:val="en-US" w:eastAsia="zh-CN"/>
        </w:rPr>
      </w:pPr>
    </w:p>
    <w:p>
      <w:pPr>
        <w:adjustRightInd w:val="0"/>
        <w:snapToGrid w:val="0"/>
        <w:jc w:val="center"/>
        <w:rPr>
          <w:rFonts w:hint="eastAsia" w:ascii="仿宋" w:hAnsi="仿宋" w:eastAsia="仿宋" w:cs="仿宋"/>
          <w:b/>
          <w:bCs/>
          <w:color w:val="auto"/>
          <w:kern w:val="0"/>
          <w:sz w:val="72"/>
          <w:szCs w:val="72"/>
          <w:highlight w:val="none"/>
        </w:rPr>
      </w:pPr>
      <w:r>
        <w:rPr>
          <w:rFonts w:hint="eastAsia" w:ascii="仿宋" w:hAnsi="仿宋" w:eastAsia="仿宋" w:cs="仿宋"/>
          <w:b/>
          <w:bCs/>
          <w:color w:val="auto"/>
          <w:kern w:val="0"/>
          <w:sz w:val="72"/>
          <w:szCs w:val="72"/>
          <w:highlight w:val="none"/>
          <w:lang w:val="en-US" w:eastAsia="zh-CN"/>
        </w:rPr>
        <w:t>监理</w:t>
      </w:r>
      <w:r>
        <w:rPr>
          <w:rFonts w:hint="eastAsia" w:ascii="仿宋" w:hAnsi="仿宋" w:eastAsia="仿宋" w:cs="仿宋"/>
          <w:b/>
          <w:bCs/>
          <w:color w:val="auto"/>
          <w:kern w:val="0"/>
          <w:sz w:val="72"/>
          <w:szCs w:val="72"/>
          <w:highlight w:val="none"/>
        </w:rPr>
        <w:t>招标文件</w:t>
      </w:r>
    </w:p>
    <w:p>
      <w:pPr>
        <w:tabs>
          <w:tab w:val="left" w:pos="4548"/>
        </w:tabs>
        <w:wordWrap w:val="0"/>
        <w:topLinePun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（第2标段）</w:t>
      </w:r>
    </w:p>
    <w:p>
      <w:pPr>
        <w:tabs>
          <w:tab w:val="left" w:pos="2995"/>
          <w:tab w:val="left" w:pos="4548"/>
        </w:tabs>
        <w:wordWrap w:val="0"/>
        <w:topLinePun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ab/>
      </w:r>
    </w:p>
    <w:p>
      <w:pPr>
        <w:tabs>
          <w:tab w:val="left" w:pos="4548"/>
        </w:tabs>
        <w:wordWrap w:val="0"/>
        <w:topLinePunct/>
        <w:jc w:val="center"/>
        <w:rPr>
          <w:rFonts w:hint="eastAsia" w:ascii="仿宋" w:hAnsi="仿宋" w:eastAsia="仿宋" w:cs="仿宋"/>
          <w:color w:val="auto"/>
          <w:sz w:val="30"/>
          <w:szCs w:val="30"/>
          <w:highlight w:val="none"/>
        </w:rPr>
      </w:pPr>
    </w:p>
    <w:p>
      <w:pPr>
        <w:widowControl/>
        <w:jc w:val="center"/>
        <w:rPr>
          <w:rFonts w:hint="eastAsia" w:ascii="仿宋" w:hAnsi="仿宋" w:eastAsia="仿宋" w:cs="仿宋"/>
          <w:color w:val="auto"/>
          <w:kern w:val="0"/>
          <w:sz w:val="24"/>
          <w:highlight w:val="none"/>
        </w:rPr>
      </w:pPr>
    </w:p>
    <w:p>
      <w:pPr>
        <w:tabs>
          <w:tab w:val="left" w:pos="4548"/>
        </w:tabs>
        <w:topLinePunct/>
        <w:rPr>
          <w:rFonts w:hint="eastAsia" w:ascii="仿宋" w:hAnsi="仿宋" w:eastAsia="仿宋" w:cs="仿宋"/>
          <w:color w:val="auto"/>
          <w:sz w:val="30"/>
          <w:szCs w:val="30"/>
          <w:highlight w:val="none"/>
        </w:rPr>
      </w:pPr>
    </w:p>
    <w:p>
      <w:pPr>
        <w:tabs>
          <w:tab w:val="left" w:pos="4548"/>
        </w:tabs>
        <w:wordWrap w:val="0"/>
        <w:topLinePunct/>
        <w:jc w:val="center"/>
        <w:rPr>
          <w:rFonts w:hint="eastAsia" w:ascii="仿宋" w:hAnsi="仿宋" w:eastAsia="仿宋" w:cs="仿宋"/>
          <w:color w:val="auto"/>
          <w:sz w:val="30"/>
          <w:szCs w:val="30"/>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4548"/>
        </w:tabs>
        <w:wordWrap w:val="0"/>
        <w:topLinePunct/>
        <w:spacing w:line="360" w:lineRule="auto"/>
        <w:jc w:val="left"/>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 xml:space="preserve"> </w:t>
      </w:r>
    </w:p>
    <w:p>
      <w:pPr>
        <w:tabs>
          <w:tab w:val="left" w:pos="4548"/>
        </w:tabs>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项 目 编 号：长交建【2019】</w:t>
      </w:r>
      <w:r>
        <w:rPr>
          <w:rFonts w:hint="eastAsia" w:ascii="仿宋" w:hAnsi="仿宋" w:eastAsia="仿宋" w:cs="仿宋"/>
          <w:b/>
          <w:bCs/>
          <w:color w:val="auto"/>
          <w:w w:val="80"/>
          <w:sz w:val="36"/>
          <w:szCs w:val="36"/>
          <w:highlight w:val="none"/>
          <w:lang w:val="en-US" w:eastAsia="zh-CN"/>
        </w:rPr>
        <w:t>GZ0 87</w:t>
      </w:r>
      <w:r>
        <w:rPr>
          <w:rFonts w:hint="eastAsia" w:ascii="仿宋" w:hAnsi="仿宋" w:eastAsia="仿宋" w:cs="仿宋"/>
          <w:b/>
          <w:bCs/>
          <w:color w:val="auto"/>
          <w:w w:val="80"/>
          <w:sz w:val="36"/>
          <w:szCs w:val="36"/>
          <w:highlight w:val="none"/>
        </w:rPr>
        <w:t>号</w:t>
      </w:r>
    </w:p>
    <w:p>
      <w:pPr>
        <w:wordWrap w:val="0"/>
        <w:topLinePunct/>
        <w:spacing w:line="360" w:lineRule="auto"/>
        <w:ind w:firstLine="1447" w:firstLineChars="500"/>
        <w:jc w:val="both"/>
        <w:rPr>
          <w:rFonts w:hint="eastAsia" w:ascii="仿宋" w:hAnsi="仿宋" w:eastAsia="仿宋" w:cs="仿宋"/>
          <w:b/>
          <w:bCs/>
          <w:color w:val="auto"/>
          <w:w w:val="80"/>
          <w:sz w:val="36"/>
          <w:szCs w:val="36"/>
          <w:highlight w:val="none"/>
          <w:lang w:eastAsia="zh-CN"/>
        </w:rPr>
      </w:pPr>
      <w:r>
        <w:rPr>
          <w:rFonts w:hint="eastAsia" w:ascii="仿宋" w:hAnsi="仿宋" w:eastAsia="仿宋" w:cs="仿宋"/>
          <w:b/>
          <w:bCs/>
          <w:color w:val="auto"/>
          <w:w w:val="80"/>
          <w:sz w:val="36"/>
          <w:szCs w:val="36"/>
          <w:highlight w:val="none"/>
        </w:rPr>
        <w:t>招   标  人：</w:t>
      </w:r>
      <w:r>
        <w:rPr>
          <w:rFonts w:hint="eastAsia" w:ascii="仿宋" w:hAnsi="仿宋" w:eastAsia="仿宋" w:cs="仿宋"/>
          <w:b/>
          <w:bCs/>
          <w:color w:val="auto"/>
          <w:w w:val="80"/>
          <w:sz w:val="36"/>
          <w:szCs w:val="36"/>
          <w:highlight w:val="none"/>
          <w:lang w:eastAsia="zh-CN"/>
        </w:rPr>
        <w:t>长葛市住房和城乡建设局</w:t>
      </w:r>
    </w:p>
    <w:p>
      <w:pPr>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招标代理机构：中建联勘测规划设计有限公司</w:t>
      </w:r>
    </w:p>
    <w:p>
      <w:pPr>
        <w:pStyle w:val="12"/>
        <w:spacing w:beforeAutospacing="0"/>
        <w:ind w:left="0" w:leftChars="0" w:firstLine="1447" w:firstLineChars="500"/>
        <w:jc w:val="left"/>
        <w:rPr>
          <w:rFonts w:hint="eastAsia" w:ascii="仿宋" w:hAnsi="仿宋" w:eastAsia="仿宋" w:cs="仿宋"/>
          <w:color w:val="auto"/>
          <w:highlight w:val="none"/>
        </w:rPr>
      </w:pPr>
      <w:r>
        <w:rPr>
          <w:rFonts w:hint="eastAsia" w:ascii="仿宋" w:hAnsi="仿宋" w:eastAsia="仿宋" w:cs="仿宋"/>
          <w:b/>
          <w:bCs/>
          <w:color w:val="auto"/>
          <w:w w:val="80"/>
          <w:sz w:val="36"/>
          <w:szCs w:val="36"/>
          <w:highlight w:val="none"/>
        </w:rPr>
        <w:t>日       期：二零一九年</w:t>
      </w:r>
      <w:r>
        <w:rPr>
          <w:rFonts w:hint="eastAsia" w:ascii="仿宋" w:hAnsi="仿宋" w:eastAsia="仿宋" w:cs="仿宋"/>
          <w:b/>
          <w:bCs/>
          <w:color w:val="auto"/>
          <w:w w:val="80"/>
          <w:sz w:val="36"/>
          <w:szCs w:val="36"/>
          <w:highlight w:val="none"/>
          <w:lang w:eastAsia="zh-CN"/>
        </w:rPr>
        <w:t>五</w:t>
      </w:r>
      <w:r>
        <w:rPr>
          <w:rFonts w:hint="eastAsia" w:ascii="仿宋" w:hAnsi="仿宋" w:eastAsia="仿宋" w:cs="仿宋"/>
          <w:b/>
          <w:bCs/>
          <w:color w:val="auto"/>
          <w:w w:val="80"/>
          <w:sz w:val="36"/>
          <w:szCs w:val="36"/>
          <w:highlight w:val="none"/>
        </w:rPr>
        <w:t>月</w:t>
      </w:r>
    </w:p>
    <w:p>
      <w:pPr>
        <w:rPr>
          <w:rFonts w:hint="eastAsia" w:ascii="仿宋" w:hAnsi="仿宋" w:eastAsia="仿宋" w:cs="仿宋"/>
          <w:color w:val="auto"/>
          <w:highlight w:val="none"/>
        </w:rPr>
        <w:sectPr>
          <w:pgSz w:w="11906" w:h="16838"/>
          <w:pgMar w:top="1440" w:right="1800" w:bottom="1440" w:left="1800" w:header="851" w:footer="992" w:gutter="0"/>
          <w:cols w:space="720" w:num="1"/>
          <w:docGrid w:type="lines" w:linePitch="312" w:charSpace="0"/>
        </w:sectPr>
      </w:pPr>
    </w:p>
    <w:p>
      <w:pPr>
        <w:pStyle w:val="12"/>
        <w:ind w:firstLine="210"/>
        <w:jc w:val="left"/>
        <w:rPr>
          <w:rFonts w:hint="eastAsia" w:ascii="仿宋" w:hAnsi="仿宋" w:eastAsia="仿宋" w:cs="仿宋"/>
          <w:color w:val="auto"/>
          <w:highlight w:val="none"/>
        </w:rPr>
      </w:pPr>
    </w:p>
    <w:p>
      <w:pPr>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目  录</w:t>
      </w:r>
    </w:p>
    <w:p>
      <w:pPr>
        <w:rPr>
          <w:rFonts w:hint="eastAsia" w:ascii="仿宋" w:hAnsi="仿宋" w:eastAsia="仿宋" w:cs="仿宋"/>
          <w:color w:val="auto"/>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招标公告</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投标人须知</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第三章 评标办法</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第四章 合同条款及格式</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第五章 委托人要求</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第六章 投标文件格式</w:t>
      </w:r>
    </w:p>
    <w:p>
      <w:pPr>
        <w:pStyle w:val="12"/>
        <w:spacing w:beforeAutospacing="0" w:line="400" w:lineRule="exact"/>
        <w:ind w:firstLineChars="200"/>
        <w:rPr>
          <w:rFonts w:hint="eastAsia" w:ascii="仿宋" w:hAnsi="仿宋" w:eastAsia="仿宋" w:cs="仿宋"/>
          <w:color w:val="auto"/>
          <w:highlight w:val="none"/>
        </w:rPr>
      </w:pPr>
    </w:p>
    <w:p>
      <w:pPr>
        <w:pStyle w:val="12"/>
        <w:spacing w:beforeAutospacing="0" w:line="400" w:lineRule="exact"/>
        <w:ind w:firstLineChars="200"/>
        <w:rPr>
          <w:rFonts w:hint="eastAsia" w:ascii="仿宋" w:hAnsi="仿宋" w:eastAsia="仿宋" w:cs="仿宋"/>
          <w:bCs/>
          <w:color w:val="auto"/>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投标人失信行为惩戒告知</w:t>
      </w:r>
    </w:p>
    <w:p>
      <w:pPr>
        <w:pStyle w:val="12"/>
        <w:spacing w:after="0"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pStyle w:val="12"/>
        <w:spacing w:after="0"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一、投标人（供应商）的质疑投诉活动经调查有下列情形之一的，将实施“一案双查”，限制其一定期限内参与区域内公共资源交易活动，并在全国公共资源交易平台网上公示。</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1.不符合投诉（举报）受理条件，被告知后仍进行重复投诉（举报），或多头投诉（举报）的。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2.行政监督部门受理投诉（举报）处理期间，投诉（举报）人仍就同一内容、事项向其他部门另行投诉（举报）的；同一投诉（举报）人以不同名义多次、重复投诉（举报）的。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3.其他虚假恶意投诉（举报）情况。</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三、投标人（供应商）及其从业人员的不良行为记录期限一般为6—24个月。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（一）存在下列行为之一的，记录期限为6个月：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1.采用不正当手段干扰交易活动正常进行的；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2.不服从现场工作人员管理，扰乱开评标秩序的；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3.在投标截止时间后撤回投标文件的；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4.质疑（异议）、投诉提供的证据证明系非法取得的。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5.一年内投标人质疑（异议）后无故撤销质疑（异议）2次（含2次）以上的；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（二）存在下列行为之一的，记录期限为12个月：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1.捏造、歪曲事实或提供虚假不实的证据恶意投诉，影响交易活动正常进行的；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2.质疑（异议）投诉（举报）双方当事人无正当理由拒不配合调查处理或不参加质证的；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3.未提供有效证明材料支持其主张，经行政监督部门2次及以上书面答复，仍缠诉或多方投诉的；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4.未按交易文件主要内容签订合同的；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（三）存在下列行为之一的，记录期限为18个月：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1.在确定中标人之前就投标价格、投标方案等实质性内容与招标人（采购人）进行合同谈判的；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2.无正当理由放弃中标（成交）资格的；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3.中标（成交）后，不按招标文件规定提交履约保证金的；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4.中标（成交）后，无正当理由未在规定期限内与招标人签订合同的；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5.拒绝接受或者阻挠公管办和行政监督部门依法进行监督检查的。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1.投标人互相串通投标或者与招标人串通投标，投标人以向招标人或者评标委员会成员行贿的手段谋取中标的；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2.投标时提供虚假材料，或以受让、借用、涂改、盗用、伪造资质证书或年检记录、图章、签名，使用虚假身份证件以及其他弄虚作假的方式参与投标的；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以他人名义投标或者以其他方式弄虚作假，骗取中标的；以挂靠、被挂靠或其他方式允许他人以企业员工名义参与投标的；出让、出借资质，或借用其他单位资质参与投标的；经查实中标候选人项目总监有在建项目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4.中标企业将工程转包或者违法分包的；中标人将中标项目转让给他人，将中标项目肢解后分别转让给他人的，违反法律规定将中标项目的部分主体、关键性工作分包给他人的，或者分包人再次分包的；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5.中标人不按照与招标人订立的合同履行义务，情节严重的；</w:t>
      </w:r>
    </w:p>
    <w:p>
      <w:pPr>
        <w:autoSpaceDE w:val="0"/>
        <w:autoSpaceDN w:val="0"/>
        <w:spacing w:line="400" w:lineRule="exact"/>
        <w:ind w:firstLine="480" w:firstLineChars="200"/>
        <w:jc w:val="left"/>
        <w:outlineLvl w:val="0"/>
        <w:rPr>
          <w:rFonts w:hint="eastAsia" w:ascii="仿宋" w:hAnsi="仿宋" w:eastAsia="仿宋" w:cs="仿宋"/>
          <w:bCs/>
          <w:color w:val="auto"/>
          <w:highlight w:val="none"/>
        </w:rPr>
      </w:pPr>
      <w:r>
        <w:rPr>
          <w:rFonts w:hint="eastAsia" w:ascii="仿宋" w:hAnsi="仿宋" w:eastAsia="仿宋" w:cs="仿宋"/>
          <w:color w:val="auto"/>
          <w:sz w:val="24"/>
          <w:highlight w:val="none"/>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pStyle w:val="12"/>
        <w:spacing w:beforeAutospacing="0" w:line="400" w:lineRule="exact"/>
        <w:ind w:firstLineChars="200"/>
        <w:jc w:val="center"/>
        <w:rPr>
          <w:rFonts w:hint="eastAsia" w:ascii="仿宋" w:hAnsi="仿宋" w:eastAsia="仿宋" w:cs="仿宋"/>
          <w:b/>
          <w:bCs/>
          <w:color w:val="auto"/>
          <w:sz w:val="36"/>
          <w:szCs w:val="36"/>
          <w:highlight w:val="none"/>
        </w:rPr>
      </w:pPr>
      <w:r>
        <w:rPr>
          <w:rFonts w:hint="eastAsia" w:ascii="仿宋" w:hAnsi="仿宋" w:eastAsia="仿宋" w:cs="仿宋"/>
          <w:bCs/>
          <w:color w:val="auto"/>
          <w:highlight w:val="none"/>
        </w:rPr>
        <w:br w:type="page"/>
      </w:r>
      <w:bookmarkStart w:id="0" w:name="_Toc12574_WPSOffice_Level1"/>
      <w:r>
        <w:rPr>
          <w:rFonts w:hint="eastAsia" w:ascii="仿宋" w:hAnsi="仿宋" w:eastAsia="仿宋" w:cs="仿宋"/>
          <w:b/>
          <w:bCs/>
          <w:color w:val="auto"/>
          <w:sz w:val="36"/>
          <w:szCs w:val="36"/>
          <w:highlight w:val="none"/>
        </w:rPr>
        <w:t>第一章  招标公告</w:t>
      </w:r>
      <w:bookmarkEnd w:id="0"/>
    </w:p>
    <w:p>
      <w:pPr>
        <w:jc w:val="center"/>
        <w:rPr>
          <w:rFonts w:hint="eastAsia" w:ascii="宋体" w:hAnsi="宋体"/>
          <w:b/>
          <w:bCs/>
          <w:color w:val="auto"/>
          <w:sz w:val="36"/>
          <w:szCs w:val="36"/>
          <w:highlight w:val="none"/>
          <w:lang w:eastAsia="zh-CN"/>
        </w:rPr>
      </w:pPr>
      <w:r>
        <w:rPr>
          <w:rFonts w:hint="eastAsia" w:ascii="宋体" w:hAnsi="宋体"/>
          <w:b/>
          <w:bCs/>
          <w:color w:val="auto"/>
          <w:sz w:val="36"/>
          <w:szCs w:val="36"/>
          <w:highlight w:val="none"/>
          <w:lang w:eastAsia="zh-CN"/>
        </w:rPr>
        <w:t>长葛市黄河路（人民路-魏武大道）中修铺油工程</w:t>
      </w:r>
    </w:p>
    <w:p>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t>招标公告</w:t>
      </w:r>
    </w:p>
    <w:p>
      <w:pPr>
        <w:spacing w:line="400" w:lineRule="exact"/>
        <w:ind w:firstLine="643" w:firstLineChars="200"/>
        <w:jc w:val="left"/>
        <w:outlineLvl w:val="1"/>
        <w:rPr>
          <w:rFonts w:hint="eastAsia" w:ascii="黑体" w:hAnsi="黑体" w:eastAsia="黑体" w:cs="黑体"/>
          <w:b/>
          <w:color w:val="auto"/>
          <w:sz w:val="32"/>
          <w:szCs w:val="32"/>
          <w:highlight w:val="none"/>
        </w:rPr>
      </w:pPr>
      <w:bookmarkStart w:id="1" w:name="_Toc29228"/>
      <w:r>
        <w:rPr>
          <w:rFonts w:hint="eastAsia" w:ascii="黑体" w:hAnsi="黑体" w:eastAsia="黑体" w:cs="黑体"/>
          <w:b/>
          <w:color w:val="auto"/>
          <w:sz w:val="32"/>
          <w:szCs w:val="32"/>
          <w:highlight w:val="none"/>
        </w:rPr>
        <w:t>一、招标条件</w:t>
      </w:r>
      <w:bookmarkEnd w:id="1"/>
    </w:p>
    <w:p>
      <w:pPr>
        <w:topLinePunct/>
        <w:ind w:firstLine="640" w:firstLineChars="200"/>
        <w:rPr>
          <w:rFonts w:hint="eastAsia" w:ascii="仿宋" w:hAnsi="仿宋" w:eastAsia="仿宋" w:cs="仿宋"/>
          <w:color w:val="auto"/>
          <w:sz w:val="24"/>
          <w:szCs w:val="24"/>
          <w:highlight w:val="none"/>
        </w:rPr>
      </w:pPr>
      <w:bookmarkStart w:id="2" w:name="_Toc28000"/>
      <w:r>
        <w:rPr>
          <w:rFonts w:hint="eastAsia" w:ascii="仿宋" w:hAnsi="仿宋" w:eastAsia="仿宋" w:cs="仿宋"/>
          <w:color w:val="auto"/>
          <w:sz w:val="32"/>
          <w:szCs w:val="32"/>
          <w:highlight w:val="none"/>
          <w:lang w:eastAsia="zh-CN"/>
        </w:rPr>
        <w:t>本招标项目长葛市黄河路（人民路-魏武大道）中修铺油工程</w:t>
      </w:r>
      <w:r>
        <w:rPr>
          <w:rFonts w:hint="eastAsia" w:ascii="仿宋" w:hAnsi="仿宋" w:eastAsia="仿宋" w:cs="仿宋"/>
          <w:color w:val="auto"/>
          <w:sz w:val="32"/>
          <w:szCs w:val="32"/>
          <w:highlight w:val="none"/>
        </w:rPr>
        <w:t>，已由</w:t>
      </w:r>
      <w:r>
        <w:rPr>
          <w:rFonts w:hint="eastAsia" w:ascii="仿宋" w:hAnsi="仿宋" w:eastAsia="仿宋" w:cs="仿宋"/>
          <w:color w:val="auto"/>
          <w:sz w:val="32"/>
          <w:szCs w:val="32"/>
          <w:highlight w:val="none"/>
          <w:u w:val="single"/>
          <w:lang w:val="en-US" w:eastAsia="zh-CN"/>
        </w:rPr>
        <w:t>长葛市发展和改革委员会</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长发改综合【2019】14</w:t>
      </w:r>
      <w:r>
        <w:rPr>
          <w:rFonts w:hint="eastAsia" w:ascii="仿宋" w:hAnsi="仿宋" w:eastAsia="仿宋" w:cs="仿宋"/>
          <w:color w:val="auto"/>
          <w:sz w:val="32"/>
          <w:szCs w:val="32"/>
          <w:highlight w:val="none"/>
          <w:u w:val="single"/>
        </w:rPr>
        <w:t xml:space="preserve"> 号</w:t>
      </w:r>
      <w:r>
        <w:rPr>
          <w:rFonts w:hint="eastAsia" w:ascii="仿宋" w:hAnsi="仿宋" w:eastAsia="仿宋" w:cs="仿宋"/>
          <w:color w:val="auto"/>
          <w:sz w:val="32"/>
          <w:szCs w:val="32"/>
          <w:highlight w:val="none"/>
        </w:rPr>
        <w:t>文件批准建设，招标人为</w:t>
      </w:r>
      <w:r>
        <w:rPr>
          <w:rFonts w:hint="eastAsia" w:ascii="仿宋" w:hAnsi="仿宋" w:eastAsia="仿宋" w:cs="仿宋"/>
          <w:color w:val="auto"/>
          <w:sz w:val="32"/>
          <w:szCs w:val="32"/>
          <w:highlight w:val="none"/>
          <w:lang w:val="en-US" w:eastAsia="zh-CN"/>
        </w:rPr>
        <w:t>长葛市住房和城乡建设局，招标代理机构为中建联勘测规划设计有限公司</w:t>
      </w:r>
      <w:r>
        <w:rPr>
          <w:rFonts w:hint="eastAsia" w:ascii="仿宋" w:hAnsi="仿宋" w:eastAsia="仿宋" w:cs="仿宋"/>
          <w:color w:val="auto"/>
          <w:sz w:val="32"/>
          <w:szCs w:val="32"/>
          <w:highlight w:val="none"/>
        </w:rPr>
        <w:t>，建设资金为财政资金，项目出资比例为100%。项目已具备招标条件，现对该项目进行公开招标。</w:t>
      </w:r>
    </w:p>
    <w:p>
      <w:pPr>
        <w:spacing w:line="400" w:lineRule="exact"/>
        <w:ind w:firstLine="643" w:firstLineChars="200"/>
        <w:jc w:val="left"/>
        <w:outlineLvl w:val="1"/>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二、项目概况及招标范围</w:t>
      </w:r>
      <w:bookmarkEnd w:id="2"/>
    </w:p>
    <w:p>
      <w:pPr>
        <w:ind w:firstLine="643"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b/>
          <w:color w:val="auto"/>
          <w:sz w:val="32"/>
          <w:szCs w:val="32"/>
          <w:highlight w:val="none"/>
        </w:rPr>
        <w:t>2.1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招标编号：</w:t>
      </w:r>
      <w:r>
        <w:rPr>
          <w:rFonts w:hint="eastAsia" w:ascii="仿宋" w:hAnsi="仿宋" w:eastAsia="仿宋" w:cs="仿宋"/>
          <w:color w:val="auto"/>
          <w:sz w:val="32"/>
          <w:szCs w:val="32"/>
          <w:highlight w:val="none"/>
          <w:lang w:val="en-US" w:eastAsia="zh-CN"/>
        </w:rPr>
        <w:t>长</w:t>
      </w:r>
      <w:r>
        <w:rPr>
          <w:rFonts w:hint="eastAsia" w:ascii="仿宋" w:hAnsi="仿宋" w:eastAsia="仿宋" w:cs="仿宋"/>
          <w:color w:val="auto"/>
          <w:sz w:val="32"/>
          <w:szCs w:val="32"/>
          <w:highlight w:val="none"/>
          <w:u w:val="single"/>
          <w:lang w:val="en-US" w:eastAsia="zh-CN"/>
        </w:rPr>
        <w:t>交建【2019】GZ087号</w:t>
      </w:r>
    </w:p>
    <w:p>
      <w:pPr>
        <w:spacing w:line="240" w:lineRule="auto"/>
        <w:ind w:firstLine="643" w:firstLineChars="200"/>
        <w:rPr>
          <w:rFonts w:hint="eastAsia" w:ascii="仿宋" w:hAnsi="仿宋" w:eastAsia="仿宋" w:cs="仿宋"/>
          <w:bCs/>
          <w:color w:val="auto"/>
          <w:sz w:val="32"/>
          <w:szCs w:val="32"/>
          <w:highlight w:val="none"/>
        </w:rPr>
      </w:pPr>
      <w:bookmarkStart w:id="3" w:name="_Toc397507505"/>
      <w:bookmarkStart w:id="4" w:name="_Toc464824535"/>
      <w:bookmarkStart w:id="5" w:name="_Toc397507917"/>
      <w:bookmarkStart w:id="6" w:name="_Toc397605786"/>
      <w:r>
        <w:rPr>
          <w:rFonts w:hint="eastAsia" w:ascii="仿宋" w:hAnsi="仿宋" w:eastAsia="仿宋" w:cs="仿宋"/>
          <w:b/>
          <w:color w:val="auto"/>
          <w:sz w:val="32"/>
          <w:szCs w:val="32"/>
          <w:highlight w:val="none"/>
        </w:rPr>
        <w:t>2.2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项目概况：</w:t>
      </w:r>
      <w:r>
        <w:rPr>
          <w:rFonts w:hint="eastAsia" w:ascii="仿宋" w:hAnsi="仿宋" w:eastAsia="仿宋" w:cs="仿宋"/>
          <w:bCs/>
          <w:color w:val="auto"/>
          <w:sz w:val="32"/>
          <w:szCs w:val="32"/>
          <w:highlight w:val="none"/>
          <w:lang w:eastAsia="zh-CN"/>
        </w:rPr>
        <w:t>长葛市黄河路（人民路-魏武大道）中修铺油工程，现状为一条东西向沥青路，</w:t>
      </w:r>
      <w:r>
        <w:rPr>
          <w:rFonts w:hint="eastAsia" w:ascii="仿宋" w:hAnsi="仿宋" w:eastAsia="仿宋" w:cs="仿宋"/>
          <w:bCs/>
          <w:color w:val="auto"/>
          <w:sz w:val="32"/>
          <w:szCs w:val="32"/>
          <w:highlight w:val="none"/>
          <w:lang w:val="en-US" w:eastAsia="zh-CN"/>
        </w:rPr>
        <w:t>起点为人民路，起点桩号K0+000,终点为魏武路，桩号K4+060.455，工程</w:t>
      </w:r>
      <w:r>
        <w:rPr>
          <w:rFonts w:hint="eastAsia" w:ascii="仿宋" w:hAnsi="仿宋" w:eastAsia="仿宋" w:cs="仿宋"/>
          <w:bCs/>
          <w:color w:val="auto"/>
          <w:sz w:val="32"/>
          <w:szCs w:val="32"/>
          <w:highlight w:val="none"/>
          <w:lang w:eastAsia="zh-CN"/>
        </w:rPr>
        <w:t>全长约</w:t>
      </w:r>
      <w:r>
        <w:rPr>
          <w:rFonts w:hint="eastAsia" w:ascii="仿宋" w:hAnsi="仿宋" w:eastAsia="仿宋" w:cs="仿宋"/>
          <w:bCs/>
          <w:color w:val="auto"/>
          <w:sz w:val="32"/>
          <w:szCs w:val="32"/>
          <w:highlight w:val="none"/>
          <w:lang w:val="en-US" w:eastAsia="zh-CN"/>
        </w:rPr>
        <w:t>4060米，本项目为改建工程，主要对现状机动车道及非机动车道沥青路面进行铣刨覆浇改造。</w:t>
      </w:r>
    </w:p>
    <w:p>
      <w:pPr>
        <w:spacing w:line="240" w:lineRule="auto"/>
        <w:ind w:right="-170" w:rightChars="-50"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2.3</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建设地点：</w:t>
      </w:r>
      <w:r>
        <w:rPr>
          <w:rFonts w:hint="eastAsia" w:ascii="仿宋" w:hAnsi="仿宋" w:eastAsia="仿宋" w:cs="仿宋"/>
          <w:bCs/>
          <w:color w:val="auto"/>
          <w:sz w:val="32"/>
          <w:szCs w:val="32"/>
          <w:highlight w:val="none"/>
          <w:lang w:val="en-US" w:eastAsia="zh-CN"/>
        </w:rPr>
        <w:t>起点为人民路，起点桩号K0+000,终点为魏武路，桩号K4+060.455.</w:t>
      </w:r>
      <w:r>
        <w:rPr>
          <w:rFonts w:hint="eastAsia" w:ascii="仿宋" w:hAnsi="仿宋" w:eastAsia="仿宋" w:cs="仿宋"/>
          <w:b/>
          <w:bCs/>
          <w:color w:val="auto"/>
          <w:sz w:val="32"/>
          <w:szCs w:val="32"/>
          <w:highlight w:val="none"/>
        </w:rPr>
        <w:t xml:space="preserve">     </w:t>
      </w:r>
    </w:p>
    <w:p>
      <w:pPr>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2.4</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招标范围：</w:t>
      </w:r>
    </w:p>
    <w:p>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lang w:val="en-US" w:eastAsia="zh-CN"/>
        </w:rPr>
        <w:t>第1标段：</w:t>
      </w:r>
      <w:r>
        <w:rPr>
          <w:rFonts w:hint="eastAsia" w:ascii="仿宋" w:hAnsi="仿宋" w:eastAsia="仿宋" w:cs="仿宋"/>
          <w:bCs/>
          <w:color w:val="auto"/>
          <w:sz w:val="32"/>
          <w:szCs w:val="32"/>
          <w:highlight w:val="none"/>
        </w:rPr>
        <w:t>招标文件、工程量清单、施工图纸、技术参数、补充文件（如有）、答疑纪要等列明的所有建设内容；</w:t>
      </w:r>
    </w:p>
    <w:p>
      <w:pPr>
        <w:ind w:firstLine="643" w:firstLineChars="200"/>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第2标段：</w:t>
      </w:r>
      <w:r>
        <w:rPr>
          <w:rFonts w:hint="eastAsia" w:ascii="仿宋" w:hAnsi="仿宋" w:eastAsia="仿宋" w:cs="仿宋"/>
          <w:bCs/>
          <w:color w:val="auto"/>
          <w:sz w:val="32"/>
          <w:szCs w:val="32"/>
          <w:highlight w:val="none"/>
          <w:lang w:val="en-US" w:eastAsia="zh-CN"/>
        </w:rPr>
        <w:t>本项目施工内容建设阶段及完善阶段全过程监理服务。</w:t>
      </w:r>
    </w:p>
    <w:p>
      <w:pPr>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2.5</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招标控制价</w:t>
      </w:r>
      <w:r>
        <w:rPr>
          <w:rFonts w:hint="eastAsia" w:ascii="仿宋" w:hAnsi="仿宋" w:eastAsia="仿宋" w:cs="仿宋"/>
          <w:b/>
          <w:color w:val="auto"/>
          <w:sz w:val="32"/>
          <w:szCs w:val="32"/>
          <w:highlight w:val="none"/>
        </w:rPr>
        <w:t>：</w:t>
      </w:r>
      <w:bookmarkEnd w:id="3"/>
      <w:bookmarkEnd w:id="4"/>
      <w:bookmarkEnd w:id="5"/>
      <w:bookmarkEnd w:id="6"/>
      <w:bookmarkStart w:id="7" w:name="_Toc464824536"/>
      <w:bookmarkStart w:id="8" w:name="_Toc397507918"/>
      <w:bookmarkStart w:id="9" w:name="_Toc464824537"/>
      <w:bookmarkStart w:id="10" w:name="_Toc397605787"/>
      <w:bookmarkStart w:id="11" w:name="_Toc397507506"/>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lang w:val="en-US" w:eastAsia="zh-CN"/>
        </w:rPr>
        <w:t>第1标段：</w:t>
      </w:r>
      <w:r>
        <w:rPr>
          <w:rFonts w:hint="eastAsia" w:ascii="仿宋" w:hAnsi="仿宋" w:eastAsia="仿宋" w:cs="仿宋"/>
          <w:b w:val="0"/>
          <w:bCs/>
          <w:color w:val="auto"/>
          <w:sz w:val="32"/>
          <w:szCs w:val="32"/>
          <w:highlight w:val="none"/>
          <w:lang w:val="en-US" w:eastAsia="zh-CN"/>
        </w:rPr>
        <w:t>30276693.55</w:t>
      </w:r>
      <w:r>
        <w:rPr>
          <w:rFonts w:hint="eastAsia" w:ascii="仿宋" w:hAnsi="仿宋" w:eastAsia="仿宋" w:cs="仿宋"/>
          <w:bCs/>
          <w:color w:val="auto"/>
          <w:sz w:val="32"/>
          <w:szCs w:val="32"/>
          <w:highlight w:val="none"/>
        </w:rPr>
        <w:t>元；</w:t>
      </w:r>
    </w:p>
    <w:p>
      <w:pPr>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第2标段：</w:t>
      </w:r>
      <w:r>
        <w:rPr>
          <w:rFonts w:hint="eastAsia" w:ascii="仿宋" w:hAnsi="仿宋" w:eastAsia="仿宋" w:cs="仿宋"/>
          <w:b w:val="0"/>
          <w:bCs/>
          <w:color w:val="auto"/>
          <w:sz w:val="32"/>
          <w:szCs w:val="32"/>
          <w:highlight w:val="none"/>
          <w:lang w:val="en-US" w:eastAsia="zh-CN"/>
        </w:rPr>
        <w:t>314762.96元；</w:t>
      </w:r>
    </w:p>
    <w:p>
      <w:pPr>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2.6、标段划分：本项目共划分2个标段。</w:t>
      </w:r>
    </w:p>
    <w:p>
      <w:pPr>
        <w:ind w:firstLine="643"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第1标段：</w:t>
      </w:r>
      <w:r>
        <w:rPr>
          <w:rFonts w:hint="eastAsia" w:ascii="仿宋" w:hAnsi="仿宋" w:eastAsia="仿宋" w:cs="仿宋"/>
          <w:b w:val="0"/>
          <w:bCs/>
          <w:color w:val="auto"/>
          <w:sz w:val="32"/>
          <w:szCs w:val="32"/>
          <w:highlight w:val="none"/>
          <w:lang w:val="en-US" w:eastAsia="zh-CN"/>
        </w:rPr>
        <w:t>施工标段</w:t>
      </w:r>
    </w:p>
    <w:p>
      <w:pPr>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第2标段：</w:t>
      </w:r>
      <w:r>
        <w:rPr>
          <w:rFonts w:hint="eastAsia" w:ascii="仿宋" w:hAnsi="仿宋" w:eastAsia="仿宋" w:cs="仿宋"/>
          <w:b w:val="0"/>
          <w:bCs/>
          <w:color w:val="auto"/>
          <w:sz w:val="32"/>
          <w:szCs w:val="32"/>
          <w:highlight w:val="none"/>
          <w:lang w:val="en-US" w:eastAsia="zh-CN"/>
        </w:rPr>
        <w:t>监理标段</w:t>
      </w:r>
    </w:p>
    <w:p>
      <w:pPr>
        <w:ind w:firstLine="643"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2.</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计划工期：</w:t>
      </w:r>
      <w:bookmarkEnd w:id="7"/>
      <w:r>
        <w:rPr>
          <w:rFonts w:hint="eastAsia" w:ascii="仿宋" w:hAnsi="仿宋" w:eastAsia="仿宋" w:cs="仿宋"/>
          <w:b/>
          <w:color w:val="auto"/>
          <w:sz w:val="32"/>
          <w:szCs w:val="32"/>
          <w:highlight w:val="none"/>
          <w:lang w:val="en-US" w:eastAsia="zh-CN"/>
        </w:rPr>
        <w:t xml:space="preserve"> </w:t>
      </w:r>
    </w:p>
    <w:p>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第1</w:t>
      </w:r>
      <w:r>
        <w:rPr>
          <w:rFonts w:hint="eastAsia" w:ascii="仿宋" w:hAnsi="仿宋" w:eastAsia="仿宋" w:cs="仿宋"/>
          <w:b w:val="0"/>
          <w:bCs/>
          <w:color w:val="auto"/>
          <w:sz w:val="32"/>
          <w:szCs w:val="32"/>
          <w:highlight w:val="none"/>
        </w:rPr>
        <w:t>标段：</w:t>
      </w:r>
      <w:r>
        <w:rPr>
          <w:rFonts w:hint="eastAsia" w:ascii="仿宋" w:hAnsi="仿宋" w:eastAsia="仿宋" w:cs="仿宋"/>
          <w:b w:val="0"/>
          <w:bCs/>
          <w:color w:val="auto"/>
          <w:sz w:val="32"/>
          <w:szCs w:val="32"/>
          <w:highlight w:val="none"/>
          <w:lang w:val="en-US" w:eastAsia="zh-CN"/>
        </w:rPr>
        <w:t>120</w:t>
      </w:r>
      <w:r>
        <w:rPr>
          <w:rFonts w:hint="eastAsia" w:ascii="仿宋" w:hAnsi="仿宋" w:eastAsia="仿宋" w:cs="仿宋"/>
          <w:b w:val="0"/>
          <w:bCs/>
          <w:color w:val="auto"/>
          <w:sz w:val="32"/>
          <w:szCs w:val="32"/>
          <w:highlight w:val="none"/>
        </w:rPr>
        <w:t>日历天；</w:t>
      </w:r>
    </w:p>
    <w:p>
      <w:pPr>
        <w:ind w:firstLine="640" w:firstLineChars="200"/>
        <w:jc w:val="left"/>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第2</w:t>
      </w:r>
      <w:r>
        <w:rPr>
          <w:rFonts w:hint="eastAsia" w:ascii="仿宋" w:hAnsi="仿宋" w:eastAsia="仿宋" w:cs="仿宋"/>
          <w:b w:val="0"/>
          <w:bCs/>
          <w:color w:val="auto"/>
          <w:sz w:val="32"/>
          <w:szCs w:val="32"/>
          <w:highlight w:val="none"/>
        </w:rPr>
        <w:t>标段：本项目</w:t>
      </w:r>
      <w:r>
        <w:rPr>
          <w:rFonts w:hint="eastAsia" w:ascii="仿宋" w:hAnsi="仿宋" w:eastAsia="仿宋" w:cs="仿宋"/>
          <w:b w:val="0"/>
          <w:bCs/>
          <w:color w:val="auto"/>
          <w:sz w:val="32"/>
          <w:szCs w:val="32"/>
          <w:highlight w:val="none"/>
          <w:lang w:val="en-US" w:eastAsia="zh-CN"/>
        </w:rPr>
        <w:t>第1</w:t>
      </w:r>
      <w:r>
        <w:rPr>
          <w:rFonts w:hint="eastAsia" w:ascii="仿宋" w:hAnsi="仿宋" w:eastAsia="仿宋" w:cs="仿宋"/>
          <w:b w:val="0"/>
          <w:bCs/>
          <w:color w:val="auto"/>
          <w:sz w:val="32"/>
          <w:szCs w:val="32"/>
          <w:highlight w:val="none"/>
        </w:rPr>
        <w:t>标段全过程监理服务</w:t>
      </w:r>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rPr>
        <w:t>2.</w:t>
      </w:r>
      <w:bookmarkEnd w:id="8"/>
      <w:bookmarkEnd w:id="9"/>
      <w:bookmarkEnd w:id="10"/>
      <w:bookmarkEnd w:id="11"/>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质量要求：</w:t>
      </w:r>
      <w:r>
        <w:rPr>
          <w:rFonts w:hint="eastAsia" w:ascii="仿宋" w:hAnsi="仿宋" w:eastAsia="仿宋" w:cs="仿宋"/>
          <w:bCs/>
          <w:color w:val="auto"/>
          <w:sz w:val="32"/>
          <w:szCs w:val="32"/>
          <w:highlight w:val="none"/>
        </w:rPr>
        <w:t>合格（符合国家现行的验收规范和标准）；</w:t>
      </w:r>
    </w:p>
    <w:p>
      <w:pPr>
        <w:spacing w:line="400" w:lineRule="exact"/>
        <w:ind w:firstLine="643" w:firstLineChars="200"/>
        <w:jc w:val="left"/>
        <w:outlineLvl w:val="1"/>
        <w:rPr>
          <w:rFonts w:hint="eastAsia" w:ascii="黑体" w:hAnsi="黑体" w:eastAsia="黑体" w:cs="黑体"/>
          <w:b/>
          <w:color w:val="auto"/>
          <w:sz w:val="32"/>
          <w:szCs w:val="32"/>
          <w:highlight w:val="none"/>
        </w:rPr>
      </w:pPr>
      <w:bookmarkStart w:id="12" w:name="_Toc397605790"/>
      <w:bookmarkStart w:id="13" w:name="_Toc2846"/>
      <w:bookmarkStart w:id="14" w:name="_Toc397507921"/>
      <w:bookmarkStart w:id="15" w:name="_Toc464824540"/>
      <w:bookmarkStart w:id="16" w:name="_Toc397507509"/>
      <w:r>
        <w:rPr>
          <w:rFonts w:hint="eastAsia" w:ascii="黑体" w:hAnsi="黑体" w:eastAsia="黑体" w:cs="黑体"/>
          <w:b/>
          <w:color w:val="auto"/>
          <w:sz w:val="32"/>
          <w:szCs w:val="32"/>
          <w:highlight w:val="none"/>
          <w:lang w:eastAsia="zh-CN"/>
        </w:rPr>
        <w:t>三、</w:t>
      </w:r>
      <w:r>
        <w:rPr>
          <w:rFonts w:hint="eastAsia" w:ascii="黑体" w:hAnsi="黑体" w:eastAsia="黑体" w:cs="黑体"/>
          <w:b/>
          <w:color w:val="auto"/>
          <w:sz w:val="32"/>
          <w:szCs w:val="32"/>
          <w:highlight w:val="none"/>
        </w:rPr>
        <w:t>投标人资格要求</w:t>
      </w:r>
      <w:bookmarkEnd w:id="12"/>
      <w:bookmarkEnd w:id="13"/>
      <w:bookmarkEnd w:id="14"/>
      <w:bookmarkEnd w:id="15"/>
      <w:bookmarkEnd w:id="16"/>
    </w:p>
    <w:p>
      <w:pPr>
        <w:spacing w:line="400" w:lineRule="exact"/>
        <w:ind w:firstLine="643" w:firstLineChars="200"/>
        <w:jc w:val="left"/>
        <w:outlineLvl w:val="1"/>
        <w:rPr>
          <w:rFonts w:hint="eastAsia" w:ascii="仿宋" w:hAnsi="仿宋" w:eastAsia="仿宋" w:cs="仿宋"/>
          <w:bCs/>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3.1、第1标段投标人资格要求：</w:t>
      </w:r>
    </w:p>
    <w:p>
      <w:pPr>
        <w:spacing w:line="400" w:lineRule="exact"/>
        <w:ind w:firstLine="640" w:firstLineChars="200"/>
        <w:jc w:val="left"/>
        <w:outlineLvl w:val="1"/>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3.1</w:t>
      </w:r>
      <w:r>
        <w:rPr>
          <w:rFonts w:hint="eastAsia" w:ascii="仿宋" w:hAnsi="仿宋" w:eastAsia="仿宋" w:cs="仿宋"/>
          <w:bCs/>
          <w:color w:val="auto"/>
          <w:sz w:val="32"/>
          <w:szCs w:val="32"/>
          <w:highlight w:val="none"/>
          <w:lang w:val="en-US" w:eastAsia="zh-CN"/>
        </w:rPr>
        <w:t>.1、投标人须具有市政公用工程施工总承包二级以上（含二级）资质，并且具有有效的安全生产许可证，具备独立法人资格，有良好的财务状况，良好的社会信誉，并在人员、设备、资金等方面具备相应的施工能力；</w:t>
      </w:r>
    </w:p>
    <w:p>
      <w:pPr>
        <w:spacing w:line="400" w:lineRule="exact"/>
        <w:ind w:firstLine="640" w:firstLineChars="200"/>
        <w:jc w:val="left"/>
        <w:outlineLvl w:val="1"/>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3.1.2、拟任项目经理应具有市政工程</w:t>
      </w:r>
      <w:r>
        <w:rPr>
          <w:rFonts w:hint="eastAsia" w:ascii="仿宋" w:hAnsi="仿宋" w:eastAsia="仿宋" w:cs="仿宋"/>
          <w:bCs/>
          <w:color w:val="auto"/>
          <w:sz w:val="32"/>
          <w:szCs w:val="32"/>
          <w:highlight w:val="none"/>
          <w:shd w:val="clear" w:color="auto" w:fill="auto"/>
          <w:lang w:val="en-US" w:eastAsia="zh-CN"/>
        </w:rPr>
        <w:t>专业</w:t>
      </w:r>
      <w:r>
        <w:rPr>
          <w:rFonts w:hint="eastAsia" w:ascii="仿宋" w:hAnsi="仿宋" w:eastAsia="仿宋" w:cs="仿宋"/>
          <w:bCs/>
          <w:color w:val="auto"/>
          <w:sz w:val="32"/>
          <w:szCs w:val="32"/>
          <w:highlight w:val="none"/>
          <w:lang w:val="en-US" w:eastAsia="zh-CN"/>
        </w:rPr>
        <w:t>贰级及以上注册建造师执业资格，取得有效的安全生产考核合格证，且未担任其他在施建设工程的项目经理。</w:t>
      </w:r>
    </w:p>
    <w:p>
      <w:pPr>
        <w:spacing w:line="400" w:lineRule="exact"/>
        <w:ind w:firstLine="643" w:firstLineChars="200"/>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3.2、第2标段投标人资格要求：</w:t>
      </w:r>
    </w:p>
    <w:p>
      <w:pPr>
        <w:spacing w:line="400" w:lineRule="exact"/>
        <w:ind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3.2.1、投标人须具备独立法人资格，并具备建设行政主管部门颁发的工程监理综合资质或市政公用工程监理专业乙级或以上资质；</w:t>
      </w:r>
    </w:p>
    <w:p>
      <w:pPr>
        <w:spacing w:line="400" w:lineRule="exact"/>
        <w:ind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3.2.2、拟派项目总监理工程师须具备市政公用工程专业注册监理工程师资格。</w:t>
      </w:r>
    </w:p>
    <w:p>
      <w:pPr>
        <w:spacing w:line="40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本次招标不接受联合体投标，不得转包、挂靠及违法分包。</w:t>
      </w:r>
    </w:p>
    <w:p>
      <w:pPr>
        <w:spacing w:line="40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00" w:lineRule="exact"/>
        <w:ind w:firstLine="640" w:firstLineChars="200"/>
        <w:jc w:val="left"/>
        <w:outlineLvl w:val="1"/>
        <w:rPr>
          <w:rFonts w:hint="eastAsia" w:ascii="仿宋" w:hAnsi="仿宋" w:eastAsia="仿宋" w:cs="仿宋"/>
          <w:bCs/>
          <w:color w:val="auto"/>
          <w:sz w:val="32"/>
          <w:szCs w:val="32"/>
          <w:highlight w:val="none"/>
        </w:rPr>
      </w:pPr>
      <w:r>
        <w:rPr>
          <w:rFonts w:hint="eastAsia" w:ascii="仿宋" w:hAnsi="仿宋" w:eastAsia="仿宋" w:cs="仿宋"/>
          <w:color w:val="auto"/>
          <w:kern w:val="0"/>
          <w:sz w:val="32"/>
          <w:szCs w:val="32"/>
          <w:highlight w:val="none"/>
        </w:rPr>
        <w:t>3.</w:t>
      </w:r>
      <w:bookmarkStart w:id="17" w:name="_Toc28292"/>
      <w:r>
        <w:rPr>
          <w:rFonts w:hint="eastAsia" w:ascii="仿宋" w:hAnsi="仿宋" w:eastAsia="仿宋" w:cs="仿宋"/>
          <w:color w:val="auto"/>
          <w:kern w:val="0"/>
          <w:sz w:val="32"/>
          <w:szCs w:val="32"/>
          <w:highlight w:val="none"/>
          <w:lang w:val="en-US" w:eastAsia="zh-CN"/>
        </w:rPr>
        <w:t>5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p>
      <w:pPr>
        <w:spacing w:line="400" w:lineRule="exact"/>
        <w:ind w:firstLine="643" w:firstLineChars="200"/>
        <w:jc w:val="left"/>
        <w:outlineLvl w:val="1"/>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四、投标报名</w:t>
      </w:r>
      <w:bookmarkEnd w:id="17"/>
    </w:p>
    <w:p>
      <w:pPr>
        <w:spacing w:line="40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4.1报名时间:投标人在投标文件递交截止时间前均可报名。</w:t>
      </w:r>
    </w:p>
    <w:p>
      <w:pPr>
        <w:widowControl/>
        <w:spacing w:line="400" w:lineRule="exact"/>
        <w:ind w:firstLine="640" w:firstLineChars="200"/>
        <w:jc w:val="left"/>
        <w:rPr>
          <w:rFonts w:hint="eastAsia" w:ascii="仿宋" w:hAnsi="仿宋" w:eastAsia="仿宋" w:cs="仿宋"/>
          <w:color w:val="auto"/>
          <w:sz w:val="32"/>
          <w:szCs w:val="32"/>
          <w:highlight w:val="none"/>
        </w:rPr>
      </w:pPr>
      <w:bookmarkStart w:id="18" w:name="_Toc464824541"/>
      <w:bookmarkStart w:id="19" w:name="_Toc3684"/>
      <w:bookmarkStart w:id="20" w:name="_Toc397605791"/>
      <w:bookmarkStart w:id="21" w:name="_Toc397507510"/>
      <w:bookmarkStart w:id="22" w:name="_Toc397507922"/>
      <w:r>
        <w:rPr>
          <w:rFonts w:hint="eastAsia" w:ascii="仿宋" w:hAnsi="仿宋" w:eastAsia="仿宋" w:cs="仿宋"/>
          <w:bCs/>
          <w:color w:val="auto"/>
          <w:sz w:val="32"/>
          <w:szCs w:val="32"/>
          <w:highlight w:val="none"/>
        </w:rPr>
        <w:t>4.2报名方式：网上报名。</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（1）注册：持CA数字认证证书，登录【全国公共资源交易平台（河南省·许昌市）】“系统用户注册”入口</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（http://221.14.6.70:8088/ggzy/eps/public/RegistAllJcxx.html）进行免费注册登记（详见“常见问题解答-诚信库网上注册相关资料下载”）；</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（2）报名：登录【全国公共资源交易平台（河南省·许昌市）】“投标人/供应商登录”入口（http://221.14.6.70:8088/ggzy/）,在报名期限内。（详见“常见问题解答-交易系统操作手册”）。</w:t>
      </w:r>
    </w:p>
    <w:p>
      <w:pPr>
        <w:spacing w:line="400" w:lineRule="exact"/>
        <w:ind w:firstLine="643" w:firstLineChars="200"/>
        <w:jc w:val="left"/>
        <w:outlineLvl w:val="1"/>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五、招标文件和施工图纸的获取</w:t>
      </w:r>
      <w:bookmarkEnd w:id="18"/>
      <w:bookmarkEnd w:id="19"/>
      <w:bookmarkEnd w:id="20"/>
      <w:bookmarkEnd w:id="21"/>
      <w:bookmarkEnd w:id="22"/>
    </w:p>
    <w:p>
      <w:pPr>
        <w:spacing w:line="400" w:lineRule="exact"/>
        <w:ind w:firstLine="640" w:firstLineChars="200"/>
        <w:outlineLvl w:val="0"/>
        <w:rPr>
          <w:rFonts w:hint="eastAsia" w:ascii="仿宋" w:hAnsi="仿宋" w:eastAsia="仿宋" w:cs="仿宋"/>
          <w:bCs/>
          <w:color w:val="auto"/>
          <w:sz w:val="32"/>
          <w:szCs w:val="32"/>
          <w:highlight w:val="none"/>
        </w:rPr>
      </w:pPr>
      <w:bookmarkStart w:id="23" w:name="_Toc397507511"/>
      <w:bookmarkStart w:id="24" w:name="_Toc397507923"/>
      <w:bookmarkStart w:id="25" w:name="_Toc397605792"/>
      <w:r>
        <w:rPr>
          <w:rFonts w:hint="eastAsia" w:ascii="仿宋" w:hAnsi="仿宋" w:eastAsia="仿宋" w:cs="仿宋"/>
          <w:bCs/>
          <w:color w:val="auto"/>
          <w:sz w:val="32"/>
          <w:szCs w:val="32"/>
          <w:highlight w:val="none"/>
        </w:rPr>
        <w:t>5.1招标文件和工程量清单的获取：报名期限内，投标人登录《全国公共资源交易平台（河南省·许昌市）》自行下载本项目招标文件、工程量清单。</w:t>
      </w:r>
    </w:p>
    <w:p>
      <w:pPr>
        <w:spacing w:line="40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5.2施工图纸下载：</w:t>
      </w:r>
      <w:r>
        <w:rPr>
          <w:rFonts w:hint="eastAsia" w:ascii="仿宋" w:hAnsi="仿宋" w:eastAsia="仿宋" w:cs="仿宋"/>
          <w:color w:val="auto"/>
          <w:sz w:val="32"/>
          <w:szCs w:val="32"/>
          <w:highlight w:val="none"/>
        </w:rPr>
        <w:t>按照招标文件要求自行下载</w:t>
      </w:r>
      <w:r>
        <w:rPr>
          <w:rFonts w:hint="eastAsia" w:ascii="仿宋" w:hAnsi="仿宋" w:eastAsia="仿宋" w:cs="仿宋"/>
          <w:bCs/>
          <w:color w:val="auto"/>
          <w:sz w:val="32"/>
          <w:szCs w:val="32"/>
          <w:highlight w:val="none"/>
        </w:rPr>
        <w:t>。</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5.3招标文件费用：投标人在递交纸制投标文件时向代理公司缴纳招标文件费用，本项目招标文件费用为</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00元/套，售后不退。</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5.4本项目实行资格后审，资格后审所需资料详见招标文件。</w:t>
      </w:r>
    </w:p>
    <w:p>
      <w:pPr>
        <w:spacing w:line="400" w:lineRule="exact"/>
        <w:ind w:firstLine="643" w:firstLineChars="200"/>
        <w:jc w:val="left"/>
        <w:outlineLvl w:val="1"/>
        <w:rPr>
          <w:rFonts w:hint="eastAsia" w:ascii="黑体" w:hAnsi="黑体" w:eastAsia="黑体" w:cs="黑体"/>
          <w:b/>
          <w:color w:val="auto"/>
          <w:sz w:val="32"/>
          <w:szCs w:val="32"/>
          <w:highlight w:val="none"/>
        </w:rPr>
      </w:pPr>
      <w:bookmarkStart w:id="26" w:name="_Toc464824545"/>
      <w:bookmarkStart w:id="27" w:name="_Toc17272"/>
      <w:r>
        <w:rPr>
          <w:rFonts w:hint="eastAsia" w:ascii="黑体" w:hAnsi="黑体" w:eastAsia="黑体" w:cs="黑体"/>
          <w:b/>
          <w:color w:val="auto"/>
          <w:sz w:val="32"/>
          <w:szCs w:val="32"/>
          <w:highlight w:val="none"/>
        </w:rPr>
        <w:t>六、投标文件的递交</w:t>
      </w:r>
      <w:bookmarkEnd w:id="23"/>
      <w:bookmarkEnd w:id="24"/>
      <w:bookmarkEnd w:id="25"/>
      <w:bookmarkEnd w:id="26"/>
      <w:bookmarkEnd w:id="27"/>
    </w:p>
    <w:p>
      <w:pPr>
        <w:spacing w:line="400" w:lineRule="exact"/>
        <w:ind w:firstLine="640" w:firstLineChars="200"/>
        <w:jc w:val="left"/>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6.1本项目为全流程电子化交易项目，须提交电子投标文件和纸质投标文件（正本1份、副本</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份）。</w:t>
      </w:r>
    </w:p>
    <w:p>
      <w:pPr>
        <w:spacing w:line="400" w:lineRule="exact"/>
        <w:ind w:firstLine="640" w:firstLineChars="200"/>
        <w:jc w:val="left"/>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6.2投标文件提交截止时间及开标时间：</w:t>
      </w:r>
      <w:r>
        <w:rPr>
          <w:rFonts w:hint="eastAsia" w:ascii="仿宋" w:hAnsi="仿宋" w:eastAsia="仿宋" w:cs="仿宋"/>
          <w:bCs/>
          <w:color w:val="auto"/>
          <w:sz w:val="32"/>
          <w:szCs w:val="32"/>
          <w:highlight w:val="none"/>
          <w:u w:val="single"/>
        </w:rPr>
        <w:t>2019年</w:t>
      </w:r>
      <w:r>
        <w:rPr>
          <w:rFonts w:hint="eastAsia" w:ascii="仿宋" w:hAnsi="仿宋" w:eastAsia="仿宋" w:cs="仿宋"/>
          <w:bCs/>
          <w:color w:val="auto"/>
          <w:sz w:val="32"/>
          <w:szCs w:val="32"/>
          <w:highlight w:val="none"/>
          <w:u w:val="single"/>
          <w:lang w:val="en-US" w:eastAsia="zh-CN"/>
        </w:rPr>
        <w:t xml:space="preserve"> 6 </w:t>
      </w:r>
      <w:r>
        <w:rPr>
          <w:rFonts w:hint="eastAsia" w:ascii="仿宋" w:hAnsi="仿宋" w:eastAsia="仿宋" w:cs="仿宋"/>
          <w:bCs/>
          <w:color w:val="auto"/>
          <w:sz w:val="32"/>
          <w:szCs w:val="32"/>
          <w:highlight w:val="none"/>
          <w:u w:val="single"/>
        </w:rPr>
        <w:t>月</w:t>
      </w:r>
      <w:r>
        <w:rPr>
          <w:rFonts w:hint="eastAsia" w:ascii="仿宋" w:hAnsi="仿宋" w:eastAsia="仿宋" w:cs="仿宋"/>
          <w:bCs/>
          <w:color w:val="auto"/>
          <w:sz w:val="32"/>
          <w:szCs w:val="32"/>
          <w:highlight w:val="none"/>
          <w:u w:val="single"/>
          <w:lang w:val="en-US" w:eastAsia="zh-CN"/>
        </w:rPr>
        <w:t>19</w:t>
      </w:r>
      <w:r>
        <w:rPr>
          <w:rFonts w:hint="eastAsia" w:ascii="仿宋" w:hAnsi="仿宋" w:eastAsia="仿宋" w:cs="仿宋"/>
          <w:bCs/>
          <w:color w:val="auto"/>
          <w:sz w:val="32"/>
          <w:szCs w:val="32"/>
          <w:highlight w:val="none"/>
          <w:u w:val="single"/>
        </w:rPr>
        <w:t>日</w:t>
      </w:r>
      <w:r>
        <w:rPr>
          <w:rFonts w:hint="eastAsia" w:ascii="仿宋" w:hAnsi="仿宋" w:eastAsia="仿宋" w:cs="仿宋"/>
          <w:bCs/>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val="en-US" w:eastAsia="zh-CN"/>
        </w:rPr>
        <w:t>9</w:t>
      </w:r>
      <w:r>
        <w:rPr>
          <w:rFonts w:hint="eastAsia" w:ascii="仿宋" w:hAnsi="仿宋" w:eastAsia="仿宋" w:cs="仿宋"/>
          <w:bCs/>
          <w:color w:val="auto"/>
          <w:sz w:val="32"/>
          <w:szCs w:val="32"/>
          <w:highlight w:val="none"/>
          <w:u w:val="single"/>
        </w:rPr>
        <w:t>时</w:t>
      </w:r>
      <w:r>
        <w:rPr>
          <w:rFonts w:hint="eastAsia" w:ascii="仿宋" w:hAnsi="仿宋" w:eastAsia="仿宋" w:cs="仿宋"/>
          <w:bCs/>
          <w:color w:val="auto"/>
          <w:sz w:val="32"/>
          <w:szCs w:val="32"/>
          <w:highlight w:val="none"/>
          <w:u w:val="single"/>
          <w:lang w:val="en-US" w:eastAsia="zh-CN"/>
        </w:rPr>
        <w:t>30</w:t>
      </w:r>
      <w:r>
        <w:rPr>
          <w:rFonts w:hint="eastAsia" w:ascii="仿宋" w:hAnsi="仿宋" w:eastAsia="仿宋" w:cs="仿宋"/>
          <w:bCs/>
          <w:color w:val="auto"/>
          <w:sz w:val="32"/>
          <w:szCs w:val="32"/>
          <w:highlight w:val="none"/>
          <w:u w:val="single"/>
        </w:rPr>
        <w:t>分。</w:t>
      </w:r>
    </w:p>
    <w:p>
      <w:pPr>
        <w:spacing w:line="400" w:lineRule="exact"/>
        <w:ind w:firstLine="640" w:firstLineChars="200"/>
        <w:jc w:val="left"/>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00" w:lineRule="exact"/>
        <w:ind w:firstLine="640" w:firstLineChars="200"/>
        <w:jc w:val="left"/>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6.4纸质投标文件提交地点：长葛市公共资源交易中心（长葛市葛天大道东段商务区6号楼</w:t>
      </w:r>
      <w:r>
        <w:rPr>
          <w:rFonts w:hint="eastAsia" w:ascii="仿宋" w:hAnsi="仿宋" w:eastAsia="仿宋" w:cs="仿宋"/>
          <w:bCs/>
          <w:color w:val="auto"/>
          <w:sz w:val="32"/>
          <w:szCs w:val="32"/>
          <w:highlight w:val="none"/>
          <w:u w:val="single"/>
          <w:lang w:val="en-US" w:eastAsia="zh-CN"/>
        </w:rPr>
        <w:t xml:space="preserve"> 4 </w:t>
      </w:r>
      <w:r>
        <w:rPr>
          <w:rFonts w:hint="eastAsia" w:ascii="仿宋" w:hAnsi="仿宋" w:eastAsia="仿宋" w:cs="仿宋"/>
          <w:bCs/>
          <w:color w:val="auto"/>
          <w:sz w:val="32"/>
          <w:szCs w:val="32"/>
          <w:highlight w:val="none"/>
          <w:u w:val="none"/>
          <w:lang w:val="en-US" w:eastAsia="zh-CN"/>
        </w:rPr>
        <w:t>楼</w:t>
      </w:r>
      <w:r>
        <w:rPr>
          <w:rFonts w:hint="eastAsia" w:ascii="仿宋" w:hAnsi="仿宋" w:eastAsia="仿宋" w:cs="仿宋"/>
          <w:bCs/>
          <w:color w:val="auto"/>
          <w:sz w:val="32"/>
          <w:szCs w:val="32"/>
          <w:highlight w:val="none"/>
        </w:rPr>
        <w:t>开标</w:t>
      </w:r>
      <w:r>
        <w:rPr>
          <w:rFonts w:hint="eastAsia" w:ascii="仿宋" w:hAnsi="仿宋" w:eastAsia="仿宋" w:cs="仿宋"/>
          <w:bCs/>
          <w:color w:val="auto"/>
          <w:sz w:val="32"/>
          <w:szCs w:val="32"/>
          <w:highlight w:val="none"/>
          <w:u w:val="single"/>
          <w:lang w:val="en-US" w:eastAsia="zh-CN"/>
        </w:rPr>
        <w:t xml:space="preserve"> 二  </w:t>
      </w:r>
      <w:r>
        <w:rPr>
          <w:rFonts w:hint="eastAsia" w:ascii="仿宋" w:hAnsi="仿宋" w:eastAsia="仿宋" w:cs="仿宋"/>
          <w:bCs/>
          <w:color w:val="auto"/>
          <w:sz w:val="32"/>
          <w:szCs w:val="32"/>
          <w:highlight w:val="none"/>
        </w:rPr>
        <w:t>室）。</w:t>
      </w:r>
    </w:p>
    <w:p>
      <w:pPr>
        <w:spacing w:line="400" w:lineRule="exact"/>
        <w:ind w:firstLine="640" w:firstLineChars="200"/>
        <w:jc w:val="left"/>
        <w:outlineLvl w:val="1"/>
        <w:rPr>
          <w:rFonts w:hint="eastAsia"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6.5逾期送达的或未按照招标文件要求密封的纸质投标文件、及仅提供纸质投标文件的，招标人不予受理。</w:t>
      </w:r>
    </w:p>
    <w:p>
      <w:pPr>
        <w:spacing w:line="400" w:lineRule="exact"/>
        <w:ind w:firstLine="643" w:firstLineChars="200"/>
        <w:jc w:val="left"/>
        <w:outlineLvl w:val="1"/>
        <w:rPr>
          <w:rFonts w:hint="eastAsia" w:ascii="黑体" w:hAnsi="黑体" w:eastAsia="黑体" w:cs="黑体"/>
          <w:b/>
          <w:color w:val="auto"/>
          <w:sz w:val="32"/>
          <w:szCs w:val="32"/>
          <w:highlight w:val="none"/>
        </w:rPr>
      </w:pPr>
      <w:bookmarkStart w:id="28" w:name="_Toc6213"/>
      <w:bookmarkStart w:id="29" w:name="_Toc397605793"/>
      <w:bookmarkStart w:id="30" w:name="_Toc397507924"/>
      <w:bookmarkStart w:id="31" w:name="_Toc397507512"/>
      <w:bookmarkStart w:id="32" w:name="_Toc464824546"/>
      <w:r>
        <w:rPr>
          <w:rFonts w:hint="eastAsia" w:ascii="黑体" w:hAnsi="黑体" w:eastAsia="黑体" w:cs="黑体"/>
          <w:b/>
          <w:color w:val="auto"/>
          <w:sz w:val="32"/>
          <w:szCs w:val="32"/>
          <w:highlight w:val="none"/>
        </w:rPr>
        <w:t>七、发布公告的媒介</w:t>
      </w:r>
      <w:bookmarkEnd w:id="28"/>
      <w:bookmarkEnd w:id="29"/>
      <w:bookmarkEnd w:id="30"/>
      <w:bookmarkEnd w:id="31"/>
      <w:bookmarkEnd w:id="32"/>
    </w:p>
    <w:p>
      <w:pPr>
        <w:spacing w:line="400" w:lineRule="exact"/>
        <w:ind w:firstLine="640" w:firstLineChars="200"/>
        <w:outlineLvl w:val="0"/>
        <w:rPr>
          <w:rFonts w:hint="eastAsia" w:ascii="仿宋" w:hAnsi="仿宋" w:eastAsia="仿宋" w:cs="仿宋"/>
          <w:bCs/>
          <w:color w:val="auto"/>
          <w:sz w:val="32"/>
          <w:szCs w:val="32"/>
          <w:highlight w:val="none"/>
        </w:rPr>
      </w:pPr>
      <w:bookmarkStart w:id="33" w:name="_Toc464824547"/>
      <w:bookmarkStart w:id="34" w:name="_Toc13976"/>
      <w:r>
        <w:rPr>
          <w:rFonts w:hint="eastAsia" w:ascii="仿宋" w:hAnsi="仿宋" w:eastAsia="仿宋" w:cs="仿宋"/>
          <w:bCs/>
          <w:color w:val="auto"/>
          <w:sz w:val="32"/>
          <w:szCs w:val="32"/>
          <w:highlight w:val="none"/>
        </w:rPr>
        <w:t>本次招标公告同时在“河南省电子招标投标公共服务平台”、“全国公共资源交易平台（河南省·许昌市）”、“长葛市人民政府门户网站”上发布。</w:t>
      </w:r>
      <w:bookmarkEnd w:id="33"/>
      <w:bookmarkEnd w:id="34"/>
      <w:bookmarkStart w:id="35" w:name="_Toc397507513"/>
      <w:bookmarkStart w:id="36" w:name="_Toc397507925"/>
      <w:bookmarkStart w:id="37" w:name="_Toc397605794"/>
    </w:p>
    <w:p>
      <w:pPr>
        <w:spacing w:line="400" w:lineRule="exact"/>
        <w:ind w:firstLine="643" w:firstLineChars="200"/>
        <w:jc w:val="left"/>
        <w:outlineLvl w:val="1"/>
        <w:rPr>
          <w:rFonts w:hint="eastAsia" w:ascii="黑体" w:hAnsi="黑体" w:eastAsia="黑体" w:cs="黑体"/>
          <w:b/>
          <w:color w:val="auto"/>
          <w:sz w:val="32"/>
          <w:szCs w:val="32"/>
          <w:highlight w:val="none"/>
        </w:rPr>
      </w:pPr>
      <w:bookmarkStart w:id="38" w:name="_Toc20000"/>
      <w:bookmarkStart w:id="39" w:name="_Toc464824548"/>
      <w:r>
        <w:rPr>
          <w:rFonts w:hint="eastAsia" w:ascii="黑体" w:hAnsi="黑体" w:eastAsia="黑体" w:cs="黑体"/>
          <w:b/>
          <w:color w:val="auto"/>
          <w:sz w:val="32"/>
          <w:szCs w:val="32"/>
          <w:highlight w:val="none"/>
        </w:rPr>
        <w:t>八、招标人及代理机构</w:t>
      </w:r>
      <w:bookmarkEnd w:id="35"/>
      <w:bookmarkEnd w:id="36"/>
      <w:bookmarkEnd w:id="37"/>
      <w:bookmarkEnd w:id="38"/>
      <w:bookmarkEnd w:id="39"/>
    </w:p>
    <w:p>
      <w:pPr>
        <w:spacing w:line="400" w:lineRule="exact"/>
        <w:ind w:firstLine="640" w:firstLineChars="200"/>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招标人：</w:t>
      </w:r>
      <w:r>
        <w:rPr>
          <w:rFonts w:hint="eastAsia" w:ascii="仿宋" w:hAnsi="仿宋" w:eastAsia="仿宋" w:cs="仿宋"/>
          <w:bCs/>
          <w:color w:val="auto"/>
          <w:sz w:val="32"/>
          <w:szCs w:val="32"/>
          <w:highlight w:val="none"/>
          <w:lang w:eastAsia="zh-CN"/>
        </w:rPr>
        <w:t>长葛市住房和城乡建设局</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联系人：时女士</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联系电话：0374-6896278</w:t>
      </w:r>
    </w:p>
    <w:p>
      <w:pPr>
        <w:spacing w:line="400" w:lineRule="exact"/>
        <w:ind w:firstLine="640" w:firstLineChars="200"/>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地址：长葛市葛天大道东段商务区6号楼</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招标代理机构：中建联勘测规划设计有限公司</w:t>
      </w:r>
    </w:p>
    <w:p>
      <w:pPr>
        <w:spacing w:line="400" w:lineRule="exact"/>
        <w:ind w:firstLine="640" w:firstLineChars="200"/>
        <w:outlineLvl w:val="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项目联系人：</w:t>
      </w:r>
      <w:r>
        <w:rPr>
          <w:rFonts w:hint="eastAsia" w:ascii="仿宋" w:hAnsi="仿宋" w:eastAsia="仿宋" w:cs="仿宋"/>
          <w:bCs/>
          <w:color w:val="auto"/>
          <w:sz w:val="32"/>
          <w:szCs w:val="32"/>
          <w:highlight w:val="none"/>
          <w:lang w:eastAsia="zh-CN"/>
        </w:rPr>
        <w:t>魏女士</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项目联系电话：0371-87520522  </w:t>
      </w:r>
    </w:p>
    <w:p>
      <w:pPr>
        <w:spacing w:line="400" w:lineRule="exact"/>
        <w:ind w:firstLine="640" w:firstLineChars="200"/>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地址：郑州市郑东新区正光北街王鼎国贸大厦A座12楼</w:t>
      </w:r>
    </w:p>
    <w:p>
      <w:pPr>
        <w:autoSpaceDE w:val="0"/>
        <w:autoSpaceDN w:val="0"/>
        <w:spacing w:line="400" w:lineRule="exact"/>
        <w:ind w:firstLine="643" w:firstLineChars="200"/>
        <w:jc w:val="left"/>
        <w:outlineLvl w:val="0"/>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九、特别提示：</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00" w:lineRule="exact"/>
        <w:ind w:firstLine="64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32"/>
          <w:szCs w:val="32"/>
          <w:highlight w:val="none"/>
        </w:rPr>
        <w:t>2.各投标人对代理公司提供的服务不满意，或认为代理公司在服务过程中有不当行为的，可致电长葛市公共资源交易管理委员会办公室监管股（0374-6189576），经查实后将按规定作出处理。</w:t>
      </w:r>
    </w:p>
    <w:p>
      <w:pPr>
        <w:autoSpaceDE w:val="0"/>
        <w:autoSpaceDN w:val="0"/>
        <w:spacing w:line="400" w:lineRule="exact"/>
        <w:ind w:firstLine="643" w:firstLineChars="200"/>
        <w:jc w:val="left"/>
        <w:outlineLvl w:val="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温馨提示：</w:t>
      </w:r>
    </w:p>
    <w:p>
      <w:pPr>
        <w:autoSpaceDE w:val="0"/>
        <w:autoSpaceDN w:val="0"/>
        <w:spacing w:line="400" w:lineRule="exact"/>
        <w:ind w:firstLine="643" w:firstLineChars="200"/>
        <w:jc w:val="left"/>
        <w:outlineLvl w:val="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本项目为全流程电子化交易项目，请认真阅读招标文件，并注意以下事项。</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1.投标人应按招标文件规定下载、编制、提交电子投标文件和纸质投标文件。开、评标现场不接受投标人递交的电子投标文件和纸质投标文件以外的其他资料。</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2.电子文件下载、制作、提交期间和开标（电子投标文件的解密）环节，承包人须使用CA数字证书（证书须在有效期内）。</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3.电子投标文件的制作</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3.1 投标人登录【全国公共资源交易平台(河南省▪许昌市)】公共资源交易系统（http://221.14.6.70:8088/ggzy/）下载“许昌投标文件制作系统SEARUN V1.1”，按招标文件要求制作电子投标文件。</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电子投标文件的制作，参考【全国公共资源交易平台(河南省</w:t>
      </w:r>
      <w:r>
        <w:rPr>
          <w:rFonts w:hint="eastAsia" w:ascii="仿宋" w:hAnsi="仿宋" w:eastAsia="仿宋" w:cs="仿宋"/>
          <w:bCs/>
          <w:color w:val="auto"/>
          <w:sz w:val="32"/>
          <w:szCs w:val="32"/>
          <w:highlight w:val="none"/>
        </w:rPr>
        <w:t>·</w:t>
      </w:r>
      <w:r>
        <w:rPr>
          <w:rFonts w:hint="eastAsia" w:ascii="仿宋" w:hAnsi="仿宋" w:eastAsia="仿宋" w:cs="仿宋"/>
          <w:color w:val="auto"/>
          <w:kern w:val="0"/>
          <w:sz w:val="32"/>
          <w:szCs w:val="32"/>
          <w:highlight w:val="none"/>
        </w:rPr>
        <w:t>许昌市)】公共资源交易系统——组件下载——交易系统操作手册（投标人、供应商）。</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3.2 投标人须将招标文件要求的资质、业绩、荣誉及相关人员证明材料等资料原件扫描件（或图片）制作到所提交的电子投标文件中。</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个标段对应生成一个文件夹（xxxx项目xx标段）,其中包含2个文件和1个文件夹。后缀名为“.file”的文件用于电子投标使用，后缀名为“.PDF”的文件用于打印纸质投标文件，“备份文件夹”使用电子介质存储，供开标现场备用。</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4.电子投标文件的提交</w:t>
      </w:r>
    </w:p>
    <w:p>
      <w:pPr>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4.1电子投标文件应在招标文件规定的投标文件提交截止时间（开标时间）之前成功提交至【全国公共资源交易平台(河南省▪许昌市)】公共资源交易系统（http://221.14.6.70:8088/ggzy/）。</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投标人应充分考虑并预留技术处理和上传数据所需时间。</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4.2 投标人对同一项目多个标段进行投标的，电子投标文件应按标段分别提交。</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4.3 电子投标文件成功提交后，投标人应打印“投标文件提交回执单”，供开标现场备查。</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5.评标依据</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5.1采用全流程电子化交易评标时，评标委员会以电子投标文件为依据评标。</w:t>
      </w:r>
    </w:p>
    <w:p>
      <w:pPr>
        <w:autoSpaceDE w:val="0"/>
        <w:autoSpaceDN w:val="0"/>
        <w:spacing w:line="400" w:lineRule="exact"/>
        <w:ind w:firstLine="640" w:firstLineChars="200"/>
        <w:jc w:val="left"/>
        <w:outlineLvl w:val="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5.2全流程电子化交易如因系统异常情况无法完成，将以人工方式进行。评标委员会以纸质投标文件为依据评标。</w:t>
      </w:r>
    </w:p>
    <w:p>
      <w:pPr>
        <w:rPr>
          <w:rFonts w:hint="eastAsia" w:ascii="仿宋" w:hAnsi="仿宋" w:eastAsia="仿宋" w:cs="仿宋"/>
          <w:b/>
          <w:bCs/>
          <w:color w:val="auto"/>
          <w:sz w:val="36"/>
          <w:szCs w:val="36"/>
          <w:highlight w:val="none"/>
        </w:rPr>
      </w:pPr>
      <w:r>
        <w:rPr>
          <w:rFonts w:hint="eastAsia" w:ascii="仿宋" w:hAnsi="仿宋" w:eastAsia="仿宋" w:cs="仿宋"/>
          <w:color w:val="auto"/>
          <w:kern w:val="0"/>
          <w:sz w:val="32"/>
          <w:szCs w:val="32"/>
          <w:highlight w:val="none"/>
        </w:rPr>
        <w:br w:type="page"/>
      </w:r>
    </w:p>
    <w:p>
      <w:pPr>
        <w:pStyle w:val="25"/>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第二章投标人须知</w:t>
      </w:r>
      <w:bookmarkStart w:id="40" w:name="_Toc283559940"/>
      <w:bookmarkEnd w:id="40"/>
    </w:p>
    <w:p>
      <w:pPr>
        <w:pStyle w:val="25"/>
        <w:spacing w:line="440" w:lineRule="exact"/>
        <w:jc w:val="left"/>
        <w:rPr>
          <w:rFonts w:hint="eastAsia" w:ascii="仿宋" w:hAnsi="仿宋" w:eastAsia="仿宋" w:cs="仿宋"/>
          <w:b/>
          <w:bCs/>
          <w:color w:val="auto"/>
          <w:sz w:val="36"/>
          <w:szCs w:val="36"/>
          <w:highlight w:val="none"/>
        </w:rPr>
      </w:pPr>
      <w:r>
        <w:rPr>
          <w:rFonts w:hint="eastAsia" w:ascii="仿宋" w:hAnsi="仿宋" w:eastAsia="仿宋" w:cs="仿宋"/>
          <w:b/>
          <w:bCs/>
          <w:color w:val="auto"/>
          <w:sz w:val="21"/>
          <w:szCs w:val="21"/>
          <w:highlight w:val="none"/>
        </w:rPr>
        <w:t>投标人须知前附表</w:t>
      </w:r>
    </w:p>
    <w:tbl>
      <w:tblPr>
        <w:tblStyle w:val="13"/>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8"/>
        <w:gridCol w:w="6"/>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款 名 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招标编号</w:t>
            </w:r>
          </w:p>
        </w:tc>
        <w:tc>
          <w:tcPr>
            <w:tcW w:w="6470" w:type="dxa"/>
            <w:tcBorders>
              <w:top w:val="single" w:color="auto" w:sz="4" w:space="0"/>
              <w:left w:val="nil"/>
              <w:bottom w:val="single" w:color="auto" w:sz="4" w:space="0"/>
              <w:right w:val="single" w:color="auto" w:sz="4" w:space="0"/>
            </w:tcBorders>
            <w:vAlign w:val="center"/>
          </w:tcPr>
          <w:p>
            <w:pPr>
              <w:spacing w:line="38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长交建【2019】GZ</w:t>
            </w:r>
            <w:r>
              <w:rPr>
                <w:rFonts w:hint="eastAsia" w:ascii="仿宋" w:hAnsi="仿宋" w:eastAsia="仿宋" w:cs="仿宋"/>
                <w:color w:val="auto"/>
                <w:sz w:val="24"/>
                <w:szCs w:val="24"/>
                <w:highlight w:val="none"/>
                <w:lang w:val="en-US" w:eastAsia="zh-CN"/>
              </w:rPr>
              <w:t>087</w:t>
            </w:r>
            <w:r>
              <w:rPr>
                <w:rFonts w:hint="eastAsia" w:ascii="仿宋" w:hAnsi="仿宋" w:eastAsia="仿宋" w:cs="仿宋"/>
                <w:color w:val="auto"/>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招标人：长葛市住房和城乡建设局</w:t>
            </w:r>
          </w:p>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联系人：时女士</w:t>
            </w:r>
          </w:p>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联系电话：0374-6896278</w:t>
            </w:r>
          </w:p>
          <w:p>
            <w:pPr>
              <w:autoSpaceDE w:val="0"/>
              <w:autoSpaceDN w:val="0"/>
              <w:spacing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地址：长葛市葛天大道东段商务区6号楼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1.1.3</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招标代理机构</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代理机构：中建联勘测规划设计有限公司</w:t>
            </w:r>
          </w:p>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址：郑州市郑东新区正光北街王鼎国贸大厦A座12楼</w:t>
            </w:r>
          </w:p>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 系 人：魏女士</w:t>
            </w:r>
          </w:p>
          <w:p>
            <w:pPr>
              <w:autoSpaceDE w:val="0"/>
              <w:autoSpaceDN w:val="0"/>
              <w:spacing w:line="3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联系电话：0371-87520522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1.1.4</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长葛市黄河路（人民路-魏武大道）中修铺油工程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1.1.5</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建设地点</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起点为人民路，起点桩号</w:t>
            </w:r>
            <w:r>
              <w:rPr>
                <w:rFonts w:hint="eastAsia" w:ascii="仿宋" w:hAnsi="仿宋" w:eastAsia="仿宋" w:cs="仿宋"/>
                <w:color w:val="auto"/>
                <w:sz w:val="24"/>
                <w:szCs w:val="24"/>
                <w:highlight w:val="none"/>
                <w:lang w:val="en-US" w:eastAsia="zh-CN"/>
              </w:rPr>
              <w:t>K0+000,终点为魏武路，桩号K4+060.455.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1.1.6</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项目概况</w:t>
            </w:r>
          </w:p>
        </w:tc>
        <w:tc>
          <w:tcPr>
            <w:tcW w:w="6470"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长葛市黄河路（人民路-魏武大道）中修铺油工程，现状为一条东西向沥青路，</w:t>
            </w:r>
            <w:r>
              <w:rPr>
                <w:rFonts w:hint="eastAsia" w:ascii="仿宋" w:hAnsi="仿宋" w:eastAsia="仿宋" w:cs="仿宋"/>
                <w:color w:val="auto"/>
                <w:sz w:val="24"/>
                <w:szCs w:val="24"/>
                <w:highlight w:val="none"/>
                <w:lang w:val="en-US" w:eastAsia="zh-CN"/>
              </w:rPr>
              <w:t>起点为人民路，起点桩号K0+000,终点为魏武路，桩号K4+060.455，工程</w:t>
            </w:r>
            <w:r>
              <w:rPr>
                <w:rFonts w:hint="eastAsia" w:ascii="仿宋" w:hAnsi="仿宋" w:eastAsia="仿宋" w:cs="仿宋"/>
                <w:color w:val="auto"/>
                <w:sz w:val="24"/>
                <w:szCs w:val="24"/>
                <w:highlight w:val="none"/>
                <w:lang w:eastAsia="zh-CN"/>
              </w:rPr>
              <w:t>全长约</w:t>
            </w:r>
            <w:r>
              <w:rPr>
                <w:rFonts w:hint="eastAsia" w:ascii="仿宋" w:hAnsi="仿宋" w:eastAsia="仿宋" w:cs="仿宋"/>
                <w:color w:val="auto"/>
                <w:sz w:val="24"/>
                <w:szCs w:val="24"/>
                <w:highlight w:val="none"/>
                <w:lang w:val="en-US" w:eastAsia="zh-CN"/>
              </w:rPr>
              <w:t>4060米，本项目为改建工程，主要对现状机动车道及非机动车道沥青路面进行铣刨覆浇改造。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资金来源及出资比例</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资金落实情况</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本项目施工内容建设阶段及完善阶段全过程监理服务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监理服务期</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本项目第1标段</w:t>
            </w:r>
            <w:r>
              <w:rPr>
                <w:rFonts w:hint="eastAsia" w:ascii="仿宋" w:hAnsi="仿宋" w:eastAsia="仿宋" w:cs="仿宋"/>
                <w:color w:val="auto"/>
                <w:sz w:val="24"/>
                <w:szCs w:val="24"/>
                <w:highlight w:val="none"/>
              </w:rPr>
              <w:t>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投标人资质条件、能力、信誉</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1、投标人须具备独立法人资格，并具备建设行政主管部门颁发的工程监理综合资质或市政公用工程监理专业乙级或以上资质；</w:t>
            </w:r>
          </w:p>
          <w:p>
            <w:pPr>
              <w:autoSpaceDE w:val="0"/>
              <w:autoSpaceDN w:val="0"/>
              <w:spacing w:line="460" w:lineRule="exact"/>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2、拟派项目总监理工程师须具备市政公用工程专业注册监理工程师资格。</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本次招标不接受联合体投标，不得转包、挂靠及违法分包。</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2422"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投标人不得存在的其他情形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投标预备会</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w:t>
            </w:r>
          </w:p>
        </w:tc>
        <w:tc>
          <w:tcPr>
            <w:tcW w:w="2422" w:type="dxa"/>
            <w:gridSpan w:val="3"/>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招标文件澄清发出的形式</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投标截止时间15日前，在【全国公共资源交易平台（河南省•许昌市）】上发出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招标文件的下载</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招标文件的获取：投标人于投标文件递交截止时间前均可登录【全国公共资源交易平台(河南省▪许昌市)】，通过“投标人/供应商登录”后自行下载。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8" w:type="dxa"/>
            <w:vMerge w:val="restart"/>
            <w:tcBorders>
              <w:top w:val="nil"/>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422" w:type="dxa"/>
            <w:gridSpan w:val="3"/>
            <w:vMerge w:val="restart"/>
            <w:tcBorders>
              <w:top w:val="nil"/>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投标人要求澄清招标文件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8" w:type="dxa"/>
            <w:vMerge w:val="continue"/>
            <w:tcBorders>
              <w:top w:val="nil"/>
              <w:left w:val="single" w:color="auto" w:sz="4" w:space="0"/>
              <w:bottom w:val="single" w:color="auto" w:sz="4" w:space="0"/>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2422" w:type="dxa"/>
            <w:gridSpan w:val="3"/>
            <w:vMerge w:val="continue"/>
            <w:tcBorders>
              <w:top w:val="nil"/>
              <w:left w:val="nil"/>
              <w:bottom w:val="single" w:color="auto" w:sz="4" w:space="0"/>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形式：在【全国公共资源交易平台（河南省•许昌市）】上提出。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招标文件澄清回复发出的形式</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招标人应当自收到异议之日起3日内在【全国公共资源交易平台（河南省•许昌市）】上作出答复。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投标人确认收到招标文件澄清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p>
        </w:tc>
        <w:tc>
          <w:tcPr>
            <w:tcW w:w="2422"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招标文件修改发出的形式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投标人确认收到招标文件修改</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构成投标文件的其他材料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（1）投标人认为其它需要补充的内容</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自投标截止时间起60日历天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470" w:type="dxa"/>
            <w:tcBorders>
              <w:top w:val="single" w:color="auto" w:sz="4" w:space="0"/>
              <w:left w:val="nil"/>
              <w:bottom w:val="single" w:color="auto" w:sz="4" w:space="0"/>
              <w:right w:val="single" w:color="auto" w:sz="4" w:space="0"/>
            </w:tcBorders>
          </w:tcPr>
          <w:p>
            <w:pPr>
              <w:spacing w:line="460" w:lineRule="exact"/>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1.投标保证金递交截止时间：同投标截止时间。</w:t>
            </w:r>
          </w:p>
          <w:p>
            <w:pPr>
              <w:spacing w:line="460" w:lineRule="exact"/>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2.金额：</w:t>
            </w:r>
            <w:r>
              <w:rPr>
                <w:rFonts w:hint="eastAsia" w:ascii="仿宋" w:hAnsi="仿宋" w:eastAsia="仿宋" w:cs="仿宋"/>
                <w:b w:val="0"/>
                <w:bCs w:val="0"/>
                <w:color w:val="auto"/>
                <w:sz w:val="24"/>
                <w:szCs w:val="24"/>
                <w:highlight w:val="none"/>
                <w:lang w:val="en-US" w:eastAsia="zh-CN"/>
              </w:rPr>
              <w:t>第2标段</w:t>
            </w:r>
            <w:r>
              <w:rPr>
                <w:rFonts w:hint="eastAsia" w:ascii="仿宋" w:hAnsi="仿宋" w:eastAsia="仿宋" w:cs="仿宋"/>
                <w:b w:val="0"/>
                <w:bCs w:val="0"/>
                <w:color w:val="auto"/>
                <w:sz w:val="24"/>
                <w:szCs w:val="24"/>
                <w:highlight w:val="none"/>
                <w:lang w:eastAsia="zh-CN"/>
              </w:rPr>
              <w:t>人民币：</w:t>
            </w:r>
            <w:r>
              <w:rPr>
                <w:rFonts w:hint="eastAsia" w:ascii="仿宋" w:hAnsi="仿宋" w:eastAsia="仿宋" w:cs="仿宋"/>
                <w:b w:val="0"/>
                <w:bCs w:val="0"/>
                <w:color w:val="auto"/>
                <w:sz w:val="24"/>
                <w:szCs w:val="24"/>
                <w:highlight w:val="none"/>
                <w:lang w:val="en-US" w:eastAsia="zh-CN"/>
              </w:rPr>
              <w:t>陆仟贰佰</w:t>
            </w:r>
            <w:r>
              <w:rPr>
                <w:rFonts w:hint="eastAsia" w:ascii="仿宋" w:hAnsi="仿宋" w:eastAsia="仿宋" w:cs="仿宋"/>
                <w:b w:val="0"/>
                <w:bCs w:val="0"/>
                <w:color w:val="auto"/>
                <w:sz w:val="24"/>
                <w:szCs w:val="24"/>
                <w:highlight w:val="none"/>
                <w:lang w:eastAsia="zh-CN"/>
              </w:rPr>
              <w:t>元整（￥</w:t>
            </w:r>
            <w:r>
              <w:rPr>
                <w:rFonts w:hint="eastAsia" w:ascii="仿宋" w:hAnsi="仿宋" w:eastAsia="仿宋" w:cs="仿宋"/>
                <w:b w:val="0"/>
                <w:bCs w:val="0"/>
                <w:color w:val="auto"/>
                <w:sz w:val="24"/>
                <w:szCs w:val="24"/>
                <w:highlight w:val="none"/>
                <w:lang w:val="en-US" w:eastAsia="zh-CN"/>
              </w:rPr>
              <w:t>6200</w:t>
            </w:r>
            <w:r>
              <w:rPr>
                <w:rFonts w:hint="eastAsia" w:ascii="仿宋" w:hAnsi="仿宋" w:eastAsia="仿宋" w:cs="仿宋"/>
                <w:b w:val="0"/>
                <w:bCs w:val="0"/>
                <w:color w:val="auto"/>
                <w:sz w:val="24"/>
                <w:szCs w:val="24"/>
                <w:highlight w:val="none"/>
                <w:lang w:eastAsia="zh-CN"/>
              </w:rPr>
              <w:t>.00）</w:t>
            </w:r>
          </w:p>
          <w:p>
            <w:pPr>
              <w:spacing w:line="460" w:lineRule="exact"/>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3.递交方式：银行转账、银行电汇（均需从投标人的基本账户汇出），不接受以现金方式缴纳的投标保证金。凡以现金方式缴纳投标保证金而影响其投标结果的，由投标人自行负责。</w:t>
            </w:r>
          </w:p>
          <w:p>
            <w:pPr>
              <w:spacing w:line="460" w:lineRule="exact"/>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4.基本户备案：自文件发布之日起，投标人需进行基本户备案；已备案的基本户，其开户银行及账户发生变化的，须在投标保证金缴纳前办理变更手续。</w:t>
            </w:r>
          </w:p>
          <w:p>
            <w:pPr>
              <w:spacing w:line="460" w:lineRule="exact"/>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5.其他事项详见本招标文件投标人须知。</w:t>
            </w:r>
          </w:p>
          <w:p>
            <w:pPr>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eastAsia="zh-CN"/>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2422" w:type="dxa"/>
            <w:gridSpan w:val="3"/>
            <w:tcBorders>
              <w:top w:val="single" w:color="auto" w:sz="4" w:space="0"/>
              <w:left w:val="nil"/>
              <w:bottom w:val="single" w:color="auto" w:sz="4" w:space="0"/>
              <w:right w:val="single" w:color="auto" w:sz="4" w:space="0"/>
            </w:tcBorders>
            <w:vAlign w:val="center"/>
          </w:tcPr>
          <w:p>
            <w:pPr>
              <w:pStyle w:val="22"/>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资格审查资料的特殊要求</w:t>
            </w:r>
          </w:p>
        </w:tc>
        <w:tc>
          <w:tcPr>
            <w:tcW w:w="6470" w:type="dxa"/>
            <w:tcBorders>
              <w:top w:val="single" w:color="auto" w:sz="4" w:space="0"/>
              <w:left w:val="nil"/>
              <w:bottom w:val="single" w:color="auto" w:sz="4" w:space="0"/>
              <w:right w:val="single" w:color="auto" w:sz="4" w:space="0"/>
            </w:tcBorders>
            <w:vAlign w:val="center"/>
          </w:tcPr>
          <w:p>
            <w:pPr>
              <w:pStyle w:val="22"/>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pPr>
              <w:pStyle w:val="22"/>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w:t>
            </w:r>
          </w:p>
        </w:tc>
        <w:tc>
          <w:tcPr>
            <w:tcW w:w="2422" w:type="dxa"/>
            <w:gridSpan w:val="3"/>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是否允许递交备选投标方案</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纸质投标文件：正本按招标文件要求签字盖章（无需逐页签字盖章），副本应与正本保持一致（可为正本的复印件）。正本与副本不一致的，以正本为准。</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投标文件副本份数及其他要求</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1、电子投标文件</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（1）成功上传至【全国公共资源交易平台（河南省·许昌市）】公共资源交易系统电子投标文件1份（文件格式为：XX公司XXX项目编号.file）。</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（2）使用电子介质存储的投标文件1份文件格式为：xxx公司XXX（项目编号）.bin）。</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2、纸质投标文件</w:t>
            </w:r>
          </w:p>
          <w:p>
            <w:pPr>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正本1份，副本</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份；</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3、电子投标文件和纸质投标文件的内容、格式、水印码、电子签章应一致。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投标文件是否需分册装订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不需要，不分册装订，投标文件采用</w:t>
            </w:r>
            <w:r>
              <w:rPr>
                <w:rFonts w:hint="eastAsia" w:ascii="仿宋" w:hAnsi="仿宋" w:eastAsia="仿宋" w:cs="仿宋"/>
                <w:color w:val="auto"/>
                <w:sz w:val="24"/>
                <w:szCs w:val="24"/>
                <w:highlight w:val="none"/>
                <w:u w:val="single"/>
              </w:rPr>
              <w:t>胶装</w:t>
            </w:r>
            <w:r>
              <w:rPr>
                <w:rFonts w:hint="eastAsia" w:ascii="仿宋" w:hAnsi="仿宋" w:eastAsia="仿宋" w:cs="仿宋"/>
                <w:color w:val="auto"/>
                <w:sz w:val="24"/>
                <w:szCs w:val="24"/>
                <w:highlight w:val="none"/>
              </w:rPr>
              <w:t>方式装订，装订应牢固、不易拆散和换页，不得采用活页装订。</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投标文件加密要求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封套上应载明的信息</w:t>
            </w:r>
          </w:p>
        </w:tc>
        <w:tc>
          <w:tcPr>
            <w:tcW w:w="6470" w:type="dxa"/>
            <w:tcBorders>
              <w:top w:val="single" w:color="auto" w:sz="4" w:space="0"/>
              <w:left w:val="nil"/>
              <w:bottom w:val="single" w:color="auto" w:sz="4" w:space="0"/>
              <w:right w:val="single" w:color="auto" w:sz="4" w:space="0"/>
            </w:tcBorders>
          </w:tcPr>
          <w:p>
            <w:pPr>
              <w:autoSpaceDE w:val="0"/>
              <w:autoSpaceDN w:val="0"/>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招标人名称：</w:t>
            </w:r>
          </w:p>
          <w:p>
            <w:pPr>
              <w:autoSpaceDE w:val="0"/>
              <w:autoSpaceDN w:val="0"/>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（工程名称）（标段）           </w:t>
            </w:r>
          </w:p>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u w:val="single"/>
              </w:rPr>
              <w:t xml:space="preserve">               （加盖投标人公章）</w:t>
            </w:r>
          </w:p>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 年月日时分前不得开启，不得邮寄。</w:t>
            </w:r>
          </w:p>
          <w:p>
            <w:pPr>
              <w:autoSpaceDE w:val="0"/>
              <w:autoSpaceDN w:val="0"/>
              <w:spacing w:line="3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120" w:firstLineChars="50"/>
              <w:contextualSpacing/>
              <w:rPr>
                <w:rFonts w:hint="eastAsia" w:ascii="仿宋" w:hAnsi="仿宋" w:eastAsia="仿宋" w:cs="仿宋"/>
                <w:b/>
                <w:bCs/>
                <w:color w:val="FF0000"/>
                <w:sz w:val="24"/>
                <w:szCs w:val="24"/>
                <w:highlight w:val="none"/>
              </w:rPr>
            </w:pPr>
            <w:r>
              <w:rPr>
                <w:rFonts w:hint="eastAsia" w:ascii="仿宋" w:hAnsi="仿宋" w:eastAsia="仿宋" w:cs="仿宋"/>
                <w:b/>
                <w:bCs/>
                <w:color w:val="auto"/>
                <w:sz w:val="24"/>
                <w:szCs w:val="24"/>
                <w:highlight w:val="none"/>
                <w:u w:val="single"/>
              </w:rPr>
              <w:t xml:space="preserve">2019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6</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19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9 </w:t>
            </w:r>
            <w:r>
              <w:rPr>
                <w:rFonts w:hint="eastAsia" w:ascii="仿宋" w:hAnsi="仿宋" w:eastAsia="仿宋" w:cs="仿宋"/>
                <w:b/>
                <w:bCs/>
                <w:color w:val="auto"/>
                <w:sz w:val="24"/>
                <w:szCs w:val="24"/>
                <w:highlight w:val="none"/>
              </w:rPr>
              <w:t>时</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30  </w:t>
            </w:r>
            <w:r>
              <w:rPr>
                <w:rFonts w:hint="eastAsia" w:ascii="仿宋" w:hAnsi="仿宋" w:eastAsia="仿宋" w:cs="仿宋"/>
                <w:b/>
                <w:bCs/>
                <w:color w:val="auto"/>
                <w:sz w:val="24"/>
                <w:szCs w:val="24"/>
                <w:highlight w:val="none"/>
              </w:rPr>
              <w:t>分</w:t>
            </w:r>
            <w:r>
              <w:rPr>
                <w:rFonts w:hint="eastAsia" w:ascii="仿宋" w:hAnsi="仿宋" w:eastAsia="仿宋" w:cs="仿宋"/>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递交投标文件地点</w:t>
            </w:r>
          </w:p>
        </w:tc>
        <w:tc>
          <w:tcPr>
            <w:tcW w:w="6470" w:type="dxa"/>
            <w:tcBorders>
              <w:top w:val="single" w:color="auto" w:sz="4" w:space="0"/>
              <w:left w:val="nil"/>
              <w:bottom w:val="single" w:color="auto" w:sz="4" w:space="0"/>
              <w:right w:val="single" w:color="auto" w:sz="4" w:space="0"/>
            </w:tcBorders>
            <w:vAlign w:val="bottom"/>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长葛市公共资源交易中心（长葛市葛天大道东段商务区6号楼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楼开标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二</w:t>
            </w:r>
            <w:bookmarkStart w:id="133" w:name="_GoBack"/>
            <w:bookmarkEnd w:id="133"/>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是否退还投标文件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开标时间和地点</w:t>
            </w:r>
          </w:p>
        </w:tc>
        <w:tc>
          <w:tcPr>
            <w:tcW w:w="6470" w:type="dxa"/>
            <w:tcBorders>
              <w:top w:val="single" w:color="auto" w:sz="4" w:space="0"/>
              <w:left w:val="nil"/>
              <w:bottom w:val="single" w:color="auto" w:sz="4" w:space="0"/>
              <w:right w:val="single" w:color="auto" w:sz="4" w:space="0"/>
            </w:tcBorders>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开标时间：同投标截止时间</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5.2 </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开标程序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密封情况检查：由投标人代表对投标文件的密封情况进行检查。</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6.1.1 </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评标委员会的组建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人，其中招标人代表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人，其余</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评标委员会推荐中标候选人的人数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中标候选人公示媒介及期限</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1、公示媒介：《河南省电子招标投标公共服务平台》、《全国公共资源交易平台（河南省·许昌市）》、《长葛市人民政府门户网站》</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2、公示期限：</w:t>
            </w:r>
            <w:r>
              <w:rPr>
                <w:rFonts w:hint="eastAsia" w:ascii="仿宋" w:hAnsi="仿宋" w:eastAsia="仿宋" w:cs="仿宋"/>
                <w:color w:val="auto"/>
                <w:sz w:val="24"/>
                <w:szCs w:val="24"/>
                <w:highlight w:val="none"/>
                <w:u w:val="single"/>
              </w:rPr>
              <w:t> 不少于 3</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3、排名第一的中标候选人资格核验</w:t>
            </w:r>
          </w:p>
          <w:p>
            <w:pPr>
              <w:pStyle w:val="6"/>
              <w:spacing w:before="0" w:beforeAutospacing="0" w:line="460" w:lineRule="exact"/>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1、在中标通知书发出前，招标人将中标候选人的情况在]《河南省电子招标投标公共服务平台》、《全国公共资源交易平台(河南省▪许昌市)》和《长葛市人民政府门户网站》予以公示，公示期不少于3日。</w:t>
            </w:r>
          </w:p>
          <w:p>
            <w:pPr>
              <w:pStyle w:val="6"/>
              <w:spacing w:before="0" w:beforeAutospacing="0" w:line="460" w:lineRule="exact"/>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排名第一的中标候选人资格核验：排名第一的中标候选人，应当在评标结果公示期满且无异议后的5个工作日内，其在投标文件中约定的拟任项目负责人，持以下证明材料，到项目招标单位接受资格核验：1、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pStyle w:val="6"/>
              <w:spacing w:before="0" w:beforeAutospacing="0" w:line="460" w:lineRule="exact"/>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pStyle w:val="6"/>
              <w:spacing w:before="0" w:beforeAutospacing="0" w:line="460" w:lineRule="exact"/>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招标人可以按照评标委员会提出的中标候选人名单排序依次确定其他中标候选人为中标人。依次确定其他中标候选人与招标人预期差距较大，或者对招标人明显不利的，招标人可以重新招标</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是否要求中标人提交履约保证金：要求。</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开户行：河南长葛农村商业银行股份有限公司营业部</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  名：长葛市公共资源交易中心</w:t>
            </w:r>
          </w:p>
          <w:p>
            <w:pPr>
              <w:autoSpaceDE w:val="0"/>
              <w:autoSpaceDN w:val="0"/>
              <w:spacing w:line="38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账  号：</w:t>
            </w:r>
            <w:r>
              <w:rPr>
                <w:rFonts w:hint="eastAsia" w:ascii="仿宋" w:hAnsi="仿宋" w:eastAsia="仿宋" w:cs="仿宋"/>
                <w:color w:val="auto"/>
                <w:sz w:val="24"/>
                <w:szCs w:val="24"/>
                <w:highlight w:val="none"/>
                <w:lang w:val="en-US" w:eastAsia="zh-CN"/>
              </w:rPr>
              <w:t>13201001800000552</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履约担保的形式：基本户转账，中标人在签订合同前提交。</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履约担保的金额：中标金额的10%。</w:t>
            </w:r>
          </w:p>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中标人无正当理由不与招标人订立合同，在签订合同时向招标人提出附加条件，或者不按照招标文件要求提交履约保证金的，取消其中标资格，投标保证金不予退还。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422"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是否采用电子招标投标</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p>
        </w:tc>
        <w:tc>
          <w:tcPr>
            <w:tcW w:w="2422"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w:t>
            </w:r>
          </w:p>
        </w:tc>
        <w:tc>
          <w:tcPr>
            <w:tcW w:w="6470" w:type="dxa"/>
            <w:tcBorders>
              <w:top w:val="single" w:color="auto" w:sz="4" w:space="0"/>
              <w:left w:val="nil"/>
              <w:bottom w:val="single" w:color="auto" w:sz="4" w:space="0"/>
              <w:right w:val="single" w:color="auto" w:sz="4" w:space="0"/>
            </w:tcBorders>
            <w:vAlign w:val="center"/>
          </w:tcPr>
          <w:p>
            <w:pPr>
              <w:pStyle w:val="25"/>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类似项目指201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年1月1日以来监理过</w:t>
            </w:r>
            <w:r>
              <w:rPr>
                <w:rFonts w:hint="eastAsia" w:ascii="仿宋" w:hAnsi="仿宋" w:eastAsia="仿宋" w:cs="仿宋"/>
                <w:color w:val="auto"/>
                <w:sz w:val="24"/>
                <w:szCs w:val="24"/>
                <w:highlight w:val="none"/>
                <w:lang w:eastAsia="zh-CN"/>
              </w:rPr>
              <w:t>类似</w:t>
            </w:r>
            <w:r>
              <w:rPr>
                <w:rFonts w:hint="eastAsia" w:ascii="仿宋" w:hAnsi="仿宋" w:eastAsia="仿宋" w:cs="仿宋"/>
                <w:color w:val="auto"/>
                <w:sz w:val="24"/>
                <w:szCs w:val="24"/>
                <w:highlight w:val="none"/>
              </w:rPr>
              <w:t>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第1标段：30276693.55</w:t>
            </w:r>
            <w:r>
              <w:rPr>
                <w:rFonts w:hint="eastAsia" w:ascii="仿宋" w:hAnsi="仿宋" w:eastAsia="仿宋" w:cs="仿宋"/>
                <w:b/>
                <w:bCs/>
                <w:color w:val="auto"/>
                <w:sz w:val="24"/>
                <w:szCs w:val="24"/>
                <w:highlight w:val="none"/>
              </w:rPr>
              <w:t>元；</w:t>
            </w:r>
          </w:p>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第2标段：314762.96元；</w:t>
            </w:r>
          </w:p>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招标控制价由招标人依据国家计价规范、《河南省建设工程工程量清单招标控制价管理规定》、河南省现行计价依据的规定编制。</w:t>
            </w:r>
          </w:p>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rPr>
            </w:pPr>
            <w:bookmarkStart w:id="41" w:name="_Toc13776"/>
            <w:r>
              <w:rPr>
                <w:rFonts w:hint="eastAsia" w:ascii="仿宋" w:hAnsi="仿宋" w:eastAsia="仿宋" w:cs="仿宋"/>
                <w:b/>
                <w:bCs/>
                <w:color w:val="auto"/>
                <w:sz w:val="24"/>
                <w:szCs w:val="24"/>
                <w:highlight w:val="none"/>
                <w:lang w:val="en-US" w:eastAsia="zh-CN"/>
              </w:rPr>
              <w:t>凡投标人的投标总报价高于招标控制价（不含等于“招标控制价”）的，该投标人的投标文件应予拒绝。</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spacing w:line="460" w:lineRule="exact"/>
              <w:ind w:firstLine="240" w:firstLineChars="100"/>
              <w:contextualSpacing/>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spacing w:line="460" w:lineRule="exact"/>
              <w:ind w:firstLine="480" w:firstLineChars="200"/>
              <w:contextualSpacing/>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招标人单位委派代表参加开标会议，或者作为招标人代表进入评标委员会的，须向招标代理机构出具由招标人法定代表人签字并加盖单位公章的有明确授权事项的授权函。</w:t>
            </w:r>
          </w:p>
          <w:p>
            <w:pPr>
              <w:spacing w:line="46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bookmarkStart w:id="42" w:name="_Toc225243456"/>
            <w:r>
              <w:rPr>
                <w:rFonts w:hint="eastAsia" w:ascii="仿宋" w:hAnsi="仿宋" w:eastAsia="仿宋" w:cs="仿宋"/>
                <w:b/>
                <w:bCs/>
                <w:color w:val="auto"/>
                <w:sz w:val="24"/>
                <w:szCs w:val="24"/>
                <w:highlight w:val="none"/>
              </w:rPr>
              <w:t>10.8 投标文件的拒收</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1、逾期送达的纸质投标文件或仅提供纸质投标文件的；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2、纸质投标文件、电子介质存储的投标文件未按招标文件要求密封的；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3、未按招标文件要求缴纳投标保证金的；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招标代理服务费由中标人向招标代理机构支付服务费及相关费用。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top"/>
          </w:tcPr>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4"/>
                <w:szCs w:val="24"/>
                <w:highlight w:val="none"/>
              </w:rPr>
            </w:pPr>
          </w:p>
        </w:tc>
        <w:tc>
          <w:tcPr>
            <w:tcW w:w="8744" w:type="dxa"/>
            <w:gridSpan w:val="3"/>
            <w:tcBorders>
              <w:top w:val="single" w:color="auto" w:sz="4" w:space="0"/>
              <w:left w:val="nil"/>
              <w:bottom w:val="single" w:color="auto" w:sz="4" w:space="0"/>
              <w:right w:val="single" w:color="auto" w:sz="4" w:space="0"/>
            </w:tcBorders>
            <w:vAlign w:val="top"/>
          </w:tcPr>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1、招标文件费用</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00元/套 ，售后不退；</w:t>
            </w:r>
          </w:p>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2、投标人在递交纸质投标文件时交纳招标文件费用。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89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《中华人民共和国招标投标法》第三十二条：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《中华人民共和国招标投标法》第三十三条： </w:t>
            </w:r>
            <w:r>
              <w:rPr>
                <w:rFonts w:hint="eastAsia" w:ascii="仿宋" w:hAnsi="仿宋" w:eastAsia="仿宋" w:cs="仿宋"/>
                <w:color w:val="auto"/>
                <w:sz w:val="24"/>
                <w:szCs w:val="24"/>
                <w:highlight w:val="none"/>
              </w:rPr>
              <w:t>投标人不得以低于成本的报价竞标，也不得以他人名义投标或者以其他方式弄虚作假，骗取中标。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《中华人民共和国招标投标法实施条例》第三十九条：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禁止投标人相互串通投标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有下列情形之一的，属于投标人相互串通投标：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（一）投标人之间协商投标报价等投标文件的实质性内容；</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（二）投标人之间约定中标人；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（三）投标人之间约定部分投标人放弃投标或者中标；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（四）属于同一集团、协会、商会等组织成员的投标人按照该组织要求协同投标；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（五）投标人之间为谋取中标或者排斥特定投标人而采取的其他联合行动。</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有下列情形之一的，视为投标人相互串通投标：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（一）不同投标人的投标文件由同一单位或者个人编制；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（二）不同投标人委托同一单位或者个人办理投标事宜；</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（三）不同投标人的投标文件载明的项目管理成员为同一人；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（四）不同投标人的投标文件异常一致或者投标报价呈规律性差异；</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（五）不同投标人的投标文件相互混装；</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（六）不同投标人的投标保证金从同一单位或者个人的账户转出。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《中华人民共和国招标投标法实施条例》第四十一条：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禁止招标人与投标人串通投标。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有下列情形之一的，属于招标人与投标人串通投标：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（一）招标人在开标前开启投标文件并将有关信息泄露给其他投标人;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（二）招标人直接或者间接向投标人泄露标底、评标委员会成员等信息；</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（三）招标人明示或者暗示投标人压低或者抬高投标报价；</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（四）招标人授意投标人撤换、修改投标文件；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（五）招标人明示或者暗示投标人为特定投标人中标提供方便；</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（六）招标人与投标人为谋求特定投标人中标而采取的其他串通行为。</w:t>
            </w:r>
          </w:p>
          <w:p>
            <w:pPr>
              <w:autoSpaceDE w:val="0"/>
              <w:autoSpaceDN w:val="0"/>
              <w:spacing w:line="4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《中华人民共和国招标投标法实施条例》第四十二条：</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使用通过受让或者租借等方式获取的资格、资质证书投标的，属于招标投标法第三十三条规定的以他人名义投标。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投标人有下列情形之一的，属于招标投标法第三十三条规定的以其他方式弄虚作假的行为：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（一）使用伪造、变造的许可证件；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（二）提供虚假的财务状况或者业绩；</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（三）提供虚假的项目负责人或者主要技术人员简历、劳动关系证明；</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（四）提供虚假的信用状况；</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default" w:ascii="仿宋" w:hAnsi="仿宋" w:eastAsia="仿宋" w:cs="仿宋"/>
                <w:color w:val="auto"/>
                <w:sz w:val="24"/>
                <w:szCs w:val="24"/>
                <w:highlight w:val="none"/>
                <w:lang w:val="en-US"/>
              </w:rPr>
            </w:pPr>
            <w:r>
              <w:rPr>
                <w:rFonts w:hint="eastAsia" w:ascii="仿宋" w:hAnsi="仿宋" w:eastAsia="仿宋" w:cs="仿宋"/>
                <w:b/>
                <w:bCs/>
                <w:color w:val="auto"/>
                <w:kern w:val="0"/>
                <w:sz w:val="24"/>
                <w:szCs w:val="24"/>
                <w:highlight w:val="none"/>
                <w:lang w:val="en-US" w:eastAsia="zh-CN"/>
              </w:rPr>
              <w:t>10.12.1</w:t>
            </w:r>
          </w:p>
        </w:tc>
        <w:tc>
          <w:tcPr>
            <w:tcW w:w="8738" w:type="dxa"/>
            <w:gridSpan w:val="2"/>
            <w:tcBorders>
              <w:top w:val="single" w:color="auto" w:sz="4" w:space="0"/>
              <w:left w:val="nil"/>
              <w:bottom w:val="single" w:color="auto" w:sz="4" w:space="0"/>
              <w:right w:val="single" w:color="auto" w:sz="4" w:space="0"/>
            </w:tcBorders>
            <w:vAlign w:val="center"/>
          </w:tcPr>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中标人应当按合同约定履行义务，完成中标项目。中标人不得向他人转让中标项目，也不得将中标项目肢解后分别向他人转让。</w:t>
            </w:r>
          </w:p>
          <w:p>
            <w:pPr>
              <w:autoSpaceDE w:val="0"/>
              <w:autoSpaceDN w:val="0"/>
              <w:spacing w:line="38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10.12.2</w:t>
            </w:r>
          </w:p>
        </w:tc>
        <w:tc>
          <w:tcPr>
            <w:tcW w:w="8738" w:type="dxa"/>
            <w:gridSpan w:val="2"/>
            <w:tcBorders>
              <w:top w:val="single" w:color="auto" w:sz="4" w:space="0"/>
              <w:left w:val="nil"/>
              <w:bottom w:val="single" w:color="auto" w:sz="4" w:space="0"/>
              <w:right w:val="single" w:color="auto" w:sz="4" w:space="0"/>
            </w:tcBorders>
            <w:vAlign w:val="center"/>
          </w:tcPr>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中标人无正当理由不与招标人订立合同，在签订合同时向招标人提出附加条件，或者不按照招标文件要求提交履约保证金的，取消其中标资格，投标保证金不予退还。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投标人的投标活动属于“国家发展改革委等２４部委《关于对公共资源交易领域严重失信主体开展联合惩戒的备忘录》（发改法规〔2018〕457号）”十九种行为，或《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10.12.3</w:t>
            </w:r>
          </w:p>
        </w:tc>
        <w:tc>
          <w:tcPr>
            <w:tcW w:w="8738" w:type="dxa"/>
            <w:gridSpan w:val="2"/>
            <w:tcBorders>
              <w:top w:val="single" w:color="auto" w:sz="4" w:space="0"/>
              <w:left w:val="nil"/>
              <w:bottom w:val="single" w:color="auto" w:sz="4" w:space="0"/>
              <w:right w:val="single" w:color="auto" w:sz="4" w:space="0"/>
            </w:tcBorders>
            <w:vAlign w:val="top"/>
          </w:tcPr>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3、本项目试行全流程电子化交易，如因系统异常情况无法完成，将以人工方式进行。</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5、投标人电子投标文件成功提交后，应打印“投标文件提交回执单”，供开标现场备查。</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6、投标文件制作注意事项：</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6.1  投标人登录《全国公共资源交易平台(河南省▪许昌市）》公共资源交易系统下载“许昌投标文件制作系统SEARUN V1.1”，按招标文件要求制作电子投标文件。</w:t>
            </w:r>
          </w:p>
          <w:p>
            <w:pPr>
              <w:autoSpaceDE w:val="0"/>
              <w:autoSpaceDN w:val="0"/>
              <w:spacing w:line="460" w:lineRule="exact"/>
              <w:contextualSpacing/>
              <w:jc w:val="left"/>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电子投标文件的制作，参考《全国公共资源交易平台(河南省▪许昌市)》公共资源交易系统——组件下载——交易系统操作手册（投标人、供应商）</w:t>
            </w:r>
          </w:p>
          <w:p>
            <w:pPr>
              <w:autoSpaceDE w:val="0"/>
              <w:autoSpaceDN w:val="0"/>
              <w:spacing w:line="460" w:lineRule="exact"/>
              <w:contextualSpacing/>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7.2 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color w:val="auto"/>
                <w:position w:val="6"/>
                <w:sz w:val="24"/>
                <w:szCs w:val="24"/>
                <w:highlight w:val="none"/>
              </w:rPr>
              <w:t>未尽事宜，按国家有关规定执行。</w:t>
            </w:r>
          </w:p>
        </w:tc>
      </w:tr>
    </w:tbl>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43" w:name="_Toc283559947"/>
      <w:bookmarkEnd w:id="43"/>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1. 总则</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44" w:name="_Toc144974498"/>
      <w:bookmarkEnd w:id="44"/>
      <w:bookmarkStart w:id="45" w:name="_Toc152042306"/>
      <w:bookmarkEnd w:id="45"/>
      <w:bookmarkStart w:id="46" w:name="_Toc152045530"/>
      <w:bookmarkEnd w:id="46"/>
      <w:bookmarkStart w:id="47" w:name="_Toc179632547"/>
      <w:r>
        <w:rPr>
          <w:rFonts w:hint="eastAsia" w:ascii="仿宋" w:hAnsi="仿宋" w:eastAsia="仿宋" w:cs="仿宋"/>
          <w:b/>
          <w:bCs/>
          <w:color w:val="auto"/>
          <w:sz w:val="24"/>
          <w:szCs w:val="24"/>
          <w:highlight w:val="none"/>
        </w:rPr>
        <w:t>1.1 项目概况</w:t>
      </w:r>
      <w:bookmarkEnd w:id="47"/>
      <w:r>
        <w:rPr>
          <w:rFonts w:hint="eastAsia" w:ascii="仿宋" w:hAnsi="仿宋" w:eastAsia="仿宋" w:cs="仿宋"/>
          <w:b/>
          <w:bCs/>
          <w:color w:val="auto"/>
          <w:sz w:val="24"/>
          <w:szCs w:val="24"/>
          <w:highlight w:val="none"/>
        </w:rPr>
        <w:t>（详见投标人须知前附表）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8" w:name="_Toc144974499"/>
      <w:bookmarkEnd w:id="48"/>
      <w:bookmarkStart w:id="49" w:name="_Toc152042307"/>
      <w:bookmarkEnd w:id="49"/>
      <w:bookmarkStart w:id="50" w:name="_Toc152045531"/>
      <w:bookmarkEnd w:id="50"/>
      <w:bookmarkStart w:id="51" w:name="_Toc179632548"/>
      <w:bookmarkEnd w:id="51"/>
      <w:r>
        <w:rPr>
          <w:rFonts w:hint="eastAsia" w:ascii="仿宋" w:hAnsi="仿宋" w:eastAsia="仿宋" w:cs="仿宋"/>
          <w:color w:val="auto"/>
          <w:sz w:val="24"/>
          <w:szCs w:val="24"/>
          <w:highlight w:val="none"/>
        </w:rPr>
        <w:t>1.1.1 根据《中华人民共和国招标投标法》、《中华人民共和国招标投标法实施条例》等有关 法律、法规和规章的规定，本招标项目已具备招标条件，现对监理进行招标。</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 招标人：见投标人须知前附表。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1.1.3 招标代理机构：见投标人须知前附表。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1.1.4 招标项目名称：见投标人须知前附表。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1.1.5 项目建设地点：见投标人须知前附表。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1.1.6 项目建设规模：见投标人须知前附表。</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工程项目施工预计开工日期和建设周期：见投标人须知前附表。</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1.1.8 建筑安装工程费/工程概算：见投标人须知前附表。  </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1.2招标项目的资金来源和落实情况</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1.2.1 资金来源及比例：见投标人须知前附表。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1.2.2 资金落实情况：见投标人须知前附表。</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52" w:name="_Toc152045532"/>
      <w:bookmarkEnd w:id="52"/>
      <w:bookmarkStart w:id="53" w:name="_Toc179632549"/>
      <w:bookmarkEnd w:id="53"/>
      <w:bookmarkStart w:id="54" w:name="_Toc152042308"/>
      <w:bookmarkEnd w:id="54"/>
      <w:bookmarkStart w:id="55" w:name="_Toc144974500"/>
      <w:bookmarkEnd w:id="55"/>
      <w:r>
        <w:rPr>
          <w:rFonts w:hint="eastAsia" w:ascii="仿宋" w:hAnsi="仿宋" w:eastAsia="仿宋" w:cs="仿宋"/>
          <w:b/>
          <w:bCs/>
          <w:color w:val="auto"/>
          <w:sz w:val="24"/>
          <w:szCs w:val="24"/>
          <w:highlight w:val="none"/>
        </w:rPr>
        <w:t>1.3 招标范围、监理期和质量要求</w:t>
      </w:r>
      <w:bookmarkStart w:id="56" w:name="_Toc152042310"/>
      <w:bookmarkEnd w:id="56"/>
      <w:bookmarkStart w:id="57" w:name="_Toc152045534"/>
      <w:bookmarkEnd w:id="57"/>
      <w:bookmarkStart w:id="58" w:name="_Toc144974502"/>
      <w:bookmarkEnd w:id="58"/>
      <w:bookmarkStart w:id="59" w:name="_Toc179632551"/>
      <w:bookmarkEnd w:id="59"/>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1.3.1 招标范围：见投标人须知前附表。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1.3.2 监理服务期限：见投标人须知前附表。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1.3.3 质量标准：见投标人须知前附表。</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 投标人资格要求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1.4.1 投标人应具备承担本招标项目资质条件、能力和信誉：</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（1）资质要求：见投标人须知前附表；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（2）财务要求：见投标人须知前附表；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（3）业绩要求：见投标人须知前附表；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（4）信誉要求：见投标人须知前附表；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（5）总监理工程师的资格要求： 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（6）其他主要人员要求：见投标人须知前附表。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（7）试验检测仪器设备要求：见投标人须知前附表。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（8）其他要求：见投标人须知前附表。需要提交的相关证明材料见本章第 3.5 款的规定。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投标人须知前附表规定接受联合体投标的，联合体除应符合本章第 1.4.1 项和投标人须知前附表的要求外，还应遵守以下规定：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 利义务，并承诺就中标项目向招标人承担连带责任；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 关投标均无效。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投标人不得存在下列情形之一：</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（2）与招标人存在利害关系且可能影响招标公正性；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（3）与本招标项目的其他投标人为同一个单位负责人；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（4）与本招标项目的其他投标人存在控股、管理关系；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（7）与本招标项目的代建人或招标代理机构同为一个法定代表人；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（8）与本招标项目的代建人或招标代理机构存在控股或参股关系；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（9）与本招标项目的施工承包人以及建筑材料、建筑构配件和设备供应商有隶属关系或者 其他利害关系；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（10）被依法暂停或者取消投标资格；</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（11）被责令停产停业、暂扣或者吊销许可证、暂扣或者吊销执照；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（12）进入清算程序，或被宣告破产，或其他丧失履约能力的情形；</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（13）在最近三年内发生重大监理质量问题（以相关行业主管部门的行政处罚决定或司法 机关出具的有关法律文书为准）；</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（14）被国家发改委等部门列入联合惩戒备忘录（黑名单）的；</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（15）法律法规或投标人须知前附表规定的其他情形。</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费用承担</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 保密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参与招标投标活动的各方应对招标文件和投标文件中的商业和技术等秘密保密，否则应承担相应的法律责任。</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语言文字</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招标投标文件使用的语言文字为中文。专用术语使用外文的，应附有中文注释。</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0" w:name="_bookmark28"/>
      <w:bookmarkEnd w:id="60"/>
      <w:r>
        <w:rPr>
          <w:rFonts w:hint="eastAsia" w:ascii="仿宋" w:hAnsi="仿宋" w:eastAsia="仿宋" w:cs="仿宋"/>
          <w:b/>
          <w:bCs/>
          <w:color w:val="auto"/>
          <w:sz w:val="24"/>
          <w:szCs w:val="24"/>
          <w:highlight w:val="none"/>
        </w:rPr>
        <w:t>1.8 计量单位</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所有计量均采用中华人民共和国法定计量单位。</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踏勘现场</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460" w:lineRule="exact"/>
        <w:ind w:firstLine="120" w:firstLineChars="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1.9.2 投标人踏勘现场发生的费用自理。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1.9.3 除招标人的原因外，投标人自行负责在踏勘现场中所发生的人员伤亡和财产损失。</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1.9.4 招标人在踏勘现场中介绍的工程场地和相关的周边环境情况，供投标人在编制投标文件时参考，招标人不对投标人据此作出的判断和决策负责。</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1.10 投标预备会</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投标人须知前附表规定召开投标预备会的，招标人按投标人须知前附表规定的时间和地点召开投标预备会，澄清投标人提出的问题。</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1.10.2 投标人应按投标人须知前附表规定的时间和形式将提出的问题送达招标人，以便招标人在会议期间澄清。</w:t>
      </w:r>
    </w:p>
    <w:p>
      <w:pPr>
        <w:autoSpaceDE w:val="0"/>
        <w:autoSpaceDN w:val="0"/>
        <w:spacing w:line="460" w:lineRule="exact"/>
        <w:jc w:val="left"/>
        <w:outlineLvl w:val="0"/>
        <w:rPr>
          <w:rFonts w:hint="eastAsia" w:ascii="仿宋" w:hAnsi="仿宋" w:eastAsia="仿宋" w:cs="仿宋"/>
          <w:color w:val="auto"/>
          <w:sz w:val="27"/>
          <w:szCs w:val="27"/>
          <w:highlight w:val="none"/>
        </w:rPr>
      </w:pPr>
      <w:r>
        <w:rPr>
          <w:rFonts w:hint="eastAsia" w:ascii="仿宋" w:hAnsi="仿宋" w:eastAsia="仿宋" w:cs="仿宋"/>
          <w:color w:val="auto"/>
          <w:sz w:val="24"/>
          <w:szCs w:val="24"/>
          <w:highlight w:val="none"/>
        </w:rPr>
        <w:t xml:space="preserve">   1.10.3 投标预备会后，招标人将对投标人所提问题的澄清，以投标人须知前附表规定的形式通知所有购买招标文件的投标人。该澄清内容为招标文件的组成部分。</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 分包</w:t>
      </w:r>
    </w:p>
    <w:p>
      <w:pPr>
        <w:pStyle w:val="6"/>
        <w:spacing w:before="0" w:beforeAutospacing="0" w:line="460" w:lineRule="exact"/>
        <w:rPr>
          <w:rFonts w:hint="eastAsia" w:ascii="仿宋" w:hAnsi="仿宋" w:eastAsia="仿宋" w:cs="仿宋"/>
          <w:color w:val="auto"/>
          <w:sz w:val="27"/>
          <w:szCs w:val="27"/>
          <w:highlight w:val="none"/>
        </w:rPr>
      </w:pPr>
      <w:r>
        <w:rPr>
          <w:rFonts w:hint="eastAsia" w:ascii="仿宋" w:hAnsi="仿宋" w:eastAsia="仿宋" w:cs="仿宋"/>
          <w:color w:val="auto"/>
          <w:sz w:val="24"/>
          <w:szCs w:val="24"/>
          <w:highlight w:val="none"/>
        </w:rPr>
        <w:t>本项目严禁分包。</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1.12 响应和偏差</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1.12.2 投标人应根据招标文件的要求提供投标监理大纲等内容以对招标文件作出响应。</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1.12.3 投标人须知前附表允许投标文件偏离招标文件某些要求的，偏差应当符合招标文件规定的偏差范围和幅度。</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招标文件</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1" w:name="_bookmark34"/>
      <w:bookmarkEnd w:id="61"/>
      <w:r>
        <w:rPr>
          <w:rFonts w:hint="eastAsia" w:ascii="仿宋" w:hAnsi="仿宋" w:eastAsia="仿宋" w:cs="仿宋"/>
          <w:b/>
          <w:bCs/>
          <w:color w:val="auto"/>
          <w:sz w:val="24"/>
          <w:szCs w:val="24"/>
          <w:highlight w:val="none"/>
        </w:rPr>
        <w:t>2.1  招标文件的组成</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（5）委托人要求；</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（7）投标人须知前附表规定的其他资料。</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 1.10 款、第 2.2 款和第 2.3 款对招标文件所作的澄清、修改，构成招标文件的组成部分。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招标文件的澄清</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所有澄清、答疑全部以公共资源交易系统电子平台发出的为准，不再接受书面形式的递交。</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62" w:name="_bookmark37"/>
      <w:bookmarkEnd w:id="62"/>
      <w:r>
        <w:rPr>
          <w:rFonts w:hint="eastAsia" w:ascii="仿宋" w:hAnsi="仿宋" w:eastAsia="仿宋" w:cs="仿宋"/>
          <w:color w:val="auto"/>
          <w:sz w:val="24"/>
          <w:szCs w:val="24"/>
          <w:highlight w:val="none"/>
        </w:rPr>
        <w:t>2.3 招标文件的修改</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2.3.1 在投标截止时间15天前，招标人可以通过公共资源交易系统电子平台修改招标文件，如果修改招标文件的时间距投标截止时间不足15天，相应延长投标截止时间。</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2.3.2 当招标文件（含评标、定标办法）、补充通知、答疑纪要，内容相互矛盾时，以最后发出的通知（或纪要）为准。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投标文件</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投标文件的组成</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投标文件应包括下列内容：</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（1）投标函及投标函附录；</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（2）法定代表人身份证明或授权委托书；</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（4）监理单位综合情况；</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（5）拟派本项目监理机构及主要人员；</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（6）服务承诺；</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（7）近年完成的类似项目情况；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（8）正在监理和新承接的项目情况；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（9）近年发生的诉讼及仲裁情况；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（10）投标人认为有必要的其它证明材料；</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（11）监理大纲； </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投标人在评标过程中作出的符合法律法规和招标文件规定的澄清确认，构成投标文件的组成部分。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3.1.2 投标人须知前附表规定不接受联合体投标的，或投标人没有组成联合体的，投标文件不包括本章第 3.1.1（3）目所指的联合体协议书。</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3.1.3 投标人须知前附表未要求提交投标保证金的，投标文件不包括本章第 3.1.1（4）目所指的投标保证金。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投标报价</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3.2.1 投标报价应包括国家规定的增值税税金，除投标人须知前附表另有规定外，增值税税金按一般计税方法计算。投标人应按第六章“投标文件格式”的要求在投标函中进行报价。</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3.2.2投标人的投标报价应当是在监理服务期内，在充分考虑工程性质、规模、难易程度以及工作条件等情况，并按照合同规定的范围提供全部服务所需要的费用。投标人应充分了解该项目的总体情况以及影响投标报价的其他要素。</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3.2.3 招标人设有最高投标限价的，投标人的投标报价不得超过最高投标限价，最高投标限价在投标人须知前附表中载明。</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投标有效期</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除投标人须知前附表另有规定外，投标有效期为60</w:t>
      </w:r>
      <w:r>
        <w:rPr>
          <w:rFonts w:hint="eastAsia" w:ascii="仿宋" w:hAnsi="仿宋" w:eastAsia="仿宋" w:cs="仿宋"/>
          <w:color w:val="auto"/>
          <w:sz w:val="24"/>
          <w:szCs w:val="24"/>
          <w:highlight w:val="none"/>
          <w:lang w:eastAsia="zh-CN"/>
        </w:rPr>
        <w:t>日历</w:t>
      </w:r>
      <w:r>
        <w:rPr>
          <w:rFonts w:hint="eastAsia" w:ascii="仿宋" w:hAnsi="仿宋" w:eastAsia="仿宋" w:cs="仿宋"/>
          <w:color w:val="auto"/>
          <w:sz w:val="24"/>
          <w:szCs w:val="24"/>
          <w:highlight w:val="none"/>
        </w:rPr>
        <w:t>天。</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在投标有效期内，投标人撤销投标文件的，应承担招标文件和法律规定的责任。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投标保证金</w:t>
      </w:r>
      <w:bookmarkStart w:id="63" w:name="_Toc283559961"/>
      <w:bookmarkEnd w:id="63"/>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投标保证金缴纳及退还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1、投标保证金递交截止时间及金额见投标人须知前附表。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3.4.2.</w:t>
      </w:r>
      <w:r>
        <w:rPr>
          <w:rFonts w:hint="eastAsia" w:ascii="仿宋" w:hAnsi="仿宋" w:eastAsia="仿宋" w:cs="仿宋"/>
          <w:color w:val="auto"/>
          <w:sz w:val="24"/>
          <w:szCs w:val="24"/>
          <w:highlight w:val="none"/>
          <w:lang w:eastAsia="zh-CN"/>
        </w:rPr>
        <w:t>1 投标人网上报名后，登录http://221.14.6.70:8088/ggzy系统，依次点击“会员向导”→“参与投标”→“费用缴纳说明”→“保证金缴纳说明单”，获取缴费说明单，根据每个标段的缴纳说明单在缴纳截止时间前缴纳；</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2.2 成功缴纳后重新登录前述系统，依次点击“会员向导”→“参与投标”→“保证金绑定”→“绑定”进行投标保证金绑定。</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2.4 每个投标人每个项目每个标段只有唯一缴纳账号，切勿重复缴纳或错误缴纳。</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3、未按上述规定操作引起的无效投标，由投标人自行负责。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4、汇款凭证无须备注项目编号和项目名称。</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5、出现以下情形造成的投标保证金无效，由投标人自行负责。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(1)投标保证金未从投标人的基本账户转出；</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(2)投标保证金未按照招标文件划分的标段转账。</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6、《保证金缴纳绑定操作指南》获取方法：</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登录《全国公共资源交易平台（河南省·许昌市）》系统-组件下载-《保证金缴纳绑定操作指南》。</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保证金缴纳绑定问题咨询电话:0374-2961598</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7、基本户备案</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7.1 自文件发布之日起，投标人需进行基本户备案，已备案的基本户开户银行、账户发生变化的，须在投标保证金缴纳前办理变更手续。</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 xml:space="preserve">7.2 基本户备案流程： </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7.3 因投标人的原因无法及时退还投标保证金、滞留三年以上的，投标保证金上缴同级国库。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8、投标保证金的退还：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spacing w:line="460" w:lineRule="exact"/>
        <w:ind w:firstLine="480"/>
        <w:jc w:val="left"/>
        <w:outlineLvl w:val="0"/>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eastAsia="zh-CN"/>
        </w:rPr>
        <w:t>电话：0374-</w:t>
      </w:r>
      <w:r>
        <w:rPr>
          <w:rFonts w:hint="eastAsia" w:ascii="仿宋" w:hAnsi="仿宋" w:eastAsia="仿宋" w:cs="仿宋"/>
          <w:b w:val="0"/>
          <w:bCs w:val="0"/>
          <w:color w:val="auto"/>
          <w:sz w:val="24"/>
          <w:szCs w:val="24"/>
          <w:highlight w:val="none"/>
          <w:lang w:val="en-US" w:eastAsia="zh-CN"/>
        </w:rPr>
        <w:t>6189526</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8.2 法定期限内未签订书面合同的，按照有关规定向中标人和其他中标候选人退还投标保证金及银行同期活期存款利息。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8.3 项目废标或招标人终止招标的，在此后5个工作日内退还投标保证金及银行同期活期存利息。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8.4 投标活动中出现质疑、投诉的，中标候选人、质疑人和被质疑人、投诉人和被投诉人的投标保证金暂停退还。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8.5 相关投标人有违法违规行为的项目，其投标保证金暂不退还，待行政监督部门对相关情况处置后，按照有关规定办理。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8.6 因投标人的原因无法及时退还投标（竞买）保证金、滞留三年以上的，投标（竞买）保证金上缴同级国库。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8.7退还投标保证金，除另有规定外，一般以转账方式一次性退还至投标保证金的原提交账户。</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9、特殊情况处理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室）。</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电话：0374-</w:t>
      </w:r>
      <w:r>
        <w:rPr>
          <w:rFonts w:hint="eastAsia" w:ascii="仿宋" w:hAnsi="仿宋" w:eastAsia="仿宋" w:cs="仿宋"/>
          <w:color w:val="auto"/>
          <w:sz w:val="24"/>
          <w:szCs w:val="24"/>
          <w:highlight w:val="none"/>
          <w:lang w:val="en-US" w:eastAsia="zh-CN"/>
        </w:rPr>
        <w:t>6175225</w:t>
      </w:r>
      <w:r>
        <w:rPr>
          <w:rFonts w:hint="eastAsia" w:ascii="仿宋" w:hAnsi="仿宋" w:eastAsia="仿宋" w:cs="仿宋"/>
          <w:color w:val="auto"/>
          <w:sz w:val="24"/>
          <w:szCs w:val="24"/>
          <w:highlight w:val="none"/>
          <w:lang w:eastAsia="zh-CN"/>
        </w:rPr>
        <w:t>。</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10、投标人有下列情形之一的，投标保证金不予退还：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 xml:space="preserve">10.1 中标人无正当理由不与招标人订立合同，在签订合同时向招标人提出附加条件，或者不按照招标文件要求提交履约保证金的，取消其中标资格，投标保证金不予退还。 </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 xml:space="preserve"> 投标人有违法违规行为，其投标保证金暂不退还，待行政监督部门对相关情况处置后，按照有关规定办理。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3.4.10.3 </w:t>
      </w:r>
      <w:r>
        <w:rPr>
          <w:rFonts w:hint="eastAsia" w:ascii="仿宋" w:hAnsi="仿宋" w:eastAsia="仿宋" w:cs="仿宋"/>
          <w:color w:val="auto"/>
          <w:sz w:val="24"/>
          <w:szCs w:val="24"/>
          <w:highlight w:val="none"/>
          <w:lang w:eastAsia="zh-CN"/>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 xml:space="preserve"> 相关法律、法规规定不予退还的其它情形。</w:t>
      </w:r>
    </w:p>
    <w:p>
      <w:pPr>
        <w:autoSpaceDE w:val="0"/>
        <w:autoSpaceDN w:val="0"/>
        <w:spacing w:line="460" w:lineRule="exact"/>
        <w:ind w:firstLine="482" w:firstLineChars="200"/>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 资格审查资料</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“投标人基本情况表”应附投标人营业执照副本、资质证书副本、基本账户开户许可证等材料的原件扫描件。</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近年完成的类似项目情况表”应附媒介中标（成交）公示网页截图、合同、中标通知书（或竣工备案表）的复印件，开标时提供原件备查，具体年份要求见投标人须知前附表。每张表格只填写一个项目，并标明序号。</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3.5.4被列入失信被执行人名单的投标人，其投标将被拒绝。</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招标项目开标结束后、评标开始前，招标人（或招标代理机构）对投标人信用记录进行现场查询，并将查询结果随项目开标资料一并送入评标室，由专家进行评判。</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信用信息查询记录和证据留存具体方式：经评标委员会确认的查询结果网页截图作为查询记录和证据，与其他文件一并存档。</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3.5.5“近年发生的诉讼及仲裁情况”应说明相关情况，并附法院或仲裁机构作出的判决、裁决等有关法律文书原件扫描件（或图片），具体年份要求见投标人须知前附表。</w:t>
      </w:r>
    </w:p>
    <w:p>
      <w:pPr>
        <w:autoSpaceDE w:val="0"/>
        <w:autoSpaceDN w:val="0"/>
        <w:spacing w:line="460" w:lineRule="exact"/>
        <w:ind w:firstLine="482"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3.6 备选投标方案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除投标人须知前附表规定允许外，投标人不得递交备选投标方案，否则其投标将被否决。</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投标人提供两个或两个以上投标报价，或者在投标文件中提供一个报价，但同时提供两个或两个以上监理方案的，视为提供备选方案。</w:t>
      </w:r>
    </w:p>
    <w:p>
      <w:pPr>
        <w:autoSpaceDE w:val="0"/>
        <w:autoSpaceDN w:val="0"/>
        <w:spacing w:line="460" w:lineRule="exact"/>
        <w:ind w:firstLine="482" w:firstLineChars="200"/>
        <w:jc w:val="left"/>
        <w:outlineLvl w:val="0"/>
        <w:rPr>
          <w:rFonts w:hint="eastAsia" w:ascii="仿宋" w:hAnsi="仿宋" w:eastAsia="仿宋" w:cs="仿宋"/>
          <w:b/>
          <w:bCs/>
          <w:color w:val="auto"/>
          <w:sz w:val="24"/>
          <w:szCs w:val="24"/>
          <w:highlight w:val="none"/>
        </w:rPr>
      </w:pPr>
      <w:bookmarkStart w:id="64" w:name="_bookmark46"/>
      <w:bookmarkEnd w:id="64"/>
      <w:r>
        <w:rPr>
          <w:rFonts w:hint="eastAsia" w:ascii="仿宋" w:hAnsi="仿宋" w:eastAsia="仿宋" w:cs="仿宋"/>
          <w:b/>
          <w:bCs/>
          <w:color w:val="auto"/>
          <w:sz w:val="24"/>
          <w:szCs w:val="24"/>
          <w:highlight w:val="none"/>
        </w:rPr>
        <w:t>3.7  投标文件的编制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投标文件应当对招标文件有关监理服务期限、投标有效期、招标范围等实质性内容作出响应。</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 投标人登录许昌公共资源交易系统下载“许昌投标文件制作系统SEARUN V1.1”，按招标文件要求制作电子投标文件。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 使用电子介质存储的备份文件1份。</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 同时生成与电子投标文件内容、水印码、电子签章一致的PDF文件,用于打印纸质文件。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3.7.8 纸质投标文件的正本与副本应分别装订成册，并编制目录，具体装订要求见投标人须知前附表规定。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 投标文件制作注意事项：</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3.7.9.1 投标人登录【全国公共资源交易平台（河南省•许昌市）】公共资源交易系统下载“许昌投标文件制作系统SEARUN V1.1” 和操作手册（工程项目），按招标文件要求制作投标文件。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3.7.9.2 投标文件制作技术咨询：0374-2961598。</w:t>
      </w:r>
    </w:p>
    <w:p>
      <w:pPr>
        <w:pStyle w:val="17"/>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4. 投标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5" w:name="_Toc283559962"/>
      <w:bookmarkEnd w:id="65"/>
      <w:r>
        <w:rPr>
          <w:rFonts w:hint="eastAsia" w:ascii="仿宋" w:hAnsi="仿宋" w:eastAsia="仿宋" w:cs="仿宋"/>
          <w:b/>
          <w:bCs/>
          <w:color w:val="auto"/>
          <w:sz w:val="24"/>
          <w:szCs w:val="24"/>
          <w:highlight w:val="none"/>
        </w:rPr>
        <w:t>4.1 投标文件的密封和标记</w:t>
      </w:r>
    </w:p>
    <w:p>
      <w:pPr>
        <w:spacing w:line="460" w:lineRule="exact"/>
        <w:ind w:firstLine="480" w:firstLineChars="200"/>
        <w:rPr>
          <w:rFonts w:hint="eastAsia" w:ascii="仿宋" w:hAnsi="仿宋" w:eastAsia="仿宋" w:cs="仿宋"/>
          <w:color w:val="auto"/>
          <w:sz w:val="24"/>
          <w:szCs w:val="24"/>
          <w:highlight w:val="none"/>
        </w:rPr>
      </w:pPr>
      <w:bookmarkStart w:id="66" w:name="_Toc283559963"/>
      <w:bookmarkEnd w:id="66"/>
      <w:r>
        <w:rPr>
          <w:rFonts w:hint="eastAsia" w:ascii="仿宋" w:hAnsi="仿宋" w:eastAsia="仿宋" w:cs="仿宋"/>
          <w:color w:val="auto"/>
          <w:sz w:val="24"/>
          <w:szCs w:val="24"/>
          <w:highlight w:val="none"/>
        </w:rPr>
        <w:t xml:space="preserve">4.1.1 纸质投标文件的正本、副本应分开包装，加贴封条，并在封套的封口处加盖投标人公章，密封不符合要求的不予受理。 </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4.1.2使用电子介质存储的投标文件应单独密封，加贴封条，并在封套的封口处加盖投标人公章，在投标截止时间前随纸质投标文件一并递交。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投标文件的封套上应写明的其他内容见投标人须知前附表。</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未按本章第4.1.1项或第4.1.2项或4.1.3项要求密封和加写标记的投标文件，招标人不予受理。</w:t>
      </w:r>
    </w:p>
    <w:p>
      <w:pPr>
        <w:pStyle w:val="17"/>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4.2 投标文件的递交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4.2.1投标人应在投标人须知前附表中规定的投标截止时间前成功上传电子投标文件和现场提交纸质投标文件、电子介质存储的投标文件。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投标人提交纸质投标文件及电子介质存储的投标文件地点：见投标人须知前附表。</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除投标人须知前附表另有规定外，投标人所递交的电子投标文件、纸质投标文件及电子介质存储的投标文件不予退还。</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 逾期送达的或者未送达指定地点的纸质投标文件及仅提供纸质投标文件的，招标人不予受理。</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7" w:name="_Toc283559964"/>
      <w:bookmarkEnd w:id="67"/>
      <w:r>
        <w:rPr>
          <w:rFonts w:hint="eastAsia" w:ascii="仿宋" w:hAnsi="仿宋" w:eastAsia="仿宋" w:cs="仿宋"/>
          <w:b/>
          <w:bCs/>
          <w:color w:val="auto"/>
          <w:sz w:val="24"/>
          <w:szCs w:val="24"/>
          <w:highlight w:val="none"/>
        </w:rPr>
        <w:t>4.3 投标文件的修改与撤回</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在本章第2.2.2 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投标人修改或撤回已提交纸质投标文件的书面通知应按照投标人须知前附表第3.7.3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修改的内容为投标文件的组成部分。修改的纸质投标文件应按照本章第3条、第4条规定进行编制、密封、标记和提交，并标明“修改”字样。</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17"/>
        <w:adjustRightInd/>
        <w:spacing w:line="460" w:lineRule="exact"/>
        <w:jc w:val="both"/>
        <w:outlineLvl w:val="0"/>
        <w:rPr>
          <w:rFonts w:hint="eastAsia" w:ascii="仿宋" w:hAnsi="仿宋" w:eastAsia="仿宋" w:cs="仿宋"/>
          <w:b/>
          <w:bCs/>
          <w:color w:val="auto"/>
          <w:highlight w:val="none"/>
        </w:rPr>
      </w:pPr>
      <w:bookmarkStart w:id="68" w:name="_Toc283559967"/>
      <w:bookmarkEnd w:id="68"/>
      <w:r>
        <w:rPr>
          <w:rFonts w:hint="eastAsia" w:ascii="仿宋" w:hAnsi="仿宋" w:eastAsia="仿宋" w:cs="仿宋"/>
          <w:b/>
          <w:bCs/>
          <w:color w:val="auto"/>
          <w:highlight w:val="none"/>
        </w:rPr>
        <w:t>5. 开标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69" w:name="_Toc283559968"/>
      <w:bookmarkEnd w:id="69"/>
      <w:r>
        <w:rPr>
          <w:rFonts w:hint="eastAsia" w:ascii="仿宋" w:hAnsi="仿宋" w:eastAsia="仿宋" w:cs="仿宋"/>
          <w:b/>
          <w:bCs/>
          <w:color w:val="auto"/>
          <w:sz w:val="24"/>
          <w:szCs w:val="24"/>
          <w:highlight w:val="none"/>
        </w:rPr>
        <w:t>5.1 开标时间和地点</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招标人在本章第2.2.2项规定的投标截止时间（开标时间）和投标人须知前附表规定的地点公开开标，并邀请所有投标人的法定代表人或其被授权委托人准时参加。</w:t>
      </w:r>
    </w:p>
    <w:p>
      <w:pPr>
        <w:autoSpaceDE w:val="0"/>
        <w:autoSpaceDN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5.2 </w:t>
      </w:r>
      <w:bookmarkStart w:id="70" w:name="_Toc283559970"/>
      <w:r>
        <w:rPr>
          <w:rFonts w:hint="eastAsia" w:ascii="仿宋" w:hAnsi="仿宋" w:eastAsia="仿宋" w:cs="仿宋"/>
          <w:b/>
          <w:bCs/>
          <w:color w:val="auto"/>
          <w:sz w:val="24"/>
          <w:szCs w:val="24"/>
          <w:highlight w:val="none"/>
        </w:rPr>
        <w:t>开标、解密、唱标程序</w:t>
      </w:r>
      <w:bookmarkEnd w:id="70"/>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5.2.1主持人按下列程序进行开标：</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（1）宣布投标截止时间，并公布招标人、代理机构、监督部门名称；</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（2）宣布开标纪律；</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（3）公布在投标截止时间前递交投标文件的投标人名称；</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（4）检查投标文件的密封情况；</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（5）电子投标文件解密；</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（6）宣布唱标顺序，按已定顺序唱标，唱标内容为：投标人名称、投标报价、质量目标、工期及其他内容，并记录；</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（7）现场抽取参与计算评标基准价的权重系数并宣布，同时公布最高投标限价；</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（8）投标人代表、招标人代表、监标人、记录人等有关人员在开标记录上签字确认；</w:t>
      </w:r>
    </w:p>
    <w:p>
      <w:pPr>
        <w:pStyle w:val="17"/>
        <w:adjustRightInd/>
        <w:spacing w:line="460" w:lineRule="exact"/>
        <w:ind w:firstLine="480" w:firstLineChars="20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（9）开标结束。</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 电子投标文件的解密</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5.2.2.1本项目为全流程电子化交易项目，电子投标文件采用双重加密。在投标截止时间到达后，分标段进行解密。</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(1)投标人解密：投标人使用本单位CA数字证书远程或现场进行解密。需现场使用一体机进行解密的，请在代理机构引导下进行。</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(2)代理机构解密：代理机构按电子投标文件到达交易系统的先后顺序，使用本单位CA数字证书进行再次解密。</w:t>
      </w:r>
    </w:p>
    <w:p>
      <w:pPr>
        <w:pStyle w:val="17"/>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5.2.2.2电子投标文件解密异常情况处理</w:t>
      </w:r>
    </w:p>
    <w:p>
      <w:pPr>
        <w:pStyle w:val="17"/>
        <w:adjustRightInd/>
        <w:spacing w:line="460" w:lineRule="exact"/>
        <w:ind w:firstLine="360" w:firstLineChars="150"/>
        <w:outlineLvl w:val="0"/>
        <w:rPr>
          <w:rFonts w:hint="eastAsia" w:ascii="仿宋" w:hAnsi="仿宋" w:eastAsia="仿宋" w:cs="仿宋"/>
          <w:color w:val="auto"/>
          <w:highlight w:val="none"/>
        </w:rPr>
      </w:pPr>
      <w:r>
        <w:rPr>
          <w:rFonts w:hint="eastAsia" w:ascii="仿宋" w:hAnsi="仿宋" w:eastAsia="仿宋" w:cs="仿宋"/>
          <w:color w:val="auto"/>
          <w:highlight w:val="none"/>
        </w:rPr>
        <w:t>（1）因电子交易系统异常无法解密电子投标文件的，使用纸质投标文件，以人工方式进行。</w:t>
      </w:r>
    </w:p>
    <w:p>
      <w:pPr>
        <w:pStyle w:val="17"/>
        <w:adjustRightInd/>
        <w:spacing w:line="460" w:lineRule="exact"/>
        <w:ind w:firstLine="360" w:firstLineChars="15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7"/>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6. 评标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71" w:name="_Toc283559971"/>
      <w:bookmarkEnd w:id="71"/>
      <w:r>
        <w:rPr>
          <w:rFonts w:hint="eastAsia" w:ascii="仿宋" w:hAnsi="仿宋" w:eastAsia="仿宋" w:cs="仿宋"/>
          <w:b/>
          <w:bCs/>
          <w:color w:val="auto"/>
          <w:sz w:val="24"/>
          <w:szCs w:val="24"/>
          <w:highlight w:val="none"/>
        </w:rPr>
        <w:t>6.1 评标委员会</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2" w:name="_Toc283559972"/>
      <w:bookmarkEnd w:id="72"/>
      <w:r>
        <w:rPr>
          <w:rFonts w:hint="eastAsia" w:ascii="仿宋" w:hAnsi="仿宋" w:eastAsia="仿宋" w:cs="仿宋"/>
          <w:color w:val="auto"/>
          <w:sz w:val="24"/>
          <w:szCs w:val="24"/>
          <w:highlight w:val="none"/>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6.1.2 评标委员会成员有下列情形之一的，应当回避：</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（1）投标人或投标人主要负责人的近亲属；</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（2）项目主管部门或者行政监督部门的人员；</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（3）与投标人有经济利益关系，可能影响对投标公正评审的；</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（4）曾因在招标、评标以及其他与招标投标有关活动中从事违法行为而受过行政处罚 或刑事处罚的；</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（5）与投标人有其他利害关系。</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6.2 评标原则</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73" w:name="_Toc283559973"/>
      <w:bookmarkEnd w:id="73"/>
      <w:r>
        <w:rPr>
          <w:rFonts w:hint="eastAsia" w:ascii="仿宋" w:hAnsi="仿宋" w:eastAsia="仿宋" w:cs="仿宋"/>
          <w:b/>
          <w:bCs/>
          <w:color w:val="auto"/>
          <w:sz w:val="24"/>
          <w:szCs w:val="24"/>
          <w:highlight w:val="none"/>
        </w:rPr>
        <w:t>6.3 评标</w:t>
      </w:r>
    </w:p>
    <w:p>
      <w:pPr>
        <w:pStyle w:val="17"/>
        <w:adjustRightInd/>
        <w:spacing w:line="460" w:lineRule="exact"/>
        <w:outlineLvl w:val="0"/>
        <w:rPr>
          <w:rFonts w:hint="eastAsia" w:ascii="仿宋" w:hAnsi="仿宋" w:eastAsia="仿宋" w:cs="仿宋"/>
          <w:color w:val="auto"/>
          <w:highlight w:val="none"/>
        </w:rPr>
      </w:pPr>
      <w:bookmarkStart w:id="74" w:name="_Toc283559974"/>
      <w:bookmarkEnd w:id="74"/>
      <w:r>
        <w:rPr>
          <w:rFonts w:hint="eastAsia" w:ascii="仿宋" w:hAnsi="仿宋" w:eastAsia="仿宋" w:cs="仿宋"/>
          <w:color w:val="auto"/>
          <w:highlight w:val="none"/>
        </w:rPr>
        <w:t xml:space="preserve">    6.3.1 评标委员会按照第三章“评标办法”规定的方法、评审因素、标准和程序对投标文件进行评审。第三章“评标办法”没有规定的方法、评审因素和标准，不作为评标依据。</w:t>
      </w:r>
    </w:p>
    <w:p>
      <w:pPr>
        <w:pStyle w:val="17"/>
        <w:adjustRightInd/>
        <w:spacing w:line="460" w:lineRule="exact"/>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    6.3.2 评标完成后，评标委员会应当向招标人提交书面评标报告和中标候选人名单。评标委员会推荐中标候选人的人数见投标人须知前附表</w:t>
      </w:r>
    </w:p>
    <w:p>
      <w:pPr>
        <w:pStyle w:val="17"/>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7. 合同授予</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5" w:name="_Toc283559978"/>
      <w:bookmarkEnd w:id="75"/>
      <w:r>
        <w:rPr>
          <w:rFonts w:hint="eastAsia" w:ascii="仿宋" w:hAnsi="仿宋" w:eastAsia="仿宋" w:cs="仿宋"/>
          <w:color w:val="auto"/>
          <w:sz w:val="24"/>
          <w:szCs w:val="24"/>
          <w:highlight w:val="none"/>
        </w:rPr>
        <w:t>7.1  中标候选人公示</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招标人在收到评标报告之日起 3 日内，按照投标人须知前附表规定的公示媒介和期限公示中标候选人，公示期不得少于 3 天。</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6" w:name="_bookmark62"/>
      <w:bookmarkEnd w:id="76"/>
      <w:r>
        <w:rPr>
          <w:rFonts w:hint="eastAsia" w:ascii="仿宋" w:hAnsi="仿宋" w:eastAsia="仿宋" w:cs="仿宋"/>
          <w:color w:val="auto"/>
          <w:sz w:val="24"/>
          <w:szCs w:val="24"/>
          <w:highlight w:val="none"/>
        </w:rPr>
        <w:t>7.2  评标结果异议</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投标人或者其他利害关系人对评标结果有异议的，应当在中标候选人公示期间提出。招标人将在收到异议之日起 3 日内作出答复；作出答复前，将暂停招标投标活动。</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7" w:name="_bookmark63"/>
      <w:bookmarkEnd w:id="77"/>
      <w:r>
        <w:rPr>
          <w:rFonts w:hint="eastAsia" w:ascii="仿宋" w:hAnsi="仿宋" w:eastAsia="仿宋" w:cs="仿宋"/>
          <w:color w:val="auto"/>
          <w:sz w:val="24"/>
          <w:szCs w:val="24"/>
          <w:highlight w:val="none"/>
        </w:rPr>
        <w:t>7.3  中标候选人履约能力审查</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8" w:name="_bookmark64"/>
      <w:bookmarkEnd w:id="78"/>
      <w:r>
        <w:rPr>
          <w:rFonts w:hint="eastAsia" w:ascii="仿宋" w:hAnsi="仿宋" w:eastAsia="仿宋" w:cs="仿宋"/>
          <w:color w:val="auto"/>
          <w:sz w:val="24"/>
          <w:szCs w:val="24"/>
          <w:highlight w:val="none"/>
        </w:rPr>
        <w:t>7.4  定标</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按照投标人须知前附表的规定，招标人或招标人授权的评标委员会依法确定中标人。</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9" w:name="_bookmark65"/>
      <w:bookmarkEnd w:id="79"/>
      <w:r>
        <w:rPr>
          <w:rFonts w:hint="eastAsia" w:ascii="仿宋" w:hAnsi="仿宋" w:eastAsia="仿宋" w:cs="仿宋"/>
          <w:color w:val="auto"/>
          <w:sz w:val="24"/>
          <w:szCs w:val="24"/>
          <w:highlight w:val="none"/>
        </w:rPr>
        <w:t>7.5  中标通知</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在本章第 3.3 款规定的投标有效期内，招标人以书面形式向中标人发出中标通知书，同时将中标结果通知未中标的投标人。</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0" w:name="_bookmark66"/>
      <w:bookmarkEnd w:id="80"/>
      <w:r>
        <w:rPr>
          <w:rFonts w:hint="eastAsia" w:ascii="仿宋" w:hAnsi="仿宋" w:eastAsia="仿宋" w:cs="仿宋"/>
          <w:color w:val="auto"/>
          <w:sz w:val="24"/>
          <w:szCs w:val="24"/>
          <w:highlight w:val="none"/>
        </w:rPr>
        <w:t>7.6  履约保证金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7.6.2 中标人不能按本章第 7.6.1 项要求提交履约保证金的，视为放弃中标，其投标保证金不予退还，给招标人造成的损失超过投标保证金数额的，中标人还应当对超过部分予以赔偿。</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1" w:name="_bookmark67"/>
      <w:bookmarkEnd w:id="81"/>
      <w:r>
        <w:rPr>
          <w:rFonts w:hint="eastAsia" w:ascii="仿宋" w:hAnsi="仿宋" w:eastAsia="仿宋" w:cs="仿宋"/>
          <w:color w:val="auto"/>
          <w:sz w:val="24"/>
          <w:szCs w:val="24"/>
          <w:highlight w:val="none"/>
        </w:rPr>
        <w:t>7.7 签订合同</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7.7.2 发出中标通知书后，招标人无正当理由拒签合同，或者在签订合同时向中标人提出附加条件的，招标人向中标人退还投标保证金；给中标人造成损失的，还应当赔偿损失。</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7.7.3 联合体中标的，联合体各方应当共同与招标人签订合同，就中标项目向招标人承担连带责任。</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2" w:name="_Toc283559982"/>
      <w:bookmarkEnd w:id="82"/>
      <w:r>
        <w:rPr>
          <w:rFonts w:hint="eastAsia" w:ascii="仿宋" w:hAnsi="仿宋" w:eastAsia="仿宋" w:cs="仿宋"/>
          <w:color w:val="auto"/>
          <w:sz w:val="24"/>
          <w:szCs w:val="24"/>
          <w:highlight w:val="none"/>
        </w:rPr>
        <w:t>8.纪律和监督</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3" w:name="_bookmark69"/>
      <w:bookmarkEnd w:id="83"/>
      <w:r>
        <w:rPr>
          <w:rFonts w:hint="eastAsia" w:ascii="仿宋" w:hAnsi="仿宋" w:eastAsia="仿宋" w:cs="仿宋"/>
          <w:color w:val="auto"/>
          <w:sz w:val="24"/>
          <w:szCs w:val="24"/>
          <w:highlight w:val="none"/>
        </w:rPr>
        <w:t>8.1 对招标人的纪律要求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招标人不得泄露招标投标活动中应当保密的情况和资料，不得与投标人串通损害国家利益、社会公共利益或者他人合法权益。</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4" w:name="_bookmark70"/>
      <w:bookmarkEnd w:id="84"/>
      <w:r>
        <w:rPr>
          <w:rFonts w:hint="eastAsia" w:ascii="仿宋" w:hAnsi="仿宋" w:eastAsia="仿宋" w:cs="仿宋"/>
          <w:color w:val="auto"/>
          <w:sz w:val="24"/>
          <w:szCs w:val="24"/>
          <w:highlight w:val="none"/>
        </w:rPr>
        <w:t>8.2 对投标人的纪律要求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5" w:name="_bookmark71"/>
      <w:bookmarkEnd w:id="85"/>
      <w:r>
        <w:rPr>
          <w:rFonts w:hint="eastAsia" w:ascii="仿宋" w:hAnsi="仿宋" w:eastAsia="仿宋" w:cs="仿宋"/>
          <w:color w:val="auto"/>
          <w:sz w:val="24"/>
          <w:szCs w:val="24"/>
          <w:highlight w:val="none"/>
        </w:rPr>
        <w:t>8.3 对评标委员会成员的纪律要求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6" w:name="_bookmark72"/>
      <w:bookmarkEnd w:id="86"/>
      <w:r>
        <w:rPr>
          <w:rFonts w:hint="eastAsia" w:ascii="仿宋" w:hAnsi="仿宋" w:eastAsia="仿宋" w:cs="仿宋"/>
          <w:color w:val="auto"/>
          <w:sz w:val="24"/>
          <w:szCs w:val="24"/>
          <w:highlight w:val="none"/>
        </w:rPr>
        <w:t>8.4 对与评标活动有关的工作人员的纪律要求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87" w:name="_bookmark73"/>
      <w:bookmarkEnd w:id="87"/>
      <w:r>
        <w:rPr>
          <w:rFonts w:hint="eastAsia" w:ascii="仿宋" w:hAnsi="仿宋" w:eastAsia="仿宋" w:cs="仿宋"/>
          <w:color w:val="auto"/>
          <w:sz w:val="24"/>
          <w:szCs w:val="24"/>
          <w:highlight w:val="none"/>
        </w:rPr>
        <w:t>8.5 投诉</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8.5.3投标人提起投诉应当符合《中华人民共和国招标投标法》及其实施条例、《工程建设项目招标投标活动投诉处理办法》（七部委11号令；九部委23号令于2013年3月11日修改）规定。</w:t>
      </w:r>
    </w:p>
    <w:p>
      <w:pPr>
        <w:autoSpaceDE w:val="0"/>
        <w:autoSpaceDN w:val="0"/>
        <w:spacing w:line="460" w:lineRule="exact"/>
        <w:ind w:firstLine="480" w:firstLineChars="200"/>
        <w:jc w:val="left"/>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8.5.4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7"/>
        <w:adjustRightInd/>
        <w:spacing w:line="460" w:lineRule="exact"/>
        <w:jc w:val="both"/>
        <w:outlineLvl w:val="0"/>
        <w:rPr>
          <w:rFonts w:hint="eastAsia" w:ascii="仿宋" w:hAnsi="仿宋" w:eastAsia="仿宋" w:cs="仿宋"/>
          <w:b/>
          <w:bCs/>
          <w:color w:val="auto"/>
          <w:highlight w:val="none"/>
        </w:rPr>
      </w:pPr>
      <w:bookmarkStart w:id="88" w:name="_Toc283559987"/>
      <w:bookmarkEnd w:id="88"/>
      <w:r>
        <w:rPr>
          <w:rFonts w:hint="eastAsia" w:ascii="仿宋" w:hAnsi="仿宋" w:eastAsia="仿宋" w:cs="仿宋"/>
          <w:b/>
          <w:bCs/>
          <w:color w:val="auto"/>
          <w:highlight w:val="none"/>
        </w:rPr>
        <w:t>9.  是否采用电子招标投标</w:t>
      </w:r>
    </w:p>
    <w:p>
      <w:pPr>
        <w:pStyle w:val="17"/>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   本招标项目采用电子招标投标方式。 </w:t>
      </w:r>
    </w:p>
    <w:p>
      <w:pPr>
        <w:pStyle w:val="17"/>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10. 需要补充的其他内容</w:t>
      </w:r>
    </w:p>
    <w:p>
      <w:pPr>
        <w:autoSpaceDE w:val="0"/>
        <w:autoSpaceDN w:val="0"/>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10.1需要补充的其他内容：见投标人须知前附表。</w:t>
      </w: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附件一：问题澄清通知</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问题澄清通知</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（投标人名称）：</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评标委员会对你方的投标文件进行了仔细的审查，现需你方对下列问题以书面形式予以澄 清、说明或补正：</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请将上述问题的澄清、说明或补正于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 xml:space="preserve">时前递交至           </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（详细地址）或传真至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（传真号码）或通过下载招标文件的电子招标交易平台上传。采用传真方式的，应在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时前将原件递交至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（详细地址）。</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评标委员会授权的招标人或招标代理机构：</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（签字或盖章）</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6"/>
        <w:rPr>
          <w:rFonts w:hint="eastAsia" w:ascii="仿宋" w:hAnsi="仿宋" w:eastAsia="仿宋" w:cs="仿宋"/>
          <w:color w:val="auto"/>
          <w:sz w:val="24"/>
          <w:szCs w:val="24"/>
          <w:highlight w:val="none"/>
        </w:rPr>
        <w:sectPr>
          <w:footerReference r:id="rId5" w:type="default"/>
          <w:pgSz w:w="12240" w:h="15840"/>
          <w:pgMar w:top="1400" w:right="1588" w:bottom="1247" w:left="1588" w:header="720" w:footer="720" w:gutter="0"/>
          <w:pgNumType w:start="1"/>
          <w:cols w:space="720" w:num="1"/>
          <w:docGrid w:type="lines" w:linePitch="462" w:charSpace="0"/>
        </w:sectPr>
      </w:pPr>
    </w:p>
    <w:p>
      <w:pPr>
        <w:autoSpaceDE w:val="0"/>
        <w:autoSpaceDN w:val="0"/>
        <w:adjustRightInd w:val="0"/>
        <w:spacing w:line="360" w:lineRule="auto"/>
        <w:outlineLvl w:val="0"/>
        <w:rPr>
          <w:rFonts w:hint="eastAsia" w:ascii="仿宋" w:hAnsi="仿宋" w:eastAsia="仿宋" w:cs="仿宋"/>
          <w:color w:val="auto"/>
          <w:sz w:val="24"/>
          <w:szCs w:val="24"/>
          <w:highlight w:val="none"/>
        </w:rPr>
      </w:pPr>
      <w:bookmarkStart w:id="89" w:name="_bookmark78"/>
      <w:bookmarkEnd w:id="89"/>
      <w:r>
        <w:rPr>
          <w:rFonts w:hint="eastAsia" w:ascii="仿宋" w:hAnsi="仿宋" w:eastAsia="仿宋" w:cs="仿宋"/>
          <w:color w:val="auto"/>
          <w:sz w:val="24"/>
          <w:szCs w:val="24"/>
          <w:highlight w:val="none"/>
        </w:rPr>
        <w:t>附件二：问题的澄清</w:t>
      </w:r>
    </w:p>
    <w:p>
      <w:pPr>
        <w:autoSpaceDE w:val="0"/>
        <w:autoSpaceDN w:val="0"/>
        <w:adjustRightIn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问题的澄清</w:t>
      </w:r>
    </w:p>
    <w:p>
      <w:pPr>
        <w:autoSpaceDE w:val="0"/>
        <w:autoSpaceDN w:val="0"/>
        <w:adjustRightIn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问题澄清通知（编号：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）已收悉，现澄清、说明或补正如下：</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上述问题澄清、说明或补正，不改变我方投标文件的实质性内容，构成我方投标文件的组成部分。</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wordWrap w:val="0"/>
        <w:autoSpaceDE w:val="0"/>
        <w:autoSpaceDN w:val="0"/>
        <w:adjustRightInd w:val="0"/>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spacing w:line="500" w:lineRule="exact"/>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highlight w:val="none"/>
        </w:rPr>
      </w:pPr>
    </w:p>
    <w:p>
      <w:pPr>
        <w:pStyle w:val="6"/>
        <w:rPr>
          <w:rFonts w:hint="eastAsia" w:ascii="仿宋" w:hAnsi="仿宋" w:eastAsia="仿宋" w:cs="仿宋"/>
          <w:color w:val="auto"/>
          <w:highlight w:val="none"/>
        </w:rPr>
      </w:pPr>
    </w:p>
    <w:p>
      <w:pPr>
        <w:spacing w:line="500" w:lineRule="exact"/>
        <w:jc w:val="center"/>
        <w:rPr>
          <w:rFonts w:hint="eastAsia" w:ascii="仿宋" w:hAnsi="仿宋" w:eastAsia="仿宋" w:cs="仿宋"/>
          <w:b/>
          <w:bCs/>
          <w:color w:val="auto"/>
          <w:sz w:val="32"/>
          <w:szCs w:val="32"/>
          <w:highlight w:val="none"/>
        </w:rPr>
      </w:pPr>
      <w:bookmarkStart w:id="90" w:name="_bookmark79"/>
      <w:bookmarkEnd w:id="90"/>
      <w:bookmarkStart w:id="91" w:name="_bookmark80"/>
      <w:bookmarkEnd w:id="91"/>
      <w:r>
        <w:rPr>
          <w:rFonts w:hint="eastAsia" w:ascii="仿宋" w:hAnsi="仿宋" w:eastAsia="仿宋" w:cs="仿宋"/>
          <w:b/>
          <w:bCs/>
          <w:color w:val="auto"/>
          <w:sz w:val="32"/>
          <w:szCs w:val="32"/>
          <w:highlight w:val="none"/>
        </w:rPr>
        <w:t>第三章 评标办法（综合评标法）</w:t>
      </w:r>
    </w:p>
    <w:p>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一、评标应遵循公正、公平、科学和择优的原则严格按照招标文件进行。</w:t>
      </w:r>
    </w:p>
    <w:p>
      <w:pPr>
        <w:autoSpaceDE w:val="0"/>
        <w:autoSpaceDN w:val="0"/>
        <w:spacing w:line="44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二、评标由招标人依法组建的评标委员会负责。</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（一）评标委员会的组成：</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1、评标委员会为</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人，其中招标人代表</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人，其余</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（二）评标委员会成员的回避：</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有下列情形之一的，不得担任评标委员会成员：   </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1、投标人或者投标人主要负责人的近亲属；</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2、项目主管部门或者行政监督部门的人员；</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3、与投标人有经济利益关系，可能影响对投标公正评审的；</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评标委员会成员有前款规定情形之一的，应当主动提出回避</w:t>
      </w:r>
    </w:p>
    <w:p>
      <w:pPr>
        <w:autoSpaceDE w:val="0"/>
        <w:autoSpaceDN w:val="0"/>
        <w:spacing w:line="42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关于交易中心全电子系统的说明（特别提示）</w:t>
      </w:r>
    </w:p>
    <w:p>
      <w:pPr>
        <w:autoSpaceDE w:val="0"/>
        <w:autoSpaceDN w:val="0"/>
        <w:spacing w:line="420" w:lineRule="exact"/>
        <w:ind w:firstLine="480" w:firstLineChars="200"/>
        <w:jc w:val="left"/>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2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w:t>
      </w:r>
    </w:p>
    <w:p>
      <w:pPr>
        <w:autoSpaceDE w:val="0"/>
        <w:autoSpaceDN w:val="0"/>
        <w:spacing w:line="420" w:lineRule="exact"/>
        <w:ind w:firstLine="482" w:firstLineChars="20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评标委员会不得暗示或者诱导投标人作出澄清、说明，不得接受投标人主动提出的澄清、说明。</w:t>
      </w:r>
    </w:p>
    <w:p>
      <w:pPr>
        <w:autoSpaceDE w:val="0"/>
        <w:autoSpaceDN w:val="0"/>
        <w:spacing w:line="440" w:lineRule="exact"/>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三、评标采用综合计分法。</w:t>
      </w:r>
    </w:p>
    <w:p>
      <w:pPr>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四、评标委员会应按下列原则进行评分汇总统计：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4.1分数汇总时，将各位评标专家对某一投标人评分中的一个最高分和一个最低分去掉后，剩余分数的算术平均值作为该投标人的最终得分。</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4.2分数计算过程中，保留两位小数。小数点第三位四舍五入。</w:t>
      </w:r>
    </w:p>
    <w:p>
      <w:pPr>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五、有效投标报价指投标人初步评审合格，不被评标委员会认定为废标的投标报价。</w:t>
      </w:r>
    </w:p>
    <w:p>
      <w:pPr>
        <w:pStyle w:val="37"/>
        <w:spacing w:line="480" w:lineRule="exac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六、初步评审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招标人依法组织的评标委员会首先对投标文件进行初步评审，只有通过初步评审的投标人才能进入详细评审。初步评审的内容：</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 xml:space="preserve"> 1.投标人名称是否与营业执照、资质证书一致；</w:t>
      </w:r>
    </w:p>
    <w:p>
      <w:pPr>
        <w:spacing w:line="480" w:lineRule="exact"/>
        <w:ind w:firstLine="480" w:firstLineChars="200"/>
        <w:rPr>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rPr>
        <w:t>投标文件正本是否按招标文件要求签字盖章（无需逐页签字盖章），副本是否与正本保持一致（可为正本的复印件）。正本与副本不一致的，以正本为准；（</w:t>
      </w:r>
      <w:r>
        <w:rPr>
          <w:rFonts w:hint="eastAsia" w:ascii="仿宋" w:hAnsi="仿宋" w:eastAsia="仿宋" w:cs="仿宋"/>
          <w:b/>
          <w:color w:val="auto"/>
          <w:sz w:val="24"/>
          <w:szCs w:val="24"/>
          <w:highlight w:val="none"/>
        </w:rPr>
        <w:t>注：电子投标文件有效时此项无需审查</w:t>
      </w:r>
      <w:r>
        <w:rPr>
          <w:rFonts w:hint="eastAsia" w:ascii="仿宋" w:hAnsi="仿宋" w:eastAsia="仿宋" w:cs="仿宋"/>
          <w:color w:val="auto"/>
          <w:sz w:val="24"/>
          <w:szCs w:val="24"/>
          <w:highlight w:val="none"/>
        </w:rPr>
        <w:t>）</w:t>
      </w:r>
      <w:r>
        <w:rPr>
          <w:rStyle w:val="34"/>
          <w:rFonts w:hint="eastAsia" w:ascii="仿宋" w:hAnsi="仿宋" w:eastAsia="仿宋" w:cs="仿宋"/>
          <w:color w:val="auto"/>
          <w:sz w:val="24"/>
          <w:szCs w:val="24"/>
          <w:highlight w:val="none"/>
        </w:rPr>
        <w:t xml:space="preserve">； </w:t>
      </w:r>
    </w:p>
    <w:p>
      <w:pPr>
        <w:pStyle w:val="36"/>
        <w:spacing w:line="480" w:lineRule="exact"/>
        <w:ind w:firstLine="540" w:firstLineChars="225"/>
        <w:rPr>
          <w:rFonts w:hint="eastAsia" w:ascii="仿宋" w:hAnsi="仿宋" w:eastAsia="仿宋" w:cs="仿宋"/>
          <w:color w:val="auto"/>
          <w:highlight w:val="none"/>
        </w:rPr>
      </w:pPr>
      <w:r>
        <w:rPr>
          <w:rStyle w:val="32"/>
          <w:rFonts w:hint="eastAsia" w:ascii="仿宋" w:hAnsi="仿宋" w:eastAsia="仿宋" w:cs="仿宋"/>
          <w:color w:val="auto"/>
          <w:sz w:val="24"/>
          <w:szCs w:val="24"/>
          <w:highlight w:val="none"/>
        </w:rPr>
        <w:t>3.投标文件格式是否符合招标文件要求；</w:t>
      </w:r>
    </w:p>
    <w:p>
      <w:pPr>
        <w:pStyle w:val="36"/>
        <w:spacing w:line="480" w:lineRule="exact"/>
        <w:ind w:firstLine="540" w:firstLineChars="225"/>
        <w:rPr>
          <w:rFonts w:hint="eastAsia" w:ascii="仿宋" w:hAnsi="仿宋" w:eastAsia="仿宋" w:cs="仿宋"/>
          <w:color w:val="auto"/>
          <w:highlight w:val="none"/>
        </w:rPr>
      </w:pPr>
      <w:r>
        <w:rPr>
          <w:rStyle w:val="32"/>
          <w:rFonts w:hint="eastAsia" w:ascii="仿宋" w:hAnsi="仿宋" w:eastAsia="仿宋" w:cs="仿宋"/>
          <w:color w:val="auto"/>
          <w:sz w:val="24"/>
          <w:szCs w:val="24"/>
          <w:highlight w:val="none"/>
        </w:rPr>
        <w:t>4.营业执照是否有效；</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 xml:space="preserve"> 5.资质证书等级是否满足要求；</w:t>
      </w:r>
    </w:p>
    <w:p>
      <w:pPr>
        <w:pStyle w:val="36"/>
        <w:spacing w:line="480" w:lineRule="exact"/>
        <w:rPr>
          <w:rFonts w:hint="eastAsia" w:ascii="仿宋" w:hAnsi="仿宋" w:eastAsia="仿宋" w:cs="仿宋"/>
          <w:color w:val="auto"/>
          <w:highlight w:val="none"/>
        </w:rPr>
      </w:pPr>
      <w:r>
        <w:rPr>
          <w:rStyle w:val="32"/>
          <w:rFonts w:hint="eastAsia" w:ascii="仿宋" w:hAnsi="仿宋" w:eastAsia="仿宋" w:cs="仿宋"/>
          <w:color w:val="auto"/>
          <w:sz w:val="24"/>
          <w:szCs w:val="24"/>
          <w:highlight w:val="none"/>
        </w:rPr>
        <w:t xml:space="preserve"> 6.总监理工程师证书是否与投标文件上一致；注册单位是否</w:t>
      </w:r>
      <w:r>
        <w:rPr>
          <w:rFonts w:hint="eastAsia" w:ascii="仿宋" w:hAnsi="仿宋" w:eastAsia="仿宋" w:cs="仿宋"/>
          <w:color w:val="auto"/>
          <w:highlight w:val="none"/>
        </w:rPr>
        <w:t xml:space="preserve">和投标文件上一致； </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 xml:space="preserve"> 7.投标内容、投标有效期、投标保证金等是否符合招标文件规定内容；</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投标人须提供以下网站的公示信息查询结果截图：</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（1）“信用中国”（www.creditchina.gov.cn）“失信被执行人”、“重大税收违法案件当事人名单”和“政府采购严重违法失信名单”网页查询结果截图。查询对象</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投标人；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“信用河南”（www.xyhn.gov.cn）黑名单查询截图。查询内容包括：严重失信债务人名单，国家人社部-拖欠农民工工资黑名单。查询对象</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投标人；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（2）“全国企业信用信息公示系统”（www.gsxt.gov.cn）“经营异常名录/严重违法失信企业名单”网页查询结果截图；</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（3）“全国法院失信被执行人名单信息公布和查询系统”（http://zxgk.court.gov.cn/）网页查询结果截图。查询对象</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投标人；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（4）“中国裁判文书网”（wenshu.court.gov.cn）行贿犯罪网页查询结果截图。查询对象投标人。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招标项目开标结束后、评标开始前，招标人（或招标代理机构）对投标人信用记录进行现场查询，并将查询结果随项目开标资料一并送入评标室，由专家进行评判。</w:t>
      </w:r>
    </w:p>
    <w:p>
      <w:pPr>
        <w:pStyle w:val="36"/>
        <w:spacing w:line="480" w:lineRule="exact"/>
        <w:ind w:firstLine="0"/>
        <w:rPr>
          <w:rStyle w:val="32"/>
          <w:rFonts w:hint="eastAsia" w:ascii="仿宋" w:hAnsi="仿宋" w:eastAsia="仿宋" w:cs="仿宋"/>
          <w:color w:val="auto"/>
          <w:sz w:val="24"/>
          <w:szCs w:val="24"/>
          <w:highlight w:val="none"/>
        </w:rPr>
      </w:pPr>
      <w:r>
        <w:rPr>
          <w:rStyle w:val="33"/>
          <w:rFonts w:hint="eastAsia" w:ascii="仿宋" w:hAnsi="仿宋" w:eastAsia="仿宋" w:cs="仿宋"/>
          <w:color w:val="auto"/>
          <w:spacing w:val="20"/>
          <w:sz w:val="24"/>
          <w:szCs w:val="24"/>
          <w:highlight w:val="none"/>
        </w:rPr>
        <w:t>9.投标文件有下列情形之一的，由评标委员会初审后按废标处理</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9.1须执行政府指导价的工程项目，投标报价低于国家规定的监理服务收费基准价80%的（政府投资项目低于财政评审价80%的）；</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9.2未提供由企业住所地人社部门出具的授权代表、项目总监（注册监理工程师）201</w:t>
      </w:r>
      <w:r>
        <w:rPr>
          <w:rStyle w:val="32"/>
          <w:rFonts w:hint="eastAsia" w:ascii="仿宋" w:hAnsi="仿宋" w:eastAsia="仿宋" w:cs="仿宋"/>
          <w:color w:val="auto"/>
          <w:sz w:val="24"/>
          <w:szCs w:val="24"/>
          <w:highlight w:val="none"/>
          <w:lang w:val="en-US" w:eastAsia="zh-CN"/>
        </w:rPr>
        <w:t>9</w:t>
      </w:r>
      <w:r>
        <w:rPr>
          <w:rStyle w:val="32"/>
          <w:rFonts w:hint="eastAsia" w:ascii="仿宋" w:hAnsi="仿宋" w:eastAsia="仿宋" w:cs="仿宋"/>
          <w:color w:val="auto"/>
          <w:sz w:val="24"/>
          <w:szCs w:val="24"/>
          <w:highlight w:val="none"/>
        </w:rPr>
        <w:t>年</w:t>
      </w:r>
      <w:r>
        <w:rPr>
          <w:rStyle w:val="32"/>
          <w:rFonts w:hint="eastAsia" w:ascii="仿宋" w:hAnsi="仿宋" w:eastAsia="仿宋" w:cs="仿宋"/>
          <w:color w:val="auto"/>
          <w:sz w:val="24"/>
          <w:szCs w:val="24"/>
          <w:highlight w:val="none"/>
          <w:lang w:val="en-US" w:eastAsia="zh-CN"/>
        </w:rPr>
        <w:t>1</w:t>
      </w:r>
      <w:r>
        <w:rPr>
          <w:rStyle w:val="32"/>
          <w:rFonts w:hint="eastAsia" w:ascii="仿宋" w:hAnsi="仿宋" w:eastAsia="仿宋" w:cs="仿宋"/>
          <w:color w:val="auto"/>
          <w:sz w:val="24"/>
          <w:szCs w:val="24"/>
          <w:highlight w:val="none"/>
        </w:rPr>
        <w:t>月以来</w:t>
      </w:r>
      <w:r>
        <w:rPr>
          <w:rStyle w:val="32"/>
          <w:rFonts w:hint="eastAsia" w:ascii="仿宋" w:hAnsi="仿宋" w:eastAsia="仿宋" w:cs="仿宋"/>
          <w:color w:val="auto"/>
          <w:sz w:val="24"/>
          <w:szCs w:val="24"/>
          <w:highlight w:val="none"/>
          <w:lang w:eastAsia="zh-CN"/>
        </w:rPr>
        <w:t>缴纳的</w:t>
      </w:r>
      <w:r>
        <w:rPr>
          <w:rStyle w:val="32"/>
          <w:rFonts w:hint="eastAsia" w:ascii="仿宋" w:hAnsi="仿宋" w:eastAsia="仿宋" w:cs="仿宋"/>
          <w:color w:val="auto"/>
          <w:sz w:val="24"/>
          <w:szCs w:val="24"/>
          <w:highlight w:val="none"/>
        </w:rPr>
        <w:t xml:space="preserve">社会保险证明（或相关缴纳凭证）；    </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9.3投标人递交两份或两份以上，内容不同又未在投标文件中声明哪一份有效的投标文件的；</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9.4投标人不符合国家或者招标文件规定的资格条件；</w:t>
      </w:r>
    </w:p>
    <w:p>
      <w:pPr>
        <w:pStyle w:val="36"/>
        <w:spacing w:line="480" w:lineRule="exact"/>
        <w:ind w:firstLine="0"/>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 xml:space="preserve">    9.5投标文件没有对招标文件的实质性要求和条件作出响应；                                                 </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9.6投标人有串通投标、弄虚作假、行贿等违法行为；</w:t>
      </w:r>
    </w:p>
    <w:p>
      <w:pPr>
        <w:pStyle w:val="36"/>
        <w:spacing w:line="480" w:lineRule="exact"/>
        <w:rPr>
          <w:rStyle w:val="32"/>
          <w:rFonts w:hint="eastAsia" w:ascii="仿宋" w:hAnsi="仿宋" w:eastAsia="仿宋" w:cs="仿宋"/>
          <w:color w:val="auto"/>
          <w:sz w:val="24"/>
          <w:szCs w:val="24"/>
          <w:highlight w:val="none"/>
        </w:rPr>
      </w:pPr>
      <w:r>
        <w:rPr>
          <w:rStyle w:val="32"/>
          <w:rFonts w:hint="eastAsia" w:ascii="仿宋" w:hAnsi="仿宋" w:eastAsia="仿宋" w:cs="仿宋"/>
          <w:color w:val="auto"/>
          <w:sz w:val="24"/>
          <w:szCs w:val="24"/>
          <w:highlight w:val="none"/>
        </w:rPr>
        <w:t>9.7法律、法规和规章规定的其他情形。</w:t>
      </w:r>
    </w:p>
    <w:p>
      <w:pPr>
        <w:spacing w:line="460" w:lineRule="exact"/>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pPr>
        <w:autoSpaceDE w:val="0"/>
        <w:autoSpaceDN w:val="0"/>
        <w:spacing w:line="460" w:lineRule="exact"/>
        <w:ind w:firstLine="482" w:firstLineChars="200"/>
        <w:contextualSpacing/>
        <w:jc w:val="left"/>
        <w:outlineLvl w:val="0"/>
        <w:rPr>
          <w:rStyle w:val="32"/>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注：工商营业执照、资质证书、</w:t>
      </w:r>
      <w:bookmarkStart w:id="92" w:name="_Toc12612"/>
      <w:bookmarkEnd w:id="92"/>
      <w:r>
        <w:rPr>
          <w:rFonts w:hint="eastAsia" w:ascii="仿宋" w:hAnsi="仿宋" w:eastAsia="仿宋" w:cs="仿宋"/>
          <w:b/>
          <w:bCs/>
          <w:color w:val="auto"/>
          <w:sz w:val="24"/>
          <w:szCs w:val="24"/>
          <w:highlight w:val="none"/>
        </w:rPr>
        <w:t>项目总监注册监理工程师证书不再提交原件，投标书文件中必须附原件扫描件或图片，以备查阅。</w:t>
      </w:r>
    </w:p>
    <w:p>
      <w:pPr>
        <w:pStyle w:val="36"/>
        <w:spacing w:line="480" w:lineRule="exact"/>
        <w:rPr>
          <w:rFonts w:hint="eastAsia" w:ascii="仿宋" w:hAnsi="仿宋" w:eastAsia="仿宋" w:cs="仿宋"/>
          <w:b/>
          <w:bCs/>
          <w:color w:val="auto"/>
          <w:highlight w:val="none"/>
        </w:rPr>
      </w:pPr>
      <w:r>
        <w:rPr>
          <w:rStyle w:val="32"/>
          <w:rFonts w:hint="eastAsia" w:ascii="仿宋" w:hAnsi="仿宋" w:eastAsia="仿宋" w:cs="仿宋"/>
          <w:color w:val="auto"/>
          <w:sz w:val="24"/>
          <w:szCs w:val="24"/>
          <w:highlight w:val="none"/>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480" w:lineRule="exact"/>
        <w:ind w:firstLine="42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七、详细评审步骤</w:t>
      </w:r>
    </w:p>
    <w:p>
      <w:pPr>
        <w:widowControl/>
        <w:shd w:val="clear" w:color="auto" w:fill="FFFFFF"/>
        <w:spacing w:line="480" w:lineRule="exact"/>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7.1对通过初步评审的投标文件进行评审，再进行技术标的评审。</w:t>
      </w:r>
    </w:p>
    <w:tbl>
      <w:tblPr>
        <w:tblStyle w:val="13"/>
        <w:tblW w:w="909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1"/>
        <w:gridCol w:w="1654"/>
        <w:gridCol w:w="5670"/>
        <w:gridCol w:w="49"/>
        <w:gridCol w:w="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restart"/>
            <w:tcBorders>
              <w:top w:val="single" w:color="auto" w:sz="4" w:space="0"/>
              <w:left w:val="single" w:color="auto" w:sz="4" w:space="0"/>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bookmarkStart w:id="93" w:name="_bookmark83"/>
            <w:bookmarkEnd w:id="93"/>
            <w:r>
              <w:rPr>
                <w:rFonts w:hint="eastAsia" w:ascii="仿宋" w:hAnsi="仿宋" w:eastAsia="仿宋" w:cs="仿宋"/>
                <w:color w:val="auto"/>
                <w:sz w:val="24"/>
                <w:szCs w:val="24"/>
                <w:highlight w:val="none"/>
              </w:rPr>
              <w:t>监理大纲 评分标准（30分）</w:t>
            </w:r>
          </w:p>
        </w:tc>
        <w:tc>
          <w:tcPr>
            <w:tcW w:w="1654"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质量控制5分</w:t>
            </w:r>
          </w:p>
        </w:tc>
        <w:tc>
          <w:tcPr>
            <w:tcW w:w="5989" w:type="dxa"/>
            <w:gridSpan w:val="3"/>
            <w:tcBorders>
              <w:top w:val="single" w:color="auto" w:sz="4" w:space="0"/>
              <w:left w:val="nil"/>
              <w:bottom w:val="single" w:color="000000"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1.总体质量控制目标满足招标文件要求，且对质量控制目标进行了合理分解、规划；（0-1分）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2.针对各质量控制分解目标及各施工环节提出了切实可行的控制点和控制措施；（0-1分）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3.质量控制的基本程序和手段有针对性，且能满足工程实际要求；（0-1分）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4.对分包队伍的审查、管理措施有效可行；（0-1分）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进度控制4分</w:t>
            </w:r>
          </w:p>
        </w:tc>
        <w:tc>
          <w:tcPr>
            <w:tcW w:w="5989" w:type="dxa"/>
            <w:gridSpan w:val="3"/>
            <w:tcBorders>
              <w:top w:val="single" w:color="000000" w:sz="4" w:space="0"/>
              <w:left w:val="nil"/>
              <w:bottom w:val="single" w:color="000000"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1.对总体进度目标分解合理，能体现预控和全面控制能力；（0-2分）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造价控制4分</w:t>
            </w:r>
          </w:p>
        </w:tc>
        <w:tc>
          <w:tcPr>
            <w:tcW w:w="5989" w:type="dxa"/>
            <w:gridSpan w:val="3"/>
            <w:tcBorders>
              <w:top w:val="single" w:color="000000" w:sz="4" w:space="0"/>
              <w:left w:val="nil"/>
              <w:bottom w:val="single" w:color="000000"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1.工程计量、计价的控制方法可行，风险预测与防范对策有效；（0-2分）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2.工程款支付、结算、索赔等预控措施合理健全；（0-1分）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安全措施4分</w:t>
            </w:r>
          </w:p>
        </w:tc>
        <w:tc>
          <w:tcPr>
            <w:tcW w:w="5989" w:type="dxa"/>
            <w:gridSpan w:val="3"/>
            <w:tcBorders>
              <w:top w:val="single" w:color="000000" w:sz="4" w:space="0"/>
              <w:left w:val="nil"/>
              <w:bottom w:val="single" w:color="000000"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1.安全措施满足招标文件要求，能结合工程环境、特点有针对性的分析安全隐患；（0-2分）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2.安全保证体系组织机构和控制点设置合理；（0-1分）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旁站监理措施4分</w:t>
            </w:r>
          </w:p>
        </w:tc>
        <w:tc>
          <w:tcPr>
            <w:tcW w:w="5989" w:type="dxa"/>
            <w:gridSpan w:val="3"/>
            <w:tcBorders>
              <w:top w:val="single" w:color="000000" w:sz="4" w:space="0"/>
              <w:left w:val="nil"/>
              <w:bottom w:val="single" w:color="000000"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1.按照国家旁站监理规定，对相应部位或施工过程设置旁站，（0-2分）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档案及合同管理4分</w:t>
            </w:r>
          </w:p>
        </w:tc>
        <w:tc>
          <w:tcPr>
            <w:tcW w:w="5989" w:type="dxa"/>
            <w:gridSpan w:val="3"/>
            <w:tcBorders>
              <w:top w:val="single" w:color="000000" w:sz="4" w:space="0"/>
              <w:left w:val="nil"/>
              <w:bottom w:val="single" w:color="000000"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1.有保障合同履行的可靠措施，制定了索赔与反索赔措施；（0-2分）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工作制度3</w:t>
            </w:r>
          </w:p>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w:t>
            </w:r>
          </w:p>
        </w:tc>
        <w:tc>
          <w:tcPr>
            <w:tcW w:w="5989" w:type="dxa"/>
            <w:gridSpan w:val="3"/>
            <w:tcBorders>
              <w:top w:val="single" w:color="000000" w:sz="4" w:space="0"/>
              <w:left w:val="nil"/>
              <w:bottom w:val="single" w:color="auto"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vMerge w:val="continue"/>
            <w:tcBorders>
              <w:top w:val="single" w:color="auto" w:sz="4" w:space="0"/>
              <w:left w:val="single" w:color="auto" w:sz="4" w:space="0"/>
              <w:bottom w:val="nil"/>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组织协调及</w:t>
            </w:r>
          </w:p>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合理化建议2分</w:t>
            </w:r>
          </w:p>
        </w:tc>
        <w:tc>
          <w:tcPr>
            <w:tcW w:w="598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1.协调工作措施得当、有针对性；（0-1分）</w:t>
            </w:r>
          </w:p>
          <w:p>
            <w:pPr>
              <w:spacing w:line="460" w:lineRule="exact"/>
              <w:ind w:firstLine="11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9094" w:type="dxa"/>
            <w:gridSpan w:val="5"/>
            <w:tcBorders>
              <w:top w:val="single" w:color="auto" w:sz="4" w:space="0"/>
              <w:left w:val="single" w:color="auto" w:sz="4" w:space="0"/>
              <w:bottom w:val="nil"/>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t>7.2商务详细评审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51"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商务标</w:t>
            </w:r>
          </w:p>
          <w:p>
            <w:pPr>
              <w:widowControl/>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p>
            <w:pPr>
              <w:widowControl/>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（70分）</w:t>
            </w:r>
          </w:p>
        </w:tc>
        <w:tc>
          <w:tcPr>
            <w:tcW w:w="165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t>投标报价15分</w:t>
            </w:r>
          </w:p>
        </w:tc>
        <w:tc>
          <w:tcPr>
            <w:tcW w:w="598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评标基准价的确定：评标基准价D=α×E+β×F</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有效投标人的投标报价为不高于E值，且通过初步评审的投标人报价。</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α-为E值的权重系数，α取值在0.40-0.70之间抽取（开标时，在0.40、0.45、0.50、0.55、0.60、0.65、0.70七个数值中由招标人和投标人代表现场随机抽取）。</w:t>
            </w:r>
          </w:p>
          <w:p>
            <w:pPr>
              <w:spacing w:line="460" w:lineRule="exact"/>
              <w:ind w:firstLine="120" w:firstLineChars="50"/>
              <w:contextualSpacing/>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t>β-为F值的权重系数，β=1-α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2207" w:hRule="atLeast"/>
        </w:trPr>
        <w:tc>
          <w:tcPr>
            <w:tcW w:w="1451" w:type="dxa"/>
            <w:vMerge w:val="restart"/>
            <w:tcBorders>
              <w:top w:val="single" w:color="auto" w:sz="4" w:space="0"/>
              <w:left w:val="single" w:color="auto" w:sz="4" w:space="0"/>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p>
        </w:tc>
        <w:tc>
          <w:tcPr>
            <w:tcW w:w="1654" w:type="dxa"/>
            <w:tcBorders>
              <w:top w:val="single" w:color="auto" w:sz="4" w:space="0"/>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auto" w:sz="4" w:space="0"/>
              <w:left w:val="nil"/>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有效投标报价在评标基准价±1%以内的，得满分15分；在此基础上，每再高于评标基准价1%的扣2分，扣完为止，每再低于评标基准价1%的扣0.5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1803" w:hRule="atLeast"/>
        </w:trPr>
        <w:tc>
          <w:tcPr>
            <w:tcW w:w="1451"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vMerge w:val="restart"/>
            <w:tcBorders>
              <w:top w:val="single" w:color="auto" w:sz="4" w:space="0"/>
              <w:left w:val="nil"/>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企业信誉和类似项目业绩33分</w:t>
            </w:r>
          </w:p>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年1月1日以来近三年获得建设行政主管部门或行业协会颁发的省级及以上先进监理企业奖项得5分，本项最高得5分。（以证书和获奖文件为准，其中时间以获奖证书日期为准）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1399"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vMerge w:val="continue"/>
            <w:tcBorders>
              <w:left w:val="nil"/>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000000" w:sz="4" w:space="0"/>
              <w:right w:val="single" w:color="auto" w:sz="4" w:space="0"/>
            </w:tcBorders>
            <w:vAlign w:val="center"/>
          </w:tcPr>
          <w:p>
            <w:pPr>
              <w:pStyle w:val="6"/>
              <w:spacing w:before="0" w:beforeAutospacing="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2、企业201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年1月1日以来监理过类似项目业绩，每项得4分，最多得16分。（应提供法定媒介中标(成交)公示网页截图、合同、中标通知书(或竣工备案表)，并在投标文件中附完整的复印件，三者缺一不计分。）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1384"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vMerge w:val="continue"/>
            <w:tcBorders>
              <w:left w:val="nil"/>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000000" w:sz="4" w:space="0"/>
              <w:right w:val="single" w:color="auto" w:sz="4" w:space="0"/>
            </w:tcBorders>
            <w:vAlign w:val="center"/>
          </w:tcPr>
          <w:p>
            <w:pPr>
              <w:spacing w:before="24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3、具有质量、环境、职业健康管理体系认证证书，每一项得3分，最高9分（以证书原件为准，并在投标文件中附完整的复印件）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1351" w:hRule="atLeast"/>
        </w:trPr>
        <w:tc>
          <w:tcPr>
            <w:tcW w:w="1451"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vMerge w:val="continue"/>
            <w:tcBorders>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auto" w:sz="4" w:space="0"/>
              <w:right w:val="single" w:color="auto" w:sz="4" w:space="0"/>
            </w:tcBorders>
            <w:vAlign w:val="center"/>
          </w:tcPr>
          <w:p>
            <w:pPr>
              <w:pStyle w:val="6"/>
              <w:spacing w:before="0" w:beforeAutospacing="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4、企业获得3A信用等级证书的得3分，本项最高得3分。（以证书原件为准，并在投标文件中附完整的复印件）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2152" w:hRule="atLeast"/>
        </w:trPr>
        <w:tc>
          <w:tcPr>
            <w:tcW w:w="1451" w:type="dxa"/>
            <w:vMerge w:val="restart"/>
            <w:tcBorders>
              <w:top w:val="single" w:color="auto" w:sz="4" w:space="0"/>
              <w:left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项目监理机构人员配备15分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1、拟派的总监理工程师具有高级职称资格的得3分，中级职称资格的得2分，此项最高的3分。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2、项目监理机构人员配备齐全，各专业监理工程师、监理员、安全员、资料员持证上岗在0-4分范围内打分, 本项最高得4分。（以证书原件和201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月以来</w:t>
            </w:r>
            <w:r>
              <w:rPr>
                <w:rFonts w:hint="eastAsia" w:ascii="仿宋" w:hAnsi="仿宋" w:eastAsia="仿宋" w:cs="仿宋"/>
                <w:color w:val="auto"/>
                <w:sz w:val="24"/>
                <w:szCs w:val="24"/>
                <w:highlight w:val="none"/>
                <w:lang w:eastAsia="zh-CN"/>
              </w:rPr>
              <w:t>缴纳</w:t>
            </w:r>
            <w:r>
              <w:rPr>
                <w:rFonts w:hint="eastAsia" w:ascii="仿宋" w:hAnsi="仿宋" w:eastAsia="仿宋" w:cs="仿宋"/>
                <w:color w:val="auto"/>
                <w:sz w:val="24"/>
                <w:szCs w:val="24"/>
                <w:highlight w:val="none"/>
              </w:rPr>
              <w:t>社保缴纳证明原件为准）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3、项目监理机构具备国家注册监理工程师并具备中级以上职称有1个得2分，最多得8分。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1415" w:hRule="atLeast"/>
        </w:trPr>
        <w:tc>
          <w:tcPr>
            <w:tcW w:w="1451"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54"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服务承诺0-7分</w:t>
            </w:r>
          </w:p>
        </w:tc>
        <w:tc>
          <w:tcPr>
            <w:tcW w:w="5719" w:type="dxa"/>
            <w:gridSpan w:val="2"/>
            <w:tcBorders>
              <w:top w:val="single" w:color="000000" w:sz="4" w:space="0"/>
              <w:left w:val="nil"/>
              <w:bottom w:val="single" w:color="000000" w:sz="4" w:space="0"/>
              <w:right w:val="single" w:color="auto" w:sz="4" w:space="0"/>
            </w:tcBorders>
            <w:vAlign w:val="center"/>
          </w:tcPr>
          <w:p>
            <w:pPr>
              <w:numPr>
                <w:ilvl w:val="0"/>
                <w:numId w:val="1"/>
              </w:numPr>
              <w:spacing w:line="460" w:lineRule="exact"/>
              <w:ind w:firstLine="120" w:firstLineChars="5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投标人针对招标项目的特点和要求，结合自身条件和潜力为招标人排忧解难有优惠承诺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由评委根据标书的具体内容在0-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分酌情打分</w:t>
            </w:r>
            <w:r>
              <w:rPr>
                <w:rFonts w:hint="eastAsia" w:ascii="仿宋" w:hAnsi="仿宋" w:eastAsia="仿宋" w:cs="仿宋"/>
                <w:color w:val="auto"/>
                <w:sz w:val="24"/>
                <w:szCs w:val="24"/>
                <w:highlight w:val="none"/>
                <w:lang w:eastAsia="zh-CN"/>
              </w:rPr>
              <w:t>；</w:t>
            </w:r>
          </w:p>
          <w:p>
            <w:pPr>
              <w:numPr>
                <w:ilvl w:val="0"/>
                <w:numId w:val="1"/>
              </w:num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投标人针对招标项目的特点和要求，结合自身条件和潜力为招标人排忧解难有服务承诺。由评委根据标书的具体内容在0-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270" w:type="dxa"/>
          <w:trHeight w:val="668" w:hRule="atLeast"/>
        </w:trPr>
        <w:tc>
          <w:tcPr>
            <w:tcW w:w="8824" w:type="dxa"/>
            <w:gridSpan w:val="4"/>
            <w:tcBorders>
              <w:top w:val="nil"/>
              <w:left w:val="single" w:color="auto" w:sz="4" w:space="0"/>
              <w:bottom w:val="single" w:color="000000"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投标人得分=监理大纲得分＋商务标得分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319" w:type="dxa"/>
          <w:trHeight w:val="531" w:hRule="atLeast"/>
        </w:trPr>
        <w:tc>
          <w:tcPr>
            <w:tcW w:w="8775" w:type="dxa"/>
            <w:gridSpan w:val="3"/>
            <w:tcBorders>
              <w:top w:val="single" w:color="000000" w:sz="4" w:space="0"/>
              <w:left w:val="single" w:color="auto" w:sz="4" w:space="0"/>
              <w:bottom w:val="single" w:color="000000"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319" w:type="dxa"/>
          <w:trHeight w:val="1424" w:hRule="atLeast"/>
        </w:trPr>
        <w:tc>
          <w:tcPr>
            <w:tcW w:w="8775" w:type="dxa"/>
            <w:gridSpan w:val="3"/>
            <w:tcBorders>
              <w:top w:val="single" w:color="000000"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pPr>
        <w:pStyle w:val="6"/>
        <w:spacing w:before="0" w:beforeAutospacing="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1.评标委员会组建和评标方法</w:t>
      </w:r>
    </w:p>
    <w:p>
      <w:pPr>
        <w:pStyle w:val="6"/>
        <w:adjustRightInd w:val="0"/>
        <w:snapToGrid w:val="0"/>
        <w:spacing w:before="0" w:before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1.1评标委员会组建：详见第二章投标人须知前附表</w:t>
      </w:r>
    </w:p>
    <w:p>
      <w:pPr>
        <w:pStyle w:val="6"/>
        <w:adjustRightInd w:val="0"/>
        <w:snapToGrid w:val="0"/>
        <w:spacing w:before="0" w:before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注：评标（评审）委员会成员在评标（评审）过程中有不良行为的，按《许昌市公共资源交易当事人不良行为管理暂行办法》记录其不良行为6—18个月；情节严重的，由主管部门取消评标（评审）专家资格。</w:t>
      </w:r>
    </w:p>
    <w:p>
      <w:pPr>
        <w:spacing w:line="3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pPr>
        <w:adjustRightInd w:val="0"/>
        <w:snapToGrid w:val="0"/>
        <w:spacing w:line="460" w:lineRule="exact"/>
        <w:rPr>
          <w:rFonts w:hint="eastAsia" w:ascii="仿宋" w:hAnsi="仿宋" w:eastAsia="仿宋" w:cs="仿宋"/>
          <w:color w:val="auto"/>
          <w:sz w:val="24"/>
          <w:szCs w:val="24"/>
          <w:highlight w:val="none"/>
        </w:rPr>
      </w:pPr>
      <w:bookmarkStart w:id="94" w:name="_bookmark85"/>
      <w:bookmarkEnd w:id="94"/>
      <w:r>
        <w:rPr>
          <w:rFonts w:hint="eastAsia" w:ascii="仿宋" w:hAnsi="仿宋" w:eastAsia="仿宋" w:cs="仿宋"/>
          <w:color w:val="auto"/>
          <w:sz w:val="24"/>
          <w:szCs w:val="24"/>
          <w:highlight w:val="none"/>
        </w:rPr>
        <w:t>2.  评审标准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5" w:name="_bookmark86"/>
      <w:bookmarkEnd w:id="95"/>
      <w:r>
        <w:rPr>
          <w:rFonts w:hint="eastAsia" w:ascii="仿宋" w:hAnsi="仿宋" w:eastAsia="仿宋" w:cs="仿宋"/>
          <w:color w:val="auto"/>
          <w:sz w:val="24"/>
          <w:szCs w:val="24"/>
          <w:highlight w:val="none"/>
        </w:rPr>
        <w:t>2.1 初步评审标准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形式评审标准：见评标办法前附表。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资格评审标准：见评标办法前附表。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响应性评审标准：见评标办法前附表。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6" w:name="_bookmark87"/>
      <w:bookmarkEnd w:id="96"/>
      <w:r>
        <w:rPr>
          <w:rFonts w:hint="eastAsia" w:ascii="仿宋" w:hAnsi="仿宋" w:eastAsia="仿宋" w:cs="仿宋"/>
          <w:color w:val="auto"/>
          <w:sz w:val="24"/>
          <w:szCs w:val="24"/>
          <w:highlight w:val="none"/>
        </w:rPr>
        <w:t>2.2 分值构成与评分标准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分值构成</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（1）监理大纲部分：见评标办法前附表；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（2）商务标部分：见评标办法前附表；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 评标基准价计算方法：见评标办法前附表。 </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评分标准</w:t>
      </w:r>
    </w:p>
    <w:p>
      <w:pPr>
        <w:adjustRightInd w:val="0"/>
        <w:snapToGrid w:val="0"/>
        <w:spacing w:line="4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（1）监理大纲评分标准：见评标办法前附表；</w:t>
      </w:r>
    </w:p>
    <w:p>
      <w:pPr>
        <w:adjustRightInd w:val="0"/>
        <w:snapToGrid w:val="0"/>
        <w:spacing w:line="4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（2）商务标评分标准：见评标办法前附表；</w:t>
      </w:r>
    </w:p>
    <w:p>
      <w:pPr>
        <w:adjustRightInd w:val="0"/>
        <w:snapToGrid w:val="0"/>
        <w:spacing w:line="460" w:lineRule="exact"/>
        <w:rPr>
          <w:rFonts w:hint="eastAsia" w:ascii="仿宋" w:hAnsi="仿宋" w:eastAsia="仿宋" w:cs="仿宋"/>
          <w:color w:val="auto"/>
          <w:sz w:val="24"/>
          <w:szCs w:val="24"/>
          <w:highlight w:val="none"/>
        </w:rPr>
      </w:pPr>
      <w:bookmarkStart w:id="97" w:name="_bookmark88"/>
      <w:bookmarkEnd w:id="97"/>
      <w:r>
        <w:rPr>
          <w:rFonts w:hint="eastAsia" w:ascii="仿宋" w:hAnsi="仿宋" w:eastAsia="仿宋" w:cs="仿宋"/>
          <w:color w:val="auto"/>
          <w:sz w:val="24"/>
          <w:szCs w:val="24"/>
          <w:highlight w:val="none"/>
        </w:rPr>
        <w:t>3.  评标程序</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98" w:name="_bookmark89"/>
      <w:bookmarkEnd w:id="98"/>
      <w:r>
        <w:rPr>
          <w:rFonts w:hint="eastAsia" w:ascii="仿宋" w:hAnsi="仿宋" w:eastAsia="仿宋" w:cs="仿宋"/>
          <w:color w:val="auto"/>
          <w:sz w:val="24"/>
          <w:szCs w:val="24"/>
          <w:highlight w:val="none"/>
        </w:rPr>
        <w:t>3.1  初步评审</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投标人有以下情形之一的，评标委员会应当否决其投标：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（1）投标文件没有对招标文件的实质性要求和条件作出响应，或者对招标文件的偏差超出 招标文件规定的偏差范围或最高项数；</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（2）有串通投标、弄虚作假、行贿等违法行为。</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（1）投标文件中的大写金额与小写金额不一致的，以大写金额为准；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（2）总价金额与单价金额不一致的，以单价金额为准，但单价金额小数点有明显错误的除外。</w:t>
      </w:r>
      <w:bookmarkStart w:id="99" w:name="_bookmark90"/>
      <w:bookmarkEnd w:id="99"/>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详细评审</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评标委员会按本章第 2.2 款规定的量化因素和分值进行打分，并计算出综合评估得分。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（1）按本章第 2.2.2（1）目规定的评审因素和分值对监理大纲计算出得分 A；</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（2）按本章第 2.2.2（2）目规定的评审因素和分值对商务标计算出得分 B；</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投标人得分=A+B。</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100" w:name="_bookmark91"/>
      <w:bookmarkEnd w:id="100"/>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投标文件的澄清</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101" w:name="_bookmark92"/>
      <w:bookmarkEnd w:id="101"/>
      <w:r>
        <w:rPr>
          <w:rFonts w:hint="eastAsia" w:ascii="仿宋" w:hAnsi="仿宋" w:eastAsia="仿宋" w:cs="仿宋"/>
          <w:color w:val="auto"/>
          <w:sz w:val="24"/>
          <w:szCs w:val="24"/>
          <w:highlight w:val="none"/>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评标委员会不得暗示或者诱导投标人作出澄清、说明，不得接受投标人主动提出的澄清、说明。</w:t>
      </w:r>
    </w:p>
    <w:p>
      <w:pPr>
        <w:adjustRightInd w:val="0"/>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除此之外，评标开始后，评标委员会不得再接受场外递交的任何材料。</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评标结果</w:t>
      </w:r>
    </w:p>
    <w:p>
      <w:pPr>
        <w:adjustRightInd w:val="0"/>
        <w:snapToGrid w:val="0"/>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3.4.1 除第二章“投标人须知”前附表授权直接确定中标人外，评标委员会按照得分由高到低的顺序推荐中标候选人，并标明排序。</w:t>
      </w:r>
      <w:r>
        <w:rPr>
          <w:rFonts w:hint="eastAsia" w:ascii="仿宋" w:hAnsi="仿宋" w:eastAsia="仿宋" w:cs="仿宋"/>
          <w:b/>
          <w:color w:val="auto"/>
          <w:sz w:val="24"/>
          <w:szCs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pPr>
        <w:adjustRightInd w:val="0"/>
        <w:snapToGrid w:val="0"/>
        <w:spacing w:line="4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3.4.3</w:t>
      </w:r>
      <w:r>
        <w:rPr>
          <w:rFonts w:hint="eastAsia" w:ascii="仿宋" w:hAnsi="仿宋" w:eastAsia="仿宋" w:cs="仿宋"/>
          <w:b/>
          <w:bCs/>
          <w:color w:val="auto"/>
          <w:sz w:val="24"/>
          <w:szCs w:val="24"/>
          <w:highlight w:val="none"/>
        </w:rPr>
        <w:t>评标委员会对评标结果有异议的</w:t>
      </w:r>
    </w:p>
    <w:p>
      <w:pPr>
        <w:adjustRightInd w:val="0"/>
        <w:snapToGrid w:val="0"/>
        <w:spacing w:line="460" w:lineRule="exact"/>
        <w:ind w:firstLine="470"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3.5公示</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中标人确定后，招标人应当在本招标项目招标公告发布的同一媒介上进行公示，公示时间不少于3日（不含法定节假日）。公示期满后，招标人应当向中标人发出中标通知书，并向所有合格投标人告知中标结果。</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特殊情况的处置程序</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3.6.1关于评标活动暂停</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3.6.1.2发生评标暂停情况时，评标委员会应当封存全部投标文件和评标记录，待不可抗力的影响结束且具备继续评标的条件时，由原评标委员会继续评标。</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3.6.2关于评标中途更换评标委员会成员</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3.6.2.1 除非发生下列情况之一，评标委员会成员不得在评标中途更换：</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（1）因不可抗拒的客观原因，不能到场或需在评标中途退出评标活动。</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（2）根据法律法规规定，某个或某几个评标委员会成员需要回避。</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3.6.2.2退出评标的评标委员会成员，其已完成的评标行为无效。由招标人根据本招标文件规定的评标委员会成员产生方式另行确定替代者进行评标。</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3.6.2.3记名投票</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在任何评标环节中，需评标委员会就某项定性的评审结论做出表决的，由评标委员会全体成员按照少数服从多数的原则，以记名投票方式表决。</w:t>
      </w:r>
    </w:p>
    <w:p>
      <w:pPr>
        <w:pStyle w:val="6"/>
        <w:rPr>
          <w:rFonts w:hint="eastAsia" w:ascii="仿宋" w:hAnsi="仿宋" w:eastAsia="仿宋" w:cs="仿宋"/>
          <w:color w:val="auto"/>
          <w:highlight w:val="none"/>
        </w:rPr>
      </w:pPr>
    </w:p>
    <w:p>
      <w:pPr>
        <w:pStyle w:val="6"/>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第四章   合同条款及格式</w:t>
      </w:r>
    </w:p>
    <w:p>
      <w:pPr>
        <w:spacing w:line="430" w:lineRule="exact"/>
        <w:outlineLvl w:val="0"/>
        <w:rPr>
          <w:rFonts w:hint="eastAsia" w:ascii="仿宋" w:hAnsi="仿宋" w:eastAsia="仿宋" w:cs="仿宋"/>
          <w:b/>
          <w:bCs/>
          <w:color w:val="auto"/>
          <w:sz w:val="24"/>
          <w:szCs w:val="24"/>
          <w:highlight w:val="none"/>
        </w:rPr>
      </w:pPr>
    </w:p>
    <w:p>
      <w:pPr>
        <w:snapToGrid w:val="0"/>
        <w:spacing w:line="360" w:lineRule="auto"/>
        <w:ind w:left="105" w:leftChars="31" w:firstLine="632" w:firstLineChars="225"/>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采用由中华人民共和国建设部与国家工商行政管理局联合制定的《建设工程委托监理合同》(示范文本GF-2012-0202)。</w:t>
      </w: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第五章   委托人要求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委托人要求通常包括但不限于以下内容：</w:t>
      </w:r>
    </w:p>
    <w:p>
      <w:pPr>
        <w:spacing w:line="430" w:lineRule="exact"/>
        <w:rPr>
          <w:rFonts w:hint="eastAsia" w:ascii="仿宋" w:hAnsi="仿宋" w:eastAsia="仿宋" w:cs="仿宋"/>
          <w:color w:val="auto"/>
          <w:sz w:val="24"/>
          <w:szCs w:val="24"/>
          <w:highlight w:val="none"/>
        </w:rPr>
      </w:pPr>
      <w:bookmarkStart w:id="102" w:name="_bookmark163"/>
      <w:bookmarkEnd w:id="102"/>
      <w:r>
        <w:rPr>
          <w:rFonts w:hint="eastAsia" w:ascii="仿宋" w:hAnsi="仿宋" w:eastAsia="仿宋" w:cs="仿宋"/>
          <w:color w:val="auto"/>
          <w:sz w:val="24"/>
          <w:szCs w:val="24"/>
          <w:highlight w:val="none"/>
        </w:rPr>
        <w:t>一、监理要求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招标人应当根据项目情况在本章中明确相应的监理要求，一般应包括以下内容：</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项目概况 包括项目名称、建设单位、建设规模、项目地理位置、周边环境、树木情况、文物情况、</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地址地貌、气候及气象条件、道路交通状况、市政情况等。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监理范围及内容</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监理依据</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监理人员和试验检测仪器设备要求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其他要求</w:t>
      </w:r>
    </w:p>
    <w:p>
      <w:pPr>
        <w:spacing w:line="430" w:lineRule="exact"/>
        <w:rPr>
          <w:rFonts w:hint="eastAsia" w:ascii="仿宋" w:hAnsi="仿宋" w:eastAsia="仿宋" w:cs="仿宋"/>
          <w:color w:val="auto"/>
          <w:sz w:val="24"/>
          <w:szCs w:val="24"/>
          <w:highlight w:val="none"/>
        </w:rPr>
      </w:pPr>
      <w:bookmarkStart w:id="103" w:name="_bookmark164"/>
      <w:bookmarkEnd w:id="103"/>
      <w:r>
        <w:rPr>
          <w:rFonts w:hint="eastAsia" w:ascii="仿宋" w:hAnsi="仿宋" w:eastAsia="仿宋" w:cs="仿宋"/>
          <w:color w:val="auto"/>
          <w:sz w:val="24"/>
          <w:szCs w:val="24"/>
          <w:highlight w:val="none"/>
        </w:rPr>
        <w:t>二、适用规范标准</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国家、行业、项目所在地规范名录</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国家、行业、项目所在地标准名录</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国家、行业、项目所在地规程名录</w:t>
      </w:r>
    </w:p>
    <w:p>
      <w:pPr>
        <w:spacing w:line="430" w:lineRule="exact"/>
        <w:rPr>
          <w:rFonts w:hint="eastAsia" w:ascii="仿宋" w:hAnsi="仿宋" w:eastAsia="仿宋" w:cs="仿宋"/>
          <w:color w:val="auto"/>
          <w:sz w:val="24"/>
          <w:szCs w:val="24"/>
          <w:highlight w:val="none"/>
        </w:rPr>
      </w:pPr>
      <w:bookmarkStart w:id="104" w:name="_bookmark165"/>
      <w:bookmarkEnd w:id="104"/>
      <w:r>
        <w:rPr>
          <w:rFonts w:hint="eastAsia" w:ascii="仿宋" w:hAnsi="仿宋" w:eastAsia="仿宋" w:cs="仿宋"/>
          <w:color w:val="auto"/>
          <w:sz w:val="24"/>
          <w:szCs w:val="24"/>
          <w:highlight w:val="none"/>
        </w:rPr>
        <w:t>三、成果文件要求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成果文件的组成</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成果文件的深度</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成果文件的格式要求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成果文件的份数要求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成果文件的载体要求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（1）纸质版的要求；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（2）电子版的要求；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（3）其他要求。</w:t>
      </w:r>
    </w:p>
    <w:p>
      <w:pPr>
        <w:spacing w:line="430" w:lineRule="exact"/>
        <w:ind w:firstLine="480" w:firstLineChars="200"/>
        <w:rPr>
          <w:rFonts w:hint="eastAsia" w:ascii="仿宋" w:hAnsi="仿宋" w:eastAsia="仿宋" w:cs="仿宋"/>
          <w:color w:val="auto"/>
          <w:sz w:val="24"/>
          <w:szCs w:val="24"/>
          <w:highlight w:val="none"/>
        </w:rPr>
        <w:sectPr>
          <w:pgSz w:w="12240" w:h="15840"/>
          <w:pgMar w:top="1400" w:right="1680" w:bottom="1120" w:left="1700" w:header="0" w:footer="921" w:gutter="0"/>
          <w:cols w:space="720" w:num="1"/>
        </w:sectPr>
      </w:pP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成果文件的其他要求</w:t>
      </w:r>
    </w:p>
    <w:p>
      <w:pPr>
        <w:spacing w:line="430" w:lineRule="exact"/>
        <w:rPr>
          <w:rFonts w:hint="eastAsia" w:ascii="仿宋" w:hAnsi="仿宋" w:eastAsia="仿宋" w:cs="仿宋"/>
          <w:color w:val="auto"/>
          <w:sz w:val="24"/>
          <w:szCs w:val="24"/>
          <w:highlight w:val="none"/>
        </w:rPr>
      </w:pPr>
      <w:bookmarkStart w:id="105" w:name="_bookmark166"/>
      <w:bookmarkEnd w:id="105"/>
      <w:r>
        <w:rPr>
          <w:rFonts w:hint="eastAsia" w:ascii="仿宋" w:hAnsi="仿宋" w:eastAsia="仿宋" w:cs="仿宋"/>
          <w:color w:val="auto"/>
          <w:sz w:val="24"/>
          <w:szCs w:val="24"/>
          <w:highlight w:val="none"/>
        </w:rPr>
        <w:t>四、委托人财产清单</w:t>
      </w:r>
    </w:p>
    <w:p>
      <w:pPr>
        <w:spacing w:line="430" w:lineRule="exact"/>
        <w:ind w:firstLine="480" w:firstLineChars="200"/>
        <w:rPr>
          <w:rFonts w:hint="eastAsia" w:ascii="仿宋" w:hAnsi="仿宋" w:eastAsia="仿宋" w:cs="仿宋"/>
          <w:color w:val="auto"/>
          <w:sz w:val="24"/>
          <w:szCs w:val="24"/>
          <w:highlight w:val="none"/>
        </w:rPr>
      </w:pPr>
      <w:bookmarkStart w:id="106" w:name="_bookmark167"/>
      <w:bookmarkEnd w:id="106"/>
      <w:r>
        <w:rPr>
          <w:rFonts w:hint="eastAsia" w:ascii="仿宋" w:hAnsi="仿宋" w:eastAsia="仿宋" w:cs="仿宋"/>
          <w:color w:val="auto"/>
          <w:sz w:val="24"/>
          <w:szCs w:val="24"/>
          <w:highlight w:val="none"/>
        </w:rPr>
        <w:t>（一）委托人提供的设备、设施</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委托人提供的办公房屋及冷暖设施：如办公室数量及面积、空调等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委托人提供的设备清单：如电脑、投影、打印机、复印机等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委托人提供的设施清单：如办公桌椅、文件柜等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7" w:name="_bookmark168"/>
      <w:bookmarkEnd w:id="107"/>
      <w:r>
        <w:rPr>
          <w:rFonts w:hint="eastAsia" w:ascii="仿宋" w:hAnsi="仿宋" w:eastAsia="仿宋" w:cs="仿宋"/>
          <w:color w:val="auto"/>
          <w:sz w:val="24"/>
          <w:szCs w:val="24"/>
          <w:highlight w:val="none"/>
        </w:rPr>
        <w:t>（二）委托人提供的资料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施工场地及毗邻区域内的供水、排水、供电、供气、供热、通信、广播电视等地下管线 资料、气象和水文观测资料，相邻建筑物和构筑物、地下工程的有关资料，以及其他与建设工 程有关的原始资料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定位放线的基准点、基准线和基准标高</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委托人取得的有关审批、核准和备案材料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勘察文件、设计文件等资料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技术标准、规范</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工程承包合同及其他相关合同</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其他资料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8" w:name="_bookmark169"/>
      <w:bookmarkEnd w:id="108"/>
      <w:r>
        <w:rPr>
          <w:rFonts w:hint="eastAsia" w:ascii="仿宋" w:hAnsi="仿宋" w:eastAsia="仿宋" w:cs="仿宋"/>
          <w:color w:val="auto"/>
          <w:sz w:val="24"/>
          <w:szCs w:val="24"/>
          <w:highlight w:val="none"/>
        </w:rPr>
        <w:t>（三）委托人财产使用要求及退还要求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委托人财产使用要求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委托人财产退还要求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09" w:name="_bookmark170"/>
      <w:bookmarkEnd w:id="109"/>
      <w:r>
        <w:rPr>
          <w:rFonts w:hint="eastAsia" w:ascii="仿宋" w:hAnsi="仿宋" w:eastAsia="仿宋" w:cs="仿宋"/>
          <w:color w:val="auto"/>
          <w:sz w:val="24"/>
          <w:szCs w:val="24"/>
          <w:highlight w:val="none"/>
        </w:rPr>
        <w:t>五、委托人提供的便利条件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委托人提供的生活条件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委托人提供的交通条件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委托人提供的网络、通讯条件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委托人提供的协助人员</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110" w:name="_bookmark171"/>
      <w:bookmarkEnd w:id="110"/>
      <w:r>
        <w:rPr>
          <w:rFonts w:hint="eastAsia" w:ascii="仿宋" w:hAnsi="仿宋" w:eastAsia="仿宋" w:cs="仿宋"/>
          <w:color w:val="auto"/>
          <w:sz w:val="24"/>
          <w:szCs w:val="24"/>
          <w:highlight w:val="none"/>
        </w:rPr>
        <w:t>六、监理人需要自备的工作条件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监理人自备的工作手册：如本项目必备的规范标准、图集等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监理人自备的办公设备：如电脑、软件、投影、打印机、复印机、照相机等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监理人自备的交通工具：如出行车辆等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监理人自备的现场办公设施：如办公桌椅、文件柜等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监理人自备的安全设施：如安全帽、安全鞋、手电筒等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监理人自备的试验检测仪器、设备、工具</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监理人自备的试验用房、样品用房</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utoSpaceDE w:val="0"/>
        <w:autoSpaceDN w:val="0"/>
        <w:adjustRightInd w:val="0"/>
        <w:jc w:val="center"/>
        <w:outlineLvl w:val="0"/>
        <w:rPr>
          <w:rFonts w:hint="eastAsia" w:ascii="仿宋" w:hAnsi="仿宋" w:eastAsia="仿宋" w:cs="仿宋"/>
          <w:b/>
          <w:bCs/>
          <w:color w:val="auto"/>
          <w:sz w:val="36"/>
          <w:szCs w:val="36"/>
          <w:highlight w:val="none"/>
        </w:rPr>
      </w:pPr>
      <w:bookmarkStart w:id="111" w:name="_bookmark172"/>
      <w:bookmarkEnd w:id="111"/>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第六章  </w:t>
      </w:r>
      <w:bookmarkStart w:id="112" w:name="_Toc278443525"/>
      <w:bookmarkEnd w:id="112"/>
      <w:r>
        <w:rPr>
          <w:rFonts w:hint="eastAsia" w:ascii="仿宋" w:hAnsi="仿宋" w:eastAsia="仿宋" w:cs="仿宋"/>
          <w:b/>
          <w:bCs/>
          <w:color w:val="auto"/>
          <w:sz w:val="36"/>
          <w:szCs w:val="36"/>
          <w:highlight w:val="none"/>
        </w:rPr>
        <w:t>投标文件格式</w:t>
      </w:r>
    </w:p>
    <w:p>
      <w:pPr>
        <w:ind w:left="180"/>
        <w:jc w:val="center"/>
        <w:rPr>
          <w:rFonts w:hint="eastAsia" w:ascii="仿宋" w:hAnsi="仿宋" w:eastAsia="仿宋" w:cs="仿宋"/>
          <w:b/>
          <w:bCs/>
          <w:color w:val="auto"/>
          <w:sz w:val="24"/>
          <w:szCs w:val="24"/>
          <w:highlight w:val="none"/>
        </w:rPr>
      </w:pPr>
    </w:p>
    <w:p>
      <w:pPr>
        <w:ind w:left="180"/>
        <w:jc w:val="righ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正（副）本</w:t>
      </w:r>
    </w:p>
    <w:p>
      <w:pPr>
        <w:ind w:left="180"/>
        <w:jc w:val="right"/>
        <w:rPr>
          <w:rFonts w:hint="eastAsia" w:ascii="仿宋" w:hAnsi="仿宋" w:eastAsia="仿宋" w:cs="仿宋"/>
          <w:b/>
          <w:bCs/>
          <w:color w:val="auto"/>
          <w:sz w:val="32"/>
          <w:szCs w:val="32"/>
          <w:highlight w:val="none"/>
        </w:rPr>
      </w:pPr>
    </w:p>
    <w:p>
      <w:pPr>
        <w:ind w:left="1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single"/>
        </w:rPr>
        <w:t xml:space="preserve">                   (项目名称)/标段 </w:t>
      </w: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监 理 投 标 文 件</w:t>
      </w:r>
    </w:p>
    <w:p>
      <w:pPr>
        <w:ind w:left="180"/>
        <w:rPr>
          <w:rFonts w:hint="eastAsia" w:ascii="仿宋" w:hAnsi="仿宋" w:eastAsia="仿宋" w:cs="仿宋"/>
          <w:color w:val="auto"/>
          <w:sz w:val="32"/>
          <w:szCs w:val="32"/>
          <w:highlight w:val="none"/>
        </w:rPr>
      </w:pPr>
    </w:p>
    <w:p>
      <w:pPr>
        <w:ind w:left="292" w:leftChars="86"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项目编号： </w:t>
      </w: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投标人:(盖单位章)</w:t>
      </w:r>
    </w:p>
    <w:p>
      <w:pPr>
        <w:ind w:left="180"/>
        <w:jc w:val="center"/>
        <w:rPr>
          <w:rFonts w:hint="eastAsia" w:ascii="仿宋" w:hAnsi="仿宋" w:eastAsia="仿宋" w:cs="仿宋"/>
          <w:b/>
          <w:bCs/>
          <w:color w:val="auto"/>
          <w:sz w:val="30"/>
          <w:szCs w:val="30"/>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法定代表人或其委托代理人:(签字或盖章)</w:t>
      </w:r>
    </w:p>
    <w:p>
      <w:pPr>
        <w:ind w:left="180"/>
        <w:jc w:val="center"/>
        <w:rPr>
          <w:rFonts w:hint="eastAsia" w:ascii="仿宋" w:hAnsi="仿宋" w:eastAsia="仿宋" w:cs="仿宋"/>
          <w:b/>
          <w:bCs/>
          <w:color w:val="auto"/>
          <w:sz w:val="30"/>
          <w:szCs w:val="30"/>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日</w:t>
      </w:r>
    </w:p>
    <w:p>
      <w:pPr>
        <w:pStyle w:val="6"/>
        <w:rPr>
          <w:rFonts w:hint="eastAsia" w:ascii="仿宋" w:hAnsi="仿宋" w:eastAsia="仿宋" w:cs="仿宋"/>
          <w:color w:val="auto"/>
          <w:highlight w:val="none"/>
        </w:rPr>
      </w:pPr>
    </w:p>
    <w:p>
      <w:pPr>
        <w:pStyle w:val="6"/>
        <w:rPr>
          <w:rFonts w:hint="eastAsia" w:ascii="仿宋" w:hAnsi="仿宋" w:eastAsia="仿宋" w:cs="仿宋"/>
          <w:color w:val="auto"/>
          <w:highlight w:val="none"/>
        </w:rPr>
      </w:pPr>
    </w:p>
    <w:p>
      <w:pPr>
        <w:spacing w:line="360" w:lineRule="auto"/>
        <w:jc w:val="center"/>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36"/>
          <w:szCs w:val="36"/>
          <w:highlight w:val="none"/>
        </w:rPr>
        <w:t>目   录</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一、投标函及投标函附录</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二、法定代表人身份证明或附有法定代表人证明的授权委托书；</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三、投标保证金；</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、监理单位综合情况；</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、拟派本项目监理机构及主要人员；</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、服务承诺；</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、近年完成的类似项目情况；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、正在监理和新承接的项目情况；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、近年发生的诉讼及仲裁情况；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十、投标人认为有必要的其它证明材料；</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、监理大纲</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3、造价控制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4、安全措施</w:t>
      </w:r>
    </w:p>
    <w:p>
      <w:pPr>
        <w:autoSpaceDE w:val="0"/>
        <w:autoSpaceDN w:val="0"/>
        <w:adjustRightInd w:val="0"/>
        <w:spacing w:line="420" w:lineRule="exact"/>
        <w:ind w:firstLine="952" w:firstLineChars="397"/>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5、旁站监理措施</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6、档案及合同管理</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7、工作制度</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8、组织协调及合理化建议</w:t>
      </w:r>
    </w:p>
    <w:p>
      <w:pPr>
        <w:autoSpaceDE w:val="0"/>
        <w:autoSpaceDN w:val="0"/>
        <w:adjustRightInd w:val="0"/>
        <w:spacing w:line="420" w:lineRule="exact"/>
        <w:outlineLvl w:val="0"/>
        <w:rPr>
          <w:rFonts w:hint="eastAsia" w:ascii="仿宋" w:hAnsi="仿宋" w:eastAsia="仿宋" w:cs="仿宋"/>
          <w:color w:val="auto"/>
          <w:sz w:val="24"/>
          <w:szCs w:val="24"/>
          <w:highlight w:val="none"/>
        </w:rPr>
      </w:pPr>
    </w:p>
    <w:p>
      <w:pPr>
        <w:spacing w:line="600" w:lineRule="exact"/>
        <w:ind w:left="1377" w:leftChars="40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投标文件编制过程中应按本章提供的格式填报。</w:t>
      </w:r>
    </w:p>
    <w:p>
      <w:pPr>
        <w:spacing w:line="600" w:lineRule="exact"/>
        <w:ind w:left="1377" w:leftChars="40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如有本章未提供的格式，投标人可自行编制。</w:t>
      </w:r>
      <w:bookmarkStart w:id="113" w:name="_bookmark176"/>
      <w:bookmarkEnd w:id="113"/>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21"/>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一、投标函及投标函附录</w:t>
      </w:r>
    </w:p>
    <w:p>
      <w:pPr>
        <w:pStyle w:val="26"/>
        <w:adjustRightInd w:val="0"/>
        <w:snapToGrid w:val="0"/>
        <w:spacing w:line="360" w:lineRule="auto"/>
        <w:jc w:val="center"/>
        <w:rPr>
          <w:rFonts w:hint="eastAsia" w:ascii="仿宋" w:hAnsi="仿宋" w:eastAsia="仿宋" w:cs="仿宋"/>
          <w:color w:val="auto"/>
          <w:sz w:val="24"/>
          <w:szCs w:val="24"/>
          <w:highlight w:val="none"/>
        </w:rPr>
      </w:pPr>
      <w:bookmarkStart w:id="114" w:name="_bookmark177"/>
      <w:bookmarkEnd w:id="114"/>
      <w:r>
        <w:rPr>
          <w:rFonts w:hint="eastAsia" w:ascii="仿宋" w:hAnsi="仿宋" w:eastAsia="仿宋" w:cs="仿宋"/>
          <w:color w:val="auto"/>
          <w:sz w:val="24"/>
          <w:szCs w:val="24"/>
          <w:highlight w:val="none"/>
        </w:rPr>
        <w:t>（一）投标函</w:t>
      </w:r>
    </w:p>
    <w:p>
      <w:pPr>
        <w:autoSpaceDE w:val="0"/>
        <w:autoSpaceDN w:val="0"/>
        <w:adjustRightInd w:val="0"/>
        <w:spacing w:line="42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p>
    <w:p>
      <w:pPr>
        <w:spacing w:line="42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监理项目的招标文件，经详细研究，我们决定参加该项目投标活动并投标，我们郑重声明以下诸点并负法律责任。</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我方授权</w:t>
      </w:r>
      <w:r>
        <w:rPr>
          <w:rFonts w:hint="eastAsia" w:ascii="仿宋" w:hAnsi="仿宋" w:eastAsia="仿宋" w:cs="仿宋"/>
          <w:color w:val="auto"/>
          <w:sz w:val="24"/>
          <w:szCs w:val="24"/>
          <w:highlight w:val="none"/>
          <w:u w:val="single"/>
        </w:rPr>
        <w:t>（姓名、职务）</w:t>
      </w:r>
      <w:r>
        <w:rPr>
          <w:rFonts w:hint="eastAsia" w:ascii="仿宋" w:hAnsi="仿宋" w:eastAsia="仿宋" w:cs="仿宋"/>
          <w:color w:val="auto"/>
          <w:sz w:val="24"/>
          <w:szCs w:val="24"/>
          <w:highlight w:val="none"/>
        </w:rPr>
        <w:t>作为全权代表负责该工程投标及处理有关事宜。</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愿按照招标文件中的条款和要求，提供施工阶段的工程监理服务，监理费报价为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，服务期限为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，项目总监为：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我们按照招标文件中的规定，认定本投标文件的有效期为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天，如果中标，有效期延长至合同终止日止。</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color w:val="auto"/>
          <w:sz w:val="24"/>
          <w:szCs w:val="24"/>
          <w:highlight w:val="none"/>
        </w:rPr>
        <w:t>我们愿按招标文件规定，提供招标文件中要求的所有文件资料。</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color w:val="auto"/>
          <w:sz w:val="24"/>
          <w:szCs w:val="24"/>
          <w:highlight w:val="none"/>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color w:val="auto"/>
          <w:sz w:val="24"/>
          <w:szCs w:val="24"/>
          <w:highlight w:val="none"/>
        </w:rPr>
        <w:t>我们愿按《中华人民共和国合同法》履行自己的全部责任。</w:t>
      </w:r>
    </w:p>
    <w:p>
      <w:pPr>
        <w:spacing w:line="4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w:t>
      </w:r>
      <w:r>
        <w:rPr>
          <w:rFonts w:hint="eastAsia" w:ascii="仿宋" w:hAnsi="仿宋" w:eastAsia="仿宋" w:cs="仿宋"/>
          <w:color w:val="auto"/>
          <w:sz w:val="24"/>
          <w:szCs w:val="24"/>
          <w:highlight w:val="none"/>
        </w:rPr>
        <w:t>若我方中标，我方愿意按有关文件规定缴纳招标代理费用。</w:t>
      </w:r>
    </w:p>
    <w:p>
      <w:pPr>
        <w:spacing w:line="420" w:lineRule="auto"/>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投标人名称：（盖章）</w:t>
      </w:r>
      <w:r>
        <w:rPr>
          <w:rFonts w:hint="eastAsia" w:ascii="仿宋" w:hAnsi="仿宋" w:eastAsia="仿宋" w:cs="仿宋"/>
          <w:color w:val="auto"/>
          <w:sz w:val="24"/>
          <w:szCs w:val="24"/>
          <w:highlight w:val="none"/>
        </w:rPr>
        <w:tab/>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法定代表人：（签字或盖章）</w:t>
      </w:r>
    </w:p>
    <w:p>
      <w:pPr>
        <w:rPr>
          <w:rFonts w:hint="eastAsia" w:ascii="仿宋" w:hAnsi="仿宋" w:eastAsia="仿宋" w:cs="仿宋"/>
          <w:color w:val="auto"/>
          <w:sz w:val="24"/>
          <w:szCs w:val="24"/>
          <w:highlight w:val="none"/>
        </w:rPr>
      </w:pPr>
    </w:p>
    <w:p>
      <w:pPr>
        <w:ind w:firstLine="4080" w:firstLineChars="170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pStyle w:val="6"/>
        <w:adjustRightInd w:val="0"/>
        <w:snapToGrid w:val="0"/>
        <w:spacing w:line="360" w:lineRule="auto"/>
        <w:ind w:left="520" w:right="113"/>
        <w:rPr>
          <w:rFonts w:hint="eastAsia" w:ascii="仿宋" w:hAnsi="仿宋" w:eastAsia="仿宋" w:cs="仿宋"/>
          <w:color w:val="auto"/>
          <w:sz w:val="21"/>
          <w:szCs w:val="21"/>
          <w:highlight w:val="none"/>
        </w:rPr>
      </w:pPr>
      <w:r>
        <w:rPr>
          <w:rFonts w:hint="eastAsia" w:ascii="仿宋" w:hAnsi="仿宋" w:eastAsia="仿宋" w:cs="仿宋"/>
          <w:b/>
          <w:bCs/>
          <w:color w:val="auto"/>
          <w:sz w:val="24"/>
          <w:szCs w:val="24"/>
          <w:highlight w:val="none"/>
        </w:rPr>
        <w:br w:type="page"/>
      </w:r>
    </w:p>
    <w:p>
      <w:pPr>
        <w:pStyle w:val="26"/>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（二）、投标函附录</w:t>
      </w:r>
    </w:p>
    <w:tbl>
      <w:tblPr>
        <w:tblStyle w:val="13"/>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3281"/>
        <w:gridCol w:w="12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项目总监</w:t>
            </w:r>
          </w:p>
        </w:tc>
        <w:tc>
          <w:tcPr>
            <w:tcW w:w="328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注册证书编号</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pPr>
              <w:rPr>
                <w:rFonts w:hint="eastAsia" w:ascii="仿宋" w:hAnsi="仿宋" w:eastAsia="仿宋" w:cs="仿宋"/>
                <w:color w:val="auto"/>
                <w:sz w:val="24"/>
                <w:szCs w:val="24"/>
                <w:highlight w:val="none"/>
              </w:rPr>
            </w:pPr>
          </w:p>
        </w:tc>
        <w:tc>
          <w:tcPr>
            <w:tcW w:w="3281"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2656" w:type="dxa"/>
            <w:gridSpan w:val="2"/>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40" w:type="dxa"/>
            <w:gridSpan w:val="4"/>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优惠与服务承诺</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bl>
    <w:p>
      <w:pPr>
        <w:pStyle w:val="6"/>
        <w:adjustRightInd w:val="0"/>
        <w:snapToGrid w:val="0"/>
        <w:spacing w:line="360" w:lineRule="auto"/>
        <w:ind w:left="520" w:right="113"/>
        <w:rPr>
          <w:rFonts w:hint="eastAsia" w:ascii="仿宋" w:hAnsi="仿宋" w:eastAsia="仿宋" w:cs="仿宋"/>
          <w:color w:val="auto"/>
          <w:sz w:val="21"/>
          <w:szCs w:val="21"/>
          <w:highlight w:val="none"/>
        </w:rPr>
      </w:pPr>
    </w:p>
    <w:p>
      <w:pPr>
        <w:pStyle w:val="6"/>
        <w:adjustRightInd w:val="0"/>
        <w:snapToGrid w:val="0"/>
        <w:spacing w:line="360" w:lineRule="auto"/>
        <w:ind w:left="520" w:right="113"/>
        <w:rPr>
          <w:rFonts w:hint="eastAsia" w:ascii="仿宋" w:hAnsi="仿宋" w:eastAsia="仿宋" w:cs="仿宋"/>
          <w:color w:val="auto"/>
          <w:sz w:val="21"/>
          <w:szCs w:val="21"/>
          <w:highlight w:val="none"/>
        </w:rPr>
      </w:pPr>
    </w:p>
    <w:p>
      <w:pPr>
        <w:pStyle w:val="6"/>
        <w:spacing w:before="36" w:beforeAutospacing="0"/>
        <w:ind w:left="2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（盖单位章）</w:t>
      </w:r>
    </w:p>
    <w:p>
      <w:pPr>
        <w:pStyle w:val="6"/>
        <w:spacing w:before="12" w:beforeAutospacing="0"/>
        <w:rPr>
          <w:rFonts w:hint="eastAsia" w:ascii="仿宋" w:hAnsi="仿宋" w:eastAsia="仿宋" w:cs="仿宋"/>
          <w:color w:val="auto"/>
          <w:sz w:val="24"/>
          <w:szCs w:val="24"/>
          <w:highlight w:val="none"/>
        </w:rPr>
      </w:pPr>
    </w:p>
    <w:p>
      <w:pPr>
        <w:pStyle w:val="6"/>
        <w:spacing w:before="37" w:beforeAutospacing="0"/>
        <w:ind w:left="2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w:t>
      </w:r>
    </w:p>
    <w:p>
      <w:pPr>
        <w:pStyle w:val="6"/>
        <w:spacing w:before="10" w:beforeAutospacing="0"/>
        <w:rPr>
          <w:rFonts w:hint="eastAsia" w:ascii="仿宋" w:hAnsi="仿宋" w:eastAsia="仿宋" w:cs="仿宋"/>
          <w:color w:val="auto"/>
          <w:sz w:val="24"/>
          <w:szCs w:val="24"/>
          <w:highlight w:val="none"/>
        </w:rPr>
      </w:pPr>
    </w:p>
    <w:p>
      <w:pPr>
        <w:pStyle w:val="6"/>
        <w:wordWrap w:val="0"/>
        <w:adjustRightInd w:val="0"/>
        <w:snapToGrid w:val="0"/>
        <w:spacing w:line="360" w:lineRule="auto"/>
        <w:ind w:left="520" w:right="113"/>
        <w:jc w:val="righ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utoSpaceDE w:val="0"/>
        <w:autoSpaceDN w:val="0"/>
        <w:adjustRightInd w:val="0"/>
        <w:spacing w:beforeLines="100" w:afterLines="100" w:line="420" w:lineRule="exact"/>
        <w:jc w:val="center"/>
        <w:outlineLvl w:val="0"/>
        <w:rPr>
          <w:rFonts w:hint="eastAsia" w:ascii="仿宋" w:hAnsi="仿宋" w:eastAsia="仿宋" w:cs="仿宋"/>
          <w:color w:val="auto"/>
          <w:sz w:val="28"/>
          <w:szCs w:val="28"/>
          <w:highlight w:val="none"/>
        </w:rPr>
      </w:pPr>
    </w:p>
    <w:p>
      <w:pPr>
        <w:autoSpaceDE w:val="0"/>
        <w:autoSpaceDN w:val="0"/>
        <w:adjustRightInd w:val="0"/>
        <w:spacing w:beforeLines="100" w:afterLines="100" w:line="42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二、法定代表人身份证明或附有法定代表人证明的授权委托书</w:t>
      </w: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bookmarkStart w:id="115" w:name="_Toc271787731"/>
      <w:bookmarkEnd w:id="115"/>
      <w:r>
        <w:rPr>
          <w:rFonts w:hint="eastAsia" w:ascii="仿宋" w:hAnsi="仿宋" w:eastAsia="仿宋" w:cs="仿宋"/>
          <w:color w:val="auto"/>
          <w:sz w:val="24"/>
          <w:szCs w:val="24"/>
          <w:highlight w:val="none"/>
        </w:rPr>
        <w:t>（一）法定代表人身份证明</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姓名：性别：年龄：职务：</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系（投标人名称）的法定代表人。</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autoSpaceDE w:val="0"/>
        <w:autoSpaceDN w:val="0"/>
        <w:adjustRightInd w:val="0"/>
        <w:spacing w:line="42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utoSpaceDE w:val="0"/>
        <w:autoSpaceDN w:val="0"/>
        <w:adjustRightInd w:val="0"/>
        <w:spacing w:line="42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autoSpaceDE w:val="0"/>
        <w:autoSpaceDN w:val="0"/>
        <w:adjustRightInd w:val="0"/>
        <w:spacing w:line="420" w:lineRule="exact"/>
        <w:ind w:firstLine="680" w:firstLineChars="200"/>
        <w:jc w:val="right"/>
        <w:rPr>
          <w:rFonts w:hint="eastAsia" w:ascii="仿宋" w:hAnsi="仿宋" w:eastAsia="仿宋" w:cs="仿宋"/>
          <w:color w:val="auto"/>
          <w:highlight w:val="none"/>
        </w:rPr>
      </w:pP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bookmarkStart w:id="116" w:name="_Toc271787732"/>
      <w:bookmarkEnd w:id="116"/>
      <w:r>
        <w:rPr>
          <w:rFonts w:hint="eastAsia" w:ascii="仿宋" w:hAnsi="仿宋" w:eastAsia="仿宋" w:cs="仿宋"/>
          <w:color w:val="auto"/>
          <w:sz w:val="24"/>
          <w:szCs w:val="24"/>
          <w:highlight w:val="none"/>
        </w:rPr>
        <w:t>（二）授权委托书</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w:t>
      </w:r>
      <w:r>
        <w:rPr>
          <w:rFonts w:hint="eastAsia" w:ascii="仿宋" w:hAnsi="仿宋" w:eastAsia="仿宋" w:cs="仿宋"/>
          <w:color w:val="auto"/>
          <w:sz w:val="24"/>
          <w:szCs w:val="24"/>
          <w:highlight w:val="none"/>
        </w:rPr>
        <w:t>（身份证号：，联系电话： ）为我公司处理</w:t>
      </w:r>
      <w:r>
        <w:rPr>
          <w:rFonts w:hint="eastAsia" w:ascii="仿宋" w:hAnsi="仿宋" w:eastAsia="仿宋" w:cs="仿宋"/>
          <w:color w:val="auto"/>
          <w:sz w:val="24"/>
          <w:szCs w:val="24"/>
          <w:highlight w:val="none"/>
          <w:u w:val="single"/>
        </w:rPr>
        <w:t xml:space="preserve">        （项目名称）（标段）</w:t>
      </w:r>
      <w:r>
        <w:rPr>
          <w:rFonts w:hint="eastAsia" w:ascii="仿宋" w:hAnsi="仿宋" w:eastAsia="仿宋" w:cs="仿宋"/>
          <w:color w:val="auto"/>
          <w:sz w:val="24"/>
          <w:szCs w:val="24"/>
          <w:highlight w:val="none"/>
        </w:rPr>
        <w:t>投标事宜的唯一授权委托人，该项委托权不得转让。</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附：法定代表人（单位负责人）及授权委托人身份证复印件（正反面）</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 </w:t>
      </w:r>
      <w:r>
        <w:rPr>
          <w:rFonts w:hint="eastAsia" w:ascii="仿宋" w:hAnsi="仿宋" w:eastAsia="仿宋" w:cs="仿宋"/>
          <w:color w:val="auto"/>
          <w:sz w:val="24"/>
          <w:szCs w:val="24"/>
          <w:highlight w:val="none"/>
          <w:u w:val="single"/>
        </w:rPr>
        <w:t xml:space="preserve">                      （盖章）</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受委托人：  </w:t>
      </w:r>
      <w:r>
        <w:rPr>
          <w:rFonts w:hint="eastAsia" w:ascii="仿宋" w:hAnsi="仿宋" w:eastAsia="仿宋" w:cs="仿宋"/>
          <w:color w:val="auto"/>
          <w:sz w:val="24"/>
          <w:szCs w:val="24"/>
          <w:highlight w:val="none"/>
          <w:u w:val="single"/>
        </w:rPr>
        <w:t xml:space="preserve">                     （签字）</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Style w:val="6"/>
        <w:adjustRightInd w:val="0"/>
        <w:snapToGrid w:val="0"/>
        <w:spacing w:line="360" w:lineRule="auto"/>
        <w:ind w:left="520" w:right="113"/>
        <w:rPr>
          <w:rFonts w:hint="eastAsia" w:ascii="仿宋" w:hAnsi="仿宋" w:eastAsia="仿宋" w:cs="仿宋"/>
          <w:color w:val="auto"/>
          <w:sz w:val="21"/>
          <w:szCs w:val="21"/>
          <w:highlight w:val="none"/>
        </w:rPr>
      </w:pPr>
    </w:p>
    <w:p>
      <w:pPr>
        <w:pStyle w:val="21"/>
        <w:spacing w:line="443" w:lineRule="exact"/>
        <w:ind w:right="3338"/>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三、投标保证金</w:t>
      </w:r>
    </w:p>
    <w:p>
      <w:pP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（投标保证金汇款凭证和基本账户开户许可证的原件扫描件或者图片）</w:t>
      </w:r>
    </w:p>
    <w:p>
      <w:pPr>
        <w:spacing w:line="443" w:lineRule="exact"/>
        <w:ind w:left="3239" w:right="3140"/>
        <w:jc w:val="center"/>
        <w:rPr>
          <w:rFonts w:hint="eastAsia" w:ascii="仿宋" w:hAnsi="仿宋" w:eastAsia="仿宋" w:cs="仿宋"/>
          <w:b/>
          <w:bCs/>
          <w:color w:val="auto"/>
          <w:sz w:val="24"/>
          <w:szCs w:val="24"/>
          <w:highlight w:val="none"/>
        </w:rPr>
      </w:pPr>
      <w:bookmarkStart w:id="117" w:name="_bookmark183"/>
      <w:bookmarkEnd w:id="117"/>
    </w:p>
    <w:p>
      <w:pPr>
        <w:pStyle w:val="25"/>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四、监理单位综合情况</w:t>
      </w:r>
    </w:p>
    <w:p>
      <w:pPr>
        <w:pStyle w:val="25"/>
        <w:jc w:val="center"/>
        <w:rPr>
          <w:rFonts w:hint="eastAsia" w:ascii="仿宋" w:hAnsi="仿宋" w:eastAsia="仿宋" w:cs="仿宋"/>
          <w:b/>
          <w:color w:val="auto"/>
          <w:sz w:val="24"/>
          <w:szCs w:val="24"/>
          <w:highlight w:val="none"/>
        </w:rPr>
      </w:pPr>
    </w:p>
    <w:tbl>
      <w:tblPr>
        <w:tblStyle w:val="1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法人代表姓名</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企业主管单位</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联系传真</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监理资质等级</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企业组建时间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企业邮编</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企业经营范围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企业人员状况</w:t>
            </w:r>
          </w:p>
        </w:tc>
        <w:tc>
          <w:tcPr>
            <w:tcW w:w="3060" w:type="dxa"/>
            <w:gridSpan w:val="3"/>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企业总人数：</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在册工程技术人员：</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国家注册监理工程师人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地方注册监理工程师人</w:t>
            </w:r>
          </w:p>
        </w:tc>
        <w:tc>
          <w:tcPr>
            <w:tcW w:w="414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3060" w:type="dxa"/>
            <w:gridSpan w:val="3"/>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4140" w:type="dxa"/>
            <w:gridSpan w:val="2"/>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企业固定资产总额：万元</w:t>
            </w: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3060" w:type="dxa"/>
            <w:gridSpan w:val="3"/>
            <w:tcBorders>
              <w:top w:val="nil"/>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4140"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r>
    </w:tbl>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注：本表后须附有关证件（ 营业执照、资质证、近三年财务状况等）的原件扫描件或图片。</w:t>
      </w:r>
    </w:p>
    <w:p>
      <w:pPr>
        <w:pStyle w:val="25"/>
        <w:rPr>
          <w:rFonts w:hint="eastAsia" w:ascii="仿宋" w:hAnsi="仿宋" w:eastAsia="仿宋" w:cs="仿宋"/>
          <w:b/>
          <w:bCs/>
          <w:color w:val="auto"/>
          <w:highlight w:val="none"/>
        </w:rPr>
      </w:pPr>
    </w:p>
    <w:p>
      <w:pPr>
        <w:pStyle w:val="2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w:t>
      </w:r>
      <w:r>
        <w:rPr>
          <w:rFonts w:hint="eastAsia" w:ascii="仿宋" w:hAnsi="仿宋" w:eastAsia="仿宋" w:cs="仿宋"/>
          <w:b/>
          <w:color w:val="auto"/>
          <w:sz w:val="28"/>
          <w:szCs w:val="28"/>
          <w:highlight w:val="none"/>
        </w:rPr>
        <w:t>、拟派本项目监理机构及主要人员</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118" w:name="_Toc215282253"/>
      <w:bookmarkEnd w:id="118"/>
      <w:r>
        <w:rPr>
          <w:rFonts w:hint="eastAsia" w:ascii="仿宋" w:hAnsi="仿宋" w:eastAsia="仿宋" w:cs="仿宋"/>
          <w:color w:val="auto"/>
          <w:sz w:val="28"/>
          <w:szCs w:val="28"/>
          <w:highlight w:val="none"/>
        </w:rPr>
        <w:t>（</w:t>
      </w:r>
      <w:r>
        <w:rPr>
          <w:rFonts w:hint="eastAsia" w:ascii="仿宋" w:hAnsi="仿宋" w:eastAsia="仿宋" w:cs="仿宋"/>
          <w:b/>
          <w:bCs/>
          <w:color w:val="auto"/>
          <w:sz w:val="24"/>
          <w:szCs w:val="24"/>
          <w:highlight w:val="none"/>
        </w:rPr>
        <w:t>一）项目监理机构组成表</w:t>
      </w:r>
    </w:p>
    <w:tbl>
      <w:tblPr>
        <w:tblStyle w:val="13"/>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3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035"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530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03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bl>
    <w:p>
      <w:pPr>
        <w:autoSpaceDE w:val="0"/>
        <w:autoSpaceDN w:val="0"/>
        <w:adjustRightInd w:val="0"/>
        <w:spacing w:line="420" w:lineRule="exact"/>
        <w:jc w:val="left"/>
        <w:rPr>
          <w:rFonts w:hint="eastAsia" w:ascii="仿宋" w:hAnsi="仿宋" w:eastAsia="仿宋" w:cs="仿宋"/>
          <w:color w:val="auto"/>
          <w:sz w:val="24"/>
          <w:szCs w:val="24"/>
          <w:highlight w:val="none"/>
        </w:rPr>
      </w:pPr>
    </w:p>
    <w:p>
      <w:pPr>
        <w:autoSpaceDE w:val="0"/>
        <w:autoSpaceDN w:val="0"/>
        <w:adjustRightInd w:val="0"/>
        <w:spacing w:line="420" w:lineRule="exact"/>
        <w:jc w:val="center"/>
        <w:outlineLvl w:val="0"/>
        <w:rPr>
          <w:rFonts w:hint="eastAsia" w:ascii="仿宋" w:hAnsi="仿宋" w:eastAsia="仿宋" w:cs="仿宋"/>
          <w:b/>
          <w:bCs/>
          <w:color w:val="auto"/>
          <w:sz w:val="24"/>
          <w:szCs w:val="24"/>
          <w:highlight w:val="none"/>
        </w:rPr>
      </w:pPr>
      <w:bookmarkStart w:id="119" w:name="_Toc215282254"/>
      <w:bookmarkEnd w:id="119"/>
      <w:r>
        <w:rPr>
          <w:rFonts w:hint="eastAsia" w:ascii="仿宋" w:hAnsi="仿宋" w:eastAsia="仿宋" w:cs="仿宋"/>
          <w:b/>
          <w:bCs/>
          <w:color w:val="auto"/>
          <w:sz w:val="24"/>
          <w:szCs w:val="24"/>
          <w:highlight w:val="none"/>
        </w:rPr>
        <w:t>（二）主要人员简历表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“主要人员简历表”中的总监理师应附注册监理工程师证、身份证、职称证、类似项目业绩的原件扫描件或图片，其他主要人员应附执业证或上岗证的原件扫描件或图片。</w:t>
      </w:r>
    </w:p>
    <w:p>
      <w:pPr>
        <w:autoSpaceDE w:val="0"/>
        <w:autoSpaceDN w:val="0"/>
        <w:adjustRightInd w:val="0"/>
        <w:spacing w:line="420" w:lineRule="exact"/>
        <w:jc w:val="left"/>
        <w:rPr>
          <w:rFonts w:hint="eastAsia" w:ascii="仿宋" w:hAnsi="仿宋" w:eastAsia="仿宋" w:cs="仿宋"/>
          <w:color w:val="auto"/>
          <w:sz w:val="24"/>
          <w:szCs w:val="24"/>
          <w:highlight w:val="none"/>
        </w:rPr>
      </w:pPr>
    </w:p>
    <w:tbl>
      <w:tblPr>
        <w:tblStyle w:val="13"/>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拟在本合同任职</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764"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w:t>
            </w: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bl>
    <w:p>
      <w:pPr>
        <w:autoSpaceDE w:val="0"/>
        <w:autoSpaceDN w:val="0"/>
        <w:adjustRightInd w:val="0"/>
        <w:spacing w:line="420" w:lineRule="exact"/>
        <w:jc w:val="left"/>
        <w:rPr>
          <w:rFonts w:hint="eastAsia" w:ascii="仿宋" w:hAnsi="仿宋" w:eastAsia="仿宋" w:cs="仿宋"/>
          <w:color w:val="auto"/>
          <w:sz w:val="24"/>
          <w:szCs w:val="24"/>
          <w:highlight w:val="none"/>
        </w:rPr>
      </w:pPr>
    </w:p>
    <w:p>
      <w:pPr>
        <w:pStyle w:val="21"/>
        <w:spacing w:line="457" w:lineRule="exact"/>
        <w:ind w:left="3259" w:right="3260"/>
        <w:jc w:val="center"/>
        <w:rPr>
          <w:rFonts w:hint="eastAsia" w:ascii="仿宋" w:hAnsi="仿宋" w:eastAsia="仿宋" w:cs="仿宋"/>
          <w:color w:val="auto"/>
          <w:sz w:val="21"/>
          <w:szCs w:val="21"/>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六、服务承诺书</w:t>
      </w:r>
    </w:p>
    <w:tbl>
      <w:tblPr>
        <w:tblStyle w:val="13"/>
        <w:tblW w:w="9238" w:type="dxa"/>
        <w:jc w:val="center"/>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jc w:val="center"/>
        </w:trPr>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2"/>
                <w:sz w:val="24"/>
                <w:szCs w:val="24"/>
                <w:highlight w:val="none"/>
              </w:rPr>
            </w:pPr>
            <w:bookmarkStart w:id="120" w:name="_bookmark187"/>
            <w:bookmarkEnd w:id="120"/>
            <w:r>
              <w:rPr>
                <w:rFonts w:hint="eastAsia" w:ascii="仿宋" w:hAnsi="仿宋" w:eastAsia="仿宋" w:cs="仿宋"/>
                <w:color w:val="auto"/>
                <w:sz w:val="24"/>
                <w:szCs w:val="24"/>
                <w:highlight w:val="none"/>
              </w:rPr>
              <w:t> 投  标  单 位</w:t>
            </w:r>
          </w:p>
        </w:tc>
        <w:tc>
          <w:tcPr>
            <w:tcW w:w="7159" w:type="dxa"/>
            <w:tcBorders>
              <w:top w:val="single" w:color="auto" w:sz="4" w:space="0"/>
              <w:left w:val="nil"/>
              <w:bottom w:val="single" w:color="auto" w:sz="4" w:space="0"/>
              <w:right w:val="single" w:color="auto" w:sz="4" w:space="0"/>
            </w:tcBorders>
            <w:vAlign w:val="center"/>
          </w:tcPr>
          <w:p>
            <w:pPr>
              <w:ind w:firstLine="4440" w:firstLineChars="1850"/>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（盖章）</w:t>
            </w:r>
          </w:p>
        </w:tc>
      </w:tr>
      <w:tr>
        <w:tblPrEx>
          <w:tblLayout w:type="fixed"/>
          <w:tblCellMar>
            <w:top w:w="0" w:type="dxa"/>
            <w:left w:w="108" w:type="dxa"/>
            <w:bottom w:w="0" w:type="dxa"/>
            <w:right w:w="108" w:type="dxa"/>
          </w:tblCellMar>
        </w:tblPrEx>
        <w:trPr>
          <w:trHeight w:val="5145" w:hRule="atLeast"/>
          <w:jc w:val="center"/>
        </w:trPr>
        <w:tc>
          <w:tcPr>
            <w:tcW w:w="9238"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承诺内容：</w:t>
            </w:r>
          </w:p>
          <w:p>
            <w:pPr>
              <w:rPr>
                <w:rFonts w:hint="eastAsia" w:ascii="仿宋" w:hAnsi="仿宋" w:eastAsia="仿宋" w:cs="仿宋"/>
                <w:color w:val="auto"/>
                <w:sz w:val="24"/>
                <w:szCs w:val="24"/>
                <w:highlight w:val="none"/>
              </w:rPr>
            </w:pPr>
          </w:p>
          <w:p>
            <w:pPr>
              <w:pStyle w:val="24"/>
              <w:ind w:firstLine="240"/>
              <w:rPr>
                <w:rFonts w:hint="eastAsia" w:ascii="仿宋" w:hAnsi="仿宋" w:eastAsia="仿宋" w:cs="仿宋"/>
                <w:color w:val="auto"/>
                <w:sz w:val="24"/>
                <w:szCs w:val="24"/>
                <w:highlight w:val="none"/>
              </w:rPr>
            </w:pPr>
          </w:p>
          <w:p>
            <w:pPr>
              <w:pStyle w:val="24"/>
              <w:ind w:firstLine="240"/>
              <w:rPr>
                <w:rFonts w:hint="eastAsia" w:ascii="仿宋" w:hAnsi="仿宋" w:eastAsia="仿宋" w:cs="仿宋"/>
                <w:color w:val="auto"/>
                <w:sz w:val="24"/>
                <w:szCs w:val="24"/>
                <w:highlight w:val="none"/>
              </w:rPr>
            </w:pPr>
          </w:p>
          <w:p>
            <w:pPr>
              <w:pStyle w:val="24"/>
              <w:ind w:firstLine="240"/>
              <w:rPr>
                <w:rFonts w:hint="eastAsia" w:ascii="仿宋" w:hAnsi="仿宋" w:eastAsia="仿宋" w:cs="仿宋"/>
                <w:color w:val="auto"/>
                <w:sz w:val="24"/>
                <w:szCs w:val="24"/>
                <w:highlight w:val="none"/>
              </w:rPr>
            </w:pPr>
          </w:p>
          <w:p>
            <w:pPr>
              <w:pStyle w:val="24"/>
              <w:ind w:firstLine="240"/>
              <w:rPr>
                <w:rFonts w:hint="eastAsia" w:ascii="仿宋" w:hAnsi="仿宋" w:eastAsia="仿宋" w:cs="仿宋"/>
                <w:color w:val="auto"/>
                <w:sz w:val="24"/>
                <w:szCs w:val="24"/>
                <w:highlight w:val="none"/>
              </w:rPr>
            </w:pPr>
          </w:p>
          <w:p>
            <w:pPr>
              <w:pStyle w:val="24"/>
              <w:ind w:firstLine="24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firstLine="2400" w:firstLineChars="1000"/>
              <w:rPr>
                <w:rFonts w:hint="eastAsia" w:ascii="仿宋" w:hAnsi="仿宋" w:eastAsia="仿宋" w:cs="仿宋"/>
                <w:color w:val="auto"/>
                <w:sz w:val="24"/>
                <w:szCs w:val="24"/>
                <w:highlight w:val="none"/>
              </w:rPr>
            </w:pPr>
          </w:p>
          <w:p>
            <w:pPr>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投标人法定代表人或授权委托人：（签字或盖章）</w:t>
            </w:r>
          </w:p>
          <w:p>
            <w:pPr>
              <w:ind w:firstLine="2400" w:firstLineChars="1000"/>
              <w:rPr>
                <w:rFonts w:hint="eastAsia" w:ascii="仿宋" w:hAnsi="仿宋" w:eastAsia="仿宋" w:cs="仿宋"/>
                <w:color w:val="auto"/>
                <w:sz w:val="24"/>
                <w:szCs w:val="24"/>
                <w:highlight w:val="none"/>
              </w:rPr>
            </w:pPr>
          </w:p>
          <w:p>
            <w:pPr>
              <w:ind w:firstLine="3240" w:firstLineChars="135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tab/>
            </w:r>
          </w:p>
        </w:tc>
      </w:tr>
    </w:tbl>
    <w:p>
      <w:pPr>
        <w:spacing w:line="363" w:lineRule="exact"/>
        <w:ind w:left="237"/>
        <w:rPr>
          <w:rFonts w:hint="eastAsia" w:ascii="仿宋" w:hAnsi="仿宋" w:eastAsia="仿宋" w:cs="仿宋"/>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color w:val="auto"/>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七、近年完成的类似项目情况</w:t>
      </w:r>
    </w:p>
    <w:p>
      <w:pPr>
        <w:pStyle w:val="6"/>
        <w:rPr>
          <w:rFonts w:hint="eastAsia" w:ascii="仿宋" w:hAnsi="仿宋" w:eastAsia="仿宋" w:cs="仿宋"/>
          <w:color w:val="auto"/>
          <w:sz w:val="20"/>
          <w:szCs w:val="20"/>
          <w:highlight w:val="none"/>
        </w:rPr>
      </w:pPr>
    </w:p>
    <w:p>
      <w:pPr>
        <w:pStyle w:val="6"/>
        <w:spacing w:before="11" w:beforeAutospacing="0"/>
        <w:rPr>
          <w:rFonts w:hint="eastAsia" w:ascii="仿宋" w:hAnsi="仿宋" w:eastAsia="仿宋" w:cs="仿宋"/>
          <w:color w:val="auto"/>
          <w:sz w:val="22"/>
          <w:szCs w:val="22"/>
          <w:highlight w:val="none"/>
        </w:rPr>
      </w:pPr>
    </w:p>
    <w:tbl>
      <w:tblPr>
        <w:tblStyle w:val="13"/>
        <w:tblW w:w="852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项目所在地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委托人名称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spacing w:before="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委托人地址</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委托人电话</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合同价格</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7"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监理内容</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项目描述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bl>
    <w:p>
      <w:pPr>
        <w:pStyle w:val="6"/>
        <w:spacing w:before="5" w:beforeAutospacing="0"/>
        <w:rPr>
          <w:rFonts w:hint="eastAsia" w:ascii="仿宋" w:hAnsi="仿宋" w:eastAsia="仿宋" w:cs="仿宋"/>
          <w:color w:val="auto"/>
          <w:sz w:val="5"/>
          <w:szCs w:val="5"/>
          <w:highlight w:val="none"/>
        </w:rPr>
      </w:pP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注：后附媒介中标（成交）公示网页截图、合同、中标通知书（或竣工备案表）的复印件，具体年份要求见投标人须知前附表。每张表格只填写一个项目，并标明序号。</w:t>
      </w:r>
    </w:p>
    <w:p>
      <w:pPr>
        <w:pStyle w:val="6"/>
        <w:adjustRightInd w:val="0"/>
        <w:snapToGrid w:val="0"/>
        <w:spacing w:line="360" w:lineRule="auto"/>
        <w:ind w:left="520" w:right="113"/>
        <w:rPr>
          <w:rFonts w:hint="eastAsia" w:ascii="仿宋" w:hAnsi="仿宋" w:eastAsia="仿宋" w:cs="仿宋"/>
          <w:color w:val="auto"/>
          <w:sz w:val="21"/>
          <w:szCs w:val="21"/>
          <w:highlight w:val="none"/>
        </w:rPr>
      </w:pPr>
    </w:p>
    <w:p>
      <w:pPr>
        <w:pStyle w:val="6"/>
        <w:adjustRightInd w:val="0"/>
        <w:snapToGrid w:val="0"/>
        <w:spacing w:line="360" w:lineRule="auto"/>
        <w:ind w:left="520" w:right="113"/>
        <w:rPr>
          <w:rFonts w:hint="eastAsia" w:ascii="仿宋" w:hAnsi="仿宋" w:eastAsia="仿宋" w:cs="仿宋"/>
          <w:color w:val="auto"/>
          <w:sz w:val="21"/>
          <w:szCs w:val="21"/>
          <w:highlight w:val="none"/>
        </w:rPr>
      </w:pPr>
    </w:p>
    <w:p>
      <w:pPr>
        <w:pStyle w:val="6"/>
        <w:adjustRightInd w:val="0"/>
        <w:snapToGrid w:val="0"/>
        <w:spacing w:line="360" w:lineRule="auto"/>
        <w:ind w:left="520" w:right="113"/>
        <w:rPr>
          <w:rFonts w:hint="eastAsia" w:ascii="仿宋" w:hAnsi="仿宋" w:eastAsia="仿宋" w:cs="仿宋"/>
          <w:color w:val="auto"/>
          <w:sz w:val="21"/>
          <w:szCs w:val="21"/>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八、正在监理和新承接的项目情况</w:t>
      </w:r>
    </w:p>
    <w:p>
      <w:pPr>
        <w:pStyle w:val="6"/>
        <w:rPr>
          <w:rFonts w:hint="eastAsia" w:ascii="仿宋" w:hAnsi="仿宋" w:eastAsia="仿宋" w:cs="仿宋"/>
          <w:color w:val="auto"/>
          <w:highlight w:val="none"/>
        </w:rPr>
      </w:pPr>
    </w:p>
    <w:tbl>
      <w:tblPr>
        <w:tblStyle w:val="13"/>
        <w:tblW w:w="857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2"/>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项目所在地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委托人名称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spacing w:before="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委托人地址</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委托人电话</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签约合同价</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7"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监理内容</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20"/>
                <w:szCs w:val="20"/>
                <w:highlight w:val="none"/>
              </w:rPr>
            </w:pPr>
          </w:p>
          <w:p>
            <w:pPr>
              <w:pStyle w:val="22"/>
              <w:rPr>
                <w:rFonts w:hint="eastAsia" w:ascii="仿宋" w:hAnsi="仿宋" w:eastAsia="仿宋" w:cs="仿宋"/>
                <w:color w:val="auto"/>
                <w:sz w:val="20"/>
                <w:szCs w:val="20"/>
                <w:highlight w:val="none"/>
              </w:rPr>
            </w:pPr>
          </w:p>
          <w:p>
            <w:pPr>
              <w:pStyle w:val="22"/>
              <w:rPr>
                <w:rFonts w:hint="eastAsia" w:ascii="仿宋" w:hAnsi="仿宋" w:eastAsia="仿宋" w:cs="仿宋"/>
                <w:color w:val="auto"/>
                <w:sz w:val="20"/>
                <w:szCs w:val="20"/>
                <w:highlight w:val="none"/>
              </w:rPr>
            </w:pPr>
          </w:p>
          <w:p>
            <w:pPr>
              <w:pStyle w:val="22"/>
              <w:rPr>
                <w:rFonts w:hint="eastAsia" w:ascii="仿宋" w:hAnsi="仿宋" w:eastAsia="仿宋" w:cs="仿宋"/>
                <w:color w:val="auto"/>
                <w:sz w:val="20"/>
                <w:szCs w:val="20"/>
                <w:highlight w:val="none"/>
              </w:rPr>
            </w:pPr>
          </w:p>
          <w:p>
            <w:pPr>
              <w:pStyle w:val="22"/>
              <w:spacing w:before="1"/>
              <w:rPr>
                <w:rFonts w:hint="eastAsia" w:ascii="仿宋" w:hAnsi="仿宋" w:eastAsia="仿宋" w:cs="仿宋"/>
                <w:color w:val="auto"/>
                <w:sz w:val="29"/>
                <w:szCs w:val="29"/>
                <w:highlight w:val="none"/>
              </w:rPr>
            </w:pPr>
          </w:p>
          <w:p>
            <w:pPr>
              <w:pStyle w:val="22"/>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项目描述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2"/>
              <w:rPr>
                <w:rFonts w:hint="eastAsia" w:ascii="仿宋" w:hAnsi="仿宋" w:eastAsia="仿宋" w:cs="仿宋"/>
                <w:color w:val="auto"/>
                <w:sz w:val="17"/>
                <w:szCs w:val="17"/>
                <w:highlight w:val="none"/>
              </w:rPr>
            </w:pPr>
          </w:p>
          <w:p>
            <w:pPr>
              <w:pStyle w:val="22"/>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bl>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九、近年发生的诉讼及仲裁情况</w:t>
      </w:r>
    </w:p>
    <w:p>
      <w:pPr>
        <w:spacing w:line="355" w:lineRule="exact"/>
        <w:rPr>
          <w:rFonts w:hint="eastAsia" w:ascii="仿宋" w:hAnsi="仿宋" w:eastAsia="仿宋" w:cs="仿宋"/>
          <w:color w:val="auto"/>
          <w:sz w:val="28"/>
          <w:szCs w:val="28"/>
          <w:highlight w:val="none"/>
        </w:rPr>
      </w:pPr>
    </w:p>
    <w:p>
      <w:pPr>
        <w:pStyle w:val="6"/>
        <w:spacing w:before="37" w:beforeAutospacing="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注：投标人应根据投标人须知第 3.5.5 项的要求附相关证明材料。</w:t>
      </w:r>
    </w:p>
    <w:p>
      <w:pPr>
        <w:pStyle w:val="6"/>
        <w:spacing w:before="37" w:beforeAutospacing="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说明：近年来发生过的诉讼和仲裁情况仅限于投标人败诉的，且履行施工承包合同有关的案件，不包括调解结案以及未裁决的仲裁或未终审判决的诉讼。</w:t>
      </w:r>
    </w:p>
    <w:p>
      <w:pPr>
        <w:spacing w:line="363" w:lineRule="exact"/>
        <w:ind w:left="100"/>
        <w:rPr>
          <w:rFonts w:hint="eastAsia" w:ascii="仿宋" w:hAnsi="仿宋" w:eastAsia="仿宋" w:cs="仿宋"/>
          <w:color w:val="auto"/>
          <w:sz w:val="28"/>
          <w:szCs w:val="28"/>
          <w:highlight w:val="none"/>
        </w:rPr>
      </w:pPr>
      <w:bookmarkStart w:id="121" w:name="_bookmark190"/>
      <w:bookmarkEnd w:id="121"/>
    </w:p>
    <w:p>
      <w:pPr>
        <w:pStyle w:val="6"/>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pStyle w:val="6"/>
        <w:spacing w:before="11" w:beforeAutospacing="0"/>
        <w:rPr>
          <w:rFonts w:hint="eastAsia" w:ascii="仿宋" w:hAnsi="仿宋" w:eastAsia="仿宋" w:cs="仿宋"/>
          <w:color w:val="auto"/>
          <w:sz w:val="22"/>
          <w:szCs w:val="22"/>
          <w:highlight w:val="none"/>
        </w:rPr>
      </w:pPr>
    </w:p>
    <w:p>
      <w:pPr>
        <w:spacing w:line="360" w:lineRule="auto"/>
        <w:ind w:firstLine="1536" w:firstLineChars="445"/>
        <w:outlineLvl w:val="0"/>
        <w:rPr>
          <w:rFonts w:hint="eastAsia" w:ascii="仿宋" w:hAnsi="仿宋" w:eastAsia="仿宋" w:cs="仿宋"/>
          <w:b/>
          <w:bCs/>
          <w:color w:val="auto"/>
          <w:spacing w:val="12"/>
          <w:sz w:val="32"/>
          <w:szCs w:val="32"/>
          <w:highlight w:val="none"/>
        </w:rPr>
      </w:pPr>
    </w:p>
    <w:p>
      <w:pPr>
        <w:pStyle w:val="6"/>
        <w:jc w:val="center"/>
        <w:rPr>
          <w:rFonts w:hint="eastAsia" w:ascii="仿宋" w:hAnsi="仿宋" w:eastAsia="仿宋" w:cs="仿宋"/>
          <w:b/>
          <w:bCs/>
          <w:color w:val="auto"/>
          <w:spacing w:val="12"/>
          <w:sz w:val="32"/>
          <w:szCs w:val="32"/>
          <w:highlight w:val="none"/>
        </w:rPr>
      </w:pPr>
      <w:r>
        <w:rPr>
          <w:rFonts w:hint="eastAsia" w:ascii="仿宋" w:hAnsi="仿宋" w:eastAsia="仿宋" w:cs="仿宋"/>
          <w:b/>
          <w:bCs/>
          <w:color w:val="auto"/>
          <w:spacing w:val="12"/>
          <w:sz w:val="32"/>
          <w:szCs w:val="32"/>
          <w:highlight w:val="none"/>
        </w:rPr>
        <w:t>十、投标人认为有必要的其它证明材料</w:t>
      </w:r>
      <w:bookmarkStart w:id="122" w:name="_bookmark192"/>
      <w:bookmarkEnd w:id="122"/>
      <w:bookmarkStart w:id="123" w:name="_bookmark178"/>
      <w:bookmarkEnd w:id="123"/>
      <w:bookmarkStart w:id="124" w:name="_bookmark182"/>
      <w:bookmarkEnd w:id="124"/>
      <w:bookmarkStart w:id="125" w:name="_bookmark188"/>
      <w:bookmarkEnd w:id="125"/>
      <w:bookmarkStart w:id="126" w:name="_bookmark84"/>
      <w:bookmarkEnd w:id="126"/>
      <w:bookmarkStart w:id="127" w:name="_bookmark189"/>
      <w:bookmarkEnd w:id="127"/>
      <w:bookmarkStart w:id="128" w:name="_bookmark180"/>
      <w:bookmarkEnd w:id="128"/>
      <w:bookmarkStart w:id="129" w:name="_bookmark186"/>
      <w:bookmarkEnd w:id="129"/>
      <w:bookmarkStart w:id="130" w:name="_bookmark184"/>
      <w:bookmarkEnd w:id="130"/>
      <w:bookmarkStart w:id="131" w:name="_bookmark179"/>
      <w:bookmarkEnd w:id="131"/>
      <w:bookmarkStart w:id="132" w:name="_bookmark191"/>
      <w:bookmarkEnd w:id="132"/>
    </w:p>
    <w:p>
      <w:pPr>
        <w:spacing w:line="360" w:lineRule="auto"/>
        <w:ind w:firstLine="1536" w:firstLineChars="445"/>
        <w:outlineLvl w:val="0"/>
        <w:rPr>
          <w:rFonts w:hint="eastAsia" w:ascii="仿宋" w:hAnsi="仿宋" w:eastAsia="仿宋" w:cs="仿宋"/>
          <w:b/>
          <w:bCs/>
          <w:color w:val="auto"/>
          <w:spacing w:val="12"/>
          <w:sz w:val="32"/>
          <w:szCs w:val="32"/>
          <w:highlight w:val="none"/>
        </w:rPr>
      </w:pPr>
    </w:p>
    <w:p>
      <w:pPr>
        <w:spacing w:beforeLines="50" w:afterLines="50" w:line="0" w:lineRule="atLeast"/>
        <w:jc w:val="center"/>
        <w:rPr>
          <w:rFonts w:hint="eastAsia" w:ascii="仿宋" w:hAnsi="仿宋" w:eastAsia="仿宋" w:cs="仿宋"/>
          <w:b/>
          <w:bCs/>
          <w:color w:val="auto"/>
          <w:spacing w:val="12"/>
          <w:sz w:val="24"/>
          <w:szCs w:val="24"/>
          <w:highlight w:val="none"/>
        </w:rPr>
      </w:pPr>
    </w:p>
    <w:p>
      <w:pPr>
        <w:pStyle w:val="6"/>
        <w:jc w:val="center"/>
        <w:rPr>
          <w:rFonts w:hint="eastAsia" w:ascii="仿宋" w:hAnsi="仿宋" w:eastAsia="仿宋" w:cs="仿宋"/>
          <w:b/>
          <w:bCs/>
          <w:color w:val="auto"/>
          <w:spacing w:val="12"/>
          <w:sz w:val="32"/>
          <w:szCs w:val="32"/>
          <w:highlight w:val="none"/>
        </w:rPr>
      </w:pPr>
      <w:r>
        <w:rPr>
          <w:rFonts w:hint="eastAsia" w:ascii="仿宋" w:hAnsi="仿宋" w:eastAsia="仿宋" w:cs="仿宋"/>
          <w:b/>
          <w:bCs/>
          <w:color w:val="auto"/>
          <w:spacing w:val="12"/>
          <w:sz w:val="32"/>
          <w:szCs w:val="32"/>
          <w:highlight w:val="none"/>
        </w:rPr>
        <w:t>十一、监理大纲</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3、造价控制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4、安全措施</w:t>
      </w:r>
    </w:p>
    <w:p>
      <w:pPr>
        <w:autoSpaceDE w:val="0"/>
        <w:autoSpaceDN w:val="0"/>
        <w:adjustRightInd w:val="0"/>
        <w:spacing w:line="420" w:lineRule="exact"/>
        <w:ind w:firstLine="472" w:firstLineChars="197"/>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5、旁站监理措施</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6、档案及合同管理</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7、工作制度</w:t>
      </w:r>
    </w:p>
    <w:p>
      <w:pPr>
        <w:autoSpaceDE w:val="0"/>
        <w:autoSpaceDN w:val="0"/>
        <w:adjustRightInd w:val="0"/>
        <w:spacing w:line="42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8、组织协调及合理化建议</w:t>
      </w:r>
    </w:p>
    <w:p>
      <w:pPr>
        <w:rPr>
          <w:rFonts w:hint="eastAsia"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v:fill on="f" focussize="0,0"/>
              <v:stroke on="f"/>
              <v:imagedata o:title=""/>
              <o:lock v:ext="edit" aspectratio="f"/>
              <v:textbox inset="0mm,0mm,0mm,0mm" style="mso-fit-shape-to-text:t;">
                <w:txbxContent>
                  <w:p>
                    <w:pPr>
                      <w:pStyle w:val="9"/>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9565" cy="2279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29565" cy="227965"/>
                      </a:xfrm>
                      <a:prstGeom prst="rect">
                        <a:avLst/>
                      </a:prstGeom>
                      <a:noFill/>
                      <a:ln w="9525">
                        <a:noFill/>
                      </a:ln>
                      <a:effectLst/>
                    </wps:spPr>
                    <wps:txbx>
                      <w:txbxContent>
                        <w:p>
                          <w:pPr>
                            <w:pStyle w:val="9"/>
                          </w:pPr>
                          <w:r>
                            <w:fldChar w:fldCharType="begin"/>
                          </w:r>
                          <w:r>
                            <w:instrText xml:space="preserve"> PAGE  \* MERGEFORMAT </w:instrText>
                          </w:r>
                          <w:r>
                            <w:fldChar w:fldCharType="separate"/>
                          </w:r>
                          <w:r>
                            <w:t>51</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7.95pt;width:25.95pt;mso-position-horizontal:center;mso-position-horizontal-relative:margin;z-index:251658240;mso-width-relative:page;mso-height-relative:page;" filled="f" stroked="f" coordsize="21600,21600"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GsXIdQAAAADAQAA&#10;DwAAAAAAAAABACAAAAAiAAAAZHJzL2Rvd25yZXYueG1sUEsBAhQAFAAAAAgAh07iQOA0OPOrAQAA&#10;OgMAAA4AAAAAAAAAAQAgAAAAIwEAAGRycy9lMm9Eb2MueG1sUEsFBgAAAAAGAAYAWQEAAEAFAAAA&#10;AA==&#10;">
              <v:fill on="f" focussize="0,0"/>
              <v:stroke on="f"/>
              <v:imagedata o:title=""/>
              <o:lock v:ext="edit" aspectratio="f"/>
              <v:textbox inset="0mm,0mm,0mm,0mm">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40A8D"/>
    <w:multiLevelType w:val="singleLevel"/>
    <w:tmpl w:val="1E340A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FF"/>
    <w:rsid w:val="00017C6D"/>
    <w:rsid w:val="000257BF"/>
    <w:rsid w:val="000353AD"/>
    <w:rsid w:val="000412C7"/>
    <w:rsid w:val="00056DB8"/>
    <w:rsid w:val="000660EB"/>
    <w:rsid w:val="000739AC"/>
    <w:rsid w:val="00073FD7"/>
    <w:rsid w:val="000756E3"/>
    <w:rsid w:val="000948A0"/>
    <w:rsid w:val="000D3E62"/>
    <w:rsid w:val="000F1147"/>
    <w:rsid w:val="000F7F7A"/>
    <w:rsid w:val="00101943"/>
    <w:rsid w:val="00112918"/>
    <w:rsid w:val="0013367C"/>
    <w:rsid w:val="001376E0"/>
    <w:rsid w:val="0014118A"/>
    <w:rsid w:val="0014742C"/>
    <w:rsid w:val="00154C13"/>
    <w:rsid w:val="00177AA2"/>
    <w:rsid w:val="001B33B2"/>
    <w:rsid w:val="001B6552"/>
    <w:rsid w:val="001C1B22"/>
    <w:rsid w:val="001C5995"/>
    <w:rsid w:val="001E4CCC"/>
    <w:rsid w:val="00215E98"/>
    <w:rsid w:val="002224D8"/>
    <w:rsid w:val="00223530"/>
    <w:rsid w:val="002426C0"/>
    <w:rsid w:val="002433E8"/>
    <w:rsid w:val="0024518A"/>
    <w:rsid w:val="00246050"/>
    <w:rsid w:val="00247D92"/>
    <w:rsid w:val="0026253F"/>
    <w:rsid w:val="002D0C11"/>
    <w:rsid w:val="002D2A50"/>
    <w:rsid w:val="002F2C5A"/>
    <w:rsid w:val="00303F19"/>
    <w:rsid w:val="0037709A"/>
    <w:rsid w:val="0039101D"/>
    <w:rsid w:val="00391CE7"/>
    <w:rsid w:val="003B0C45"/>
    <w:rsid w:val="003C1AC5"/>
    <w:rsid w:val="003C6035"/>
    <w:rsid w:val="003F37DC"/>
    <w:rsid w:val="00423407"/>
    <w:rsid w:val="004241ED"/>
    <w:rsid w:val="00437B83"/>
    <w:rsid w:val="0044115C"/>
    <w:rsid w:val="00445371"/>
    <w:rsid w:val="00450995"/>
    <w:rsid w:val="0045269A"/>
    <w:rsid w:val="004527AC"/>
    <w:rsid w:val="00457D4C"/>
    <w:rsid w:val="004624A6"/>
    <w:rsid w:val="00477237"/>
    <w:rsid w:val="00483DA3"/>
    <w:rsid w:val="004B528F"/>
    <w:rsid w:val="004C1CF4"/>
    <w:rsid w:val="00544E62"/>
    <w:rsid w:val="00557BA7"/>
    <w:rsid w:val="00563B6F"/>
    <w:rsid w:val="0056457C"/>
    <w:rsid w:val="0057052C"/>
    <w:rsid w:val="00570640"/>
    <w:rsid w:val="00574ABB"/>
    <w:rsid w:val="005A2B6F"/>
    <w:rsid w:val="005A6DC1"/>
    <w:rsid w:val="005B06DF"/>
    <w:rsid w:val="005B4406"/>
    <w:rsid w:val="005C478D"/>
    <w:rsid w:val="005D3FD6"/>
    <w:rsid w:val="005D4B58"/>
    <w:rsid w:val="005E7011"/>
    <w:rsid w:val="005F2E43"/>
    <w:rsid w:val="005F7F43"/>
    <w:rsid w:val="00613994"/>
    <w:rsid w:val="006640BB"/>
    <w:rsid w:val="00686544"/>
    <w:rsid w:val="00690C6B"/>
    <w:rsid w:val="0069142E"/>
    <w:rsid w:val="0069163B"/>
    <w:rsid w:val="00695849"/>
    <w:rsid w:val="006967D4"/>
    <w:rsid w:val="00697DF9"/>
    <w:rsid w:val="006A1582"/>
    <w:rsid w:val="006A6FFA"/>
    <w:rsid w:val="006D4F89"/>
    <w:rsid w:val="006E2CF9"/>
    <w:rsid w:val="00711041"/>
    <w:rsid w:val="00714DD6"/>
    <w:rsid w:val="00715C4C"/>
    <w:rsid w:val="00733A9D"/>
    <w:rsid w:val="00734683"/>
    <w:rsid w:val="00741CEA"/>
    <w:rsid w:val="00741EFB"/>
    <w:rsid w:val="00762FEB"/>
    <w:rsid w:val="007632B2"/>
    <w:rsid w:val="00777AB8"/>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37BF"/>
    <w:rsid w:val="0087006F"/>
    <w:rsid w:val="00872F58"/>
    <w:rsid w:val="00886847"/>
    <w:rsid w:val="00896F9F"/>
    <w:rsid w:val="008A7C23"/>
    <w:rsid w:val="008B363F"/>
    <w:rsid w:val="008D2DFD"/>
    <w:rsid w:val="008E0964"/>
    <w:rsid w:val="008E73F0"/>
    <w:rsid w:val="008E7829"/>
    <w:rsid w:val="008F2B66"/>
    <w:rsid w:val="00912B10"/>
    <w:rsid w:val="00923C0E"/>
    <w:rsid w:val="00924295"/>
    <w:rsid w:val="009341B7"/>
    <w:rsid w:val="00935B17"/>
    <w:rsid w:val="00983D2D"/>
    <w:rsid w:val="00990DFA"/>
    <w:rsid w:val="00993991"/>
    <w:rsid w:val="009962B4"/>
    <w:rsid w:val="009B7124"/>
    <w:rsid w:val="009C768D"/>
    <w:rsid w:val="009E0567"/>
    <w:rsid w:val="009E3086"/>
    <w:rsid w:val="00A107CD"/>
    <w:rsid w:val="00A166FE"/>
    <w:rsid w:val="00A246D5"/>
    <w:rsid w:val="00A5546B"/>
    <w:rsid w:val="00A67462"/>
    <w:rsid w:val="00A96FBB"/>
    <w:rsid w:val="00AA36FF"/>
    <w:rsid w:val="00AA5534"/>
    <w:rsid w:val="00AA6A03"/>
    <w:rsid w:val="00AC5495"/>
    <w:rsid w:val="00AD6530"/>
    <w:rsid w:val="00AE19B1"/>
    <w:rsid w:val="00AE27F4"/>
    <w:rsid w:val="00AF257D"/>
    <w:rsid w:val="00AF581F"/>
    <w:rsid w:val="00B179E0"/>
    <w:rsid w:val="00B266D3"/>
    <w:rsid w:val="00B37936"/>
    <w:rsid w:val="00B43FE0"/>
    <w:rsid w:val="00B452CC"/>
    <w:rsid w:val="00B51328"/>
    <w:rsid w:val="00B53663"/>
    <w:rsid w:val="00B57E31"/>
    <w:rsid w:val="00B7517E"/>
    <w:rsid w:val="00B82B0E"/>
    <w:rsid w:val="00B93DF8"/>
    <w:rsid w:val="00B97812"/>
    <w:rsid w:val="00BB366C"/>
    <w:rsid w:val="00BC3CEF"/>
    <w:rsid w:val="00BF1C04"/>
    <w:rsid w:val="00BF6DB2"/>
    <w:rsid w:val="00C06208"/>
    <w:rsid w:val="00C1035B"/>
    <w:rsid w:val="00C2170B"/>
    <w:rsid w:val="00C2276E"/>
    <w:rsid w:val="00C30C1B"/>
    <w:rsid w:val="00C465DF"/>
    <w:rsid w:val="00C47E38"/>
    <w:rsid w:val="00C5536B"/>
    <w:rsid w:val="00C576C2"/>
    <w:rsid w:val="00C728C9"/>
    <w:rsid w:val="00C91A1D"/>
    <w:rsid w:val="00C91EAC"/>
    <w:rsid w:val="00CA6E48"/>
    <w:rsid w:val="00CB06A1"/>
    <w:rsid w:val="00CB6321"/>
    <w:rsid w:val="00D122B6"/>
    <w:rsid w:val="00D469BD"/>
    <w:rsid w:val="00D52F95"/>
    <w:rsid w:val="00D5366E"/>
    <w:rsid w:val="00D637E7"/>
    <w:rsid w:val="00D7143E"/>
    <w:rsid w:val="00D7390D"/>
    <w:rsid w:val="00D829B2"/>
    <w:rsid w:val="00D858FD"/>
    <w:rsid w:val="00D87EC5"/>
    <w:rsid w:val="00DA09FE"/>
    <w:rsid w:val="00DA1A65"/>
    <w:rsid w:val="00DF2709"/>
    <w:rsid w:val="00DF2C06"/>
    <w:rsid w:val="00DF7FD8"/>
    <w:rsid w:val="00E13613"/>
    <w:rsid w:val="00E54792"/>
    <w:rsid w:val="00E6305C"/>
    <w:rsid w:val="00E65813"/>
    <w:rsid w:val="00E66B6C"/>
    <w:rsid w:val="00E66C4B"/>
    <w:rsid w:val="00E75296"/>
    <w:rsid w:val="00E76E27"/>
    <w:rsid w:val="00EC5ECE"/>
    <w:rsid w:val="00ED6CDD"/>
    <w:rsid w:val="00EF5BE1"/>
    <w:rsid w:val="00EF7D36"/>
    <w:rsid w:val="00F00904"/>
    <w:rsid w:val="00F11EF5"/>
    <w:rsid w:val="00F33AE6"/>
    <w:rsid w:val="00F36647"/>
    <w:rsid w:val="00F41DA7"/>
    <w:rsid w:val="00F516FF"/>
    <w:rsid w:val="00F76A49"/>
    <w:rsid w:val="00F81224"/>
    <w:rsid w:val="00F83138"/>
    <w:rsid w:val="00F856A4"/>
    <w:rsid w:val="00F85A83"/>
    <w:rsid w:val="00F91187"/>
    <w:rsid w:val="00F92DED"/>
    <w:rsid w:val="00F96D79"/>
    <w:rsid w:val="00FB1D88"/>
    <w:rsid w:val="00FC1BA8"/>
    <w:rsid w:val="00FD6C85"/>
    <w:rsid w:val="00FF17B1"/>
    <w:rsid w:val="00FF3476"/>
    <w:rsid w:val="00FF3A04"/>
    <w:rsid w:val="00FF3A10"/>
    <w:rsid w:val="00FF71F2"/>
    <w:rsid w:val="00FF76CC"/>
    <w:rsid w:val="017320CE"/>
    <w:rsid w:val="02023488"/>
    <w:rsid w:val="029832B6"/>
    <w:rsid w:val="056365BC"/>
    <w:rsid w:val="0795604F"/>
    <w:rsid w:val="087376D5"/>
    <w:rsid w:val="0A2F5200"/>
    <w:rsid w:val="0B741267"/>
    <w:rsid w:val="0F825A93"/>
    <w:rsid w:val="14162B7D"/>
    <w:rsid w:val="14A1195A"/>
    <w:rsid w:val="168006D4"/>
    <w:rsid w:val="1A7B473E"/>
    <w:rsid w:val="1B316F86"/>
    <w:rsid w:val="1C0A5082"/>
    <w:rsid w:val="1D9E15C8"/>
    <w:rsid w:val="1E8D4C48"/>
    <w:rsid w:val="216E2167"/>
    <w:rsid w:val="23BC6836"/>
    <w:rsid w:val="2AB86391"/>
    <w:rsid w:val="2BFB606B"/>
    <w:rsid w:val="2CA03350"/>
    <w:rsid w:val="2F3852EC"/>
    <w:rsid w:val="364B779D"/>
    <w:rsid w:val="36750EF8"/>
    <w:rsid w:val="3720738B"/>
    <w:rsid w:val="37520AB3"/>
    <w:rsid w:val="37EC687C"/>
    <w:rsid w:val="395D5F4B"/>
    <w:rsid w:val="39CF3548"/>
    <w:rsid w:val="3BC61AAD"/>
    <w:rsid w:val="47227CCF"/>
    <w:rsid w:val="476B6890"/>
    <w:rsid w:val="488C4435"/>
    <w:rsid w:val="4B5E66D5"/>
    <w:rsid w:val="50CF6A12"/>
    <w:rsid w:val="53EE76BB"/>
    <w:rsid w:val="56223756"/>
    <w:rsid w:val="5A5E2E99"/>
    <w:rsid w:val="5B890D6B"/>
    <w:rsid w:val="5B96312E"/>
    <w:rsid w:val="5E472334"/>
    <w:rsid w:val="5F4218AF"/>
    <w:rsid w:val="602E15B2"/>
    <w:rsid w:val="6334095E"/>
    <w:rsid w:val="63351FB1"/>
    <w:rsid w:val="63436AA1"/>
    <w:rsid w:val="63893462"/>
    <w:rsid w:val="650C057F"/>
    <w:rsid w:val="68991D0A"/>
    <w:rsid w:val="6A415007"/>
    <w:rsid w:val="6A9D780B"/>
    <w:rsid w:val="6B0F32CE"/>
    <w:rsid w:val="6EE05615"/>
    <w:rsid w:val="6F0E2515"/>
    <w:rsid w:val="6FA93A18"/>
    <w:rsid w:val="6FDA700C"/>
    <w:rsid w:val="712548E2"/>
    <w:rsid w:val="71464C9B"/>
    <w:rsid w:val="72E74AB2"/>
    <w:rsid w:val="74076B4A"/>
    <w:rsid w:val="762A3A85"/>
    <w:rsid w:val="767658B2"/>
    <w:rsid w:val="7F1E47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rFonts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Document Map"/>
    <w:basedOn w:val="1"/>
    <w:link w:val="30"/>
    <w:semiHidden/>
    <w:unhideWhenUsed/>
    <w:qFormat/>
    <w:uiPriority w:val="99"/>
    <w:rPr>
      <w:rFonts w:cs="Times New Roman"/>
      <w:sz w:val="18"/>
      <w:szCs w:val="18"/>
    </w:rPr>
  </w:style>
  <w:style w:type="paragraph" w:styleId="5">
    <w:name w:val="annotation text"/>
    <w:basedOn w:val="1"/>
    <w:semiHidden/>
    <w:unhideWhenUsed/>
    <w:qFormat/>
    <w:uiPriority w:val="99"/>
    <w:pPr>
      <w:jc w:val="left"/>
    </w:pPr>
  </w:style>
  <w:style w:type="paragraph" w:styleId="6">
    <w:name w:val="Body Text"/>
    <w:basedOn w:val="1"/>
    <w:link w:val="19"/>
    <w:unhideWhenUsed/>
    <w:qFormat/>
    <w:uiPriority w:val="99"/>
    <w:pPr>
      <w:spacing w:before="100" w:beforeAutospacing="1"/>
    </w:pPr>
    <w:rPr>
      <w:rFonts w:cs="Times New Roman"/>
    </w:rPr>
  </w:style>
  <w:style w:type="paragraph" w:styleId="7">
    <w:name w:val="Date"/>
    <w:basedOn w:val="1"/>
    <w:next w:val="1"/>
    <w:link w:val="31"/>
    <w:semiHidden/>
    <w:unhideWhenUsed/>
    <w:qFormat/>
    <w:uiPriority w:val="99"/>
    <w:pPr>
      <w:ind w:left="100" w:leftChars="2500"/>
    </w:pPr>
    <w:rPr>
      <w:rFonts w:cs="Times New Roman"/>
    </w:rPr>
  </w:style>
  <w:style w:type="paragraph" w:styleId="8">
    <w:name w:val="Balloon Text"/>
    <w:basedOn w:val="1"/>
    <w:link w:val="38"/>
    <w:semiHidden/>
    <w:unhideWhenUsed/>
    <w:qFormat/>
    <w:uiPriority w:val="99"/>
    <w:rPr>
      <w:rFonts w:cs="Times New Roman"/>
      <w:sz w:val="18"/>
      <w:szCs w:val="18"/>
    </w:rPr>
  </w:style>
  <w:style w:type="paragraph" w:styleId="9">
    <w:name w:val="footer"/>
    <w:basedOn w:val="1"/>
    <w:link w:val="27"/>
    <w:unhideWhenUsed/>
    <w:qFormat/>
    <w:uiPriority w:val="99"/>
    <w:pPr>
      <w:snapToGrid w:val="0"/>
      <w:jc w:val="left"/>
    </w:pPr>
    <w:rPr>
      <w:rFonts w:cs="Times New Roman"/>
      <w:sz w:val="18"/>
      <w:szCs w:val="18"/>
    </w:rPr>
  </w:style>
  <w:style w:type="paragraph" w:styleId="10">
    <w:name w:val="header"/>
    <w:basedOn w:val="1"/>
    <w:link w:val="23"/>
    <w:unhideWhenUsed/>
    <w:qFormat/>
    <w:uiPriority w:val="99"/>
    <w:pPr>
      <w:pBdr>
        <w:bottom w:val="single" w:color="auto" w:sz="6" w:space="1"/>
      </w:pBdr>
      <w:snapToGrid w:val="0"/>
      <w:jc w:val="center"/>
    </w:pPr>
    <w:rPr>
      <w:rFonts w:cs="Times New Roman"/>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2">
    <w:name w:val="Body Text First Indent"/>
    <w:basedOn w:val="6"/>
    <w:link w:val="35"/>
    <w:unhideWhenUsed/>
    <w:qFormat/>
    <w:uiPriority w:val="99"/>
    <w:pPr>
      <w:spacing w:before="0" w:beforeAutospacing="0" w:after="120"/>
      <w:ind w:firstLine="420" w:firstLineChars="100"/>
    </w:pPr>
    <w:rPr>
      <w:rFonts w:ascii="Times New Roman" w:hAnsi="Times New Roman"/>
      <w:kern w:val="2"/>
      <w:sz w:val="21"/>
      <w:szCs w:val="24"/>
    </w:r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paragraph" w:customStyle="1" w:styleId="17">
    <w:name w:val="Default"/>
    <w:basedOn w:val="1"/>
    <w:qFormat/>
    <w:uiPriority w:val="0"/>
    <w:pPr>
      <w:autoSpaceDE w:val="0"/>
      <w:autoSpaceDN w:val="0"/>
      <w:adjustRightInd w:val="0"/>
      <w:jc w:val="left"/>
    </w:pPr>
    <w:rPr>
      <w:color w:val="000000"/>
      <w:sz w:val="24"/>
      <w:szCs w:val="24"/>
    </w:rPr>
  </w:style>
  <w:style w:type="character" w:customStyle="1" w:styleId="18">
    <w:name w:val="标题 3 Char"/>
    <w:link w:val="3"/>
    <w:semiHidden/>
    <w:qFormat/>
    <w:uiPriority w:val="9"/>
    <w:rPr>
      <w:rFonts w:ascii="宋体" w:hAnsi="宋体" w:cs="宋体"/>
      <w:b/>
      <w:bCs/>
      <w:sz w:val="32"/>
      <w:szCs w:val="32"/>
    </w:rPr>
  </w:style>
  <w:style w:type="character" w:customStyle="1" w:styleId="19">
    <w:name w:val="正文文本 Char"/>
    <w:link w:val="6"/>
    <w:qFormat/>
    <w:uiPriority w:val="99"/>
    <w:rPr>
      <w:rFonts w:ascii="宋体" w:hAnsi="宋体" w:eastAsia="宋体" w:cs="宋体"/>
      <w:kern w:val="0"/>
      <w:sz w:val="34"/>
      <w:szCs w:val="34"/>
    </w:rPr>
  </w:style>
  <w:style w:type="paragraph" w:customStyle="1" w:styleId="20">
    <w:name w:val="msonormal"/>
    <w:basedOn w:val="1"/>
    <w:qFormat/>
    <w:uiPriority w:val="0"/>
    <w:pPr>
      <w:widowControl/>
      <w:spacing w:before="100" w:beforeAutospacing="1" w:after="100" w:afterAutospacing="1"/>
      <w:jc w:val="left"/>
    </w:pPr>
    <w:rPr>
      <w:sz w:val="24"/>
      <w:szCs w:val="24"/>
    </w:rPr>
  </w:style>
  <w:style w:type="paragraph" w:customStyle="1" w:styleId="21">
    <w:name w:val="标题 21"/>
    <w:basedOn w:val="1"/>
    <w:qFormat/>
    <w:uiPriority w:val="0"/>
    <w:pPr>
      <w:spacing w:before="100" w:beforeAutospacing="1" w:after="100" w:afterAutospacing="1"/>
      <w:ind w:left="100" w:right="113"/>
      <w:jc w:val="left"/>
      <w:outlineLvl w:val="2"/>
    </w:pPr>
    <w:rPr>
      <w:rFonts w:ascii="Microsoft JhengHei" w:hAnsi="Microsoft JhengHei" w:eastAsia="Microsoft JhengHei"/>
      <w:b/>
      <w:bCs/>
      <w:sz w:val="32"/>
      <w:szCs w:val="32"/>
    </w:rPr>
  </w:style>
  <w:style w:type="paragraph" w:customStyle="1" w:styleId="22">
    <w:name w:val="Table Paragraph"/>
    <w:basedOn w:val="1"/>
    <w:qFormat/>
    <w:uiPriority w:val="0"/>
    <w:pPr>
      <w:jc w:val="left"/>
    </w:pPr>
    <w:rPr>
      <w:sz w:val="22"/>
      <w:szCs w:val="22"/>
    </w:rPr>
  </w:style>
  <w:style w:type="character" w:customStyle="1" w:styleId="23">
    <w:name w:val="页眉 Char"/>
    <w:link w:val="10"/>
    <w:qFormat/>
    <w:uiPriority w:val="99"/>
    <w:rPr>
      <w:rFonts w:ascii="宋体" w:hAnsi="宋体" w:eastAsia="宋体" w:cs="宋体"/>
      <w:kern w:val="0"/>
      <w:sz w:val="18"/>
      <w:szCs w:val="18"/>
    </w:rPr>
  </w:style>
  <w:style w:type="paragraph" w:customStyle="1" w:styleId="24">
    <w:name w:val="正文首行缩进1"/>
    <w:basedOn w:val="6"/>
    <w:qFormat/>
    <w:uiPriority w:val="0"/>
    <w:pPr>
      <w:ind w:firstLine="420" w:firstLineChars="100"/>
    </w:pPr>
  </w:style>
  <w:style w:type="paragraph" w:customStyle="1" w:styleId="25">
    <w:name w:val="！正文"/>
    <w:basedOn w:val="1"/>
    <w:qFormat/>
    <w:uiPriority w:val="0"/>
    <w:pPr>
      <w:spacing w:line="360" w:lineRule="auto"/>
    </w:pPr>
    <w:rPr>
      <w:rFonts w:ascii="Times New Roman" w:hAnsi="Times New Roman" w:cs="Times New Roman"/>
      <w:sz w:val="20"/>
      <w:szCs w:val="20"/>
    </w:rPr>
  </w:style>
  <w:style w:type="paragraph" w:customStyle="1" w:styleId="26">
    <w:name w:val="标题 31"/>
    <w:basedOn w:val="1"/>
    <w:qFormat/>
    <w:uiPriority w:val="0"/>
    <w:pPr>
      <w:spacing w:before="100" w:beforeAutospacing="1" w:after="100" w:afterAutospacing="1"/>
      <w:ind w:left="237" w:right="113"/>
      <w:jc w:val="left"/>
      <w:outlineLvl w:val="3"/>
    </w:pPr>
    <w:rPr>
      <w:sz w:val="28"/>
      <w:szCs w:val="28"/>
    </w:rPr>
  </w:style>
  <w:style w:type="character" w:customStyle="1" w:styleId="27">
    <w:name w:val="页脚 Char"/>
    <w:link w:val="9"/>
    <w:qFormat/>
    <w:uiPriority w:val="99"/>
    <w:rPr>
      <w:rFonts w:ascii="宋体" w:hAnsi="宋体" w:eastAsia="宋体" w:cs="宋体"/>
      <w:kern w:val="0"/>
      <w:sz w:val="18"/>
      <w:szCs w:val="18"/>
    </w:rPr>
  </w:style>
  <w:style w:type="character" w:customStyle="1" w:styleId="28">
    <w:name w:val="10"/>
    <w:qFormat/>
    <w:uiPriority w:val="0"/>
    <w:rPr>
      <w:rFonts w:hint="default" w:ascii="Times New Roman" w:hAnsi="Times New Roman" w:cs="Times New Roman"/>
    </w:rPr>
  </w:style>
  <w:style w:type="character" w:customStyle="1" w:styleId="29">
    <w:name w:val="15"/>
    <w:qFormat/>
    <w:uiPriority w:val="0"/>
    <w:rPr>
      <w:rFonts w:hint="default" w:ascii="Times New Roman" w:hAnsi="Times New Roman" w:cs="Times New Roman"/>
      <w:color w:val="0000FF"/>
      <w:u w:val="single"/>
    </w:rPr>
  </w:style>
  <w:style w:type="character" w:customStyle="1" w:styleId="30">
    <w:name w:val="文档结构图 Char"/>
    <w:link w:val="4"/>
    <w:semiHidden/>
    <w:qFormat/>
    <w:uiPriority w:val="99"/>
    <w:rPr>
      <w:rFonts w:ascii="宋体" w:hAnsi="宋体" w:cs="宋体"/>
      <w:sz w:val="18"/>
      <w:szCs w:val="18"/>
    </w:rPr>
  </w:style>
  <w:style w:type="character" w:customStyle="1" w:styleId="31">
    <w:name w:val="日期 Char"/>
    <w:link w:val="7"/>
    <w:semiHidden/>
    <w:qFormat/>
    <w:uiPriority w:val="99"/>
    <w:rPr>
      <w:rFonts w:ascii="宋体" w:hAnsi="宋体" w:cs="宋体"/>
      <w:sz w:val="34"/>
      <w:szCs w:val="34"/>
    </w:rPr>
  </w:style>
  <w:style w:type="character" w:customStyle="1" w:styleId="32">
    <w:name w:val="ca-44"/>
    <w:qFormat/>
    <w:uiPriority w:val="0"/>
    <w:rPr>
      <w:rFonts w:hint="eastAsia" w:ascii="宋体" w:hAnsi="宋体" w:eastAsia="宋体"/>
      <w:sz w:val="21"/>
      <w:szCs w:val="21"/>
    </w:rPr>
  </w:style>
  <w:style w:type="character" w:customStyle="1" w:styleId="33">
    <w:name w:val="ca-81"/>
    <w:qFormat/>
    <w:uiPriority w:val="0"/>
    <w:rPr>
      <w:rFonts w:hint="eastAsia" w:ascii="宋体" w:hAnsi="宋体" w:eastAsia="宋体"/>
      <w:b/>
      <w:bCs/>
      <w:color w:val="000000"/>
      <w:spacing w:val="-20"/>
      <w:sz w:val="21"/>
      <w:szCs w:val="21"/>
    </w:rPr>
  </w:style>
  <w:style w:type="character" w:customStyle="1" w:styleId="34">
    <w:name w:val="16"/>
    <w:qFormat/>
    <w:uiPriority w:val="0"/>
    <w:rPr>
      <w:rFonts w:hint="eastAsia" w:ascii="宋体" w:hAnsi="宋体" w:eastAsia="宋体"/>
      <w:sz w:val="21"/>
      <w:szCs w:val="21"/>
    </w:rPr>
  </w:style>
  <w:style w:type="character" w:customStyle="1" w:styleId="35">
    <w:name w:val="正文首行缩进 Char"/>
    <w:link w:val="12"/>
    <w:qFormat/>
    <w:uiPriority w:val="99"/>
    <w:rPr>
      <w:rFonts w:ascii="Times New Roman" w:hAnsi="Times New Roman" w:eastAsia="宋体" w:cs="宋体"/>
      <w:kern w:val="2"/>
      <w:sz w:val="21"/>
      <w:szCs w:val="24"/>
    </w:rPr>
  </w:style>
  <w:style w:type="paragraph" w:customStyle="1" w:styleId="36">
    <w:name w:val="pa-47"/>
    <w:basedOn w:val="1"/>
    <w:qFormat/>
    <w:uiPriority w:val="0"/>
    <w:pPr>
      <w:widowControl/>
      <w:spacing w:line="240" w:lineRule="atLeast"/>
      <w:ind w:firstLine="420"/>
    </w:pPr>
    <w:rPr>
      <w:sz w:val="24"/>
      <w:szCs w:val="24"/>
    </w:rPr>
  </w:style>
  <w:style w:type="paragraph" w:customStyle="1" w:styleId="37">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b w:val="0"/>
      <w:bCs w:val="0"/>
      <w:kern w:val="2"/>
      <w:sz w:val="24"/>
      <w:szCs w:val="20"/>
    </w:rPr>
  </w:style>
  <w:style w:type="character" w:customStyle="1" w:styleId="38">
    <w:name w:val="批注框文本 Char"/>
    <w:link w:val="8"/>
    <w:semiHidden/>
    <w:qFormat/>
    <w:uiPriority w:val="99"/>
    <w:rPr>
      <w:rFonts w:ascii="宋体" w:hAnsi="宋体" w:cs="宋体"/>
      <w:sz w:val="18"/>
      <w:szCs w:val="18"/>
    </w:rPr>
  </w:style>
  <w:style w:type="paragraph" w:customStyle="1" w:styleId="39">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7DAF6-D3BB-4953-A422-F9C748E42BD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5190</Words>
  <Characters>29585</Characters>
  <Lines>246</Lines>
  <Paragraphs>69</Paragraphs>
  <TotalTime>17</TotalTime>
  <ScaleCrop>false</ScaleCrop>
  <LinksUpToDate>false</LinksUpToDate>
  <CharactersWithSpaces>34706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2018-11-29T07:57:00Z</dcterms:created>
  <dc:creator>汇龙工程咨询有限公司:汇龙工程咨询有限公司</dc:creator>
  <cp:lastModifiedBy>淡蓝色•格调</cp:lastModifiedBy>
  <cp:lastPrinted>2019-01-23T02:08:00Z</cp:lastPrinted>
  <dcterms:modified xsi:type="dcterms:W3CDTF">2019-05-29T03:19:31Z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