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许昌市城市管理局“大型户外党建宣传广告设置”项目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082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采购单位：许昌市城市管理局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二十九</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受许昌市城市管理局的委托，对大型户外党建宣传广告设置项目进行公开招标。现邀请符合本招标文件规定条件的供应商前来投标。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zh-CN"/>
        </w:rPr>
        <w:t>：大型户外党建宣传广告设置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082</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在市区设置四处大型党建宣传牌，其中京港澳高速公路以西20米建安大道以南6米处、军分区大门前花坛西道牙以内1米处、天宝路与学院路交叉口西北角慢车道道牙以内10米处为新设，许州路与天宝路交叉口西北角处为改造提升。 施工严格按照设计图纸进行，画面内容按照效果图制作。</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（五）预算金额：1048561.46元。最高限价：1048561.46元。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rPr>
        <w:t>30天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w:t>
      </w:r>
      <w:r>
        <w:rPr>
          <w:rFonts w:hint="eastAsia" w:cs="仿宋_GB2312" w:asciiTheme="minorEastAsia" w:hAnsiTheme="minorEastAsia" w:eastAsiaTheme="minorEastAsia"/>
          <w:color w:val="000000"/>
          <w:sz w:val="21"/>
          <w:szCs w:val="21"/>
          <w:shd w:val="clear" w:color="auto" w:fill="FFFFFF"/>
        </w:rPr>
        <w:t>许昌市区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许昌市城市管理局</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地址：许昌市创业服务中心E座6楼</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联系人：郭永超                   联系电话：15994004660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hint="default" w:ascii="宋体" w:hAnsi="宋体"/>
          <w:szCs w:val="21"/>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许昌市城市管理局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cs="仿宋_GB2312" w:asciiTheme="minorEastAsia" w:hAnsiTheme="minorEastAsia" w:eastAsiaTheme="minorEastAsia"/>
          <w:color w:val="000000"/>
          <w:kern w:val="2"/>
          <w:sz w:val="21"/>
          <w:szCs w:val="21"/>
          <w:lang w:val="en-US" w:eastAsia="zh-CN" w:bidi="ar-SA"/>
        </w:rPr>
        <w:t>二〇一九年五月二十九日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在2019年7月15日前实现在京港澳高速公路以西20米建安大道以南6米处、军分区大门前花坛西道牙以内1米处、天宝路与学院路交叉口西北角慢车道道牙以内10米处新设三个党建广告牌，许州路与天宝路交叉口西北角处改造提升一个党建广告牌。</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京港澳高速公路以西20米处大型户外党建宣传广告牌</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整体尺寸26米*10米，单面版面，26米*8米，版面离地高2米，▲立柱采用φ140（6mm)及φ63(4mm)圆管焊接，横梁40*80*4mm镀锌矩形管焊接，外铺1.2mm镀锌瓦楞板，上部预留维修平梯40mm*60mm*4mm矩形镀锌方管，户外喷绘画面。</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军分区大门前花坛大型户外党建宣传广告牌</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整体（圆弧形）尺寸36米*10米，双面版面36米*8米，版面离地高7.5米，▲立柱采用φ189（6mm)及φ76(4mm)圆管焊接，横梁40*80*4mm镀锌矩形管焊接，外铺1.2mm镀锌瓦楞板，上部预留维修平梯40mm*60mm*4mm矩形镀锌方管，户外喷绘画面。</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eastAsiaTheme="minorEastAsia"/>
                <w:color w:val="000000"/>
                <w:kern w:val="0"/>
                <w:szCs w:val="21"/>
                <w:lang w:val="en-US" w:eastAsia="zh-CN"/>
              </w:rPr>
            </w:pPr>
            <w:r>
              <w:rPr>
                <w:rFonts w:hint="eastAsia" w:cs="Times New Roman" w:asciiTheme="minorEastAsia" w:hAnsiTheme="minorEastAsia"/>
                <w:color w:val="000000"/>
                <w:kern w:val="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天宝路与学院路交叉口西北角大型户外党建宣传广告牌</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整体尺寸26米*10米，双面版面，26米*8米，版面离地高2米，▲立柱采用φ140（6mm)及φ63(4mm)圆管焊接，横梁40*80*4mm镀锌矩形管焊接，外铺1.2mm镀锌瓦楞板，上部预留维修平梯40mm*60mm*4mm矩形镀锌方管，户外喷绘画面。</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1418"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许州路与天宝路交叉口西北角处为改造提升</w:t>
            </w:r>
          </w:p>
        </w:tc>
        <w:tc>
          <w:tcPr>
            <w:tcW w:w="4252" w:type="dxa"/>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增加夜间亮化，画面更换。</w:t>
            </w:r>
          </w:p>
        </w:tc>
        <w:tc>
          <w:tcPr>
            <w:tcW w:w="851"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个</w:t>
            </w:r>
          </w:p>
        </w:tc>
        <w:tc>
          <w:tcPr>
            <w:tcW w:w="850"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134" w:type="dxa"/>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w:t>
      </w:r>
      <w:r>
        <w:rPr>
          <w:rFonts w:hint="eastAsia" w:cs="宋体" w:asciiTheme="minorEastAsia" w:hAnsiTheme="minorEastAsia"/>
          <w:b/>
          <w:color w:val="000000"/>
          <w:kern w:val="0"/>
          <w:sz w:val="24"/>
          <w:szCs w:val="24"/>
          <w:highlight w:val="none"/>
          <w:lang w:val="zh-CN"/>
        </w:rPr>
        <w:t>服务标准、期限、效率等要求</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 xml:space="preserve"> 所投产品满足1年免费质保期，使用寿命8-10年。</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四、采购标的的其他技术、服务等要求</w:t>
      </w:r>
    </w:p>
    <w:p>
      <w:pPr>
        <w:wordWrap w:val="0"/>
        <w:topLinePunct/>
        <w:spacing w:line="360" w:lineRule="auto"/>
        <w:ind w:firstLine="480" w:firstLineChars="200"/>
        <w:rPr>
          <w:rFonts w:hint="eastAsia" w:ascii="宋体" w:cs="宋体"/>
          <w:sz w:val="24"/>
          <w:highlight w:val="none"/>
          <w:lang w:val="zh-CN" w:eastAsia="zh-CN"/>
        </w:rPr>
      </w:pPr>
      <w:r>
        <w:rPr>
          <w:rFonts w:hint="eastAsia" w:ascii="宋体" w:cs="宋体"/>
          <w:sz w:val="24"/>
          <w:highlight w:val="none"/>
          <w:lang w:val="zh-CN"/>
        </w:rPr>
        <w:t>1、需按照设计样本及施工图进行施工（见附件）</w:t>
      </w:r>
      <w:r>
        <w:rPr>
          <w:rFonts w:hint="eastAsia" w:ascii="宋体" w:cs="宋体"/>
          <w:sz w:val="24"/>
          <w:highlight w:val="none"/>
          <w:lang w:val="zh-CN" w:eastAsia="zh-CN"/>
        </w:rPr>
        <w:t>。</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2、投标人应就本项目完整投标，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w:t>
      </w:r>
      <w:r>
        <w:rPr>
          <w:rFonts w:hint="eastAsia" w:cs="宋体" w:asciiTheme="minorEastAsia" w:hAnsiTheme="minorEastAsia" w:eastAsiaTheme="minorEastAsia"/>
          <w:b/>
          <w:color w:val="000000"/>
          <w:kern w:val="0"/>
          <w:lang w:val="zh-CN"/>
        </w:rPr>
        <w:t>金额1048561.46元。最高限价1048561.46元。超出最高限价的投标无效。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2、支付时间及条件：经验收合格付合同总价款的90%，剩余10%满一年无质量问题一次付清。</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项目名称：大型户外党建宣传广告设置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082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在市区设置四处大型党建宣传牌，其中京港澳高速公路以西20米建安大道以南6米处、军分区大门前花坛西道牙以内1米处、天宝路与学院路交叉口西北角慢车道道牙以内10米处为新设，许州路与天宝路交叉口西北角处为改造提升。 施工严格按照设计图纸进行，画面内容按照效果图制作。</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 许昌市区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名称：许昌市城市管理局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地址：许昌市创业服务中心E座6楼</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联系人：郭永超                    电话：15994004660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1048561.46元，超出最高限价的投标无效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金额：贰万元（¥</w:t>
            </w:r>
            <w:r>
              <w:rPr>
                <w:rFonts w:hint="eastAsia" w:cs="仿宋_GB2312" w:asciiTheme="minorEastAsia" w:hAnsiTheme="minorEastAsia"/>
                <w:szCs w:val="21"/>
                <w:lang w:val="en-US" w:eastAsia="zh-CN"/>
              </w:rPr>
              <w:t>20000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s="仿宋_GB2312"/>
                <w:color w:val="000000"/>
                <w:szCs w:val="21"/>
              </w:rPr>
              <w:t>投标人提供2016年1月1日以来类似项目合同，每提供1个得</w:t>
            </w:r>
            <w:r>
              <w:rPr>
                <w:rFonts w:hint="eastAsia" w:ascii="宋体" w:hAnsi="宋体" w:cs="仿宋_GB2312"/>
                <w:color w:val="000000"/>
                <w:szCs w:val="21"/>
                <w:lang w:val="en-US" w:eastAsia="zh-CN"/>
              </w:rPr>
              <w:t>2</w:t>
            </w:r>
            <w:r>
              <w:rPr>
                <w:rFonts w:hint="eastAsia" w:ascii="宋体" w:hAnsi="宋体" w:cs="仿宋_GB2312"/>
                <w:color w:val="000000"/>
                <w:szCs w:val="21"/>
              </w:rPr>
              <w:t>分，最高得1</w:t>
            </w:r>
            <w:r>
              <w:rPr>
                <w:rFonts w:hint="eastAsia" w:ascii="宋体" w:hAnsi="宋体" w:cs="仿宋_GB2312"/>
                <w:color w:val="000000"/>
                <w:szCs w:val="21"/>
                <w:lang w:val="en-US" w:eastAsia="zh-CN"/>
              </w:rPr>
              <w:t>0</w:t>
            </w:r>
            <w:r>
              <w:rPr>
                <w:rFonts w:hint="eastAsia" w:ascii="宋体" w:hAnsi="宋体" w:cs="仿宋_GB2312"/>
                <w:color w:val="000000"/>
                <w:szCs w:val="21"/>
              </w:rPr>
              <w:t>分。（提供合同中和标通知书，缺少一项不得分）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pacing w:before="156" w:beforeLines="50"/>
              <w:jc w:val="center"/>
            </w:pPr>
            <w:r>
              <w:rPr>
                <w:rFonts w:hint="eastAsia" w:ascii="宋体" w:hAnsi="宋体" w:cs="Times New Roman"/>
                <w:color w:val="000000"/>
                <w:szCs w:val="21"/>
              </w:rPr>
              <w:t>信用情况</w:t>
            </w:r>
          </w:p>
          <w:p>
            <w:pPr>
              <w:widowControl/>
              <w:spacing w:before="156" w:beforeLines="50"/>
              <w:jc w:val="center"/>
              <w:rPr>
                <w:rFonts w:ascii="宋体" w:hAnsi="宋体" w:eastAsia="宋体" w:cs="Times New Roman"/>
                <w:szCs w:val="21"/>
              </w:rPr>
            </w:pPr>
            <w:r>
              <w:rPr>
                <w:rFonts w:hint="eastAsia" w:ascii="宋体" w:hAnsi="宋体" w:cs="Times New Roman"/>
                <w:color w:val="000000"/>
                <w:szCs w:val="21"/>
              </w:rPr>
              <w:t>（</w:t>
            </w:r>
            <w:r>
              <w:rPr>
                <w:rFonts w:hint="eastAsia" w:asciiTheme="minorEastAsia" w:hAnsiTheme="minorEastAsia"/>
                <w:color w:val="FF0000"/>
                <w:szCs w:val="21"/>
                <w:u w:val="single"/>
                <w:lang w:val="en-US" w:eastAsia="zh-CN"/>
              </w:rPr>
              <w:t>6</w:t>
            </w:r>
            <w:r>
              <w:rPr>
                <w:rFonts w:hint="eastAsia" w:ascii="宋体" w:hAnsi="宋体" w:eastAsia="宋体" w:cs="Times New Roman"/>
                <w:szCs w:val="21"/>
              </w:rPr>
              <w:t>分</w:t>
            </w:r>
            <w:r>
              <w:rPr>
                <w:rFonts w:hint="eastAsia" w:ascii="宋体" w:hAnsi="宋体" w:cs="Times New Roman"/>
                <w:color w:val="000000"/>
                <w:szCs w:val="21"/>
              </w:rPr>
              <w:t>）</w:t>
            </w:r>
          </w:p>
        </w:tc>
        <w:tc>
          <w:tcPr>
            <w:tcW w:w="6095" w:type="dxa"/>
            <w:vAlign w:val="center"/>
          </w:tcPr>
          <w:p>
            <w:pPr>
              <w:widowControl/>
              <w:jc w:val="left"/>
              <w:rPr>
                <w:rFonts w:ascii="宋体" w:hAnsi="宋体" w:eastAsia="宋体" w:cs="仿宋_GB2312"/>
                <w:szCs w:val="21"/>
                <w:lang w:val="zh-CN"/>
              </w:rPr>
            </w:pPr>
            <w:r>
              <w:rPr>
                <w:rFonts w:hint="eastAsia" w:ascii="宋体" w:hAnsi="宋体" w:cs="Times New Roman"/>
                <w:color w:val="000000"/>
                <w:szCs w:val="21"/>
              </w:rPr>
              <w:t>投标人提供2016年1月以来信用评级机构出具的有效的企业信用报告，等级为AAA级的得</w:t>
            </w:r>
            <w:r>
              <w:rPr>
                <w:rFonts w:hint="eastAsia" w:ascii="宋体" w:hAnsi="宋体" w:cs="Times New Roman"/>
                <w:color w:val="000000"/>
                <w:szCs w:val="21"/>
                <w:lang w:val="en-US" w:eastAsia="zh-CN"/>
              </w:rPr>
              <w:t>6</w:t>
            </w:r>
            <w:r>
              <w:rPr>
                <w:rFonts w:hint="eastAsia" w:ascii="宋体" w:hAnsi="宋体" w:cs="Times New Roman"/>
                <w:color w:val="000000"/>
                <w:szCs w:val="21"/>
              </w:rPr>
              <w:t>分；AA级的得</w:t>
            </w:r>
            <w:r>
              <w:rPr>
                <w:rFonts w:hint="eastAsia" w:ascii="宋体" w:hAnsi="宋体" w:cs="Times New Roman"/>
                <w:color w:val="000000"/>
                <w:szCs w:val="21"/>
                <w:lang w:val="en-US" w:eastAsia="zh-CN"/>
              </w:rPr>
              <w:t>4</w:t>
            </w:r>
            <w:r>
              <w:rPr>
                <w:rFonts w:hint="eastAsia" w:ascii="宋体" w:hAnsi="宋体" w:cs="Times New Roman"/>
                <w:color w:val="000000"/>
                <w:szCs w:val="21"/>
              </w:rPr>
              <w:t>分；A级的得</w:t>
            </w:r>
            <w:r>
              <w:rPr>
                <w:rFonts w:hint="eastAsia" w:ascii="宋体" w:hAnsi="宋体" w:cs="Times New Roman"/>
                <w:color w:val="000000"/>
                <w:szCs w:val="21"/>
                <w:lang w:val="en-US" w:eastAsia="zh-CN"/>
              </w:rPr>
              <w:t>2</w:t>
            </w:r>
            <w:r>
              <w:rPr>
                <w:rFonts w:hint="eastAsia" w:ascii="宋体" w:hAnsi="宋体"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pacing w:before="156" w:beforeLines="50"/>
              <w:jc w:val="center"/>
              <w:rPr>
                <w:rFonts w:hint="eastAsia" w:ascii="宋体" w:hAnsi="宋体" w:cs="Times New Roman"/>
                <w:color w:val="000000"/>
                <w:szCs w:val="21"/>
              </w:rPr>
            </w:pPr>
            <w:r>
              <w:rPr>
                <w:rFonts w:hint="eastAsia" w:ascii="宋体" w:hAnsi="宋体" w:cs="Times New Roman"/>
                <w:color w:val="000000"/>
                <w:szCs w:val="21"/>
              </w:rPr>
              <w:t>体系认证</w:t>
            </w:r>
          </w:p>
          <w:p>
            <w:pPr>
              <w:widowControl/>
              <w:spacing w:before="156" w:beforeLines="50"/>
              <w:jc w:val="center"/>
              <w:rPr>
                <w:rFonts w:hint="eastAsia" w:ascii="宋体" w:hAnsi="宋体" w:eastAsia="宋体" w:cs="Times New Roman"/>
                <w:szCs w:val="21"/>
              </w:rPr>
            </w:pPr>
            <w:r>
              <w:rPr>
                <w:rFonts w:hint="eastAsia" w:ascii="宋体" w:hAnsi="宋体" w:cs="Times New Roman"/>
                <w:color w:val="000000"/>
                <w:szCs w:val="21"/>
              </w:rPr>
              <w:t>（</w:t>
            </w:r>
            <w:r>
              <w:rPr>
                <w:rFonts w:hint="eastAsia" w:asciiTheme="minorEastAsia" w:hAnsiTheme="minorEastAsia"/>
                <w:color w:val="FF0000"/>
                <w:szCs w:val="21"/>
                <w:u w:val="single"/>
                <w:lang w:val="en-US" w:eastAsia="zh-CN"/>
              </w:rPr>
              <w:t>9</w:t>
            </w:r>
            <w:r>
              <w:rPr>
                <w:rFonts w:hint="eastAsia" w:ascii="宋体" w:hAnsi="宋体" w:eastAsia="宋体" w:cs="Times New Roman"/>
                <w:szCs w:val="21"/>
              </w:rPr>
              <w:t>分</w:t>
            </w:r>
            <w:r>
              <w:rPr>
                <w:rFonts w:hint="eastAsia" w:ascii="宋体" w:hAnsi="宋体" w:cs="Times New Roman"/>
                <w:color w:val="000000"/>
                <w:szCs w:val="21"/>
              </w:rPr>
              <w:t>）</w:t>
            </w:r>
          </w:p>
        </w:tc>
        <w:tc>
          <w:tcPr>
            <w:tcW w:w="6095" w:type="dxa"/>
            <w:vAlign w:val="center"/>
          </w:tcPr>
          <w:p>
            <w:pPr>
              <w:widowControl/>
              <w:jc w:val="left"/>
              <w:rPr>
                <w:rFonts w:hint="eastAsia" w:ascii="宋体" w:hAnsi="宋体" w:cs="Times New Roman"/>
                <w:color w:val="000000"/>
                <w:szCs w:val="21"/>
              </w:rPr>
            </w:pPr>
            <w:r>
              <w:rPr>
                <w:rFonts w:hint="eastAsia" w:ascii="宋体" w:hAnsi="宋体" w:cs="宋体"/>
                <w:bCs/>
                <w:szCs w:val="21"/>
              </w:rPr>
              <w:t>投标人提供质量体系管理认证证书、环境体系管理认证证书、职业健康安全管理体系认证证书，每个证书</w:t>
            </w:r>
            <w:r>
              <w:rPr>
                <w:rFonts w:hint="eastAsia" w:ascii="宋体" w:hAnsi="宋体" w:cs="宋体"/>
                <w:bCs/>
                <w:szCs w:val="21"/>
                <w:lang w:val="en-US" w:eastAsia="zh-CN"/>
              </w:rPr>
              <w:t>3</w:t>
            </w:r>
            <w:r>
              <w:rPr>
                <w:rFonts w:hint="eastAsia" w:ascii="宋体" w:hAnsi="宋体" w:cs="宋体"/>
                <w:bCs/>
                <w:szCs w:val="21"/>
              </w:rPr>
              <w:t>分</w:t>
            </w:r>
            <w:r>
              <w:rPr>
                <w:rFonts w:hint="eastAsia" w:ascii="宋体" w:hAnsi="宋体" w:cs="宋体"/>
                <w:bCs/>
                <w:szCs w:val="21"/>
                <w:lang w:eastAsia="zh-CN"/>
              </w:rPr>
              <w:t>，满分</w:t>
            </w:r>
            <w:r>
              <w:rPr>
                <w:rFonts w:hint="eastAsia" w:ascii="宋体" w:hAnsi="宋体" w:cs="宋体"/>
                <w:bCs/>
                <w:szCs w:val="21"/>
                <w:lang w:val="en-US" w:eastAsia="zh-CN"/>
              </w:rPr>
              <w:t>9分</w:t>
            </w:r>
            <w:r>
              <w:rPr>
                <w:rFonts w:hint="eastAsia" w:ascii="宋体" w:hAnsi="宋体" w:cs="宋体"/>
                <w:bCs/>
                <w:szCs w:val="21"/>
              </w:rPr>
              <w:t>；（需提供三个证书且在有效期内，否则不得分）。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tcBorders>
              <w:right w:val="single" w:color="auto" w:sz="4" w:space="0"/>
            </w:tcBorders>
            <w:vAlign w:val="center"/>
          </w:tcPr>
          <w:p>
            <w:pPr>
              <w:snapToGrid w:val="0"/>
              <w:spacing w:beforeLines="50"/>
              <w:rPr>
                <w:rFonts w:ascii="宋体" w:hAnsi="宋体" w:eastAsia="宋体" w:cs="Times New Roman"/>
                <w:szCs w:val="21"/>
              </w:rPr>
            </w:pPr>
            <w:r>
              <w:rPr>
                <w:rFonts w:hint="eastAsia" w:ascii="宋体" w:hAnsi="宋体" w:cs="Times New Roman"/>
                <w:color w:val="000000"/>
                <w:szCs w:val="21"/>
              </w:rPr>
              <w:t>货物主要技术规格满足招标文件要求；有优于采购清单加</w:t>
            </w:r>
            <w:r>
              <w:rPr>
                <w:rFonts w:hint="eastAsia" w:ascii="宋体" w:hAnsi="宋体" w:cs="宋体"/>
                <w:bCs/>
                <w:szCs w:val="21"/>
              </w:rPr>
              <w:t>▲</w:t>
            </w:r>
            <w:r>
              <w:rPr>
                <w:rFonts w:hint="eastAsia" w:ascii="宋体" w:hAnsi="宋体" w:cs="Times New Roman"/>
                <w:color w:val="000000"/>
                <w:szCs w:val="21"/>
              </w:rPr>
              <w:t>要求的每项加</w:t>
            </w:r>
            <w:r>
              <w:rPr>
                <w:rFonts w:hint="eastAsia" w:ascii="宋体" w:hAnsi="宋体" w:cs="Times New Roman"/>
                <w:color w:val="000000"/>
                <w:szCs w:val="21"/>
                <w:lang w:val="en-US" w:eastAsia="zh-CN"/>
              </w:rPr>
              <w:t>5</w:t>
            </w:r>
            <w:r>
              <w:rPr>
                <w:rFonts w:hint="eastAsia" w:ascii="宋体" w:hAnsi="宋体" w:cs="Times New Roman"/>
                <w:color w:val="000000"/>
                <w:szCs w:val="21"/>
              </w:rPr>
              <w:t>分，最多加</w:t>
            </w:r>
            <w:r>
              <w:rPr>
                <w:rFonts w:hint="eastAsia" w:ascii="宋体" w:hAnsi="宋体" w:cs="Times New Roman"/>
                <w:color w:val="000000"/>
                <w:szCs w:val="21"/>
                <w:lang w:val="en-US" w:eastAsia="zh-CN"/>
              </w:rPr>
              <w:t>15</w:t>
            </w:r>
            <w:r>
              <w:rPr>
                <w:rFonts w:hint="eastAsia" w:ascii="宋体" w:hAnsi="宋体" w:cs="Times New Roman"/>
                <w:color w:val="000000"/>
                <w:szCs w:val="21"/>
              </w:rPr>
              <w:t>分</w:t>
            </w:r>
            <w:r>
              <w:rPr>
                <w:rFonts w:hint="eastAsia" w:ascii="宋体" w:hAnsi="宋体"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widowControl/>
              <w:spacing w:before="156" w:beforeLines="50"/>
              <w:jc w:val="center"/>
            </w:pPr>
            <w:r>
              <w:rPr>
                <w:rFonts w:hint="eastAsia" w:ascii="宋体" w:hAnsi="宋体" w:cs="宋体"/>
                <w:color w:val="000000"/>
                <w:szCs w:val="21"/>
              </w:rPr>
              <w:t>售后服务</w:t>
            </w:r>
          </w:p>
          <w:p>
            <w:pPr>
              <w:widowControl/>
              <w:spacing w:before="156" w:beforeLines="50"/>
              <w:jc w:val="center"/>
              <w:rPr>
                <w:rFonts w:ascii="宋体" w:hAnsi="宋体" w:eastAsia="宋体" w:cs="Times New Roman"/>
                <w:szCs w:val="21"/>
              </w:rPr>
            </w:pPr>
            <w:r>
              <w:rPr>
                <w:rFonts w:hint="eastAsia" w:ascii="宋体" w:hAnsi="宋体" w:cs="宋体"/>
                <w:color w:val="000000"/>
                <w:szCs w:val="21"/>
              </w:rPr>
              <w:t>（</w:t>
            </w:r>
            <w:r>
              <w:rPr>
                <w:rFonts w:hint="eastAsia" w:asciiTheme="minorEastAsia" w:hAnsiTheme="minorEastAsia"/>
                <w:color w:val="FF0000"/>
                <w:szCs w:val="21"/>
                <w:u w:val="single"/>
                <w:lang w:val="en-US" w:eastAsia="zh-CN"/>
              </w:rPr>
              <w:t>15</w:t>
            </w:r>
            <w:r>
              <w:rPr>
                <w:rFonts w:hint="eastAsia" w:ascii="宋体" w:hAnsi="宋体" w:eastAsia="宋体" w:cs="Times New Roman"/>
                <w:szCs w:val="21"/>
              </w:rPr>
              <w:t>分</w:t>
            </w:r>
            <w:r>
              <w:rPr>
                <w:rFonts w:hint="eastAsia" w:ascii="宋体" w:hAnsi="宋体" w:cs="宋体"/>
                <w:color w:val="000000"/>
                <w:szCs w:val="21"/>
              </w:rPr>
              <w:t>）</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r>
              <w:rPr>
                <w:rFonts w:hint="eastAsia" w:ascii="宋体" w:hAnsi="宋体" w:cs="Times New Roman"/>
                <w:color w:val="000000"/>
                <w:szCs w:val="21"/>
              </w:rPr>
              <w:t> </w:t>
            </w:r>
            <w:r>
              <w:rPr>
                <w:rFonts w:hint="eastAsia" w:ascii="宋体" w:hAnsi="宋体" w:cs="宋体"/>
                <w:bCs/>
                <w:szCs w:val="21"/>
              </w:rPr>
              <w:t>投标人针对本项目提供详细、合理的售后服务计划，包括</w:t>
            </w:r>
            <w:r>
              <w:rPr>
                <w:rFonts w:hint="eastAsia" w:ascii="宋体" w:hAnsi="宋体" w:eastAsia="宋体" w:cs="宋体"/>
                <w:bCs/>
                <w:szCs w:val="21"/>
              </w:rPr>
              <w:t>①</w:t>
            </w:r>
            <w:r>
              <w:rPr>
                <w:rFonts w:hint="eastAsia" w:ascii="宋体" w:hAnsi="宋体" w:cs="宋体"/>
                <w:bCs/>
                <w:szCs w:val="21"/>
              </w:rPr>
              <w:t>人员培训计划</w:t>
            </w:r>
            <w:r>
              <w:rPr>
                <w:rFonts w:hint="eastAsia" w:ascii="宋体" w:hAnsi="宋体" w:eastAsia="宋体" w:cs="宋体"/>
                <w:bCs/>
                <w:szCs w:val="21"/>
              </w:rPr>
              <w:t>②</w:t>
            </w:r>
            <w:r>
              <w:rPr>
                <w:rFonts w:hint="eastAsia" w:ascii="宋体" w:hAnsi="宋体" w:cs="宋体"/>
                <w:bCs/>
                <w:szCs w:val="21"/>
              </w:rPr>
              <w:t>24小时电话响应</w:t>
            </w:r>
            <w:r>
              <w:rPr>
                <w:rFonts w:hint="eastAsia" w:ascii="宋体" w:hAnsi="宋体" w:cs="宋体"/>
                <w:bCs/>
                <w:szCs w:val="21"/>
                <w:lang w:eastAsia="zh-CN"/>
              </w:rPr>
              <w:t>，</w:t>
            </w:r>
            <w:r>
              <w:rPr>
                <w:rFonts w:hint="eastAsia" w:ascii="宋体" w:hAnsi="宋体" w:cs="宋体"/>
                <w:bCs/>
                <w:szCs w:val="21"/>
              </w:rPr>
              <w:t>服务人员</w:t>
            </w:r>
            <w:bookmarkStart w:id="14" w:name="_GoBack"/>
            <w:bookmarkEnd w:id="14"/>
            <w:r>
              <w:rPr>
                <w:rFonts w:hint="eastAsia" w:ascii="宋体" w:hAnsi="宋体" w:cs="宋体"/>
                <w:bCs/>
                <w:szCs w:val="21"/>
              </w:rPr>
              <w:t>24小时到达现场</w:t>
            </w:r>
            <w:r>
              <w:rPr>
                <w:rFonts w:hint="eastAsia" w:ascii="宋体" w:hAnsi="宋体" w:eastAsia="宋体" w:cs="宋体"/>
                <w:bCs/>
                <w:szCs w:val="21"/>
              </w:rPr>
              <w:t>③</w:t>
            </w:r>
            <w:r>
              <w:rPr>
                <w:rFonts w:hint="eastAsia" w:ascii="宋体" w:hAnsi="宋体" w:eastAsia="宋体" w:cs="宋体"/>
                <w:bCs/>
                <w:szCs w:val="21"/>
                <w:lang w:eastAsia="zh-CN"/>
              </w:rPr>
              <w:t>维修服务不得转包、专人负责</w:t>
            </w:r>
            <w:r>
              <w:rPr>
                <w:rFonts w:hint="eastAsia" w:ascii="宋体" w:hAnsi="宋体" w:cs="宋体"/>
                <w:bCs/>
                <w:szCs w:val="21"/>
              </w:rPr>
              <w:t>④解决问题时间</w:t>
            </w:r>
            <w:r>
              <w:rPr>
                <w:rFonts w:hint="eastAsia" w:ascii="宋体" w:hAnsi="宋体" w:cs="宋体"/>
                <w:bCs/>
                <w:szCs w:val="21"/>
                <w:lang w:eastAsia="zh-CN"/>
              </w:rPr>
              <w:t>，包括应急维修维护和长效维护</w:t>
            </w:r>
            <w:r>
              <w:rPr>
                <w:rFonts w:hint="eastAsia" w:ascii="宋体" w:hAnsi="宋体" w:eastAsia="宋体" w:cs="宋体"/>
                <w:bCs/>
                <w:szCs w:val="21"/>
              </w:rPr>
              <w:t>⑤</w:t>
            </w:r>
            <w:r>
              <w:rPr>
                <w:rFonts w:hint="eastAsia" w:ascii="宋体" w:hAnsi="宋体" w:cs="宋体"/>
                <w:bCs/>
                <w:szCs w:val="21"/>
              </w:rPr>
              <w:t>售后技术服务方案，每项得3分</w:t>
            </w:r>
            <w:r>
              <w:rPr>
                <w:rFonts w:hint="eastAsia" w:ascii="宋体" w:hAnsi="宋体" w:cs="宋体"/>
                <w:bCs/>
                <w:szCs w:val="21"/>
                <w:lang w:eastAsia="zh-CN"/>
              </w:rPr>
              <w:t>，满分</w:t>
            </w:r>
            <w:r>
              <w:rPr>
                <w:rFonts w:hint="eastAsia" w:ascii="宋体" w:hAnsi="宋体" w:cs="宋体"/>
                <w:bCs/>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sz w:val="21"/>
                <w:szCs w:val="21"/>
              </w:rPr>
            </w:pPr>
            <w:bookmarkStart w:id="5" w:name="_Hlk535157742"/>
          </w:p>
        </w:tc>
        <w:tc>
          <w:tcPr>
            <w:tcW w:w="1560" w:type="dxa"/>
            <w:tcBorders>
              <w:left w:val="single" w:color="auto" w:sz="4" w:space="0"/>
              <w:right w:val="single" w:color="auto" w:sz="4" w:space="0"/>
            </w:tcBorders>
            <w:vAlign w:val="center"/>
          </w:tcPr>
          <w:p>
            <w:pPr>
              <w:widowControl/>
              <w:spacing w:before="156" w:beforeLines="50"/>
              <w:jc w:val="center"/>
              <w:rPr>
                <w:rFonts w:hint="eastAsia"/>
              </w:rPr>
            </w:pPr>
            <w:r>
              <w:rPr>
                <w:rFonts w:hint="eastAsia"/>
              </w:rPr>
              <w:t>人员配备</w:t>
            </w:r>
          </w:p>
          <w:p>
            <w:pPr>
              <w:widowControl/>
              <w:spacing w:before="156" w:beforeLines="50"/>
              <w:jc w:val="center"/>
              <w:rPr>
                <w:rFonts w:ascii="宋体" w:hAnsi="宋体" w:eastAsia="宋体" w:cs="Times New Roman"/>
                <w:szCs w:val="21"/>
              </w:rPr>
            </w:pPr>
            <w:r>
              <w:rPr>
                <w:rFonts w:hint="eastAsia"/>
              </w:rPr>
              <w:t>（</w:t>
            </w:r>
            <w:r>
              <w:rPr>
                <w:rFonts w:hint="eastAsia" w:asciiTheme="minorEastAsia" w:hAnsiTheme="minorEastAsia"/>
                <w:color w:val="FF0000"/>
                <w:szCs w:val="21"/>
                <w:u w:val="single"/>
                <w:lang w:val="en-US" w:eastAsia="zh-CN"/>
              </w:rPr>
              <w:t>5</w:t>
            </w:r>
            <w:r>
              <w:rPr>
                <w:rFonts w:hint="eastAsia" w:ascii="宋体" w:hAnsi="宋体" w:eastAsia="宋体" w:cs="Times New Roman"/>
                <w:szCs w:val="21"/>
              </w:rPr>
              <w:t>分</w:t>
            </w:r>
            <w:r>
              <w:rPr>
                <w:rFonts w:hint="eastAsia"/>
              </w:rPr>
              <w:t>）</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r>
              <w:rPr>
                <w:rFonts w:hint="eastAsia" w:ascii="宋体" w:hAnsi="宋体" w:cs="Times New Roman"/>
                <w:color w:val="000000"/>
                <w:szCs w:val="21"/>
              </w:rPr>
              <w:t> 根据投标人在后期售后及维护维修更换配备人员数量及技术水平进行打分</w:t>
            </w:r>
            <w:r>
              <w:rPr>
                <w:rFonts w:hint="eastAsia" w:ascii="宋体" w:hAnsi="宋体" w:cs="宋体"/>
                <w:szCs w:val="21"/>
              </w:rPr>
              <w:t>共5分</w:t>
            </w:r>
            <w:r>
              <w:rPr>
                <w:rFonts w:hint="eastAsia" w:ascii="宋体" w:hAnsi="宋体" w:cs="宋体"/>
                <w:szCs w:val="21"/>
                <w:lang w:eastAsia="zh-CN"/>
              </w:rPr>
              <w:t>。</w:t>
            </w:r>
            <w:r>
              <w:rPr>
                <w:rFonts w:hint="eastAsia" w:ascii="宋体" w:hAnsi="宋体" w:cs="宋体"/>
                <w:szCs w:val="21"/>
              </w:rPr>
              <w:t>配备电工1名</w:t>
            </w:r>
            <w:r>
              <w:rPr>
                <w:rFonts w:hint="eastAsia" w:ascii="宋体" w:hAnsi="宋体" w:cs="宋体"/>
                <w:szCs w:val="21"/>
                <w:lang w:eastAsia="zh-CN"/>
              </w:rPr>
              <w:t>得</w:t>
            </w:r>
            <w:r>
              <w:rPr>
                <w:rFonts w:hint="eastAsia" w:ascii="宋体" w:hAnsi="宋体" w:cs="宋体"/>
                <w:szCs w:val="21"/>
                <w:lang w:val="en-US" w:eastAsia="zh-CN"/>
              </w:rPr>
              <w:t>3分</w:t>
            </w:r>
            <w:r>
              <w:rPr>
                <w:rFonts w:hint="eastAsia" w:ascii="宋体" w:hAnsi="宋体" w:cs="宋体"/>
                <w:szCs w:val="21"/>
              </w:rPr>
              <w:t>（提供电工证）</w:t>
            </w:r>
            <w:r>
              <w:rPr>
                <w:rFonts w:hint="eastAsia" w:ascii="宋体" w:hAnsi="宋体" w:cs="宋体"/>
                <w:szCs w:val="21"/>
                <w:lang w:eastAsia="zh-CN"/>
              </w:rPr>
              <w:t>，</w:t>
            </w:r>
            <w:r>
              <w:rPr>
                <w:rFonts w:hint="eastAsia" w:ascii="宋体" w:hAnsi="宋体" w:cs="宋体"/>
                <w:szCs w:val="21"/>
              </w:rPr>
              <w:t>其他人员</w:t>
            </w:r>
            <w:r>
              <w:rPr>
                <w:rFonts w:hint="eastAsia" w:ascii="宋体" w:hAnsi="宋体" w:cs="宋体"/>
                <w:szCs w:val="21"/>
                <w:lang w:eastAsia="zh-CN"/>
              </w:rPr>
              <w:t>每配备</w:t>
            </w:r>
            <w:r>
              <w:rPr>
                <w:rFonts w:hint="eastAsia" w:ascii="宋体" w:hAnsi="宋体" w:cs="宋体"/>
                <w:szCs w:val="21"/>
                <w:lang w:val="en-US" w:eastAsia="zh-CN"/>
              </w:rPr>
              <w:t>2人得1分</w:t>
            </w:r>
            <w:r>
              <w:rPr>
                <w:rFonts w:hint="eastAsia"/>
              </w:rPr>
              <w:t>，不配备电工不得分</w:t>
            </w:r>
            <w:r>
              <w:rPr>
                <w:rFonts w:hint="eastAsia"/>
                <w:lang w:eastAsia="zh-CN"/>
              </w:rPr>
              <w:t>，满分</w:t>
            </w:r>
            <w:r>
              <w:rPr>
                <w:rFonts w:hint="eastAsia"/>
                <w:lang w:val="en-US" w:eastAsia="zh-CN"/>
              </w:rPr>
              <w:t>5分。</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ascii="宋体" w:hAnsi="宋体" w:cs="宋体"/>
                <w:bCs/>
                <w:szCs w:val="21"/>
              </w:rPr>
              <w:t>投标文件编制的规范性、完整性、响应性较好的得6分，若出现编排混乱等不规范现象不得分</w:t>
            </w:r>
            <w:r>
              <w:rPr>
                <w:rFonts w:hint="eastAsia" w:ascii="宋体" w:hAnsi="宋体" w:cs="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widowControl/>
              <w:spacing w:before="156" w:beforeLines="50"/>
              <w:jc w:val="center"/>
              <w:rPr>
                <w:rFonts w:hint="eastAsia" w:ascii="宋体" w:hAnsi="宋体" w:cs="Times New Roman"/>
                <w:color w:val="000000"/>
                <w:szCs w:val="21"/>
              </w:rPr>
            </w:pPr>
            <w:r>
              <w:rPr>
                <w:rFonts w:hint="eastAsia" w:ascii="宋体" w:hAnsi="宋体" w:cs="Times New Roman"/>
                <w:color w:val="000000"/>
                <w:szCs w:val="21"/>
              </w:rPr>
              <w:t>质保期</w:t>
            </w:r>
          </w:p>
          <w:p>
            <w:pPr>
              <w:widowControl/>
              <w:spacing w:before="156" w:beforeLines="50"/>
              <w:jc w:val="center"/>
              <w:rPr>
                <w:rFonts w:hint="eastAsia" w:ascii="宋体" w:hAnsi="宋体" w:eastAsia="宋体" w:cs="Times New Roman"/>
                <w:szCs w:val="21"/>
              </w:rPr>
            </w:pPr>
            <w:r>
              <w:rPr>
                <w:rFonts w:hint="eastAsia" w:ascii="宋体" w:hAnsi="宋体" w:cs="Times New Roman"/>
                <w:color w:val="000000"/>
                <w:szCs w:val="21"/>
              </w:rPr>
              <w:t>（</w:t>
            </w:r>
            <w:r>
              <w:rPr>
                <w:rFonts w:hint="eastAsia" w:asciiTheme="minorEastAsia" w:hAnsiTheme="minorEastAsia"/>
                <w:color w:val="FF0000"/>
                <w:szCs w:val="21"/>
                <w:u w:val="single"/>
                <w:lang w:val="en-US" w:eastAsia="zh-CN"/>
              </w:rPr>
              <w:t>4</w:t>
            </w:r>
            <w:r>
              <w:rPr>
                <w:rFonts w:hint="eastAsia" w:ascii="宋体" w:hAnsi="宋体" w:eastAsia="宋体" w:cs="Times New Roman"/>
                <w:szCs w:val="21"/>
              </w:rPr>
              <w:t>分</w:t>
            </w:r>
            <w:r>
              <w:rPr>
                <w:rFonts w:hint="eastAsia" w:ascii="宋体" w:hAnsi="宋体" w:cs="Times New Roman"/>
                <w:color w:val="000000"/>
                <w:szCs w:val="21"/>
              </w:rPr>
              <w:t>）</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r>
              <w:rPr>
                <w:rFonts w:hint="eastAsia" w:ascii="宋体" w:hAnsi="宋体" w:cs="宋体"/>
                <w:bCs/>
                <w:szCs w:val="21"/>
              </w:rPr>
              <w:t>质保期在1年的基础上，每增加1年加2分</w:t>
            </w:r>
            <w:r>
              <w:rPr>
                <w:rFonts w:hint="eastAsia" w:ascii="宋体" w:hAnsi="宋体" w:cs="宋体"/>
                <w:bCs/>
                <w:szCs w:val="21"/>
                <w:lang w:val="en-US" w:eastAsia="zh-CN"/>
              </w:rPr>
              <w:t>,满分4分。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6274126"/>
      <w:bookmarkStart w:id="7" w:name="_Toc184023138"/>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F222C"/>
    <w:multiLevelType w:val="singleLevel"/>
    <w:tmpl w:val="CC4F222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0"/>
  </w:num>
  <w:num w:numId="6">
    <w:abstractNumId w:val="8"/>
  </w:num>
  <w:num w:numId="7">
    <w:abstractNumId w:val="15"/>
  </w:num>
  <w:num w:numId="8">
    <w:abstractNumId w:val="9"/>
  </w:num>
  <w:num w:numId="9">
    <w:abstractNumId w:val="5"/>
  </w:num>
  <w:num w:numId="10">
    <w:abstractNumId w:val="6"/>
  </w:num>
  <w:num w:numId="11">
    <w:abstractNumId w:val="17"/>
  </w:num>
  <w:num w:numId="12">
    <w:abstractNumId w:val="11"/>
  </w:num>
  <w:num w:numId="13">
    <w:abstractNumId w:val="16"/>
  </w:num>
  <w:num w:numId="14">
    <w:abstractNumId w:val="4"/>
  </w:num>
  <w:num w:numId="15">
    <w:abstractNumId w:val="7"/>
  </w:num>
  <w:num w:numId="16">
    <w:abstractNumId w:val="1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EA15C2"/>
    <w:rsid w:val="057B354B"/>
    <w:rsid w:val="0A582101"/>
    <w:rsid w:val="10E64FA4"/>
    <w:rsid w:val="13464CFF"/>
    <w:rsid w:val="13CF7A33"/>
    <w:rsid w:val="15467A91"/>
    <w:rsid w:val="17F23AEB"/>
    <w:rsid w:val="1EC1311C"/>
    <w:rsid w:val="1F351CAD"/>
    <w:rsid w:val="201D34DB"/>
    <w:rsid w:val="23BE10D0"/>
    <w:rsid w:val="25624915"/>
    <w:rsid w:val="279B317D"/>
    <w:rsid w:val="33BC3DF7"/>
    <w:rsid w:val="34836739"/>
    <w:rsid w:val="35DB3970"/>
    <w:rsid w:val="3A7E29F5"/>
    <w:rsid w:val="3ED05AD2"/>
    <w:rsid w:val="425818F4"/>
    <w:rsid w:val="47D66533"/>
    <w:rsid w:val="4AF0294E"/>
    <w:rsid w:val="5B1F0BB5"/>
    <w:rsid w:val="642B11B3"/>
    <w:rsid w:val="6734153E"/>
    <w:rsid w:val="6F554FB3"/>
    <w:rsid w:val="70D03C4B"/>
    <w:rsid w:val="757D07F4"/>
    <w:rsid w:val="78735A1C"/>
    <w:rsid w:val="7F5F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3</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2019-05-28T08:26:07Z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