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jc w:val="center"/>
        <w:textAlignment w:val="auto"/>
        <w:outlineLvl w:val="9"/>
        <w:rPr>
          <w:rFonts w:hint="eastAsia" w:ascii="宋体" w:hAnsi="宋体" w:eastAsia="宋体" w:cs="宋体"/>
          <w:b/>
          <w:snapToGrid w:val="0"/>
          <w:kern w:val="0"/>
          <w:sz w:val="32"/>
          <w:szCs w:val="32"/>
        </w:rPr>
      </w:pPr>
      <w:r>
        <w:rPr>
          <w:rFonts w:hint="eastAsia" w:ascii="宋体" w:hAnsi="宋体" w:eastAsia="宋体" w:cs="宋体"/>
          <w:b/>
          <w:bCs/>
          <w:sz w:val="32"/>
          <w:szCs w:val="32"/>
        </w:rPr>
        <w:t xml:space="preserve">（一） </w:t>
      </w:r>
      <w:r>
        <w:rPr>
          <w:rFonts w:hint="eastAsia" w:ascii="宋体" w:hAnsi="宋体" w:eastAsia="宋体" w:cs="宋体"/>
          <w:b/>
          <w:snapToGrid w:val="0"/>
          <w:kern w:val="0"/>
          <w:sz w:val="32"/>
          <w:szCs w:val="32"/>
        </w:rPr>
        <w:t>投标分项报价一览表</w:t>
      </w:r>
    </w:p>
    <w:p>
      <w:pPr>
        <w:keepNext w:val="0"/>
        <w:keepLines w:val="0"/>
        <w:pageBreakBefore w:val="0"/>
        <w:kinsoku/>
        <w:wordWrap/>
        <w:overflowPunct/>
        <w:topLinePunct w:val="0"/>
        <w:bidi w:val="0"/>
        <w:textAlignment w:val="auto"/>
        <w:outlineLvl w:val="9"/>
        <w:rPr>
          <w:rFonts w:hint="eastAsia" w:ascii="宋体" w:hAnsi="宋体" w:eastAsia="宋体" w:cs="宋体"/>
          <w:sz w:val="24"/>
          <w:szCs w:val="24"/>
        </w:rPr>
      </w:pPr>
    </w:p>
    <w:p>
      <w:pPr>
        <w:keepNext w:val="0"/>
        <w:keepLines w:val="0"/>
        <w:pageBreakBefore w:val="0"/>
        <w:kinsoku/>
        <w:wordWrap/>
        <w:overflowPunct/>
        <w:topLinePunct w:val="0"/>
        <w:bidi w:val="0"/>
        <w:textAlignment w:val="auto"/>
        <w:outlineLvl w:val="9"/>
        <w:rPr>
          <w:rFonts w:hint="eastAsia" w:ascii="宋体" w:hAnsi="宋体" w:eastAsia="宋体" w:cs="宋体"/>
          <w:sz w:val="24"/>
          <w:szCs w:val="24"/>
        </w:rPr>
      </w:pPr>
    </w:p>
    <w:tbl>
      <w:tblPr>
        <w:tblStyle w:val="10"/>
        <w:tblW w:w="13298" w:type="dxa"/>
        <w:jc w:val="center"/>
        <w:tblInd w:w="0" w:type="dxa"/>
        <w:tblLayout w:type="fixed"/>
        <w:tblCellMar>
          <w:top w:w="0" w:type="dxa"/>
          <w:left w:w="108" w:type="dxa"/>
          <w:bottom w:w="0" w:type="dxa"/>
          <w:right w:w="108" w:type="dxa"/>
        </w:tblCellMar>
      </w:tblPr>
      <w:tblGrid>
        <w:gridCol w:w="477"/>
        <w:gridCol w:w="630"/>
        <w:gridCol w:w="495"/>
        <w:gridCol w:w="6615"/>
        <w:gridCol w:w="480"/>
        <w:gridCol w:w="450"/>
        <w:gridCol w:w="1590"/>
        <w:gridCol w:w="1565"/>
        <w:gridCol w:w="996"/>
      </w:tblGrid>
      <w:tr>
        <w:tblPrEx>
          <w:tblLayout w:type="fixed"/>
          <w:tblCellMar>
            <w:top w:w="0" w:type="dxa"/>
            <w:left w:w="108" w:type="dxa"/>
            <w:bottom w:w="0" w:type="dxa"/>
            <w:right w:w="108" w:type="dxa"/>
          </w:tblCellMar>
        </w:tblPrEx>
        <w:trPr>
          <w:trHeight w:val="839" w:hRule="atLeast"/>
          <w:jc w:val="center"/>
        </w:trPr>
        <w:tc>
          <w:tcPr>
            <w:tcW w:w="47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280" w:lineRule="exact"/>
              <w:jc w:val="center"/>
              <w:textAlignment w:val="auto"/>
              <w:outlineLvl w:val="9"/>
              <w:rPr>
                <w:rFonts w:hint="eastAsia" w:ascii="宋体" w:hAnsi="宋体" w:eastAsia="宋体" w:cs="宋体"/>
                <w:b/>
                <w:sz w:val="24"/>
                <w:szCs w:val="24"/>
                <w:lang w:val="zh-CN"/>
              </w:rPr>
            </w:pPr>
            <w:r>
              <w:rPr>
                <w:rFonts w:hint="eastAsia" w:ascii="宋体" w:hAnsi="宋体" w:eastAsia="宋体" w:cs="宋体"/>
                <w:b/>
                <w:sz w:val="24"/>
                <w:szCs w:val="24"/>
                <w:lang w:val="zh-CN"/>
              </w:rPr>
              <w:t>序号</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49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sz w:val="24"/>
                <w:szCs w:val="24"/>
                <w:lang w:val="zh-CN"/>
              </w:rPr>
            </w:pPr>
            <w:r>
              <w:rPr>
                <w:rFonts w:hint="eastAsia" w:ascii="宋体" w:hAnsi="宋体" w:eastAsia="宋体" w:cs="宋体"/>
                <w:b/>
                <w:sz w:val="24"/>
                <w:szCs w:val="24"/>
                <w:lang w:val="zh-CN"/>
              </w:rPr>
              <w:t>品牌</w:t>
            </w:r>
          </w:p>
        </w:tc>
        <w:tc>
          <w:tcPr>
            <w:tcW w:w="661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sz w:val="24"/>
                <w:szCs w:val="24"/>
                <w:lang w:val="zh-CN"/>
              </w:rPr>
            </w:pPr>
            <w:r>
              <w:rPr>
                <w:rFonts w:hint="eastAsia" w:ascii="宋体" w:hAnsi="宋体" w:eastAsia="宋体" w:cs="宋体"/>
                <w:b/>
                <w:sz w:val="24"/>
                <w:szCs w:val="24"/>
                <w:lang w:val="zh-CN"/>
              </w:rPr>
              <w:t>技术</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sz w:val="24"/>
                <w:szCs w:val="24"/>
                <w:lang w:val="zh-CN"/>
              </w:rPr>
            </w:pPr>
            <w:r>
              <w:rPr>
                <w:rFonts w:hint="eastAsia" w:ascii="宋体" w:hAnsi="宋体" w:eastAsia="宋体" w:cs="宋体"/>
                <w:b/>
                <w:sz w:val="24"/>
                <w:szCs w:val="24"/>
                <w:lang w:val="zh-CN"/>
              </w:rPr>
              <w:t>参数</w:t>
            </w:r>
          </w:p>
        </w:tc>
        <w:tc>
          <w:tcPr>
            <w:tcW w:w="4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sz w:val="24"/>
                <w:szCs w:val="24"/>
                <w:lang w:val="zh-CN"/>
              </w:rPr>
            </w:pPr>
            <w:r>
              <w:rPr>
                <w:rFonts w:hint="eastAsia" w:ascii="宋体" w:hAnsi="宋体" w:eastAsia="宋体" w:cs="宋体"/>
                <w:b/>
                <w:sz w:val="24"/>
                <w:szCs w:val="24"/>
                <w:lang w:val="zh-CN"/>
              </w:rPr>
              <w:t>单位</w:t>
            </w:r>
          </w:p>
        </w:tc>
        <w:tc>
          <w:tcPr>
            <w:tcW w:w="45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sz w:val="24"/>
                <w:szCs w:val="24"/>
                <w:lang w:val="zh-CN"/>
              </w:rPr>
            </w:pPr>
            <w:r>
              <w:rPr>
                <w:rFonts w:hint="eastAsia" w:ascii="宋体" w:hAnsi="宋体" w:eastAsia="宋体" w:cs="宋体"/>
                <w:b/>
                <w:sz w:val="24"/>
                <w:szCs w:val="24"/>
                <w:lang w:val="zh-CN"/>
              </w:rPr>
              <w:t>数量</w:t>
            </w:r>
          </w:p>
        </w:tc>
        <w:tc>
          <w:tcPr>
            <w:tcW w:w="159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sz w:val="24"/>
                <w:szCs w:val="24"/>
                <w:lang w:val="zh-CN"/>
              </w:rPr>
            </w:pPr>
            <w:r>
              <w:rPr>
                <w:rFonts w:hint="eastAsia" w:ascii="宋体" w:hAnsi="宋体" w:eastAsia="宋体" w:cs="宋体"/>
                <w:b/>
                <w:sz w:val="24"/>
                <w:szCs w:val="24"/>
                <w:lang w:val="zh-CN"/>
              </w:rPr>
              <w:t>单价</w:t>
            </w:r>
          </w:p>
        </w:tc>
        <w:tc>
          <w:tcPr>
            <w:tcW w:w="156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60" w:lineRule="auto"/>
              <w:ind w:left="120" w:leftChars="57"/>
              <w:jc w:val="center"/>
              <w:textAlignment w:val="auto"/>
              <w:outlineLvl w:val="9"/>
              <w:rPr>
                <w:rFonts w:hint="eastAsia" w:ascii="宋体" w:hAnsi="宋体" w:eastAsia="宋体" w:cs="宋体"/>
                <w:b/>
                <w:sz w:val="24"/>
                <w:szCs w:val="24"/>
                <w:lang w:val="zh-CN"/>
              </w:rPr>
            </w:pPr>
            <w:r>
              <w:rPr>
                <w:rFonts w:hint="eastAsia" w:ascii="宋体" w:hAnsi="宋体" w:eastAsia="宋体" w:cs="宋体"/>
                <w:b/>
                <w:sz w:val="24"/>
                <w:szCs w:val="24"/>
                <w:lang w:val="zh-CN"/>
              </w:rPr>
              <w:t>总价</w:t>
            </w:r>
          </w:p>
        </w:tc>
        <w:tc>
          <w:tcPr>
            <w:tcW w:w="99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360" w:lineRule="auto"/>
              <w:ind w:left="120" w:hanging="120"/>
              <w:jc w:val="center"/>
              <w:textAlignment w:val="auto"/>
              <w:outlineLvl w:val="9"/>
              <w:rPr>
                <w:rFonts w:hint="eastAsia" w:ascii="宋体" w:hAnsi="宋体" w:eastAsia="宋体" w:cs="宋体"/>
                <w:b/>
                <w:sz w:val="24"/>
                <w:szCs w:val="24"/>
                <w:lang w:val="zh-CN"/>
              </w:rPr>
            </w:pPr>
            <w:r>
              <w:rPr>
                <w:rFonts w:hint="eastAsia" w:ascii="宋体" w:hAnsi="宋体" w:eastAsia="宋体" w:cs="宋体"/>
                <w:b/>
                <w:sz w:val="24"/>
                <w:szCs w:val="24"/>
                <w:lang w:val="zh-CN"/>
              </w:rPr>
              <w:t>产地及</w:t>
            </w:r>
          </w:p>
          <w:p>
            <w:pPr>
              <w:keepNext w:val="0"/>
              <w:keepLines w:val="0"/>
              <w:pageBreakBefore w:val="0"/>
              <w:kinsoku/>
              <w:wordWrap/>
              <w:overflowPunct/>
              <w:topLinePunct w:val="0"/>
              <w:autoSpaceDE w:val="0"/>
              <w:autoSpaceDN w:val="0"/>
              <w:bidi w:val="0"/>
              <w:adjustRightInd w:val="0"/>
              <w:spacing w:line="360" w:lineRule="auto"/>
              <w:ind w:left="120" w:hanging="120"/>
              <w:jc w:val="center"/>
              <w:textAlignment w:val="auto"/>
              <w:outlineLvl w:val="9"/>
              <w:rPr>
                <w:rFonts w:hint="eastAsia" w:ascii="宋体" w:hAnsi="宋体" w:eastAsia="宋体" w:cs="宋体"/>
                <w:b/>
                <w:sz w:val="24"/>
                <w:szCs w:val="24"/>
                <w:lang w:val="zh-CN"/>
              </w:rPr>
            </w:pPr>
            <w:r>
              <w:rPr>
                <w:rFonts w:hint="eastAsia" w:ascii="宋体" w:hAnsi="宋体" w:eastAsia="宋体" w:cs="宋体"/>
                <w:b/>
                <w:sz w:val="24"/>
                <w:szCs w:val="24"/>
                <w:lang w:val="zh-CN"/>
              </w:rPr>
              <w:t>厂家</w:t>
            </w:r>
          </w:p>
        </w:tc>
      </w:tr>
      <w:tr>
        <w:tblPrEx>
          <w:tblLayout w:type="fixed"/>
          <w:tblCellMar>
            <w:top w:w="0" w:type="dxa"/>
            <w:left w:w="108" w:type="dxa"/>
            <w:bottom w:w="0" w:type="dxa"/>
            <w:right w:w="108" w:type="dxa"/>
          </w:tblCellMar>
        </w:tblPrEx>
        <w:trPr>
          <w:trHeight w:val="4179" w:hRule="atLeast"/>
          <w:jc w:val="center"/>
        </w:trPr>
        <w:tc>
          <w:tcPr>
            <w:tcW w:w="4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6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sz w:val="24"/>
                <w:szCs w:val="24"/>
              </w:rPr>
            </w:pPr>
            <w:r>
              <w:rPr>
                <w:rFonts w:hint="eastAsia" w:ascii="宋体" w:hAnsi="宋体" w:eastAsia="宋体" w:cs="宋体"/>
                <w:b/>
                <w:bCs/>
                <w:sz w:val="24"/>
                <w:szCs w:val="24"/>
              </w:rPr>
              <w:t>30吨粮食烘干机</w:t>
            </w:r>
          </w:p>
        </w:tc>
        <w:tc>
          <w:tcPr>
            <w:tcW w:w="4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海帝升牌</w:t>
            </w:r>
          </w:p>
        </w:tc>
        <w:tc>
          <w:tcPr>
            <w:tcW w:w="6615" w:type="dxa"/>
            <w:tcBorders>
              <w:top w:val="single" w:color="auto" w:sz="6" w:space="0"/>
              <w:left w:val="single" w:color="auto" w:sz="6" w:space="0"/>
              <w:bottom w:val="single" w:color="auto" w:sz="6" w:space="0"/>
              <w:right w:val="single" w:color="auto" w:sz="6" w:space="0"/>
            </w:tcBorders>
            <w:noWrap w:val="0"/>
            <w:vAlign w:val="center"/>
          </w:tcPr>
          <w:tbl>
            <w:tblPr>
              <w:tblStyle w:val="10"/>
              <w:tblpPr w:leftFromText="180" w:rightFromText="180" w:vertAnchor="text" w:horzAnchor="page" w:tblpXSpec="center" w:tblpY="1052"/>
              <w:tblW w:w="6278"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37"/>
              <w:gridCol w:w="1126"/>
              <w:gridCol w:w="1693"/>
              <w:gridCol w:w="222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95" w:hRule="atLeast"/>
                <w:jc w:val="center"/>
              </w:trPr>
              <w:tc>
                <w:tcPr>
                  <w:tcW w:w="4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分类</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技术参数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9" w:hRule="atLeast"/>
                <w:jc w:val="center"/>
              </w:trPr>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谷物种类及加工量</w:t>
                  </w:r>
                </w:p>
              </w:tc>
              <w:tc>
                <w:tcPr>
                  <w:tcW w:w="28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玉米</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30000kg</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92" w:hRule="atLeast"/>
                <w:jc w:val="center"/>
              </w:trPr>
              <w:tc>
                <w:tcPr>
                  <w:tcW w:w="4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整机重量（kg）</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约6400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92" w:hRule="atLeast"/>
                <w:jc w:val="center"/>
              </w:trPr>
              <w:tc>
                <w:tcPr>
                  <w:tcW w:w="4056"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外形尺寸（mm）</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4505×3560×12410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9" w:hRule="atLeast"/>
                <w:jc w:val="center"/>
              </w:trPr>
              <w:tc>
                <w:tcPr>
                  <w:tcW w:w="1237"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燃烧机</w:t>
                  </w:r>
                </w:p>
              </w:tc>
              <w:tc>
                <w:tcPr>
                  <w:tcW w:w="2819" w:type="dxa"/>
                  <w:gridSpan w:val="2"/>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形式</w:t>
                  </w:r>
                </w:p>
              </w:tc>
              <w:tc>
                <w:tcPr>
                  <w:tcW w:w="222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一体枪式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9" w:hRule="atLeast"/>
                <w:jc w:val="center"/>
              </w:trPr>
              <w:tc>
                <w:tcPr>
                  <w:tcW w:w="1237"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2819" w:type="dxa"/>
                  <w:gridSpan w:val="2"/>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使用燃料</w:t>
                  </w:r>
                </w:p>
              </w:tc>
              <w:tc>
                <w:tcPr>
                  <w:tcW w:w="222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天然气</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9" w:hRule="atLeast"/>
                <w:jc w:val="center"/>
              </w:trPr>
              <w:tc>
                <w:tcPr>
                  <w:tcW w:w="1237"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2819" w:type="dxa"/>
                  <w:gridSpan w:val="2"/>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结构</w:t>
                  </w:r>
                </w:p>
              </w:tc>
              <w:tc>
                <w:tcPr>
                  <w:tcW w:w="222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吹扫5秒</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9" w:hRule="atLeast"/>
                <w:jc w:val="center"/>
              </w:trPr>
              <w:tc>
                <w:tcPr>
                  <w:tcW w:w="12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通风机</w:t>
                  </w:r>
                </w:p>
              </w:tc>
              <w:tc>
                <w:tcPr>
                  <w:tcW w:w="28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dstrike/>
                      <w:sz w:val="21"/>
                      <w:szCs w:val="21"/>
                    </w:rPr>
                  </w:pPr>
                  <w:r>
                    <w:rPr>
                      <w:rFonts w:hint="eastAsia" w:ascii="宋体" w:hAnsi="宋体" w:eastAsia="宋体" w:cs="宋体"/>
                      <w:sz w:val="21"/>
                      <w:szCs w:val="21"/>
                    </w:rPr>
                    <w:t>形式</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斜流型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9" w:hRule="atLeast"/>
                <w:jc w:val="center"/>
              </w:trPr>
              <w:tc>
                <w:tcPr>
                  <w:tcW w:w="12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28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数量（台）</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9" w:hRule="atLeast"/>
                <w:jc w:val="center"/>
              </w:trPr>
              <w:tc>
                <w:tcPr>
                  <w:tcW w:w="12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28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转数（rpm）</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1450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9" w:hRule="atLeast"/>
                <w:jc w:val="center"/>
              </w:trPr>
              <w:tc>
                <w:tcPr>
                  <w:tcW w:w="12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所需动力</w:t>
                  </w:r>
                </w:p>
              </w:tc>
              <w:tc>
                <w:tcPr>
                  <w:tcW w:w="28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额定电压（V）</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三相380—50HZ</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62" w:hRule="atLeast"/>
                <w:jc w:val="center"/>
              </w:trPr>
              <w:tc>
                <w:tcPr>
                  <w:tcW w:w="12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11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额定输出功率</w:t>
                  </w:r>
                </w:p>
              </w:tc>
              <w:tc>
                <w:tcPr>
                  <w:tcW w:w="1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提升机（kW）</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9" w:hRule="atLeast"/>
                <w:jc w:val="center"/>
              </w:trPr>
              <w:tc>
                <w:tcPr>
                  <w:tcW w:w="12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11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1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送风机（kW）</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5.5*2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17" w:hRule="atLeast"/>
                <w:jc w:val="center"/>
              </w:trPr>
              <w:tc>
                <w:tcPr>
                  <w:tcW w:w="12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11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1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下搅龙电机（kW）</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2.2</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11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1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控料器电机（kW）</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28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电机总功率（kW）</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17.6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2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各项装置</w:t>
                  </w:r>
                </w:p>
              </w:tc>
              <w:tc>
                <w:tcPr>
                  <w:tcW w:w="1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安全装置</w:t>
                  </w:r>
                </w:p>
              </w:tc>
              <w:tc>
                <w:tcPr>
                  <w:tcW w:w="39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满量传感器、互感器精准检测电流、热风温度传感器、谷物温度传感器、过热保护器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jc w:val="center"/>
              </w:trPr>
              <w:tc>
                <w:tcPr>
                  <w:tcW w:w="12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1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标准装置</w:t>
                  </w:r>
                </w:p>
              </w:tc>
              <w:tc>
                <w:tcPr>
                  <w:tcW w:w="39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水分检测器  梯子  护栏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9" w:hRule="atLeast"/>
                <w:jc w:val="center"/>
              </w:trPr>
              <w:tc>
                <w:tcPr>
                  <w:tcW w:w="12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112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控制箱装备</w:t>
                  </w:r>
                </w:p>
              </w:tc>
              <w:tc>
                <w:tcPr>
                  <w:tcW w:w="3915"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彩色触摸屏、系统语音提示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72" w:hRule="atLeast"/>
                <w:jc w:val="center"/>
              </w:trPr>
              <w:tc>
                <w:tcPr>
                  <w:tcW w:w="12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5041" w:type="dxa"/>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bCs/>
                      <w:color w:val="000000"/>
                      <w:sz w:val="21"/>
                      <w:szCs w:val="21"/>
                      <w:shd w:val="clear" w:color="auto" w:fill="FFFFFF"/>
                    </w:rPr>
                    <w:t>采用</w:t>
                  </w:r>
                  <w:r>
                    <w:rPr>
                      <w:rFonts w:hint="eastAsia" w:ascii="宋体" w:hAnsi="宋体" w:eastAsia="宋体" w:cs="宋体"/>
                      <w:bCs/>
                      <w:sz w:val="21"/>
                      <w:szCs w:val="21"/>
                    </w:rPr>
                    <w:t>无上螺旋</w:t>
                  </w:r>
                  <w:r>
                    <w:rPr>
                      <w:rFonts w:hint="eastAsia" w:ascii="宋体" w:hAnsi="宋体" w:eastAsia="宋体" w:cs="宋体"/>
                      <w:sz w:val="21"/>
                      <w:szCs w:val="21"/>
                    </w:rPr>
                    <w:t>设计，无洒盘设计</w:t>
                  </w:r>
                </w:p>
              </w:tc>
            </w:tr>
          </w:tbl>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sz w:val="24"/>
                <w:szCs w:val="24"/>
              </w:rPr>
            </w:pPr>
          </w:p>
        </w:tc>
        <w:tc>
          <w:tcPr>
            <w:tcW w:w="4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4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default" w:ascii="宋体" w:hAnsi="宋体" w:eastAsia="宋体" w:cs="宋体"/>
                <w:sz w:val="24"/>
                <w:szCs w:val="24"/>
                <w:lang w:val="en-US" w:eastAsia="zh-CN"/>
              </w:rPr>
            </w:pPr>
            <w:r>
              <w:rPr>
                <w:rFonts w:hint="eastAsia" w:ascii="宋体" w:hAnsi="宋体" w:cs="宋体"/>
                <w:sz w:val="24"/>
                <w:szCs w:val="24"/>
                <w:lang w:val="en-US" w:eastAsia="zh-CN"/>
              </w:rPr>
              <w:t>289000.00元</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default" w:ascii="宋体" w:hAnsi="宋体" w:eastAsia="宋体" w:cs="宋体"/>
                <w:sz w:val="24"/>
                <w:szCs w:val="24"/>
                <w:lang w:val="en-US" w:eastAsia="zh-CN"/>
              </w:rPr>
            </w:pPr>
            <w:r>
              <w:rPr>
                <w:rFonts w:hint="eastAsia" w:ascii="宋体" w:hAnsi="宋体" w:cs="宋体"/>
                <w:sz w:val="24"/>
                <w:szCs w:val="24"/>
                <w:lang w:val="en-US" w:eastAsia="zh-CN"/>
              </w:rPr>
              <w:t>578000.00元</w:t>
            </w:r>
          </w:p>
        </w:tc>
        <w:tc>
          <w:tcPr>
            <w:tcW w:w="996" w:type="dxa"/>
            <w:tcBorders>
              <w:top w:val="single" w:color="auto" w:sz="6" w:space="0"/>
              <w:left w:val="single" w:color="auto" w:sz="6" w:space="0"/>
              <w:bottom w:val="single" w:color="auto" w:sz="6" w:space="0"/>
              <w:right w:val="single" w:color="auto" w:sz="6" w:space="0"/>
            </w:tcBorders>
            <w:noWrap w:val="0"/>
            <w:vAlign w:val="center"/>
          </w:tcPr>
          <w:p>
            <w:pPr>
              <w:pStyle w:val="5"/>
              <w:bidi w:val="0"/>
              <w:jc w:val="center"/>
              <w:rPr>
                <w:rFonts w:hint="eastAsia"/>
                <w:lang w:val="zh-CN"/>
              </w:rPr>
            </w:pPr>
            <w:r>
              <w:rPr>
                <w:rFonts w:hint="eastAsia"/>
                <w:lang w:val="zh-CN"/>
              </w:rPr>
              <w:t>产地：辽宁省沈阳市东陵区浑河站乡满融村</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hAnsi="宋体" w:cs="宋体"/>
                <w:sz w:val="24"/>
                <w:lang w:val="zh-CN"/>
              </w:rPr>
            </w:pPr>
            <w:r>
              <w:rPr>
                <w:rFonts w:hint="eastAsia" w:ascii="宋体" w:hAnsi="宋体" w:cs="宋体"/>
                <w:sz w:val="24"/>
                <w:lang w:val="zh-CN"/>
              </w:rPr>
              <w:t>厂家：辽宁海帝升机械有限公司</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839" w:hRule="atLeast"/>
          <w:jc w:val="center"/>
        </w:trPr>
        <w:tc>
          <w:tcPr>
            <w:tcW w:w="4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w:t>
            </w:r>
          </w:p>
        </w:tc>
        <w:tc>
          <w:tcPr>
            <w:tcW w:w="6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sz w:val="24"/>
                <w:szCs w:val="24"/>
              </w:rPr>
            </w:pPr>
          </w:p>
        </w:tc>
        <w:tc>
          <w:tcPr>
            <w:tcW w:w="4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sz w:val="24"/>
                <w:szCs w:val="24"/>
              </w:rPr>
            </w:pPr>
          </w:p>
        </w:tc>
        <w:tc>
          <w:tcPr>
            <w:tcW w:w="66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sz w:val="24"/>
                <w:szCs w:val="24"/>
              </w:rPr>
            </w:pPr>
          </w:p>
        </w:tc>
        <w:tc>
          <w:tcPr>
            <w:tcW w:w="4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sz w:val="24"/>
                <w:szCs w:val="24"/>
              </w:rPr>
            </w:pPr>
          </w:p>
        </w:tc>
        <w:tc>
          <w:tcPr>
            <w:tcW w:w="4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sz w:val="24"/>
                <w:szCs w:val="24"/>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sz w:val="24"/>
                <w:szCs w:val="24"/>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sz w:val="24"/>
                <w:szCs w:val="24"/>
              </w:rPr>
            </w:pPr>
          </w:p>
        </w:tc>
        <w:tc>
          <w:tcPr>
            <w:tcW w:w="99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839" w:hRule="atLeast"/>
          <w:jc w:val="center"/>
        </w:trPr>
        <w:tc>
          <w:tcPr>
            <w:tcW w:w="1107"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zh-CN"/>
              </w:rPr>
              <w:t>合</w:t>
            </w:r>
            <w:r>
              <w:rPr>
                <w:rFonts w:hint="eastAsia" w:ascii="宋体" w:hAnsi="宋体" w:eastAsia="宋体" w:cs="宋体"/>
                <w:sz w:val="24"/>
                <w:szCs w:val="24"/>
              </w:rPr>
              <w:t xml:space="preserve">  </w:t>
            </w:r>
            <w:r>
              <w:rPr>
                <w:rFonts w:hint="eastAsia" w:ascii="宋体" w:hAnsi="宋体" w:eastAsia="宋体" w:cs="宋体"/>
                <w:sz w:val="24"/>
                <w:szCs w:val="24"/>
                <w:lang w:val="zh-CN"/>
              </w:rPr>
              <w:t>计</w:t>
            </w:r>
          </w:p>
        </w:tc>
        <w:tc>
          <w:tcPr>
            <w:tcW w:w="4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120" w:firstLineChars="50"/>
              <w:jc w:val="center"/>
              <w:textAlignment w:val="auto"/>
              <w:outlineLvl w:val="9"/>
              <w:rPr>
                <w:rFonts w:hint="eastAsia" w:ascii="宋体" w:hAnsi="宋体" w:eastAsia="宋体" w:cs="宋体"/>
                <w:sz w:val="24"/>
                <w:szCs w:val="24"/>
                <w:lang w:val="zh-CN"/>
              </w:rPr>
            </w:pPr>
          </w:p>
        </w:tc>
        <w:tc>
          <w:tcPr>
            <w:tcW w:w="11696" w:type="dxa"/>
            <w:gridSpan w:val="6"/>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120" w:firstLineChars="50"/>
              <w:jc w:val="center"/>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zh-CN"/>
              </w:rPr>
              <w:t>大写：</w:t>
            </w:r>
            <w:r>
              <w:rPr>
                <w:rFonts w:hint="eastAsia" w:ascii="宋体" w:hAnsi="宋体" w:cs="宋体"/>
                <w:sz w:val="24"/>
                <w:lang w:val="zh-CN"/>
              </w:rPr>
              <w:t>伍拾柒万捌仟</w:t>
            </w:r>
            <w:r>
              <w:rPr>
                <w:rFonts w:hint="eastAsia" w:ascii="宋体" w:hAnsi="宋体" w:eastAsia="宋体" w:cs="宋体"/>
                <w:sz w:val="24"/>
                <w:lang w:val="zh-CN"/>
              </w:rPr>
              <w:t>元整</w:t>
            </w:r>
            <w:r>
              <w:rPr>
                <w:rFonts w:hint="eastAsia" w:ascii="宋体" w:hAnsi="宋体" w:eastAsia="宋体" w:cs="宋体"/>
                <w:sz w:val="24"/>
                <w:szCs w:val="24"/>
              </w:rPr>
              <w:t xml:space="preserve">     </w:t>
            </w:r>
            <w:r>
              <w:rPr>
                <w:rFonts w:hint="eastAsia" w:ascii="宋体" w:hAnsi="宋体" w:eastAsia="宋体" w:cs="宋体"/>
                <w:sz w:val="24"/>
                <w:szCs w:val="24"/>
                <w:lang w:val="zh-CN"/>
              </w:rPr>
              <w:t>小写：</w:t>
            </w:r>
            <w:r>
              <w:rPr>
                <w:rFonts w:hint="eastAsia" w:ascii="宋体" w:hAnsi="宋体" w:cs="宋体"/>
                <w:sz w:val="24"/>
                <w:szCs w:val="24"/>
                <w:lang w:val="en-US" w:eastAsia="zh-CN"/>
              </w:rPr>
              <w:t>578000.00元</w:t>
            </w: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投标人（公章）：</w:t>
      </w:r>
      <w:r>
        <w:rPr>
          <w:rFonts w:hint="eastAsia" w:ascii="宋体" w:hAnsi="宋体" w:eastAsia="宋体" w:cs="宋体"/>
          <w:sz w:val="24"/>
          <w:szCs w:val="24"/>
        </w:rPr>
        <w:t>鄢陵县大宇农机有限公司</w:t>
      </w: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法定代表人 （或授权代表）签字：</w:t>
      </w:r>
    </w:p>
    <w:p>
      <w:pPr>
        <w:rPr>
          <w:rFonts w:hint="eastAsia" w:ascii="宋体" w:hAnsi="宋体" w:eastAsia="宋体" w:cs="宋体"/>
          <w:lang w:val="zh-CN"/>
        </w:rPr>
        <w:sectPr>
          <w:headerReference r:id="rId3" w:type="default"/>
          <w:pgSz w:w="16838" w:h="11906" w:orient="landscape"/>
          <w:pgMar w:top="1474" w:right="1814" w:bottom="1474" w:left="1814" w:header="851" w:footer="992" w:gutter="0"/>
          <w:pgNumType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jc w:val="center"/>
        <w:textAlignment w:val="auto"/>
        <w:outlineLvl w:val="1"/>
        <w:rPr>
          <w:rFonts w:hint="eastAsia" w:ascii="宋体" w:hAnsi="宋体" w:eastAsia="宋体" w:cs="宋体"/>
          <w:b/>
          <w:bCs/>
          <w:sz w:val="30"/>
          <w:szCs w:val="30"/>
        </w:rPr>
      </w:pPr>
      <w:r>
        <w:rPr>
          <w:rFonts w:hint="eastAsia" w:ascii="宋体" w:hAnsi="宋体" w:eastAsia="宋体" w:cs="宋体"/>
          <w:b/>
          <w:bCs/>
          <w:color w:val="000000"/>
          <w:sz w:val="30"/>
          <w:szCs w:val="30"/>
        </w:rPr>
        <w:t>（三）服务承诺</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sz w:val="24"/>
          <w:szCs w:val="24"/>
          <w:lang w:val="zh-CN"/>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keepNext w:val="0"/>
        <w:keepLines w:val="0"/>
        <w:pageBreakBefore w:val="0"/>
        <w:kinsoku/>
        <w:wordWrap/>
        <w:overflowPunct/>
        <w:topLinePunct w:val="0"/>
        <w:autoSpaceDE w:val="0"/>
        <w:autoSpaceDN w:val="0"/>
        <w:bidi w:val="0"/>
        <w:adjustRightInd w:val="0"/>
        <w:spacing w:line="360" w:lineRule="auto"/>
        <w:jc w:val="left"/>
        <w:textAlignment w:val="auto"/>
        <w:outlineLvl w:val="9"/>
        <w:rPr>
          <w:rFonts w:hint="eastAsia" w:ascii="宋体" w:hAnsi="宋体" w:eastAsia="宋体" w:cs="宋体"/>
          <w:b/>
          <w:bCs/>
          <w:color w:val="000000"/>
          <w:sz w:val="24"/>
        </w:rPr>
      </w:pPr>
    </w:p>
    <w:p>
      <w:pPr>
        <w:keepNext w:val="0"/>
        <w:keepLines w:val="0"/>
        <w:widowControl w:val="0"/>
        <w:suppressLineNumbers w:val="0"/>
        <w:autoSpaceDE w:val="0"/>
        <w:autoSpaceDN/>
        <w:spacing w:before="0" w:beforeAutospacing="0" w:after="0" w:afterAutospacing="0" w:line="600" w:lineRule="exact"/>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 xml:space="preserve">   我公司依据本项目</w:t>
      </w:r>
      <w:r>
        <w:rPr>
          <w:rFonts w:hint="eastAsia" w:ascii="宋体" w:hAnsi="宋体" w:eastAsia="宋体" w:cs="宋体"/>
          <w:b/>
          <w:color w:val="000000"/>
          <w:kern w:val="0"/>
          <w:sz w:val="28"/>
          <w:szCs w:val="28"/>
          <w:u w:val="single"/>
          <w:lang w:val="en-US" w:eastAsia="zh-CN" w:bidi="ar"/>
        </w:rPr>
        <w:t>2018年鄢陵县新型农业经营主体粮食生产装备水平提升项目</w:t>
      </w:r>
      <w:r>
        <w:rPr>
          <w:rFonts w:hint="eastAsia" w:ascii="宋体" w:hAnsi="宋体" w:eastAsia="宋体" w:cs="宋体"/>
          <w:color w:val="000000"/>
          <w:kern w:val="2"/>
          <w:sz w:val="28"/>
          <w:szCs w:val="28"/>
          <w:lang w:val="en-US" w:eastAsia="zh-CN" w:bidi="ar"/>
        </w:rPr>
        <w:t>（项目名称）</w:t>
      </w:r>
      <w:r>
        <w:rPr>
          <w:rFonts w:hint="eastAsia" w:ascii="宋体" w:hAnsi="宋体" w:cs="宋体"/>
          <w:color w:val="000000"/>
          <w:kern w:val="2"/>
          <w:sz w:val="28"/>
          <w:szCs w:val="28"/>
          <w:lang w:val="en-US" w:eastAsia="zh-CN" w:bidi="ar"/>
        </w:rPr>
        <w:t>招标</w:t>
      </w:r>
      <w:r>
        <w:rPr>
          <w:rFonts w:hint="eastAsia" w:ascii="宋体" w:hAnsi="宋体" w:eastAsia="宋体" w:cs="宋体"/>
          <w:color w:val="000000"/>
          <w:kern w:val="2"/>
          <w:sz w:val="28"/>
          <w:szCs w:val="28"/>
          <w:lang w:val="en-US" w:eastAsia="zh-CN" w:bidi="ar"/>
        </w:rPr>
        <w:t>文件的规定，我公司郑重承诺，如果我公司经评审后被确定为成交供应商，我公司对于成交货物，除完全响应招标文件合同条款和合同专用条款规定的所有要求外，还将按照以下条款提供优质和完善的质保期及售后服务：</w:t>
      </w:r>
    </w:p>
    <w:p>
      <w:pPr>
        <w:keepNext w:val="0"/>
        <w:keepLines w:val="0"/>
        <w:widowControl w:val="0"/>
        <w:suppressLineNumbers w:val="0"/>
        <w:autoSpaceDE w:val="0"/>
        <w:autoSpaceDN/>
        <w:spacing w:before="0" w:beforeAutospacing="0" w:after="0" w:afterAutospacing="0" w:line="600" w:lineRule="exact"/>
        <w:ind w:left="0" w:right="0" w:firstLine="560" w:firstLineChars="20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1.本项目中标后所供设备及服务符合国家标准。</w:t>
      </w:r>
    </w:p>
    <w:p>
      <w:pPr>
        <w:keepNext w:val="0"/>
        <w:keepLines w:val="0"/>
        <w:widowControl w:val="0"/>
        <w:suppressLineNumbers w:val="0"/>
        <w:autoSpaceDE w:val="0"/>
        <w:autoSpaceDN/>
        <w:spacing w:before="0" w:beforeAutospacing="0" w:after="0" w:afterAutospacing="0" w:line="600" w:lineRule="exact"/>
        <w:ind w:left="0" w:right="0" w:firstLine="560" w:firstLineChars="20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2.使用的货物材料选用国标产品，符合环保要求。</w:t>
      </w:r>
    </w:p>
    <w:p>
      <w:pPr>
        <w:keepNext w:val="0"/>
        <w:keepLines w:val="0"/>
        <w:widowControl w:val="0"/>
        <w:suppressLineNumbers w:val="0"/>
        <w:autoSpaceDE w:val="0"/>
        <w:autoSpaceDN/>
        <w:spacing w:before="0" w:beforeAutospacing="0" w:after="0" w:afterAutospacing="0" w:line="600" w:lineRule="exact"/>
        <w:ind w:left="0" w:right="0" w:firstLine="560" w:firstLineChars="20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3.项目验收技术规范按照国家、省市质量技术验收标准进行。</w:t>
      </w:r>
    </w:p>
    <w:p>
      <w:pPr>
        <w:keepNext w:val="0"/>
        <w:keepLines w:val="0"/>
        <w:widowControl w:val="0"/>
        <w:suppressLineNumbers w:val="0"/>
        <w:autoSpaceDE w:val="0"/>
        <w:autoSpaceDN/>
        <w:spacing w:before="0" w:beforeAutospacing="0" w:after="0" w:afterAutospacing="0" w:line="600" w:lineRule="exact"/>
        <w:ind w:left="0" w:right="0" w:firstLine="560" w:firstLineChars="20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 xml:space="preserve">4.交货期：合同签订后20日历天。 </w:t>
      </w:r>
    </w:p>
    <w:p>
      <w:pPr>
        <w:keepNext w:val="0"/>
        <w:keepLines w:val="0"/>
        <w:widowControl w:val="0"/>
        <w:suppressLineNumbers w:val="0"/>
        <w:autoSpaceDE w:val="0"/>
        <w:autoSpaceDN/>
        <w:spacing w:before="0" w:beforeAutospacing="0" w:after="120" w:afterLines="50" w:afterAutospacing="0" w:line="60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一、质保期：满足国家有关规范规定要求</w:t>
      </w:r>
    </w:p>
    <w:p>
      <w:pPr>
        <w:keepNext w:val="0"/>
        <w:keepLines w:val="0"/>
        <w:widowControl w:val="0"/>
        <w:suppressLineNumbers w:val="0"/>
        <w:autoSpaceDE w:val="0"/>
        <w:autoSpaceDN/>
        <w:spacing w:before="0" w:beforeAutospacing="0" w:after="0" w:afterAutospacing="0" w:line="600" w:lineRule="exact"/>
        <w:ind w:left="0" w:right="0" w:firstLine="56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1、质量保证期（简称“质保期”）满足国家有关规范规定要求，质保期内我公司对所供货物实行包修、包维护保养，期满后可同时提供维修保养服务，质保期为1年。</w:t>
      </w:r>
    </w:p>
    <w:p>
      <w:pPr>
        <w:keepNext w:val="0"/>
        <w:keepLines w:val="0"/>
        <w:widowControl w:val="0"/>
        <w:suppressLineNumbers w:val="0"/>
        <w:autoSpaceDE w:val="0"/>
        <w:autoSpaceDN/>
        <w:spacing w:before="0" w:beforeAutospacing="0" w:after="0" w:afterAutospacing="0" w:line="600" w:lineRule="exac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拟提供售后服务的项目：</w:t>
      </w:r>
    </w:p>
    <w:p>
      <w:pPr>
        <w:keepNext w:val="0"/>
        <w:keepLines w:val="0"/>
        <w:widowControl w:val="0"/>
        <w:suppressLineNumbers w:val="0"/>
        <w:autoSpaceDE w:val="0"/>
        <w:autoSpaceDN/>
        <w:spacing w:before="0" w:beforeAutospacing="0" w:after="0" w:afterAutospacing="0" w:line="600" w:lineRule="exact"/>
        <w:ind w:left="0" w:right="0"/>
        <w:jc w:val="both"/>
        <w:rPr>
          <w:rFonts w:hint="eastAsia" w:ascii="宋体" w:hAnsi="宋体" w:eastAsia="宋体" w:cs="宋体"/>
          <w:sz w:val="28"/>
          <w:szCs w:val="28"/>
          <w:lang w:val="en-US"/>
        </w:rPr>
      </w:pPr>
      <w:r>
        <w:rPr>
          <w:rFonts w:hint="eastAsia" w:ascii="宋体" w:hAnsi="宋体" w:eastAsia="宋体" w:cs="宋体"/>
          <w:color w:val="FF0000"/>
          <w:kern w:val="2"/>
          <w:sz w:val="28"/>
          <w:szCs w:val="28"/>
          <w:lang w:val="en-US" w:eastAsia="zh-CN" w:bidi="ar"/>
        </w:rPr>
        <w:t xml:space="preserve">   </w:t>
      </w:r>
      <w:r>
        <w:rPr>
          <w:rFonts w:hint="eastAsia" w:ascii="宋体" w:hAnsi="宋体" w:eastAsia="宋体" w:cs="宋体"/>
          <w:color w:val="000000"/>
          <w:kern w:val="2"/>
          <w:sz w:val="28"/>
          <w:szCs w:val="28"/>
          <w:lang w:val="en-US" w:eastAsia="zh-CN" w:bidi="ar"/>
        </w:rPr>
        <w:t xml:space="preserve"> 1）.</w:t>
      </w:r>
      <w:r>
        <w:rPr>
          <w:rFonts w:hint="eastAsia" w:ascii="宋体" w:hAnsi="宋体" w:eastAsia="宋体" w:cs="宋体"/>
          <w:kern w:val="2"/>
          <w:sz w:val="28"/>
          <w:szCs w:val="28"/>
          <w:lang w:val="en-US" w:eastAsia="zh-CN" w:bidi="ar"/>
        </w:rPr>
        <w:t>我方愿意派合格的并有资格的技术人员到合同货物的安装地培训贵方的技术人员，并负责解决合同货物在安装调试，试运行中发现的制造缺陷。</w:t>
      </w:r>
    </w:p>
    <w:p>
      <w:pPr>
        <w:keepNext w:val="0"/>
        <w:keepLines w:val="0"/>
        <w:widowControl w:val="0"/>
        <w:suppressLineNumbers w:val="0"/>
        <w:autoSpaceDE w:val="0"/>
        <w:autoSpaceDN/>
        <w:spacing w:before="0" w:beforeAutospacing="0" w:after="0" w:afterAutospacing="0" w:line="60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2）.如果我方中标，我方将向贵方提供修理和维修合同货物的必要备件，并免费向贵方提供关于改进合同货物的所有相关技术资料。</w:t>
      </w:r>
    </w:p>
    <w:p>
      <w:pPr>
        <w:keepNext w:val="0"/>
        <w:keepLines w:val="0"/>
        <w:widowControl w:val="0"/>
        <w:suppressLineNumbers w:val="0"/>
        <w:autoSpaceDE w:val="0"/>
        <w:autoSpaceDN/>
        <w:spacing w:before="0" w:beforeAutospacing="0" w:after="0" w:afterAutospacing="0" w:line="60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3）.货物安装完毕后我方派人参加调试，并尽快解决出现的问题，在合同执行的过程中的任何时候，凡由于我方负责。货物的选型应符合安全可靠，经济运行和易于维护的要求。</w:t>
      </w:r>
    </w:p>
    <w:p>
      <w:pPr>
        <w:keepNext w:val="0"/>
        <w:keepLines w:val="0"/>
        <w:widowControl w:val="0"/>
        <w:suppressLineNumbers w:val="0"/>
        <w:autoSpaceDE w:val="0"/>
        <w:autoSpaceDN/>
        <w:spacing w:before="0" w:beforeAutospacing="0" w:after="0" w:afterAutospacing="0" w:line="60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4）.合同货物执行其间，如果由于我方的货物缺陷和技术资料错误，或由于我方技术指导人员的失误，造成工程返工，货物报废，我方立即无偿换货，并负担由此产生的到安装现场换货的一切费用。</w:t>
      </w:r>
    </w:p>
    <w:p>
      <w:pPr>
        <w:keepNext w:val="0"/>
        <w:keepLines w:val="0"/>
        <w:widowControl w:val="0"/>
        <w:suppressLineNumbers w:val="0"/>
        <w:autoSpaceDE w:val="0"/>
        <w:autoSpaceDN/>
        <w:spacing w:before="0" w:beforeAutospacing="0" w:after="120" w:afterLines="50" w:afterAutospacing="0" w:line="600" w:lineRule="exact"/>
        <w:ind w:left="48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 售后服务响应及到达现场的时间：</w:t>
      </w:r>
    </w:p>
    <w:p>
      <w:pPr>
        <w:pStyle w:val="8"/>
        <w:widowControl/>
        <w:autoSpaceDE w:val="0"/>
        <w:autoSpaceDN/>
        <w:spacing w:beforeAutospacing="1" w:afterAutospacing="1" w:line="600" w:lineRule="exact"/>
        <w:ind w:left="0" w:firstLine="480"/>
        <w:rPr>
          <w:rFonts w:hint="eastAsia" w:ascii="宋体" w:hAnsi="宋体" w:eastAsia="宋体" w:cs="宋体"/>
          <w:color w:val="111111"/>
          <w:sz w:val="28"/>
          <w:szCs w:val="28"/>
          <w:lang w:val="en-US"/>
        </w:rPr>
      </w:pPr>
      <w:r>
        <w:rPr>
          <w:rFonts w:hint="eastAsia" w:ascii="宋体" w:hAnsi="宋体" w:eastAsia="宋体" w:cs="宋体"/>
          <w:color w:val="111111"/>
          <w:sz w:val="28"/>
          <w:szCs w:val="28"/>
          <w:lang w:val="en-US" w:eastAsia="zh-CN"/>
        </w:rPr>
        <w:t>2</w:t>
      </w:r>
      <w:r>
        <w:rPr>
          <w:rFonts w:hint="eastAsia" w:ascii="宋体" w:hAnsi="宋体" w:eastAsia="宋体" w:cs="宋体"/>
          <w:color w:val="111111"/>
          <w:sz w:val="28"/>
          <w:szCs w:val="28"/>
          <w:lang w:val="en-US"/>
        </w:rPr>
        <w:t>.1</w:t>
      </w:r>
      <w:r>
        <w:rPr>
          <w:rFonts w:hint="eastAsia" w:ascii="宋体" w:hAnsi="宋体" w:eastAsia="宋体" w:cs="宋体"/>
          <w:sz w:val="28"/>
          <w:szCs w:val="28"/>
          <w:lang w:eastAsia="zh-CN"/>
        </w:rPr>
        <w:t>对招标人的服务通知，我单位在接报后</w:t>
      </w:r>
      <w:r>
        <w:rPr>
          <w:rFonts w:hint="eastAsia" w:ascii="宋体" w:hAnsi="宋体" w:eastAsia="宋体" w:cs="宋体"/>
          <w:sz w:val="28"/>
          <w:szCs w:val="28"/>
          <w:lang w:val="en-US"/>
        </w:rPr>
        <w:t>1</w:t>
      </w:r>
      <w:r>
        <w:rPr>
          <w:rFonts w:hint="eastAsia" w:ascii="宋体" w:hAnsi="宋体" w:eastAsia="宋体" w:cs="宋体"/>
          <w:sz w:val="28"/>
          <w:szCs w:val="28"/>
          <w:lang w:eastAsia="zh-CN"/>
        </w:rPr>
        <w:t>小时内响应，</w:t>
      </w:r>
      <w:r>
        <w:rPr>
          <w:rFonts w:hint="eastAsia" w:ascii="宋体" w:hAnsi="宋体" w:eastAsia="宋体" w:cs="宋体"/>
          <w:sz w:val="28"/>
          <w:szCs w:val="28"/>
          <w:lang w:val="en-US"/>
        </w:rPr>
        <w:t>12</w:t>
      </w:r>
      <w:r>
        <w:rPr>
          <w:rFonts w:hint="eastAsia" w:ascii="宋体" w:hAnsi="宋体" w:eastAsia="宋体" w:cs="宋体"/>
          <w:sz w:val="28"/>
          <w:szCs w:val="28"/>
          <w:lang w:eastAsia="zh-CN"/>
        </w:rPr>
        <w:t>小时内到达现场并处理问题。</w:t>
      </w:r>
    </w:p>
    <w:p>
      <w:pPr>
        <w:pStyle w:val="8"/>
        <w:widowControl/>
        <w:autoSpaceDE w:val="0"/>
        <w:autoSpaceDN/>
        <w:spacing w:beforeAutospacing="1" w:afterAutospacing="1" w:line="600" w:lineRule="exact"/>
        <w:rPr>
          <w:rFonts w:hint="eastAsia" w:ascii="宋体" w:hAnsi="宋体" w:eastAsia="宋体" w:cs="宋体"/>
          <w:color w:val="111111"/>
          <w:sz w:val="28"/>
          <w:szCs w:val="28"/>
          <w:lang w:val="en-US"/>
        </w:rPr>
      </w:pPr>
      <w:r>
        <w:rPr>
          <w:rFonts w:hint="eastAsia" w:ascii="宋体" w:hAnsi="宋体" w:eastAsia="宋体" w:cs="宋体"/>
          <w:color w:val="111111"/>
          <w:sz w:val="28"/>
          <w:szCs w:val="28"/>
          <w:lang w:val="en-US"/>
        </w:rPr>
        <w:t xml:space="preserve">    </w:t>
      </w:r>
      <w:r>
        <w:rPr>
          <w:rFonts w:hint="eastAsia" w:ascii="宋体" w:hAnsi="宋体" w:eastAsia="宋体" w:cs="宋体"/>
          <w:color w:val="111111"/>
          <w:sz w:val="28"/>
          <w:szCs w:val="28"/>
          <w:lang w:val="en-US" w:eastAsia="zh-CN"/>
        </w:rPr>
        <w:t>2</w:t>
      </w:r>
      <w:r>
        <w:rPr>
          <w:rFonts w:hint="eastAsia" w:ascii="宋体" w:hAnsi="宋体" w:eastAsia="宋体" w:cs="宋体"/>
          <w:color w:val="111111"/>
          <w:sz w:val="28"/>
          <w:szCs w:val="28"/>
          <w:lang w:val="en-US"/>
        </w:rPr>
        <w:t>.2</w:t>
      </w:r>
      <w:r>
        <w:rPr>
          <w:rFonts w:hint="eastAsia" w:ascii="宋体" w:hAnsi="宋体" w:eastAsia="宋体" w:cs="宋体"/>
          <w:color w:val="111111"/>
          <w:sz w:val="28"/>
          <w:szCs w:val="28"/>
          <w:lang w:eastAsia="zh-CN"/>
        </w:rPr>
        <w:t>在质量保证期内存在或发生质量方面的问题，经双方确认，确是我企业责任，我企业妥善处理，并且承诺在一般情况下</w:t>
      </w:r>
      <w:r>
        <w:rPr>
          <w:rFonts w:hint="eastAsia" w:ascii="宋体" w:hAnsi="宋体" w:eastAsia="宋体" w:cs="宋体"/>
          <w:color w:val="111111"/>
          <w:sz w:val="28"/>
          <w:szCs w:val="28"/>
          <w:lang w:val="en-US"/>
        </w:rPr>
        <w:t>24</w:t>
      </w:r>
      <w:r>
        <w:rPr>
          <w:rFonts w:hint="eastAsia" w:ascii="宋体" w:hAnsi="宋体" w:eastAsia="宋体" w:cs="宋体"/>
          <w:color w:val="111111"/>
          <w:sz w:val="28"/>
          <w:szCs w:val="28"/>
          <w:lang w:eastAsia="zh-CN"/>
        </w:rPr>
        <w:t>小时服务到位，紧急情况与用户协商确定，合理费用概由我公司承担。若是用户责任而造成的质量问题，我公司也将积极协助解决，力争满足用户合理要求。</w:t>
      </w:r>
    </w:p>
    <w:p>
      <w:pPr>
        <w:keepNext w:val="0"/>
        <w:keepLines w:val="0"/>
        <w:widowControl w:val="0"/>
        <w:numPr>
          <w:ilvl w:val="0"/>
          <w:numId w:val="0"/>
        </w:numPr>
        <w:suppressLineNumbers w:val="0"/>
        <w:autoSpaceDE w:val="0"/>
        <w:autoSpaceDN/>
        <w:spacing w:before="0" w:beforeAutospacing="0" w:after="120" w:afterLines="50" w:afterAutospacing="0" w:line="600" w:lineRule="exact"/>
        <w:ind w:leftChars="200" w:right="0" w:rightChars="0" w:firstLine="280" w:firstLineChars="1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3、详细的培训计划：</w:t>
      </w:r>
    </w:p>
    <w:p>
      <w:pPr>
        <w:keepNext w:val="0"/>
        <w:keepLines w:val="0"/>
        <w:widowControl w:val="0"/>
        <w:suppressLineNumbers w:val="0"/>
        <w:autoSpaceDE w:val="0"/>
        <w:autoSpaceDN/>
        <w:spacing w:before="0" w:beforeAutospacing="0" w:after="120" w:afterLines="50" w:afterAutospacing="0" w:line="60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3.1我方会为贵方免费提供相关技术资料并由专业工程师对操作人员讲解相关技术知识，课时为8小时。</w:t>
      </w:r>
    </w:p>
    <w:p>
      <w:pPr>
        <w:keepNext w:val="0"/>
        <w:keepLines w:val="0"/>
        <w:widowControl w:val="0"/>
        <w:suppressLineNumbers w:val="0"/>
        <w:autoSpaceDE w:val="0"/>
        <w:autoSpaceDN/>
        <w:spacing w:before="0" w:beforeAutospacing="0" w:after="120" w:afterLines="50" w:afterAutospacing="0" w:line="60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3.2专业技术工程师对工地操作工现场示范操作一遍，并指导操作工操作，直到贵方操作工熟练操作为止。</w:t>
      </w:r>
    </w:p>
    <w:p>
      <w:pPr>
        <w:keepNext w:val="0"/>
        <w:keepLines w:val="0"/>
        <w:widowControl w:val="0"/>
        <w:suppressLineNumbers w:val="0"/>
        <w:autoSpaceDE w:val="0"/>
        <w:autoSpaceDN/>
        <w:spacing w:before="0" w:beforeAutospacing="0" w:after="120" w:afterLines="50" w:afterAutospacing="0" w:line="60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3.3培训过程中，我方工程师会及时尽力解决设备在操作过程中所出现的问题，帮助贵方顺利施工。</w:t>
      </w:r>
    </w:p>
    <w:p>
      <w:pPr>
        <w:keepNext w:val="0"/>
        <w:keepLines w:val="0"/>
        <w:widowControl w:val="0"/>
        <w:suppressLineNumbers w:val="0"/>
        <w:autoSpaceDE w:val="0"/>
        <w:autoSpaceDN/>
        <w:spacing w:before="0" w:beforeAutospacing="0" w:after="120" w:afterLines="50" w:afterAutospacing="0" w:line="60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 维修技术人员及设备方面的保证措施及收费标准。</w:t>
      </w:r>
    </w:p>
    <w:p>
      <w:pPr>
        <w:keepNext w:val="0"/>
        <w:keepLines w:val="0"/>
        <w:widowControl w:val="0"/>
        <w:suppressLineNumbers w:val="0"/>
        <w:topLinePunct/>
        <w:autoSpaceDE w:val="0"/>
        <w:autoSpaceDN/>
        <w:snapToGrid w:val="0"/>
        <w:spacing w:before="0" w:beforeAutospacing="0" w:after="0" w:afterAutospacing="0" w:line="600" w:lineRule="exact"/>
        <w:ind w:left="86" w:right="0" w:firstLine="51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4.1 为了保证工程质量，成立工程技术科，具体负责工地质量检查工作；</w:t>
      </w:r>
    </w:p>
    <w:p>
      <w:pPr>
        <w:pStyle w:val="8"/>
        <w:keepNext w:val="0"/>
        <w:keepLines w:val="0"/>
        <w:widowControl w:val="0"/>
        <w:suppressLineNumbers w:val="0"/>
        <w:autoSpaceDE w:val="0"/>
        <w:autoSpaceDN/>
        <w:snapToGrid w:val="0"/>
        <w:spacing w:before="100" w:beforeAutospacing="0" w:after="0" w:afterAutospacing="0" w:line="600" w:lineRule="exact"/>
        <w:ind w:left="86"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4.2 提高全体员工的质量意识，牢固树立质量第一的观点，积极开展QC小组活动，加强技术培训，坚持先培训后上岗，促使工程质量水平不断提高。</w:t>
      </w:r>
    </w:p>
    <w:p>
      <w:pPr>
        <w:keepNext w:val="0"/>
        <w:keepLines w:val="0"/>
        <w:widowControl w:val="0"/>
        <w:suppressLineNumbers w:val="0"/>
        <w:autoSpaceDE w:val="0"/>
        <w:autoSpaceDN/>
        <w:spacing w:before="0" w:beforeAutospacing="0" w:after="0" w:afterAutospacing="0" w:line="600" w:lineRule="exact"/>
        <w:ind w:left="0" w:right="0" w:firstLine="700" w:firstLineChars="2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4.3本公司的设备产品的相关标准或按需方合同规定的技术规范,本公司产品的质量保证期，自交货验收之日起1年。质保期内设备在正常运行条件下发生的质量问题，经质监部门检定属于我公司造成的电缆本体质量问题，本公司实行“三包”、“一保”制度。</w:t>
      </w:r>
    </w:p>
    <w:p>
      <w:pPr>
        <w:keepNext w:val="0"/>
        <w:keepLines w:val="0"/>
        <w:widowControl w:val="0"/>
        <w:suppressLineNumbers w:val="0"/>
        <w:autoSpaceDE w:val="0"/>
        <w:autoSpaceDN/>
        <w:spacing w:before="0" w:beforeAutospacing="0" w:after="120" w:afterLines="50" w:afterAutospacing="0" w:line="60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4.4 收费标准：免费提供相关资料以及现场培训。</w:t>
      </w:r>
    </w:p>
    <w:p>
      <w:pPr>
        <w:pStyle w:val="8"/>
        <w:widowControl/>
        <w:autoSpaceDE w:val="0"/>
        <w:autoSpaceDN/>
        <w:spacing w:beforeAutospacing="1" w:afterAutospacing="1" w:line="600" w:lineRule="exact"/>
        <w:ind w:left="0" w:firstLine="560" w:firstLineChars="200"/>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5.其他：</w:t>
      </w:r>
    </w:p>
    <w:p>
      <w:pPr>
        <w:keepNext w:val="0"/>
        <w:keepLines w:val="0"/>
        <w:widowControl/>
        <w:suppressLineNumbers w:val="0"/>
        <w:autoSpaceDE w:val="0"/>
        <w:autoSpaceDN/>
        <w:spacing w:before="0" w:beforeAutospacing="0" w:after="0" w:afterAutospacing="0" w:line="600" w:lineRule="exact"/>
        <w:ind w:left="0" w:right="0" w:firstLine="700" w:firstLineChars="25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公司提供的产品严格按照ISO9001质量管理体系从事采购、检验、生产和销售。公司完全具有质量检验和控制手段。产品从原材料进厂到成品出厂，严格按照标准进行检验和检测，确保出厂产品的质量稳定，从而满足市场的需求。“以质取胜，质优价廉”，为了达到我们的质量目标，再次我们郑重承诺：</w:t>
      </w:r>
    </w:p>
    <w:p>
      <w:pPr>
        <w:keepNext w:val="0"/>
        <w:keepLines w:val="0"/>
        <w:widowControl/>
        <w:suppressLineNumbers w:val="0"/>
        <w:tabs>
          <w:tab w:val="left" w:pos="420"/>
        </w:tabs>
        <w:autoSpaceDE w:val="0"/>
        <w:autoSpaceDN/>
        <w:spacing w:before="0" w:beforeAutospacing="0" w:after="150" w:afterAutospacing="0" w:line="600" w:lineRule="exact"/>
        <w:ind w:left="573" w:leftChars="273" w:right="0" w:firstLine="8" w:firstLineChars="3"/>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5.1、产品质量承诺：</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1） 产品的制造和检测均有质量记录和检测资料。</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2） 对产品性能的检测，我们诚请用户亲临对产品进行全过程、全性能检查，待产品被确认合格后再装箱发货。</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60" w:lineRule="exact"/>
        <w:ind w:left="277" w:leftChars="132" w:right="0" w:firstLine="140" w:firstLineChars="50"/>
        <w:jc w:val="left"/>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5.2产品价格承诺：</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1）为了保证产品的高可靠性和先进性，系统的选材均选用国内或国际优质名牌产品。</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2）在同等竞争条件下，我公司在不以降低产品技术性能、更改产品部件为代价的基础上，真诚以最优惠的价格提供给贵方。</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60" w:lineRule="exact"/>
        <w:ind w:left="598" w:leftChars="285" w:right="0"/>
        <w:jc w:val="left"/>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5.3、交货期承诺：</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1、产品交货期：尽量按用户要求，若有特殊要求，需提前完工的，我公司可特别组织生产、安装，力争满足用户需求。</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2、产品交货时，我公司向用户提供下列文件；</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① 技术保养维修手册</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② 安装总图</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③ 外购件说明书及制造厂家</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④ 提供易损件、备件清单，并附送一定量的备件</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60" w:lineRule="exact"/>
        <w:ind w:left="598" w:leftChars="285" w:right="0"/>
        <w:jc w:val="left"/>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5.4、售后服务承诺：</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1、服务宗旨：快速、果断、准确、周到、彻底</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2、服务目标：服务质量赢得用户满意</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3、服务效率：保修期内或保修期外如设备出现故障，供方在接到通知后，维修人员在12小时内可达到现场并开始维修。</w:t>
      </w:r>
      <w:r>
        <w:rPr>
          <w:rFonts w:hint="eastAsia" w:ascii="宋体" w:hAnsi="宋体" w:eastAsia="宋体" w:cs="宋体"/>
          <w:kern w:val="2"/>
          <w:sz w:val="28"/>
          <w:szCs w:val="28"/>
          <w:lang w:val="en-US" w:eastAsia="zh-CN" w:bidi="ar"/>
        </w:rPr>
        <w:br w:type="textWrapping"/>
      </w:r>
      <w:r>
        <w:rPr>
          <w:rFonts w:hint="eastAsia" w:ascii="宋体" w:hAnsi="宋体" w:cs="宋体"/>
          <w:kern w:val="2"/>
          <w:sz w:val="28"/>
          <w:szCs w:val="28"/>
          <w:lang w:val="en-US" w:eastAsia="zh-CN" w:bidi="ar"/>
        </w:rPr>
        <w:t>4</w:t>
      </w:r>
      <w:r>
        <w:rPr>
          <w:rFonts w:hint="eastAsia" w:ascii="宋体" w:hAnsi="宋体" w:eastAsia="宋体" w:cs="宋体"/>
          <w:kern w:val="2"/>
          <w:sz w:val="28"/>
          <w:szCs w:val="28"/>
          <w:lang w:val="en-US" w:eastAsia="zh-CN" w:bidi="ar"/>
        </w:rPr>
        <w:t>、 服务原则：保修期内</w:t>
      </w:r>
      <w:r>
        <w:rPr>
          <w:rFonts w:hint="eastAsia" w:ascii="宋体" w:hAnsi="宋体" w:cs="宋体"/>
          <w:kern w:val="2"/>
          <w:sz w:val="28"/>
          <w:szCs w:val="28"/>
          <w:lang w:val="en-US" w:eastAsia="zh-CN" w:bidi="ar"/>
        </w:rPr>
        <w:t>我</w:t>
      </w:r>
      <w:r>
        <w:rPr>
          <w:rFonts w:hint="eastAsia" w:ascii="宋体" w:hAnsi="宋体" w:eastAsia="宋体" w:cs="宋体"/>
          <w:kern w:val="2"/>
          <w:sz w:val="28"/>
          <w:szCs w:val="28"/>
          <w:lang w:val="en-US" w:eastAsia="zh-CN" w:bidi="ar"/>
        </w:rPr>
        <w:t>方将免费维修和更换属质量原因造成的零部件损坏，保修期外零部件的损坏，提供的配件只收成本费，由需方人为因素造成的设备损坏，供方维修或提供的配件均按成本价计。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60" w:lineRule="exact"/>
        <w:ind w:left="0" w:right="0" w:firstLine="700" w:firstLineChars="250"/>
        <w:jc w:val="left"/>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在保修期外我公司技术人员每年不少于三次回访调查用户使用情况。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5.5交付货物的准备工作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在交付货物的同时，我们将向用户提供包括但不限于有关的如下资料：货物的技术参数资料、货物的出厂检验报告、验收标准、货物的使用说明书、其他为交付目的的所必需的有关资料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在交付货物的二日以前，我们将致函用户，对货物所在的运行环境进行建议。我们的建议并不具备强制性，也不能作为货物未达到我们承诺的技术参数的原因。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我们提供的前述服务是完全免费的。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5.6测试与验收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我们将在货物到达项目现场的时候 ，向用户提供详细的设备供货清单，由用户予以确认。当货物到达指定地点后，依据约定的时间（安装前），由用户和我们依据设备供货清单共同对设备进行验收，并对设备的数量、品质进行逐项检查。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我方承诺：</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我公司对产品实行免费送货，按业主要求送到指定地点。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2、免费提供安装敷设所需机械、工具等给用户使用。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3、公司售后部实行月回访制，召开先进技术推广交流经验会，把先进经验传给用户。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4、建立用户档案，详细记录不同区域所用的产品规格、型号、数量等指标，以及能快捷到达的路线、联系人等，以便于街道报修能为维修人员提供所需的资料、数据。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5、免费发放有关技术资料，培养用户自身的使用维修能力。</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6、免费提供售后培训计划。</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7、若在保修期外因产品出现质量问题，我</w:t>
      </w:r>
      <w:r>
        <w:rPr>
          <w:rFonts w:hint="eastAsia" w:ascii="宋体" w:hAnsi="宋体" w:cs="宋体"/>
          <w:kern w:val="2"/>
          <w:sz w:val="28"/>
          <w:szCs w:val="28"/>
          <w:lang w:val="en-US" w:eastAsia="zh-CN" w:bidi="ar"/>
        </w:rPr>
        <w:t>公司</w:t>
      </w:r>
      <w:r>
        <w:rPr>
          <w:rFonts w:hint="eastAsia" w:ascii="宋体" w:hAnsi="宋体" w:eastAsia="宋体" w:cs="宋体"/>
          <w:kern w:val="2"/>
          <w:sz w:val="28"/>
          <w:szCs w:val="28"/>
          <w:lang w:val="en-US" w:eastAsia="zh-CN" w:bidi="ar"/>
        </w:rPr>
        <w:t>可提供免费维修技术支持。</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right="0" w:firstLine="1120" w:firstLineChars="4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谈判供应商：（公章）鄢陵县大宇农机有限公司</w:t>
      </w:r>
    </w:p>
    <w:p>
      <w:pPr>
        <w:keepNext w:val="0"/>
        <w:keepLines w:val="0"/>
        <w:widowControl w:val="0"/>
        <w:suppressLineNumbers w:val="0"/>
        <w:spacing w:before="0" w:beforeAutospacing="0" w:after="0" w:afterAutospacing="0" w:line="360" w:lineRule="auto"/>
        <w:ind w:right="0" w:firstLine="1120" w:firstLineChars="4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法定代表人或授权代表人签字：</w:t>
      </w:r>
    </w:p>
    <w:p>
      <w:pPr>
        <w:keepNext w:val="0"/>
        <w:keepLines w:val="0"/>
        <w:widowControl w:val="0"/>
        <w:suppressLineNumbers w:val="0"/>
        <w:spacing w:before="0" w:beforeAutospacing="0" w:after="0" w:afterAutospacing="0" w:line="360" w:lineRule="auto"/>
        <w:ind w:right="0" w:firstLine="1120" w:firstLineChars="4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    期：2019年05月28日</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sz w:val="32"/>
          <w:szCs w:val="32"/>
          <w:lang w:val="zh-CN"/>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sz w:val="32"/>
          <w:szCs w:val="32"/>
          <w:lang w:val="zh-CN"/>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sz w:val="32"/>
          <w:szCs w:val="32"/>
          <w:lang w:val="zh-CN"/>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sz w:val="32"/>
          <w:szCs w:val="32"/>
          <w:lang w:val="zh-CN"/>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sz w:val="32"/>
          <w:szCs w:val="32"/>
          <w:lang w:val="zh-CN"/>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sz w:val="32"/>
          <w:szCs w:val="32"/>
          <w:lang w:val="zh-CN"/>
        </w:rPr>
      </w:pPr>
    </w:p>
    <w:p>
      <w:pPr>
        <w:rPr>
          <w:rFonts w:hint="eastAsia" w:ascii="宋体" w:hAnsi="宋体" w:eastAsia="宋体" w:cs="宋体"/>
          <w:b/>
          <w:bCs/>
          <w:sz w:val="32"/>
          <w:szCs w:val="32"/>
          <w:lang w:val="zh-CN"/>
        </w:rPr>
      </w:pPr>
      <w:r>
        <w:rPr>
          <w:rFonts w:hint="eastAsia" w:ascii="宋体" w:hAnsi="宋体" w:eastAsia="宋体" w:cs="宋体"/>
          <w:b/>
          <w:bCs/>
          <w:sz w:val="32"/>
          <w:szCs w:val="32"/>
          <w:lang w:val="zh-CN"/>
        </w:rPr>
        <w:br w:type="page"/>
      </w:r>
    </w:p>
    <w:sectPr>
      <w:pgSz w:w="11906" w:h="16838"/>
      <w:pgMar w:top="1814" w:right="1474" w:bottom="181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DF0CD"/>
    <w:multiLevelType w:val="multilevel"/>
    <w:tmpl w:val="E3BDF0C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A0B55"/>
    <w:rsid w:val="00416F4E"/>
    <w:rsid w:val="01647278"/>
    <w:rsid w:val="01A64B8C"/>
    <w:rsid w:val="047774F6"/>
    <w:rsid w:val="07120F2F"/>
    <w:rsid w:val="0ECA0B55"/>
    <w:rsid w:val="15183EDE"/>
    <w:rsid w:val="1813490D"/>
    <w:rsid w:val="18A408AE"/>
    <w:rsid w:val="191F5A66"/>
    <w:rsid w:val="1DBC5C1E"/>
    <w:rsid w:val="23141D8B"/>
    <w:rsid w:val="23860A99"/>
    <w:rsid w:val="295A45F8"/>
    <w:rsid w:val="2A8E4309"/>
    <w:rsid w:val="2AD91441"/>
    <w:rsid w:val="2CEB779B"/>
    <w:rsid w:val="33692C06"/>
    <w:rsid w:val="3AC85B5E"/>
    <w:rsid w:val="3BFB63A0"/>
    <w:rsid w:val="3D2A5B0C"/>
    <w:rsid w:val="3E61661C"/>
    <w:rsid w:val="41944ADA"/>
    <w:rsid w:val="46DA192B"/>
    <w:rsid w:val="474B004C"/>
    <w:rsid w:val="49FA5F98"/>
    <w:rsid w:val="4A2F3CE2"/>
    <w:rsid w:val="4C480E49"/>
    <w:rsid w:val="4F075C0C"/>
    <w:rsid w:val="50492C8D"/>
    <w:rsid w:val="508E7B78"/>
    <w:rsid w:val="512B376D"/>
    <w:rsid w:val="51B8439B"/>
    <w:rsid w:val="52182BFF"/>
    <w:rsid w:val="54F84EFF"/>
    <w:rsid w:val="584960F2"/>
    <w:rsid w:val="5CED02CC"/>
    <w:rsid w:val="60717101"/>
    <w:rsid w:val="62B14A8F"/>
    <w:rsid w:val="633932FF"/>
    <w:rsid w:val="6365520F"/>
    <w:rsid w:val="672C658A"/>
    <w:rsid w:val="67EA389B"/>
    <w:rsid w:val="68B32569"/>
    <w:rsid w:val="6A296E1E"/>
    <w:rsid w:val="6DE036F8"/>
    <w:rsid w:val="71270DFE"/>
    <w:rsid w:val="74505856"/>
    <w:rsid w:val="7CFF4B29"/>
    <w:rsid w:val="7FA211B3"/>
    <w:rsid w:val="7FB2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3">
    <w:name w:val="caption"/>
    <w:basedOn w:val="1"/>
    <w:next w:val="1"/>
    <w:qFormat/>
    <w:uiPriority w:val="0"/>
    <w:rPr>
      <w:rFonts w:ascii="Arial" w:hAnsi="Arial" w:eastAsia="黑体" w:cs="Arial"/>
      <w:sz w:val="20"/>
      <w:szCs w:val="20"/>
    </w:rPr>
  </w:style>
  <w:style w:type="paragraph" w:styleId="4">
    <w:name w:val="Body Text"/>
    <w:basedOn w:val="1"/>
    <w:unhideWhenUsed/>
    <w:qFormat/>
    <w:uiPriority w:val="99"/>
  </w:style>
  <w:style w:type="paragraph" w:styleId="5">
    <w:name w:val="Plain Text"/>
    <w:basedOn w:val="1"/>
    <w:qFormat/>
    <w:uiPriority w:val="0"/>
    <w:rPr>
      <w:rFonts w:eastAsia="宋体"/>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ascii="Calibri" w:hAnsi="Calibri" w:eastAsia="宋体" w:cs="Times New Roman"/>
      <w:sz w:val="24"/>
      <w:szCs w:val="24"/>
    </w:rPr>
  </w:style>
  <w:style w:type="paragraph" w:styleId="9">
    <w:name w:val="Body Text First Indent"/>
    <w:basedOn w:val="4"/>
    <w:unhideWhenUsed/>
    <w:qFormat/>
    <w:uiPriority w:val="99"/>
    <w:pPr>
      <w:ind w:firstLine="420" w:firstLineChars="100"/>
    </w:pPr>
  </w:style>
  <w:style w:type="paragraph" w:customStyle="1" w:styleId="12">
    <w:name w:val="正文文本缩进1"/>
    <w:basedOn w:val="1"/>
    <w:qFormat/>
    <w:uiPriority w:val="0"/>
    <w:pPr>
      <w:spacing w:line="360" w:lineRule="auto"/>
      <w:ind w:firstLine="480" w:firstLineChars="200"/>
    </w:pPr>
    <w:rPr>
      <w:rFonts w:ascii="宋体" w:hAnsi="Times New Roman"/>
      <w:kern w:val="0"/>
      <w:sz w:val="24"/>
      <w:szCs w:val="20"/>
    </w:rPr>
  </w:style>
  <w:style w:type="paragraph" w:customStyle="1" w:styleId="13">
    <w:name w:val="日期1"/>
    <w:basedOn w:val="1"/>
    <w:next w:val="1"/>
    <w:qFormat/>
    <w:uiPriority w:val="0"/>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2019-05-12T02:50:00Z</dcterms:created>
  <dc:creator>ASUS</dc:creator>
  <cp:lastModifiedBy>大宇农机办公室18003997843</cp:lastModifiedBy>
  <dcterms:modified xsi:type="dcterms:W3CDTF">2019-05-29T02:42:17Z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