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rPr>
      </w:pPr>
      <w:r>
        <w:rPr>
          <w:rFonts w:hint="eastAsia" w:ascii="黑体" w:hAnsi="黑体" w:eastAsia="黑体" w:cs="黑体"/>
          <w:color w:val="000000"/>
          <w:sz w:val="44"/>
          <w:szCs w:val="44"/>
          <w:lang w:val="en-US" w:eastAsia="zh-CN"/>
        </w:rPr>
        <w:t>禹州市城市管理局电动执法车电瓶采购项目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禹州市城市管理局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053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九年五</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8"/>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8"/>
        <w:widowControl/>
        <w:shd w:val="clear" w:color="auto" w:fill="FFFFFF"/>
        <w:spacing w:line="315" w:lineRule="atLeast"/>
        <w:jc w:val="left"/>
        <w:rPr>
          <w:rFonts w:ascii="仿宋" w:hAnsi="仿宋" w:eastAsia="仿宋" w:cs="仿宋"/>
          <w:color w:val="000000"/>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禹州市城市管理局电动执法车电瓶采购项目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spacing w:line="400" w:lineRule="exact"/>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禹州市政府采购中心受禹州市城市管理局的委托，就“禹州市城市管理局电动执法车电瓶采购项目”进行公开招标，欢迎合格的投标人前来投标。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1、采购人：禹州市城市管理局</w:t>
      </w:r>
    </w:p>
    <w:p>
      <w:pPr>
        <w:spacing w:line="600" w:lineRule="exact"/>
        <w:ind w:firstLine="320" w:firstLineChars="100"/>
        <w:rPr>
          <w:rFonts w:hint="eastAsia" w:ascii="仿宋" w:hAnsi="仿宋" w:eastAsia="仿宋" w:cs="仿宋"/>
          <w:sz w:val="32"/>
          <w:szCs w:val="32"/>
        </w:rPr>
      </w:pPr>
      <w:r>
        <w:rPr>
          <w:rFonts w:hint="eastAsia" w:ascii="仿宋" w:hAnsi="仿宋" w:eastAsia="仿宋" w:cs="仿宋"/>
          <w:color w:val="000000"/>
          <w:kern w:val="0"/>
          <w:sz w:val="32"/>
          <w:szCs w:val="32"/>
        </w:rPr>
        <w:t>2.项目名称：</w:t>
      </w:r>
      <w:r>
        <w:rPr>
          <w:rFonts w:hint="eastAsia" w:ascii="仿宋" w:hAnsi="仿宋" w:eastAsia="仿宋" w:cs="仿宋"/>
          <w:sz w:val="32"/>
          <w:szCs w:val="32"/>
        </w:rPr>
        <w:t>禹州市城市管理局电动执法车电瓶采购项目</w:t>
      </w:r>
    </w:p>
    <w:p>
      <w:pPr>
        <w:spacing w:line="600" w:lineRule="exact"/>
        <w:ind w:firstLine="320" w:firstLineChars="100"/>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YZCG-G2019053</w:t>
      </w:r>
    </w:p>
    <w:p>
      <w:pPr>
        <w:widowControl/>
        <w:shd w:val="clear" w:color="auto" w:fill="FFFFFF"/>
        <w:spacing w:line="400" w:lineRule="exact"/>
        <w:ind w:firstLine="320" w:firstLineChars="1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4、项目需求：电动执车电瓶  60组（详见招标文件）</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100.8万</w:t>
      </w:r>
      <w:r>
        <w:rPr>
          <w:rFonts w:hint="eastAsia" w:ascii="仿宋" w:hAnsi="仿宋" w:eastAsia="仿宋" w:cs="仿宋"/>
          <w:sz w:val="32"/>
          <w:szCs w:val="32"/>
        </w:rPr>
        <w:t>元</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6、采购限价：100.8万元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left="482"/>
        <w:jc w:val="left"/>
        <w:rPr>
          <w:rFonts w:ascii="仿宋" w:hAnsi="仿宋" w:eastAsia="仿宋" w:cs="仿宋"/>
          <w:sz w:val="32"/>
          <w:szCs w:val="32"/>
        </w:rPr>
      </w:pPr>
      <w:r>
        <w:rPr>
          <w:rFonts w:hint="eastAsia" w:ascii="仿宋" w:hAnsi="仿宋" w:eastAsia="仿宋" w:cs="仿宋"/>
          <w:sz w:val="32"/>
          <w:szCs w:val="32"/>
        </w:rPr>
        <w:t>1、符合《政府采购法》第二十二条之规定及相应的经营范围（以营业执照为准）；</w:t>
      </w:r>
    </w:p>
    <w:p>
      <w:pPr>
        <w:spacing w:line="400" w:lineRule="exact"/>
        <w:ind w:left="319" w:leftChars="152" w:firstLine="160" w:firstLineChars="50"/>
        <w:rPr>
          <w:rFonts w:ascii="仿宋" w:hAnsi="仿宋" w:eastAsia="仿宋" w:cs="仿宋"/>
          <w:sz w:val="32"/>
          <w:szCs w:val="32"/>
        </w:rPr>
      </w:pPr>
      <w:r>
        <w:rPr>
          <w:rFonts w:hint="eastAsia" w:ascii="仿宋" w:hAnsi="仿宋" w:eastAsia="仿宋" w:cs="仿宋"/>
          <w:sz w:val="32"/>
          <w:szCs w:val="32"/>
        </w:rPr>
        <w:t>2、被委托人是须是本单位职工，须提供公司为本人缴纳社会保险证明；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4、招标文件每份售价人民币500元，于递交投标文件时缴纳给采购代理机构，售后不退。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9:00</w:t>
      </w:r>
      <w:r>
        <w:rPr>
          <w:rFonts w:hint="eastAsia" w:ascii="仿宋" w:hAnsi="仿宋" w:eastAsia="仿宋" w:cs="仿宋"/>
          <w:color w:val="000000"/>
          <w:kern w:val="0"/>
          <w:sz w:val="32"/>
          <w:szCs w:val="32"/>
        </w:rPr>
        <w:t>（北京时间），逾期送达或不符合规定的投标文件不予接受。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（二）采购单位：禹州市城市管理局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地址：禹州市逍遥路97号</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联系人：郭先生   联系电话：13937447085</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3520" w:firstLineChars="1100"/>
        <w:rPr>
          <w:rFonts w:ascii="仿宋" w:hAnsi="仿宋" w:eastAsia="仿宋" w:cs="仿宋"/>
          <w:b/>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spacing w:line="360" w:lineRule="auto"/>
        <w:rPr>
          <w:rFonts w:hint="eastAsia" w:ascii="仿宋" w:hAnsi="仿宋" w:eastAsia="仿宋" w:cs="仿宋"/>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rPr>
          <w:rFonts w:hint="eastAsia" w:hAnsi="宋体"/>
          <w:color w:val="000000"/>
          <w:sz w:val="24"/>
          <w:szCs w:val="24"/>
          <w:lang w:val="zh-CN"/>
        </w:rPr>
        <w:t>http://</w:t>
      </w:r>
      <w:r>
        <w:rPr>
          <w:rFonts w:hint="eastAsia" w:hAnsi="宋体"/>
          <w:color w:val="000000"/>
          <w:sz w:val="24"/>
          <w:szCs w:val="24"/>
          <w:lang w:val="en-US" w:eastAsia="zh-CN"/>
        </w:rPr>
        <w:t>ggzy.xuchang.gov.cn</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8"/>
        <w:numPr>
          <w:ilvl w:val="0"/>
          <w:numId w:val="7"/>
        </w:numPr>
        <w:spacing w:line="360" w:lineRule="auto"/>
        <w:ind w:right="28" w:firstLineChars="0"/>
        <w:rPr>
          <w:rFonts w:ascii="仿宋" w:hAnsi="仿宋" w:eastAsia="仿宋" w:cs="仿宋"/>
          <w:b/>
          <w:sz w:val="24"/>
          <w:szCs w:val="24"/>
        </w:rPr>
      </w:pPr>
      <w:r>
        <w:rPr>
          <w:rFonts w:hint="eastAsia" w:ascii="仿宋" w:hAnsi="仿宋" w:eastAsia="仿宋" w:cs="仿宋"/>
          <w:b/>
          <w:sz w:val="24"/>
          <w:szCs w:val="24"/>
        </w:rPr>
        <w:t>招标项目概况及要求</w:t>
      </w:r>
    </w:p>
    <w:p>
      <w:pPr>
        <w:widowControl/>
        <w:numPr>
          <w:ilvl w:val="0"/>
          <w:numId w:val="8"/>
        </w:numPr>
        <w:shd w:val="clear" w:color="auto" w:fill="FFFFFF"/>
        <w:spacing w:line="360" w:lineRule="auto"/>
        <w:ind w:firstLine="6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本项目需实现的功能或者目标</w:t>
      </w:r>
    </w:p>
    <w:p>
      <w:p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应做到技术先进、结构合理、经济实用、安全可靠、保养方便、符合环保的要求，且为</w:t>
      </w:r>
      <w:r>
        <w:rPr>
          <w:rFonts w:hint="eastAsia" w:ascii="仿宋_GB2312" w:hAnsi="仿宋_GB2312" w:eastAsia="仿宋_GB2312" w:cs="仿宋_GB2312"/>
          <w:sz w:val="32"/>
          <w:szCs w:val="32"/>
          <w:lang w:eastAsia="zh-CN"/>
        </w:rPr>
        <w:t>电池行业</w:t>
      </w:r>
      <w:r>
        <w:rPr>
          <w:rFonts w:hint="eastAsia" w:ascii="仿宋_GB2312" w:hAnsi="仿宋_GB2312" w:eastAsia="仿宋_GB2312" w:cs="仿宋_GB2312"/>
          <w:sz w:val="32"/>
          <w:szCs w:val="32"/>
        </w:rPr>
        <w:t>先进的成熟产品。要求蓄电池保质期内放电正常、无发生泄漏、发热、发胀</w:t>
      </w:r>
      <w:r>
        <w:rPr>
          <w:rFonts w:hint="eastAsia" w:ascii="仿宋_GB2312" w:hAnsi="仿宋_GB2312" w:eastAsia="仿宋_GB2312" w:cs="仿宋_GB2312"/>
          <w:sz w:val="32"/>
          <w:szCs w:val="32"/>
          <w:lang w:eastAsia="zh-CN"/>
        </w:rPr>
        <w:t>、短路、断路</w:t>
      </w:r>
      <w:r>
        <w:rPr>
          <w:rFonts w:hint="eastAsia" w:ascii="仿宋_GB2312" w:hAnsi="仿宋_GB2312" w:eastAsia="仿宋_GB2312" w:cs="仿宋_GB2312"/>
          <w:sz w:val="32"/>
          <w:szCs w:val="32"/>
        </w:rPr>
        <w:t>等现象</w:t>
      </w:r>
      <w:r>
        <w:rPr>
          <w:rFonts w:hint="eastAsia" w:ascii="仿宋_GB2312" w:hAnsi="仿宋_GB2312" w:eastAsia="仿宋_GB2312" w:cs="仿宋_GB2312"/>
          <w:sz w:val="32"/>
          <w:szCs w:val="32"/>
          <w:lang w:eastAsia="zh-CN"/>
        </w:rPr>
        <w:t>，保证</w:t>
      </w:r>
      <w:r>
        <w:rPr>
          <w:rFonts w:hint="eastAsia" w:ascii="仿宋_GB2312" w:hAnsi="仿宋_GB2312" w:eastAsia="仿宋_GB2312" w:cs="仿宋_GB2312"/>
          <w:sz w:val="32"/>
          <w:szCs w:val="32"/>
        </w:rPr>
        <w:t>每天</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连续工作约10</w:t>
      </w:r>
      <w:r>
        <w:rPr>
          <w:rFonts w:hint="eastAsia" w:ascii="仿宋_GB2312" w:hAnsi="仿宋_GB2312" w:eastAsia="仿宋_GB2312" w:cs="仿宋_GB2312"/>
          <w:sz w:val="32"/>
          <w:szCs w:val="32"/>
          <w:lang w:val="en-US" w:eastAsia="zh-CN"/>
        </w:rPr>
        <w:t>h</w:t>
      </w:r>
      <w:r>
        <w:rPr>
          <w:rFonts w:hint="eastAsia" w:ascii="仿宋_GB2312" w:hAnsi="仿宋_GB2312" w:eastAsia="仿宋_GB2312" w:cs="仿宋_GB2312"/>
          <w:sz w:val="32"/>
          <w:szCs w:val="32"/>
          <w:lang w:eastAsia="zh-CN"/>
        </w:rPr>
        <w:t>。</w:t>
      </w:r>
    </w:p>
    <w:p>
      <w:pPr>
        <w:widowControl/>
        <w:numPr>
          <w:ilvl w:val="0"/>
          <w:numId w:val="9"/>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采购清单</w:t>
      </w:r>
    </w:p>
    <w:tbl>
      <w:tblPr>
        <w:tblStyle w:val="20"/>
        <w:tblW w:w="914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396"/>
        <w:gridCol w:w="4177"/>
        <w:gridCol w:w="698"/>
        <w:gridCol w:w="81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序号</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货物</w:t>
            </w:r>
          </w:p>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名称</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技术规格及主要参数</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单位</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数量</w:t>
            </w:r>
          </w:p>
        </w:tc>
        <w:tc>
          <w:tcPr>
            <w:tcW w:w="1408"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启动</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center"/>
              <w:rPr>
                <w:rFonts w:hint="eastAsia" w:ascii="宋体" w:hAnsi="宋体" w:eastAsia="宋体" w:cs="宋体"/>
                <w:color w:val="000000"/>
                <w:kern w:val="0"/>
                <w:sz w:val="24"/>
                <w:szCs w:val="24"/>
              </w:rPr>
            </w:pPr>
            <w:r>
              <w:rPr>
                <w:rFonts w:hint="eastAsia" w:ascii="宋体" w:hAnsi="宋体" w:eastAsia="宋体" w:cs="宋体"/>
                <w:b w:val="0"/>
                <w:bCs w:val="0"/>
                <w:i w:val="0"/>
                <w:color w:val="000000"/>
                <w:kern w:val="0"/>
                <w:sz w:val="24"/>
                <w:szCs w:val="24"/>
                <w:u w:val="none"/>
                <w:lang w:val="en-US" w:eastAsia="zh-CN"/>
              </w:rPr>
              <w:t>定额电压</w:t>
            </w:r>
            <w:r>
              <w:rPr>
                <w:rFonts w:hint="eastAsia" w:ascii="宋体" w:hAnsi="宋体" w:eastAsia="宋体" w:cs="宋体"/>
                <w:b w:val="0"/>
                <w:bCs w:val="0"/>
                <w:i w:val="0"/>
                <w:color w:val="000000"/>
                <w:sz w:val="24"/>
                <w:szCs w:val="24"/>
                <w:u w:val="none"/>
                <w:lang w:val="en-US" w:eastAsia="zh-CN"/>
              </w:rPr>
              <w:t>6v、</w:t>
            </w:r>
            <w:r>
              <w:rPr>
                <w:rFonts w:hint="eastAsia" w:ascii="宋体" w:hAnsi="宋体" w:eastAsia="宋体" w:cs="宋体"/>
                <w:b w:val="0"/>
                <w:bCs w:val="0"/>
                <w:i w:val="0"/>
                <w:color w:val="000000"/>
                <w:kern w:val="0"/>
                <w:sz w:val="24"/>
                <w:szCs w:val="24"/>
                <w:u w:val="none"/>
                <w:lang w:val="en-US" w:eastAsia="zh-CN"/>
              </w:rPr>
              <w:t>蓄电容量</w:t>
            </w:r>
            <w:r>
              <w:rPr>
                <w:rFonts w:hint="eastAsia" w:ascii="宋体" w:hAnsi="宋体" w:eastAsia="宋体" w:cs="宋体"/>
                <w:b w:val="0"/>
                <w:bCs w:val="0"/>
                <w:i w:val="0"/>
                <w:color w:val="000000"/>
                <w:sz w:val="24"/>
                <w:szCs w:val="24"/>
                <w:u w:val="none"/>
                <w:lang w:val="en-US" w:eastAsia="zh-CN"/>
              </w:rPr>
              <w:t>20Ah</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块</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3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动力</w:t>
            </w:r>
          </w:p>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电池</w:t>
            </w:r>
          </w:p>
        </w:tc>
        <w:tc>
          <w:tcPr>
            <w:tcW w:w="41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附表二</w:t>
            </w:r>
          </w:p>
        </w:tc>
        <w:tc>
          <w:tcPr>
            <w:tcW w:w="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组</w:t>
            </w:r>
          </w:p>
        </w:tc>
        <w:tc>
          <w:tcPr>
            <w:tcW w:w="8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是</w:t>
            </w:r>
            <w:r>
              <w:rPr>
                <w:rFonts w:hint="eastAsia" w:ascii="仿宋" w:hAnsi="仿宋" w:eastAsia="仿宋" w:cs="宋体"/>
                <w:color w:val="000000"/>
                <w:kern w:val="0"/>
                <w:sz w:val="32"/>
                <w:szCs w:val="32"/>
              </w:rPr>
              <w:sym w:font="Wingdings" w:char="00FE"/>
            </w:r>
          </w:p>
          <w:p>
            <w:pPr>
              <w:widowControl/>
              <w:spacing w:line="360" w:lineRule="auto"/>
              <w:jc w:val="both"/>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否□ </w:t>
            </w:r>
          </w:p>
        </w:tc>
      </w:tr>
    </w:tbl>
    <w:p>
      <w:pPr>
        <w:widowControl/>
        <w:spacing w:line="360" w:lineRule="auto"/>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附表二</w:t>
      </w:r>
      <w:r>
        <w:rPr>
          <w:rFonts w:hint="eastAsia" w:ascii="宋体" w:hAnsi="宋体" w:cs="宋体"/>
          <w:color w:val="000000"/>
          <w:kern w:val="0"/>
          <w:sz w:val="24"/>
          <w:szCs w:val="24"/>
          <w:lang w:val="en-US" w:eastAsia="zh-CN"/>
        </w:rPr>
        <w:t>：</w:t>
      </w:r>
    </w:p>
    <w:tbl>
      <w:tblPr>
        <w:tblStyle w:val="20"/>
        <w:tblpPr w:leftFromText="180" w:rightFromText="180" w:vertAnchor="text" w:horzAnchor="page" w:tblpX="1544" w:tblpY="877"/>
        <w:tblOverlap w:val="never"/>
        <w:tblW w:w="9257" w:type="dxa"/>
        <w:tblInd w:w="0"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
      <w:tblGrid>
        <w:gridCol w:w="1633"/>
        <w:gridCol w:w="3863"/>
        <w:gridCol w:w="3761"/>
      </w:tblGrid>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产品材质</w:t>
            </w:r>
          </w:p>
        </w:tc>
        <w:tc>
          <w:tcPr>
            <w:tcW w:w="7624" w:type="dxa"/>
            <w:gridSpan w:val="2"/>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rPr>
              <w:t>铅酸蓄电池</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val="en-US" w:eastAsia="zh-CN"/>
              </w:rPr>
            </w:pPr>
            <w:r>
              <w:rPr>
                <w:rFonts w:hint="eastAsia" w:ascii="宋体" w:hAnsi="宋体" w:eastAsia="宋体" w:cs="宋体"/>
                <w:b/>
                <w:bCs/>
                <w:i w:val="0"/>
                <w:color w:val="000000"/>
                <w:kern w:val="0"/>
                <w:sz w:val="28"/>
                <w:szCs w:val="28"/>
                <w:u w:val="none"/>
                <w:lang w:val="en-US" w:eastAsia="zh-CN"/>
              </w:rPr>
              <w:t>电池规格</w:t>
            </w:r>
          </w:p>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定额电压</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6v</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蓄电容量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总长度（mm）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261mm±3mm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总宽度（mm）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180mm±3mm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both"/>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电池箱高（mm）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270mm±3mm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cs="宋体"/>
                <w:b w:val="0"/>
                <w:bCs w:val="0"/>
                <w:i w:val="0"/>
                <w:color w:val="000000"/>
                <w:kern w:val="0"/>
                <w:sz w:val="24"/>
                <w:szCs w:val="24"/>
                <w:u w:val="none"/>
                <w:lang w:val="en-US" w:eastAsia="zh-CN"/>
              </w:rPr>
              <w:t xml:space="preserve">  </w:t>
            </w:r>
            <w:r>
              <w:rPr>
                <w:rFonts w:hint="eastAsia" w:ascii="宋体" w:hAnsi="宋体" w:eastAsia="宋体" w:cs="宋体"/>
                <w:b w:val="0"/>
                <w:bCs w:val="0"/>
                <w:i w:val="0"/>
                <w:color w:val="000000"/>
                <w:kern w:val="0"/>
                <w:sz w:val="24"/>
                <w:szCs w:val="24"/>
                <w:u w:val="none"/>
                <w:lang w:val="en-US" w:eastAsia="zh-CN"/>
              </w:rPr>
              <w:t>电池总高（mm）</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274mm±3mm</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left"/>
              <w:textAlignment w:val="center"/>
              <w:outlineLvl w:val="9"/>
              <w:rPr>
                <w:rFonts w:hint="eastAsia" w:ascii="宋体" w:hAnsi="宋体" w:eastAsia="宋体" w:cs="宋体"/>
                <w:b w:val="0"/>
                <w:bCs w:val="0"/>
                <w:i w:val="0"/>
                <w:color w:val="000000"/>
                <w:sz w:val="24"/>
                <w:szCs w:val="24"/>
                <w:u w:val="none"/>
                <w:lang w:eastAsia="zh-CN"/>
              </w:rPr>
            </w:pPr>
            <w:r>
              <w:rPr>
                <w:rFonts w:hint="eastAsia" w:ascii="宋体" w:hAnsi="宋体" w:cs="宋体"/>
                <w:b w:val="0"/>
                <w:bCs w:val="0"/>
                <w:i w:val="0"/>
                <w:color w:val="000000"/>
                <w:sz w:val="24"/>
                <w:szCs w:val="24"/>
                <w:u w:val="none"/>
                <w:lang w:val="en-US" w:eastAsia="zh-CN"/>
              </w:rPr>
              <w:t xml:space="preserve">        </w:t>
            </w:r>
            <w:r>
              <w:rPr>
                <w:rFonts w:hint="eastAsia" w:ascii="宋体" w:hAnsi="宋体" w:eastAsia="宋体" w:cs="宋体"/>
                <w:b w:val="0"/>
                <w:bCs w:val="0"/>
                <w:i w:val="0"/>
                <w:color w:val="000000"/>
                <w:sz w:val="24"/>
                <w:szCs w:val="24"/>
                <w:u w:val="none"/>
                <w:lang w:eastAsia="zh-CN"/>
              </w:rPr>
              <w:t>参考重量</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35kg±5%kg</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电</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池</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性</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能</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参</w:t>
            </w:r>
          </w:p>
          <w:p>
            <w:pPr>
              <w:widowControl/>
              <w:wordWrap/>
              <w:adjustRightInd/>
              <w:snapToGrid/>
              <w:spacing w:before="0" w:after="0"/>
              <w:ind w:firstLine="562" w:firstLineChars="200"/>
              <w:jc w:val="both"/>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数</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各种小时率放电容量</w:t>
            </w:r>
            <w:r>
              <w:rPr>
                <w:rFonts w:hint="eastAsia" w:ascii="宋体" w:hAnsi="宋体" w:eastAsia="宋体" w:cs="宋体"/>
                <w:b w:val="0"/>
                <w:bCs w:val="0"/>
                <w:i w:val="0"/>
                <w:color w:val="000000"/>
                <w:sz w:val="24"/>
                <w:szCs w:val="24"/>
                <w:u w:val="none"/>
                <w:lang w:val="en-US" w:eastAsia="zh-CN"/>
              </w:rPr>
              <w:t>25℃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10hr容量（23A放电）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230Ah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5hr容量（44A放电）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220Ah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3hr容量（67A放电）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200Ah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2hr容量（90A放电）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180Ah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1hr容量（174A放电）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174Ah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0.5hr容量（300A放电）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150Ah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0.25hr容量（496A放电）</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124Ah</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不同温度下电池容量（3hr)</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104℉(40℃)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102%</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77℉(25℃)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100%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32℉(0℃)</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4"/>
                <w:szCs w:val="24"/>
                <w:u w:val="none"/>
                <w:lang w:val="en-US" w:eastAsia="zh-CN"/>
              </w:rPr>
              <w:t>5℉(－15℃)</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65%</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在</w:t>
            </w:r>
            <w:r>
              <w:rPr>
                <w:rFonts w:hint="eastAsia" w:ascii="宋体" w:hAnsi="宋体" w:eastAsia="宋体" w:cs="宋体"/>
                <w:b w:val="0"/>
                <w:bCs w:val="0"/>
                <w:i w:val="0"/>
                <w:color w:val="000000"/>
                <w:sz w:val="24"/>
                <w:szCs w:val="24"/>
                <w:u w:val="none"/>
                <w:lang w:val="en-US" w:eastAsia="zh-CN"/>
              </w:rPr>
              <w:t>77℉(25℃)条件下电池的存放容量</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3个月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90%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6个月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80%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3863"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存放</w:t>
            </w:r>
            <w:r>
              <w:rPr>
                <w:rFonts w:hint="eastAsia" w:ascii="宋体" w:hAnsi="宋体" w:eastAsia="宋体" w:cs="宋体"/>
                <w:b w:val="0"/>
                <w:bCs w:val="0"/>
                <w:i w:val="0"/>
                <w:color w:val="000000"/>
                <w:sz w:val="24"/>
                <w:szCs w:val="24"/>
                <w:u w:val="none"/>
                <w:lang w:val="en-US" w:eastAsia="zh-CN"/>
              </w:rPr>
              <w:t>9个月</w:t>
            </w:r>
          </w:p>
        </w:tc>
        <w:tc>
          <w:tcPr>
            <w:tcW w:w="3761" w:type="dxa"/>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60%</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restart"/>
            <w:vAlign w:val="center"/>
          </w:tcPr>
          <w:p>
            <w:pPr>
              <w:widowControl/>
              <w:wordWrap/>
              <w:adjustRightInd/>
              <w:snapToGrid/>
              <w:spacing w:before="0" w:after="0"/>
              <w:jc w:val="center"/>
              <w:textAlignment w:val="center"/>
              <w:outlineLvl w:val="9"/>
              <w:rPr>
                <w:rFonts w:hint="eastAsia" w:ascii="宋体" w:hAnsi="宋体" w:eastAsia="宋体" w:cs="宋体"/>
                <w:b/>
                <w:bCs/>
                <w:i w:val="0"/>
                <w:color w:val="000000"/>
                <w:sz w:val="28"/>
                <w:szCs w:val="28"/>
                <w:u w:val="none"/>
                <w:lang w:eastAsia="zh-CN"/>
              </w:rPr>
            </w:pPr>
            <w:r>
              <w:rPr>
                <w:rFonts w:hint="eastAsia" w:ascii="宋体" w:hAnsi="宋体" w:eastAsia="宋体" w:cs="宋体"/>
                <w:b/>
                <w:bCs/>
                <w:i w:val="0"/>
                <w:color w:val="000000"/>
                <w:sz w:val="28"/>
                <w:szCs w:val="28"/>
                <w:u w:val="none"/>
                <w:lang w:eastAsia="zh-CN"/>
              </w:rPr>
              <w:t>最佳配置</w:t>
            </w: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电动车启动时最大电流小于</w:t>
            </w:r>
            <w:r>
              <w:rPr>
                <w:rFonts w:hint="eastAsia" w:ascii="宋体" w:hAnsi="宋体" w:eastAsia="宋体" w:cs="宋体"/>
                <w:b w:val="0"/>
                <w:bCs w:val="0"/>
                <w:i w:val="0"/>
                <w:color w:val="000000"/>
                <w:sz w:val="24"/>
                <w:szCs w:val="24"/>
                <w:u w:val="none"/>
                <w:lang w:val="en-US" w:eastAsia="zh-CN"/>
              </w:rPr>
              <w:t>300A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vMerge w:val="continue"/>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电动车运行时时速最大时电流小于</w:t>
            </w:r>
            <w:r>
              <w:rPr>
                <w:rFonts w:hint="eastAsia" w:ascii="宋体" w:hAnsi="宋体" w:eastAsia="宋体" w:cs="宋体"/>
                <w:b w:val="0"/>
                <w:bCs w:val="0"/>
                <w:i w:val="0"/>
                <w:color w:val="000000"/>
                <w:sz w:val="24"/>
                <w:szCs w:val="24"/>
                <w:u w:val="none"/>
                <w:lang w:val="en-US" w:eastAsia="zh-CN"/>
              </w:rPr>
              <w:t>100A</w:t>
            </w:r>
          </w:p>
        </w:tc>
      </w:tr>
      <w:tr>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15" w:type="dxa"/>
            <w:left w:w="15" w:type="dxa"/>
            <w:bottom w:w="15" w:type="dxa"/>
            <w:right w:w="15" w:type="dxa"/>
          </w:tblCellMar>
        </w:tblPrEx>
        <w:trPr>
          <w:trHeight w:val="90" w:hRule="atLeast"/>
        </w:trPr>
        <w:tc>
          <w:tcPr>
            <w:tcW w:w="1633" w:type="dxa"/>
            <w:tcBorders>
              <w:bottom w:val="single" w:color="080000" w:sz="4" w:space="0"/>
            </w:tcBorders>
            <w:vAlign w:val="center"/>
          </w:tcPr>
          <w:p>
            <w:pPr>
              <w:widowControl/>
              <w:wordWrap/>
              <w:adjustRightInd/>
              <w:snapToGrid/>
              <w:spacing w:before="0" w:after="0"/>
              <w:ind w:firstLine="562" w:firstLineChars="200"/>
              <w:jc w:val="center"/>
              <w:textAlignment w:val="center"/>
              <w:outlineLvl w:val="9"/>
              <w:rPr>
                <w:rFonts w:hint="eastAsia" w:ascii="宋体" w:hAnsi="宋体" w:eastAsia="宋体" w:cs="宋体"/>
                <w:b/>
                <w:bCs/>
                <w:i w:val="0"/>
                <w:color w:val="000000"/>
                <w:sz w:val="28"/>
                <w:szCs w:val="28"/>
                <w:u w:val="none"/>
              </w:rPr>
            </w:pPr>
          </w:p>
        </w:tc>
        <w:tc>
          <w:tcPr>
            <w:tcW w:w="7624" w:type="dxa"/>
            <w:gridSpan w:val="2"/>
            <w:vAlign w:val="center"/>
          </w:tcPr>
          <w:p>
            <w:pPr>
              <w:widowControl/>
              <w:wordWrap/>
              <w:adjustRightInd/>
              <w:snapToGrid/>
              <w:spacing w:before="0" w:after="0"/>
              <w:ind w:firstLine="480" w:firstLineChars="200"/>
              <w:jc w:val="center"/>
              <w:textAlignment w:val="center"/>
              <w:outlineLvl w:val="9"/>
              <w:rPr>
                <w:rFonts w:hint="eastAsia" w:ascii="宋体" w:hAnsi="宋体" w:eastAsia="宋体" w:cs="宋体"/>
                <w:b w:val="0"/>
                <w:bCs w:val="0"/>
                <w:i w:val="0"/>
                <w:color w:val="000000"/>
                <w:sz w:val="24"/>
                <w:szCs w:val="24"/>
                <w:u w:val="none"/>
                <w:lang w:eastAsia="zh-CN"/>
              </w:rPr>
            </w:pPr>
          </w:p>
        </w:tc>
      </w:tr>
    </w:tbl>
    <w:p>
      <w:pPr>
        <w:numPr>
          <w:ilvl w:val="0"/>
          <w:numId w:val="10"/>
        </w:numPr>
        <w:wordWrap/>
        <w:adjustRightInd/>
        <w:snapToGrid/>
        <w:spacing w:before="0" w:after="0" w:line="60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采购标的执行标准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品牌、蓄电池尺寸、充</w:t>
      </w:r>
    </w:p>
    <w:p>
      <w:pPr>
        <w:numPr>
          <w:ilvl w:val="0"/>
          <w:numId w:val="0"/>
        </w:numPr>
        <w:wordWrap/>
        <w:adjustRightInd/>
        <w:snapToGrid/>
        <w:spacing w:before="0" w:after="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放电次数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使用寿命、单次持续放电时间等均要符合国家标准</w:t>
      </w:r>
      <w:r>
        <w:rPr>
          <w:rFonts w:hint="eastAsia" w:ascii="仿宋_GB2312" w:hAnsi="仿宋_GB2312" w:eastAsia="仿宋_GB2312" w:cs="仿宋_GB2312"/>
          <w:sz w:val="32"/>
          <w:szCs w:val="32"/>
          <w:lang w:eastAsia="zh-CN"/>
        </w:rPr>
        <w:t>。</w:t>
      </w:r>
    </w:p>
    <w:p>
      <w:pPr>
        <w:widowControl/>
        <w:numPr>
          <w:ilvl w:val="0"/>
          <w:numId w:val="11"/>
        </w:numPr>
        <w:shd w:val="clear" w:color="auto" w:fill="FFFFFF"/>
        <w:spacing w:line="360" w:lineRule="auto"/>
        <w:ind w:firstLine="640" w:firstLineChars="200"/>
        <w:contextualSpacing/>
        <w:jc w:val="left"/>
        <w:rPr>
          <w:rFonts w:hint="eastAsia"/>
          <w:sz w:val="32"/>
          <w:szCs w:val="32"/>
          <w:lang w:eastAsia="zh-CN"/>
        </w:rPr>
      </w:pPr>
      <w:r>
        <w:rPr>
          <w:rFonts w:hint="eastAsia" w:ascii="仿宋_GB2312" w:hAnsi="仿宋_GB2312" w:eastAsia="仿宋_GB2312" w:cs="仿宋_GB2312"/>
          <w:color w:val="000000"/>
          <w:kern w:val="0"/>
          <w:sz w:val="32"/>
          <w:szCs w:val="32"/>
        </w:rPr>
        <w:t>服务标准、期限、效率等要求</w:t>
      </w:r>
      <w:r>
        <w:rPr>
          <w:rFonts w:hint="eastAsia" w:ascii="仿宋_GB2312" w:hAnsi="仿宋_GB2312" w:eastAsia="仿宋_GB2312" w:cs="仿宋_GB2312"/>
          <w:color w:val="000000"/>
          <w:kern w:val="0"/>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方所提供的产品质量保证期为：从验收合格并正式移交使用单位之日算起</w:t>
      </w:r>
      <w:r>
        <w:rPr>
          <w:rFonts w:hint="eastAsia" w:ascii="仿宋_GB2312" w:hAnsi="仿宋_GB2312" w:eastAsia="仿宋_GB2312" w:cs="仿宋_GB2312"/>
          <w:sz w:val="32"/>
          <w:szCs w:val="32"/>
          <w:lang w:val="en-US" w:eastAsia="zh-CN"/>
        </w:rPr>
        <w:t>24个月</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方提供的所有产品必须是合格产品，并要提供合格证及质量证书</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在质量保证期内如出现质量问题，由</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方免费更换</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在蓄电池交付使用</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应定期到甲方</w:t>
      </w:r>
      <w:r>
        <w:rPr>
          <w:rFonts w:hint="eastAsia" w:ascii="仿宋_GB2312" w:hAnsi="仿宋_GB2312" w:eastAsia="仿宋_GB2312" w:cs="仿宋_GB2312"/>
          <w:sz w:val="32"/>
          <w:szCs w:val="32"/>
        </w:rPr>
        <w:t>免费对电池</w:t>
      </w:r>
      <w:r>
        <w:rPr>
          <w:rFonts w:hint="eastAsia" w:ascii="仿宋_GB2312" w:hAnsi="仿宋_GB2312" w:eastAsia="仿宋_GB2312" w:cs="仿宋_GB2312"/>
          <w:sz w:val="32"/>
          <w:szCs w:val="32"/>
          <w:lang w:eastAsia="zh-CN"/>
        </w:rPr>
        <w:t>性能进行</w:t>
      </w:r>
      <w:r>
        <w:rPr>
          <w:rFonts w:hint="eastAsia" w:ascii="仿宋_GB2312" w:hAnsi="仿宋_GB2312" w:eastAsia="仿宋_GB2312" w:cs="仿宋_GB2312"/>
          <w:sz w:val="32"/>
          <w:szCs w:val="32"/>
        </w:rPr>
        <w:t>检测，将结果汇报给甲方</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4、乙</w:t>
      </w:r>
      <w:r>
        <w:rPr>
          <w:rFonts w:hint="eastAsia" w:ascii="仿宋_GB2312" w:hAnsi="仿宋_GB2312" w:eastAsia="仿宋_GB2312" w:cs="仿宋_GB2312"/>
          <w:sz w:val="32"/>
          <w:szCs w:val="32"/>
        </w:rPr>
        <w:t>方对出售给甲方的蓄电池在使用过程中的安全性负全部责任（甲方人为因素和不可抗力除外），如因蓄电池本身性能问题引起的安全事故，</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方应对事故负全部责任</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注：不可抗力是指战争、严重火灾、洪水、台风、地震或其它双方认定的不可抗力事件。</w:t>
      </w:r>
    </w:p>
    <w:p>
      <w:pPr>
        <w:widowControl/>
        <w:numPr>
          <w:ilvl w:val="0"/>
          <w:numId w:val="12"/>
        </w:numPr>
        <w:shd w:val="clear" w:color="auto" w:fill="FFFFFF"/>
        <w:spacing w:line="360" w:lineRule="auto"/>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验收标准</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蓄电池到货后，</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方必须派技术人员到电池使用地对需方管理人员进行交接</w:t>
      </w:r>
      <w:r>
        <w:rPr>
          <w:rFonts w:hint="eastAsia" w:ascii="仿宋_GB2312" w:hAnsi="仿宋_GB2312" w:eastAsia="仿宋_GB2312" w:cs="仿宋_GB2312"/>
          <w:sz w:val="32"/>
          <w:szCs w:val="32"/>
          <w:lang w:eastAsia="zh-CN"/>
        </w:rPr>
        <w:t>，甲方组织人员进行验收，</w:t>
      </w:r>
      <w:r>
        <w:rPr>
          <w:rFonts w:hint="eastAsia" w:ascii="仿宋_GB2312" w:hAnsi="仿宋_GB2312" w:eastAsia="仿宋_GB2312" w:cs="仿宋_GB2312"/>
          <w:sz w:val="32"/>
          <w:szCs w:val="32"/>
        </w:rPr>
        <w:t>清点合同范围内的全部货物和资料</w:t>
      </w:r>
      <w:r>
        <w:rPr>
          <w:rFonts w:hint="eastAsia" w:ascii="仿宋_GB2312" w:hAnsi="仿宋_GB2312" w:eastAsia="仿宋_GB2312" w:cs="仿宋_GB2312"/>
          <w:sz w:val="32"/>
          <w:szCs w:val="32"/>
          <w:lang w:eastAsia="zh-CN"/>
        </w:rPr>
        <w:t>。</w:t>
      </w:r>
    </w:p>
    <w:p>
      <w:pPr>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到货验收合格之日起，电池正常使用30天后，由</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和有关专家按验收计划进行最后验收。如合格，则进入支付流程；如不合格，</w:t>
      </w:r>
      <w:r>
        <w:rPr>
          <w:rFonts w:hint="eastAsia" w:ascii="仿宋_GB2312" w:hAnsi="仿宋_GB2312" w:eastAsia="仿宋_GB2312" w:cs="仿宋_GB2312"/>
          <w:sz w:val="32"/>
          <w:szCs w:val="32"/>
          <w:lang w:eastAsia="zh-CN"/>
        </w:rPr>
        <w:t>甲</w:t>
      </w:r>
      <w:r>
        <w:rPr>
          <w:rFonts w:hint="eastAsia" w:ascii="仿宋_GB2312" w:hAnsi="仿宋_GB2312" w:eastAsia="仿宋_GB2312" w:cs="仿宋_GB2312"/>
          <w:sz w:val="32"/>
          <w:szCs w:val="32"/>
        </w:rPr>
        <w:t>方停止使用，交</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方修理。7天内无法修复，退货处理</w:t>
      </w:r>
      <w:r>
        <w:rPr>
          <w:rFonts w:hint="eastAsia" w:ascii="仿宋_GB2312" w:hAnsi="仿宋_GB2312" w:eastAsia="仿宋_GB2312" w:cs="仿宋_GB2312"/>
          <w:sz w:val="32"/>
          <w:szCs w:val="32"/>
          <w:lang w:eastAsia="zh-CN"/>
        </w:rPr>
        <w:t>。</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w:t>
      </w:r>
      <w:r>
        <w:rPr>
          <w:rFonts w:hint="eastAsia" w:ascii="仿宋" w:hAnsi="仿宋" w:eastAsia="仿宋" w:cs="宋体"/>
          <w:color w:val="000000"/>
          <w:kern w:val="0"/>
          <w:sz w:val="32"/>
          <w:szCs w:val="32"/>
        </w:rPr>
        <w:t>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按照国家相关标准、行业标准、地方标准或者其他标准、规范验收（与采购标的执行标准一致，选填）；</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widowControl/>
        <w:shd w:val="clear" w:color="auto" w:fill="FFFFFF"/>
        <w:spacing w:line="360" w:lineRule="auto"/>
        <w:ind w:firstLine="6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（六）采购标的的其他技术、服务等要求</w:t>
      </w:r>
      <w:r>
        <w:rPr>
          <w:rFonts w:hint="eastAsia" w:ascii="仿宋_GB2312" w:hAnsi="仿宋_GB2312" w:eastAsia="仿宋_GB2312" w:cs="仿宋_GB2312"/>
          <w:color w:val="000000"/>
          <w:kern w:val="0"/>
          <w:sz w:val="32"/>
          <w:szCs w:val="32"/>
          <w:lang w:eastAsia="zh-CN"/>
        </w:rPr>
        <w:t>：</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蓄电池质保期为</w:t>
      </w:r>
      <w:r>
        <w:rPr>
          <w:rFonts w:hint="eastAsia" w:ascii="仿宋_GB2312" w:hAnsi="仿宋_GB2312" w:eastAsia="仿宋_GB2312" w:cs="仿宋_GB2312"/>
          <w:sz w:val="32"/>
          <w:szCs w:val="32"/>
          <w:lang w:val="en-US" w:eastAsia="zh-CN"/>
        </w:rPr>
        <w:t>24个月或电池充放电1000次</w:t>
      </w:r>
      <w:r>
        <w:rPr>
          <w:rFonts w:hint="eastAsia" w:ascii="仿宋_GB2312" w:hAnsi="仿宋_GB2312" w:eastAsia="仿宋_GB2312" w:cs="仿宋_GB2312"/>
          <w:sz w:val="32"/>
          <w:szCs w:val="32"/>
        </w:rPr>
        <w:t>，以先到为准</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jc w:val="both"/>
        <w:textAlignment w:val="auto"/>
        <w:outlineLvl w:val="9"/>
        <w:rPr>
          <w:rFonts w:hint="default" w:ascii="仿宋" w:hAnsi="仿宋" w:eastAsia="仿宋" w:cs="仿宋"/>
          <w:b/>
          <w:bCs/>
          <w:color w:val="FF0000"/>
          <w:kern w:val="0"/>
          <w:sz w:val="30"/>
          <w:szCs w:val="30"/>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保修期内非人为原因出现的故障，</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维修2次以上仍不能修复的，</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方必须无条件更换原厂电池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更换的电池能保证整组正常使用。</w:t>
      </w:r>
    </w:p>
    <w:p>
      <w:pPr>
        <w:tabs>
          <w:tab w:val="left" w:pos="5963"/>
        </w:tabs>
        <w:spacing w:line="420" w:lineRule="exact"/>
        <w:ind w:firstLine="482" w:firstLineChars="200"/>
        <w:rPr>
          <w:rFonts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color w:val="FF0000"/>
        </w:rPr>
      </w:pPr>
      <w:r>
        <w:rPr>
          <w:rFonts w:hint="eastAsia" w:ascii="仿宋" w:hAnsi="仿宋" w:eastAsia="仿宋" w:cs="仿宋"/>
          <w:sz w:val="24"/>
          <w:szCs w:val="24"/>
        </w:rPr>
        <w:t>11、</w:t>
      </w:r>
      <w:r>
        <w:rPr>
          <w:rFonts w:hint="eastAsia" w:ascii="仿宋" w:hAnsi="仿宋" w:eastAsia="仿宋" w:cs="仿宋"/>
          <w:color w:val="FF0000"/>
          <w:sz w:val="24"/>
          <w:szCs w:val="24"/>
        </w:rPr>
        <w:t>付款方式：以合同为准</w:t>
      </w:r>
    </w:p>
    <w:p>
      <w:pP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禹州市城市管理局电动执法车电瓶采购项目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项目编号：YZCG-G20190</w:t>
            </w:r>
            <w:r>
              <w:rPr>
                <w:rFonts w:hint="eastAsia" w:cs="仿宋_GB2312" w:asciiTheme="minorEastAsia" w:hAnsiTheme="minorEastAsia"/>
                <w:sz w:val="24"/>
                <w:szCs w:val="24"/>
                <w:lang w:val="en-US" w:eastAsia="zh-CN"/>
              </w:rPr>
              <w:t>53</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电动执法车电瓶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禹州市城市管理局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禹州市逍遥路97号</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郭</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13937447085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3"/>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1、符合《政府采购法》第二十二条之规定及相应的经营范围（以营业执照为准）；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cs="宋体" w:asciiTheme="minorEastAsia" w:hAnsiTheme="minorEastAsia"/>
                <w:b/>
                <w:color w:val="FF0000"/>
                <w:kern w:val="0"/>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100.8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6</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14</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金额：贰万元整（¥ ：</w:t>
            </w:r>
            <w:r>
              <w:rPr>
                <w:rFonts w:hint="eastAsia" w:cs="仿宋_GB2312" w:asciiTheme="minorEastAsia" w:hAnsiTheme="minorEastAsia"/>
                <w:color w:val="FF0000"/>
                <w:sz w:val="24"/>
                <w:szCs w:val="24"/>
                <w:lang w:val="en-US" w:eastAsia="zh-CN"/>
              </w:rPr>
              <w:t>20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一、投标保证金的递交方</w:t>
            </w:r>
            <w:bookmarkStart w:id="9" w:name="_GoBack"/>
            <w:bookmarkEnd w:id="9"/>
            <w:r>
              <w:rPr>
                <w:rFonts w:hint="eastAsia" w:cs="仿宋_GB2312" w:asciiTheme="minorEastAsia" w:hAnsiTheme="minorEastAsia"/>
                <w:sz w:val="24"/>
                <w:szCs w:val="24"/>
                <w:lang w:val="zh-CN"/>
              </w:rPr>
              <w:t xml:space="preserve">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8"/>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241" w:firstLineChars="1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tabs>
          <w:tab w:val="left" w:pos="1260"/>
        </w:tabs>
        <w:autoSpaceDE w:val="0"/>
        <w:autoSpaceDN w:val="0"/>
        <w:spacing w:line="360" w:lineRule="auto"/>
        <w:ind w:firstLine="420" w:firstLineChars="200"/>
        <w:contextualSpacing/>
        <w:rPr>
          <w:rFonts w:hint="eastAsia" w:ascii="仿宋" w:hAnsi="仿宋" w:eastAsia="仿宋" w:cs="仿宋"/>
          <w:szCs w:val="24"/>
          <w:lang w:val="zh-CN"/>
        </w:rPr>
      </w:pPr>
      <w:r>
        <w:rPr>
          <w:rFonts w:hint="eastAsia" w:ascii="仿宋" w:hAnsi="仿宋" w:eastAsia="仿宋" w:cs="仿宋"/>
          <w:szCs w:val="24"/>
          <w:lang w:val="zh-CN"/>
        </w:rPr>
        <w:t>本项目采用综合评分法。总分为100分。</w:t>
      </w:r>
    </w:p>
    <w:tbl>
      <w:tblPr>
        <w:tblStyle w:val="2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630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分值构成</w:t>
            </w:r>
          </w:p>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(总分100分)</w:t>
            </w:r>
          </w:p>
        </w:tc>
        <w:tc>
          <w:tcPr>
            <w:tcW w:w="722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价格分值：</w:t>
            </w:r>
            <w:r>
              <w:rPr>
                <w:rFonts w:hint="eastAsia" w:ascii="宋体" w:hAnsi="宋体" w:cs="宋体"/>
                <w:b/>
                <w:bCs/>
                <w:color w:val="000000"/>
                <w:kern w:val="0"/>
                <w:sz w:val="24"/>
                <w:szCs w:val="24"/>
                <w:lang w:val="en-US" w:eastAsia="zh-CN"/>
              </w:rPr>
              <w:t xml:space="preserve">  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商务部分：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分</w:t>
            </w:r>
          </w:p>
          <w:p>
            <w:pPr>
              <w:widowControl/>
              <w:spacing w:line="360" w:lineRule="auto"/>
              <w:ind w:firstLine="48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技术部分：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一、价格部分（满分</w:t>
            </w:r>
            <w:r>
              <w:rPr>
                <w:rFonts w:hint="eastAsia" w:ascii="宋体" w:hAnsi="宋体" w:cs="宋体"/>
                <w:b/>
                <w:bCs/>
                <w:color w:val="000000"/>
                <w:kern w:val="0"/>
                <w:sz w:val="24"/>
                <w:szCs w:val="24"/>
                <w:lang w:val="en-US" w:eastAsia="zh-CN"/>
              </w:rPr>
              <w:t>5</w:t>
            </w:r>
            <w:r>
              <w:rPr>
                <w:rFonts w:hint="eastAsia" w:ascii="宋体" w:hAnsi="宋体" w:eastAsia="宋体" w:cs="宋体"/>
                <w:b/>
                <w:bCs/>
                <w:color w:val="000000"/>
                <w:kern w:val="0"/>
                <w:sz w:val="24"/>
                <w:szCs w:val="24"/>
                <w:lang w:val="en-US" w:eastAsia="zh-CN"/>
              </w:rPr>
              <w:t>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投标报价</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评分标准</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投标文件通过初步评审且投标价格最低的投标报价为评标基准价，其价格为满分</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分，其他投标人的价格分按照下列公式计算：投标报价得分=（评标基准价/投标报价）×</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0分，小数点后保留两位。</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5</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二、商务部分（满分 </w:t>
            </w:r>
            <w:r>
              <w:rPr>
                <w:rFonts w:hint="eastAsia" w:ascii="宋体" w:hAnsi="宋体" w:cs="宋体"/>
                <w:b/>
                <w:bCs/>
                <w:color w:val="000000"/>
                <w:kern w:val="0"/>
                <w:sz w:val="24"/>
                <w:szCs w:val="24"/>
                <w:lang w:val="en-US" w:eastAsia="zh-CN"/>
              </w:rPr>
              <w:t>20</w:t>
            </w:r>
            <w:r>
              <w:rPr>
                <w:rFonts w:hint="eastAsia" w:ascii="宋体" w:hAnsi="宋体" w:eastAsia="宋体" w:cs="宋体"/>
                <w:b/>
                <w:bCs/>
                <w:color w:val="000000"/>
                <w:kern w:val="0"/>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信誉</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投标人具有</w:t>
            </w:r>
            <w:r>
              <w:rPr>
                <w:rFonts w:hint="eastAsia" w:ascii="宋体" w:hAnsi="宋体" w:eastAsia="宋体" w:cs="宋体"/>
                <w:b w:val="0"/>
                <w:bCs w:val="0"/>
                <w:sz w:val="24"/>
                <w:szCs w:val="24"/>
                <w:lang w:eastAsia="zh-CN"/>
              </w:rPr>
              <w:t>重合同守信用</w:t>
            </w:r>
            <w:r>
              <w:rPr>
                <w:rFonts w:hint="eastAsia" w:ascii="宋体" w:hAnsi="宋体" w:eastAsia="宋体" w:cs="宋体"/>
                <w:b w:val="0"/>
                <w:bCs w:val="0"/>
                <w:sz w:val="24"/>
                <w:szCs w:val="24"/>
              </w:rPr>
              <w:t>AAA证书得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投标人具有省级信用建设示范单位得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投标人具有省级诚信经营示范单位得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无不得分；</w:t>
            </w:r>
            <w:r>
              <w:rPr>
                <w:rFonts w:hint="eastAsia" w:ascii="宋体" w:hAnsi="宋体" w:eastAsia="宋体" w:cs="宋体"/>
                <w:b w:val="0"/>
                <w:bCs w:val="0"/>
                <w:sz w:val="24"/>
                <w:szCs w:val="24"/>
              </w:rPr>
              <w:t>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企业实力</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投标人为省级或省级以上高新技术企业的</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分，没有不得分。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业绩</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提供201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年以来完成同类项目业绩合同，合同金额在100万元（含）以上，每项得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分，满分</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投标文件中</w:t>
            </w:r>
            <w:r>
              <w:rPr>
                <w:rFonts w:hint="eastAsia" w:ascii="宋体" w:hAnsi="宋体" w:eastAsia="宋体" w:cs="宋体"/>
                <w:b w:val="0"/>
                <w:bCs w:val="0"/>
                <w:sz w:val="24"/>
                <w:szCs w:val="24"/>
              </w:rPr>
              <w:t>提供合同</w:t>
            </w:r>
            <w:r>
              <w:rPr>
                <w:rFonts w:hint="eastAsia" w:ascii="宋体" w:hAnsi="宋体" w:eastAsia="宋体" w:cs="宋体"/>
                <w:b w:val="0"/>
                <w:bCs w:val="0"/>
                <w:sz w:val="24"/>
                <w:szCs w:val="24"/>
                <w:lang w:eastAsia="zh-CN"/>
              </w:rPr>
              <w:t>、中标通知书及网络截图</w:t>
            </w:r>
            <w:r>
              <w:rPr>
                <w:rFonts w:hint="eastAsia" w:ascii="宋体" w:hAnsi="宋体" w:eastAsia="宋体" w:cs="宋体"/>
                <w:b w:val="0"/>
                <w:bCs w:val="0"/>
                <w:sz w:val="24"/>
                <w:szCs w:val="24"/>
              </w:rPr>
              <w:t>为准）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r>
              <w:rPr>
                <w:rFonts w:hint="eastAsia" w:ascii="宋体" w:hAnsi="宋体" w:eastAsia="宋体" w:cs="宋体"/>
                <w:b w:val="0"/>
                <w:bCs w:val="0"/>
                <w:color w:val="000000"/>
                <w:kern w:val="0"/>
                <w:sz w:val="24"/>
                <w:szCs w:val="24"/>
                <w:lang w:val="en-US" w:eastAsia="zh-CN"/>
              </w:rPr>
              <w:t>6</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企业认证</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投标人通过14001环境管理体系认证得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分。通过9001质量体系认证的得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分，通过18001职业健康管理体系认证得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分，知识产权管理体系认证得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分，缺</w:t>
            </w:r>
            <w:r>
              <w:rPr>
                <w:rFonts w:hint="eastAsia" w:ascii="宋体" w:hAnsi="宋体" w:eastAsia="宋体" w:cs="宋体"/>
                <w:b w:val="0"/>
                <w:bCs w:val="0"/>
                <w:sz w:val="24"/>
                <w:szCs w:val="24"/>
                <w:lang w:eastAsia="zh-CN"/>
              </w:rPr>
              <w:t>任</w:t>
            </w:r>
            <w:r>
              <w:rPr>
                <w:rFonts w:hint="eastAsia" w:ascii="宋体" w:hAnsi="宋体" w:eastAsia="宋体" w:cs="宋体"/>
                <w:b w:val="0"/>
                <w:bCs w:val="0"/>
                <w:sz w:val="24"/>
                <w:szCs w:val="24"/>
              </w:rPr>
              <w:t>一项不得分。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 xml:space="preserve"> 4分</w:t>
            </w:r>
            <w:r>
              <w:rPr>
                <w:rFonts w:hint="eastAsia" w:ascii="宋体" w:hAnsi="宋体" w:eastAsia="宋体" w:cs="宋体"/>
                <w:b w:val="0"/>
                <w:bCs w:val="0"/>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发明专利</w:t>
            </w:r>
          </w:p>
          <w:p>
            <w:pPr>
              <w:widowControl/>
              <w:spacing w:line="330" w:lineRule="atLeas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及奖项</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投标产品获得科学技术进步奖、国家级发明专利</w:t>
            </w:r>
            <w:r>
              <w:rPr>
                <w:rFonts w:hint="eastAsia" w:ascii="宋体" w:hAnsi="宋体" w:cs="宋体"/>
                <w:b w:val="0"/>
                <w:bCs w:val="0"/>
                <w:sz w:val="24"/>
                <w:szCs w:val="24"/>
                <w:lang w:eastAsia="zh-CN"/>
              </w:rPr>
              <w:t>奖项</w:t>
            </w:r>
            <w:r>
              <w:rPr>
                <w:rFonts w:hint="eastAsia" w:ascii="宋体" w:hAnsi="宋体" w:eastAsia="宋体" w:cs="宋体"/>
                <w:b w:val="0"/>
                <w:bCs w:val="0"/>
                <w:sz w:val="24"/>
                <w:szCs w:val="24"/>
              </w:rPr>
              <w:t>，每个1分，满分</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 xml:space="preserve"> </w:t>
            </w:r>
            <w:r>
              <w:rPr>
                <w:rFonts w:hint="eastAsia" w:ascii="宋体" w:hAnsi="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三、技术部分（满分 </w:t>
            </w:r>
            <w:r>
              <w:rPr>
                <w:rFonts w:hint="eastAsia" w:ascii="宋体" w:hAnsi="宋体" w:cs="宋体"/>
                <w:b/>
                <w:bCs/>
                <w:color w:val="000000"/>
                <w:kern w:val="0"/>
                <w:sz w:val="24"/>
                <w:szCs w:val="24"/>
                <w:lang w:val="en-US" w:eastAsia="zh-CN"/>
              </w:rPr>
              <w:t>30</w:t>
            </w:r>
            <w:r>
              <w:rPr>
                <w:rFonts w:hint="eastAsia" w:ascii="宋体" w:hAnsi="宋体" w:eastAsia="宋体" w:cs="宋体"/>
                <w:b/>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对招标文件</w:t>
            </w:r>
          </w:p>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响应程度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完全响应招标文件技术参数要求的得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0分，技术参数每项不满足的扣2分，扣完为止。</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售后服务</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承诺</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根据保修期内服务承诺的内容综合评</w:t>
            </w:r>
            <w:r>
              <w:rPr>
                <w:rFonts w:hint="eastAsia" w:ascii="宋体" w:hAnsi="宋体" w:cs="宋体"/>
                <w:b w:val="0"/>
                <w:bCs w:val="0"/>
                <w:sz w:val="24"/>
                <w:szCs w:val="24"/>
                <w:lang w:eastAsia="zh-CN"/>
              </w:rPr>
              <w:t>分</w:t>
            </w:r>
            <w:r>
              <w:rPr>
                <w:rFonts w:hint="eastAsia" w:ascii="宋体" w:hAnsi="宋体" w:eastAsia="宋体" w:cs="宋体"/>
                <w:b w:val="0"/>
                <w:bCs w:val="0"/>
                <w:sz w:val="24"/>
                <w:szCs w:val="24"/>
              </w:rPr>
              <w:t>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p>
            <w:pPr>
              <w:widowControl w:val="0"/>
              <w:wordWrap/>
              <w:adjustRightInd/>
              <w:snapToGrid/>
              <w:spacing w:before="0" w:after="0" w:line="300" w:lineRule="exact"/>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根据保修期满后服务承诺内容0-</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分；</w:t>
            </w:r>
          </w:p>
          <w:p>
            <w:pPr>
              <w:widowControl/>
              <w:spacing w:line="360" w:lineRule="exact"/>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rPr>
              <w:t>具有本地化售后服务能力0-</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投标文件的</w:t>
            </w:r>
          </w:p>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规范程度</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投标人所投产品具备国家级质量监督检验中心的整车性验报告能检（检验内容需含动力性能、能耗、操纵稳定性等方面）不提供不得分。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2136"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性能要求</w:t>
            </w: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投标人所投产品具备国家级质量监督检验中心的性能检验报告</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并提供检验报告原件得3分，不提供不得分。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2136"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val="0"/>
                <w:bCs w:val="0"/>
                <w:color w:val="000000"/>
                <w:kern w:val="0"/>
                <w:sz w:val="24"/>
                <w:szCs w:val="24"/>
              </w:rPr>
            </w:pPr>
          </w:p>
        </w:tc>
        <w:tc>
          <w:tcPr>
            <w:tcW w:w="63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宋体" w:hAnsi="宋体" w:eastAsia="宋体" w:cs="宋体"/>
                <w:b w:val="0"/>
                <w:bCs w:val="0"/>
                <w:sz w:val="24"/>
                <w:szCs w:val="24"/>
              </w:rPr>
            </w:pPr>
            <w:r>
              <w:rPr>
                <w:rFonts w:hint="eastAsia" w:ascii="宋体" w:hAnsi="宋体" w:eastAsia="宋体" w:cs="宋体"/>
                <w:sz w:val="24"/>
                <w:szCs w:val="24"/>
              </w:rPr>
              <w:t>投标人所投产品需经过整车骨架阴极电泳及酸洗磷化处理达到防腐防锈，需提供阴极电泳线及酸洗磷化线相关的权威证明材料（施工合同及购买设备发票或国家</w:t>
            </w:r>
            <w:r>
              <w:rPr>
                <w:rFonts w:hint="eastAsia" w:ascii="宋体" w:hAnsi="宋体" w:eastAsia="宋体" w:cs="宋体"/>
                <w:sz w:val="24"/>
                <w:szCs w:val="24"/>
                <w:lang w:eastAsia="zh-CN"/>
              </w:rPr>
              <w:t>公证</w:t>
            </w:r>
            <w:r>
              <w:rPr>
                <w:rFonts w:hint="eastAsia" w:ascii="宋体" w:hAnsi="宋体" w:eastAsia="宋体" w:cs="宋体"/>
                <w:sz w:val="24"/>
                <w:szCs w:val="24"/>
              </w:rPr>
              <w:t>部门提供的公证书）得</w:t>
            </w:r>
            <w:r>
              <w:rPr>
                <w:rFonts w:hint="eastAsia" w:ascii="宋体" w:hAnsi="宋体" w:cs="宋体"/>
                <w:sz w:val="24"/>
                <w:szCs w:val="24"/>
                <w:lang w:val="en-US" w:eastAsia="zh-CN"/>
              </w:rPr>
              <w:t>4</w:t>
            </w:r>
            <w:r>
              <w:rPr>
                <w:rFonts w:hint="eastAsia" w:ascii="宋体" w:hAnsi="宋体" w:eastAsia="宋体" w:cs="宋体"/>
                <w:sz w:val="24"/>
                <w:szCs w:val="24"/>
              </w:rPr>
              <w:t>分，不提供不得分。</w:t>
            </w:r>
          </w:p>
        </w:tc>
        <w:tc>
          <w:tcPr>
            <w:tcW w:w="9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4分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仿宋" w:hAnsi="仿宋" w:eastAsia="仿宋" w:cs="仿宋"/>
          <w:szCs w:val="24"/>
          <w:lang w:val="zh-CN"/>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74185203"/>
      <w:bookmarkStart w:id="3" w:name="_Toc184023138"/>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8"/>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7"/>
              <w:spacing w:line="360" w:lineRule="auto"/>
              <w:rPr>
                <w:rFonts w:ascii="宋体" w:hAnsi="宋体" w:eastAsia="宋体" w:cs="Times New Roman"/>
                <w:sz w:val="24"/>
                <w:szCs w:val="24"/>
              </w:rPr>
            </w:pPr>
          </w:p>
        </w:tc>
        <w:tc>
          <w:tcPr>
            <w:tcW w:w="991" w:type="dxa"/>
            <w:vAlign w:val="center"/>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135" w:type="dxa"/>
          </w:tcPr>
          <w:p>
            <w:pPr>
              <w:pStyle w:val="7"/>
              <w:spacing w:line="360" w:lineRule="auto"/>
              <w:rPr>
                <w:rFonts w:ascii="宋体" w:hAnsi="宋体" w:eastAsia="宋体" w:cs="Times New Roman"/>
                <w:sz w:val="24"/>
                <w:szCs w:val="24"/>
              </w:rPr>
            </w:pPr>
          </w:p>
        </w:tc>
        <w:tc>
          <w:tcPr>
            <w:tcW w:w="1276" w:type="dxa"/>
          </w:tcPr>
          <w:p>
            <w:pPr>
              <w:pStyle w:val="7"/>
              <w:spacing w:line="360" w:lineRule="auto"/>
              <w:rPr>
                <w:rFonts w:ascii="宋体" w:hAnsi="宋体" w:eastAsia="宋体" w:cs="Times New Roman"/>
                <w:sz w:val="24"/>
                <w:szCs w:val="24"/>
              </w:rPr>
            </w:pPr>
          </w:p>
        </w:tc>
        <w:tc>
          <w:tcPr>
            <w:tcW w:w="1439" w:type="dxa"/>
          </w:tcPr>
          <w:p>
            <w:pPr>
              <w:pStyle w:val="7"/>
              <w:spacing w:line="360" w:lineRule="auto"/>
              <w:rPr>
                <w:rFonts w:ascii="宋体" w:hAnsi="宋体" w:eastAsia="宋体" w:cs="Times New Roman"/>
                <w:sz w:val="24"/>
                <w:szCs w:val="24"/>
              </w:rPr>
            </w:pPr>
          </w:p>
        </w:tc>
        <w:tc>
          <w:tcPr>
            <w:tcW w:w="1252"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1D40CE9"/>
    <w:multiLevelType w:val="singleLevel"/>
    <w:tmpl w:val="31D40CE9"/>
    <w:lvl w:ilvl="0" w:tentative="0">
      <w:start w:val="1"/>
      <w:numFmt w:val="chineseCounting"/>
      <w:suff w:val="space"/>
      <w:lvlText w:val="第%1章"/>
      <w:lvlJc w:val="left"/>
      <w:rPr>
        <w:rFonts w:hint="eastAsia"/>
      </w:rPr>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9"/>
      <w:suff w:val="nothing"/>
      <w:lvlText w:val="%1、"/>
      <w:lvlJc w:val="left"/>
    </w:lvl>
  </w:abstractNum>
  <w:abstractNum w:abstractNumId="7">
    <w:nsid w:val="5A051E9E"/>
    <w:multiLevelType w:val="singleLevel"/>
    <w:tmpl w:val="5A051E9E"/>
    <w:lvl w:ilvl="0" w:tentative="0">
      <w:start w:val="1"/>
      <w:numFmt w:val="chineseCounting"/>
      <w:suff w:val="nothing"/>
      <w:lvlText w:val="%1、"/>
      <w:lvlJc w:val="left"/>
    </w:lvl>
  </w:abstractNum>
  <w:abstractNum w:abstractNumId="8">
    <w:nsid w:val="5C85DC88"/>
    <w:multiLevelType w:val="singleLevel"/>
    <w:tmpl w:val="5C85DC88"/>
    <w:lvl w:ilvl="0" w:tentative="0">
      <w:start w:val="1"/>
      <w:numFmt w:val="chineseCounting"/>
      <w:suff w:val="nothing"/>
      <w:lvlText w:val="（%1）"/>
      <w:lvlJc w:val="left"/>
    </w:lvl>
  </w:abstractNum>
  <w:abstractNum w:abstractNumId="9">
    <w:nsid w:val="5C85DF3F"/>
    <w:multiLevelType w:val="singleLevel"/>
    <w:tmpl w:val="5C85DF3F"/>
    <w:lvl w:ilvl="0" w:tentative="0">
      <w:start w:val="5"/>
      <w:numFmt w:val="chineseCounting"/>
      <w:suff w:val="nothing"/>
      <w:lvlText w:val="（%1）"/>
      <w:lvlJc w:val="left"/>
    </w:lvl>
  </w:abstractNum>
  <w:abstractNum w:abstractNumId="10">
    <w:nsid w:val="5C887ADD"/>
    <w:multiLevelType w:val="singleLevel"/>
    <w:tmpl w:val="5C887ADD"/>
    <w:lvl w:ilvl="0" w:tentative="0">
      <w:start w:val="3"/>
      <w:numFmt w:val="chineseCounting"/>
      <w:suff w:val="nothing"/>
      <w:lvlText w:val="（%1）"/>
      <w:lvlJc w:val="left"/>
    </w:lvl>
  </w:abstractNum>
  <w:abstractNum w:abstractNumId="11">
    <w:nsid w:val="5C887B65"/>
    <w:multiLevelType w:val="singleLevel"/>
    <w:tmpl w:val="5C887B65"/>
    <w:lvl w:ilvl="0" w:tentative="0">
      <w:start w:val="2"/>
      <w:numFmt w:val="chineseCounting"/>
      <w:suff w:val="nothing"/>
      <w:lvlText w:val="（%1）"/>
      <w:lvlJc w:val="left"/>
    </w:lvl>
  </w:abstractNum>
  <w:abstractNum w:abstractNumId="12">
    <w:nsid w:val="5C8F4835"/>
    <w:multiLevelType w:val="singleLevel"/>
    <w:tmpl w:val="5C8F4835"/>
    <w:lvl w:ilvl="0" w:tentative="0">
      <w:start w:val="4"/>
      <w:numFmt w:val="chineseCounting"/>
      <w:suff w:val="nothing"/>
      <w:lvlText w:val="（%1）"/>
      <w:lvlJc w:val="left"/>
    </w:lvl>
  </w:abstractNum>
  <w:abstractNum w:abstractNumId="13">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13"/>
  </w:num>
  <w:num w:numId="8">
    <w:abstractNumId w:val="8"/>
  </w:num>
  <w:num w:numId="9">
    <w:abstractNumId w:val="11"/>
  </w:num>
  <w:num w:numId="10">
    <w:abstractNumId w:val="10"/>
  </w:num>
  <w:num w:numId="11">
    <w:abstractNumId w:val="12"/>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6521"/>
    <w:rsid w:val="016E051B"/>
    <w:rsid w:val="01EC3454"/>
    <w:rsid w:val="01FF6E04"/>
    <w:rsid w:val="04CD55F1"/>
    <w:rsid w:val="04EB2520"/>
    <w:rsid w:val="050525E5"/>
    <w:rsid w:val="06195DD7"/>
    <w:rsid w:val="06D31443"/>
    <w:rsid w:val="07A679A3"/>
    <w:rsid w:val="07C16548"/>
    <w:rsid w:val="0999099B"/>
    <w:rsid w:val="0BEC149C"/>
    <w:rsid w:val="0C3D4298"/>
    <w:rsid w:val="0C9523A6"/>
    <w:rsid w:val="0CA67F00"/>
    <w:rsid w:val="0CF658BA"/>
    <w:rsid w:val="0D072327"/>
    <w:rsid w:val="0D1B18EA"/>
    <w:rsid w:val="0DBC570B"/>
    <w:rsid w:val="0DC470D4"/>
    <w:rsid w:val="0E0A0070"/>
    <w:rsid w:val="0EAE503E"/>
    <w:rsid w:val="0F94795C"/>
    <w:rsid w:val="10173B0E"/>
    <w:rsid w:val="109B612E"/>
    <w:rsid w:val="116D26CD"/>
    <w:rsid w:val="11C23651"/>
    <w:rsid w:val="121E2194"/>
    <w:rsid w:val="127630E4"/>
    <w:rsid w:val="12E25F08"/>
    <w:rsid w:val="12FE3BC7"/>
    <w:rsid w:val="155F2638"/>
    <w:rsid w:val="16B47E06"/>
    <w:rsid w:val="176C103F"/>
    <w:rsid w:val="17BD36E0"/>
    <w:rsid w:val="17CE6051"/>
    <w:rsid w:val="189035FD"/>
    <w:rsid w:val="189C4807"/>
    <w:rsid w:val="18D55096"/>
    <w:rsid w:val="197F5DF8"/>
    <w:rsid w:val="1A08396D"/>
    <w:rsid w:val="1C074AA5"/>
    <w:rsid w:val="1C264C74"/>
    <w:rsid w:val="1C2D1536"/>
    <w:rsid w:val="1CCF2F1D"/>
    <w:rsid w:val="1D7A2E26"/>
    <w:rsid w:val="1DC10851"/>
    <w:rsid w:val="1DD87215"/>
    <w:rsid w:val="1EBA7A7F"/>
    <w:rsid w:val="1ECC3FAB"/>
    <w:rsid w:val="1ECE4957"/>
    <w:rsid w:val="1F7208EE"/>
    <w:rsid w:val="1FE15514"/>
    <w:rsid w:val="2157706F"/>
    <w:rsid w:val="219C042E"/>
    <w:rsid w:val="21DD4A96"/>
    <w:rsid w:val="22151D9F"/>
    <w:rsid w:val="23496746"/>
    <w:rsid w:val="271F4B16"/>
    <w:rsid w:val="27623A24"/>
    <w:rsid w:val="28465A08"/>
    <w:rsid w:val="28544F45"/>
    <w:rsid w:val="28AB7259"/>
    <w:rsid w:val="2A553543"/>
    <w:rsid w:val="2B00153B"/>
    <w:rsid w:val="2B6F5242"/>
    <w:rsid w:val="2CCF40EC"/>
    <w:rsid w:val="2D976D16"/>
    <w:rsid w:val="2F2200C9"/>
    <w:rsid w:val="2F823D43"/>
    <w:rsid w:val="2FB263B8"/>
    <w:rsid w:val="2FDB6ADB"/>
    <w:rsid w:val="301F0E84"/>
    <w:rsid w:val="303C24AD"/>
    <w:rsid w:val="3078668A"/>
    <w:rsid w:val="318F0B04"/>
    <w:rsid w:val="33563CED"/>
    <w:rsid w:val="34B644B7"/>
    <w:rsid w:val="35641360"/>
    <w:rsid w:val="360370D2"/>
    <w:rsid w:val="36186F88"/>
    <w:rsid w:val="3682408C"/>
    <w:rsid w:val="375569AF"/>
    <w:rsid w:val="37844818"/>
    <w:rsid w:val="37BC7F7A"/>
    <w:rsid w:val="37C90DAF"/>
    <w:rsid w:val="38AC3D24"/>
    <w:rsid w:val="39726474"/>
    <w:rsid w:val="39A176AF"/>
    <w:rsid w:val="3ADD0A2E"/>
    <w:rsid w:val="3BB96859"/>
    <w:rsid w:val="3C0840C4"/>
    <w:rsid w:val="3C34760B"/>
    <w:rsid w:val="3D3F1B63"/>
    <w:rsid w:val="3D91663F"/>
    <w:rsid w:val="3DD74257"/>
    <w:rsid w:val="3EDE05DB"/>
    <w:rsid w:val="3F263B0E"/>
    <w:rsid w:val="429A1E61"/>
    <w:rsid w:val="42FB76AE"/>
    <w:rsid w:val="43016347"/>
    <w:rsid w:val="43AF27C5"/>
    <w:rsid w:val="43BC2AF4"/>
    <w:rsid w:val="43FF1107"/>
    <w:rsid w:val="44DC3B3D"/>
    <w:rsid w:val="469762FF"/>
    <w:rsid w:val="46F924A0"/>
    <w:rsid w:val="48370C77"/>
    <w:rsid w:val="49FD6D8B"/>
    <w:rsid w:val="4A1F3301"/>
    <w:rsid w:val="4AE22F4C"/>
    <w:rsid w:val="4B7069AF"/>
    <w:rsid w:val="4B84675A"/>
    <w:rsid w:val="4CE51226"/>
    <w:rsid w:val="4D0F0AAF"/>
    <w:rsid w:val="4EB72836"/>
    <w:rsid w:val="50594C1B"/>
    <w:rsid w:val="51B331C2"/>
    <w:rsid w:val="51CC1C34"/>
    <w:rsid w:val="52941B60"/>
    <w:rsid w:val="532D0B9E"/>
    <w:rsid w:val="555A0AC0"/>
    <w:rsid w:val="55FD5A72"/>
    <w:rsid w:val="5622683A"/>
    <w:rsid w:val="56B753BE"/>
    <w:rsid w:val="57E51D72"/>
    <w:rsid w:val="58077CBD"/>
    <w:rsid w:val="58E53D80"/>
    <w:rsid w:val="58FD658D"/>
    <w:rsid w:val="59AD4BF8"/>
    <w:rsid w:val="59E3404C"/>
    <w:rsid w:val="5BB63045"/>
    <w:rsid w:val="5C0C1AB6"/>
    <w:rsid w:val="5CB15BE4"/>
    <w:rsid w:val="5D282603"/>
    <w:rsid w:val="5D7B2FE8"/>
    <w:rsid w:val="5D7D4D7E"/>
    <w:rsid w:val="5E23797D"/>
    <w:rsid w:val="5E2C7B65"/>
    <w:rsid w:val="5E8D7C1D"/>
    <w:rsid w:val="5EB84AC3"/>
    <w:rsid w:val="5F07114F"/>
    <w:rsid w:val="5FD472DE"/>
    <w:rsid w:val="6048733C"/>
    <w:rsid w:val="622A1A1E"/>
    <w:rsid w:val="624769E7"/>
    <w:rsid w:val="62601735"/>
    <w:rsid w:val="62F50374"/>
    <w:rsid w:val="633270C2"/>
    <w:rsid w:val="64142530"/>
    <w:rsid w:val="6475072A"/>
    <w:rsid w:val="65970713"/>
    <w:rsid w:val="676B055C"/>
    <w:rsid w:val="68427219"/>
    <w:rsid w:val="68741D48"/>
    <w:rsid w:val="68B4582E"/>
    <w:rsid w:val="698F6E3C"/>
    <w:rsid w:val="6B1E2B19"/>
    <w:rsid w:val="6BC55CA5"/>
    <w:rsid w:val="6BC71575"/>
    <w:rsid w:val="6BD75C9D"/>
    <w:rsid w:val="6C2638AE"/>
    <w:rsid w:val="6C567AE9"/>
    <w:rsid w:val="6CDC0267"/>
    <w:rsid w:val="6D7E54D8"/>
    <w:rsid w:val="6DB945AA"/>
    <w:rsid w:val="6DFC3DF2"/>
    <w:rsid w:val="6E275931"/>
    <w:rsid w:val="6E9D2198"/>
    <w:rsid w:val="6EE066C7"/>
    <w:rsid w:val="6EF4625B"/>
    <w:rsid w:val="6F272507"/>
    <w:rsid w:val="71E53350"/>
    <w:rsid w:val="71FE4216"/>
    <w:rsid w:val="722828BD"/>
    <w:rsid w:val="72F404E5"/>
    <w:rsid w:val="73097208"/>
    <w:rsid w:val="736156CA"/>
    <w:rsid w:val="73D40348"/>
    <w:rsid w:val="754A2AC0"/>
    <w:rsid w:val="7585081C"/>
    <w:rsid w:val="75C55A4B"/>
    <w:rsid w:val="77544CF8"/>
    <w:rsid w:val="77D3157C"/>
    <w:rsid w:val="78445F9F"/>
    <w:rsid w:val="78807410"/>
    <w:rsid w:val="792A5DD1"/>
    <w:rsid w:val="79A83495"/>
    <w:rsid w:val="7A77760E"/>
    <w:rsid w:val="7AFD3E45"/>
    <w:rsid w:val="7E99732D"/>
    <w:rsid w:val="7F6737C4"/>
    <w:rsid w:val="7FAD7A8C"/>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1"/>
    <w:qFormat/>
    <w:uiPriority w:val="0"/>
    <w:rPr>
      <w:rFonts w:eastAsia="宋体"/>
      <w:sz w:val="24"/>
    </w:rPr>
  </w:style>
  <w:style w:type="paragraph" w:styleId="13">
    <w:name w:val="Date"/>
    <w:basedOn w:val="1"/>
    <w:next w:val="1"/>
    <w:link w:val="32"/>
    <w:unhideWhenUsed/>
    <w:qFormat/>
    <w:uiPriority w:val="99"/>
    <w:pPr>
      <w:ind w:left="100" w:leftChars="2500"/>
    </w:p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99"/>
    <w:rPr>
      <w:rFonts w:ascii="Calibri" w:hAnsi="Calibri" w:eastAsia="宋体" w:cs="Times New Roman"/>
      <w:sz w:val="24"/>
      <w:szCs w:val="24"/>
    </w:rPr>
  </w:style>
  <w:style w:type="paragraph" w:styleId="19">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2"/>
    <w:qFormat/>
    <w:uiPriority w:val="0"/>
    <w:rPr>
      <w:rFonts w:eastAsia="宋体"/>
      <w:sz w:val="24"/>
    </w:rPr>
  </w:style>
  <w:style w:type="character" w:customStyle="1" w:styleId="32">
    <w:name w:val="日期 Char"/>
    <w:basedOn w:val="22"/>
    <w:link w:val="13"/>
    <w:qFormat/>
    <w:uiPriority w:val="99"/>
  </w:style>
  <w:style w:type="character" w:customStyle="1" w:styleId="33">
    <w:name w:val="页脚 Char"/>
    <w:basedOn w:val="22"/>
    <w:link w:val="14"/>
    <w:qFormat/>
    <w:uiPriority w:val="99"/>
    <w:rPr>
      <w:sz w:val="18"/>
      <w:szCs w:val="18"/>
    </w:rPr>
  </w:style>
  <w:style w:type="character" w:customStyle="1" w:styleId="34">
    <w:name w:val="页眉 Char"/>
    <w:basedOn w:val="22"/>
    <w:link w:val="15"/>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8"/>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9"/>
    <w:semiHidden/>
    <w:qFormat/>
    <w:uiPriority w:val="99"/>
  </w:style>
  <w:style w:type="character" w:customStyle="1" w:styleId="51">
    <w:name w:val="正文首行缩进 Char"/>
    <w:basedOn w:val="50"/>
    <w:link w:val="19"/>
    <w:qFormat/>
    <w:uiPriority w:val="0"/>
    <w:rPr>
      <w:rFonts w:ascii="宋体" w:hAnsi="Times New Roman" w:eastAsia="宋体" w:cs="Times New Roman"/>
      <w:kern w:val="0"/>
      <w:sz w:val="34"/>
      <w:szCs w:val="20"/>
    </w:rPr>
  </w:style>
  <w:style w:type="character" w:customStyle="1" w:styleId="52">
    <w:name w:val="HTML 预设格式 Char"/>
    <w:basedOn w:val="22"/>
    <w:link w:val="17"/>
    <w:semiHidden/>
    <w:qFormat/>
    <w:uiPriority w:val="99"/>
    <w:rPr>
      <w:rFonts w:ascii="宋体" w:hAnsi="宋体" w:eastAsia="宋体" w:cs="宋体"/>
      <w:kern w:val="0"/>
      <w:sz w:val="24"/>
      <w:szCs w:val="24"/>
    </w:rPr>
  </w:style>
  <w:style w:type="character" w:customStyle="1" w:styleId="53">
    <w:name w:val="font01"/>
    <w:basedOn w:val="22"/>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14</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2019-05-24T01:22:47Z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