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cs="宋体"/>
          <w:b/>
          <w:bCs/>
          <w:sz w:val="44"/>
          <w:szCs w:val="44"/>
        </w:rPr>
      </w:pPr>
    </w:p>
    <w:p>
      <w:pPr>
        <w:jc w:val="center"/>
        <w:rPr>
          <w:rFonts w:hint="eastAsia" w:ascii="黑体" w:hAnsi="黑体" w:eastAsia="黑体" w:cs="黑体"/>
          <w:sz w:val="52"/>
          <w:szCs w:val="52"/>
        </w:rPr>
      </w:pPr>
      <w:r>
        <w:rPr>
          <w:rFonts w:hint="eastAsia" w:ascii="黑体" w:hAnsi="黑体" w:eastAsia="黑体" w:cs="黑体"/>
          <w:sz w:val="52"/>
          <w:szCs w:val="52"/>
        </w:rPr>
        <w:t>许昌市城乡一体化示范区</w:t>
      </w:r>
      <w:r>
        <w:rPr>
          <w:rFonts w:hint="eastAsia" w:ascii="黑体" w:hAnsi="黑体" w:eastAsia="黑体" w:cs="黑体"/>
          <w:sz w:val="52"/>
          <w:szCs w:val="52"/>
          <w:lang w:eastAsia="zh-CN"/>
        </w:rPr>
        <w:t>财政局</w:t>
      </w:r>
      <w:r>
        <w:rPr>
          <w:rFonts w:hint="eastAsia" w:ascii="黑体" w:hAnsi="黑体" w:eastAsia="黑体" w:cs="黑体"/>
          <w:sz w:val="52"/>
          <w:szCs w:val="52"/>
        </w:rPr>
        <w:t>选聘</w:t>
      </w:r>
    </w:p>
    <w:p>
      <w:pPr>
        <w:jc w:val="center"/>
        <w:rPr>
          <w:rFonts w:hint="eastAsia" w:ascii="黑体" w:hAnsi="黑体" w:eastAsia="黑体" w:cs="黑体"/>
          <w:sz w:val="52"/>
          <w:szCs w:val="52"/>
        </w:rPr>
      </w:pPr>
      <w:r>
        <w:rPr>
          <w:rFonts w:hint="eastAsia" w:ascii="黑体" w:hAnsi="黑体" w:eastAsia="黑体" w:cs="黑体"/>
          <w:sz w:val="52"/>
          <w:szCs w:val="52"/>
        </w:rPr>
        <w:t>资产评估机构备选库项目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rPr>
          <w:rFonts w:ascii="微软简隶书" w:eastAsia="微软简隶书"/>
        </w:rPr>
      </w:pPr>
      <w:r>
        <w:rPr>
          <w:rFonts w:ascii="宋体" w:hAnsi="宋体"/>
          <w:b/>
          <w:sz w:val="52"/>
          <w:szCs w:val="52"/>
        </w:rPr>
        <w:drawing>
          <wp:anchor distT="0" distB="0" distL="114300" distR="114300" simplePos="0" relativeHeight="251659264" behindDoc="1" locked="0" layoutInCell="1" allowOverlap="1">
            <wp:simplePos x="0" y="0"/>
            <wp:positionH relativeFrom="column">
              <wp:posOffset>2024380</wp:posOffset>
            </wp:positionH>
            <wp:positionV relativeFrom="paragraph">
              <wp:posOffset>183515</wp:posOffset>
            </wp:positionV>
            <wp:extent cx="1849120"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宋体" w:hAnsi="宋体" w:eastAsia="宋体" w:cs="宋体"/>
          <w:b/>
          <w:bCs/>
          <w:sz w:val="36"/>
          <w:szCs w:val="36"/>
          <w:lang w:eastAsia="zh-CN"/>
        </w:rPr>
      </w:pPr>
      <w:r>
        <w:rPr>
          <w:rFonts w:hint="eastAsia" w:ascii="宋体" w:hAnsi="宋体" w:cs="宋体"/>
          <w:b/>
          <w:bCs/>
          <w:sz w:val="36"/>
          <w:szCs w:val="36"/>
        </w:rPr>
        <w:t xml:space="preserve">      项目编号：</w:t>
      </w:r>
      <w:r>
        <w:rPr>
          <w:rFonts w:hint="eastAsia" w:ascii="宋体" w:hAnsi="宋体" w:cs="宋体"/>
          <w:b/>
          <w:bCs/>
          <w:sz w:val="36"/>
          <w:szCs w:val="36"/>
          <w:lang w:eastAsia="zh-CN"/>
        </w:rPr>
        <w:t>JZFCG-G2019</w:t>
      </w:r>
      <w:r>
        <w:rPr>
          <w:rFonts w:hint="eastAsia" w:ascii="宋体" w:hAnsi="宋体" w:cs="宋体"/>
          <w:b/>
          <w:bCs/>
          <w:sz w:val="36"/>
          <w:szCs w:val="36"/>
          <w:lang w:val="en-US" w:eastAsia="zh-CN"/>
        </w:rPr>
        <w:t>045</w:t>
      </w:r>
      <w:r>
        <w:rPr>
          <w:rFonts w:hint="eastAsia" w:ascii="宋体" w:hAnsi="宋体" w:cs="宋体"/>
          <w:b/>
          <w:bCs/>
          <w:sz w:val="36"/>
          <w:szCs w:val="36"/>
          <w:lang w:eastAsia="zh-CN"/>
        </w:rPr>
        <w:t>号</w:t>
      </w:r>
    </w:p>
    <w:p>
      <w:pPr>
        <w:ind w:firstLine="1084" w:firstLineChars="300"/>
        <w:rPr>
          <w:rFonts w:ascii="宋体" w:hAnsi="宋体" w:cs="宋体"/>
          <w:b/>
          <w:bCs/>
          <w:sz w:val="36"/>
          <w:szCs w:val="36"/>
        </w:rPr>
      </w:pPr>
      <w:r>
        <w:rPr>
          <w:rFonts w:hint="eastAsia" w:ascii="宋体" w:hAnsi="宋体" w:cs="宋体"/>
          <w:b/>
          <w:bCs/>
          <w:sz w:val="36"/>
          <w:szCs w:val="36"/>
        </w:rPr>
        <w:t>采购单位：许昌市城乡一体化示范区财政局</w:t>
      </w:r>
    </w:p>
    <w:p>
      <w:pPr>
        <w:ind w:firstLine="1084" w:firstLineChars="300"/>
        <w:rPr>
          <w:rFonts w:hint="eastAsia" w:ascii="宋体" w:hAnsi="宋体" w:eastAsia="宋体" w:cs="宋体"/>
          <w:b/>
          <w:bCs/>
          <w:sz w:val="36"/>
          <w:szCs w:val="36"/>
          <w:lang w:eastAsia="zh-CN"/>
        </w:rPr>
      </w:pPr>
      <w:r>
        <w:rPr>
          <w:rFonts w:hint="eastAsia" w:ascii="宋体" w:hAnsi="宋体" w:cs="宋体"/>
          <w:b/>
          <w:bCs/>
          <w:sz w:val="36"/>
          <w:szCs w:val="36"/>
        </w:rPr>
        <w:t>代理机构：</w:t>
      </w:r>
      <w:r>
        <w:rPr>
          <w:rFonts w:hint="eastAsia" w:ascii="宋体" w:hAnsi="宋体" w:cs="宋体"/>
          <w:b/>
          <w:bCs/>
          <w:sz w:val="36"/>
          <w:szCs w:val="36"/>
          <w:lang w:eastAsia="zh-CN"/>
        </w:rPr>
        <w:t>永明项目管理有限公司</w:t>
      </w:r>
    </w:p>
    <w:p>
      <w:pP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二〇一九年</w:t>
      </w:r>
      <w:r>
        <w:rPr>
          <w:rFonts w:hint="eastAsia" w:ascii="宋体" w:hAnsi="宋体" w:cs="宋体"/>
          <w:b/>
          <w:bCs/>
          <w:sz w:val="36"/>
          <w:szCs w:val="36"/>
          <w:lang w:eastAsia="zh-CN"/>
        </w:rPr>
        <w:t>五</w:t>
      </w:r>
      <w:r>
        <w:rPr>
          <w:rFonts w:hint="eastAsia" w:ascii="宋体" w:hAnsi="宋体" w:cs="宋体"/>
          <w:b/>
          <w:bCs/>
          <w:sz w:val="36"/>
          <w:szCs w:val="36"/>
        </w:rPr>
        <w:t>月</w:t>
      </w:r>
    </w:p>
    <w:p>
      <w:pPr>
        <w:autoSpaceDE w:val="0"/>
        <w:autoSpaceDN w:val="0"/>
        <w:adjustRightInd w:val="0"/>
        <w:spacing w:line="700" w:lineRule="exact"/>
        <w:ind w:firstLine="551"/>
        <w:jc w:val="center"/>
        <w:rPr>
          <w:rFonts w:hint="eastAsia" w:ascii="宋体" w:hAnsi="宋体"/>
          <w:b/>
          <w:bCs/>
          <w:sz w:val="44"/>
          <w:szCs w:val="44"/>
          <w:lang w:val="zh-CN"/>
        </w:rPr>
        <w:sectPr>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宋体"/>
          <w:b/>
          <w:bCs/>
          <w:sz w:val="18"/>
          <w:szCs w:val="18"/>
          <w:lang w:val="zh-CN"/>
        </w:rPr>
      </w:pPr>
      <w:r>
        <w:rPr>
          <w:rFonts w:hint="eastAsia" w:ascii="宋体" w:hAnsi="宋体"/>
          <w:b/>
          <w:bCs/>
          <w:sz w:val="44"/>
          <w:szCs w:val="44"/>
          <w:lang w:val="zh-CN"/>
        </w:rPr>
        <w:t>招标文件目录</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招标公告</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hint="eastAsia"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bidi w:val="0"/>
        <w:rPr>
          <w:rFonts w:hint="eastAsia"/>
        </w:rPr>
      </w:pPr>
    </w:p>
    <w:p>
      <w:pPr>
        <w:widowControl/>
        <w:jc w:val="both"/>
        <w:rPr>
          <w:rFonts w:hint="eastAsia" w:ascii="宋体" w:hAnsi="宋体" w:cs="宋体"/>
          <w:b/>
          <w:kern w:val="0"/>
          <w:sz w:val="24"/>
          <w:szCs w:val="24"/>
          <w:lang w:val="en-US" w:eastAsia="zh-CN"/>
        </w:rPr>
      </w:pPr>
      <w:r>
        <w:rPr>
          <w:rFonts w:hint="eastAsia" w:ascii="宋体" w:hAnsi="宋体" w:cs="宋体"/>
          <w:b/>
          <w:kern w:val="0"/>
          <w:sz w:val="24"/>
          <w:szCs w:val="24"/>
          <w:lang w:eastAsia="zh-CN"/>
        </w:rPr>
        <w:t>附件</w:t>
      </w:r>
      <w:r>
        <w:rPr>
          <w:rFonts w:hint="eastAsia" w:ascii="宋体" w:hAnsi="宋体" w:cs="宋体"/>
          <w:b/>
          <w:kern w:val="0"/>
          <w:sz w:val="24"/>
          <w:szCs w:val="24"/>
          <w:lang w:val="en-US" w:eastAsia="zh-CN"/>
        </w:rPr>
        <w:t>：</w:t>
      </w:r>
    </w:p>
    <w:p>
      <w:pPr>
        <w:bidi w:val="0"/>
        <w:rPr>
          <w:rFonts w:hint="eastAsia"/>
          <w:lang w:val="en-US" w:eastAsia="zh-CN"/>
        </w:rPr>
      </w:pPr>
    </w:p>
    <w:p>
      <w:pPr>
        <w:widowControl/>
        <w:jc w:val="center"/>
        <w:rPr>
          <w:rFonts w:hint="eastAsia" w:ascii="宋体" w:hAnsi="宋体" w:cs="宋体"/>
          <w:b/>
          <w:kern w:val="0"/>
          <w:sz w:val="24"/>
          <w:szCs w:val="24"/>
        </w:rPr>
      </w:pPr>
      <w:r>
        <w:rPr>
          <w:rFonts w:hint="eastAsia" w:ascii="宋体" w:hAnsi="宋体" w:cs="宋体"/>
          <w:b/>
          <w:kern w:val="0"/>
          <w:sz w:val="24"/>
          <w:szCs w:val="24"/>
        </w:rPr>
        <w:t>《许昌市城乡一体化示范区政府购买中介机构服务管理暂行办法（试行）》</w:t>
      </w:r>
    </w:p>
    <w:p>
      <w:pPr>
        <w:bidi w:val="0"/>
        <w:rPr>
          <w:rFonts w:hint="eastAsia"/>
        </w:rPr>
      </w:pPr>
    </w:p>
    <w:p>
      <w:pPr>
        <w:widowControl/>
        <w:ind w:left="482" w:hanging="482" w:hangingChars="200"/>
        <w:jc w:val="left"/>
        <w:rPr>
          <w:rFonts w:hint="eastAsia" w:ascii="宋体" w:hAnsi="宋体" w:cs="宋体"/>
          <w:b/>
          <w:sz w:val="36"/>
          <w:szCs w:val="36"/>
          <w:shd w:val="clear" w:color="auto" w:fill="FFFFFF"/>
        </w:rPr>
      </w:pPr>
      <w:r>
        <w:rPr>
          <w:rFonts w:hint="eastAsia" w:ascii="宋体" w:hAnsi="宋体" w:cs="宋体"/>
          <w:b/>
          <w:kern w:val="0"/>
          <w:sz w:val="24"/>
          <w:szCs w:val="24"/>
          <w:lang w:val="en-US" w:eastAsia="zh-CN"/>
        </w:rPr>
        <w:t xml:space="preserve">   </w:t>
      </w:r>
      <w:r>
        <w:rPr>
          <w:rFonts w:hint="eastAsia" w:ascii="宋体" w:hAnsi="宋体" w:cs="宋体"/>
          <w:b/>
          <w:kern w:val="0"/>
          <w:sz w:val="24"/>
          <w:szCs w:val="24"/>
          <w:lang w:eastAsia="zh-CN"/>
        </w:rPr>
        <w:t>关于贯彻实施《资产评估收费管理办法》尽快做好资产评估收费管理工作的通知</w:t>
      </w:r>
    </w:p>
    <w:p>
      <w:pPr>
        <w:pStyle w:val="17"/>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招标公告</w:t>
      </w:r>
    </w:p>
    <w:p>
      <w:pPr>
        <w:pStyle w:val="17"/>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7"/>
        <w:widowControl/>
        <w:shd w:val="clear" w:color="auto" w:fill="FFFFFF"/>
        <w:spacing w:line="360" w:lineRule="auto"/>
        <w:ind w:firstLine="482" w:firstLineChars="200"/>
        <w:contextualSpacing/>
        <w:jc w:val="left"/>
        <w:rPr>
          <w:rFonts w:ascii="宋体" w:hAnsi="宋体"/>
          <w:b/>
          <w:bCs/>
          <w:shd w:val="clear" w:color="auto" w:fill="FFFFFF"/>
        </w:rPr>
      </w:pPr>
      <w:r>
        <w:rPr>
          <w:rFonts w:hint="eastAsia" w:ascii="宋体" w:hAnsi="宋体"/>
          <w:b/>
          <w:bCs/>
          <w:shd w:val="clear" w:color="auto" w:fill="FFFFFF"/>
          <w:lang w:eastAsia="zh-CN"/>
        </w:rPr>
        <w:t>永明项目管理有限公司</w:t>
      </w:r>
      <w:r>
        <w:rPr>
          <w:rFonts w:hint="eastAsia" w:ascii="宋体" w:hAnsi="宋体"/>
          <w:b/>
          <w:bCs/>
          <w:shd w:val="clear" w:color="auto" w:fill="FFFFFF"/>
        </w:rPr>
        <w:t>受许昌市城乡一体化示范区财政局委托，就</w:t>
      </w:r>
      <w:r>
        <w:rPr>
          <w:rFonts w:hint="eastAsia" w:ascii="宋体" w:hAnsi="宋体"/>
          <w:b/>
          <w:bCs/>
          <w:shd w:val="clear" w:color="auto" w:fill="FFFFFF"/>
          <w:lang w:eastAsia="zh-CN"/>
        </w:rPr>
        <w:t>许昌市城乡一体化示范区财政局选聘资产评估机构备选库项目</w:t>
      </w:r>
      <w:r>
        <w:rPr>
          <w:rFonts w:hint="eastAsia" w:ascii="宋体" w:hAnsi="宋体"/>
          <w:b/>
          <w:bCs/>
          <w:shd w:val="clear" w:color="auto" w:fill="FFFFFF"/>
        </w:rPr>
        <w:t>以公开招标的方式采购，欢迎符合条件的投标人参加投标。</w:t>
      </w:r>
    </w:p>
    <w:p>
      <w:pPr>
        <w:pStyle w:val="17"/>
        <w:widowControl/>
        <w:shd w:val="clear" w:color="auto" w:fill="FFFFFF"/>
        <w:spacing w:line="360" w:lineRule="auto"/>
        <w:ind w:firstLine="241" w:firstLineChars="100"/>
        <w:contextualSpacing/>
        <w:jc w:val="left"/>
        <w:rPr>
          <w:rFonts w:ascii="宋体" w:hAnsi="宋体" w:cs="黑体"/>
          <w:b/>
          <w:bCs/>
        </w:rPr>
      </w:pPr>
      <w:r>
        <w:rPr>
          <w:rFonts w:hint="eastAsia" w:ascii="宋体" w:hAnsi="宋体" w:cs="黑体"/>
          <w:b/>
          <w:bCs/>
          <w:shd w:val="clear" w:color="auto" w:fill="FFFFFF"/>
        </w:rPr>
        <w:t>一、项目基本情况</w:t>
      </w:r>
    </w:p>
    <w:p>
      <w:pPr>
        <w:pStyle w:val="17"/>
        <w:spacing w:line="360" w:lineRule="auto"/>
        <w:ind w:firstLine="420"/>
        <w:contextualSpacing/>
        <w:rPr>
          <w:rFonts w:hint="eastAsia" w:ascii="宋体" w:hAnsi="宋体" w:eastAsia="宋体" w:cs="仿宋_GB2312"/>
          <w:shd w:val="clear" w:color="auto" w:fill="FFFFFF"/>
          <w:lang w:eastAsia="zh-CN"/>
        </w:rPr>
      </w:pPr>
      <w:r>
        <w:rPr>
          <w:rFonts w:hint="eastAsia" w:ascii="宋体" w:hAnsi="宋体" w:cs="仿宋_GB2312"/>
          <w:shd w:val="clear" w:color="auto" w:fill="FFFFFF"/>
        </w:rPr>
        <w:t>（一）项目名称：</w:t>
      </w:r>
      <w:r>
        <w:rPr>
          <w:rFonts w:hint="eastAsia" w:ascii="宋体" w:hAnsi="宋体" w:cs="仿宋_GB2312"/>
          <w:shd w:val="clear" w:color="auto" w:fill="FFFFFF"/>
          <w:lang w:eastAsia="zh-CN"/>
        </w:rPr>
        <w:t>许昌市城乡一体化示范区财政局选聘资产评估机构备选库项目</w:t>
      </w:r>
    </w:p>
    <w:p>
      <w:pPr>
        <w:pStyle w:val="17"/>
        <w:spacing w:line="360" w:lineRule="auto"/>
        <w:ind w:firstLine="420"/>
        <w:contextualSpacing/>
        <w:rPr>
          <w:rFonts w:hint="eastAsia" w:ascii="宋体" w:hAnsi="宋体" w:eastAsia="宋体" w:cs="仿宋_GB2312"/>
          <w:shd w:val="clear" w:color="auto" w:fill="FFFFFF"/>
          <w:lang w:eastAsia="zh-CN"/>
        </w:rPr>
      </w:pPr>
      <w:r>
        <w:rPr>
          <w:rFonts w:hint="eastAsia" w:ascii="宋体" w:hAnsi="宋体" w:cs="仿宋_GB2312"/>
          <w:shd w:val="clear" w:color="auto" w:fill="FFFFFF"/>
        </w:rPr>
        <w:t>（二）项目编号：</w:t>
      </w:r>
      <w:r>
        <w:rPr>
          <w:rFonts w:hint="eastAsia" w:ascii="宋体" w:hAnsi="宋体" w:cs="仿宋_GB2312"/>
          <w:bCs/>
          <w:shd w:val="clear" w:color="auto" w:fill="FFFFFF"/>
          <w:lang w:eastAsia="zh-CN"/>
        </w:rPr>
        <w:t>JZFCG-G2019</w:t>
      </w:r>
      <w:r>
        <w:rPr>
          <w:rFonts w:hint="eastAsia" w:ascii="宋体" w:hAnsi="宋体" w:cs="仿宋_GB2312"/>
          <w:bCs/>
          <w:shd w:val="clear" w:color="auto" w:fill="FFFFFF"/>
          <w:lang w:val="en-US" w:eastAsia="zh-CN"/>
        </w:rPr>
        <w:t>045</w:t>
      </w:r>
      <w:r>
        <w:rPr>
          <w:rFonts w:hint="eastAsia" w:ascii="宋体" w:hAnsi="宋体" w:cs="仿宋_GB2312"/>
          <w:bCs/>
          <w:shd w:val="clear" w:color="auto" w:fill="FFFFFF"/>
          <w:lang w:eastAsia="zh-CN"/>
        </w:rPr>
        <w:t>号</w:t>
      </w:r>
    </w:p>
    <w:p>
      <w:pPr>
        <w:pStyle w:val="17"/>
        <w:spacing w:line="360" w:lineRule="auto"/>
        <w:ind w:firstLine="420"/>
        <w:contextualSpacing/>
        <w:rPr>
          <w:rFonts w:ascii="宋体" w:hAnsi="宋体" w:cs="仿宋_GB2312"/>
          <w:shd w:val="clear" w:color="auto" w:fill="FFFFFF"/>
        </w:rPr>
      </w:pPr>
      <w:r>
        <w:rPr>
          <w:rFonts w:hint="eastAsia" w:ascii="宋体" w:hAnsi="宋体" w:cs="仿宋_GB2312"/>
          <w:shd w:val="clear" w:color="auto" w:fill="FFFFFF"/>
        </w:rPr>
        <w:t>（三）采购方式：公开招标       </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（四）采购需求：</w:t>
      </w:r>
    </w:p>
    <w:p>
      <w:pPr>
        <w:adjustRightInd w:val="0"/>
        <w:snapToGrid w:val="0"/>
        <w:spacing w:line="360" w:lineRule="auto"/>
        <w:ind w:firstLine="480" w:firstLineChars="200"/>
        <w:rPr>
          <w:rFonts w:ascii="宋体" w:cs="仿宋_GB2312"/>
          <w:sz w:val="24"/>
          <w:szCs w:val="24"/>
          <w:shd w:val="clear" w:color="auto" w:fill="FFFFFF"/>
        </w:rPr>
      </w:pPr>
      <w:r>
        <w:rPr>
          <w:rFonts w:ascii="宋体" w:hAnsi="宋体" w:cs="仿宋_GB2312"/>
          <w:sz w:val="24"/>
          <w:szCs w:val="24"/>
          <w:shd w:val="clear" w:color="auto" w:fill="FFFFFF"/>
        </w:rPr>
        <w:t>1</w:t>
      </w:r>
      <w:r>
        <w:rPr>
          <w:rFonts w:hint="eastAsia" w:ascii="宋体" w:hAnsi="宋体" w:cs="仿宋_GB2312"/>
          <w:sz w:val="24"/>
          <w:szCs w:val="24"/>
          <w:shd w:val="clear" w:color="auto" w:fill="FFFFFF"/>
        </w:rPr>
        <w:t>、资金来源：财政资金；</w:t>
      </w:r>
    </w:p>
    <w:p>
      <w:pPr>
        <w:spacing w:line="360" w:lineRule="auto"/>
        <w:ind w:firstLine="480" w:firstLineChars="200"/>
        <w:rPr>
          <w:rFonts w:ascii="宋体" w:hAnsi="宋体" w:cs="仿宋_GB2312"/>
          <w:sz w:val="24"/>
          <w:szCs w:val="24"/>
          <w:shd w:val="clear" w:color="auto" w:fill="FFFFFF"/>
        </w:rPr>
      </w:pPr>
      <w:r>
        <w:rPr>
          <w:rFonts w:ascii="宋体" w:hAnsi="宋体" w:cs="仿宋_GB2312"/>
          <w:sz w:val="24"/>
          <w:szCs w:val="24"/>
          <w:shd w:val="clear" w:color="auto" w:fill="FFFFFF"/>
        </w:rPr>
        <w:t>2</w:t>
      </w:r>
      <w:r>
        <w:rPr>
          <w:rFonts w:hint="eastAsia" w:ascii="宋体" w:hAnsi="宋体" w:cs="仿宋_GB2312"/>
          <w:sz w:val="24"/>
          <w:szCs w:val="24"/>
          <w:shd w:val="clear" w:color="auto" w:fill="FFFFFF"/>
        </w:rPr>
        <w:t>、招标内容：许昌市城乡一体化示范区财政局选聘</w:t>
      </w:r>
      <w:r>
        <w:rPr>
          <w:rFonts w:hint="eastAsia" w:ascii="宋体" w:hAnsi="宋体" w:cs="仿宋_GB2312"/>
          <w:sz w:val="24"/>
          <w:szCs w:val="24"/>
          <w:shd w:val="clear" w:color="auto" w:fill="FFFFFF"/>
          <w:lang w:val="en-US" w:eastAsia="zh-CN"/>
        </w:rPr>
        <w:t>20</w:t>
      </w:r>
      <w:r>
        <w:rPr>
          <w:rFonts w:hint="eastAsia" w:ascii="宋体" w:hAnsi="宋体" w:cs="仿宋_GB2312"/>
          <w:sz w:val="24"/>
          <w:szCs w:val="24"/>
          <w:shd w:val="clear" w:color="auto" w:fill="FFFFFF"/>
        </w:rPr>
        <w:t>家资产评估机构建立中介机构服务备选库。具体要求详见招标文件。</w:t>
      </w:r>
    </w:p>
    <w:p>
      <w:pPr>
        <w:spacing w:line="360" w:lineRule="auto"/>
        <w:ind w:firstLine="480" w:firstLineChars="200"/>
        <w:rPr>
          <w:rFonts w:ascii="宋体" w:cs="仿宋_GB2312"/>
          <w:sz w:val="24"/>
          <w:szCs w:val="24"/>
          <w:shd w:val="clear" w:color="auto" w:fill="FFFFFF"/>
        </w:rPr>
      </w:pPr>
      <w:r>
        <w:rPr>
          <w:rFonts w:ascii="宋体" w:hAnsi="宋体" w:cs="仿宋_GB2312"/>
          <w:sz w:val="24"/>
          <w:szCs w:val="24"/>
          <w:shd w:val="clear" w:color="auto" w:fill="FFFFFF"/>
        </w:rPr>
        <w:t>3</w:t>
      </w:r>
      <w:r>
        <w:rPr>
          <w:rFonts w:hint="eastAsia" w:ascii="宋体" w:hAnsi="宋体" w:cs="仿宋_GB2312"/>
          <w:sz w:val="24"/>
          <w:szCs w:val="24"/>
          <w:shd w:val="clear" w:color="auto" w:fill="FFFFFF"/>
        </w:rPr>
        <w:t>、入库备选及提供服务的期限：</w:t>
      </w:r>
      <w:r>
        <w:rPr>
          <w:rFonts w:hint="eastAsia" w:ascii="宋体" w:hAnsi="宋体" w:cs="仿宋_GB2312"/>
          <w:sz w:val="24"/>
          <w:szCs w:val="24"/>
          <w:shd w:val="clear" w:color="auto" w:fill="FFFFFF"/>
          <w:lang w:eastAsia="zh-CN"/>
        </w:rPr>
        <w:t>三</w:t>
      </w:r>
      <w:r>
        <w:rPr>
          <w:rFonts w:hint="eastAsia" w:ascii="宋体" w:hAnsi="宋体" w:cs="仿宋_GB2312"/>
          <w:sz w:val="24"/>
          <w:szCs w:val="24"/>
          <w:shd w:val="clear" w:color="auto" w:fill="FFFFFF"/>
        </w:rPr>
        <w:t>年</w:t>
      </w:r>
    </w:p>
    <w:tbl>
      <w:tblPr>
        <w:tblStyle w:val="19"/>
        <w:tblW w:w="8840"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9"/>
        <w:gridCol w:w="2218"/>
        <w:gridCol w:w="3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中介机构名称</w:t>
            </w:r>
          </w:p>
        </w:tc>
        <w:tc>
          <w:tcPr>
            <w:tcW w:w="2218"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选聘数量（家）</w:t>
            </w:r>
          </w:p>
        </w:tc>
        <w:tc>
          <w:tcPr>
            <w:tcW w:w="3583"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入库备选及提供服务的期限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cs="仿宋_GB2312"/>
                <w:color w:val="000000"/>
                <w:sz w:val="24"/>
                <w:szCs w:val="24"/>
                <w:shd w:val="clear" w:color="auto" w:fill="FFFFFF"/>
              </w:rPr>
              <w:t>资产评估机构</w:t>
            </w:r>
          </w:p>
        </w:tc>
        <w:tc>
          <w:tcPr>
            <w:tcW w:w="2218" w:type="dxa"/>
          </w:tcPr>
          <w:p>
            <w:pPr>
              <w:spacing w:line="360" w:lineRule="auto"/>
              <w:jc w:val="center"/>
              <w:rPr>
                <w:rFonts w:hint="default" w:ascii="宋体" w:eastAsia="宋体" w:cs="仿宋_GB2312"/>
                <w:color w:val="000000"/>
                <w:sz w:val="24"/>
                <w:szCs w:val="24"/>
                <w:shd w:val="clear" w:color="auto" w:fill="FFFFFF"/>
                <w:lang w:val="en-US" w:eastAsia="zh-CN"/>
              </w:rPr>
            </w:pPr>
            <w:r>
              <w:rPr>
                <w:rFonts w:hint="eastAsia" w:ascii="宋体" w:cs="仿宋_GB2312"/>
                <w:color w:val="000000"/>
                <w:sz w:val="24"/>
                <w:szCs w:val="24"/>
                <w:shd w:val="clear" w:color="auto" w:fill="FFFFFF"/>
                <w:lang w:val="en-US" w:eastAsia="zh-CN"/>
              </w:rPr>
              <w:t>20</w:t>
            </w:r>
          </w:p>
        </w:tc>
        <w:tc>
          <w:tcPr>
            <w:tcW w:w="3583" w:type="dxa"/>
            <w:vAlign w:val="center"/>
          </w:tcPr>
          <w:p>
            <w:pPr>
              <w:spacing w:line="360" w:lineRule="auto"/>
              <w:jc w:val="center"/>
              <w:rPr>
                <w:rFonts w:ascii="宋体" w:cs="仿宋_GB2312"/>
                <w:color w:val="000000"/>
                <w:sz w:val="24"/>
                <w:szCs w:val="24"/>
                <w:shd w:val="clear" w:color="auto" w:fill="FFFFFF"/>
              </w:rPr>
            </w:pPr>
            <w:r>
              <w:rPr>
                <w:rFonts w:hint="eastAsia" w:ascii="宋体" w:hAnsi="宋体" w:cs="仿宋_GB2312"/>
                <w:sz w:val="24"/>
                <w:szCs w:val="24"/>
                <w:shd w:val="clear" w:color="auto" w:fill="FFFFFF"/>
                <w:lang w:eastAsia="zh-CN"/>
              </w:rPr>
              <w:t>三</w:t>
            </w:r>
            <w:r>
              <w:rPr>
                <w:rFonts w:hint="eastAsia" w:ascii="宋体" w:hAnsi="宋体" w:cs="仿宋_GB2312"/>
                <w:color w:val="000000"/>
                <w:sz w:val="24"/>
                <w:szCs w:val="24"/>
                <w:shd w:val="clear" w:color="auto" w:fill="FFFFFF"/>
              </w:rPr>
              <w:t>年</w:t>
            </w:r>
          </w:p>
        </w:tc>
      </w:tr>
    </w:tbl>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（五）预算金额：</w:t>
      </w:r>
      <w:r>
        <w:rPr>
          <w:rFonts w:hint="eastAsia" w:ascii="宋体" w:hAnsi="宋体" w:cs="宋体"/>
          <w:kern w:val="0"/>
          <w:sz w:val="24"/>
          <w:szCs w:val="24"/>
        </w:rPr>
        <w:t>以目前市场费率50%为投标上限</w:t>
      </w:r>
      <w:r>
        <w:rPr>
          <w:rFonts w:hint="eastAsia" w:ascii="宋体" w:hAnsi="宋体" w:cs="仿宋_GB2312"/>
          <w:shd w:val="clear" w:color="auto" w:fill="FFFFFF"/>
        </w:rPr>
        <w:t>。</w:t>
      </w:r>
    </w:p>
    <w:p>
      <w:pPr>
        <w:pStyle w:val="17"/>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（六）服务时间：服务履约期限为</w:t>
      </w:r>
      <w:r>
        <w:rPr>
          <w:rFonts w:hint="eastAsia" w:ascii="宋体" w:hAnsi="宋体" w:cs="仿宋_GB2312"/>
          <w:color w:val="auto"/>
          <w:shd w:val="clear" w:color="auto" w:fill="FFFFFF"/>
          <w:lang w:eastAsia="zh-CN"/>
        </w:rPr>
        <w:t>三</w:t>
      </w:r>
      <w:r>
        <w:rPr>
          <w:rFonts w:hint="eastAsia" w:ascii="宋体" w:hAnsi="宋体" w:cs="仿宋_GB2312"/>
          <w:color w:val="auto"/>
          <w:shd w:val="clear" w:color="auto" w:fill="FFFFFF"/>
        </w:rPr>
        <w:t>年</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（七）服务履约地点：</w:t>
      </w:r>
      <w:r>
        <w:rPr>
          <w:rFonts w:hint="eastAsia" w:ascii="宋体" w:hAnsi="宋体" w:cs="仿宋_GB2312"/>
          <w:sz w:val="24"/>
          <w:szCs w:val="24"/>
          <w:shd w:val="clear" w:color="auto" w:fill="FFFFFF"/>
        </w:rPr>
        <w:t>许昌市城乡一体化示范区</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17"/>
        <w:widowControl/>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17"/>
        <w:widowControl/>
        <w:shd w:val="clear" w:color="auto" w:fill="FFFFFF"/>
        <w:spacing w:line="360" w:lineRule="auto"/>
        <w:ind w:firstLine="720" w:firstLineChars="300"/>
        <w:contextualSpacing/>
        <w:jc w:val="left"/>
        <w:rPr>
          <w:rFonts w:hint="eastAsia" w:ascii="宋体" w:hAnsi="宋体" w:cs="仿宋_GB2312"/>
          <w:shd w:val="clear" w:color="auto" w:fill="FFFFFF"/>
        </w:rPr>
      </w:pPr>
      <w:r>
        <w:rPr>
          <w:rFonts w:hint="eastAsia" w:ascii="宋体" w:hAnsi="宋体" w:cs="仿宋_GB2312"/>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pPr>
        <w:pStyle w:val="17"/>
        <w:widowControl/>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（一）具备《政府采购法》第二十二条第一款规定条件并提供相关材料；</w:t>
      </w:r>
    </w:p>
    <w:p>
      <w:pPr>
        <w:pStyle w:val="17"/>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pPr>
        <w:pStyle w:val="17"/>
        <w:widowControl/>
        <w:shd w:val="clear" w:color="auto" w:fill="FFFFFF"/>
        <w:spacing w:line="360" w:lineRule="auto"/>
        <w:ind w:firstLine="480" w:firstLineChars="200"/>
        <w:contextualSpacing/>
        <w:jc w:val="left"/>
        <w:rPr>
          <w:rFonts w:ascii="宋体" w:hAnsi="宋体" w:cs="仿宋_GB2312"/>
          <w:shd w:val="clear" w:color="auto" w:fill="FFFFFF"/>
        </w:rPr>
      </w:pPr>
      <w:r>
        <w:rPr>
          <w:rFonts w:ascii="宋体" w:hAnsi="宋体" w:cs="仿宋_GB2312"/>
          <w:shd w:val="clear" w:color="auto" w:fill="FFFFFF"/>
        </w:rPr>
        <w:t>(</w:t>
      </w:r>
      <w:r>
        <w:rPr>
          <w:rFonts w:hint="eastAsia" w:ascii="宋体" w:hAnsi="宋体" w:cs="仿宋_GB2312"/>
          <w:shd w:val="clear" w:color="auto" w:fill="FFFFFF"/>
        </w:rPr>
        <w:t>三</w:t>
      </w:r>
      <w:r>
        <w:rPr>
          <w:rFonts w:ascii="宋体" w:hAnsi="宋体" w:cs="仿宋_GB2312"/>
          <w:shd w:val="clear" w:color="auto" w:fill="FFFFFF"/>
        </w:rPr>
        <w:t xml:space="preserve">) </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hint="eastAsia" w:ascii="宋体" w:hAnsi="宋体" w:cs="仿宋_GB2312"/>
          <w:shd w:val="clear" w:color="auto" w:fill="FFFFFF"/>
        </w:rPr>
        <w:t>）严重违法失信企业名单（黑名单）的投标人；</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（四）本次招标不接受联合体投标。</w:t>
      </w:r>
    </w:p>
    <w:p>
      <w:pPr>
        <w:pStyle w:val="17"/>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四、招标文件的获取</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（一）网上下载招标文件</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7"/>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（一）投标截止及开标时间：</w:t>
      </w:r>
      <w:r>
        <w:rPr>
          <w:rFonts w:hint="eastAsia" w:ascii="宋体" w:hAnsi="宋体" w:cs="仿宋_GB2312"/>
          <w:u w:val="single"/>
          <w:lang w:val="en-US" w:eastAsia="zh-CN"/>
        </w:rPr>
        <w:t>2019</w:t>
      </w:r>
      <w:r>
        <w:rPr>
          <w:rFonts w:hint="eastAsia" w:ascii="宋体" w:hAnsi="宋体" w:cs="仿宋_GB2312"/>
        </w:rPr>
        <w:t>年</w:t>
      </w:r>
      <w:r>
        <w:rPr>
          <w:rFonts w:hint="eastAsia" w:ascii="宋体" w:hAnsi="宋体" w:cs="仿宋_GB2312"/>
          <w:u w:val="single"/>
          <w:lang w:val="en-US" w:eastAsia="zh-CN"/>
        </w:rPr>
        <w:t>6</w:t>
      </w:r>
      <w:r>
        <w:rPr>
          <w:rFonts w:hint="eastAsia" w:ascii="宋体" w:hAnsi="宋体" w:cs="仿宋_GB2312"/>
        </w:rPr>
        <w:t>月</w:t>
      </w:r>
      <w:r>
        <w:rPr>
          <w:rFonts w:hint="eastAsia" w:ascii="宋体" w:hAnsi="宋体" w:cs="仿宋_GB2312"/>
          <w:u w:val="single"/>
          <w:lang w:val="en-US" w:eastAsia="zh-CN"/>
        </w:rPr>
        <w:t>14</w:t>
      </w:r>
      <w:r>
        <w:rPr>
          <w:rFonts w:hint="eastAsia" w:ascii="宋体" w:hAnsi="宋体" w:cs="仿宋_GB2312"/>
        </w:rPr>
        <w:t>日</w:t>
      </w:r>
      <w:r>
        <w:rPr>
          <w:rFonts w:hint="eastAsia" w:ascii="宋体" w:hAnsi="宋体" w:cs="仿宋_GB2312"/>
          <w:u w:val="single"/>
          <w:lang w:val="en-US" w:eastAsia="zh-CN"/>
        </w:rPr>
        <w:t>08</w:t>
      </w:r>
      <w:r>
        <w:rPr>
          <w:rFonts w:hint="eastAsia" w:ascii="宋体" w:hAnsi="宋体" w:cs="仿宋_GB2312"/>
        </w:rPr>
        <w:t>时</w:t>
      </w:r>
      <w:r>
        <w:rPr>
          <w:rFonts w:hint="eastAsia" w:ascii="宋体" w:hAnsi="宋体" w:cs="仿宋_GB2312"/>
          <w:u w:val="single"/>
          <w:lang w:val="en-US" w:eastAsia="zh-CN"/>
        </w:rPr>
        <w:t>30</w:t>
      </w:r>
      <w:r>
        <w:rPr>
          <w:rFonts w:hint="eastAsia" w:ascii="宋体" w:hAnsi="宋体" w:cs="仿宋_GB2312"/>
        </w:rPr>
        <w:t>分（北京时间），逾期提交或不符合规定的投标文件不予接受。</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（二）开标地点：许昌市公共资源交易中心（</w:t>
      </w:r>
      <w:r>
        <w:rPr>
          <w:rFonts w:ascii="宋体" w:hAnsi="宋体" w:cs="Arial"/>
        </w:rPr>
        <w:t>龙兴路与竹林路交汇处</w:t>
      </w:r>
      <w:r>
        <w:rPr>
          <w:rFonts w:hint="eastAsia" w:ascii="宋体" w:hAnsi="宋体" w:cs="仿宋_GB2312"/>
        </w:rPr>
        <w:t>公共资源大厦）三楼开标</w:t>
      </w:r>
      <w:r>
        <w:rPr>
          <w:rFonts w:hint="eastAsia" w:ascii="宋体" w:hAnsi="宋体" w:cs="仿宋_GB2312"/>
          <w:u w:val="single"/>
          <w:lang w:val="en-US" w:eastAsia="zh-CN"/>
        </w:rPr>
        <w:t>四</w:t>
      </w:r>
      <w:r>
        <w:rPr>
          <w:rFonts w:hint="eastAsia" w:ascii="宋体" w:hAnsi="宋体" w:cs="仿宋_GB2312"/>
        </w:rPr>
        <w:t>室。</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（三） 本项目为全流程电子化交易项目，投标人须提交电子投标文件和纸质投标文件，招标文件要求提供的原件除外。</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在投标截止时间（开标时间）前通过《全国公共资源交易平台(河南省▪许昌市)》公共资源交易系统成功上传。</w:t>
      </w:r>
    </w:p>
    <w:p>
      <w:pPr>
        <w:pStyle w:val="17"/>
        <w:widowControl/>
        <w:shd w:val="clear" w:color="auto" w:fill="FFFFFF"/>
        <w:spacing w:line="360" w:lineRule="auto"/>
        <w:ind w:firstLine="420"/>
        <w:contextualSpacing/>
        <w:jc w:val="left"/>
        <w:rPr>
          <w:rFonts w:ascii="宋体" w:hAnsi="宋体" w:cs="仿宋_GB2312"/>
          <w:shd w:val="pct10" w:color="auto" w:fill="FFFFFF"/>
        </w:rPr>
      </w:pPr>
      <w:r>
        <w:rPr>
          <w:rFonts w:hint="eastAsia" w:ascii="宋体" w:hAnsi="宋体" w:cs="仿宋_GB2312"/>
        </w:rPr>
        <w:t>2、纸质投标文件（正本1份、副本1份）和备份文件1份</w:t>
      </w:r>
      <w:r>
        <w:rPr>
          <w:rFonts w:hint="eastAsia" w:hAnsi="宋体"/>
        </w:rPr>
        <w:t>（使用电子介质存储）</w:t>
      </w:r>
      <w:r>
        <w:rPr>
          <w:rFonts w:hint="eastAsia" w:ascii="宋体" w:hAnsi="宋体" w:cs="仿宋_GB2312"/>
        </w:rPr>
        <w:t>在投标截止时间（开标时间）前递交至本项目开标地点。</w:t>
      </w:r>
    </w:p>
    <w:p>
      <w:pPr>
        <w:pStyle w:val="28"/>
        <w:shd w:val="clear" w:color="auto" w:fill="FFFFFF"/>
        <w:spacing w:after="156"/>
        <w:ind w:left="-6" w:firstLine="482" w:firstLineChars="200"/>
        <w:jc w:val="both"/>
        <w:rPr>
          <w:rFonts w:cs="黑体"/>
          <w:b w:val="0"/>
          <w:bCs/>
          <w:color w:val="auto"/>
          <w:shd w:val="clear" w:color="auto" w:fill="FFFFFF"/>
        </w:rPr>
      </w:pPr>
      <w:r>
        <w:rPr>
          <w:rFonts w:hint="eastAsia" w:cs="黑体"/>
          <w:bCs/>
          <w:color w:val="auto"/>
          <w:shd w:val="clear" w:color="auto" w:fill="FFFFFF"/>
        </w:rPr>
        <w:t>六、本次招标公告同时在《中国政府采购网》、《河南省政府采购网》、《许昌市政府采购网》、《全国公共资源交易平台（河南省·许昌市）》发布。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自本公告发布之日起</w:t>
      </w:r>
      <w:r>
        <w:rPr>
          <w:rFonts w:ascii="宋体" w:hAnsi="宋体" w:cs="仿宋_GB2312"/>
        </w:rPr>
        <w:t>5</w:t>
      </w:r>
      <w:r>
        <w:rPr>
          <w:rFonts w:hint="eastAsia" w:ascii="宋体" w:hAnsi="宋体" w:cs="仿宋_GB2312"/>
        </w:rPr>
        <w:t>个工作日。</w:t>
      </w:r>
    </w:p>
    <w:p>
      <w:pPr>
        <w:pStyle w:val="17"/>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autoSpaceDE w:val="0"/>
        <w:autoSpaceDN w:val="0"/>
        <w:adjustRightInd w:val="0"/>
        <w:spacing w:line="360" w:lineRule="auto"/>
        <w:ind w:firstLine="560"/>
        <w:rPr>
          <w:rFonts w:ascii="宋体" w:hAnsi="宋体" w:cs="仿宋_GB2312"/>
          <w:sz w:val="24"/>
          <w:szCs w:val="24"/>
        </w:rPr>
      </w:pPr>
      <w:r>
        <w:rPr>
          <w:rFonts w:hint="eastAsia" w:ascii="宋体" w:hAnsi="宋体" w:cs="仿宋_GB2312"/>
          <w:sz w:val="24"/>
          <w:szCs w:val="24"/>
        </w:rPr>
        <w:t>采购人：许昌市城乡一体化示范区财政局</w:t>
      </w:r>
    </w:p>
    <w:p>
      <w:pPr>
        <w:autoSpaceDE w:val="0"/>
        <w:autoSpaceDN w:val="0"/>
        <w:adjustRightInd w:val="0"/>
        <w:spacing w:line="360" w:lineRule="auto"/>
        <w:ind w:firstLine="560"/>
        <w:rPr>
          <w:rFonts w:ascii="宋体" w:hAnsi="宋体" w:cs="仿宋_GB2312"/>
          <w:sz w:val="24"/>
          <w:szCs w:val="24"/>
        </w:rPr>
      </w:pPr>
      <w:r>
        <w:rPr>
          <w:rFonts w:hint="eastAsia" w:ascii="宋体" w:hAnsi="宋体" w:cs="仿宋_GB2312"/>
          <w:sz w:val="24"/>
          <w:szCs w:val="24"/>
        </w:rPr>
        <w:t>地址：许昌市建安区芙蓉大道与永兴东路交叉口6号</w:t>
      </w:r>
    </w:p>
    <w:p>
      <w:pPr>
        <w:autoSpaceDE w:val="0"/>
        <w:autoSpaceDN w:val="0"/>
        <w:adjustRightInd w:val="0"/>
        <w:spacing w:line="360" w:lineRule="auto"/>
        <w:ind w:firstLine="560"/>
        <w:rPr>
          <w:rFonts w:hint="default"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eastAsia="zh-CN"/>
        </w:rPr>
        <w:t>马女士</w:t>
      </w:r>
      <w:r>
        <w:rPr>
          <w:rFonts w:hint="eastAsia" w:ascii="宋体" w:hAnsi="宋体" w:cs="仿宋_GB2312"/>
          <w:sz w:val="24"/>
          <w:szCs w:val="24"/>
        </w:rPr>
        <w:t xml:space="preserve">      联系电话：</w:t>
      </w:r>
      <w:r>
        <w:rPr>
          <w:rFonts w:hint="eastAsia" w:ascii="宋体" w:hAnsi="宋体" w:cs="仿宋_GB2312"/>
          <w:sz w:val="24"/>
          <w:szCs w:val="24"/>
          <w:lang w:val="en-US" w:eastAsia="zh-CN"/>
        </w:rPr>
        <w:t>0374-3372668</w:t>
      </w:r>
    </w:p>
    <w:p>
      <w:pPr>
        <w:autoSpaceDE w:val="0"/>
        <w:autoSpaceDN w:val="0"/>
        <w:adjustRightInd w:val="0"/>
        <w:spacing w:line="360" w:lineRule="auto"/>
        <w:ind w:firstLine="560"/>
        <w:rPr>
          <w:rFonts w:hint="eastAsia" w:ascii="宋体" w:hAnsi="宋体" w:cs="仿宋_GB2312"/>
          <w:sz w:val="24"/>
          <w:szCs w:val="24"/>
        </w:rPr>
      </w:pPr>
      <w:r>
        <w:rPr>
          <w:rFonts w:hint="eastAsia" w:ascii="宋体" w:hAnsi="宋体" w:cs="仿宋_GB2312"/>
          <w:sz w:val="24"/>
          <w:szCs w:val="24"/>
        </w:rPr>
        <w:t>代理机构：永明项目管理有限公司</w:t>
      </w:r>
    </w:p>
    <w:p>
      <w:pPr>
        <w:autoSpaceDE w:val="0"/>
        <w:autoSpaceDN w:val="0"/>
        <w:adjustRightInd w:val="0"/>
        <w:spacing w:line="360" w:lineRule="auto"/>
        <w:ind w:firstLine="560"/>
        <w:rPr>
          <w:rFonts w:hint="eastAsia" w:ascii="宋体" w:hAnsi="宋体" w:cs="仿宋_GB2312"/>
          <w:sz w:val="24"/>
          <w:szCs w:val="24"/>
        </w:rPr>
      </w:pPr>
      <w:r>
        <w:rPr>
          <w:rFonts w:hint="eastAsia" w:ascii="宋体" w:hAnsi="宋体" w:cs="仿宋_GB2312"/>
          <w:sz w:val="24"/>
          <w:szCs w:val="24"/>
        </w:rPr>
        <w:t>地 址：河南省许昌市瑞贝卡和天下</w:t>
      </w:r>
    </w:p>
    <w:p>
      <w:pPr>
        <w:autoSpaceDE w:val="0"/>
        <w:autoSpaceDN w:val="0"/>
        <w:adjustRightInd w:val="0"/>
        <w:spacing w:line="360" w:lineRule="auto"/>
        <w:ind w:firstLine="560"/>
        <w:rPr>
          <w:rFonts w:hint="eastAsia" w:ascii="宋体" w:hAnsi="宋体" w:cs="仿宋_GB2312"/>
          <w:sz w:val="24"/>
          <w:szCs w:val="24"/>
        </w:rPr>
      </w:pPr>
      <w:r>
        <w:rPr>
          <w:rFonts w:hint="eastAsia" w:ascii="宋体" w:hAnsi="宋体" w:cs="仿宋_GB2312"/>
          <w:sz w:val="24"/>
          <w:szCs w:val="24"/>
        </w:rPr>
        <w:t xml:space="preserve">联 系 人：冯先生     联系电话：0374-5051770                                        </w:t>
      </w:r>
    </w:p>
    <w:p>
      <w:pPr>
        <w:autoSpaceDE w:val="0"/>
        <w:autoSpaceDN w:val="0"/>
        <w:adjustRightInd w:val="0"/>
        <w:spacing w:line="700" w:lineRule="exact"/>
        <w:ind w:firstLine="560"/>
        <w:jc w:val="right"/>
        <w:rPr>
          <w:rFonts w:ascii="宋体" w:hAnsi="宋体" w:cs="仿宋_GB2312"/>
          <w:sz w:val="24"/>
          <w:szCs w:val="24"/>
        </w:rPr>
      </w:pPr>
      <w:r>
        <w:rPr>
          <w:rFonts w:hint="eastAsia" w:ascii="宋体" w:hAnsi="宋体" w:cs="仿宋_GB2312"/>
          <w:sz w:val="24"/>
          <w:szCs w:val="24"/>
        </w:rPr>
        <w:t>许昌市城乡一体化示范区财政局</w:t>
      </w:r>
    </w:p>
    <w:p>
      <w:pPr>
        <w:autoSpaceDE w:val="0"/>
        <w:autoSpaceDN w:val="0"/>
        <w:adjustRightInd w:val="0"/>
        <w:spacing w:line="700" w:lineRule="exact"/>
        <w:ind w:firstLine="560"/>
        <w:jc w:val="right"/>
        <w:rPr>
          <w:rFonts w:ascii="宋体" w:hAnsi="宋体" w:cs="仿宋_GB2312"/>
          <w:sz w:val="24"/>
          <w:szCs w:val="24"/>
        </w:rPr>
      </w:pPr>
      <w:r>
        <w:rPr>
          <w:rFonts w:hint="eastAsia" w:ascii="宋体" w:hAnsi="宋体" w:cs="仿宋_GB2312"/>
          <w:sz w:val="24"/>
          <w:szCs w:val="24"/>
        </w:rPr>
        <w:t xml:space="preserve">      二〇一九年</w:t>
      </w:r>
      <w:r>
        <w:rPr>
          <w:rFonts w:hint="eastAsia" w:ascii="宋体" w:hAnsi="宋体" w:cs="仿宋_GB2312"/>
          <w:sz w:val="24"/>
          <w:szCs w:val="24"/>
          <w:lang w:eastAsia="zh-CN"/>
        </w:rPr>
        <w:t>五</w:t>
      </w:r>
      <w:r>
        <w:rPr>
          <w:rFonts w:hint="eastAsia" w:ascii="宋体" w:hAnsi="宋体" w:cs="仿宋_GB2312"/>
          <w:sz w:val="24"/>
          <w:szCs w:val="24"/>
        </w:rPr>
        <w:t>月</w:t>
      </w:r>
      <w:r>
        <w:rPr>
          <w:rFonts w:hint="eastAsia" w:ascii="宋体" w:hAnsi="宋体" w:cs="仿宋_GB2312"/>
          <w:sz w:val="24"/>
          <w:szCs w:val="24"/>
          <w:lang w:val="en-US" w:eastAsia="zh-CN"/>
        </w:rPr>
        <w:t>二十四</w:t>
      </w:r>
      <w:r>
        <w:rPr>
          <w:rFonts w:hint="eastAsia" w:ascii="宋体" w:hAnsi="宋体" w:cs="仿宋_GB2312"/>
          <w:sz w:val="24"/>
          <w:szCs w:val="24"/>
        </w:rPr>
        <w:t>日</w:t>
      </w:r>
    </w:p>
    <w:p>
      <w:pPr>
        <w:spacing w:line="360" w:lineRule="auto"/>
        <w:rPr>
          <w:rFonts w:hAnsi="宋体"/>
          <w:b/>
          <w:sz w:val="28"/>
          <w:szCs w:val="28"/>
        </w:rPr>
      </w:pPr>
      <w:r>
        <w:rPr>
          <w:rFonts w:hint="eastAsia" w:hAnsi="宋体"/>
          <w:b/>
          <w:sz w:val="32"/>
          <w:szCs w:val="32"/>
        </w:rPr>
        <w:br w:type="page"/>
      </w: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投标人应按招标文件规定编制、提交电子投标文件和纸质投标文件。开、评标现场不接受投标人递交的备份电子投标文件和纸质投标文件以外的其他资料，招标文件要求提供原件的除外。</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pStyle w:val="8"/>
        <w:rPr>
          <w:rFonts w:ascii="宋体" w:hAnsi="宋体" w:cs="仿宋_GB2312"/>
          <w:sz w:val="24"/>
          <w:szCs w:val="24"/>
        </w:rPr>
      </w:pPr>
    </w:p>
    <w:p>
      <w:pPr>
        <w:pStyle w:val="8"/>
        <w:rPr>
          <w:rFonts w:ascii="宋体" w:hAnsi="宋体" w:cs="仿宋_GB2312"/>
          <w:sz w:val="24"/>
          <w:szCs w:val="24"/>
        </w:rPr>
      </w:pP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rPr>
          <w:rFonts w:ascii="宋体" w:hAnsi="宋体" w:cs="宋体"/>
          <w:b/>
          <w:kern w:val="0"/>
          <w:sz w:val="32"/>
          <w:szCs w:val="32"/>
        </w:rPr>
      </w:pPr>
    </w:p>
    <w:p>
      <w:pPr>
        <w:widowControl/>
        <w:numPr>
          <w:ilvl w:val="0"/>
          <w:numId w:val="5"/>
        </w:numPr>
        <w:shd w:val="clear" w:color="auto" w:fill="FFFFFF"/>
        <w:spacing w:line="360" w:lineRule="auto"/>
        <w:contextualSpacing/>
        <w:jc w:val="left"/>
        <w:rPr>
          <w:rFonts w:hint="eastAsia" w:ascii="宋体" w:hAnsi="宋体"/>
          <w:b/>
          <w:bCs/>
          <w:kern w:val="0"/>
          <w:sz w:val="24"/>
          <w:szCs w:val="24"/>
        </w:rPr>
      </w:pPr>
      <w:r>
        <w:rPr>
          <w:rFonts w:hint="eastAsia" w:ascii="宋体" w:hAnsi="宋体"/>
          <w:b/>
          <w:bCs/>
          <w:kern w:val="0"/>
          <w:sz w:val="24"/>
          <w:szCs w:val="24"/>
        </w:rPr>
        <w:t>本项目需实现的功能或者目标：</w:t>
      </w:r>
    </w:p>
    <w:p>
      <w:pPr>
        <w:widowControl/>
        <w:numPr>
          <w:ilvl w:val="0"/>
          <w:numId w:val="0"/>
        </w:numPr>
        <w:shd w:val="clear" w:color="auto" w:fill="FFFFFF"/>
        <w:spacing w:line="360" w:lineRule="auto"/>
        <w:ind w:firstLine="480" w:firstLineChars="200"/>
        <w:contextualSpacing/>
        <w:jc w:val="left"/>
        <w:rPr>
          <w:rFonts w:hint="eastAsia" w:ascii="宋体" w:hAnsi="宋体"/>
          <w:kern w:val="0"/>
          <w:sz w:val="24"/>
          <w:szCs w:val="24"/>
        </w:rPr>
      </w:pPr>
      <w:r>
        <w:rPr>
          <w:rFonts w:hint="eastAsia" w:ascii="宋体" w:hAnsi="宋体"/>
          <w:kern w:val="0"/>
          <w:sz w:val="24"/>
          <w:szCs w:val="24"/>
        </w:rPr>
        <w:t>通过公开招标的方式确定</w:t>
      </w:r>
      <w:r>
        <w:rPr>
          <w:rFonts w:hint="eastAsia" w:ascii="宋体" w:hAnsi="宋体"/>
          <w:kern w:val="0"/>
          <w:sz w:val="24"/>
          <w:szCs w:val="24"/>
          <w:lang w:val="en-US" w:eastAsia="zh-CN"/>
        </w:rPr>
        <w:t>20</w:t>
      </w:r>
      <w:r>
        <w:rPr>
          <w:rFonts w:hint="eastAsia" w:ascii="宋体" w:hAnsi="宋体"/>
          <w:kern w:val="0"/>
          <w:sz w:val="24"/>
          <w:szCs w:val="24"/>
        </w:rPr>
        <w:t>家资产评估机构，具体要求详见招标文件,中标的中介机构进入许昌市城乡一体化示范区财政局中介机构备选库，具备接受委托参与政府购买中介机构服务的资格,承担委托项目资产评估及其相关工作。</w:t>
      </w:r>
    </w:p>
    <w:p>
      <w:pPr>
        <w:widowControl/>
        <w:numPr>
          <w:ilvl w:val="0"/>
          <w:numId w:val="0"/>
        </w:numPr>
        <w:shd w:val="clear" w:color="auto" w:fill="FFFFFF"/>
        <w:spacing w:line="360" w:lineRule="auto"/>
        <w:contextualSpacing/>
        <w:jc w:val="left"/>
        <w:rPr>
          <w:rFonts w:ascii="宋体" w:hAnsi="宋体"/>
          <w:b/>
          <w:bCs/>
          <w:kern w:val="0"/>
          <w:sz w:val="24"/>
          <w:szCs w:val="24"/>
        </w:rPr>
      </w:pPr>
      <w:r>
        <w:rPr>
          <w:rFonts w:hint="eastAsia" w:ascii="宋体" w:hAnsi="宋体"/>
          <w:b/>
          <w:bCs/>
          <w:kern w:val="0"/>
          <w:sz w:val="24"/>
          <w:szCs w:val="24"/>
          <w:lang w:eastAsia="zh-CN"/>
        </w:rPr>
        <w:t>二、</w:t>
      </w:r>
      <w:r>
        <w:rPr>
          <w:rFonts w:hint="eastAsia" w:ascii="宋体" w:hAnsi="宋体"/>
          <w:b/>
          <w:bCs/>
          <w:kern w:val="0"/>
          <w:sz w:val="24"/>
          <w:szCs w:val="24"/>
        </w:rPr>
        <w:t>采购清单</w:t>
      </w:r>
    </w:p>
    <w:tbl>
      <w:tblPr>
        <w:tblStyle w:val="19"/>
        <w:tblW w:w="8840"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9"/>
        <w:gridCol w:w="2218"/>
        <w:gridCol w:w="3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中介机构名称</w:t>
            </w:r>
          </w:p>
        </w:tc>
        <w:tc>
          <w:tcPr>
            <w:tcW w:w="2218"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选聘数量（家）</w:t>
            </w:r>
          </w:p>
        </w:tc>
        <w:tc>
          <w:tcPr>
            <w:tcW w:w="3583"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入库备选及提供服务的期限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cs="仿宋_GB2312"/>
                <w:color w:val="000000"/>
                <w:sz w:val="24"/>
                <w:szCs w:val="24"/>
                <w:shd w:val="clear" w:color="auto" w:fill="FFFFFF"/>
              </w:rPr>
              <w:t>资产评估机构</w:t>
            </w:r>
          </w:p>
        </w:tc>
        <w:tc>
          <w:tcPr>
            <w:tcW w:w="2218" w:type="dxa"/>
          </w:tcPr>
          <w:p>
            <w:pPr>
              <w:spacing w:line="360" w:lineRule="auto"/>
              <w:jc w:val="center"/>
              <w:rPr>
                <w:rFonts w:hint="default" w:ascii="宋体" w:eastAsia="宋体" w:cs="仿宋_GB2312"/>
                <w:color w:val="000000"/>
                <w:sz w:val="24"/>
                <w:szCs w:val="24"/>
                <w:shd w:val="clear" w:color="auto" w:fill="FFFFFF"/>
                <w:lang w:val="en-US" w:eastAsia="zh-CN"/>
              </w:rPr>
            </w:pPr>
            <w:r>
              <w:rPr>
                <w:rFonts w:hint="eastAsia" w:ascii="宋体" w:cs="仿宋_GB2312"/>
                <w:color w:val="000000"/>
                <w:sz w:val="24"/>
                <w:szCs w:val="24"/>
                <w:shd w:val="clear" w:color="auto" w:fill="FFFFFF"/>
                <w:lang w:val="en-US" w:eastAsia="zh-CN"/>
              </w:rPr>
              <w:t>20</w:t>
            </w:r>
          </w:p>
        </w:tc>
        <w:tc>
          <w:tcPr>
            <w:tcW w:w="3583" w:type="dxa"/>
            <w:vAlign w:val="center"/>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lang w:eastAsia="zh-CN"/>
              </w:rPr>
              <w:t>三</w:t>
            </w:r>
            <w:r>
              <w:rPr>
                <w:rFonts w:hint="eastAsia" w:ascii="宋体" w:hAnsi="宋体" w:cs="仿宋_GB2312"/>
                <w:color w:val="000000"/>
                <w:sz w:val="24"/>
                <w:szCs w:val="24"/>
                <w:shd w:val="clear" w:color="auto" w:fill="FFFFFF"/>
              </w:rPr>
              <w:t>年</w:t>
            </w:r>
          </w:p>
        </w:tc>
      </w:tr>
    </w:tbl>
    <w:p>
      <w:pPr>
        <w:widowControl/>
        <w:shd w:val="clear" w:color="auto" w:fill="FFFFFF"/>
        <w:spacing w:line="360" w:lineRule="auto"/>
        <w:contextualSpacing/>
        <w:jc w:val="left"/>
        <w:rPr>
          <w:rFonts w:ascii="宋体" w:hAnsi="宋体"/>
          <w:b/>
          <w:bCs/>
          <w:kern w:val="0"/>
          <w:sz w:val="24"/>
          <w:szCs w:val="24"/>
        </w:rPr>
      </w:pPr>
      <w:r>
        <w:rPr>
          <w:rFonts w:hint="eastAsia" w:ascii="宋体" w:hAnsi="宋体"/>
          <w:b/>
          <w:bCs/>
          <w:kern w:val="0"/>
          <w:sz w:val="24"/>
          <w:szCs w:val="24"/>
          <w:lang w:eastAsia="zh-CN"/>
        </w:rPr>
        <w:t>三、</w:t>
      </w:r>
      <w:r>
        <w:rPr>
          <w:rFonts w:hint="eastAsia" w:ascii="宋体" w:hAnsi="宋体"/>
          <w:b/>
          <w:bCs/>
          <w:kern w:val="0"/>
          <w:sz w:val="24"/>
          <w:szCs w:val="24"/>
        </w:rPr>
        <w:t>采购标的执行标准</w:t>
      </w:r>
      <w:r>
        <w:rPr>
          <w:rFonts w:hint="eastAsia" w:ascii="宋体" w:hAnsi="宋体"/>
          <w:b/>
          <w:bCs/>
          <w:kern w:val="0"/>
          <w:sz w:val="24"/>
          <w:szCs w:val="24"/>
        </w:rPr>
        <w:tab/>
      </w:r>
      <w:r>
        <w:rPr>
          <w:rFonts w:hint="eastAsia" w:ascii="宋体" w:hAnsi="宋体"/>
          <w:b/>
          <w:bCs/>
          <w:kern w:val="0"/>
          <w:sz w:val="24"/>
          <w:szCs w:val="24"/>
        </w:rPr>
        <w:t>无</w:t>
      </w:r>
    </w:p>
    <w:p>
      <w:pPr>
        <w:widowControl/>
        <w:shd w:val="clear" w:color="auto" w:fill="FFFFFF"/>
        <w:spacing w:line="360" w:lineRule="auto"/>
        <w:contextualSpacing/>
        <w:jc w:val="left"/>
        <w:rPr>
          <w:rFonts w:hint="eastAsia" w:ascii="宋体" w:hAnsi="宋体" w:eastAsia="宋体"/>
          <w:b/>
          <w:bCs/>
          <w:kern w:val="0"/>
          <w:sz w:val="24"/>
          <w:szCs w:val="24"/>
          <w:lang w:eastAsia="zh-CN"/>
        </w:rPr>
      </w:pPr>
      <w:r>
        <w:rPr>
          <w:rFonts w:hint="eastAsia" w:ascii="宋体" w:hAnsi="宋体"/>
          <w:b/>
          <w:bCs/>
          <w:kern w:val="0"/>
          <w:sz w:val="24"/>
          <w:szCs w:val="24"/>
          <w:lang w:eastAsia="zh-CN"/>
        </w:rPr>
        <w:t>四、</w:t>
      </w:r>
      <w:r>
        <w:rPr>
          <w:rFonts w:hint="eastAsia" w:ascii="宋体" w:hAnsi="宋体"/>
          <w:b/>
          <w:bCs/>
          <w:kern w:val="0"/>
          <w:sz w:val="24"/>
          <w:szCs w:val="24"/>
        </w:rPr>
        <w:t>服务标准、期限、效率等要求</w:t>
      </w:r>
      <w:r>
        <w:rPr>
          <w:rFonts w:hint="eastAsia" w:ascii="宋体" w:hAnsi="宋体"/>
          <w:b/>
          <w:bCs/>
          <w:kern w:val="0"/>
          <w:sz w:val="24"/>
          <w:szCs w:val="24"/>
          <w:lang w:eastAsia="zh-CN"/>
        </w:rPr>
        <w:t>：</w:t>
      </w:r>
    </w:p>
    <w:p>
      <w:pPr>
        <w:widowControl/>
        <w:shd w:val="clear" w:color="auto" w:fill="FFFFFF"/>
        <w:spacing w:line="360" w:lineRule="auto"/>
        <w:contextualSpacing/>
        <w:jc w:val="left"/>
        <w:rPr>
          <w:rFonts w:ascii="宋体" w:hAnsi="宋体"/>
          <w:bCs/>
          <w:kern w:val="0"/>
          <w:sz w:val="24"/>
          <w:szCs w:val="24"/>
        </w:rPr>
      </w:pPr>
      <w:r>
        <w:rPr>
          <w:rFonts w:hint="eastAsia" w:ascii="宋体" w:hAnsi="宋体"/>
          <w:bCs/>
          <w:kern w:val="0"/>
          <w:sz w:val="24"/>
          <w:szCs w:val="24"/>
        </w:rPr>
        <w:t>1、服务标准：按照《许昌市城乡一体化示范区政府购买中介机构服务管理暂行办法（试行）》执行</w:t>
      </w:r>
    </w:p>
    <w:p>
      <w:pPr>
        <w:widowControl/>
        <w:shd w:val="clear" w:color="auto" w:fill="FFFFFF"/>
        <w:spacing w:line="360" w:lineRule="auto"/>
        <w:contextualSpacing/>
        <w:jc w:val="left"/>
        <w:rPr>
          <w:rFonts w:ascii="宋体" w:hAnsi="宋体"/>
          <w:bCs/>
          <w:kern w:val="0"/>
          <w:sz w:val="24"/>
          <w:szCs w:val="24"/>
        </w:rPr>
      </w:pPr>
      <w:r>
        <w:rPr>
          <w:rFonts w:hint="eastAsia" w:ascii="宋体" w:hAnsi="宋体"/>
          <w:bCs/>
          <w:kern w:val="0"/>
          <w:sz w:val="24"/>
          <w:szCs w:val="24"/>
        </w:rPr>
        <w:t>2、服务期限：</w:t>
      </w:r>
      <w:r>
        <w:rPr>
          <w:rFonts w:hint="eastAsia" w:ascii="宋体" w:hAnsi="宋体"/>
          <w:bCs/>
          <w:kern w:val="0"/>
          <w:sz w:val="24"/>
          <w:szCs w:val="24"/>
          <w:lang w:eastAsia="zh-CN"/>
        </w:rPr>
        <w:t>三</w:t>
      </w:r>
      <w:r>
        <w:rPr>
          <w:rFonts w:hint="eastAsia" w:ascii="宋体" w:hAnsi="宋体"/>
          <w:bCs/>
          <w:kern w:val="0"/>
          <w:sz w:val="24"/>
          <w:szCs w:val="24"/>
        </w:rPr>
        <w:t>年</w:t>
      </w:r>
    </w:p>
    <w:p>
      <w:pPr>
        <w:widowControl/>
        <w:shd w:val="clear" w:color="auto" w:fill="FFFFFF"/>
        <w:spacing w:line="360" w:lineRule="auto"/>
        <w:contextualSpacing/>
        <w:jc w:val="left"/>
        <w:rPr>
          <w:rFonts w:ascii="宋体" w:hAnsi="宋体"/>
          <w:bCs/>
          <w:kern w:val="0"/>
          <w:sz w:val="24"/>
          <w:szCs w:val="24"/>
        </w:rPr>
      </w:pPr>
      <w:r>
        <w:rPr>
          <w:rFonts w:hint="eastAsia" w:ascii="宋体" w:hAnsi="宋体"/>
          <w:bCs/>
          <w:kern w:val="0"/>
          <w:sz w:val="24"/>
          <w:szCs w:val="24"/>
        </w:rPr>
        <w:t>3、效</w:t>
      </w:r>
      <w:r>
        <w:rPr>
          <w:rFonts w:hint="eastAsia" w:ascii="宋体" w:hAnsi="宋体"/>
          <w:bCs/>
          <w:kern w:val="0"/>
          <w:sz w:val="24"/>
          <w:szCs w:val="24"/>
          <w:lang w:val="en-US" w:eastAsia="zh-CN"/>
        </w:rPr>
        <w:t xml:space="preserve">    </w:t>
      </w:r>
      <w:r>
        <w:rPr>
          <w:rFonts w:hint="eastAsia" w:ascii="宋体" w:hAnsi="宋体"/>
          <w:bCs/>
          <w:kern w:val="0"/>
          <w:sz w:val="24"/>
          <w:szCs w:val="24"/>
        </w:rPr>
        <w:t>率：</w:t>
      </w:r>
      <w:r>
        <w:rPr>
          <w:rFonts w:hint="eastAsia" w:ascii="宋体" w:hAnsi="宋体"/>
          <w:bCs/>
          <w:color w:val="auto"/>
          <w:kern w:val="0"/>
          <w:sz w:val="24"/>
          <w:szCs w:val="24"/>
        </w:rPr>
        <w:t>根据投标人在投标文件中承诺的响应时间</w:t>
      </w:r>
    </w:p>
    <w:p>
      <w:pPr>
        <w:wordWrap w:val="0"/>
        <w:spacing w:line="360" w:lineRule="auto"/>
        <w:contextualSpacing/>
        <w:rPr>
          <w:rFonts w:asci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五、采购标的的其他技术、服务等要求</w:t>
      </w:r>
    </w:p>
    <w:p>
      <w:pPr>
        <w:widowControl/>
        <w:numPr>
          <w:ilvl w:val="0"/>
          <w:numId w:val="6"/>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对中标的中介机构服务单位管理遵循“管用分离，择优进库，随机抽取、综合评价、动态管理、绩效挂钩”的原则</w:t>
      </w:r>
      <w:r>
        <w:rPr>
          <w:rFonts w:hint="eastAsia" w:ascii="宋体" w:hAnsi="宋体" w:cs="宋体"/>
          <w:kern w:val="0"/>
          <w:sz w:val="24"/>
          <w:szCs w:val="24"/>
          <w:lang w:eastAsia="zh-CN"/>
        </w:rPr>
        <w:t>，</w:t>
      </w:r>
      <w:r>
        <w:rPr>
          <w:rFonts w:hint="eastAsia" w:ascii="宋体" w:hAnsi="宋体" w:cs="宋体"/>
          <w:kern w:val="0"/>
          <w:sz w:val="24"/>
          <w:szCs w:val="24"/>
        </w:rPr>
        <w:t>待有项目需要委托时，根据《办法》规定确定受委托单位。受委托单位被抽中后再与委托</w:t>
      </w:r>
      <w:r>
        <w:rPr>
          <w:rFonts w:hint="eastAsia"/>
          <w:sz w:val="24"/>
          <w:szCs w:val="24"/>
        </w:rPr>
        <w:t>人订立书面合同。受委托单位无正当理由拒签合同的，采购人取消其入库资格。并</w:t>
      </w:r>
      <w:r>
        <w:rPr>
          <w:rFonts w:hint="eastAsia" w:ascii="宋体" w:hAnsi="宋体" w:cs="宋体"/>
          <w:kern w:val="0"/>
          <w:sz w:val="24"/>
          <w:szCs w:val="24"/>
        </w:rPr>
        <w:t>为了确保资产评估项目和其他专项委托工作客观、公正，按照</w:t>
      </w:r>
      <w:r>
        <w:rPr>
          <w:rFonts w:hint="eastAsia" w:ascii="宋体" w:cs="宋体"/>
          <w:kern w:val="0"/>
          <w:sz w:val="24"/>
          <w:szCs w:val="24"/>
        </w:rPr>
        <w:t>“</w:t>
      </w:r>
      <w:r>
        <w:rPr>
          <w:rFonts w:hint="eastAsia" w:ascii="宋体" w:hAnsi="宋体" w:cs="宋体"/>
          <w:kern w:val="0"/>
          <w:sz w:val="24"/>
          <w:szCs w:val="24"/>
        </w:rPr>
        <w:t>谁使用、谁付费、谁评价</w:t>
      </w:r>
      <w:r>
        <w:rPr>
          <w:rFonts w:hint="eastAsia" w:ascii="宋体" w:cs="宋体"/>
          <w:kern w:val="0"/>
          <w:sz w:val="24"/>
          <w:szCs w:val="24"/>
        </w:rPr>
        <w:t>”</w:t>
      </w:r>
      <w:r>
        <w:rPr>
          <w:rFonts w:hint="eastAsia" w:ascii="宋体" w:hAnsi="宋体" w:cs="宋体"/>
          <w:kern w:val="0"/>
          <w:sz w:val="24"/>
          <w:szCs w:val="24"/>
        </w:rPr>
        <w:t>的原则，由委托单位向受委托单位拨付费用，受托单位不得向委托单位另行收取任何费用。</w:t>
      </w:r>
    </w:p>
    <w:p>
      <w:pPr>
        <w:widowControl/>
        <w:numPr>
          <w:ilvl w:val="0"/>
          <w:numId w:val="6"/>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其他服务要求：</w:t>
      </w:r>
    </w:p>
    <w:p>
      <w:pPr>
        <w:widowControl/>
        <w:numPr>
          <w:ilvl w:val="0"/>
          <w:numId w:val="7"/>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各中标资产评估服务机构在接受招标人委托的项目服务时，派出完成该项目的工作人员必须是在拟投入专业服务许昌项目团队名单中的资产评估师或土地估价师或注册房地产估价师为常驻人员，且能胜任项目评估及相关等工作。</w:t>
      </w:r>
    </w:p>
    <w:p>
      <w:pPr>
        <w:widowControl/>
        <w:numPr>
          <w:ilvl w:val="0"/>
          <w:numId w:val="7"/>
        </w:numPr>
        <w:spacing w:line="360" w:lineRule="auto"/>
        <w:ind w:firstLine="480" w:firstLineChars="200"/>
        <w:jc w:val="left"/>
        <w:rPr>
          <w:rFonts w:ascii="宋体" w:hAnsi="宋体" w:cs="宋体"/>
          <w:color w:val="auto"/>
          <w:kern w:val="0"/>
          <w:sz w:val="24"/>
          <w:szCs w:val="24"/>
        </w:rPr>
      </w:pPr>
      <w:r>
        <w:rPr>
          <w:rFonts w:hint="eastAsia" w:ascii="宋体" w:hAnsi="宋体" w:cs="宋体"/>
          <w:kern w:val="0"/>
          <w:sz w:val="24"/>
          <w:szCs w:val="24"/>
        </w:rPr>
        <w:t>入库的中介机构及其执业人员，应当按照委托合同约定，独立、客观、公正地履行职责，为委托单位和监管单位提供真实可</w:t>
      </w:r>
      <w:r>
        <w:rPr>
          <w:rFonts w:hint="eastAsia" w:ascii="宋体" w:hAnsi="宋体" w:cs="宋体"/>
          <w:color w:val="auto"/>
          <w:kern w:val="0"/>
          <w:sz w:val="24"/>
          <w:szCs w:val="24"/>
        </w:rPr>
        <w:t>靠的业务报告，未经</w:t>
      </w:r>
      <w:r>
        <w:rPr>
          <w:rFonts w:hint="eastAsia" w:ascii="宋体" w:hAnsi="宋体" w:eastAsia="宋体" w:cs="宋体"/>
          <w:color w:val="auto"/>
          <w:kern w:val="0"/>
          <w:sz w:val="24"/>
          <w:szCs w:val="24"/>
          <w:lang w:val="zh-CN" w:eastAsia="zh-CN" w:bidi="ar-SA"/>
        </w:rPr>
        <w:t>许昌市城乡一体化示范区财政局</w:t>
      </w:r>
      <w:r>
        <w:rPr>
          <w:rFonts w:hint="eastAsia" w:ascii="宋体" w:hAnsi="宋体" w:cs="宋体"/>
          <w:color w:val="auto"/>
          <w:kern w:val="0"/>
          <w:sz w:val="24"/>
          <w:szCs w:val="24"/>
        </w:rPr>
        <w:t>同意，不得将受托业务分包或转托于其他任何中介机构。</w:t>
      </w:r>
    </w:p>
    <w:p>
      <w:pPr>
        <w:bidi w:val="0"/>
        <w:rPr>
          <w:rFonts w:hint="default" w:ascii="宋体" w:hAnsi="宋体" w:cs="宋体"/>
          <w:kern w:val="0"/>
          <w:sz w:val="24"/>
          <w:szCs w:val="24"/>
          <w:lang w:val="en-US" w:eastAsia="zh-CN"/>
        </w:rPr>
      </w:pPr>
      <w:r>
        <w:rPr>
          <w:rFonts w:hint="eastAsia"/>
          <w:lang w:val="en-US" w:eastAsia="zh-CN"/>
        </w:rPr>
        <w:t xml:space="preserve">    </w:t>
      </w:r>
      <w:r>
        <w:rPr>
          <w:rFonts w:hint="eastAsia" w:ascii="宋体" w:hAnsi="宋体" w:cs="宋体"/>
          <w:kern w:val="0"/>
          <w:sz w:val="24"/>
          <w:szCs w:val="24"/>
          <w:lang w:val="en-US" w:eastAsia="zh-CN"/>
        </w:rPr>
        <w:t>（3）投标人须在许昌地区设有固定办公场所和常驻人员（须提供相关证明材料）。</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ascii="宋体" w:hAnsi="宋体" w:cs="微软雅黑"/>
          <w:b/>
          <w:sz w:val="24"/>
          <w:szCs w:val="24"/>
        </w:rPr>
        <w:t>★</w:t>
      </w:r>
      <w:r>
        <w:rPr>
          <w:rFonts w:hint="eastAsia" w:ascii="宋体" w:hAnsi="宋体" w:cs="微软雅黑"/>
          <w:b/>
          <w:sz w:val="24"/>
          <w:szCs w:val="24"/>
          <w:lang w:eastAsia="zh-CN"/>
        </w:rPr>
        <w:t>六</w:t>
      </w:r>
      <w:r>
        <w:rPr>
          <w:rFonts w:hint="eastAsia" w:ascii="宋体" w:hAnsi="宋体" w:cs="宋体"/>
          <w:b/>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bCs/>
          <w:kern w:val="0"/>
          <w:sz w:val="24"/>
          <w:szCs w:val="24"/>
          <w:lang w:val="zh-CN" w:eastAsia="zh-CN"/>
        </w:rPr>
      </w:pPr>
      <w:r>
        <w:rPr>
          <w:rFonts w:hint="eastAsia" w:ascii="宋体" w:hAnsi="宋体"/>
          <w:bCs/>
          <w:kern w:val="0"/>
          <w:sz w:val="24"/>
          <w:szCs w:val="24"/>
          <w:lang w:val="zh-CN" w:eastAsia="zh-CN"/>
        </w:rPr>
        <w:t>1、根据《许昌市城乡一体化示范区政府购买中介机构服务管理暂行办法（试行）》规定的“谁使用、谁付费、谁评价”的原则，委托人在服务项目结束后一周内，按照合同约定的服务项目及标准，对受托中介机构服务质量进行履约验收评价，填写《服务质量评价表》送交许昌市城乡一体化示范区财政局备案。</w:t>
      </w:r>
    </w:p>
    <w:p>
      <w:pPr>
        <w:pStyle w:val="17"/>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2、按照招标文件要求、投标文件响应和承诺验收。</w:t>
      </w:r>
    </w:p>
    <w:p>
      <w:pPr>
        <w:pStyle w:val="17"/>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 xml:space="preserve">3、符合国家的法律、法规和评估的行业规范以及评估有关的制度、规章和规定等。 </w:t>
      </w:r>
    </w:p>
    <w:p>
      <w:pPr>
        <w:widowControl/>
        <w:shd w:val="clear" w:color="auto" w:fill="FFFFFF"/>
        <w:spacing w:line="360" w:lineRule="auto"/>
        <w:ind w:firstLine="482" w:firstLineChars="200"/>
        <w:contextualSpacing/>
        <w:jc w:val="left"/>
        <w:rPr>
          <w:rFonts w:ascii="宋体" w:cs="宋体"/>
          <w:b/>
          <w:kern w:val="0"/>
          <w:sz w:val="24"/>
          <w:szCs w:val="24"/>
          <w:lang w:val="zh-CN"/>
        </w:rPr>
      </w:pPr>
      <w:r>
        <w:rPr>
          <w:rFonts w:hint="eastAsia" w:ascii="宋体" w:hAnsi="宋体" w:cs="微软雅黑"/>
          <w:b/>
          <w:sz w:val="24"/>
          <w:szCs w:val="24"/>
          <w:lang w:eastAsia="zh-CN"/>
        </w:rPr>
        <w:t>七</w:t>
      </w:r>
      <w:r>
        <w:rPr>
          <w:rFonts w:hint="eastAsia" w:ascii="宋体" w:hAnsi="宋体" w:cs="宋体"/>
          <w:b/>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双方根据</w:t>
      </w:r>
      <w:r>
        <w:rPr>
          <w:rFonts w:hint="eastAsia" w:ascii="宋体" w:hAnsi="宋体" w:cs="宋体"/>
          <w:kern w:val="0"/>
          <w:sz w:val="24"/>
          <w:szCs w:val="24"/>
          <w:lang w:eastAsia="zh-CN"/>
        </w:rPr>
        <w:t>规定“</w:t>
      </w:r>
      <w:r>
        <w:rPr>
          <w:rFonts w:hint="eastAsia" w:ascii="宋体" w:hAnsi="宋体" w:cs="宋体"/>
          <w:kern w:val="0"/>
          <w:sz w:val="24"/>
          <w:szCs w:val="24"/>
        </w:rPr>
        <w:t>资产评估类业务委托以目前市场费率50%</w:t>
      </w:r>
      <w:r>
        <w:rPr>
          <w:rFonts w:hint="eastAsia" w:ascii="宋体" w:hAnsi="宋体" w:cs="宋体"/>
          <w:kern w:val="0"/>
          <w:sz w:val="24"/>
          <w:szCs w:val="24"/>
          <w:lang w:eastAsia="zh-CN"/>
        </w:rPr>
        <w:t>”</w:t>
      </w:r>
      <w:r>
        <w:rPr>
          <w:rFonts w:hint="eastAsia" w:ascii="宋体" w:hAnsi="宋体" w:cs="宋体"/>
          <w:kern w:val="0"/>
          <w:sz w:val="24"/>
          <w:szCs w:val="24"/>
        </w:rPr>
        <w:t>为投标上限及“谁使用、谁付费、谁评价”的原则，中标供应商完成委托项目由委托人向其付费，付费方式由双方另行约定。</w:t>
      </w:r>
    </w:p>
    <w:p>
      <w:pPr>
        <w:widowControl/>
        <w:shd w:val="clear" w:color="auto" w:fill="FFFFFF"/>
        <w:spacing w:line="360" w:lineRule="auto"/>
        <w:ind w:firstLine="482" w:firstLineChars="200"/>
        <w:contextualSpacing/>
        <w:jc w:val="left"/>
        <w:rPr>
          <w:rFonts w:hint="eastAsia" w:ascii="宋体" w:hAnsi="宋体" w:eastAsia="宋体" w:cs="宋体"/>
          <w:kern w:val="0"/>
          <w:sz w:val="24"/>
          <w:szCs w:val="24"/>
          <w:lang w:eastAsia="zh-CN"/>
        </w:rPr>
      </w:pPr>
      <w:r>
        <w:rPr>
          <w:rFonts w:hint="eastAsia" w:ascii="宋体" w:hAnsi="宋体" w:cs="宋体"/>
          <w:b/>
          <w:bCs/>
          <w:kern w:val="0"/>
          <w:sz w:val="24"/>
          <w:szCs w:val="24"/>
          <w:lang w:eastAsia="zh-CN"/>
        </w:rPr>
        <w:t>注：市场费率</w:t>
      </w:r>
      <w:r>
        <w:rPr>
          <w:rFonts w:hint="eastAsia" w:ascii="宋体" w:hAnsi="宋体" w:eastAsia="宋体" w:cs="宋体"/>
          <w:b/>
          <w:bCs/>
          <w:sz w:val="24"/>
          <w:lang w:val="en-US" w:eastAsia="zh-CN"/>
        </w:rPr>
        <w:t>参照《评估收费标准【2009】199号》执行</w:t>
      </w:r>
      <w:r>
        <w:rPr>
          <w:rFonts w:hint="eastAsia" w:ascii="宋体" w:hAnsi="宋体" w:cs="宋体"/>
          <w:b/>
          <w:bCs/>
          <w:sz w:val="24"/>
          <w:lang w:val="en-US" w:eastAsia="zh-CN"/>
        </w:rPr>
        <w:t>，文件详见附件。</w:t>
      </w:r>
    </w:p>
    <w:p>
      <w:pPr>
        <w:adjustRightInd w:val="0"/>
        <w:snapToGrid w:val="0"/>
        <w:spacing w:line="360" w:lineRule="auto"/>
        <w:ind w:firstLine="482" w:firstLineChars="200"/>
        <w:jc w:val="left"/>
        <w:rPr>
          <w:rFonts w:ascii="宋体" w:hAnsi="宋体" w:cs="宋体"/>
          <w:kern w:val="0"/>
          <w:sz w:val="24"/>
          <w:szCs w:val="24"/>
          <w:lang w:val="zh-CN"/>
        </w:rPr>
      </w:pPr>
      <w:r>
        <w:rPr>
          <w:rFonts w:hint="eastAsia" w:ascii="宋体" w:hAnsi="宋体" w:cs="宋体"/>
          <w:b/>
          <w:kern w:val="0"/>
          <w:sz w:val="24"/>
          <w:szCs w:val="24"/>
          <w:lang w:val="zh-CN"/>
        </w:rPr>
        <w:t>八、其他要求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w:t>
      </w:r>
      <w:r>
        <w:rPr>
          <w:rFonts w:hint="eastAsia" w:ascii="宋体" w:cs="宋体"/>
          <w:b/>
          <w:sz w:val="24"/>
          <w:lang w:val="zh-CN"/>
        </w:rPr>
        <w:t>本项目招标文件中加★项为不允许偏离的实质性要求和条件，无加</w:t>
      </w:r>
      <w:r>
        <w:rPr>
          <w:rFonts w:hint="eastAsia" w:ascii="宋体" w:hAnsi="宋体" w:cs="微软雅黑"/>
          <w:b/>
          <w:sz w:val="24"/>
          <w:szCs w:val="24"/>
        </w:rPr>
        <w:t>★</w:t>
      </w:r>
      <w:r>
        <w:rPr>
          <w:rFonts w:hint="eastAsia" w:ascii="宋体" w:cs="宋体"/>
          <w:b/>
          <w:sz w:val="24"/>
          <w:lang w:val="zh-CN"/>
        </w:rPr>
        <w:t>的视为不允许负偏离。（如果有的话）</w:t>
      </w:r>
    </w:p>
    <w:p>
      <w:pPr>
        <w:autoSpaceDE w:val="0"/>
        <w:autoSpaceDN w:val="0"/>
        <w:adjustRightInd w:val="0"/>
        <w:spacing w:line="360" w:lineRule="auto"/>
        <w:ind w:firstLine="480" w:firstLineChars="200"/>
        <w:rPr>
          <w:rFonts w:ascii="宋体" w:cs="宋体"/>
          <w:b/>
          <w:sz w:val="24"/>
          <w:lang w:val="zh-CN"/>
        </w:rPr>
      </w:pPr>
      <w:r>
        <w:rPr>
          <w:rFonts w:hint="eastAsia" w:ascii="宋体" w:cs="宋体"/>
          <w:sz w:val="24"/>
          <w:lang w:val="zh-CN"/>
        </w:rPr>
        <w:t>3、投标文件中须有详细的实施（技术）方案，</w:t>
      </w:r>
      <w:r>
        <w:rPr>
          <w:rFonts w:hint="eastAsia" w:ascii="宋体" w:cs="宋体"/>
          <w:b/>
          <w:sz w:val="24"/>
          <w:lang w:val="zh-CN"/>
        </w:rPr>
        <w:t>否则为无效投标。</w:t>
      </w: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招标文件中凡标有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000000" w:themeColor="text1"/>
                <w:sz w:val="24"/>
                <w:szCs w:val="24"/>
              </w:rPr>
            </w:pPr>
            <w:r>
              <w:rPr>
                <w:rFonts w:hint="eastAsia" w:ascii="宋体" w:hAnsi="宋体" w:cs="仿宋_GB2312"/>
                <w:b/>
                <w:color w:val="000000" w:themeColor="text1"/>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000000" w:themeColor="text1"/>
                <w:sz w:val="24"/>
                <w:szCs w:val="24"/>
              </w:rPr>
            </w:pPr>
            <w:r>
              <w:rPr>
                <w:rFonts w:hint="eastAsia" w:ascii="宋体" w:hAnsi="宋体" w:cs="仿宋_GB2312"/>
                <w:b/>
                <w:color w:val="000000" w:themeColor="text1"/>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000000" w:themeColor="text1"/>
                <w:sz w:val="24"/>
                <w:szCs w:val="24"/>
              </w:rPr>
            </w:pPr>
            <w:r>
              <w:rPr>
                <w:rFonts w:hint="eastAsia" w:ascii="宋体" w:hAnsi="宋体" w:cs="仿宋_GB2312"/>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1</w:t>
            </w:r>
          </w:p>
        </w:tc>
        <w:tc>
          <w:tcPr>
            <w:tcW w:w="2268"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采购项目</w:t>
            </w:r>
          </w:p>
        </w:tc>
        <w:tc>
          <w:tcPr>
            <w:tcW w:w="6813" w:type="dxa"/>
          </w:tcPr>
          <w:p>
            <w:pPr>
              <w:autoSpaceDE w:val="0"/>
              <w:autoSpaceDN w:val="0"/>
              <w:adjustRightInd w:val="0"/>
              <w:spacing w:line="360" w:lineRule="auto"/>
              <w:jc w:val="left"/>
              <w:rPr>
                <w:rFonts w:hint="eastAsia" w:ascii="宋体" w:hAnsi="宋体" w:cs="仿宋_GB2312"/>
                <w:color w:val="000000" w:themeColor="text1"/>
                <w:sz w:val="24"/>
                <w:szCs w:val="24"/>
                <w:lang w:eastAsia="zh-CN"/>
              </w:rPr>
            </w:pPr>
            <w:r>
              <w:rPr>
                <w:rFonts w:hint="eastAsia" w:ascii="宋体" w:hAnsi="宋体" w:cs="仿宋_GB2312"/>
                <w:color w:val="000000" w:themeColor="text1"/>
                <w:sz w:val="24"/>
                <w:szCs w:val="24"/>
              </w:rPr>
              <w:t>项目名称：</w:t>
            </w:r>
            <w:r>
              <w:rPr>
                <w:rFonts w:hint="eastAsia" w:ascii="宋体" w:hAnsi="宋体" w:cs="仿宋_GB2312"/>
                <w:color w:val="000000" w:themeColor="text1"/>
                <w:sz w:val="24"/>
                <w:szCs w:val="24"/>
                <w:lang w:eastAsia="zh-CN"/>
              </w:rPr>
              <w:t>许昌市城乡一体化示范区财政局选聘资产评估机构备选库项目</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项目编号：JZFCG-G2019</w:t>
            </w:r>
            <w:r>
              <w:rPr>
                <w:rFonts w:hint="eastAsia" w:ascii="宋体" w:hAnsi="宋体" w:cs="仿宋_GB2312"/>
                <w:color w:val="000000" w:themeColor="text1"/>
                <w:sz w:val="24"/>
                <w:szCs w:val="24"/>
                <w:lang w:val="en-US" w:eastAsia="zh-CN"/>
              </w:rPr>
              <w:t>045</w:t>
            </w:r>
            <w:r>
              <w:rPr>
                <w:rFonts w:hint="eastAsia" w:ascii="宋体" w:hAnsi="宋体" w:cs="仿宋_GB2312"/>
                <w:color w:val="000000" w:themeColor="text1"/>
                <w:sz w:val="24"/>
                <w:szCs w:val="24"/>
              </w:rPr>
              <w:t xml:space="preserve">号 </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项目内容：许昌市城乡一体化示范区财政局选聘20家资产评估机构建立中介机构服务备选库。</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806"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2</w:t>
            </w:r>
          </w:p>
        </w:tc>
        <w:tc>
          <w:tcPr>
            <w:tcW w:w="2268"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名称：许昌市城乡一体化示范区财政局</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地址：许昌市建安区芙蓉大道与永兴东路交叉口6号</w:t>
            </w:r>
          </w:p>
          <w:p>
            <w:pPr>
              <w:autoSpaceDE w:val="0"/>
              <w:autoSpaceDN w:val="0"/>
              <w:adjustRightInd w:val="0"/>
              <w:spacing w:line="360" w:lineRule="auto"/>
              <w:rPr>
                <w:rFonts w:hint="eastAsia" w:ascii="宋体" w:hAnsi="宋体" w:cs="仿宋_GB2312"/>
                <w:color w:val="000000" w:themeColor="text1"/>
                <w:sz w:val="24"/>
                <w:szCs w:val="24"/>
              </w:rPr>
            </w:pPr>
            <w:r>
              <w:rPr>
                <w:rFonts w:hint="eastAsia" w:ascii="宋体" w:hAnsi="宋体" w:cs="仿宋_GB2312"/>
                <w:color w:val="000000" w:themeColor="text1"/>
                <w:sz w:val="24"/>
                <w:szCs w:val="24"/>
              </w:rPr>
              <w:t>联系人：</w:t>
            </w:r>
            <w:r>
              <w:rPr>
                <w:rFonts w:hint="eastAsia" w:ascii="宋体" w:hAnsi="宋体" w:cs="仿宋_GB2312"/>
                <w:color w:val="000000" w:themeColor="text1"/>
                <w:sz w:val="24"/>
                <w:szCs w:val="24"/>
                <w:lang w:eastAsia="zh-CN"/>
              </w:rPr>
              <w:t>马女士</w:t>
            </w:r>
            <w:r>
              <w:rPr>
                <w:rFonts w:hint="eastAsia" w:ascii="宋体" w:hAnsi="宋体" w:cs="仿宋_GB2312"/>
                <w:color w:val="000000" w:themeColor="text1"/>
                <w:sz w:val="24"/>
                <w:szCs w:val="24"/>
              </w:rPr>
              <w:t xml:space="preserve">      联系电话：</w:t>
            </w:r>
            <w:r>
              <w:rPr>
                <w:rFonts w:hint="eastAsia" w:ascii="宋体" w:hAnsi="宋体" w:cs="仿宋_GB2312"/>
                <w:color w:val="000000" w:themeColor="text1"/>
                <w:sz w:val="24"/>
                <w:szCs w:val="24"/>
                <w:lang w:val="en-US" w:eastAsia="zh-CN"/>
              </w:rPr>
              <w:t>0374-3372668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代理机构：永明项目管理有限公司</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地 址：河南省许昌市瑞贝卡和天下</w:t>
            </w:r>
          </w:p>
          <w:p>
            <w:pPr>
              <w:autoSpaceDE w:val="0"/>
              <w:autoSpaceDN w:val="0"/>
              <w:adjustRightInd w:val="0"/>
              <w:spacing w:line="360" w:lineRule="auto"/>
              <w:jc w:val="left"/>
              <w:rPr>
                <w:rFonts w:ascii="宋体" w:hAnsi="宋体" w:cs="仿宋_GB2312"/>
                <w:color w:val="000000" w:themeColor="text1"/>
                <w:sz w:val="24"/>
                <w:szCs w:val="24"/>
              </w:rPr>
            </w:pPr>
            <w:r>
              <w:rPr>
                <w:rFonts w:hint="eastAsia" w:ascii="宋体" w:hAnsi="宋体" w:cs="仿宋_GB2312"/>
                <w:color w:val="000000" w:themeColor="text1"/>
                <w:sz w:val="24"/>
                <w:szCs w:val="24"/>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微软雅黑"/>
                <w:b/>
                <w:color w:val="000000" w:themeColor="text1"/>
                <w:sz w:val="24"/>
                <w:szCs w:val="24"/>
              </w:rPr>
              <w:t>★</w:t>
            </w:r>
            <w:r>
              <w:rPr>
                <w:rFonts w:hint="eastAsia" w:ascii="宋体" w:hAnsi="宋体" w:cs="仿宋_GB2312"/>
                <w:color w:val="000000" w:themeColor="text1"/>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一、</w:t>
            </w:r>
            <w:r>
              <w:rPr>
                <w:rFonts w:ascii="宋体" w:hAnsi="宋体" w:cs="宋体"/>
                <w:b/>
                <w:bCs/>
                <w:color w:val="000000" w:themeColor="text1"/>
                <w:sz w:val="24"/>
                <w:szCs w:val="24"/>
                <w:lang w:val="zh-CN"/>
              </w:rPr>
              <w:t>法人或者其他组织的营业执照等证明文件，自然人的身份证明</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1、企业法人营业执照或营业执照</w:t>
            </w:r>
            <w:r>
              <w:rPr>
                <w:rFonts w:hint="eastAsia" w:ascii="宋体" w:hAnsi="宋体"/>
                <w:bCs/>
                <w:color w:val="000000" w:themeColor="text1"/>
                <w:sz w:val="24"/>
                <w:szCs w:val="24"/>
              </w:rPr>
              <w:t>（分公司的营业执照需有独立法人）。</w:t>
            </w:r>
            <w:r>
              <w:rPr>
                <w:rFonts w:hint="eastAsia" w:ascii="宋体" w:hAnsi="宋体" w:cs="宋体"/>
                <w:bCs/>
                <w:color w:val="000000" w:themeColor="text1"/>
                <w:sz w:val="24"/>
                <w:szCs w:val="24"/>
                <w:lang w:val="zh-CN"/>
              </w:rPr>
              <w:t>（企业投标提供）</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4、个体工商户营业执照。（个体工商户投标提供）</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5、自然人身份证明。（自然人投标提供）</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bCs/>
                <w:color w:val="000000" w:themeColor="text1"/>
                <w:sz w:val="24"/>
                <w:szCs w:val="24"/>
              </w:rPr>
              <w:t>（或三证合一或五证合一）</w:t>
            </w:r>
          </w:p>
          <w:p>
            <w:pPr>
              <w:autoSpaceDE w:val="0"/>
              <w:autoSpaceDN w:val="0"/>
              <w:adjustRightInd w:val="0"/>
              <w:spacing w:line="360" w:lineRule="auto"/>
              <w:jc w:val="left"/>
              <w:rPr>
                <w:rFonts w:ascii="宋体" w:hAnsi="宋体" w:cs="仿宋_GB2312"/>
                <w:b/>
                <w:color w:val="000000" w:themeColor="text1"/>
                <w:sz w:val="24"/>
                <w:szCs w:val="24"/>
              </w:rPr>
            </w:pPr>
            <w:r>
              <w:rPr>
                <w:rFonts w:hint="eastAsia" w:ascii="宋体" w:hAnsi="宋体" w:cs="仿宋_GB2312"/>
                <w:b/>
                <w:color w:val="000000" w:themeColor="text1"/>
                <w:sz w:val="24"/>
                <w:szCs w:val="24"/>
              </w:rPr>
              <w:t>二、财务状况报告相关材料</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仿宋_GB2312"/>
                <w:color w:val="000000" w:themeColor="text1"/>
                <w:sz w:val="24"/>
                <w:szCs w:val="24"/>
              </w:rPr>
              <w:t>1、第三方审计机构出具的201</w:t>
            </w:r>
            <w:r>
              <w:rPr>
                <w:rFonts w:hint="eastAsia" w:ascii="宋体" w:hAnsi="宋体" w:cs="仿宋_GB2312"/>
                <w:color w:val="000000" w:themeColor="text1"/>
                <w:sz w:val="24"/>
                <w:szCs w:val="24"/>
                <w:lang w:val="en-US" w:eastAsia="zh-CN"/>
              </w:rPr>
              <w:t>8</w:t>
            </w:r>
            <w:r>
              <w:rPr>
                <w:rFonts w:hint="eastAsia" w:ascii="宋体" w:hAnsi="宋体" w:cs="仿宋_GB2312"/>
                <w:color w:val="000000" w:themeColor="text1"/>
                <w:sz w:val="24"/>
                <w:szCs w:val="24"/>
              </w:rPr>
              <w:t>年度经审计的财务报告</w:t>
            </w:r>
            <w:r>
              <w:rPr>
                <w:rFonts w:hint="eastAsia" w:ascii="宋体" w:hAnsi="宋体" w:cs="宋体"/>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仿宋_GB2312"/>
                <w:color w:val="000000" w:themeColor="text1"/>
                <w:sz w:val="24"/>
                <w:szCs w:val="24"/>
              </w:rPr>
              <w:t>2、</w:t>
            </w:r>
            <w:r>
              <w:rPr>
                <w:rFonts w:hint="eastAsia" w:ascii="宋体" w:hAnsi="宋体" w:cs="宋体"/>
                <w:bCs/>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themeColor="text1"/>
                <w:sz w:val="24"/>
                <w:szCs w:val="24"/>
              </w:rPr>
            </w:pPr>
            <w:r>
              <w:rPr>
                <w:rFonts w:hint="eastAsia" w:ascii="宋体" w:hAnsi="宋体" w:cs="仿宋_GB2312"/>
                <w:b/>
                <w:color w:val="000000" w:themeColor="text1"/>
                <w:sz w:val="24"/>
                <w:szCs w:val="24"/>
              </w:rPr>
              <w:t>三、依法缴纳税收相关材料</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税务登记证和投标截止时间前</w:t>
            </w:r>
            <w:r>
              <w:rPr>
                <w:rFonts w:hint="eastAsia" w:ascii="宋体" w:hAnsi="宋体" w:cs="宋体"/>
                <w:bCs/>
                <w:color w:val="000000" w:themeColor="text1"/>
                <w:sz w:val="24"/>
                <w:szCs w:val="24"/>
              </w:rPr>
              <w:t>201</w:t>
            </w:r>
            <w:r>
              <w:rPr>
                <w:rFonts w:hint="eastAsia" w:ascii="宋体" w:hAnsi="宋体" w:cs="宋体"/>
                <w:bCs/>
                <w:color w:val="000000" w:themeColor="text1"/>
                <w:sz w:val="24"/>
                <w:szCs w:val="24"/>
                <w:lang w:val="en-US" w:eastAsia="zh-CN"/>
              </w:rPr>
              <w:t>9</w:t>
            </w:r>
            <w:r>
              <w:rPr>
                <w:rFonts w:hint="eastAsia" w:ascii="宋体" w:hAnsi="宋体" w:cs="宋体"/>
                <w:bCs/>
                <w:color w:val="000000" w:themeColor="text1"/>
                <w:sz w:val="24"/>
                <w:szCs w:val="24"/>
              </w:rPr>
              <w:t>年</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lang w:val="zh-CN"/>
              </w:rPr>
              <w:t>月至</w:t>
            </w:r>
            <w:r>
              <w:rPr>
                <w:rFonts w:hint="eastAsia" w:ascii="宋体" w:hAnsi="宋体" w:cs="宋体"/>
                <w:bCs/>
                <w:color w:val="000000" w:themeColor="text1"/>
                <w:sz w:val="24"/>
                <w:szCs w:val="24"/>
                <w:lang w:val="en-US" w:eastAsia="zh-CN"/>
              </w:rPr>
              <w:t>4</w:t>
            </w:r>
            <w:r>
              <w:rPr>
                <w:rFonts w:hint="eastAsia" w:ascii="宋体" w:hAnsi="宋体" w:cs="宋体"/>
                <w:bCs/>
                <w:color w:val="000000" w:themeColor="text1"/>
                <w:sz w:val="24"/>
                <w:szCs w:val="24"/>
                <w:lang w:val="zh-CN"/>
              </w:rPr>
              <w:t>月三个月的缴纳税收凭据。（依法免税的投标人，应提供相应文件证明依法免税）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四、依法缴纳社会保障资金的证明材料</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投标截止时间前201</w:t>
            </w:r>
            <w:r>
              <w:rPr>
                <w:rFonts w:hint="eastAsia" w:ascii="宋体" w:hAnsi="宋体" w:cs="宋体"/>
                <w:bCs/>
                <w:color w:val="000000" w:themeColor="text1"/>
                <w:sz w:val="24"/>
                <w:szCs w:val="24"/>
                <w:lang w:val="en-US" w:eastAsia="zh-CN"/>
              </w:rPr>
              <w:t>9</w:t>
            </w:r>
            <w:r>
              <w:rPr>
                <w:rFonts w:hint="eastAsia" w:ascii="宋体" w:hAnsi="宋体" w:cs="宋体"/>
                <w:bCs/>
                <w:color w:val="000000" w:themeColor="text1"/>
                <w:sz w:val="24"/>
                <w:szCs w:val="24"/>
                <w:lang w:val="zh-CN"/>
              </w:rPr>
              <w:t>年</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lang w:val="zh-CN"/>
              </w:rPr>
              <w:t>月至</w:t>
            </w:r>
            <w:r>
              <w:rPr>
                <w:rFonts w:hint="eastAsia" w:ascii="宋体" w:hAnsi="宋体" w:cs="宋体"/>
                <w:bCs/>
                <w:color w:val="000000" w:themeColor="text1"/>
                <w:sz w:val="24"/>
                <w:szCs w:val="24"/>
                <w:lang w:val="en-US" w:eastAsia="zh-CN"/>
              </w:rPr>
              <w:t>4</w:t>
            </w:r>
            <w:r>
              <w:rPr>
                <w:rFonts w:hint="eastAsia" w:ascii="宋体" w:hAnsi="宋体" w:cs="宋体"/>
                <w:bCs/>
                <w:color w:val="000000" w:themeColor="text1"/>
                <w:sz w:val="24"/>
                <w:szCs w:val="24"/>
                <w:lang w:val="zh-CN"/>
              </w:rPr>
              <w:t>月三个月的缴纳社会保险凭据。（依法不需要缴纳社会保障资金的投标人，应提供相应文件证明依法不需要缴纳社会保障资金）</w:t>
            </w:r>
          </w:p>
          <w:p>
            <w:pPr>
              <w:numPr>
                <w:ilvl w:val="0"/>
                <w:numId w:val="8"/>
              </w:numPr>
              <w:autoSpaceDE w:val="0"/>
              <w:autoSpaceDN w:val="0"/>
              <w:adjustRightInd w:val="0"/>
              <w:spacing w:line="360" w:lineRule="auto"/>
              <w:ind w:right="-11"/>
              <w:rPr>
                <w:rFonts w:ascii="宋体" w:hAnsi="宋体"/>
                <w:b/>
                <w:bCs/>
                <w:color w:val="000000" w:themeColor="text1"/>
                <w:sz w:val="24"/>
                <w:szCs w:val="24"/>
              </w:rPr>
            </w:pPr>
            <w:r>
              <w:rPr>
                <w:rFonts w:hint="eastAsia" w:ascii="宋体" w:hAnsi="宋体"/>
                <w:b/>
                <w:bCs/>
                <w:color w:val="000000" w:themeColor="text1"/>
                <w:sz w:val="24"/>
                <w:szCs w:val="24"/>
              </w:rPr>
              <w:t>投标人其他资格要求（提供原件）</w:t>
            </w:r>
          </w:p>
          <w:p>
            <w:pPr>
              <w:autoSpaceDE w:val="0"/>
              <w:autoSpaceDN w:val="0"/>
              <w:adjustRightInd w:val="0"/>
              <w:spacing w:line="360" w:lineRule="auto"/>
              <w:ind w:right="-11"/>
              <w:rPr>
                <w:rFonts w:hint="eastAsia" w:ascii="宋体" w:hAnsi="宋体" w:cs="宋体"/>
                <w:bCs/>
                <w:color w:val="000000" w:themeColor="text1"/>
                <w:kern w:val="0"/>
                <w:sz w:val="24"/>
                <w:szCs w:val="24"/>
              </w:rPr>
            </w:pPr>
            <w:r>
              <w:rPr>
                <w:rFonts w:hint="eastAsia" w:ascii="宋体" w:hAnsi="宋体" w:cs="宋体"/>
                <w:bCs/>
                <w:color w:val="000000" w:themeColor="text1"/>
                <w:kern w:val="0"/>
                <w:sz w:val="24"/>
                <w:szCs w:val="24"/>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pPr>
              <w:autoSpaceDE w:val="0"/>
              <w:autoSpaceDN w:val="0"/>
              <w:adjustRightInd w:val="0"/>
              <w:spacing w:line="360" w:lineRule="auto"/>
              <w:ind w:right="-11"/>
              <w:rPr>
                <w:rFonts w:hint="eastAsia" w:ascii="宋体" w:hAnsi="宋体" w:cs="宋体"/>
                <w:b/>
                <w:color w:val="000000" w:themeColor="text1"/>
                <w:kern w:val="0"/>
                <w:sz w:val="24"/>
                <w:szCs w:val="24"/>
                <w:lang w:val="zh-CN" w:eastAsia="zh-CN"/>
              </w:rPr>
            </w:pPr>
            <w:r>
              <w:rPr>
                <w:rFonts w:hint="eastAsia" w:ascii="宋体" w:hAnsi="宋体" w:cs="宋体"/>
                <w:b/>
                <w:color w:val="000000" w:themeColor="text1"/>
                <w:kern w:val="0"/>
                <w:sz w:val="24"/>
                <w:szCs w:val="24"/>
                <w:lang w:val="zh-CN" w:eastAsia="zh-CN"/>
              </w:rPr>
              <w:t>六、履行合同所必须的设备和专业技术能力的证明材料（提供原件）</w:t>
            </w:r>
          </w:p>
          <w:p>
            <w:pPr>
              <w:autoSpaceDE w:val="0"/>
              <w:autoSpaceDN w:val="0"/>
              <w:adjustRightInd w:val="0"/>
              <w:spacing w:line="360" w:lineRule="auto"/>
              <w:ind w:right="-11"/>
              <w:rPr>
                <w:color w:val="000000" w:themeColor="text1"/>
              </w:rPr>
            </w:pPr>
            <w:r>
              <w:rPr>
                <w:rFonts w:hint="eastAsia" w:ascii="宋体" w:hAnsi="宋体" w:cs="宋体"/>
                <w:bCs/>
                <w:color w:val="000000" w:themeColor="text1"/>
                <w:kern w:val="0"/>
                <w:sz w:val="24"/>
                <w:szCs w:val="24"/>
                <w:lang w:val="zh-CN"/>
              </w:rPr>
              <w:t>专业技术人员职称证书、用工合同等或者附投标人相关承诺函或声明。</w:t>
            </w:r>
          </w:p>
          <w:p>
            <w:pPr>
              <w:autoSpaceDE w:val="0"/>
              <w:autoSpaceDN w:val="0"/>
              <w:adjustRightInd w:val="0"/>
              <w:spacing w:line="360" w:lineRule="auto"/>
              <w:ind w:right="-11"/>
              <w:rPr>
                <w:rFonts w:ascii="宋体" w:hAnsi="宋体" w:cs="宋体"/>
                <w:b/>
                <w:bCs/>
                <w:color w:val="000000" w:themeColor="text1"/>
                <w:sz w:val="24"/>
                <w:szCs w:val="24"/>
                <w:lang w:val="zh-CN"/>
              </w:rPr>
            </w:pPr>
            <w:r>
              <w:rPr>
                <w:rFonts w:hint="eastAsia" w:ascii="宋体" w:hAnsi="宋体" w:cs="宋体"/>
                <w:b/>
                <w:color w:val="000000" w:themeColor="text1"/>
                <w:kern w:val="0"/>
                <w:sz w:val="24"/>
                <w:szCs w:val="24"/>
                <w:lang w:eastAsia="zh-CN"/>
              </w:rPr>
              <w:t>七</w:t>
            </w:r>
            <w:r>
              <w:rPr>
                <w:rFonts w:hint="eastAsia" w:ascii="宋体" w:hAnsi="宋体" w:cs="宋体"/>
                <w:b/>
                <w:color w:val="000000" w:themeColor="text1"/>
                <w:kern w:val="0"/>
                <w:sz w:val="24"/>
                <w:szCs w:val="24"/>
              </w:rPr>
              <w:t>、</w:t>
            </w:r>
            <w:r>
              <w:rPr>
                <w:rFonts w:ascii="宋体" w:hAnsi="宋体" w:cs="宋体"/>
                <w:b/>
                <w:bCs/>
                <w:color w:val="000000" w:themeColor="text1"/>
                <w:sz w:val="24"/>
                <w:szCs w:val="24"/>
                <w:lang w:val="zh-CN"/>
              </w:rPr>
              <w:t>参加政府采购活动前3年内在经营活动中没有重大违法记录的声明</w:t>
            </w:r>
            <w:r>
              <w:rPr>
                <w:rFonts w:hint="eastAsia" w:ascii="宋体" w:hAnsi="宋体"/>
                <w:b/>
                <w:bCs/>
                <w:color w:val="000000" w:themeColor="text1"/>
                <w:sz w:val="24"/>
                <w:szCs w:val="24"/>
              </w:rPr>
              <w:t>（提供原件）</w:t>
            </w:r>
          </w:p>
          <w:p>
            <w:pPr>
              <w:autoSpaceDE w:val="0"/>
              <w:autoSpaceDN w:val="0"/>
              <w:spacing w:line="360" w:lineRule="auto"/>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投标人“</w:t>
            </w:r>
            <w:r>
              <w:rPr>
                <w:rFonts w:ascii="宋体" w:hAnsi="宋体" w:cs="宋体"/>
                <w:bCs/>
                <w:color w:val="000000" w:themeColor="text1"/>
                <w:sz w:val="24"/>
                <w:szCs w:val="24"/>
                <w:lang w:val="zh-CN"/>
              </w:rPr>
              <w:t>参加政府采购活动前3年内在经营活动中没有重大违法记录的书面声明</w:t>
            </w:r>
            <w:r>
              <w:rPr>
                <w:rFonts w:hint="eastAsia" w:ascii="宋体" w:hAnsi="宋体" w:cs="宋体"/>
                <w:bCs/>
                <w:color w:val="000000" w:themeColor="text1"/>
                <w:sz w:val="24"/>
                <w:szCs w:val="24"/>
                <w:lang w:val="zh-CN"/>
              </w:rPr>
              <w:t>”。 重大违法记录，是指投标人因违法经营受到刑事处罚或者责令停产停业、吊销许可证或者执照、较大数额罚款等行政处罚。</w:t>
            </w:r>
          </w:p>
          <w:p>
            <w:pPr>
              <w:pStyle w:val="17"/>
              <w:widowControl/>
              <w:shd w:val="clear" w:color="auto" w:fill="FFFFFF"/>
              <w:spacing w:line="360" w:lineRule="auto"/>
              <w:contextualSpacing/>
              <w:jc w:val="left"/>
              <w:rPr>
                <w:rFonts w:ascii="宋体" w:hAnsi="宋体" w:cs="宋体"/>
                <w:b/>
                <w:color w:val="000000" w:themeColor="text1"/>
                <w:kern w:val="0"/>
              </w:rPr>
            </w:pPr>
            <w:r>
              <w:rPr>
                <w:rFonts w:hint="eastAsia" w:ascii="宋体" w:hAnsi="宋体" w:cs="宋体"/>
                <w:b/>
                <w:color w:val="000000" w:themeColor="text1"/>
                <w:kern w:val="0"/>
                <w:lang w:eastAsia="zh-CN"/>
              </w:rPr>
              <w:t>八</w:t>
            </w:r>
            <w:r>
              <w:rPr>
                <w:rFonts w:hint="eastAsia" w:ascii="宋体" w:hAnsi="宋体" w:cs="宋体"/>
                <w:b/>
                <w:color w:val="000000" w:themeColor="text1"/>
                <w:kern w:val="0"/>
              </w:rPr>
              <w:t>、未被列入“信用中国”网站</w:t>
            </w:r>
            <w:r>
              <w:rPr>
                <w:rFonts w:ascii="宋体" w:hAnsi="宋体" w:cs="宋体"/>
                <w:b/>
                <w:color w:val="000000" w:themeColor="text1"/>
                <w:kern w:val="0"/>
              </w:rPr>
              <w:t>(www.creditchina.gov.cn)</w:t>
            </w:r>
            <w:r>
              <w:rPr>
                <w:rFonts w:hint="eastAsia" w:ascii="宋体" w:hAnsi="宋体" w:cs="宋体"/>
                <w:b/>
                <w:color w:val="000000" w:themeColor="text1"/>
                <w:kern w:val="0"/>
              </w:rPr>
              <w:t>失信被执行人、重大税收违法案件当事人名单、政府采购严重违法失信名单的投标人；“中国政府采购网”</w:t>
            </w:r>
            <w:r>
              <w:rPr>
                <w:rFonts w:ascii="宋体" w:hAnsi="宋体" w:cs="宋体"/>
                <w:b/>
                <w:color w:val="000000" w:themeColor="text1"/>
                <w:kern w:val="0"/>
              </w:rPr>
              <w:t xml:space="preserve"> (www.ccgp.gov.cn)</w:t>
            </w:r>
            <w:r>
              <w:rPr>
                <w:rFonts w:hint="eastAsia" w:ascii="宋体" w:hAnsi="宋体" w:cs="宋体"/>
                <w:b/>
                <w:color w:val="000000" w:themeColor="text1"/>
                <w:kern w:val="0"/>
              </w:rPr>
              <w:t>政府采购严重违法失信行为记录名单的投标人；“国家企业信用公示系统”网站（</w:t>
            </w:r>
            <w:r>
              <w:rPr>
                <w:rFonts w:ascii="宋体" w:hAnsi="宋体" w:cs="宋体"/>
                <w:b/>
                <w:color w:val="000000" w:themeColor="text1"/>
                <w:kern w:val="0"/>
              </w:rPr>
              <w:t>www.gsxt.gov.cn</w:t>
            </w:r>
            <w:r>
              <w:rPr>
                <w:rFonts w:hint="eastAsia" w:ascii="宋体" w:hAnsi="宋体" w:cs="宋体"/>
                <w:b/>
                <w:color w:val="000000" w:themeColor="text1"/>
                <w:kern w:val="0"/>
              </w:rPr>
              <w:t>）严重违法失信企业名单（黑名单）的投标人(本项目投标截止时间前三年内投标人信用记录情况)</w:t>
            </w:r>
            <w:r>
              <w:rPr>
                <w:rFonts w:hint="eastAsia" w:ascii="宋体" w:hAnsi="宋体" w:cs="仿宋_GB2312"/>
                <w:b/>
                <w:color w:val="000000" w:themeColor="text1"/>
                <w:shd w:val="clear" w:color="auto" w:fill="FFFFFF"/>
              </w:rPr>
              <w:t xml:space="preserve"> 【截图加盖投标人公章】</w:t>
            </w:r>
          </w:p>
          <w:p>
            <w:pPr>
              <w:autoSpaceDE w:val="0"/>
              <w:autoSpaceDN w:val="0"/>
              <w:spacing w:line="360" w:lineRule="auto"/>
              <w:contextualSpacing/>
              <w:rPr>
                <w:rFonts w:ascii="宋体" w:hAnsi="宋体" w:cs="宋体"/>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、查询渠道：“信用中国”网站（</w:t>
            </w:r>
            <w:r>
              <w:rPr>
                <w:rFonts w:ascii="宋体" w:hAnsi="宋体" w:cs="宋体"/>
                <w:color w:val="000000" w:themeColor="text1"/>
                <w:kern w:val="0"/>
                <w:sz w:val="24"/>
                <w:szCs w:val="24"/>
              </w:rPr>
              <w:t>www.creditchina.gov.cn</w:t>
            </w:r>
            <w:r>
              <w:rPr>
                <w:rFonts w:hint="eastAsia" w:ascii="宋体" w:hAnsi="宋体" w:cs="宋体"/>
                <w:color w:val="000000" w:themeColor="text1"/>
                <w:kern w:val="0"/>
                <w:sz w:val="24"/>
                <w:szCs w:val="24"/>
              </w:rPr>
              <w:t>）和“中国政府采购网”（</w:t>
            </w:r>
            <w:r>
              <w:rPr>
                <w:rFonts w:ascii="宋体" w:hAnsi="宋体" w:cs="宋体"/>
                <w:color w:val="000000" w:themeColor="text1"/>
                <w:kern w:val="0"/>
                <w:sz w:val="24"/>
                <w:szCs w:val="24"/>
              </w:rPr>
              <w:t>www.ccgp.gov.cn</w:t>
            </w:r>
            <w:r>
              <w:rPr>
                <w:rFonts w:hint="eastAsia" w:ascii="宋体" w:hAnsi="宋体" w:cs="宋体"/>
                <w:color w:val="000000" w:themeColor="text1"/>
                <w:kern w:val="0"/>
                <w:sz w:val="24"/>
                <w:szCs w:val="24"/>
              </w:rPr>
              <w:t>）；“国家企业信用公示系统”网站（</w:t>
            </w:r>
            <w:r>
              <w:rPr>
                <w:rFonts w:ascii="宋体" w:hAnsi="宋体" w:cs="宋体"/>
                <w:color w:val="000000" w:themeColor="text1"/>
                <w:kern w:val="0"/>
                <w:sz w:val="24"/>
                <w:szCs w:val="24"/>
              </w:rPr>
              <w:t>www.gsxt.gov.cn</w:t>
            </w:r>
            <w:r>
              <w:rPr>
                <w:rFonts w:hint="eastAsia" w:ascii="宋体" w:hAnsi="宋体" w:cs="宋体"/>
                <w:color w:val="000000" w:themeColor="text1"/>
                <w:kern w:val="0"/>
                <w:sz w:val="24"/>
                <w:szCs w:val="24"/>
              </w:rPr>
              <w:t>）；</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2、截止时间：同投标截止时间；</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themeColor="text1"/>
                <w:kern w:val="0"/>
                <w:sz w:val="24"/>
                <w:szCs w:val="24"/>
              </w:rPr>
            </w:pPr>
            <w:r>
              <w:rPr>
                <w:rFonts w:ascii="宋体" w:hAnsi="宋体" w:cs="宋体"/>
                <w:color w:val="000000" w:themeColor="text1"/>
                <w:kern w:val="0"/>
                <w:sz w:val="24"/>
                <w:szCs w:val="24"/>
              </w:rPr>
              <w:t>4</w:t>
            </w:r>
            <w:r>
              <w:rPr>
                <w:rFonts w:hint="eastAsia" w:ascii="宋体" w:hAnsi="宋体" w:cs="宋体"/>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仿宋_GB2312"/>
                <w:color w:val="000000" w:themeColor="text1"/>
                <w:sz w:val="24"/>
                <w:szCs w:val="24"/>
              </w:rPr>
            </w:pPr>
            <w:r>
              <w:rPr>
                <w:rFonts w:hint="eastAsia" w:ascii="宋体" w:hAnsi="宋体" w:cs="宋体"/>
                <w:b/>
                <w:bCs/>
                <w:color w:val="000000" w:themeColor="text1"/>
                <w:kern w:val="0"/>
                <w:sz w:val="24"/>
                <w:szCs w:val="24"/>
                <w:lang w:eastAsia="zh-CN"/>
              </w:rPr>
              <w:t>九</w:t>
            </w:r>
            <w:r>
              <w:rPr>
                <w:rFonts w:hint="eastAsia" w:ascii="宋体" w:hAnsi="宋体" w:cs="宋体"/>
                <w:b/>
                <w:bCs/>
                <w:color w:val="000000" w:themeColor="text1"/>
                <w:kern w:val="0"/>
                <w:sz w:val="24"/>
                <w:szCs w:val="24"/>
              </w:rPr>
              <w:t>、投标人提供的反商业贿赂承诺书</w:t>
            </w:r>
            <w:r>
              <w:rPr>
                <w:rFonts w:hint="eastAsia" w:ascii="宋体" w:hAnsi="宋体"/>
                <w:b/>
                <w:bCs/>
                <w:color w:val="000000" w:themeColor="text1"/>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hint="eastAsia" w:ascii="宋体" w:hAnsi="宋体" w:cs="微软雅黑"/>
                <w:b/>
                <w:color w:val="000000" w:themeColor="text1"/>
                <w:sz w:val="24"/>
                <w:szCs w:val="24"/>
              </w:rPr>
              <w:t>★</w:t>
            </w:r>
            <w:r>
              <w:rPr>
                <w:rFonts w:hint="eastAsia" w:ascii="宋体" w:hAnsi="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本项目无报价要求，因此无最高限价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现场考察</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不组织   □组织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不召开</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color w:val="000000" w:themeColor="text1"/>
                <w:sz w:val="24"/>
                <w:szCs w:val="24"/>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微软雅黑"/>
                <w:b/>
                <w:color w:val="000000" w:themeColor="text1"/>
                <w:sz w:val="24"/>
                <w:szCs w:val="24"/>
              </w:rPr>
              <w:t>★</w:t>
            </w:r>
            <w:r>
              <w:rPr>
                <w:rFonts w:hint="eastAsia" w:ascii="宋体" w:hAnsi="宋体" w:cs="仿宋_GB2312"/>
                <w:color w:val="000000" w:themeColor="text1"/>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000000" w:themeColor="text1"/>
                <w:sz w:val="24"/>
                <w:szCs w:val="24"/>
              </w:rPr>
            </w:pPr>
            <w:r>
              <w:rPr>
                <w:rFonts w:hint="eastAsia" w:ascii="宋体" w:hAnsi="宋体" w:cs="仿宋_GB2312"/>
                <w:color w:val="000000" w:themeColor="text1"/>
                <w:sz w:val="24"/>
                <w:szCs w:val="24"/>
              </w:rPr>
              <w:t>60天（自</w:t>
            </w:r>
            <w:r>
              <w:rPr>
                <w:rFonts w:hint="eastAsia" w:ascii="宋体" w:hAnsi="宋体" w:cs="宋体"/>
                <w:color w:val="000000" w:themeColor="text1"/>
                <w:kern w:val="0"/>
                <w:sz w:val="24"/>
                <w:szCs w:val="24"/>
              </w:rPr>
              <w:t>提交投标文件的截止之日起算</w:t>
            </w:r>
            <w:r>
              <w:rPr>
                <w:rFonts w:hint="eastAsia" w:ascii="宋体" w:hAnsi="宋体" w:cs="仿宋_GB2312"/>
                <w:color w:val="000000" w:themeColor="text1"/>
                <w:sz w:val="24"/>
                <w:szCs w:val="24"/>
              </w:rPr>
              <w:t>）</w:t>
            </w:r>
          </w:p>
          <w:p>
            <w:pPr>
              <w:autoSpaceDE w:val="0"/>
              <w:autoSpaceDN w:val="0"/>
              <w:adjustRightInd w:val="0"/>
              <w:spacing w:line="360" w:lineRule="auto"/>
              <w:rPr>
                <w:rFonts w:ascii="宋体" w:hAnsi="宋体" w:cs="仿宋_GB2312"/>
                <w:color w:val="000000" w:themeColor="text1"/>
                <w:sz w:val="24"/>
                <w:szCs w:val="24"/>
              </w:rPr>
            </w:pPr>
            <w:r>
              <w:rPr>
                <w:rFonts w:ascii="宋体" w:hAnsi="宋体" w:cs="仿宋_GB2312"/>
                <w:color w:val="000000" w:themeColor="text1"/>
                <w:sz w:val="24"/>
                <w:szCs w:val="24"/>
                <w:lang w:val="zh-CN"/>
              </w:rPr>
              <w:t>中标</w:t>
            </w:r>
            <w:r>
              <w:rPr>
                <w:rFonts w:hint="eastAsia" w:ascii="宋体" w:hAnsi="宋体" w:cs="仿宋_GB2312"/>
                <w:color w:val="000000" w:themeColor="text1"/>
                <w:sz w:val="24"/>
                <w:szCs w:val="24"/>
                <w:lang w:val="zh-CN"/>
              </w:rPr>
              <w:t>人投标</w:t>
            </w:r>
            <w:r>
              <w:rPr>
                <w:rFonts w:ascii="宋体" w:hAnsi="宋体" w:cs="仿宋_GB2312"/>
                <w:color w:val="000000" w:themeColor="text1"/>
                <w:sz w:val="24"/>
                <w:szCs w:val="24"/>
                <w:lang w:val="zh-CN"/>
              </w:rPr>
              <w:t>有效期延</w:t>
            </w:r>
            <w:r>
              <w:rPr>
                <w:rFonts w:hint="eastAsia" w:ascii="宋体" w:hAnsi="宋体" w:cs="仿宋_GB2312"/>
                <w:color w:val="000000" w:themeColor="text1"/>
                <w:sz w:val="24"/>
                <w:szCs w:val="24"/>
                <w:lang w:val="zh-CN"/>
              </w:rPr>
              <w:t>至合同</w:t>
            </w:r>
            <w:r>
              <w:rPr>
                <w:rFonts w:ascii="宋体" w:hAnsi="宋体" w:cs="仿宋_GB2312"/>
                <w:color w:val="000000" w:themeColor="text1"/>
                <w:sz w:val="24"/>
                <w:szCs w:val="24"/>
                <w:lang w:val="zh-CN"/>
              </w:rPr>
              <w:t>验收之日</w:t>
            </w:r>
            <w:r>
              <w:rPr>
                <w:rFonts w:hint="eastAsia" w:ascii="宋体" w:hAnsi="宋体" w:cs="仿宋_GB2312"/>
                <w:color w:val="000000" w:themeColor="text1"/>
                <w:sz w:val="24"/>
                <w:szCs w:val="24"/>
                <w:lang w:val="zh-CN"/>
              </w:rPr>
              <w:t>，</w:t>
            </w:r>
            <w:r>
              <w:rPr>
                <w:rFonts w:hint="eastAsia" w:ascii="宋体" w:hAnsi="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微软雅黑"/>
                <w:b/>
                <w:color w:val="000000" w:themeColor="text1"/>
                <w:sz w:val="24"/>
                <w:szCs w:val="24"/>
              </w:rPr>
              <w:t>★</w:t>
            </w:r>
            <w:r>
              <w:rPr>
                <w:rFonts w:ascii="宋体" w:hAnsi="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宋体"/>
                <w:bCs/>
                <w:color w:val="000000" w:themeColor="text1"/>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000000" w:themeColor="text1"/>
                <w:sz w:val="24"/>
                <w:szCs w:val="24"/>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仿宋_GB2312"/>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u w:val="single"/>
                <w:lang w:val="en-US" w:eastAsia="zh-CN"/>
              </w:rPr>
              <w:t>2019</w:t>
            </w:r>
            <w:r>
              <w:rPr>
                <w:rFonts w:hint="eastAsia" w:ascii="宋体" w:hAnsi="宋体" w:cs="宋体"/>
                <w:bCs/>
                <w:color w:val="000000" w:themeColor="text1"/>
                <w:sz w:val="24"/>
                <w:szCs w:val="24"/>
                <w:lang w:val="zh-CN"/>
              </w:rPr>
              <w:t>年</w:t>
            </w:r>
            <w:r>
              <w:rPr>
                <w:rFonts w:hint="eastAsia" w:ascii="宋体" w:hAnsi="宋体" w:cs="宋体"/>
                <w:bCs/>
                <w:color w:val="000000" w:themeColor="text1"/>
                <w:sz w:val="24"/>
                <w:szCs w:val="24"/>
                <w:u w:val="single"/>
                <w:lang w:val="en-US" w:eastAsia="zh-CN"/>
              </w:rPr>
              <w:t>6</w:t>
            </w:r>
            <w:r>
              <w:rPr>
                <w:rFonts w:hint="eastAsia" w:ascii="宋体" w:hAnsi="宋体" w:cs="宋体"/>
                <w:bCs/>
                <w:color w:val="000000" w:themeColor="text1"/>
                <w:sz w:val="24"/>
                <w:szCs w:val="24"/>
                <w:lang w:val="zh-CN"/>
              </w:rPr>
              <w:t>月</w:t>
            </w:r>
            <w:r>
              <w:rPr>
                <w:rFonts w:hint="eastAsia" w:ascii="宋体" w:hAnsi="宋体" w:cs="宋体"/>
                <w:bCs/>
                <w:color w:val="000000" w:themeColor="text1"/>
                <w:sz w:val="24"/>
                <w:szCs w:val="24"/>
                <w:u w:val="single"/>
                <w:lang w:val="en-US" w:eastAsia="zh-CN"/>
              </w:rPr>
              <w:t>14</w:t>
            </w:r>
            <w:r>
              <w:rPr>
                <w:rFonts w:hint="eastAsia" w:ascii="宋体" w:hAnsi="宋体" w:cs="宋体"/>
                <w:bCs/>
                <w:color w:val="000000" w:themeColor="text1"/>
                <w:sz w:val="24"/>
                <w:szCs w:val="24"/>
                <w:lang w:val="zh-CN"/>
              </w:rPr>
              <w:t>日</w:t>
            </w:r>
            <w:r>
              <w:rPr>
                <w:rFonts w:hint="eastAsia" w:ascii="宋体" w:hAnsi="宋体" w:cs="宋体"/>
                <w:bCs/>
                <w:color w:val="000000" w:themeColor="text1"/>
                <w:sz w:val="24"/>
                <w:szCs w:val="24"/>
                <w:u w:val="single"/>
                <w:lang w:val="en-US" w:eastAsia="zh-CN"/>
              </w:rPr>
              <w:t>08</w:t>
            </w:r>
            <w:r>
              <w:rPr>
                <w:rFonts w:hint="eastAsia" w:ascii="宋体" w:hAnsi="宋体" w:cs="宋体"/>
                <w:bCs/>
                <w:color w:val="000000" w:themeColor="text1"/>
                <w:sz w:val="24"/>
                <w:szCs w:val="24"/>
                <w:lang w:val="zh-CN"/>
              </w:rPr>
              <w:t>时</w:t>
            </w:r>
            <w:r>
              <w:rPr>
                <w:rFonts w:hint="eastAsia" w:ascii="宋体" w:hAnsi="宋体" w:cs="宋体"/>
                <w:bCs/>
                <w:color w:val="000000" w:themeColor="text1"/>
                <w:sz w:val="24"/>
                <w:szCs w:val="24"/>
                <w:u w:val="single"/>
                <w:lang w:val="en-US" w:eastAsia="zh-CN"/>
              </w:rPr>
              <w:t>30</w:t>
            </w:r>
            <w:r>
              <w:rPr>
                <w:rFonts w:hint="eastAsia" w:ascii="宋体" w:hAnsi="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递交投标文件</w:t>
            </w:r>
          </w:p>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许昌市公共资源交易中心三楼开标</w:t>
            </w:r>
            <w:r>
              <w:rPr>
                <w:rFonts w:hint="eastAsia" w:ascii="宋体" w:hAnsi="宋体" w:cs="宋体"/>
                <w:bCs/>
                <w:color w:val="000000" w:themeColor="text1"/>
                <w:sz w:val="24"/>
                <w:szCs w:val="24"/>
                <w:u w:val="single"/>
              </w:rPr>
              <w:t xml:space="preserve"> </w:t>
            </w:r>
            <w:r>
              <w:rPr>
                <w:rFonts w:hint="eastAsia" w:ascii="宋体" w:hAnsi="宋体" w:cs="宋体"/>
                <w:bCs/>
                <w:color w:val="000000" w:themeColor="text1"/>
                <w:sz w:val="24"/>
                <w:szCs w:val="24"/>
                <w:u w:val="single"/>
                <w:lang w:eastAsia="zh-CN"/>
              </w:rPr>
              <w:t>四</w:t>
            </w:r>
            <w:r>
              <w:rPr>
                <w:rFonts w:hint="eastAsia" w:ascii="宋体" w:hAnsi="宋体" w:cs="宋体"/>
                <w:bCs/>
                <w:color w:val="000000" w:themeColor="text1"/>
                <w:sz w:val="24"/>
                <w:szCs w:val="24"/>
                <w:lang w:val="zh-CN"/>
              </w:rPr>
              <w:t>室（</w:t>
            </w:r>
            <w:r>
              <w:rPr>
                <w:rFonts w:ascii="宋体" w:hAnsi="宋体" w:cs="宋体"/>
                <w:bCs/>
                <w:color w:val="000000" w:themeColor="text1"/>
                <w:sz w:val="24"/>
                <w:szCs w:val="24"/>
                <w:lang w:val="zh-CN"/>
              </w:rPr>
              <w:t>龙兴路与竹林路交汇处</w:t>
            </w:r>
            <w:r>
              <w:rPr>
                <w:rFonts w:hint="eastAsia" w:ascii="宋体" w:hAnsi="宋体" w:cs="宋体"/>
                <w:bCs/>
                <w:color w:val="000000" w:themeColor="text1"/>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rPr>
              <w:t>人民币：</w:t>
            </w:r>
            <w:r>
              <w:rPr>
                <w:rFonts w:hint="eastAsia" w:ascii="宋体" w:hAnsi="宋体" w:cs="仿宋_GB2312"/>
                <w:color w:val="000000" w:themeColor="text1"/>
                <w:sz w:val="24"/>
                <w:szCs w:val="24"/>
                <w:u w:val="single"/>
                <w:lang w:val="zh-CN"/>
              </w:rPr>
              <w:t>伍仟元整</w:t>
            </w:r>
            <w:r>
              <w:rPr>
                <w:rFonts w:hint="eastAsia" w:ascii="宋体" w:hAnsi="宋体" w:cs="仿宋_GB2312"/>
                <w:color w:val="000000" w:themeColor="text1"/>
                <w:sz w:val="24"/>
                <w:szCs w:val="24"/>
              </w:rPr>
              <w:t>（小写：¥</w:t>
            </w:r>
            <w:r>
              <w:rPr>
                <w:rFonts w:hint="eastAsia" w:ascii="宋体" w:hAnsi="宋体" w:cs="仿宋_GB2312"/>
                <w:color w:val="000000" w:themeColor="text1"/>
                <w:sz w:val="24"/>
                <w:szCs w:val="24"/>
                <w:u w:val="single"/>
              </w:rPr>
              <w:t>5000.00</w:t>
            </w:r>
            <w:r>
              <w:rPr>
                <w:rFonts w:hint="eastAsia" w:ascii="宋体" w:hAnsi="宋体" w:cs="仿宋_GB2312"/>
                <w:color w:val="000000" w:themeColor="text1"/>
                <w:sz w:val="24"/>
                <w:szCs w:val="24"/>
              </w:rPr>
              <w:t>元）</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1、投标人网上下载招标文件后，登录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ascii="宋体" w:hAnsi="宋体" w:cs="仿宋_GB2312"/>
                <w:color w:val="000000" w:themeColor="text1"/>
                <w:sz w:val="24"/>
                <w:szCs w:val="24"/>
                <w:lang w:val="zh-CN"/>
              </w:rPr>
              <w:t>http://221.14.6.70:8088/ggzy</w:t>
            </w:r>
            <w:r>
              <w:rPr>
                <w:rFonts w:hint="eastAsia" w:ascii="宋体" w:hAnsi="宋体" w:cs="仿宋_GB2312"/>
                <w:color w:val="000000" w:themeColor="text1"/>
                <w:sz w:val="24"/>
                <w:szCs w:val="24"/>
                <w:lang w:val="zh-CN"/>
              </w:rPr>
              <w:fldChar w:fldCharType="end"/>
            </w:r>
            <w:r>
              <w:rPr>
                <w:rFonts w:hint="eastAsia" w:ascii="宋体" w:hAnsi="宋体" w:cs="仿宋_GB2312"/>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16</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s="仿宋_GB2312"/>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投标截止时间15日前（</w:t>
            </w:r>
            <w:r>
              <w:rPr>
                <w:rFonts w:hint="eastAsia" w:ascii="宋体" w:hAnsi="宋体" w:cs="仿宋_GB2312"/>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17</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18</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 w:val="24"/>
                <w:szCs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电子投标文件：成功上传至《全国公共资源交易平台（河南省·许昌市）》公共资源交易系统加密电子投标文件1份</w:t>
            </w:r>
            <w:r>
              <w:rPr>
                <w:rFonts w:hint="eastAsia" w:hAnsi="宋体" w:cs="宋体"/>
                <w:color w:val="000000" w:themeColor="text1"/>
                <w:sz w:val="24"/>
                <w:lang w:val="zh-CN"/>
              </w:rPr>
              <w:t>（文件格式为： XXX公司XXX项目编号.file）。</w:t>
            </w:r>
            <w:r>
              <w:rPr>
                <w:rFonts w:hint="eastAsia" w:ascii="新宋体" w:hAnsi="新宋体" w:eastAsia="新宋体"/>
                <w:color w:val="000000" w:themeColor="text1"/>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000000" w:themeColor="text1"/>
                <w:sz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纸质投标文件：</w:t>
            </w:r>
            <w:r>
              <w:rPr>
                <w:rFonts w:hint="eastAsia" w:ascii="宋体" w:hAnsi="宋体" w:cs="仿宋_GB2312"/>
                <w:color w:val="000000" w:themeColor="text1"/>
                <w:sz w:val="24"/>
                <w:szCs w:val="24"/>
              </w:rPr>
              <w:t>正本</w:t>
            </w:r>
            <w:r>
              <w:rPr>
                <w:rFonts w:hint="eastAsia" w:ascii="宋体" w:hAnsi="宋体" w:cs="仿宋_GB2312"/>
                <w:b/>
                <w:color w:val="000000" w:themeColor="text1"/>
                <w:sz w:val="24"/>
                <w:szCs w:val="24"/>
              </w:rPr>
              <w:t>一</w:t>
            </w:r>
            <w:r>
              <w:rPr>
                <w:rFonts w:hint="eastAsia" w:ascii="宋体" w:hAnsi="宋体" w:cs="仿宋_GB2312"/>
                <w:color w:val="000000" w:themeColor="text1"/>
                <w:sz w:val="24"/>
                <w:szCs w:val="24"/>
              </w:rPr>
              <w:t>份，副本一份。使用</w:t>
            </w:r>
            <w:r>
              <w:rPr>
                <w:rFonts w:hint="eastAsia" w:ascii="新宋体" w:hAnsi="新宋体" w:eastAsia="新宋体"/>
                <w:color w:val="000000" w:themeColor="text1"/>
                <w:sz w:val="24"/>
              </w:rPr>
              <w:t>格式为“投标文件（供打印）.PDF”的文件</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新宋体" w:hAnsi="新宋体" w:eastAsia="新宋体"/>
                <w:color w:val="000000" w:themeColor="text1"/>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投标文件的</w:t>
            </w:r>
          </w:p>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000000" w:themeColor="text1"/>
                <w:sz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电子投标文件：按招标文件要求加盖电子印章和法人电子印章。</w:t>
            </w:r>
          </w:p>
          <w:p>
            <w:pPr>
              <w:autoSpaceDE w:val="0"/>
              <w:autoSpaceDN w:val="0"/>
              <w:adjustRightInd w:val="0"/>
              <w:spacing w:line="420" w:lineRule="exact"/>
              <w:rPr>
                <w:rFonts w:ascii="宋体" w:hAnsi="宋体" w:cs="仿宋_GB2312"/>
                <w:color w:val="000000" w:themeColor="text1"/>
                <w:sz w:val="24"/>
                <w:szCs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纸质投标文件：投标文件封面加盖投标人公章（投标文件是指投标人电子投标文件制作完成后生成的后缀名为</w:t>
            </w:r>
            <w:r>
              <w:rPr>
                <w:rFonts w:hint="eastAsia" w:hAnsi="宋体"/>
                <w:color w:val="000000" w:themeColor="text1"/>
                <w:sz w:val="24"/>
                <w:szCs w:val="24"/>
              </w:rPr>
              <w:t>“.PDF”的文件</w:t>
            </w:r>
            <w:r>
              <w:rPr>
                <w:rFonts w:hint="eastAsia" w:ascii="新宋体" w:hAnsi="新宋体" w:eastAsia="新宋体"/>
                <w:color w:val="000000" w:themeColor="text1"/>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themeColor="text1"/>
                <w:sz w:val="24"/>
                <w:szCs w:val="24"/>
              </w:rPr>
            </w:pPr>
            <w:r>
              <w:rPr>
                <w:rFonts w:hint="eastAsia" w:ascii="宋体" w:hAnsi="宋体" w:cs="TimesNewRomanPSMT"/>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000000" w:themeColor="text1"/>
                <w:sz w:val="24"/>
                <w:szCs w:val="24"/>
              </w:rPr>
            </w:pPr>
            <w:r>
              <w:rPr>
                <w:rFonts w:hint="eastAsia" w:ascii="宋体" w:hAnsi="宋体"/>
                <w:color w:val="000000" w:themeColor="text1"/>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仿宋_GB2312"/>
                <w:color w:val="000000" w:themeColor="text1"/>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仿宋_GB2312"/>
                <w:color w:val="000000" w:themeColor="text1"/>
                <w:sz w:val="24"/>
                <w:szCs w:val="24"/>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综合评分法</w:t>
            </w:r>
            <w:r>
              <w:rPr>
                <w:rFonts w:hint="eastAsia" w:ascii="宋体" w:hAnsi="宋体" w:cs="宋体"/>
                <w:b/>
                <w:bCs/>
                <w:color w:val="000000" w:themeColor="text1"/>
                <w:sz w:val="24"/>
                <w:szCs w:val="24"/>
                <w:lang w:val="zh-CN"/>
              </w:rPr>
              <w:t>□</w:t>
            </w:r>
            <w:r>
              <w:rPr>
                <w:rFonts w:hint="eastAsia" w:ascii="宋体" w:hAnsi="宋体" w:cs="仿宋_GB2312"/>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仿宋_GB2312"/>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无要求</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代理服务费</w:t>
            </w:r>
          </w:p>
        </w:tc>
        <w:tc>
          <w:tcPr>
            <w:tcW w:w="6813" w:type="dxa"/>
            <w:vAlign w:val="center"/>
          </w:tcPr>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中标人在领取中标通知书前，应向招标代理人缴纳招标代理服务费</w:t>
            </w:r>
            <w:r>
              <w:rPr>
                <w:rFonts w:hint="eastAsia" w:ascii="宋体" w:hAnsi="宋体" w:cs="宋体"/>
                <w:bCs/>
                <w:color w:val="000000" w:themeColor="text1"/>
                <w:sz w:val="24"/>
                <w:szCs w:val="24"/>
                <w:lang w:val="en-US" w:eastAsia="zh-CN"/>
              </w:rPr>
              <w:t>5000元</w:t>
            </w:r>
            <w:r>
              <w:rPr>
                <w:rFonts w:hint="eastAsia" w:ascii="宋体" w:hAnsi="宋体" w:cs="宋体"/>
                <w:bCs/>
                <w:color w:val="000000" w:themeColor="text1"/>
                <w:sz w:val="24"/>
                <w:szCs w:val="24"/>
                <w:lang w:val="zh-CN"/>
              </w:rPr>
              <w:t>。中标人凭中标通知书原件与招标人签订合同协议书。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olor w:val="000000" w:themeColor="text1"/>
                <w:sz w:val="24"/>
                <w:szCs w:val="24"/>
                <w:lang w:eastAsia="zh-CN"/>
              </w:rPr>
            </w:pPr>
            <w:r>
              <w:rPr>
                <w:rFonts w:hint="eastAsia" w:ascii="宋体" w:hAnsi="宋体"/>
                <w:color w:val="000000" w:themeColor="text1"/>
                <w:sz w:val="24"/>
                <w:szCs w:val="24"/>
              </w:rPr>
              <w:t>2</w:t>
            </w:r>
            <w:r>
              <w:rPr>
                <w:rFonts w:hint="eastAsia" w:ascii="宋体" w:hAnsi="宋体"/>
                <w:color w:val="000000" w:themeColor="text1"/>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中标人需提交</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代理机构邮箱：yongming0374@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olor w:val="000000" w:themeColor="text1"/>
                <w:sz w:val="24"/>
                <w:szCs w:val="24"/>
                <w:lang w:eastAsia="zh-CN"/>
              </w:rPr>
            </w:pPr>
            <w:r>
              <w:rPr>
                <w:rFonts w:hint="eastAsia" w:ascii="宋体" w:hAnsi="宋体"/>
                <w:color w:val="000000" w:themeColor="text1"/>
                <w:sz w:val="24"/>
                <w:szCs w:val="24"/>
              </w:rPr>
              <w:t>2</w:t>
            </w:r>
            <w:r>
              <w:rPr>
                <w:rFonts w:hint="eastAsia" w:ascii="宋体" w:hAnsi="宋体"/>
                <w:color w:val="000000" w:themeColor="text1"/>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000000" w:themeColor="text1"/>
                <w:sz w:val="24"/>
                <w:lang w:val="zh-CN"/>
              </w:rPr>
            </w:pPr>
            <w:r>
              <w:rPr>
                <w:rFonts w:hAnsi="宋体" w:cs="宋体"/>
                <w:color w:val="000000" w:themeColor="text1"/>
                <w:sz w:val="24"/>
                <w:lang w:val="zh-CN"/>
              </w:rPr>
              <w:fldChar w:fldCharType="begin"/>
            </w:r>
            <w:r>
              <w:rPr>
                <w:rFonts w:hint="eastAsia" w:hAnsi="宋体" w:cs="宋体"/>
                <w:color w:val="000000" w:themeColor="text1"/>
                <w:sz w:val="24"/>
                <w:lang w:val="zh-CN"/>
              </w:rPr>
              <w:instrText xml:space="preserve">eq \o\ac(□,√)</w:instrText>
            </w:r>
            <w:r>
              <w:rPr>
                <w:rFonts w:hAnsi="宋体" w:cs="宋体"/>
                <w:color w:val="000000" w:themeColor="text1"/>
                <w:sz w:val="24"/>
                <w:lang w:val="zh-CN"/>
              </w:rPr>
              <w:fldChar w:fldCharType="end"/>
            </w:r>
            <w:r>
              <w:rPr>
                <w:rFonts w:hint="eastAsia" w:hAnsi="宋体" w:cs="宋体"/>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hAnsi="宋体" w:cs="宋体"/>
                <w:color w:val="000000" w:themeColor="text1"/>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widowControl/>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 w:val="24"/>
          <w:szCs w:val="24"/>
        </w:rPr>
      </w:pPr>
      <w:r>
        <w:rPr>
          <w:rFonts w:hint="eastAsia" w:ascii="宋体" w:hAnsi="宋体" w:cs="宋体"/>
          <w:b/>
          <w:kern w:val="0"/>
          <w:sz w:val="24"/>
          <w:szCs w:val="24"/>
        </w:rPr>
        <w:t>一、概念释义</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适用范围</w:t>
      </w:r>
    </w:p>
    <w:p>
      <w:pPr>
        <w:pStyle w:val="42"/>
        <w:numPr>
          <w:ilvl w:val="0"/>
          <w:numId w:val="10"/>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本招标文件仅适用于本次“投标邀请”中所述采购项目。</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本招标文件解释权属于“投标邀请”所述的采购人。</w:t>
      </w:r>
    </w:p>
    <w:p>
      <w:pPr>
        <w:pStyle w:val="42"/>
        <w:autoSpaceDE w:val="0"/>
        <w:autoSpaceDN w:val="0"/>
        <w:spacing w:line="360" w:lineRule="auto"/>
        <w:ind w:left="780"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定义</w:t>
      </w:r>
    </w:p>
    <w:p>
      <w:pPr>
        <w:pStyle w:val="42"/>
        <w:numPr>
          <w:ilvl w:val="0"/>
          <w:numId w:val="10"/>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“采购项目”：“投标人须知前附表”中所述的采购项目。</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“招标人”：“投标人须知前附表”中所述的组织本次招标的代理机构和采购人。</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“采购人或委托人”：是指依法进行政府采购的国家机关、事业单位、团体组织。采购人名称、地址、电话、联系人见“投标人须知前附表”。</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许昌市政府采购中心作为代理本项目的集采机构。</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招标文件中凡标有“★”的条款均系实质性要求条款。</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 xml:space="preserve"> “政府投资项目”：是指政府作为投资主体的投资项目，主要指公共事业、基础设施等方面的公益性项目。</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合格的投标人或供应商</w:t>
      </w:r>
    </w:p>
    <w:p>
      <w:pPr>
        <w:pStyle w:val="42"/>
        <w:numPr>
          <w:ilvl w:val="0"/>
          <w:numId w:val="10"/>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在中华人民共和国境内注册，具有本项目生产、制造、供应或服务实施能力，符合、承认并承诺履行本招标文件各项规定的法人、其他组织或者自然人。</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符合本项目“投标邀请”和“投标人须知前附表”中规定的合格投标人所必须具备的条件。</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hint="eastAsia" w:ascii="宋体" w:hAnsi="宋体" w:cs="仿宋_GB2312"/>
          <w:sz w:val="24"/>
          <w:szCs w:val="24"/>
          <w:shd w:val="clear" w:color="auto" w:fill="FFFFFF"/>
        </w:rPr>
        <w:t>政府采购严重违法失信名单、</w:t>
      </w:r>
      <w:r>
        <w:rPr>
          <w:rFonts w:hint="eastAsia" w:ascii="宋体" w:hAnsi="宋体" w:cs="宋体"/>
          <w:kern w:val="0"/>
          <w:sz w:val="24"/>
          <w:szCs w:val="24"/>
        </w:rPr>
        <w:t>政府采购严重违法失信行为记录名单、</w:t>
      </w:r>
      <w:r>
        <w:rPr>
          <w:rFonts w:hint="eastAsia" w:ascii="宋体" w:hAnsi="宋体" w:cs="仿宋_GB2312"/>
          <w:bCs/>
          <w:sz w:val="24"/>
          <w:szCs w:val="24"/>
          <w:shd w:val="clear" w:color="auto" w:fill="FFFFFF"/>
        </w:rPr>
        <w:t>严重违法失信企业名单（黑名单）</w:t>
      </w:r>
      <w:r>
        <w:rPr>
          <w:rFonts w:hint="eastAsia" w:ascii="宋体" w:hAnsi="宋体" w:cs="宋体"/>
          <w:kern w:val="0"/>
          <w:sz w:val="24"/>
          <w:szCs w:val="24"/>
        </w:rPr>
        <w:t>（联合体形式投标的，联合体成员存在不良信用记录，视同联合体存在不良信用记录）。</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单位负责人为同一人或者存在直接控股、管理关系的不同供应商，不得参加同一合同项下的政府采购活动；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法律、行政法规规定的其他条件。</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合格的货物或服务</w:t>
      </w:r>
    </w:p>
    <w:p>
      <w:pPr>
        <w:pStyle w:val="42"/>
        <w:numPr>
          <w:ilvl w:val="0"/>
          <w:numId w:val="10"/>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投标人所提供的服务应当没有侵犯任何第三方的知识产权、技术秘密等合法权利，并符合国家法律法规、地方政策和行业规范。</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采购代理机构代理费用收取标准和方式</w:t>
      </w:r>
    </w:p>
    <w:p>
      <w:pPr>
        <w:pStyle w:val="42"/>
        <w:autoSpaceDE w:val="0"/>
        <w:autoSpaceDN w:val="0"/>
        <w:spacing w:line="360" w:lineRule="auto"/>
        <w:ind w:firstLine="480"/>
        <w:contextualSpacing/>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按照发改价格[2011]534号文件有关规定向中标、成交供应商收取中标服务费。</w:t>
      </w:r>
    </w:p>
    <w:p>
      <w:pPr>
        <w:pStyle w:val="42"/>
        <w:autoSpaceDE w:val="0"/>
        <w:autoSpaceDN w:val="0"/>
        <w:spacing w:line="360" w:lineRule="auto"/>
        <w:ind w:firstLine="48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二、招标文件说明</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招标文件构成</w:t>
      </w:r>
    </w:p>
    <w:p>
      <w:pPr>
        <w:pStyle w:val="42"/>
        <w:numPr>
          <w:ilvl w:val="0"/>
          <w:numId w:val="11"/>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招标文件由以下部分组成：</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）投标邀请（招标公告）</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）项目需求</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）投标人须知前附表</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）投标人须知</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）本项目招标文件的澄清、答复、修改、补充内容、相关文件规定、办法等</w:t>
      </w:r>
    </w:p>
    <w:p>
      <w:pPr>
        <w:spacing w:line="360" w:lineRule="auto"/>
        <w:ind w:firstLine="480" w:firstLineChars="200"/>
        <w:rPr>
          <w:rFonts w:ascii="宋体" w:cs="宋体"/>
          <w:kern w:val="0"/>
          <w:sz w:val="24"/>
          <w:szCs w:val="24"/>
        </w:rPr>
      </w:pPr>
      <w:r>
        <w:rPr>
          <w:rFonts w:hint="eastAsia" w:ascii="宋体" w:hAnsi="宋体" w:cs="宋体"/>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pPr>
        <w:pStyle w:val="42"/>
        <w:numPr>
          <w:ilvl w:val="1"/>
          <w:numId w:val="9"/>
        </w:numPr>
        <w:autoSpaceDE w:val="0"/>
        <w:autoSpaceDN w:val="0"/>
        <w:spacing w:line="360" w:lineRule="auto"/>
        <w:ind w:left="4" w:hanging="4" w:firstLineChars="0"/>
        <w:contextualSpacing/>
        <w:rPr>
          <w:rFonts w:ascii="宋体" w:cs="宋体"/>
          <w:kern w:val="0"/>
          <w:sz w:val="24"/>
          <w:szCs w:val="24"/>
        </w:rPr>
      </w:pP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现场考察、开标前答疑会</w:t>
      </w:r>
    </w:p>
    <w:p>
      <w:pPr>
        <w:autoSpaceDE w:val="0"/>
        <w:autoSpaceDN w:val="0"/>
        <w:spacing w:line="360" w:lineRule="auto"/>
        <w:ind w:left="420"/>
        <w:contextualSpacing/>
        <w:rPr>
          <w:rFonts w:ascii="宋体" w:cs="宋体"/>
          <w:kern w:val="0"/>
          <w:sz w:val="24"/>
          <w:szCs w:val="24"/>
        </w:rPr>
      </w:pPr>
      <w:r>
        <w:rPr>
          <w:rFonts w:hint="eastAsia" w:ascii="宋体" w:cs="宋体"/>
          <w:kern w:val="0"/>
          <w:sz w:val="24"/>
          <w:szCs w:val="24"/>
        </w:rPr>
        <w:t>本次招标不组织现场考察，不召开标前答疑会。</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招标文件的澄清或修改</w:t>
      </w:r>
    </w:p>
    <w:p>
      <w:pPr>
        <w:pStyle w:val="42"/>
        <w:numPr>
          <w:ilvl w:val="0"/>
          <w:numId w:val="12"/>
        </w:numPr>
        <w:autoSpaceDE w:val="0"/>
        <w:autoSpaceDN w:val="0"/>
        <w:spacing w:line="360" w:lineRule="auto"/>
        <w:ind w:left="0" w:firstLine="420" w:firstLineChars="0"/>
        <w:contextualSpacing/>
        <w:rPr>
          <w:rFonts w:ascii="宋体" w:cs="宋体"/>
          <w:kern w:val="0"/>
          <w:sz w:val="24"/>
          <w:szCs w:val="24"/>
        </w:rPr>
      </w:pPr>
      <w:r>
        <w:rPr>
          <w:rFonts w:hint="eastAsia" w:ascii="宋体" w:hAnsi="宋体" w:cs="宋体"/>
          <w:kern w:val="0"/>
          <w:sz w:val="24"/>
          <w:szCs w:val="24"/>
        </w:rPr>
        <w:t>在投标截止期前，无论出于何种原因，招标人可主动地或在解答潜在投标人提出的澄清问题时对招标文件进行修改。</w:t>
      </w:r>
    </w:p>
    <w:p>
      <w:pPr>
        <w:pStyle w:val="42"/>
        <w:numPr>
          <w:ilvl w:val="1"/>
          <w:numId w:val="9"/>
        </w:numPr>
        <w:autoSpaceDE w:val="0"/>
        <w:autoSpaceDN w:val="0"/>
        <w:spacing w:line="360" w:lineRule="auto"/>
        <w:ind w:left="0" w:firstLine="420" w:firstLineChars="0"/>
        <w:contextualSpacing/>
        <w:rPr>
          <w:rFonts w:ascii="宋体" w:cs="宋体"/>
          <w:kern w:val="0"/>
          <w:sz w:val="24"/>
          <w:szCs w:val="24"/>
        </w:rPr>
      </w:pP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三、投标文件的编制</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投标的语言及计量单位</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420" w:firstLine="0" w:firstLineChars="0"/>
        <w:contextualSpacing/>
        <w:rPr>
          <w:rFonts w:ascii="宋体" w:hAns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中标入库后对受委托项目的投标报价</w:t>
      </w:r>
    </w:p>
    <w:p>
      <w:pPr>
        <w:pStyle w:val="42"/>
        <w:tabs>
          <w:tab w:val="left" w:pos="375"/>
        </w:tabs>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13.1</w:t>
      </w:r>
      <w:r>
        <w:rPr>
          <w:rFonts w:hint="eastAsia" w:ascii="宋体" w:hAnsi="宋体" w:cs="宋体"/>
          <w:kern w:val="0"/>
          <w:sz w:val="24"/>
          <w:szCs w:val="24"/>
        </w:rPr>
        <w:tab/>
      </w:r>
      <w:r>
        <w:rPr>
          <w:rFonts w:hint="eastAsia" w:ascii="宋体" w:hAnsi="宋体" w:cs="宋体"/>
          <w:kern w:val="0"/>
          <w:sz w:val="24"/>
          <w:szCs w:val="24"/>
        </w:rPr>
        <w:t>本次招标项目的投标及中标入库后对受委托项目均以人民币为计算单位。</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采购人不得向投标人索要或者接受其给予的赠品、回扣或者与采购无关的其他商品、服务。</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入库投标人应对受委托项目要求的全部内容进行报价，少报漏报将导致其投标为非实质性响应予以拒绝。</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投标人应当按照国家相关规定及参照</w:t>
      </w:r>
      <w:r>
        <w:rPr>
          <w:rFonts w:hint="eastAsia" w:ascii="宋体" w:hAnsi="宋体"/>
          <w:bCs/>
          <w:sz w:val="24"/>
          <w:szCs w:val="24"/>
        </w:rPr>
        <w:t>本招标文件的</w:t>
      </w:r>
      <w:r>
        <w:rPr>
          <w:rFonts w:hint="eastAsia" w:ascii="宋体" w:hAnsi="宋体"/>
          <w:bCs/>
          <w:kern w:val="0"/>
          <w:sz w:val="24"/>
          <w:szCs w:val="24"/>
          <w:lang w:val="zh-CN" w:eastAsia="zh-CN"/>
        </w:rPr>
        <w:t>《许昌市城乡一体化示范区政府购买中介机构服务管理暂行办法（试行）》</w:t>
      </w:r>
      <w:r>
        <w:rPr>
          <w:rFonts w:hint="eastAsia" w:ascii="宋体" w:hAnsi="宋体" w:cs="宋体"/>
          <w:sz w:val="24"/>
          <w:szCs w:val="24"/>
        </w:rPr>
        <w:t>，</w:t>
      </w:r>
      <w:r>
        <w:rPr>
          <w:rFonts w:hint="eastAsia" w:ascii="宋体" w:hAnsi="宋体" w:cs="宋体"/>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委托项目若涉及到运输、施工、安装、集成、调试、验收、备品和工具等费用均包含在投标报价中。</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pStyle w:val="42"/>
        <w:numPr>
          <w:ilvl w:val="1"/>
          <w:numId w:val="9"/>
        </w:numPr>
        <w:autoSpaceDE w:val="0"/>
        <w:autoSpaceDN w:val="0"/>
        <w:spacing w:line="360" w:lineRule="auto"/>
        <w:ind w:left="544" w:firstLineChars="0"/>
        <w:contextualSpacing/>
        <w:rPr>
          <w:rFonts w:ascii="宋体" w:cs="宋体"/>
          <w:color w:val="auto"/>
          <w:kern w:val="0"/>
          <w:sz w:val="24"/>
          <w:szCs w:val="24"/>
        </w:rPr>
      </w:pPr>
      <w:r>
        <w:rPr>
          <w:rFonts w:hint="eastAsia" w:ascii="宋体" w:hAnsi="宋体" w:cs="宋体"/>
          <w:color w:val="auto"/>
          <w:kern w:val="0"/>
          <w:sz w:val="24"/>
          <w:szCs w:val="24"/>
        </w:rPr>
        <w:t>报价不得高于受委托项目最高限价，且不低于成本价。本次招标入库后的委托项目实行“最高限价（项目控制金额上限或费率上限）”</w:t>
      </w:r>
      <w:r>
        <w:rPr>
          <w:rFonts w:ascii="宋体" w:cs="宋体"/>
          <w:color w:val="auto"/>
          <w:kern w:val="0"/>
          <w:sz w:val="24"/>
          <w:szCs w:val="24"/>
        </w:rPr>
        <w:t>,</w:t>
      </w:r>
      <w:r>
        <w:rPr>
          <w:rFonts w:hint="eastAsia" w:ascii="宋体" w:hAnsi="宋体" w:cs="宋体"/>
          <w:color w:val="auto"/>
          <w:kern w:val="0"/>
          <w:sz w:val="24"/>
          <w:szCs w:val="24"/>
        </w:rPr>
        <w:t>投标人的投标报价高于最高限价（项目控制金额上限或费率上限）的，该投标人的投标报价将被视为非实质性响应予以拒绝。</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投标有效期</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投标有效期内投标人撤销投标文件的，招标人将不退还投标保证金。</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投标文件构成</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15.1投标文件的构成应符合法律法规及招标文件的要求。</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投标人应当按照招标文件的要求编制投标文件。投标文件应当对招标文件提出的要求和条件作出明确响应。</w:t>
      </w:r>
      <w:r>
        <w:rPr>
          <w:rFonts w:hint="eastAsia" w:ascii="宋体" w:hAnsi="宋体" w:cs="宋体"/>
          <w:sz w:val="24"/>
          <w:szCs w:val="24"/>
        </w:rPr>
        <w:t>投标人应当对对所投分包招标文件中“服务需求”所列的所有服务内容进行投标，如仅响应分包中的部分内容，其投标将被认定为</w:t>
      </w:r>
      <w:r>
        <w:rPr>
          <w:rFonts w:hint="eastAsia" w:ascii="宋体" w:hAnsi="宋体" w:cs="宋体"/>
          <w:b/>
          <w:sz w:val="24"/>
          <w:szCs w:val="24"/>
        </w:rPr>
        <w:t>投标无效</w:t>
      </w:r>
      <w:r>
        <w:rPr>
          <w:rFonts w:hint="eastAsia" w:ascii="宋体" w:hAnsi="宋体" w:cs="宋体"/>
          <w:sz w:val="24"/>
          <w:szCs w:val="24"/>
        </w:rPr>
        <w:t>。</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投标文件由资格证明材料、符合性证明材料、其它材料等组成。</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投标人登录许昌公共资源交易系统下载“许昌投标文件制作系统</w:t>
      </w:r>
      <w:r>
        <w:rPr>
          <w:rFonts w:ascii="宋体" w:hAnsi="宋体" w:cs="宋体"/>
          <w:kern w:val="0"/>
          <w:sz w:val="24"/>
          <w:szCs w:val="24"/>
        </w:rPr>
        <w:t>SEARUN V1.0</w:t>
      </w:r>
      <w:r>
        <w:rPr>
          <w:rFonts w:hint="eastAsia" w:ascii="宋体" w:hAnsi="宋体" w:cs="宋体"/>
          <w:kern w:val="0"/>
          <w:sz w:val="24"/>
          <w:szCs w:val="24"/>
        </w:rPr>
        <w:t>”，按招标文件要求根据所投标段制作电子投标文件。一个标段对应生成一个文件夹（</w:t>
      </w:r>
      <w:r>
        <w:rPr>
          <w:rFonts w:ascii="宋体" w:hAnsi="宋体" w:cs="宋体"/>
          <w:kern w:val="0"/>
          <w:sz w:val="24"/>
          <w:szCs w:val="24"/>
        </w:rPr>
        <w:t>xxxx</w:t>
      </w:r>
      <w:r>
        <w:rPr>
          <w:rFonts w:hint="eastAsia" w:ascii="宋体" w:hAnsi="宋体" w:cs="宋体"/>
          <w:kern w:val="0"/>
          <w:sz w:val="24"/>
          <w:szCs w:val="24"/>
        </w:rPr>
        <w:t>项目</w:t>
      </w:r>
      <w:r>
        <w:rPr>
          <w:rFonts w:ascii="宋体" w:hAnsi="宋体" w:cs="宋体"/>
          <w:kern w:val="0"/>
          <w:sz w:val="24"/>
          <w:szCs w:val="24"/>
        </w:rPr>
        <w:t>xx</w:t>
      </w:r>
      <w:r>
        <w:rPr>
          <w:rFonts w:hint="eastAsia" w:ascii="宋体" w:hAnsi="宋体" w:cs="宋体"/>
          <w:kern w:val="0"/>
          <w:sz w:val="24"/>
          <w:szCs w:val="24"/>
        </w:rPr>
        <w:t>标段）</w:t>
      </w:r>
      <w:r>
        <w:rPr>
          <w:rFonts w:ascii="宋体" w:hAnsi="宋体" w:cs="宋体"/>
          <w:kern w:val="0"/>
          <w:sz w:val="24"/>
          <w:szCs w:val="24"/>
        </w:rPr>
        <w:t xml:space="preserve">, </w:t>
      </w:r>
      <w:r>
        <w:rPr>
          <w:rFonts w:hint="eastAsia" w:ascii="宋体" w:hAnsi="宋体" w:cs="宋体"/>
          <w:kern w:val="0"/>
          <w:sz w:val="24"/>
          <w:szCs w:val="24"/>
        </w:rPr>
        <w:t>其中包含</w:t>
      </w:r>
      <w:r>
        <w:rPr>
          <w:rFonts w:ascii="宋体" w:hAnsi="宋体" w:cs="宋体"/>
          <w:kern w:val="0"/>
          <w:sz w:val="24"/>
          <w:szCs w:val="24"/>
        </w:rPr>
        <w:t>2</w:t>
      </w:r>
      <w:r>
        <w:rPr>
          <w:rFonts w:hint="eastAsia" w:ascii="宋体" w:hAnsi="宋体" w:cs="宋体"/>
          <w:kern w:val="0"/>
          <w:sz w:val="24"/>
          <w:szCs w:val="24"/>
        </w:rPr>
        <w:t>个文件和</w:t>
      </w:r>
      <w:r>
        <w:rPr>
          <w:rFonts w:ascii="宋体" w:hAnsi="宋体" w:cs="宋体"/>
          <w:kern w:val="0"/>
          <w:sz w:val="24"/>
          <w:szCs w:val="24"/>
        </w:rPr>
        <w:t>1</w:t>
      </w:r>
      <w:r>
        <w:rPr>
          <w:rFonts w:hint="eastAsia" w:ascii="宋体" w:hAnsi="宋体" w:cs="宋体"/>
          <w:kern w:val="0"/>
          <w:sz w:val="24"/>
          <w:szCs w:val="24"/>
        </w:rPr>
        <w:t>个文件夹。后缀名为“</w:t>
      </w:r>
      <w:r>
        <w:rPr>
          <w:rFonts w:ascii="宋体" w:hAnsi="宋体" w:cs="宋体"/>
          <w:kern w:val="0"/>
          <w:sz w:val="24"/>
          <w:szCs w:val="24"/>
        </w:rPr>
        <w:t>.file</w:t>
      </w:r>
      <w:r>
        <w:rPr>
          <w:rFonts w:hint="eastAsia" w:ascii="宋体" w:hAnsi="宋体" w:cs="宋体"/>
          <w:kern w:val="0"/>
          <w:sz w:val="24"/>
          <w:szCs w:val="24"/>
        </w:rPr>
        <w:t>”的文件用于电子投标使用，后缀名为“</w:t>
      </w:r>
      <w:r>
        <w:rPr>
          <w:rFonts w:ascii="宋体" w:hAnsi="宋体" w:cs="宋体"/>
          <w:kern w:val="0"/>
          <w:sz w:val="24"/>
          <w:szCs w:val="24"/>
        </w:rPr>
        <w:t>.PDF</w:t>
      </w:r>
      <w:r>
        <w:rPr>
          <w:rFonts w:hint="eastAsia" w:ascii="宋体" w:hAnsi="宋体" w:cs="宋体"/>
          <w:kern w:val="0"/>
          <w:sz w:val="24"/>
          <w:szCs w:val="24"/>
        </w:rPr>
        <w:t>”的文件用于打印纸质投标文件，名称为“备份”的文件夹使用电子介质存储，供开标现场备用。</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投标文件格式</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16.1投标文件应参照招标文件第七部分（投标文件有关格式）的内容要求、编排顺序和格式要求，投标人应按照以上要求将投标文件编上唯一的连贯页码并以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hint="eastAsia" w:ascii="宋体" w:hAnsi="宋体" w:cs="宋体"/>
          <w:kern w:val="0"/>
          <w:sz w:val="24"/>
          <w:szCs w:val="24"/>
        </w:rPr>
        <w:t>幅面装订成册，并在投标文件封面上注明：正本</w:t>
      </w:r>
      <w:r>
        <w:rPr>
          <w:rFonts w:ascii="宋体" w:hAnsi="宋体" w:cs="宋体"/>
          <w:kern w:val="0"/>
          <w:sz w:val="24"/>
          <w:szCs w:val="24"/>
        </w:rPr>
        <w:t>/</w:t>
      </w:r>
      <w:r>
        <w:rPr>
          <w:rFonts w:hint="eastAsia" w:ascii="宋体" w:hAnsi="宋体" w:cs="宋体"/>
          <w:kern w:val="0"/>
          <w:sz w:val="24"/>
          <w:szCs w:val="24"/>
        </w:rPr>
        <w:t>副本、所投项目名称、项目编号、投标人名称、日期等字样。</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 投标保证金缴纳方式：</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5.1 投标人网上下载招标文件后</w:t>
      </w:r>
      <w:r>
        <w:rPr>
          <w:rFonts w:hint="eastAsia" w:ascii="宋体" w:hAnsi="宋体" w:cs="宋体"/>
          <w:kern w:val="0"/>
          <w:sz w:val="24"/>
          <w:szCs w:val="24"/>
        </w:rPr>
        <w:t>，</w:t>
      </w:r>
      <w:r>
        <w:rPr>
          <w:rFonts w:hint="eastAsia" w:ascii="宋体" w:hAnsi="宋体" w:cs="宋体"/>
          <w:kern w:val="0"/>
          <w:sz w:val="24"/>
          <w:szCs w:val="24"/>
          <w:lang w:val="zh-CN"/>
        </w:rPr>
        <w:t>登录</w:t>
      </w:r>
      <w:r>
        <w:fldChar w:fldCharType="begin"/>
      </w:r>
      <w:r>
        <w:instrText xml:space="preserve"> HYPERLINK "http://221.14.6.70:8088/ggzy" </w:instrText>
      </w:r>
      <w:r>
        <w:fldChar w:fldCharType="separate"/>
      </w:r>
      <w:r>
        <w:rPr>
          <w:rFonts w:hint="eastAsia" w:ascii="宋体" w:hAnsi="宋体" w:cs="宋体"/>
          <w:kern w:val="0"/>
          <w:sz w:val="24"/>
          <w:szCs w:val="24"/>
        </w:rPr>
        <w:t>http://221.14.6.70:8088/ggzy</w:t>
      </w:r>
      <w:r>
        <w:rPr>
          <w:rFonts w:hint="eastAsia" w:ascii="宋体" w:hAnsi="宋体" w:cs="宋体"/>
          <w:kern w:val="0"/>
          <w:sz w:val="24"/>
          <w:szCs w:val="24"/>
        </w:rPr>
        <w:fldChar w:fldCharType="end"/>
      </w:r>
      <w:r>
        <w:rPr>
          <w:rFonts w:hint="eastAsia" w:ascii="宋体" w:hAnsi="宋体" w:cs="宋体"/>
          <w:kern w:val="0"/>
          <w:sz w:val="24"/>
          <w:szCs w:val="24"/>
          <w:lang w:val="zh-CN"/>
        </w:rPr>
        <w:t>系统</w:t>
      </w:r>
      <w:r>
        <w:rPr>
          <w:rFonts w:hint="eastAsia" w:ascii="宋体" w:hAnsi="宋体" w:cs="宋体"/>
          <w:kern w:val="0"/>
          <w:sz w:val="24"/>
          <w:szCs w:val="24"/>
        </w:rPr>
        <w:t>，</w:t>
      </w:r>
      <w:r>
        <w:rPr>
          <w:rFonts w:hint="eastAsia" w:ascii="宋体" w:hAnsi="宋体" w:cs="宋体"/>
          <w:kern w:val="0"/>
          <w:sz w:val="24"/>
          <w:szCs w:val="24"/>
          <w:lang w:val="zh-CN"/>
        </w:rPr>
        <w:t>依次点击</w:t>
      </w:r>
      <w:r>
        <w:rPr>
          <w:rFonts w:hint="eastAsia" w:ascii="宋体" w:hAnsi="宋体" w:cs="宋体"/>
          <w:kern w:val="0"/>
          <w:sz w:val="24"/>
          <w:szCs w:val="24"/>
        </w:rPr>
        <w:t>“</w:t>
      </w:r>
      <w:r>
        <w:rPr>
          <w:rFonts w:hint="eastAsia" w:ascii="宋体" w:hAnsi="宋体" w:cs="宋体"/>
          <w:kern w:val="0"/>
          <w:sz w:val="24"/>
          <w:szCs w:val="24"/>
          <w:lang w:val="zh-CN"/>
        </w:rPr>
        <w:t>会员向导</w:t>
      </w:r>
      <w:r>
        <w:rPr>
          <w:rFonts w:hint="eastAsia" w:ascii="宋体" w:hAnsi="宋体" w:cs="宋体"/>
          <w:kern w:val="0"/>
          <w:sz w:val="24"/>
          <w:szCs w:val="24"/>
        </w:rPr>
        <w:t>”→“</w:t>
      </w:r>
      <w:r>
        <w:rPr>
          <w:rFonts w:hint="eastAsia" w:ascii="宋体" w:hAnsi="宋体" w:cs="宋体"/>
          <w:kern w:val="0"/>
          <w:sz w:val="24"/>
          <w:szCs w:val="24"/>
          <w:lang w:val="zh-CN"/>
        </w:rPr>
        <w:t>参与投标</w:t>
      </w:r>
      <w:r>
        <w:rPr>
          <w:rFonts w:hint="eastAsia" w:ascii="宋体" w:hAnsi="宋体" w:cs="宋体"/>
          <w:kern w:val="0"/>
          <w:sz w:val="24"/>
          <w:szCs w:val="24"/>
        </w:rPr>
        <w:t>”→“</w:t>
      </w:r>
      <w:r>
        <w:rPr>
          <w:rFonts w:hint="eastAsia" w:ascii="宋体" w:hAnsi="宋体" w:cs="宋体"/>
          <w:kern w:val="0"/>
          <w:sz w:val="24"/>
          <w:szCs w:val="24"/>
          <w:lang w:val="zh-CN"/>
        </w:rPr>
        <w:t>费用缴纳说明</w:t>
      </w:r>
      <w:r>
        <w:rPr>
          <w:rFonts w:hint="eastAsia" w:ascii="宋体" w:hAnsi="宋体" w:cs="宋体"/>
          <w:kern w:val="0"/>
          <w:sz w:val="24"/>
          <w:szCs w:val="24"/>
        </w:rPr>
        <w:t>”→“</w:t>
      </w:r>
      <w:r>
        <w:rPr>
          <w:rFonts w:hint="eastAsia" w:ascii="宋体" w:hAnsi="宋体" w:cs="宋体"/>
          <w:kern w:val="0"/>
          <w:sz w:val="24"/>
          <w:szCs w:val="24"/>
          <w:lang w:val="zh-CN"/>
        </w:rPr>
        <w:t>保证金缴纳说明单</w:t>
      </w:r>
      <w:r>
        <w:rPr>
          <w:rFonts w:hint="eastAsia" w:ascii="宋体" w:hAnsi="宋体" w:cs="宋体"/>
          <w:kern w:val="0"/>
          <w:sz w:val="24"/>
          <w:szCs w:val="24"/>
        </w:rPr>
        <w:t>”，</w:t>
      </w:r>
      <w:r>
        <w:rPr>
          <w:rFonts w:hint="eastAsia" w:ascii="宋体" w:hAnsi="宋体" w:cs="宋体"/>
          <w:kern w:val="0"/>
          <w:sz w:val="24"/>
          <w:szCs w:val="24"/>
          <w:lang w:val="zh-CN"/>
        </w:rPr>
        <w:t>获取缴费说明单</w:t>
      </w:r>
      <w:r>
        <w:rPr>
          <w:rFonts w:hint="eastAsia" w:ascii="宋体" w:hAnsi="宋体" w:cs="宋体"/>
          <w:kern w:val="0"/>
          <w:sz w:val="24"/>
          <w:szCs w:val="24"/>
        </w:rPr>
        <w:t>，</w:t>
      </w:r>
      <w:r>
        <w:rPr>
          <w:rFonts w:hint="eastAsia" w:ascii="宋体" w:hAnsi="宋体" w:cs="宋体"/>
          <w:kern w:val="0"/>
          <w:sz w:val="24"/>
          <w:szCs w:val="24"/>
          <w:lang w:val="zh-CN"/>
        </w:rPr>
        <w:t>根据每个标段的缴纳说明单在缴纳截止时间前缴纳</w:t>
      </w:r>
      <w:r>
        <w:rPr>
          <w:rFonts w:hint="eastAsia" w:ascii="宋体" w:hAnsi="宋体" w:cs="宋体"/>
          <w:kern w:val="0"/>
          <w:sz w:val="24"/>
          <w:szCs w:val="24"/>
        </w:rPr>
        <w:t>；</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5.2 成功缴纳后重新登录前述系统</w:t>
      </w:r>
      <w:r>
        <w:rPr>
          <w:rFonts w:hint="eastAsia" w:ascii="宋体" w:hAnsi="宋体" w:cs="宋体"/>
          <w:kern w:val="0"/>
          <w:sz w:val="24"/>
          <w:szCs w:val="24"/>
        </w:rPr>
        <w:t>，</w:t>
      </w:r>
      <w:r>
        <w:rPr>
          <w:rFonts w:hint="eastAsia" w:ascii="宋体" w:hAnsi="宋体" w:cs="宋体"/>
          <w:kern w:val="0"/>
          <w:sz w:val="24"/>
          <w:szCs w:val="24"/>
          <w:lang w:val="zh-CN"/>
        </w:rPr>
        <w:t>依次点击</w:t>
      </w:r>
      <w:r>
        <w:rPr>
          <w:rFonts w:hint="eastAsia" w:ascii="宋体" w:hAnsi="宋体" w:cs="宋体"/>
          <w:kern w:val="0"/>
          <w:sz w:val="24"/>
          <w:szCs w:val="24"/>
        </w:rPr>
        <w:t>“</w:t>
      </w:r>
      <w:r>
        <w:rPr>
          <w:rFonts w:hint="eastAsia" w:ascii="宋体" w:hAnsi="宋体" w:cs="宋体"/>
          <w:kern w:val="0"/>
          <w:sz w:val="24"/>
          <w:szCs w:val="24"/>
          <w:lang w:val="zh-CN"/>
        </w:rPr>
        <w:t>会员向导</w:t>
      </w:r>
      <w:r>
        <w:rPr>
          <w:rFonts w:hint="eastAsia" w:ascii="宋体" w:hAnsi="宋体" w:cs="宋体"/>
          <w:kern w:val="0"/>
          <w:sz w:val="24"/>
          <w:szCs w:val="24"/>
        </w:rPr>
        <w:t>”→“</w:t>
      </w:r>
      <w:r>
        <w:rPr>
          <w:rFonts w:hint="eastAsia" w:ascii="宋体" w:hAnsi="宋体" w:cs="宋体"/>
          <w:kern w:val="0"/>
          <w:sz w:val="24"/>
          <w:szCs w:val="24"/>
          <w:lang w:val="zh-CN"/>
        </w:rPr>
        <w:t>参与投标</w:t>
      </w:r>
      <w:r>
        <w:rPr>
          <w:rFonts w:hint="eastAsia" w:ascii="宋体" w:hAnsi="宋体" w:cs="宋体"/>
          <w:kern w:val="0"/>
          <w:sz w:val="24"/>
          <w:szCs w:val="24"/>
        </w:rPr>
        <w:t>”→“</w:t>
      </w:r>
      <w:r>
        <w:rPr>
          <w:rFonts w:hint="eastAsia" w:ascii="宋体" w:hAnsi="宋体" w:cs="宋体"/>
          <w:kern w:val="0"/>
          <w:sz w:val="24"/>
          <w:szCs w:val="24"/>
          <w:lang w:val="zh-CN"/>
        </w:rPr>
        <w:t>保证金绑定</w:t>
      </w:r>
      <w:r>
        <w:rPr>
          <w:rFonts w:hint="eastAsia" w:ascii="宋体" w:hAnsi="宋体" w:cs="宋体"/>
          <w:kern w:val="0"/>
          <w:sz w:val="24"/>
          <w:szCs w:val="24"/>
        </w:rPr>
        <w:t>”→“</w:t>
      </w:r>
      <w:r>
        <w:rPr>
          <w:rFonts w:hint="eastAsia" w:ascii="宋体" w:hAnsi="宋体" w:cs="宋体"/>
          <w:kern w:val="0"/>
          <w:sz w:val="24"/>
          <w:szCs w:val="24"/>
          <w:lang w:val="zh-CN"/>
        </w:rPr>
        <w:t>绑定</w:t>
      </w:r>
      <w:r>
        <w:rPr>
          <w:rFonts w:hint="eastAsia" w:ascii="宋体" w:hAnsi="宋体" w:cs="宋体"/>
          <w:kern w:val="0"/>
          <w:sz w:val="24"/>
          <w:szCs w:val="24"/>
        </w:rPr>
        <w:t>”</w:t>
      </w:r>
      <w:r>
        <w:rPr>
          <w:rFonts w:hint="eastAsia" w:ascii="宋体" w:hAnsi="宋体" w:cs="宋体"/>
          <w:kern w:val="0"/>
          <w:sz w:val="24"/>
          <w:szCs w:val="24"/>
          <w:lang w:val="zh-CN"/>
        </w:rPr>
        <w:t>进行投标保证金绑定。</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w:t>
      </w:r>
      <w:r>
        <w:rPr>
          <w:rFonts w:hint="eastAsia" w:ascii="宋体" w:hAnsi="宋体" w:cs="宋体"/>
          <w:kern w:val="0"/>
          <w:sz w:val="24"/>
          <w:szCs w:val="24"/>
        </w:rPr>
        <w:t>3</w:t>
      </w:r>
      <w:r>
        <w:rPr>
          <w:rFonts w:hint="eastAsia" w:ascii="宋体" w:hAnsi="宋体" w:cs="宋体"/>
          <w:kern w:val="0"/>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w:t>
      </w:r>
      <w:r>
        <w:rPr>
          <w:rFonts w:hint="eastAsia" w:ascii="宋体" w:hAnsi="宋体" w:cs="宋体"/>
          <w:kern w:val="0"/>
          <w:sz w:val="24"/>
          <w:szCs w:val="24"/>
        </w:rPr>
        <w:t>4</w:t>
      </w:r>
      <w:r>
        <w:rPr>
          <w:rFonts w:hint="eastAsia" w:ascii="宋体" w:hAnsi="宋体" w:cs="宋体"/>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1.9</w:t>
      </w:r>
      <w:r>
        <w:rPr>
          <w:rFonts w:hint="eastAsia" w:ascii="宋体" w:hAnsi="宋体" w:cs="宋体"/>
          <w:kern w:val="0"/>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rPr>
        <w:t xml:space="preserve">17.1.10 </w:t>
      </w:r>
      <w:r>
        <w:rPr>
          <w:rFonts w:hint="eastAsia" w:ascii="宋体" w:hAnsi="宋体" w:cs="宋体"/>
          <w:kern w:val="0"/>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投标文件的数量和签署盖章</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18.1 投标人应提交投标文件份数见“投标人须知前附表”。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在招标文件中已明示需盖章及签名之处，电子投标文件应按招标文件要求加盖投标人电子印章和法人电子印章或授权代表电子印章。</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纸质投标文件是指投标人电子投标文件制作完成后生成的后缀名为“</w:t>
      </w:r>
      <w:r>
        <w:rPr>
          <w:rFonts w:ascii="宋体" w:hAnsi="宋体" w:cs="宋体"/>
          <w:kern w:val="0"/>
          <w:sz w:val="24"/>
          <w:szCs w:val="24"/>
        </w:rPr>
        <w:t>.PDF</w:t>
      </w:r>
      <w:r>
        <w:rPr>
          <w:rFonts w:hint="eastAsia" w:ascii="宋体" w:hAnsi="宋体" w:cs="宋体"/>
          <w:kern w:val="0"/>
          <w:sz w:val="24"/>
          <w:szCs w:val="24"/>
        </w:rPr>
        <w:t>”的文件打印的投标文件。纸质投标文件正本和副本封面上应清楚标明</w:t>
      </w:r>
      <w:r>
        <w:rPr>
          <w:rFonts w:hint="eastAsia" w:ascii="宋体" w:cs="宋体"/>
          <w:kern w:val="0"/>
          <w:sz w:val="24"/>
          <w:szCs w:val="24"/>
        </w:rPr>
        <w:t>“</w:t>
      </w:r>
      <w:r>
        <w:rPr>
          <w:rFonts w:hint="eastAsia" w:ascii="宋体" w:hAnsi="宋体" w:cs="宋体"/>
          <w:kern w:val="0"/>
          <w:sz w:val="24"/>
          <w:szCs w:val="24"/>
        </w:rPr>
        <w:t>正本</w:t>
      </w:r>
      <w:r>
        <w:rPr>
          <w:rFonts w:hint="eastAsia" w:ascii="宋体" w:cs="宋体"/>
          <w:kern w:val="0"/>
          <w:sz w:val="24"/>
          <w:szCs w:val="24"/>
        </w:rPr>
        <w:t>”</w:t>
      </w:r>
      <w:r>
        <w:rPr>
          <w:rFonts w:hint="eastAsia" w:ascii="宋体" w:hAnsi="宋体" w:cs="宋体"/>
          <w:kern w:val="0"/>
          <w:sz w:val="24"/>
          <w:szCs w:val="24"/>
        </w:rPr>
        <w:t>或</w:t>
      </w:r>
      <w:r>
        <w:rPr>
          <w:rFonts w:hint="eastAsia" w:ascii="宋体" w:cs="宋体"/>
          <w:kern w:val="0"/>
          <w:sz w:val="24"/>
          <w:szCs w:val="24"/>
        </w:rPr>
        <w:t>“</w:t>
      </w:r>
      <w:r>
        <w:rPr>
          <w:rFonts w:hint="eastAsia" w:ascii="宋体" w:hAnsi="宋体" w:cs="宋体"/>
          <w:kern w:val="0"/>
          <w:sz w:val="24"/>
          <w:szCs w:val="24"/>
        </w:rPr>
        <w:t>副本</w:t>
      </w:r>
      <w:r>
        <w:rPr>
          <w:rFonts w:hint="eastAsia" w:ascii="宋体" w:cs="宋体"/>
          <w:kern w:val="0"/>
          <w:sz w:val="24"/>
          <w:szCs w:val="24"/>
        </w:rPr>
        <w:t>”</w:t>
      </w:r>
      <w:r>
        <w:rPr>
          <w:rFonts w:hint="eastAsia" w:ascii="宋体" w:hAnsi="宋体" w:cs="宋体"/>
          <w:kern w:val="0"/>
          <w:sz w:val="24"/>
          <w:szCs w:val="24"/>
        </w:rPr>
        <w:t>字样；一旦正本和副本内容不一致时，以正本为准。纸质投标文件的正本及所有副本的封面均须由投标人加盖投标人公章。</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cs="仿宋_GB2312"/>
          <w:sz w:val="24"/>
          <w:szCs w:val="24"/>
          <w:lang w:val="zh-CN"/>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四、投标文件的递交</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投标文件的密封</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19.1投标人应将纸质投标文件“正本”、“副本”密封包装。使用电子介质存储的投标文件单独密封包装，并随纸质投标文件一并提交。</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投标文件如果未按规定密封，招标人将拒绝接收。</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投标截止时间</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20.1投标人必须在“投标邀请”和“投标人须知前附表”中规定的投标截止时间前，将所有投标文件送达招标文件指定的开标地点。</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招标人收到投标文件后，应当如实记载投标文件的送达时间和密封情况，签收保存，并向投标人出具签收回执。任何单位和个人不得在开标前开启投标文件。</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招标人可以按本须知第</w:t>
      </w:r>
      <w:r>
        <w:rPr>
          <w:rFonts w:ascii="宋体" w:hAnsi="宋体" w:cs="宋体"/>
          <w:kern w:val="0"/>
          <w:sz w:val="24"/>
          <w:szCs w:val="24"/>
        </w:rPr>
        <w:t>10</w:t>
      </w:r>
      <w:r>
        <w:rPr>
          <w:rFonts w:hint="eastAsia" w:ascii="宋体" w:hAnsi="宋体" w:cs="宋体"/>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迟交的投标文件</w:t>
      </w:r>
    </w:p>
    <w:p>
      <w:pPr>
        <w:autoSpaceDE w:val="0"/>
        <w:autoSpaceDN w:val="0"/>
        <w:spacing w:line="360" w:lineRule="auto"/>
        <w:ind w:left="964" w:hanging="544"/>
        <w:contextualSpacing/>
        <w:rPr>
          <w:rFonts w:ascii="宋体" w:cs="宋体"/>
          <w:kern w:val="0"/>
          <w:sz w:val="24"/>
          <w:szCs w:val="24"/>
        </w:rPr>
      </w:pPr>
      <w:r>
        <w:rPr>
          <w:rFonts w:hint="eastAsia" w:ascii="宋体" w:hAnsi="宋体" w:cs="宋体"/>
          <w:kern w:val="0"/>
          <w:sz w:val="24"/>
          <w:szCs w:val="24"/>
        </w:rPr>
        <w:t>投标截止时间之后送达或上传的投标文件，招标人将拒绝接收。</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投标文件的修改和撤回</w:t>
      </w:r>
    </w:p>
    <w:p>
      <w:pPr>
        <w:pStyle w:val="42"/>
        <w:numPr>
          <w:ilvl w:val="0"/>
          <w:numId w:val="13"/>
        </w:numPr>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投标人在投标截止时间前，对所递交的纸质投标文件进行补充、修改或者撤回的，须书面通知招标人。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投标人补充、修改的内容并作为投标文件的组成部分。补充或修改应当按招标文件要求签署、盖章、密封、递交，并应注明“修改</w:t>
      </w:r>
      <w:r>
        <w:rPr>
          <w:rFonts w:hint="eastAsia" w:ascii="宋体" w:cs="宋体"/>
          <w:kern w:val="0"/>
          <w:sz w:val="24"/>
          <w:szCs w:val="24"/>
        </w:rPr>
        <w:t>”</w:t>
      </w:r>
      <w:r>
        <w:rPr>
          <w:rFonts w:hint="eastAsia" w:ascii="宋体" w:hAnsi="宋体" w:cs="宋体"/>
          <w:kern w:val="0"/>
          <w:sz w:val="24"/>
          <w:szCs w:val="24"/>
        </w:rPr>
        <w:t>或“补充</w:t>
      </w:r>
      <w:r>
        <w:rPr>
          <w:rFonts w:hint="eastAsia" w:ascii="宋体" w:cs="宋体"/>
          <w:kern w:val="0"/>
          <w:sz w:val="24"/>
          <w:szCs w:val="24"/>
        </w:rPr>
        <w:t>”</w:t>
      </w:r>
      <w:r>
        <w:rPr>
          <w:rFonts w:hint="eastAsia" w:ascii="宋体" w:hAnsi="宋体" w:cs="宋体"/>
          <w:kern w:val="0"/>
          <w:sz w:val="24"/>
          <w:szCs w:val="24"/>
        </w:rPr>
        <w:t>字样。</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投标人在递交纸质投标文件后，可以撤回其投标，但投标人必须在规定的投标截止时间前以书面形式告知招标人。</w:t>
      </w:r>
    </w:p>
    <w:p>
      <w:pPr>
        <w:autoSpaceDE w:val="0"/>
        <w:autoSpaceDN w:val="0"/>
        <w:spacing w:line="360" w:lineRule="auto"/>
        <w:contextualSpacing/>
        <w:rPr>
          <w:rFonts w:ascii="宋体" w:cs="宋体"/>
          <w:kern w:val="0"/>
          <w:sz w:val="24"/>
          <w:szCs w:val="24"/>
        </w:rPr>
      </w:pPr>
      <w:r>
        <w:rPr>
          <w:rFonts w:hint="eastAsia" w:ascii="宋体" w:cs="宋体"/>
          <w:kern w:val="0"/>
          <w:sz w:val="24"/>
          <w:szCs w:val="24"/>
        </w:rPr>
        <w:t xml:space="preserve">22.4 </w:t>
      </w:r>
      <w:r>
        <w:rPr>
          <w:rFonts w:hint="eastAsia" w:ascii="宋体" w:hAnsi="宋体" w:cs="宋体"/>
          <w:kern w:val="0"/>
          <w:sz w:val="24"/>
          <w:szCs w:val="24"/>
        </w:rPr>
        <w:t>投标人不得在投标有效期内撤销投标文件，否则招标人将不退还其投标保证金。</w:t>
      </w:r>
    </w:p>
    <w:p>
      <w:pPr>
        <w:pStyle w:val="42"/>
        <w:autoSpaceDE w:val="0"/>
        <w:autoSpaceDN w:val="0"/>
        <w:spacing w:line="360" w:lineRule="auto"/>
        <w:ind w:firstLine="0" w:firstLineChars="0"/>
        <w:contextualSpacing/>
        <w:rPr>
          <w:rFonts w:ascii="宋体" w:cs="宋体"/>
          <w:bCs/>
          <w:kern w:val="0"/>
          <w:sz w:val="24"/>
          <w:szCs w:val="24"/>
        </w:rPr>
      </w:pPr>
      <w:r>
        <w:rPr>
          <w:rFonts w:hint="eastAsia" w:ascii="宋体" w:hAnsi="宋体" w:cs="宋体"/>
          <w:bCs/>
          <w:kern w:val="0"/>
          <w:sz w:val="24"/>
          <w:szCs w:val="24"/>
        </w:rPr>
        <w:t>22.5 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五、开标和评标</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开标</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23.1 招标人将按招标文件规定的时间和地点组织公开开标。开标由代理机构主持，邀请投标人参加。评标委员会成员不得参加开标活动。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招标人应当对开标、评标现场活动进行全程录音录像。录音录像应当清晰可辨，音像资料作为采购文件一并存档。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）电子投标文件的解密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全流程电子化交易项目电子投标文件采用双重加密。解密需分标段进行两次解密。</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投标人解密：投标人使用本单位</w:t>
      </w:r>
      <w:r>
        <w:rPr>
          <w:rFonts w:ascii="宋体" w:hAnsi="宋体" w:cs="宋体"/>
          <w:kern w:val="0"/>
          <w:sz w:val="24"/>
          <w:szCs w:val="24"/>
        </w:rPr>
        <w:t>CA</w:t>
      </w:r>
      <w:r>
        <w:rPr>
          <w:rFonts w:hint="eastAsia" w:ascii="宋体" w:hAnsi="宋体" w:cs="宋体"/>
          <w:kern w:val="0"/>
          <w:sz w:val="24"/>
          <w:szCs w:val="24"/>
        </w:rPr>
        <w:t>数字证书远程或现场进行解密。需开标现场使用一体机进行解密的，请在代理机构引导下进行。</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代理机构解密：代理机构按电子投标文件到达交易系统的先后顺序，使用本单位</w:t>
      </w:r>
      <w:r>
        <w:rPr>
          <w:rFonts w:ascii="宋体" w:hAnsi="宋体" w:cs="宋体"/>
          <w:kern w:val="0"/>
          <w:sz w:val="24"/>
          <w:szCs w:val="24"/>
        </w:rPr>
        <w:t>CA</w:t>
      </w:r>
      <w:r>
        <w:rPr>
          <w:rFonts w:hint="eastAsia" w:ascii="宋体" w:hAnsi="宋体" w:cs="宋体"/>
          <w:kern w:val="0"/>
          <w:sz w:val="24"/>
          <w:szCs w:val="24"/>
        </w:rPr>
        <w:t>数字证书进行再次解密。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）电子投标文件解密异常情况处理</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因电子交易系统异常无法解密电子投标文件的，使用纸质投标文件以人工方式进行。</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投标人不足</w:t>
      </w:r>
      <w:r>
        <w:rPr>
          <w:rFonts w:ascii="宋体" w:hAnsi="宋体" w:cs="宋体"/>
          <w:kern w:val="0"/>
          <w:sz w:val="24"/>
          <w:szCs w:val="24"/>
        </w:rPr>
        <w:t>3</w:t>
      </w:r>
      <w:r>
        <w:rPr>
          <w:rFonts w:hint="eastAsia" w:ascii="宋体" w:hAnsi="宋体" w:cs="宋体"/>
          <w:kern w:val="0"/>
          <w:sz w:val="24"/>
          <w:szCs w:val="24"/>
        </w:rPr>
        <w:t>家的，不得开标。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开标过程由采购代理机构负责记录，由参加开标的各投标人代表和相关工作人员签字确认后随采购文件一并存档。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投标人未参加开标的，视同认可开标结果。</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资格审查</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开标结束后，采购人按照《政府采购货物和服务招标投标管理办法》（财政部令第</w:t>
      </w:r>
      <w:r>
        <w:rPr>
          <w:rFonts w:ascii="宋体" w:hAnsi="宋体" w:cs="宋体"/>
          <w:kern w:val="0"/>
          <w:sz w:val="24"/>
          <w:szCs w:val="24"/>
        </w:rPr>
        <w:t>87</w:t>
      </w:r>
      <w:r>
        <w:rPr>
          <w:rFonts w:hint="eastAsia" w:ascii="宋体" w:hAnsi="宋体" w:cs="宋体"/>
          <w:kern w:val="0"/>
          <w:sz w:val="24"/>
          <w:szCs w:val="24"/>
        </w:rPr>
        <w:t>号）规定，依法对投标人的资格进行审查。合格投标人不足</w:t>
      </w:r>
      <w:r>
        <w:rPr>
          <w:rFonts w:ascii="宋体" w:hAnsi="宋体" w:cs="宋体"/>
          <w:kern w:val="0"/>
          <w:sz w:val="24"/>
          <w:szCs w:val="24"/>
        </w:rPr>
        <w:t>3</w:t>
      </w:r>
      <w:r>
        <w:rPr>
          <w:rFonts w:hint="eastAsia" w:ascii="宋体" w:hAnsi="宋体" w:cs="宋体"/>
          <w:kern w:val="0"/>
          <w:sz w:val="24"/>
          <w:szCs w:val="24"/>
        </w:rPr>
        <w:t>家的，不得评标。</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评标委员会的组成</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hint="eastAsia" w:ascii="宋体" w:hAnsi="宋体" w:cs="宋体"/>
          <w:kern w:val="0"/>
          <w:sz w:val="24"/>
          <w:szCs w:val="24"/>
        </w:rPr>
        <w:t>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采购项目符合下列情形之一的，评标委员会成员人数应当为</w:t>
      </w:r>
      <w:r>
        <w:rPr>
          <w:rFonts w:ascii="宋体" w:hAnsi="宋体" w:cs="宋体"/>
          <w:kern w:val="0"/>
          <w:sz w:val="24"/>
          <w:szCs w:val="24"/>
        </w:rPr>
        <w:t>7</w:t>
      </w:r>
      <w:r>
        <w:rPr>
          <w:rFonts w:hint="eastAsia" w:ascii="宋体" w:hAnsi="宋体" w:cs="宋体"/>
          <w:kern w:val="0"/>
          <w:sz w:val="24"/>
          <w:szCs w:val="24"/>
        </w:rPr>
        <w:t>人以上单数：</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）采购预算金额在</w:t>
      </w:r>
      <w:r>
        <w:rPr>
          <w:rFonts w:ascii="宋体" w:hAnsi="宋体" w:cs="宋体"/>
          <w:kern w:val="0"/>
          <w:sz w:val="24"/>
          <w:szCs w:val="24"/>
        </w:rPr>
        <w:t>1000</w:t>
      </w:r>
      <w:r>
        <w:rPr>
          <w:rFonts w:hint="eastAsia" w:ascii="宋体" w:hAnsi="宋体" w:cs="宋体"/>
          <w:kern w:val="0"/>
          <w:sz w:val="24"/>
          <w:szCs w:val="24"/>
        </w:rPr>
        <w:t>万元以上；</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）技术复杂；</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）社会影响较大。</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评审专家与投标人存在下列利害关系之一的</w:t>
      </w:r>
      <w:r>
        <w:rPr>
          <w:rFonts w:ascii="宋体" w:cs="宋体"/>
          <w:kern w:val="0"/>
          <w:sz w:val="24"/>
          <w:szCs w:val="24"/>
        </w:rPr>
        <w:t>,</w:t>
      </w:r>
      <w:r>
        <w:rPr>
          <w:rFonts w:hint="eastAsia" w:ascii="宋体" w:hAnsi="宋体" w:cs="宋体"/>
          <w:kern w:val="0"/>
          <w:sz w:val="24"/>
          <w:szCs w:val="24"/>
        </w:rPr>
        <w:t>应当回避</w:t>
      </w:r>
      <w:r>
        <w:rPr>
          <w:rFonts w:ascii="宋体" w:hAnsi="宋体" w:cs="宋体"/>
          <w:kern w:val="0"/>
          <w:sz w:val="24"/>
          <w:szCs w:val="24"/>
        </w:rPr>
        <w:t>:</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）参加采购活动前三年内</w:t>
      </w:r>
      <w:r>
        <w:rPr>
          <w:rFonts w:ascii="宋体" w:cs="宋体"/>
          <w:kern w:val="0"/>
          <w:sz w:val="24"/>
          <w:szCs w:val="24"/>
        </w:rPr>
        <w:t>,</w:t>
      </w:r>
      <w:r>
        <w:rPr>
          <w:rFonts w:hint="eastAsia" w:ascii="宋体" w:hAnsi="宋体" w:cs="宋体"/>
          <w:kern w:val="0"/>
          <w:sz w:val="24"/>
          <w:szCs w:val="24"/>
        </w:rPr>
        <w:t>与供应商存在劳动关系</w:t>
      </w:r>
      <w:r>
        <w:rPr>
          <w:rFonts w:ascii="宋体" w:cs="宋体"/>
          <w:kern w:val="0"/>
          <w:sz w:val="24"/>
          <w:szCs w:val="24"/>
        </w:rPr>
        <w:t>,</w:t>
      </w:r>
      <w:r>
        <w:rPr>
          <w:rFonts w:hint="eastAsia" w:ascii="宋体" w:hAnsi="宋体" w:cs="宋体"/>
          <w:kern w:val="0"/>
          <w:sz w:val="24"/>
          <w:szCs w:val="24"/>
        </w:rPr>
        <w:t>或者担任过供应商的董事、监事</w:t>
      </w:r>
      <w:r>
        <w:rPr>
          <w:rFonts w:ascii="宋体" w:cs="宋体"/>
          <w:kern w:val="0"/>
          <w:sz w:val="24"/>
          <w:szCs w:val="24"/>
        </w:rPr>
        <w:t>,</w:t>
      </w:r>
      <w:r>
        <w:rPr>
          <w:rFonts w:hint="eastAsia" w:ascii="宋体" w:hAnsi="宋体" w:cs="宋体"/>
          <w:kern w:val="0"/>
          <w:sz w:val="24"/>
          <w:szCs w:val="24"/>
        </w:rPr>
        <w:t>或者是供应商的控股股东或实际控制人；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）与供应商的法定代表人或者负责人有夫妻、直系血亲、三代以内旁系血亲或者近姻亲关系；</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）与供应商有其他可能影响政府采购活动公平、公正进行的关系。</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评审专家发现本人与参加采购活动的供应商有利害关系的</w:t>
      </w:r>
      <w:r>
        <w:rPr>
          <w:rFonts w:ascii="宋体" w:cs="宋体"/>
          <w:kern w:val="0"/>
          <w:sz w:val="24"/>
          <w:szCs w:val="24"/>
        </w:rPr>
        <w:t>,</w:t>
      </w:r>
      <w:r>
        <w:rPr>
          <w:rFonts w:hint="eastAsia" w:ascii="宋体" w:hAnsi="宋体" w:cs="宋体"/>
          <w:kern w:val="0"/>
          <w:sz w:val="24"/>
          <w:szCs w:val="24"/>
        </w:rPr>
        <w:t>应当主动提出回避。采购人或者代理机构发现评审专家与参加采购活动的供应商有利害关系的</w:t>
      </w:r>
      <w:r>
        <w:rPr>
          <w:rFonts w:ascii="宋体" w:cs="宋体"/>
          <w:kern w:val="0"/>
          <w:sz w:val="24"/>
          <w:szCs w:val="24"/>
        </w:rPr>
        <w:t>,</w:t>
      </w:r>
      <w:r>
        <w:rPr>
          <w:rFonts w:hint="eastAsia" w:ascii="宋体" w:hAnsi="宋体" w:cs="宋体"/>
          <w:kern w:val="0"/>
          <w:sz w:val="24"/>
          <w:szCs w:val="24"/>
        </w:rPr>
        <w:t>应当要求其回避。</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采购人不得担任评标小组长。</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评标委员会成员名单在评标结果公告前应当保密。</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符合性审查</w:t>
      </w:r>
    </w:p>
    <w:p>
      <w:pPr>
        <w:pStyle w:val="42"/>
        <w:numPr>
          <w:ilvl w:val="0"/>
          <w:numId w:val="14"/>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审查、评价投标文件是否符合招标文件的商务、技术等实质性要求。</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可要求投标人对投标文件有关事项作出澄清或者说明。</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投标文件的澄清</w:t>
      </w:r>
    </w:p>
    <w:p>
      <w:pPr>
        <w:pStyle w:val="42"/>
        <w:numPr>
          <w:ilvl w:val="0"/>
          <w:numId w:val="14"/>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投标人的澄清文件是其投标文件的组成部分。</w:t>
      </w:r>
    </w:p>
    <w:p>
      <w:pPr>
        <w:autoSpaceDE w:val="0"/>
        <w:autoSpaceDN w:val="0"/>
        <w:spacing w:line="360" w:lineRule="auto"/>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投标无效情形</w:t>
      </w:r>
    </w:p>
    <w:p>
      <w:pPr>
        <w:pStyle w:val="42"/>
        <w:autoSpaceDE w:val="0"/>
        <w:autoSpaceDN w:val="0"/>
        <w:spacing w:line="360" w:lineRule="auto"/>
        <w:ind w:firstLine="0" w:firstLineChars="0"/>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投标文件属下列情况之一的，按照无效投标处理：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）未按照招标文件的规定提交投标保证金的；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）投标文件未按招标文件要求签署、盖章的；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）不具备招标文件中规定的资格要求的；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）报价超过招标文件中规定的预算金额或者最高限价的；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）投标文件含有采购人不能接受的附加条件的。</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有下列情形之一的，视为投标人串通投标，其投标无效：</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）不同投标人的投标文件由同一单位或者个人编制；</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）不同投标人委托同一单位或者个人办理投标事宜；</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）不同投标人的投标文件载明的项目管理成员或者联系人员为同一人；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）不同投标人的投标文件异常一致或者投标报价呈规律性差异；</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）不同投标人的投标文件相互混装；</w:t>
      </w:r>
    </w:p>
    <w:p>
      <w:pPr>
        <w:autoSpaceDE w:val="0"/>
        <w:autoSpaceDN w:val="0"/>
        <w:spacing w:line="360" w:lineRule="auto"/>
        <w:ind w:left="420" w:leftChars="200"/>
        <w:contextualSpacing/>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）不同投标人的投标保证金从同一单位或者个人的账户转出。</w:t>
      </w:r>
    </w:p>
    <w:p>
      <w:pPr>
        <w:pStyle w:val="30"/>
        <w:spacing w:line="360" w:lineRule="auto"/>
        <w:ind w:left="480" w:hanging="480" w:hangingChars="200"/>
        <w:rPr>
          <w:rFonts w:ascii="宋体" w:hAnsi="宋体" w:cs="宋体"/>
          <w:szCs w:val="24"/>
        </w:rPr>
      </w:pPr>
      <w:r>
        <w:rPr>
          <w:rFonts w:hint="eastAsia" w:ascii="宋体" w:hAnsi="宋体" w:cs="宋体"/>
          <w:kern w:val="0"/>
          <w:szCs w:val="24"/>
        </w:rPr>
        <w:t xml:space="preserve">28.3 </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0"/>
        <w:spacing w:line="360" w:lineRule="auto"/>
        <w:rPr>
          <w:rFonts w:ascii="宋体" w:hAnsi="宋体" w:cs="宋体"/>
          <w:szCs w:val="24"/>
        </w:rPr>
      </w:pPr>
      <w:r>
        <w:rPr>
          <w:rFonts w:hint="eastAsia" w:ascii="宋体" w:hAnsi="宋体" w:cs="宋体"/>
          <w:szCs w:val="24"/>
        </w:rPr>
        <w:t xml:space="preserve">    （一）提供虚假材料谋取中标、成交的；</w:t>
      </w:r>
    </w:p>
    <w:p>
      <w:pPr>
        <w:pStyle w:val="30"/>
        <w:spacing w:line="360" w:lineRule="auto"/>
        <w:rPr>
          <w:rFonts w:ascii="宋体" w:hAnsi="宋体" w:cs="宋体"/>
          <w:szCs w:val="24"/>
        </w:rPr>
      </w:pPr>
      <w:r>
        <w:rPr>
          <w:rFonts w:hint="eastAsia" w:ascii="宋体" w:hAnsi="宋体" w:cs="宋体"/>
          <w:szCs w:val="24"/>
        </w:rPr>
        <w:t xml:space="preserve">    （二）采取不正当手段诋毁、排挤其他供应商的；</w:t>
      </w:r>
    </w:p>
    <w:p>
      <w:pPr>
        <w:pStyle w:val="30"/>
        <w:spacing w:line="360" w:lineRule="auto"/>
        <w:rPr>
          <w:rFonts w:ascii="宋体" w:hAnsi="宋体" w:cs="宋体"/>
          <w:szCs w:val="24"/>
        </w:rPr>
      </w:pPr>
      <w:r>
        <w:rPr>
          <w:rFonts w:hint="eastAsia" w:ascii="宋体" w:hAnsi="宋体" w:cs="宋体"/>
          <w:szCs w:val="24"/>
        </w:rPr>
        <w:t xml:space="preserve">    （三）与采购人、其他供应商或者采购代理机构恶意串通的；</w:t>
      </w:r>
    </w:p>
    <w:p>
      <w:pPr>
        <w:pStyle w:val="30"/>
        <w:spacing w:line="360" w:lineRule="auto"/>
        <w:rPr>
          <w:rFonts w:ascii="宋体" w:hAnsi="宋体" w:cs="宋体"/>
          <w:szCs w:val="24"/>
        </w:rPr>
      </w:pPr>
      <w:r>
        <w:rPr>
          <w:rFonts w:hint="eastAsia" w:ascii="宋体" w:hAnsi="宋体" w:cs="宋体"/>
          <w:szCs w:val="24"/>
        </w:rPr>
        <w:t xml:space="preserve">    （四）向采购人、采购代理机构行贿或者提供其他不正当利益的；</w:t>
      </w:r>
    </w:p>
    <w:p>
      <w:pPr>
        <w:pStyle w:val="30"/>
        <w:spacing w:line="360" w:lineRule="auto"/>
        <w:rPr>
          <w:rFonts w:ascii="宋体" w:hAnsi="宋体" w:cs="宋体"/>
          <w:szCs w:val="24"/>
        </w:rPr>
      </w:pPr>
      <w:r>
        <w:rPr>
          <w:rFonts w:hint="eastAsia" w:ascii="宋体" w:hAnsi="宋体" w:cs="宋体"/>
          <w:szCs w:val="24"/>
        </w:rPr>
        <w:t xml:space="preserve">    （五）在招标采购过程中与采购人进行协商谈判的；</w:t>
      </w:r>
    </w:p>
    <w:p>
      <w:pPr>
        <w:pStyle w:val="30"/>
        <w:spacing w:line="360" w:lineRule="auto"/>
        <w:rPr>
          <w:rFonts w:ascii="宋体" w:hAnsi="宋体" w:cs="宋体"/>
          <w:szCs w:val="24"/>
        </w:rPr>
      </w:pPr>
      <w:r>
        <w:rPr>
          <w:rFonts w:hint="eastAsia" w:ascii="宋体" w:hAnsi="宋体" w:cs="宋体"/>
          <w:szCs w:val="24"/>
        </w:rPr>
        <w:t xml:space="preserve">    （六）拒绝有关部门监督检查或者提供虚假情况的。</w:t>
      </w:r>
    </w:p>
    <w:p>
      <w:pPr>
        <w:pStyle w:val="30"/>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28.6 法律、法规和招标文件规定的其他无效情形。</w:t>
      </w:r>
    </w:p>
    <w:p>
      <w:pPr>
        <w:pStyle w:val="42"/>
        <w:autoSpaceDE w:val="0"/>
        <w:autoSpaceDN w:val="0"/>
        <w:spacing w:line="360" w:lineRule="auto"/>
        <w:ind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评标方法、评标标准</w:t>
      </w:r>
    </w:p>
    <w:p>
      <w:pPr>
        <w:pStyle w:val="42"/>
        <w:autoSpaceDE w:val="0"/>
        <w:autoSpaceDN w:val="0"/>
        <w:spacing w:line="360" w:lineRule="auto"/>
        <w:ind w:firstLine="482"/>
        <w:contextualSpacing/>
        <w:rPr>
          <w:rFonts w:ascii="宋体" w:cs="宋体"/>
          <w:kern w:val="0"/>
          <w:sz w:val="24"/>
          <w:szCs w:val="24"/>
        </w:rPr>
      </w:pPr>
      <w:r>
        <w:rPr>
          <w:rFonts w:hint="eastAsia" w:ascii="宋体" w:hAnsi="宋体" w:cs="宋体"/>
          <w:b/>
          <w:kern w:val="0"/>
          <w:sz w:val="24"/>
          <w:szCs w:val="24"/>
        </w:rPr>
        <w:t>本次评标具体评标方法、评标标准见（第六章资格审查与评标）</w:t>
      </w:r>
      <w:r>
        <w:rPr>
          <w:rFonts w:hint="eastAsia" w:ascii="宋体" w:hAnsi="宋体" w:cs="宋体"/>
          <w:kern w:val="0"/>
          <w:sz w:val="24"/>
          <w:szCs w:val="24"/>
        </w:rPr>
        <w:t>。</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推荐中标候选人</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firstLine="0" w:firstLineChars="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1.2 推荐中标候选人名单</w:t>
      </w:r>
    </w:p>
    <w:p>
      <w:pPr>
        <w:pStyle w:val="4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kern w:val="0"/>
          <w:sz w:val="24"/>
          <w:szCs w:val="24"/>
        </w:rPr>
        <w:t>根据采购需要、商务、服务均能满足招标文件要求，按照所有符合招标文件要求的资产评估机</w:t>
      </w:r>
      <w:r>
        <w:rPr>
          <w:rFonts w:hint="eastAsia" w:ascii="宋体" w:hAnsi="宋体" w:cs="宋体"/>
          <w:color w:val="auto"/>
          <w:kern w:val="0"/>
          <w:sz w:val="24"/>
          <w:szCs w:val="24"/>
        </w:rPr>
        <w:t>构得分由高到低顺序推荐</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名投标人入库。</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如有效投标人大于</w:t>
      </w:r>
      <w:r>
        <w:rPr>
          <w:rFonts w:ascii="宋体" w:hAnsi="宋体" w:cs="宋体"/>
          <w:kern w:val="0"/>
          <w:sz w:val="24"/>
          <w:szCs w:val="24"/>
        </w:rPr>
        <w:t>3</w:t>
      </w:r>
      <w:r>
        <w:rPr>
          <w:rFonts w:hint="eastAsia" w:ascii="宋体" w:hAnsi="宋体" w:cs="宋体"/>
          <w:kern w:val="0"/>
          <w:sz w:val="24"/>
          <w:szCs w:val="24"/>
        </w:rPr>
        <w:t>家但少于拟中标单位数量，将全部推荐为中标候选人。投标人不足</w:t>
      </w:r>
      <w:r>
        <w:rPr>
          <w:rFonts w:ascii="宋体" w:hAnsi="宋体" w:cs="宋体"/>
          <w:kern w:val="0"/>
          <w:sz w:val="24"/>
          <w:szCs w:val="24"/>
        </w:rPr>
        <w:t>3</w:t>
      </w:r>
      <w:r>
        <w:rPr>
          <w:rFonts w:hint="eastAsia" w:ascii="宋体" w:hAnsi="宋体" w:cs="宋体"/>
          <w:kern w:val="0"/>
          <w:sz w:val="24"/>
          <w:szCs w:val="24"/>
        </w:rPr>
        <w:t>家的，视同本次招标失败。</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如出现得分相同，则对得分相同的投标人按以下原则，按序排名：</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（第一）投标人资产评估师、土地估价师、注册房地产估价师较多者优先；</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（第二）投标人成立时间早的优先。</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如仍不能按规定数量确定入库投标人的，则由评标委员会针对排名相同的投标人进行举手表决。</w:t>
      </w:r>
    </w:p>
    <w:p>
      <w:pPr>
        <w:pStyle w:val="42"/>
        <w:autoSpaceDE w:val="0"/>
        <w:autoSpaceDN w:val="0"/>
        <w:spacing w:line="360" w:lineRule="auto"/>
        <w:ind w:left="420" w:firstLine="48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评审意见无效情形</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）确定参与评标至评标结束前私自接触投标人；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）接受投标人提出的与投标文件不一致的澄清或者说明，《投标人须知》第</w:t>
      </w:r>
      <w:r>
        <w:rPr>
          <w:rFonts w:ascii="宋体" w:hAnsi="宋体" w:cs="宋体"/>
          <w:kern w:val="0"/>
          <w:sz w:val="24"/>
          <w:szCs w:val="24"/>
        </w:rPr>
        <w:t>2</w:t>
      </w:r>
      <w:r>
        <w:rPr>
          <w:rFonts w:hint="eastAsia" w:ascii="宋体" w:hAnsi="宋体" w:cs="宋体"/>
          <w:kern w:val="0"/>
          <w:sz w:val="24"/>
          <w:szCs w:val="24"/>
        </w:rPr>
        <w:t>7条规定的情形除外；</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）违反评标纪律发表倾向性意见或者征询采购人的倾向性意见；</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）对需要专业判断的主观评审因素协商评分；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）在评标过程中擅离职守，影响评标程序正常进行的；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）记录、复制或者带走任何评标资料；</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）其他不遵守评标纪律的行为。</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保密</w:t>
      </w:r>
    </w:p>
    <w:p>
      <w:pPr>
        <w:pStyle w:val="42"/>
        <w:autoSpaceDE w:val="0"/>
        <w:autoSpaceDN w:val="0"/>
        <w:spacing w:line="360" w:lineRule="auto"/>
        <w:ind w:left="480" w:hanging="480" w:hangingChars="20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评审专家应当遵守评审工作纪律，不得泄露评审文件、评审情况和评审中获悉的商业秘密。</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sz w:val="24"/>
          <w:szCs w:val="24"/>
          <w:lang w:val="zh-CN"/>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六、定标和授予合同</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确定中标人</w:t>
      </w:r>
    </w:p>
    <w:p>
      <w:pPr>
        <w:pStyle w:val="42"/>
        <w:autoSpaceDE w:val="0"/>
        <w:autoSpaceDN w:val="0"/>
        <w:spacing w:line="360" w:lineRule="auto"/>
        <w:ind w:left="720" w:hanging="720" w:hangingChars="30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采购人应当自收到评标报告之日起</w:t>
      </w:r>
      <w:r>
        <w:rPr>
          <w:rFonts w:ascii="宋体" w:hAnsi="宋体" w:cs="宋体"/>
          <w:kern w:val="0"/>
          <w:sz w:val="24"/>
          <w:szCs w:val="24"/>
        </w:rPr>
        <w:t>5</w:t>
      </w:r>
      <w:r>
        <w:rPr>
          <w:rFonts w:hint="eastAsia" w:ascii="宋体" w:hAnsi="宋体" w:cs="宋体"/>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hint="eastAsia" w:ascii="宋体" w:hAnsi="宋体" w:cs="宋体"/>
          <w:kern w:val="0"/>
          <w:sz w:val="24"/>
          <w:szCs w:val="24"/>
        </w:rPr>
        <w:t>1.2规定的方式确定。</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采购人在收到评标报告</w:t>
      </w:r>
      <w:r>
        <w:rPr>
          <w:rFonts w:ascii="宋体" w:hAnsi="宋体" w:cs="宋体"/>
          <w:kern w:val="0"/>
          <w:sz w:val="24"/>
          <w:szCs w:val="24"/>
        </w:rPr>
        <w:t>5</w:t>
      </w:r>
      <w:r>
        <w:rPr>
          <w:rFonts w:hint="eastAsia" w:ascii="宋体" w:hAnsi="宋体" w:cs="宋体"/>
          <w:kern w:val="0"/>
          <w:sz w:val="24"/>
          <w:szCs w:val="24"/>
        </w:rPr>
        <w:t>个工作日内未按评标报告推荐的中标候选人顺序确定中标人，又不能说明合法理由的，视同按评标报告推荐的顺序确定的中标候选人为中标人。</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中标公告、发出中标通知书</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35.1 采购人确认中标人后，招标人在公告中标结果的同时，向中标人发出中标通知书。</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中标通知书发出后，采购人不得违法改变中标结果，中标人无正当理由不得放弃中标。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中标人在接到中标通知时，须向代理机构发送投标开标一览表及相关承诺函（包含主要中标标的的名称、服务要求等）电子文档，并同时通知代理机构联系人。</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36.1供应商认为采购文件、采购过程和中标结果使自己的权益受到损害的，可以按照</w:t>
      </w:r>
      <w:r>
        <w:rPr>
          <w:rFonts w:hint="eastAsia" w:ascii="宋体" w:cs="宋体"/>
          <w:bCs/>
          <w:kern w:val="0"/>
          <w:sz w:val="24"/>
          <w:lang w:val="zh-CN"/>
        </w:rPr>
        <w:t>财政部94号令</w:t>
      </w:r>
      <w:r>
        <w:rPr>
          <w:rFonts w:hint="eastAsia" w:ascii="宋体" w:hAnsi="宋体" w:cs="宋体"/>
          <w:bCs/>
          <w:sz w:val="24"/>
          <w:szCs w:val="24"/>
          <w:lang w:val="zh-CN"/>
        </w:rPr>
        <w:t>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36.1.1 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36.1.3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36.2.2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 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36.3.3 对中标结果提出质疑的，质疑供应商和其他有关供应商在法定时限内联系采购单位领取书面质疑回复函。</w:t>
      </w:r>
    </w:p>
    <w:p>
      <w:pPr>
        <w:pStyle w:val="42"/>
        <w:autoSpaceDE w:val="0"/>
        <w:autoSpaceDN w:val="0"/>
        <w:spacing w:line="360" w:lineRule="auto"/>
        <w:ind w:left="420" w:firstLine="0" w:firstLineChars="0"/>
        <w:contextualSpacing/>
        <w:rPr>
          <w:rFonts w:ascii="宋体" w:cs="宋体"/>
          <w:b/>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采购人应当自中标通知书发出之日起</w:t>
      </w:r>
      <w:r>
        <w:rPr>
          <w:rFonts w:ascii="宋体" w:hAnsi="宋体" w:cs="宋体"/>
          <w:kern w:val="0"/>
          <w:sz w:val="24"/>
          <w:szCs w:val="24"/>
        </w:rPr>
        <w:t>30</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p>
    <w:p>
      <w:pPr>
        <w:widowControl/>
        <w:shd w:val="clear" w:color="auto" w:fill="FFFFFF"/>
        <w:spacing w:line="360" w:lineRule="auto"/>
        <w:contextualSpacing/>
        <w:jc w:val="left"/>
        <w:rPr>
          <w:sz w:val="24"/>
          <w:szCs w:val="24"/>
        </w:rPr>
      </w:pPr>
      <w:r>
        <w:rPr>
          <w:rFonts w:hint="eastAsia"/>
          <w:sz w:val="24"/>
          <w:szCs w:val="24"/>
        </w:rPr>
        <w:t>本次招标只确定入库单位，中标的投标人进入许昌市城乡一体化示范区财政局的《中介机构服务备选库》，具备接受委托参与政府购买</w:t>
      </w:r>
      <w:r>
        <w:rPr>
          <w:rFonts w:hint="eastAsia"/>
          <w:sz w:val="24"/>
          <w:szCs w:val="24"/>
          <w:lang w:eastAsia="zh-CN"/>
        </w:rPr>
        <w:t>资产评估</w:t>
      </w:r>
      <w:r>
        <w:rPr>
          <w:rFonts w:hint="eastAsia"/>
          <w:sz w:val="24"/>
          <w:szCs w:val="24"/>
        </w:rPr>
        <w:t>服务的资格，待有项目需要中介机构服务时，根据《许昌市城乡一体化示范区政府购买中介机构服务管理暂行办法（试行）》规定来确定受委托单位，再与委托单位订立书面合同。投标人无正当理由拒签合同的，采购人将取消其入库资格。</w:t>
      </w:r>
    </w:p>
    <w:p>
      <w:pPr>
        <w:autoSpaceDE w:val="0"/>
        <w:autoSpaceDN w:val="0"/>
        <w:spacing w:line="360" w:lineRule="auto"/>
        <w:contextualSpacing/>
        <w:rPr>
          <w:rFonts w:ascii="宋体" w:hAnsi="宋体" w:cs="宋体"/>
          <w:b/>
          <w:kern w:val="0"/>
          <w:sz w:val="24"/>
          <w:szCs w:val="24"/>
        </w:rPr>
      </w:pPr>
    </w:p>
    <w:p>
      <w:pPr>
        <w:numPr>
          <w:ilvl w:val="0"/>
          <w:numId w:val="15"/>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其他</w:t>
      </w: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r>
        <w:rPr>
          <w:rFonts w:hint="eastAsia"/>
          <w:sz w:val="24"/>
          <w:szCs w:val="24"/>
        </w:rPr>
        <w:t>本次招标文件未尽事项，以法律法规规定的为准。</w:t>
      </w:r>
      <w:r>
        <w:rPr>
          <w:rFonts w:ascii="宋体" w:cs="宋体"/>
          <w:sz w:val="24"/>
          <w:szCs w:val="24"/>
        </w:rPr>
        <w:br w:type="textWrapping"/>
      </w: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p>
    <w:p>
      <w:pPr>
        <w:tabs>
          <w:tab w:val="left" w:pos="1260"/>
        </w:tabs>
        <w:autoSpaceDE w:val="0"/>
        <w:autoSpaceDN w:val="0"/>
        <w:spacing w:line="360" w:lineRule="auto"/>
        <w:ind w:left="3370" w:leftChars="228" w:hanging="2891" w:hangingChars="800"/>
        <w:contextualSpacing/>
        <w:jc w:val="center"/>
        <w:rPr>
          <w:rFonts w:ascii="宋体" w:hAnsi="宋体" w:cs="宋体"/>
          <w:b/>
          <w:kern w:val="0"/>
          <w:sz w:val="36"/>
          <w:szCs w:val="36"/>
        </w:rPr>
      </w:pPr>
      <w:r>
        <w:rPr>
          <w:rFonts w:hint="eastAsia" w:ascii="宋体" w:hAnsi="宋体" w:cs="宋体"/>
          <w:b/>
          <w:kern w:val="0"/>
          <w:sz w:val="36"/>
          <w:szCs w:val="36"/>
        </w:rPr>
        <w:t>第五章 政府采购政策功能</w:t>
      </w:r>
    </w:p>
    <w:p>
      <w:pPr>
        <w:pStyle w:val="17"/>
        <w:widowControl/>
        <w:shd w:val="clear" w:color="auto" w:fill="FFFFFF"/>
        <w:spacing w:line="360" w:lineRule="auto"/>
        <w:ind w:firstLine="420"/>
        <w:contextualSpacing/>
        <w:jc w:val="left"/>
        <w:rPr>
          <w:rFonts w:cs="黑体"/>
        </w:rPr>
      </w:pPr>
      <w:r>
        <w:rPr>
          <w:rFonts w:hint="eastAsia" w:cs="黑体"/>
        </w:rPr>
        <w:t>若参与本项目的投标人为中小微型企业，</w:t>
      </w:r>
      <w:r>
        <w:rPr>
          <w:rFonts w:hint="eastAsia" w:cs="黑体"/>
          <w:lang w:val="zh-CN"/>
        </w:rPr>
        <w:t>根据《中华人民共和国政府采购法》、《中华人民共和国政府采购法实施条例》、《政府采购货物和服务招标投标管理办法》等规定，</w:t>
      </w:r>
      <w:r>
        <w:rPr>
          <w:rFonts w:hint="eastAsia" w:cs="黑体"/>
        </w:rPr>
        <w:t>落实相关政府采购政策</w:t>
      </w:r>
      <w:r>
        <w:rPr>
          <w:rFonts w:hint="eastAsia" w:cs="黑体"/>
          <w:lang w:val="zh-CN"/>
        </w:rPr>
        <w:t>。</w:t>
      </w:r>
    </w:p>
    <w:p>
      <w:pPr>
        <w:rPr>
          <w:rFonts w:hint="eastAsia" w:ascii="宋体" w:hAnsi="宋体" w:cs="宋体"/>
          <w:b/>
          <w:kern w:val="0"/>
          <w:sz w:val="36"/>
          <w:szCs w:val="36"/>
        </w:rPr>
      </w:pPr>
      <w:r>
        <w:rPr>
          <w:rFonts w:hint="eastAsia" w:ascii="宋体" w:hAnsi="宋体" w:cs="宋体"/>
          <w:b/>
          <w:kern w:val="0"/>
          <w:sz w:val="36"/>
          <w:szCs w:val="36"/>
        </w:rPr>
        <w:br w:type="page"/>
      </w:r>
    </w:p>
    <w:p>
      <w:pPr>
        <w:pStyle w:val="30"/>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30"/>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（三）资格审查中所涉及到的证书及材料，资格审查现场须提供原件，在电子投标文件中提供其原件扫描件（或图片）。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2、法人或者其他组织的营业执照等证明文件，自然人的身份证明（提供原件）</w:t>
            </w:r>
          </w:p>
          <w:p>
            <w:pPr>
              <w:spacing w:line="360" w:lineRule="auto"/>
              <w:rPr>
                <w:rFonts w:ascii="宋体" w:hAnsi="宋体"/>
                <w:bCs/>
                <w:sz w:val="24"/>
                <w:szCs w:val="24"/>
              </w:rPr>
            </w:pPr>
            <w:r>
              <w:rPr>
                <w:rFonts w:hint="eastAsia" w:ascii="宋体" w:hAnsi="宋体"/>
                <w:bCs/>
                <w:sz w:val="24"/>
                <w:szCs w:val="24"/>
              </w:rPr>
              <w:t>（1）企业法人营业执照或营业执照（分公司的营业执照需有独立法人）。</w:t>
            </w:r>
          </w:p>
          <w:p>
            <w:pPr>
              <w:spacing w:line="360" w:lineRule="auto"/>
              <w:rPr>
                <w:rFonts w:ascii="宋体" w:hAnsi="宋体"/>
                <w:bCs/>
                <w:sz w:val="24"/>
                <w:szCs w:val="24"/>
              </w:rPr>
            </w:pPr>
            <w:r>
              <w:rPr>
                <w:rFonts w:hint="eastAsia" w:ascii="宋体" w:hAnsi="宋体"/>
                <w:bCs/>
                <w:sz w:val="24"/>
                <w:szCs w:val="24"/>
              </w:rPr>
              <w:t>（企业投标提供）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Cs/>
                <w:sz w:val="24"/>
                <w:szCs w:val="24"/>
              </w:rPr>
            </w:pPr>
            <w:r>
              <w:rPr>
                <w:rFonts w:hint="eastAsia" w:ascii="宋体" w:hAnsi="宋体"/>
                <w:bCs/>
                <w:sz w:val="24"/>
                <w:szCs w:val="24"/>
              </w:rPr>
              <w:t>（5）自然人身份证明。（自然人投标提供）</w:t>
            </w:r>
          </w:p>
          <w:p>
            <w:pPr>
              <w:spacing w:line="360" w:lineRule="auto"/>
              <w:rPr>
                <w:rFonts w:ascii="宋体" w:hAnsi="宋体"/>
                <w:b/>
                <w:sz w:val="24"/>
                <w:szCs w:val="24"/>
              </w:rPr>
            </w:pPr>
            <w:r>
              <w:rPr>
                <w:rFonts w:hint="eastAsia" w:ascii="宋体" w:hAnsi="宋体"/>
                <w:bCs/>
                <w:sz w:val="24"/>
                <w:szCs w:val="24"/>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3、财务状况报告相关材料（提供原件）</w:t>
            </w:r>
          </w:p>
          <w:p>
            <w:pPr>
              <w:spacing w:line="360" w:lineRule="auto"/>
              <w:rPr>
                <w:rFonts w:ascii="宋体" w:hAnsi="宋体"/>
                <w:bCs/>
                <w:sz w:val="24"/>
                <w:szCs w:val="24"/>
              </w:rPr>
            </w:pPr>
            <w:r>
              <w:rPr>
                <w:rFonts w:hint="eastAsia" w:ascii="宋体" w:hAnsi="宋体"/>
                <w:bCs/>
                <w:sz w:val="24"/>
                <w:szCs w:val="24"/>
              </w:rPr>
              <w:t>（1）第三方审计机构出具的</w:t>
            </w:r>
            <w:r>
              <w:rPr>
                <w:rFonts w:ascii="宋体" w:hAnsi="宋体"/>
                <w:bCs/>
                <w:sz w:val="24"/>
                <w:szCs w:val="24"/>
              </w:rPr>
              <w:t>201</w:t>
            </w:r>
            <w:r>
              <w:rPr>
                <w:rFonts w:hint="eastAsia" w:ascii="宋体" w:hAnsi="宋体"/>
                <w:bCs/>
                <w:sz w:val="24"/>
                <w:szCs w:val="24"/>
                <w:lang w:val="en-US" w:eastAsia="zh-CN"/>
              </w:rPr>
              <w:t>8</w:t>
            </w:r>
            <w:r>
              <w:rPr>
                <w:rFonts w:hint="eastAsia" w:ascii="宋体" w:hAnsi="宋体"/>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4、依法缴纳税收相关材料（提供原件）</w:t>
            </w:r>
          </w:p>
          <w:p>
            <w:pPr>
              <w:spacing w:line="360" w:lineRule="auto"/>
              <w:rPr>
                <w:rFonts w:ascii="宋体" w:hAnsi="宋体"/>
                <w:b/>
                <w:sz w:val="24"/>
                <w:szCs w:val="24"/>
              </w:rPr>
            </w:pPr>
            <w:r>
              <w:rPr>
                <w:rFonts w:hint="eastAsia" w:ascii="宋体" w:hAnsi="宋体"/>
                <w:bCs/>
                <w:sz w:val="24"/>
                <w:szCs w:val="24"/>
              </w:rPr>
              <w:t>税务登记证和投标截止时间前201</w:t>
            </w:r>
            <w:r>
              <w:rPr>
                <w:rFonts w:hint="eastAsia" w:ascii="宋体" w:hAnsi="宋体"/>
                <w:bCs/>
                <w:sz w:val="24"/>
                <w:szCs w:val="24"/>
                <w:lang w:val="en-US" w:eastAsia="zh-CN"/>
              </w:rPr>
              <w:t>9</w:t>
            </w:r>
            <w:r>
              <w:rPr>
                <w:rFonts w:hint="eastAsia" w:ascii="宋体" w:hAnsi="宋体"/>
                <w:bCs/>
                <w:sz w:val="24"/>
                <w:szCs w:val="24"/>
              </w:rPr>
              <w:t>年</w:t>
            </w:r>
            <w:r>
              <w:rPr>
                <w:rFonts w:hint="eastAsia" w:ascii="宋体" w:hAnsi="宋体"/>
                <w:bCs/>
                <w:sz w:val="24"/>
                <w:szCs w:val="24"/>
                <w:lang w:val="en-US" w:eastAsia="zh-CN"/>
              </w:rPr>
              <w:t>2</w:t>
            </w:r>
            <w:r>
              <w:rPr>
                <w:rFonts w:hint="eastAsia" w:ascii="宋体" w:hAnsi="宋体"/>
                <w:bCs/>
                <w:sz w:val="24"/>
                <w:szCs w:val="24"/>
              </w:rPr>
              <w:t>月至</w:t>
            </w:r>
            <w:r>
              <w:rPr>
                <w:rFonts w:hint="eastAsia" w:ascii="宋体" w:hAnsi="宋体"/>
                <w:bCs/>
                <w:sz w:val="24"/>
                <w:szCs w:val="24"/>
                <w:lang w:val="en-US" w:eastAsia="zh-CN"/>
              </w:rPr>
              <w:t>4</w:t>
            </w:r>
            <w:r>
              <w:rPr>
                <w:rFonts w:hint="eastAsia" w:ascii="宋体" w:hAnsi="宋体"/>
                <w:bCs/>
                <w:sz w:val="24"/>
                <w:szCs w:val="24"/>
              </w:rPr>
              <w:t>月三个月的缴纳税收凭据。（依法免税的投标人，应提供相应文件证明依法免税）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hint="eastAsia" w:ascii="宋体" w:hAnsi="宋体"/>
                <w:b/>
                <w:bCs/>
                <w:sz w:val="24"/>
                <w:szCs w:val="24"/>
              </w:rPr>
              <w:t>5、依法缴纳社会保障资金的证明材料（提供原件）</w:t>
            </w:r>
          </w:p>
          <w:p>
            <w:pPr>
              <w:spacing w:line="360" w:lineRule="auto"/>
              <w:rPr>
                <w:rFonts w:ascii="宋体" w:hAnsi="宋体"/>
                <w:bCs/>
                <w:sz w:val="24"/>
                <w:szCs w:val="24"/>
              </w:rPr>
            </w:pPr>
            <w:r>
              <w:rPr>
                <w:rFonts w:hint="eastAsia" w:ascii="宋体" w:hAnsi="宋体"/>
                <w:bCs/>
                <w:sz w:val="24"/>
                <w:szCs w:val="24"/>
              </w:rPr>
              <w:t>投标截止时间前201</w:t>
            </w:r>
            <w:r>
              <w:rPr>
                <w:rFonts w:hint="eastAsia" w:ascii="宋体" w:hAnsi="宋体"/>
                <w:bCs/>
                <w:sz w:val="24"/>
                <w:szCs w:val="24"/>
                <w:lang w:val="en-US" w:eastAsia="zh-CN"/>
              </w:rPr>
              <w:t>9</w:t>
            </w:r>
            <w:r>
              <w:rPr>
                <w:rFonts w:hint="eastAsia" w:ascii="宋体" w:hAnsi="宋体"/>
                <w:bCs/>
                <w:sz w:val="24"/>
                <w:szCs w:val="24"/>
              </w:rPr>
              <w:t>年</w:t>
            </w:r>
            <w:r>
              <w:rPr>
                <w:rFonts w:hint="eastAsia" w:ascii="宋体" w:hAnsi="宋体"/>
                <w:bCs/>
                <w:sz w:val="24"/>
                <w:szCs w:val="24"/>
                <w:lang w:val="en-US" w:eastAsia="zh-CN"/>
              </w:rPr>
              <w:t>2</w:t>
            </w:r>
            <w:r>
              <w:rPr>
                <w:rFonts w:hint="eastAsia" w:ascii="宋体" w:hAnsi="宋体"/>
                <w:bCs/>
                <w:sz w:val="24"/>
                <w:szCs w:val="24"/>
              </w:rPr>
              <w:t>月至</w:t>
            </w:r>
            <w:r>
              <w:rPr>
                <w:rFonts w:hint="eastAsia" w:ascii="宋体" w:hAnsi="宋体"/>
                <w:bCs/>
                <w:sz w:val="24"/>
                <w:szCs w:val="24"/>
                <w:lang w:val="en-US" w:eastAsia="zh-CN"/>
              </w:rPr>
              <w:t>4</w:t>
            </w:r>
            <w:r>
              <w:rPr>
                <w:rFonts w:hint="eastAsia" w:ascii="宋体" w:hAnsi="宋体"/>
                <w:bCs/>
                <w:sz w:val="24"/>
                <w:szCs w:val="24"/>
              </w:rPr>
              <w:t>月三个月的缴纳社会保险凭据。（依法不需要缴纳社会保障资金的投标人，应提供相应文件证明依法不需要缴纳社会保障资金）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cs="宋体"/>
                <w:b/>
                <w:kern w:val="0"/>
                <w:sz w:val="24"/>
                <w:szCs w:val="24"/>
              </w:rPr>
            </w:pPr>
            <w:r>
              <w:rPr>
                <w:rFonts w:hint="eastAsia" w:ascii="宋体" w:hAnsi="宋体" w:cs="宋体"/>
                <w:b/>
                <w:kern w:val="0"/>
                <w:sz w:val="24"/>
                <w:szCs w:val="24"/>
              </w:rPr>
              <w:t>6、投标人其他资格要求（提供原件）</w:t>
            </w:r>
          </w:p>
          <w:p>
            <w:pPr>
              <w:spacing w:line="360" w:lineRule="auto"/>
              <w:rPr>
                <w:rFonts w:ascii="宋体" w:hAnsi="宋体"/>
                <w:b/>
                <w:bCs/>
                <w:sz w:val="24"/>
                <w:szCs w:val="24"/>
              </w:rPr>
            </w:pPr>
            <w:r>
              <w:rPr>
                <w:rFonts w:hint="eastAsia" w:ascii="宋体" w:hAnsi="宋体" w:cs="宋体"/>
                <w:bCs/>
                <w:kern w:val="0"/>
                <w:sz w:val="24"/>
                <w:szCs w:val="24"/>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cs="宋体"/>
                <w:b/>
                <w:kern w:val="0"/>
                <w:sz w:val="24"/>
                <w:szCs w:val="24"/>
                <w:lang w:val="zh-CN" w:eastAsia="zh-CN"/>
              </w:rPr>
            </w:pPr>
            <w:r>
              <w:rPr>
                <w:rFonts w:hint="eastAsia" w:ascii="宋体" w:hAnsi="宋体" w:cs="宋体"/>
                <w:b/>
                <w:kern w:val="0"/>
                <w:sz w:val="24"/>
                <w:szCs w:val="24"/>
                <w:lang w:val="en-US" w:eastAsia="zh-CN"/>
              </w:rPr>
              <w:t>7</w:t>
            </w:r>
            <w:r>
              <w:rPr>
                <w:rFonts w:hint="eastAsia" w:ascii="宋体" w:hAnsi="宋体" w:cs="宋体"/>
                <w:b/>
                <w:kern w:val="0"/>
                <w:sz w:val="24"/>
                <w:szCs w:val="24"/>
                <w:lang w:val="zh-CN" w:eastAsia="zh-CN"/>
              </w:rPr>
              <w:t>、履行合同所必须的设备和专业技术能力的证明材料（提供原件）</w:t>
            </w:r>
          </w:p>
          <w:p>
            <w:pPr>
              <w:autoSpaceDE w:val="0"/>
              <w:autoSpaceDN w:val="0"/>
              <w:adjustRightInd w:val="0"/>
              <w:spacing w:line="360" w:lineRule="auto"/>
              <w:ind w:right="-11"/>
              <w:rPr>
                <w:rFonts w:hint="eastAsia" w:ascii="宋体" w:hAnsi="宋体" w:cs="宋体"/>
                <w:bCs/>
                <w:kern w:val="0"/>
                <w:sz w:val="24"/>
                <w:szCs w:val="24"/>
              </w:rPr>
            </w:pPr>
            <w:r>
              <w:rPr>
                <w:rFonts w:hint="eastAsia" w:ascii="宋体" w:hAnsi="宋体" w:cs="宋体"/>
                <w:bCs/>
                <w:color w:val="000000" w:themeColor="text1"/>
                <w:kern w:val="0"/>
                <w:sz w:val="24"/>
                <w:szCs w:val="24"/>
                <w:lang w:val="zh-CN"/>
              </w:rPr>
              <w:t>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lang w:val="en-US" w:eastAsia="zh-CN"/>
              </w:rPr>
              <w:t>8</w:t>
            </w:r>
            <w:r>
              <w:rPr>
                <w:rFonts w:hint="eastAsia" w:ascii="宋体" w:hAnsi="宋体"/>
                <w:b/>
                <w:bCs/>
                <w:sz w:val="24"/>
                <w:szCs w:val="24"/>
              </w:rPr>
              <w:t>、参加政府采购活动前3年内在经营活动中没有重大违法记录的声明（提供原件）</w:t>
            </w:r>
          </w:p>
          <w:p>
            <w:pPr>
              <w:spacing w:line="360" w:lineRule="auto"/>
              <w:rPr>
                <w:rFonts w:ascii="宋体" w:hAnsi="宋体"/>
                <w:b/>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ascii="宋体"/>
                <w:b/>
                <w:bCs/>
                <w:sz w:val="24"/>
                <w:szCs w:val="24"/>
              </w:rPr>
            </w:pPr>
            <w:r>
              <w:rPr>
                <w:rFonts w:hint="eastAsia" w:ascii="宋体" w:hAnsi="宋体"/>
                <w:b/>
                <w:bCs/>
                <w:sz w:val="24"/>
                <w:szCs w:val="24"/>
                <w:lang w:val="en-US" w:eastAsia="zh-CN"/>
              </w:rPr>
              <w:t>9</w:t>
            </w:r>
            <w:r>
              <w:rPr>
                <w:rFonts w:hint="eastAsia" w:ascii="宋体" w:hAnsi="宋体"/>
                <w:b/>
                <w:bCs/>
                <w:sz w:val="24"/>
                <w:szCs w:val="24"/>
              </w:rPr>
              <w:t>、</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严重违法失信企业名单（黑名单）的投标人。(本项目投标截止时间前三年内供应商信用记录情况)【截图加盖投标人公章】</w:t>
            </w:r>
          </w:p>
          <w:p>
            <w:pPr>
              <w:spacing w:line="360" w:lineRule="auto"/>
              <w:rPr>
                <w:rFonts w:asci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pPr>
              <w:spacing w:line="360" w:lineRule="auto"/>
              <w:rPr>
                <w:rFonts w:ascii="宋体"/>
                <w:bCs/>
                <w:sz w:val="24"/>
                <w:szCs w:val="24"/>
                <w:highlight w:val="yellow"/>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）查询渠道：“信用中国”网站（</w:t>
            </w:r>
            <w:r>
              <w:rPr>
                <w:rFonts w:ascii="宋体" w:hAnsi="宋体"/>
                <w:bCs/>
                <w:sz w:val="24"/>
                <w:szCs w:val="24"/>
              </w:rPr>
              <w:t>www.creditchina.gov.cn</w:t>
            </w:r>
            <w:r>
              <w:rPr>
                <w:rFonts w:hint="eastAsia" w:ascii="宋体" w:hAnsi="宋体"/>
                <w:bCs/>
                <w:sz w:val="24"/>
                <w:szCs w:val="24"/>
              </w:rPr>
              <w:t>）和“中国政府采购网”（</w:t>
            </w:r>
            <w:r>
              <w:rPr>
                <w:rFonts w:ascii="宋体" w:hAnsi="宋体"/>
                <w:bCs/>
                <w:sz w:val="24"/>
                <w:szCs w:val="24"/>
              </w:rPr>
              <w:t>www.ccgp.gov.cn</w:t>
            </w:r>
            <w:r>
              <w:rPr>
                <w:rFonts w:hint="eastAsia" w:ascii="宋体" w:hAnsi="宋体"/>
                <w:bCs/>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 w:val="24"/>
                <w:szCs w:val="24"/>
              </w:rPr>
            </w:pPr>
            <w:r>
              <w:rPr>
                <w:rFonts w:hint="eastAsia" w:ascii="宋体" w:hAnsi="宋体"/>
                <w:bCs/>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cs="宋体"/>
                <w:kern w:val="0"/>
                <w:sz w:val="24"/>
                <w:szCs w:val="24"/>
              </w:rPr>
            </w:pPr>
            <w:r>
              <w:rPr>
                <w:rFonts w:hint="eastAsia" w:ascii="宋体" w:hAnsi="宋体"/>
                <w:b/>
                <w:bCs/>
                <w:sz w:val="24"/>
                <w:szCs w:val="24"/>
                <w:lang w:val="en-US" w:eastAsia="zh-CN"/>
              </w:rPr>
              <w:t>10、</w:t>
            </w:r>
            <w:r>
              <w:rPr>
                <w:rFonts w:hint="eastAsia" w:ascii="宋体" w:hAnsi="宋体" w:cs="宋体"/>
                <w:b/>
                <w:bCs/>
                <w:kern w:val="0"/>
                <w:sz w:val="24"/>
                <w:szCs w:val="24"/>
              </w:rPr>
              <w:t>投标人提供的反商业贿赂承诺书</w:t>
            </w:r>
            <w:r>
              <w:rPr>
                <w:rFonts w:hint="eastAsia" w:ascii="宋体" w:hAnsi="宋体"/>
                <w:b/>
                <w:bCs/>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contextualSpacing/>
              <w:rPr>
                <w:rFonts w:ascii="宋体"/>
                <w:b/>
                <w:bCs/>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r>
              <w:rPr>
                <w:rFonts w:hint="eastAsia" w:ascii="宋体" w:hAnsi="宋体"/>
                <w:b/>
                <w:bCs/>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2</w:t>
            </w:r>
            <w:r>
              <w:rPr>
                <w:rFonts w:hint="eastAsia" w:ascii="宋体" w:hAnsi="宋体"/>
                <w:b/>
                <w:sz w:val="24"/>
                <w:szCs w:val="24"/>
              </w:rPr>
              <w:t>、投标保证金</w:t>
            </w:r>
          </w:p>
          <w:p>
            <w:pPr>
              <w:spacing w:line="360" w:lineRule="auto"/>
              <w:rPr>
                <w:rFonts w:ascii="宋体"/>
                <w:b/>
                <w:sz w:val="24"/>
                <w:szCs w:val="24"/>
              </w:rPr>
            </w:pPr>
            <w:r>
              <w:rPr>
                <w:rFonts w:hint="eastAsia" w:ascii="宋体" w:hAnsi="宋体"/>
                <w:sz w:val="24"/>
                <w:szCs w:val="24"/>
              </w:rPr>
              <w:t>是否按投标人须知前附表规定成功交纳。</w:t>
            </w:r>
          </w:p>
        </w:tc>
      </w:tr>
    </w:tbl>
    <w:p>
      <w:pPr>
        <w:pStyle w:val="30"/>
        <w:spacing w:line="360" w:lineRule="auto"/>
        <w:ind w:firstLine="482" w:firstLineChars="200"/>
        <w:contextualSpacing/>
        <w:rPr>
          <w:rFonts w:ascii="宋体" w:hAnsi="宋体" w:cs="仿宋_GB2312"/>
          <w:b/>
          <w:szCs w:val="24"/>
          <w:lang w:val="zh-CN"/>
        </w:rPr>
      </w:pPr>
    </w:p>
    <w:p>
      <w:pPr>
        <w:pStyle w:val="30"/>
        <w:spacing w:line="360" w:lineRule="auto"/>
        <w:contextualSpacing/>
        <w:jc w:val="center"/>
        <w:rPr>
          <w:rFonts w:ascii="宋体" w:hAnsi="宋体" w:cs="仿宋_GB2312"/>
          <w:b/>
          <w:sz w:val="32"/>
          <w:szCs w:val="32"/>
          <w:lang w:val="zh-CN"/>
        </w:rPr>
      </w:pPr>
    </w:p>
    <w:p>
      <w:pPr>
        <w:pStyle w:val="30"/>
        <w:spacing w:line="360" w:lineRule="auto"/>
        <w:contextualSpacing/>
        <w:jc w:val="center"/>
        <w:rPr>
          <w:rFonts w:ascii="宋体" w:hAnsi="宋体" w:cs="仿宋_GB2312"/>
          <w:b/>
          <w:sz w:val="32"/>
          <w:szCs w:val="32"/>
          <w:lang w:val="zh-CN"/>
        </w:rPr>
      </w:pPr>
    </w:p>
    <w:p>
      <w:pPr>
        <w:rPr>
          <w:rFonts w:hint="eastAsia" w:ascii="宋体" w:hAnsi="宋体" w:cs="仿宋_GB2312"/>
          <w:b/>
          <w:sz w:val="32"/>
          <w:szCs w:val="32"/>
          <w:lang w:val="zh-CN"/>
        </w:rPr>
      </w:pPr>
      <w:r>
        <w:rPr>
          <w:rFonts w:hint="eastAsia" w:ascii="宋体" w:hAnsi="宋体" w:cs="仿宋_GB2312"/>
          <w:b/>
          <w:sz w:val="32"/>
          <w:szCs w:val="32"/>
          <w:lang w:val="zh-CN"/>
        </w:rPr>
        <w:br w:type="page"/>
      </w:r>
    </w:p>
    <w:p>
      <w:pPr>
        <w:pStyle w:val="30"/>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3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w:t>
      </w:r>
      <w:r>
        <w:rPr>
          <w:rFonts w:ascii="宋体" w:hAnsi="宋体" w:cs="仿宋_GB2312"/>
          <w:szCs w:val="24"/>
          <w:lang w:val="zh-CN"/>
        </w:rPr>
        <w:t>100</w:t>
      </w:r>
      <w:r>
        <w:rPr>
          <w:rFonts w:hint="eastAsia" w:ascii="宋体" w:hAnsi="宋体" w:cs="仿宋_GB2312"/>
          <w:szCs w:val="24"/>
          <w:lang w:val="zh-CN"/>
        </w:rPr>
        <w:t>分。</w:t>
      </w:r>
    </w:p>
    <w:p>
      <w:pPr>
        <w:pStyle w:val="30"/>
        <w:spacing w:line="360" w:lineRule="auto"/>
        <w:ind w:firstLine="482" w:firstLineChars="200"/>
        <w:contextualSpacing/>
        <w:rPr>
          <w:rFonts w:ascii="宋体" w:cs="仿宋_GB2312"/>
          <w:bCs/>
          <w:szCs w:val="24"/>
          <w:lang w:val="zh-CN"/>
        </w:rPr>
      </w:pPr>
      <w:r>
        <w:rPr>
          <w:rFonts w:hint="eastAsia" w:ascii="宋体" w:hAnsi="宋体" w:cs="仿宋_GB2312"/>
          <w:b/>
          <w:szCs w:val="24"/>
          <w:lang w:val="zh-CN"/>
        </w:rPr>
        <w:t>（二）</w:t>
      </w:r>
      <w:r>
        <w:rPr>
          <w:rFonts w:hint="eastAsia" w:ascii="宋体" w:hAnsi="宋体" w:cs="仿宋_GB2312"/>
          <w:bCs/>
          <w:szCs w:val="24"/>
        </w:rPr>
        <w:t>符合性审查</w:t>
      </w:r>
      <w:r>
        <w:rPr>
          <w:rFonts w:hint="eastAsia" w:ascii="宋体" w:hAnsi="宋体" w:cs="仿宋_GB2312"/>
          <w:bCs/>
          <w:szCs w:val="24"/>
          <w:lang w:val="zh-CN"/>
        </w:rPr>
        <w:t>中所涉及到的证书及材料均须提供原件，并且在电子投标文件中提供其原件扫描件（或图片）。</w:t>
      </w:r>
    </w:p>
    <w:p>
      <w:pPr>
        <w:pStyle w:val="3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(三)</w:t>
      </w:r>
      <w:r>
        <w:rPr>
          <w:rFonts w:ascii="宋体" w:hAnsi="宋体" w:cs="仿宋_GB2312"/>
          <w:b/>
          <w:szCs w:val="24"/>
          <w:lang w:val="zh-CN"/>
        </w:rPr>
        <w:t>评标委员会负责具体评标事务，并独立履行下列职责</w:t>
      </w:r>
    </w:p>
    <w:p>
      <w:pPr>
        <w:pStyle w:val="3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3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1）评标委员会对符合资格的投标人的投标文件进行符合性审查，以确定其是否满足招标文件的商务、技术等实质性要求。</w:t>
      </w:r>
    </w:p>
    <w:p>
      <w:pPr>
        <w:pStyle w:val="30"/>
        <w:spacing w:line="360" w:lineRule="auto"/>
        <w:ind w:firstLine="480" w:firstLineChars="200"/>
        <w:contextualSpacing/>
        <w:rPr>
          <w:rFonts w:ascii="宋体" w:cs="仿宋_GB2312"/>
          <w:szCs w:val="24"/>
        </w:rPr>
      </w:pPr>
      <w:r>
        <w:rPr>
          <w:rFonts w:hint="eastAsia" w:ascii="宋体" w:hAnsi="宋体" w:cs="仿宋_GB2312"/>
          <w:szCs w:val="24"/>
          <w:lang w:val="zh-CN"/>
        </w:rPr>
        <w:t>2）</w:t>
      </w:r>
      <w:r>
        <w:rPr>
          <w:rFonts w:hint="eastAsia" w:ascii="宋体" w:hAnsi="宋体" w:cs="仿宋_GB2312"/>
          <w:szCs w:val="24"/>
        </w:rPr>
        <w:t>在评审过程中</w:t>
      </w:r>
      <w:r>
        <w:rPr>
          <w:rFonts w:hint="eastAsia" w:ascii="宋体" w:hAnsi="宋体" w:cs="仿宋_GB2312"/>
          <w:szCs w:val="24"/>
          <w:lang w:val="zh-CN"/>
        </w:rPr>
        <w:t>评标委员会判断投标文件的响应性仅基于投标文件本身而不依靠外部证据。</w:t>
      </w:r>
    </w:p>
    <w:p>
      <w:pPr>
        <w:pStyle w:val="3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3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30"/>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（1）投标无效情形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30"/>
        <w:spacing w:line="360" w:lineRule="auto"/>
        <w:ind w:firstLine="482" w:firstLineChars="200"/>
        <w:contextualSpacing/>
        <w:rPr>
          <w:rFonts w:hint="eastAsia"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2</w:t>
      </w:r>
      <w:r>
        <w:rPr>
          <w:rFonts w:hint="eastAsia" w:ascii="宋体" w:hAnsi="宋体" w:cs="仿宋_GB2312"/>
          <w:b/>
          <w:szCs w:val="24"/>
          <w:lang w:val="zh-CN"/>
        </w:rPr>
        <w:t>）评标标准</w:t>
      </w:r>
    </w:p>
    <w:tbl>
      <w:tblPr>
        <w:tblStyle w:val="19"/>
        <w:tblW w:w="8968" w:type="dxa"/>
        <w:jc w:val="center"/>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321"/>
        <w:gridCol w:w="6238"/>
        <w:gridCol w:w="2"/>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762" w:type="dxa"/>
            <w:gridSpan w:val="2"/>
            <w:vAlign w:val="center"/>
          </w:tcPr>
          <w:p>
            <w:pPr>
              <w:pStyle w:val="57"/>
              <w:spacing w:line="447" w:lineRule="exact"/>
              <w:ind w:left="147" w:right="143"/>
              <w:jc w:val="center"/>
              <w:rPr>
                <w:rFonts w:hint="eastAsia" w:ascii="宋体" w:hAnsi="宋体" w:eastAsia="宋体" w:cs="宋体"/>
                <w:sz w:val="24"/>
              </w:rPr>
            </w:pPr>
            <w:r>
              <w:rPr>
                <w:rFonts w:hint="eastAsia" w:ascii="宋体" w:hAnsi="宋体" w:eastAsia="宋体" w:cs="宋体"/>
                <w:sz w:val="24"/>
              </w:rPr>
              <w:t>分值构成</w:t>
            </w:r>
          </w:p>
          <w:p>
            <w:pPr>
              <w:pStyle w:val="57"/>
              <w:spacing w:line="468" w:lineRule="exact"/>
              <w:ind w:left="147" w:right="143"/>
              <w:jc w:val="center"/>
              <w:rPr>
                <w:rFonts w:hint="eastAsia" w:ascii="宋体" w:hAnsi="宋体" w:eastAsia="宋体" w:cs="宋体"/>
                <w:sz w:val="24"/>
              </w:rPr>
            </w:pPr>
            <w:r>
              <w:rPr>
                <w:rFonts w:hint="eastAsia" w:ascii="宋体" w:hAnsi="宋体" w:eastAsia="宋体" w:cs="宋体"/>
                <w:w w:val="120"/>
                <w:sz w:val="24"/>
              </w:rPr>
              <w:t>(</w:t>
            </w:r>
            <w:r>
              <w:rPr>
                <w:rFonts w:hint="eastAsia" w:ascii="宋体" w:hAnsi="宋体" w:eastAsia="宋体" w:cs="宋体"/>
                <w:sz w:val="24"/>
              </w:rPr>
              <w:t>总分 100 分</w:t>
            </w:r>
            <w:r>
              <w:rPr>
                <w:rFonts w:hint="eastAsia" w:ascii="宋体" w:hAnsi="宋体" w:eastAsia="宋体" w:cs="宋体"/>
                <w:w w:val="120"/>
                <w:sz w:val="24"/>
              </w:rPr>
              <w:t>)</w:t>
            </w:r>
          </w:p>
        </w:tc>
        <w:tc>
          <w:tcPr>
            <w:tcW w:w="7206" w:type="dxa"/>
            <w:gridSpan w:val="3"/>
            <w:vAlign w:val="center"/>
          </w:tcPr>
          <w:p>
            <w:pPr>
              <w:pStyle w:val="57"/>
              <w:tabs>
                <w:tab w:val="left" w:pos="2265"/>
                <w:tab w:val="left" w:pos="2745"/>
              </w:tabs>
              <w:spacing w:line="447" w:lineRule="exact"/>
              <w:ind w:left="585"/>
              <w:rPr>
                <w:rFonts w:hint="eastAsia" w:ascii="宋体" w:hAnsi="宋体" w:eastAsia="宋体" w:cs="宋体"/>
                <w:sz w:val="24"/>
              </w:rPr>
            </w:pPr>
            <w:r>
              <w:rPr>
                <w:rFonts w:hint="eastAsia" w:ascii="宋体" w:hAnsi="宋体" w:cs="宋体"/>
                <w:sz w:val="24"/>
                <w:lang w:eastAsia="zh-CN"/>
              </w:rPr>
              <w:t>价格</w:t>
            </w:r>
            <w:r>
              <w:rPr>
                <w:rFonts w:hint="eastAsia" w:ascii="宋体" w:hAnsi="宋体" w:eastAsia="宋体" w:cs="宋体"/>
                <w:sz w:val="24"/>
              </w:rPr>
              <w:t>部分：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cs="宋体"/>
                <w:sz w:val="24"/>
                <w:u w:val="single"/>
                <w:lang w:val="en-US" w:eastAsia="zh-CN"/>
              </w:rPr>
              <w:t>10</w:t>
            </w:r>
            <w:r>
              <w:rPr>
                <w:rFonts w:hint="eastAsia" w:ascii="宋体" w:hAnsi="宋体" w:eastAsia="宋体" w:cs="宋体"/>
                <w:sz w:val="24"/>
                <w:u w:val="single"/>
              </w:rPr>
              <w:tab/>
            </w:r>
            <w:r>
              <w:rPr>
                <w:rFonts w:hint="eastAsia" w:ascii="宋体" w:hAnsi="宋体" w:eastAsia="宋体" w:cs="宋体"/>
                <w:sz w:val="24"/>
              </w:rPr>
              <w:t>分</w:t>
            </w:r>
          </w:p>
          <w:p>
            <w:pPr>
              <w:pStyle w:val="57"/>
              <w:tabs>
                <w:tab w:val="left" w:pos="2265"/>
                <w:tab w:val="left" w:pos="2745"/>
              </w:tabs>
              <w:spacing w:line="447" w:lineRule="exact"/>
              <w:ind w:left="585"/>
              <w:rPr>
                <w:rFonts w:hint="eastAsia" w:ascii="宋体" w:hAnsi="宋体" w:eastAsia="宋体" w:cs="宋体"/>
                <w:sz w:val="24"/>
              </w:rPr>
            </w:pPr>
            <w:r>
              <w:rPr>
                <w:rFonts w:hint="eastAsia" w:ascii="宋体" w:hAnsi="宋体" w:eastAsia="宋体" w:cs="宋体"/>
                <w:sz w:val="24"/>
              </w:rPr>
              <w:t>商务部分：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cs="宋体"/>
                <w:sz w:val="24"/>
                <w:u w:val="single"/>
                <w:lang w:val="en-US" w:eastAsia="zh-CN"/>
              </w:rPr>
              <w:t>4</w:t>
            </w:r>
            <w:r>
              <w:rPr>
                <w:rFonts w:hint="eastAsia" w:ascii="宋体" w:hAnsi="宋体" w:eastAsia="宋体" w:cs="宋体"/>
                <w:sz w:val="24"/>
                <w:u w:val="single"/>
              </w:rPr>
              <w:t>5</w:t>
            </w:r>
            <w:r>
              <w:rPr>
                <w:rFonts w:hint="eastAsia" w:ascii="宋体" w:hAnsi="宋体" w:eastAsia="宋体" w:cs="宋体"/>
                <w:sz w:val="24"/>
                <w:u w:val="single"/>
              </w:rPr>
              <w:tab/>
            </w:r>
            <w:r>
              <w:rPr>
                <w:rFonts w:hint="eastAsia" w:ascii="宋体" w:hAnsi="宋体" w:eastAsia="宋体" w:cs="宋体"/>
                <w:sz w:val="24"/>
              </w:rPr>
              <w:t>分</w:t>
            </w:r>
          </w:p>
          <w:p>
            <w:pPr>
              <w:pStyle w:val="57"/>
              <w:tabs>
                <w:tab w:val="left" w:pos="2265"/>
                <w:tab w:val="left" w:pos="2745"/>
              </w:tabs>
              <w:spacing w:line="468" w:lineRule="exact"/>
              <w:ind w:left="585"/>
              <w:rPr>
                <w:rFonts w:hint="eastAsia" w:ascii="宋体" w:hAnsi="宋体" w:eastAsia="宋体" w:cs="宋体"/>
                <w:sz w:val="24"/>
              </w:rPr>
            </w:pPr>
            <w:r>
              <w:rPr>
                <w:rFonts w:hint="eastAsia" w:ascii="宋体" w:hAnsi="宋体" w:eastAsia="宋体" w:cs="宋体"/>
                <w:sz w:val="24"/>
              </w:rPr>
              <w:t>技术部分：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45</w:t>
            </w:r>
            <w:r>
              <w:rPr>
                <w:rFonts w:hint="eastAsia" w:ascii="宋体" w:hAnsi="宋体" w:eastAsia="宋体" w:cs="宋体"/>
                <w:sz w:val="24"/>
                <w:u w:val="single"/>
              </w:rPr>
              <w:tab/>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8968" w:type="dxa"/>
            <w:gridSpan w:val="5"/>
            <w:vAlign w:val="center"/>
          </w:tcPr>
          <w:p>
            <w:pPr>
              <w:spacing w:line="360" w:lineRule="auto"/>
              <w:jc w:val="center"/>
              <w:rPr>
                <w:rFonts w:hint="eastAsia" w:ascii="宋体" w:hAnsi="宋体" w:eastAsia="宋体" w:cs="宋体"/>
                <w:sz w:val="24"/>
              </w:rPr>
            </w:pPr>
            <w:r>
              <w:rPr>
                <w:rFonts w:hint="eastAsia" w:ascii="宋体" w:hAnsi="宋体"/>
                <w:b/>
                <w:sz w:val="24"/>
                <w:szCs w:val="24"/>
              </w:rPr>
              <w:t>价格部分（满分</w:t>
            </w:r>
            <w:r>
              <w:rPr>
                <w:rFonts w:ascii="宋体" w:hAnsi="宋体"/>
                <w:b/>
                <w:sz w:val="24"/>
                <w:szCs w:val="24"/>
                <w:u w:val="single"/>
              </w:rPr>
              <w:t xml:space="preserve"> 10</w:t>
            </w:r>
            <w:r>
              <w:rPr>
                <w:rFonts w:hint="eastAsia" w:ascii="宋体" w:hAnsi="宋体"/>
                <w:b/>
                <w:sz w:val="24"/>
                <w:szCs w:val="24"/>
                <w:u w:val="single"/>
                <w:lang w:val="en-US" w:eastAsia="zh-CN"/>
              </w:rPr>
              <w:t xml:space="preserve"> </w:t>
            </w:r>
            <w:r>
              <w:rPr>
                <w:rFonts w:hint="eastAsia" w:ascii="宋体" w:hAnsi="宋体"/>
                <w:b/>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1441" w:type="dxa"/>
            <w:vAlign w:val="center"/>
          </w:tcPr>
          <w:p>
            <w:pPr>
              <w:jc w:val="center"/>
              <w:rPr>
                <w:rFonts w:hint="eastAsia" w:ascii="宋体" w:hAnsi="宋体" w:eastAsia="宋体" w:cs="宋体"/>
                <w:sz w:val="24"/>
              </w:rPr>
            </w:pPr>
            <w:r>
              <w:rPr>
                <w:rFonts w:hint="eastAsia" w:ascii="宋体" w:hAnsi="宋体"/>
                <w:b/>
                <w:sz w:val="24"/>
                <w:szCs w:val="24"/>
              </w:rPr>
              <w:t>评分因素</w:t>
            </w:r>
          </w:p>
        </w:tc>
        <w:tc>
          <w:tcPr>
            <w:tcW w:w="6559" w:type="dxa"/>
            <w:gridSpan w:val="2"/>
            <w:vAlign w:val="center"/>
          </w:tcPr>
          <w:p>
            <w:pPr>
              <w:jc w:val="center"/>
            </w:pPr>
            <w:r>
              <w:rPr>
                <w:rFonts w:hint="eastAsia" w:ascii="宋体" w:hAnsi="宋体"/>
                <w:b/>
                <w:sz w:val="24"/>
                <w:szCs w:val="24"/>
              </w:rPr>
              <w:t>评标标准</w:t>
            </w:r>
          </w:p>
        </w:tc>
        <w:tc>
          <w:tcPr>
            <w:tcW w:w="968" w:type="dxa"/>
            <w:gridSpan w:val="2"/>
            <w:vAlign w:val="center"/>
          </w:tcPr>
          <w:p>
            <w:pPr>
              <w:jc w:val="center"/>
            </w:pPr>
            <w:r>
              <w:rPr>
                <w:rFonts w:hint="eastAsia" w:ascii="宋体" w:hAnsi="宋体"/>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1441" w:type="dxa"/>
            <w:vAlign w:val="center"/>
          </w:tcPr>
          <w:p>
            <w:pPr>
              <w:spacing w:line="360" w:lineRule="auto"/>
              <w:jc w:val="center"/>
              <w:rPr>
                <w:rFonts w:ascii="宋体"/>
                <w:sz w:val="24"/>
                <w:szCs w:val="24"/>
              </w:rPr>
            </w:pPr>
            <w:r>
              <w:rPr>
                <w:rFonts w:hint="eastAsia" w:ascii="宋体" w:hAnsi="宋体" w:cs="微软雅黑"/>
                <w:b/>
                <w:sz w:val="24"/>
                <w:szCs w:val="24"/>
              </w:rPr>
              <w:t>★</w:t>
            </w:r>
            <w:r>
              <w:rPr>
                <w:rFonts w:hint="eastAsia" w:ascii="宋体" w:hAnsi="宋体"/>
                <w:sz w:val="24"/>
                <w:szCs w:val="24"/>
              </w:rPr>
              <w:t>投标报价</w:t>
            </w:r>
          </w:p>
          <w:p>
            <w:pPr>
              <w:spacing w:line="360" w:lineRule="auto"/>
              <w:jc w:val="center"/>
              <w:rPr>
                <w:rFonts w:hint="eastAsia" w:ascii="宋体" w:hAnsi="宋体" w:eastAsia="宋体" w:cs="宋体"/>
                <w:sz w:val="24"/>
              </w:rPr>
            </w:pPr>
            <w:r>
              <w:rPr>
                <w:rFonts w:hint="eastAsia" w:ascii="宋体" w:hAnsi="宋体"/>
                <w:sz w:val="24"/>
                <w:szCs w:val="24"/>
              </w:rPr>
              <w:t>评分标准</w:t>
            </w:r>
          </w:p>
        </w:tc>
        <w:tc>
          <w:tcPr>
            <w:tcW w:w="6559" w:type="dxa"/>
            <w:gridSpan w:val="2"/>
            <w:vAlign w:val="center"/>
          </w:tcPr>
          <w:p>
            <w:pPr>
              <w:spacing w:line="360" w:lineRule="auto"/>
              <w:rPr>
                <w:rFonts w:hint="eastAsia" w:ascii="宋体" w:hAnsi="宋体"/>
                <w:bCs/>
                <w:sz w:val="24"/>
                <w:szCs w:val="24"/>
              </w:rPr>
            </w:pPr>
            <w:r>
              <w:rPr>
                <w:rFonts w:hint="eastAsia" w:ascii="宋体" w:hAnsi="宋体"/>
                <w:bCs/>
                <w:sz w:val="24"/>
                <w:szCs w:val="24"/>
              </w:rPr>
              <w:t>投标人需针对本招标文件的《许昌市城乡一体化示范区政府</w:t>
            </w:r>
          </w:p>
          <w:p>
            <w:pPr>
              <w:spacing w:line="360" w:lineRule="auto"/>
            </w:pPr>
            <w:r>
              <w:rPr>
                <w:rFonts w:hint="eastAsia" w:ascii="宋体" w:hAnsi="宋体"/>
                <w:bCs/>
                <w:sz w:val="24"/>
                <w:szCs w:val="24"/>
              </w:rPr>
              <w:t>购买中介机构服务管理暂行办法（试行）》</w:t>
            </w:r>
            <w:r>
              <w:rPr>
                <w:rFonts w:hint="eastAsia" w:ascii="宋体" w:hAnsi="宋体" w:cs="宋体"/>
                <w:color w:val="000000"/>
                <w:sz w:val="24"/>
                <w:szCs w:val="24"/>
              </w:rPr>
              <w:t>，提供</w:t>
            </w:r>
            <w:r>
              <w:rPr>
                <w:rFonts w:hint="eastAsia" w:ascii="宋体" w:hAnsi="宋体"/>
                <w:bCs/>
                <w:sz w:val="24"/>
                <w:szCs w:val="24"/>
              </w:rPr>
              <w:t>收费按照该办法收取的承诺函，并加盖单位公章，有承诺函得</w:t>
            </w:r>
            <w:r>
              <w:rPr>
                <w:rFonts w:ascii="宋体" w:hAnsi="宋体"/>
                <w:bCs/>
                <w:sz w:val="24"/>
                <w:szCs w:val="24"/>
              </w:rPr>
              <w:t>10</w:t>
            </w:r>
            <w:r>
              <w:rPr>
                <w:rFonts w:hint="eastAsia" w:ascii="宋体" w:hAnsi="宋体"/>
                <w:bCs/>
                <w:sz w:val="24"/>
                <w:szCs w:val="24"/>
              </w:rPr>
              <w:t>分，无承诺函不得分。</w:t>
            </w:r>
            <w:r>
              <w:rPr>
                <w:rFonts w:hint="eastAsia" w:ascii="宋体" w:hAnsi="宋体"/>
                <w:b/>
                <w:bCs w:val="0"/>
                <w:sz w:val="24"/>
                <w:szCs w:val="24"/>
                <w:lang w:eastAsia="zh-CN"/>
              </w:rPr>
              <w:t>（</w:t>
            </w:r>
            <w:r>
              <w:rPr>
                <w:rFonts w:hint="eastAsia" w:ascii="宋体" w:hAnsi="宋体"/>
                <w:b/>
                <w:bCs w:val="0"/>
                <w:sz w:val="24"/>
                <w:szCs w:val="24"/>
              </w:rPr>
              <w:t>投标文件中附需提供原件扫描件或图片）</w:t>
            </w:r>
          </w:p>
        </w:tc>
        <w:tc>
          <w:tcPr>
            <w:tcW w:w="968" w:type="dxa"/>
            <w:gridSpan w:val="2"/>
            <w:vAlign w:val="center"/>
          </w:tcPr>
          <w:p>
            <w:pPr>
              <w:jc w:val="center"/>
            </w:pPr>
            <w:r>
              <w:rPr>
                <w:rFonts w:ascii="宋体" w:hAnsi="宋体"/>
                <w:sz w:val="24"/>
                <w:szCs w:val="24"/>
                <w:u w:val="single"/>
              </w:rPr>
              <w:t>10</w:t>
            </w:r>
            <w:r>
              <w:rPr>
                <w:rFonts w:hint="eastAsia" w:ascii="宋体" w:hAnsi="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8968" w:type="dxa"/>
            <w:gridSpan w:val="5"/>
            <w:vAlign w:val="center"/>
          </w:tcPr>
          <w:p>
            <w:pPr>
              <w:pStyle w:val="57"/>
              <w:spacing w:before="9"/>
              <w:ind w:left="4"/>
              <w:jc w:val="center"/>
              <w:rPr>
                <w:rFonts w:hint="eastAsia" w:ascii="宋体" w:hAnsi="宋体" w:eastAsia="宋体" w:cs="宋体"/>
                <w:b/>
                <w:bCs/>
                <w:sz w:val="24"/>
              </w:rPr>
            </w:pPr>
            <w:r>
              <w:rPr>
                <w:rFonts w:hint="eastAsia" w:ascii="宋体" w:hAnsi="宋体" w:eastAsia="宋体" w:cs="宋体"/>
                <w:b/>
                <w:bCs/>
                <w:sz w:val="24"/>
              </w:rPr>
              <w:t>商务部分（满分</w:t>
            </w:r>
            <w:r>
              <w:rPr>
                <w:rFonts w:hint="eastAsia" w:ascii="宋体" w:hAnsi="宋体" w:eastAsia="宋体" w:cs="宋体"/>
                <w:b/>
                <w:bCs/>
                <w:sz w:val="24"/>
                <w:u w:val="single"/>
              </w:rPr>
              <w:t xml:space="preserve">  </w:t>
            </w:r>
            <w:r>
              <w:rPr>
                <w:rFonts w:hint="eastAsia" w:ascii="宋体" w:hAnsi="宋体" w:cs="宋体"/>
                <w:b/>
                <w:bCs/>
                <w:sz w:val="24"/>
                <w:u w:val="single"/>
                <w:lang w:val="en-US" w:eastAsia="zh-CN"/>
              </w:rPr>
              <w:t>4</w:t>
            </w:r>
            <w:r>
              <w:rPr>
                <w:rFonts w:hint="eastAsia" w:ascii="宋体" w:hAnsi="宋体" w:eastAsia="宋体" w:cs="宋体"/>
                <w:b/>
                <w:bCs/>
                <w:sz w:val="24"/>
                <w:u w:val="single"/>
              </w:rPr>
              <w:t xml:space="preserve">5  </w:t>
            </w:r>
            <w:r>
              <w:rPr>
                <w:rFonts w:hint="eastAsia" w:ascii="宋体" w:hAnsi="宋体" w:eastAsia="宋体" w:cs="宋体"/>
                <w:b/>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1762" w:type="dxa"/>
            <w:gridSpan w:val="2"/>
            <w:vAlign w:val="center"/>
          </w:tcPr>
          <w:p>
            <w:pPr>
              <w:pStyle w:val="57"/>
              <w:spacing w:before="7"/>
              <w:ind w:left="146" w:right="143"/>
              <w:jc w:val="center"/>
              <w:rPr>
                <w:rFonts w:hint="eastAsia" w:ascii="宋体" w:hAnsi="宋体" w:eastAsia="宋体" w:cs="宋体"/>
                <w:b/>
                <w:bCs/>
                <w:sz w:val="24"/>
              </w:rPr>
            </w:pPr>
            <w:r>
              <w:rPr>
                <w:rFonts w:hint="eastAsia" w:ascii="宋体" w:hAnsi="宋体" w:eastAsia="宋体" w:cs="宋体"/>
                <w:b/>
                <w:bCs/>
                <w:sz w:val="24"/>
              </w:rPr>
              <w:t>评分因素</w:t>
            </w:r>
          </w:p>
        </w:tc>
        <w:tc>
          <w:tcPr>
            <w:tcW w:w="6240" w:type="dxa"/>
            <w:gridSpan w:val="2"/>
            <w:vAlign w:val="center"/>
          </w:tcPr>
          <w:p>
            <w:pPr>
              <w:pStyle w:val="57"/>
              <w:spacing w:before="7"/>
              <w:ind w:left="125" w:right="125"/>
              <w:jc w:val="center"/>
              <w:rPr>
                <w:rFonts w:hint="eastAsia" w:ascii="宋体" w:hAnsi="宋体" w:eastAsia="宋体" w:cs="宋体"/>
                <w:b/>
                <w:bCs/>
                <w:sz w:val="24"/>
              </w:rPr>
            </w:pPr>
            <w:r>
              <w:rPr>
                <w:rFonts w:hint="eastAsia" w:ascii="宋体" w:hAnsi="宋体" w:eastAsia="宋体" w:cs="宋体"/>
                <w:b/>
                <w:bCs/>
                <w:sz w:val="24"/>
              </w:rPr>
              <w:t>评标标准</w:t>
            </w:r>
          </w:p>
        </w:tc>
        <w:tc>
          <w:tcPr>
            <w:tcW w:w="966" w:type="dxa"/>
            <w:vAlign w:val="center"/>
          </w:tcPr>
          <w:p>
            <w:pPr>
              <w:pStyle w:val="57"/>
              <w:spacing w:before="7"/>
              <w:ind w:left="179" w:right="174"/>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jc w:val="center"/>
        </w:trPr>
        <w:tc>
          <w:tcPr>
            <w:tcW w:w="1762" w:type="dxa"/>
            <w:gridSpan w:val="2"/>
            <w:vAlign w:val="center"/>
          </w:tcPr>
          <w:p>
            <w:pPr>
              <w:pStyle w:val="57"/>
              <w:spacing w:line="220" w:lineRule="auto"/>
              <w:ind w:left="104" w:right="101" w:firstLine="480" w:firstLineChars="200"/>
              <w:jc w:val="both"/>
              <w:rPr>
                <w:rFonts w:hint="eastAsia" w:ascii="宋体" w:hAnsi="宋体" w:eastAsia="宋体" w:cs="宋体"/>
                <w:sz w:val="24"/>
              </w:rPr>
            </w:pPr>
            <w:r>
              <w:rPr>
                <w:rFonts w:hint="eastAsia" w:ascii="宋体" w:hAnsi="宋体" w:eastAsia="宋体" w:cs="宋体"/>
                <w:sz w:val="24"/>
              </w:rPr>
              <w:t>信誉</w:t>
            </w:r>
          </w:p>
        </w:tc>
        <w:tc>
          <w:tcPr>
            <w:tcW w:w="6240" w:type="dxa"/>
            <w:gridSpan w:val="2"/>
            <w:vAlign w:val="center"/>
          </w:tcPr>
          <w:p>
            <w:pPr>
              <w:pStyle w:val="57"/>
              <w:spacing w:line="220" w:lineRule="auto"/>
              <w:ind w:left="104" w:right="101"/>
              <w:jc w:val="both"/>
              <w:rPr>
                <w:rFonts w:hint="eastAsia" w:ascii="宋体" w:hAnsi="宋体" w:eastAsia="宋体" w:cs="宋体"/>
                <w:sz w:val="24"/>
              </w:rPr>
            </w:pPr>
            <w:r>
              <w:rPr>
                <w:rFonts w:hint="eastAsia" w:ascii="宋体" w:hAnsi="宋体" w:eastAsia="宋体" w:cs="宋体"/>
                <w:sz w:val="24"/>
              </w:rPr>
              <w:t xml:space="preserve">1、投标人提供工商企业信用信息公示报告【国家企业信用  信息公示系统 </w:t>
            </w:r>
            <w:r>
              <w:rPr>
                <w:rFonts w:hint="eastAsia" w:ascii="宋体" w:hAnsi="宋体" w:eastAsia="宋体" w:cs="宋体"/>
                <w:sz w:val="24"/>
              </w:rPr>
              <w:fldChar w:fldCharType="begin"/>
            </w:r>
            <w:r>
              <w:rPr>
                <w:rFonts w:hint="eastAsia" w:ascii="宋体" w:hAnsi="宋体" w:eastAsia="宋体" w:cs="宋体"/>
                <w:sz w:val="24"/>
              </w:rPr>
              <w:instrText xml:space="preserve"> HYPERLINK "http://www.gsxt.gov.cn/" \h </w:instrText>
            </w:r>
            <w:r>
              <w:rPr>
                <w:rFonts w:hint="eastAsia" w:ascii="宋体" w:hAnsi="宋体" w:eastAsia="宋体" w:cs="宋体"/>
                <w:sz w:val="24"/>
              </w:rPr>
              <w:fldChar w:fldCharType="separate"/>
            </w:r>
            <w:r>
              <w:rPr>
                <w:rFonts w:hint="eastAsia" w:ascii="宋体" w:hAnsi="宋体" w:eastAsia="宋体" w:cs="宋体"/>
                <w:sz w:val="24"/>
              </w:rPr>
              <w:t xml:space="preserve">http//www.gsxt.gov.cn </w:t>
            </w:r>
            <w:r>
              <w:rPr>
                <w:rFonts w:hint="eastAsia" w:ascii="宋体" w:hAnsi="宋体" w:eastAsia="宋体" w:cs="宋体"/>
                <w:sz w:val="24"/>
              </w:rPr>
              <w:fldChar w:fldCharType="end"/>
            </w:r>
            <w:r>
              <w:rPr>
                <w:rFonts w:hint="eastAsia" w:ascii="宋体" w:hAnsi="宋体" w:eastAsia="宋体" w:cs="宋体"/>
                <w:sz w:val="24"/>
              </w:rPr>
              <w:t>包括基础信息、行政许可信息、行政处罚信息、列入经营异常名录信息、列入严重违法失信企业名单（黑名单）信息】，未提供或有不良信息者不得分，满分 1 分。</w:t>
            </w:r>
          </w:p>
          <w:p>
            <w:pPr>
              <w:pStyle w:val="57"/>
              <w:spacing w:line="220" w:lineRule="auto"/>
              <w:ind w:left="104" w:right="101"/>
              <w:jc w:val="both"/>
              <w:rPr>
                <w:rFonts w:hint="eastAsia" w:ascii="宋体" w:hAnsi="宋体" w:eastAsia="宋体" w:cs="宋体"/>
                <w:sz w:val="24"/>
              </w:rPr>
            </w:pPr>
            <w:r>
              <w:rPr>
                <w:rFonts w:hint="eastAsia" w:ascii="宋体" w:hAnsi="宋体" w:eastAsia="宋体" w:cs="宋体"/>
                <w:sz w:val="24"/>
              </w:rPr>
              <w:t>2、投标人提供企业所在地税务主管部门出具的纳税情况证明等信用情况（加盖企业所在地税务主管部门公章），无不良信息者每项 1 分，未提供或有不良信息者不得分，满分1 分。</w:t>
            </w:r>
          </w:p>
        </w:tc>
        <w:tc>
          <w:tcPr>
            <w:tcW w:w="966" w:type="dxa"/>
            <w:vAlign w:val="center"/>
          </w:tcPr>
          <w:p>
            <w:pPr>
              <w:pStyle w:val="57"/>
              <w:rPr>
                <w:rFonts w:hint="eastAsia" w:ascii="宋体" w:hAnsi="宋体" w:eastAsia="宋体" w:cs="宋体"/>
                <w:sz w:val="24"/>
              </w:rPr>
            </w:pPr>
          </w:p>
          <w:p>
            <w:pPr>
              <w:pStyle w:val="57"/>
              <w:rPr>
                <w:rFonts w:hint="eastAsia" w:ascii="宋体" w:hAnsi="宋体" w:eastAsia="宋体" w:cs="宋体"/>
                <w:sz w:val="24"/>
              </w:rPr>
            </w:pPr>
          </w:p>
          <w:p>
            <w:pPr>
              <w:pStyle w:val="57"/>
              <w:spacing w:before="6"/>
              <w:rPr>
                <w:rFonts w:hint="eastAsia" w:ascii="宋体" w:hAnsi="宋体" w:eastAsia="宋体" w:cs="宋体"/>
                <w:sz w:val="16"/>
              </w:rPr>
            </w:pPr>
          </w:p>
          <w:p>
            <w:pPr>
              <w:pStyle w:val="57"/>
              <w:spacing w:before="1"/>
              <w:ind w:left="179" w:right="176"/>
              <w:jc w:val="center"/>
              <w:rPr>
                <w:rFonts w:hint="eastAsia" w:ascii="宋体" w:hAnsi="宋体" w:eastAsia="宋体" w:cs="宋体"/>
                <w:sz w:val="24"/>
              </w:rPr>
            </w:pPr>
            <w:r>
              <w:rPr>
                <w:rFonts w:hint="eastAsia" w:ascii="宋体" w:hAnsi="宋体" w:eastAsia="宋体" w:cs="宋体"/>
                <w:sz w:val="24"/>
              </w:rPr>
              <w:t>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762" w:type="dxa"/>
            <w:gridSpan w:val="2"/>
            <w:vAlign w:val="center"/>
          </w:tcPr>
          <w:p>
            <w:pPr>
              <w:pStyle w:val="57"/>
              <w:spacing w:before="208"/>
              <w:ind w:right="391"/>
              <w:jc w:val="right"/>
              <w:rPr>
                <w:rFonts w:hint="eastAsia" w:ascii="宋体" w:hAnsi="宋体" w:eastAsia="宋体" w:cs="宋体"/>
                <w:sz w:val="24"/>
              </w:rPr>
            </w:pPr>
            <w:r>
              <w:rPr>
                <w:rFonts w:hint="eastAsia" w:ascii="宋体" w:hAnsi="宋体" w:eastAsia="宋体" w:cs="宋体"/>
                <w:sz w:val="24"/>
              </w:rPr>
              <w:t>企业业绩</w:t>
            </w:r>
          </w:p>
        </w:tc>
        <w:tc>
          <w:tcPr>
            <w:tcW w:w="6240" w:type="dxa"/>
            <w:gridSpan w:val="2"/>
            <w:vAlign w:val="center"/>
          </w:tcPr>
          <w:p>
            <w:pPr>
              <w:pStyle w:val="57"/>
              <w:spacing w:line="220" w:lineRule="auto"/>
              <w:ind w:left="104" w:right="101"/>
              <w:jc w:val="both"/>
              <w:rPr>
                <w:rFonts w:hint="eastAsia" w:ascii="宋体" w:hAnsi="宋体" w:eastAsia="宋体" w:cs="宋体"/>
                <w:sz w:val="24"/>
              </w:rPr>
            </w:pPr>
            <w:r>
              <w:rPr>
                <w:rFonts w:hint="eastAsia" w:ascii="宋体" w:hAnsi="宋体" w:eastAsia="宋体" w:cs="宋体"/>
                <w:sz w:val="24"/>
              </w:rPr>
              <w:t>201</w:t>
            </w:r>
            <w:r>
              <w:rPr>
                <w:rFonts w:hint="eastAsia" w:ascii="宋体" w:hAnsi="宋体" w:cs="宋体"/>
                <w:sz w:val="24"/>
                <w:lang w:val="en-US" w:eastAsia="zh-CN"/>
              </w:rPr>
              <w:t>6</w:t>
            </w:r>
            <w:r>
              <w:rPr>
                <w:rFonts w:hint="eastAsia" w:ascii="宋体" w:hAnsi="宋体" w:eastAsia="宋体" w:cs="宋体"/>
                <w:sz w:val="24"/>
              </w:rPr>
              <w:t>年1月以来有</w:t>
            </w:r>
            <w:r>
              <w:rPr>
                <w:rFonts w:hint="eastAsia" w:ascii="宋体" w:hAnsi="宋体" w:cs="宋体"/>
                <w:sz w:val="24"/>
                <w:lang w:eastAsia="zh-CN"/>
              </w:rPr>
              <w:t>提供资产评估</w:t>
            </w:r>
            <w:r>
              <w:rPr>
                <w:rFonts w:hint="eastAsia" w:ascii="宋体" w:hAnsi="宋体" w:eastAsia="宋体" w:cs="宋体"/>
                <w:sz w:val="24"/>
              </w:rPr>
              <w:t>业绩者每项得</w:t>
            </w:r>
            <w:r>
              <w:rPr>
                <w:rFonts w:hint="eastAsia" w:ascii="宋体" w:hAnsi="宋体" w:cs="宋体"/>
                <w:sz w:val="24"/>
                <w:lang w:val="en-US" w:eastAsia="zh-CN"/>
              </w:rPr>
              <w:t>10</w:t>
            </w:r>
            <w:r>
              <w:rPr>
                <w:rFonts w:hint="eastAsia" w:ascii="宋体" w:hAnsi="宋体" w:eastAsia="宋体" w:cs="宋体"/>
                <w:sz w:val="24"/>
              </w:rPr>
              <w:t>分，最高得</w:t>
            </w:r>
            <w:r>
              <w:rPr>
                <w:rFonts w:hint="eastAsia" w:ascii="宋体" w:hAnsi="宋体" w:cs="宋体"/>
                <w:sz w:val="24"/>
                <w:lang w:val="en-US" w:eastAsia="zh-CN"/>
              </w:rPr>
              <w:t>20</w:t>
            </w:r>
            <w:r>
              <w:rPr>
                <w:rFonts w:hint="eastAsia" w:ascii="宋体" w:hAnsi="宋体" w:eastAsia="宋体" w:cs="宋体"/>
                <w:sz w:val="24"/>
              </w:rPr>
              <w:t>分。（</w:t>
            </w:r>
            <w:r>
              <w:rPr>
                <w:rFonts w:hint="eastAsia" w:ascii="宋体" w:hAnsi="宋体" w:eastAsia="宋体" w:cs="宋体"/>
                <w:sz w:val="24"/>
                <w:lang w:eastAsia="zh-CN"/>
              </w:rPr>
              <w:t>以合同扫描件或图片为准</w:t>
            </w:r>
            <w:r>
              <w:rPr>
                <w:rFonts w:hint="eastAsia" w:ascii="宋体" w:hAnsi="宋体" w:eastAsia="宋体" w:cs="宋体"/>
                <w:sz w:val="24"/>
              </w:rPr>
              <w:t>）</w:t>
            </w:r>
          </w:p>
        </w:tc>
        <w:tc>
          <w:tcPr>
            <w:tcW w:w="966" w:type="dxa"/>
            <w:vAlign w:val="center"/>
          </w:tcPr>
          <w:p>
            <w:pPr>
              <w:pStyle w:val="57"/>
              <w:spacing w:before="184"/>
              <w:ind w:left="179" w:right="176"/>
              <w:jc w:val="center"/>
              <w:rPr>
                <w:rFonts w:hint="eastAsia" w:ascii="宋体" w:hAnsi="宋体" w:eastAsia="宋体" w:cs="宋体"/>
                <w:sz w:val="24"/>
              </w:rPr>
            </w:pPr>
            <w:r>
              <w:rPr>
                <w:rFonts w:hint="eastAsia" w:ascii="宋体" w:hAnsi="宋体" w:cs="宋体"/>
                <w:sz w:val="24"/>
                <w:u w:val="single"/>
                <w:lang w:val="en-US" w:eastAsia="zh-CN"/>
              </w:rPr>
              <w:t>20</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1762" w:type="dxa"/>
            <w:gridSpan w:val="2"/>
            <w:vAlign w:val="center"/>
          </w:tcPr>
          <w:p>
            <w:pPr>
              <w:pStyle w:val="57"/>
              <w:ind w:left="398"/>
              <w:rPr>
                <w:rFonts w:hint="eastAsia" w:ascii="宋体" w:hAnsi="宋体" w:eastAsia="宋体" w:cs="宋体"/>
                <w:sz w:val="24"/>
              </w:rPr>
            </w:pPr>
            <w:r>
              <w:rPr>
                <w:rFonts w:hint="eastAsia" w:ascii="宋体" w:hAnsi="宋体" w:eastAsia="宋体" w:cs="宋体"/>
                <w:sz w:val="24"/>
              </w:rPr>
              <w:t>企业实力</w:t>
            </w:r>
          </w:p>
        </w:tc>
        <w:tc>
          <w:tcPr>
            <w:tcW w:w="6240" w:type="dxa"/>
            <w:gridSpan w:val="2"/>
            <w:vAlign w:val="center"/>
          </w:tcPr>
          <w:p>
            <w:pPr>
              <w:pStyle w:val="57"/>
              <w:spacing w:line="333" w:lineRule="exact"/>
              <w:ind w:left="104"/>
              <w:rPr>
                <w:rFonts w:hint="eastAsia" w:ascii="宋体" w:hAnsi="宋体" w:eastAsia="宋体" w:cs="宋体"/>
                <w:sz w:val="24"/>
                <w:lang w:eastAsia="zh-CN"/>
              </w:rPr>
            </w:pPr>
            <w:r>
              <w:rPr>
                <w:rFonts w:hint="eastAsia" w:ascii="宋体" w:hAnsi="宋体" w:eastAsia="宋体" w:cs="宋体"/>
                <w:sz w:val="24"/>
                <w:lang w:val="en-US" w:eastAsia="zh-CN"/>
              </w:rPr>
              <w:t>2016年</w:t>
            </w:r>
            <w:r>
              <w:rPr>
                <w:rFonts w:hint="eastAsia" w:ascii="宋体" w:hAnsi="宋体" w:eastAsia="宋体" w:cs="宋体"/>
                <w:sz w:val="24"/>
              </w:rPr>
              <w:t>省级行</w:t>
            </w:r>
            <w:r>
              <w:rPr>
                <w:rFonts w:hint="eastAsia" w:ascii="宋体" w:hAnsi="宋体" w:eastAsia="宋体" w:cs="宋体"/>
                <w:sz w:val="24"/>
                <w:highlight w:val="none"/>
              </w:rPr>
              <w:t>业排名前50名的得6分，5</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-100名的得4分100-150名的得2分</w:t>
            </w:r>
            <w:r>
              <w:rPr>
                <w:rFonts w:hint="eastAsia" w:ascii="宋体" w:hAnsi="宋体" w:eastAsia="宋体" w:cs="宋体"/>
                <w:sz w:val="24"/>
                <w:highlight w:val="none"/>
                <w:lang w:eastAsia="zh-CN"/>
              </w:rPr>
              <w:t>（以相关证明文件为准）</w:t>
            </w:r>
          </w:p>
        </w:tc>
        <w:tc>
          <w:tcPr>
            <w:tcW w:w="966" w:type="dxa"/>
            <w:vAlign w:val="center"/>
          </w:tcPr>
          <w:p>
            <w:pPr>
              <w:pStyle w:val="57"/>
              <w:ind w:left="269"/>
              <w:rPr>
                <w:rFonts w:hint="eastAsia" w:ascii="宋体" w:hAnsi="宋体" w:eastAsia="宋体" w:cs="宋体"/>
                <w:sz w:val="24"/>
              </w:rPr>
            </w:pPr>
            <w:r>
              <w:rPr>
                <w:rFonts w:hint="eastAsia" w:ascii="宋体" w:hAnsi="宋体" w:eastAsia="宋体" w:cs="宋体"/>
                <w:sz w:val="24"/>
                <w:u w:val="single"/>
              </w:rPr>
              <w:t>6</w:t>
            </w:r>
            <w:r>
              <w:rPr>
                <w:rFonts w:hint="eastAsia" w:ascii="宋体" w:hAnsi="宋体" w:eastAsia="宋体" w:cs="宋体"/>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jc w:val="center"/>
        </w:trPr>
        <w:tc>
          <w:tcPr>
            <w:tcW w:w="1762" w:type="dxa"/>
            <w:gridSpan w:val="2"/>
            <w:vAlign w:val="center"/>
          </w:tcPr>
          <w:p>
            <w:pPr>
              <w:pStyle w:val="57"/>
              <w:ind w:left="345"/>
              <w:jc w:val="center"/>
              <w:rPr>
                <w:rFonts w:hint="eastAsia" w:ascii="宋体" w:hAnsi="宋体" w:eastAsia="宋体" w:cs="宋体"/>
                <w:sz w:val="24"/>
              </w:rPr>
            </w:pPr>
            <w:r>
              <w:rPr>
                <w:rFonts w:hint="eastAsia" w:ascii="宋体" w:hAnsi="宋体" w:eastAsia="宋体" w:cs="宋体"/>
                <w:sz w:val="24"/>
              </w:rPr>
              <w:t>企业制度</w:t>
            </w:r>
          </w:p>
        </w:tc>
        <w:tc>
          <w:tcPr>
            <w:tcW w:w="6240" w:type="dxa"/>
            <w:gridSpan w:val="2"/>
            <w:vAlign w:val="center"/>
          </w:tcPr>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、人事制度。全面者得 4 分，有的得 2 分，不提供不得分。</w:t>
            </w:r>
          </w:p>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财务管理制度。全面者得 4 分，有的得 2 分，不提供不得分。</w:t>
            </w:r>
          </w:p>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执业质量控制制度。全面合理者得 5 分，有的得 2 分，不提供不得分。</w:t>
            </w:r>
          </w:p>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业务档案管理制度。科学合理者的 4 分，有的的 2 分，不提供不得分。</w:t>
            </w:r>
          </w:p>
        </w:tc>
        <w:tc>
          <w:tcPr>
            <w:tcW w:w="966" w:type="dxa"/>
            <w:vAlign w:val="center"/>
          </w:tcPr>
          <w:p>
            <w:pPr>
              <w:pStyle w:val="57"/>
              <w:ind w:left="179" w:right="176"/>
              <w:jc w:val="center"/>
              <w:rPr>
                <w:rFonts w:hint="eastAsia" w:ascii="宋体" w:hAnsi="宋体" w:eastAsia="宋体" w:cs="宋体"/>
                <w:sz w:val="24"/>
              </w:rPr>
            </w:pPr>
            <w:r>
              <w:rPr>
                <w:rFonts w:hint="eastAsia" w:ascii="宋体" w:hAnsi="宋体" w:eastAsia="宋体" w:cs="宋体"/>
                <w:sz w:val="24"/>
                <w:u w:val="single"/>
              </w:rPr>
              <w:t xml:space="preserve">17 </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8968" w:type="dxa"/>
            <w:gridSpan w:val="5"/>
            <w:vAlign w:val="center"/>
          </w:tcPr>
          <w:p>
            <w:pPr>
              <w:pStyle w:val="57"/>
              <w:tabs>
                <w:tab w:val="left" w:pos="2294"/>
              </w:tabs>
              <w:spacing w:before="28"/>
              <w:ind w:left="4"/>
              <w:jc w:val="center"/>
              <w:rPr>
                <w:rFonts w:hint="eastAsia" w:ascii="宋体" w:hAnsi="宋体" w:eastAsia="宋体" w:cs="宋体"/>
                <w:b/>
                <w:bCs/>
                <w:sz w:val="24"/>
              </w:rPr>
            </w:pPr>
            <w:r>
              <w:rPr>
                <w:rFonts w:hint="eastAsia" w:ascii="宋体" w:hAnsi="宋体" w:eastAsia="宋体" w:cs="宋体"/>
                <w:b/>
                <w:bCs/>
                <w:sz w:val="24"/>
              </w:rPr>
              <w:t>技术部分（满分</w:t>
            </w:r>
            <w:r>
              <w:rPr>
                <w:rFonts w:hint="eastAsia" w:ascii="宋体" w:hAnsi="宋体" w:eastAsia="宋体" w:cs="宋体"/>
                <w:b/>
                <w:bCs/>
                <w:sz w:val="24"/>
                <w:u w:val="single"/>
              </w:rPr>
              <w:t xml:space="preserve"> </w:t>
            </w:r>
            <w:r>
              <w:rPr>
                <w:rFonts w:hint="eastAsia" w:ascii="宋体" w:hAnsi="宋体" w:eastAsia="宋体" w:cs="宋体"/>
                <w:b/>
                <w:bCs/>
                <w:spacing w:val="6"/>
                <w:sz w:val="24"/>
                <w:u w:val="single"/>
              </w:rPr>
              <w:t xml:space="preserve"> </w:t>
            </w:r>
            <w:r>
              <w:rPr>
                <w:rFonts w:hint="eastAsia" w:ascii="宋体" w:hAnsi="宋体" w:eastAsia="宋体" w:cs="宋体"/>
                <w:b/>
                <w:bCs/>
                <w:sz w:val="24"/>
                <w:u w:val="single"/>
              </w:rPr>
              <w:t>45</w:t>
            </w:r>
            <w:r>
              <w:rPr>
                <w:rFonts w:hint="eastAsia" w:ascii="宋体" w:hAnsi="宋体" w:eastAsia="宋体" w:cs="宋体"/>
                <w:b/>
                <w:bCs/>
                <w:sz w:val="24"/>
                <w:u w:val="single"/>
              </w:rPr>
              <w:tab/>
            </w:r>
            <w:r>
              <w:rPr>
                <w:rFonts w:hint="eastAsia" w:ascii="宋体" w:hAnsi="宋体" w:eastAsia="宋体" w:cs="宋体"/>
                <w:b/>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1762" w:type="dxa"/>
            <w:gridSpan w:val="2"/>
            <w:vAlign w:val="center"/>
          </w:tcPr>
          <w:p>
            <w:pPr>
              <w:pStyle w:val="57"/>
              <w:spacing w:before="11"/>
              <w:ind w:right="389"/>
              <w:jc w:val="right"/>
              <w:rPr>
                <w:rFonts w:hint="eastAsia" w:ascii="宋体" w:hAnsi="宋体" w:eastAsia="宋体" w:cs="宋体"/>
                <w:b/>
                <w:bCs/>
                <w:sz w:val="24"/>
              </w:rPr>
            </w:pPr>
            <w:r>
              <w:rPr>
                <w:rFonts w:hint="eastAsia" w:ascii="宋体" w:hAnsi="宋体" w:eastAsia="宋体" w:cs="宋体"/>
                <w:b/>
                <w:bCs/>
                <w:sz w:val="24"/>
              </w:rPr>
              <w:t>评分因素</w:t>
            </w:r>
          </w:p>
        </w:tc>
        <w:tc>
          <w:tcPr>
            <w:tcW w:w="6240" w:type="dxa"/>
            <w:gridSpan w:val="2"/>
            <w:vAlign w:val="center"/>
          </w:tcPr>
          <w:p>
            <w:pPr>
              <w:pStyle w:val="57"/>
              <w:spacing w:before="11"/>
              <w:ind w:left="125" w:right="125"/>
              <w:jc w:val="center"/>
              <w:rPr>
                <w:rFonts w:hint="eastAsia" w:ascii="宋体" w:hAnsi="宋体" w:eastAsia="宋体" w:cs="宋体"/>
                <w:b/>
                <w:bCs/>
                <w:sz w:val="24"/>
              </w:rPr>
            </w:pPr>
            <w:r>
              <w:rPr>
                <w:rFonts w:hint="eastAsia" w:ascii="宋体" w:hAnsi="宋体" w:eastAsia="宋体" w:cs="宋体"/>
                <w:b/>
                <w:bCs/>
                <w:sz w:val="24"/>
              </w:rPr>
              <w:t>评标标准</w:t>
            </w:r>
          </w:p>
        </w:tc>
        <w:tc>
          <w:tcPr>
            <w:tcW w:w="966" w:type="dxa"/>
            <w:vAlign w:val="center"/>
          </w:tcPr>
          <w:p>
            <w:pPr>
              <w:pStyle w:val="57"/>
              <w:spacing w:before="11"/>
              <w:ind w:left="179" w:right="174"/>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jc w:val="center"/>
        </w:trPr>
        <w:tc>
          <w:tcPr>
            <w:tcW w:w="1762" w:type="dxa"/>
            <w:gridSpan w:val="2"/>
            <w:vMerge w:val="restart"/>
            <w:vAlign w:val="center"/>
          </w:tcPr>
          <w:p>
            <w:pPr>
              <w:pStyle w:val="57"/>
              <w:rPr>
                <w:rFonts w:hint="eastAsia" w:ascii="宋体" w:hAnsi="宋体" w:eastAsia="宋体" w:cs="宋体"/>
                <w:sz w:val="24"/>
              </w:rPr>
            </w:pPr>
          </w:p>
          <w:p>
            <w:pPr>
              <w:pStyle w:val="57"/>
              <w:spacing w:before="5"/>
              <w:rPr>
                <w:rFonts w:hint="eastAsia" w:ascii="宋体" w:hAnsi="宋体" w:eastAsia="宋体" w:cs="宋体"/>
                <w:sz w:val="22"/>
              </w:rPr>
            </w:pPr>
          </w:p>
          <w:p>
            <w:pPr>
              <w:pStyle w:val="57"/>
              <w:spacing w:line="146" w:lineRule="auto"/>
              <w:ind w:left="518" w:right="151" w:hanging="360"/>
              <w:rPr>
                <w:rFonts w:hint="eastAsia" w:ascii="宋体" w:hAnsi="宋体" w:eastAsia="宋体" w:cs="宋体"/>
                <w:sz w:val="24"/>
              </w:rPr>
            </w:pPr>
            <w:r>
              <w:rPr>
                <w:rFonts w:hint="eastAsia" w:ascii="宋体" w:hAnsi="宋体" w:eastAsia="宋体" w:cs="宋体"/>
                <w:sz w:val="24"/>
              </w:rPr>
              <w:t>投标文件的规范程度</w:t>
            </w:r>
          </w:p>
        </w:tc>
        <w:tc>
          <w:tcPr>
            <w:tcW w:w="6240" w:type="dxa"/>
            <w:gridSpan w:val="2"/>
            <w:vAlign w:val="center"/>
          </w:tcPr>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1、投标文件的编制符合招标文件的规定，装订整齐规范的，</w:t>
            </w:r>
          </w:p>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得 3 分。</w:t>
            </w:r>
          </w:p>
        </w:tc>
        <w:tc>
          <w:tcPr>
            <w:tcW w:w="966" w:type="dxa"/>
            <w:vMerge w:val="restart"/>
            <w:vAlign w:val="center"/>
          </w:tcPr>
          <w:p>
            <w:pPr>
              <w:pStyle w:val="57"/>
              <w:rPr>
                <w:rFonts w:hint="eastAsia" w:ascii="宋体" w:hAnsi="宋体" w:eastAsia="宋体" w:cs="宋体"/>
                <w:sz w:val="24"/>
              </w:rPr>
            </w:pPr>
          </w:p>
          <w:p>
            <w:pPr>
              <w:pStyle w:val="57"/>
              <w:spacing w:before="11"/>
              <w:rPr>
                <w:rFonts w:hint="eastAsia" w:ascii="宋体" w:hAnsi="宋体" w:eastAsia="宋体" w:cs="宋体"/>
                <w:sz w:val="23"/>
              </w:rPr>
            </w:pPr>
          </w:p>
          <w:p>
            <w:pPr>
              <w:pStyle w:val="57"/>
              <w:ind w:left="178"/>
              <w:rPr>
                <w:rFonts w:hint="eastAsia" w:ascii="宋体" w:hAnsi="宋体" w:eastAsia="宋体" w:cs="宋体"/>
                <w:sz w:val="24"/>
              </w:rPr>
            </w:pPr>
            <w:r>
              <w:rPr>
                <w:rFonts w:hint="eastAsia" w:ascii="宋体" w:hAnsi="宋体" w:eastAsia="宋体" w:cs="宋体"/>
                <w:w w:val="223"/>
                <w:sz w:val="24"/>
                <w:u w:val="single"/>
              </w:rPr>
              <w:t xml:space="preserve"> </w:t>
            </w:r>
            <w:r>
              <w:rPr>
                <w:rFonts w:hint="eastAsia" w:ascii="宋体" w:hAnsi="宋体" w:eastAsia="宋体" w:cs="宋体"/>
                <w:sz w:val="24"/>
                <w:u w:val="single"/>
              </w:rPr>
              <w:t xml:space="preserve">6 </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jc w:val="center"/>
        </w:trPr>
        <w:tc>
          <w:tcPr>
            <w:tcW w:w="1762" w:type="dxa"/>
            <w:gridSpan w:val="2"/>
            <w:vMerge w:val="continue"/>
            <w:tcBorders>
              <w:top w:val="nil"/>
            </w:tcBorders>
            <w:vAlign w:val="center"/>
          </w:tcPr>
          <w:p>
            <w:pPr>
              <w:rPr>
                <w:rFonts w:hint="eastAsia" w:ascii="宋体" w:hAnsi="宋体" w:eastAsia="宋体" w:cs="宋体"/>
                <w:sz w:val="2"/>
                <w:szCs w:val="2"/>
              </w:rPr>
            </w:pPr>
          </w:p>
        </w:tc>
        <w:tc>
          <w:tcPr>
            <w:tcW w:w="6240" w:type="dxa"/>
            <w:gridSpan w:val="2"/>
            <w:vAlign w:val="center"/>
          </w:tcPr>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2、投标人编制投标文件逻辑严紧、描述规范、无文字错误</w:t>
            </w:r>
          </w:p>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的，得 3 分。</w:t>
            </w:r>
          </w:p>
        </w:tc>
        <w:tc>
          <w:tcPr>
            <w:tcW w:w="966" w:type="dxa"/>
            <w:vMerge w:val="continue"/>
            <w:tcBorders>
              <w:top w:val="nil"/>
            </w:tcBorders>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1762" w:type="dxa"/>
            <w:gridSpan w:val="2"/>
            <w:vMerge w:val="restart"/>
            <w:vAlign w:val="center"/>
          </w:tcPr>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r>
              <w:rPr>
                <w:rFonts w:hint="eastAsia" w:ascii="宋体" w:hAnsi="宋体" w:eastAsia="宋体" w:cs="宋体"/>
                <w:sz w:val="24"/>
              </w:rPr>
              <w:t>对招标文件的响应程度</w:t>
            </w:r>
          </w:p>
        </w:tc>
        <w:tc>
          <w:tcPr>
            <w:tcW w:w="6240" w:type="dxa"/>
            <w:gridSpan w:val="2"/>
            <w:vAlign w:val="top"/>
          </w:tcPr>
          <w:p>
            <w:pPr>
              <w:pStyle w:val="57"/>
              <w:spacing w:line="444" w:lineRule="exact"/>
              <w:ind w:left="104" w:leftChars="0" w:right="-29" w:rightChars="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13"/>
                <w:sz w:val="24"/>
              </w:rPr>
              <w:t xml:space="preserve">、服务理念。清晰的得 </w:t>
            </w:r>
            <w:r>
              <w:rPr>
                <w:rFonts w:hint="eastAsia" w:ascii="宋体" w:hAnsi="宋体" w:eastAsia="宋体" w:cs="宋体"/>
                <w:sz w:val="24"/>
                <w:lang w:val="en-US" w:eastAsia="zh-CN"/>
              </w:rPr>
              <w:t>7</w:t>
            </w:r>
            <w:r>
              <w:rPr>
                <w:rFonts w:hint="eastAsia" w:ascii="宋体" w:hAnsi="宋体" w:eastAsia="宋体" w:cs="宋体"/>
                <w:spacing w:val="-10"/>
                <w:sz w:val="24"/>
              </w:rPr>
              <w:t xml:space="preserve">分，有的得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8"/>
                <w:sz w:val="24"/>
              </w:rPr>
              <w:t>分，不提供不得分。</w:t>
            </w:r>
          </w:p>
        </w:tc>
        <w:tc>
          <w:tcPr>
            <w:tcW w:w="966" w:type="dxa"/>
            <w:vMerge w:val="restart"/>
            <w:vAlign w:val="center"/>
          </w:tcPr>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sz w:val="24"/>
              </w:rPr>
            </w:pPr>
            <w:r>
              <w:rPr>
                <w:rFonts w:hint="eastAsia" w:ascii="宋体" w:hAnsi="宋体" w:eastAsia="宋体" w:cs="宋体"/>
                <w:sz w:val="24"/>
                <w:u w:val="single"/>
                <w:lang w:val="en-US" w:eastAsia="zh-CN"/>
              </w:rPr>
              <w:t>3</w:t>
            </w:r>
            <w:r>
              <w:rPr>
                <w:rFonts w:hint="eastAsia" w:ascii="宋体" w:hAnsi="宋体" w:cs="宋体"/>
                <w:sz w:val="24"/>
                <w:u w:val="single"/>
                <w:lang w:val="en-US" w:eastAsia="zh-CN"/>
              </w:rPr>
              <w:t>9</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leftChars="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7"/>
                <w:sz w:val="24"/>
              </w:rPr>
              <w:t xml:space="preserve">、工作制度。健全者得 </w:t>
            </w:r>
            <w:r>
              <w:rPr>
                <w:rFonts w:hint="eastAsia" w:ascii="宋体" w:hAnsi="宋体" w:eastAsia="宋体" w:cs="宋体"/>
                <w:sz w:val="24"/>
              </w:rPr>
              <w:t>6</w:t>
            </w:r>
            <w:r>
              <w:rPr>
                <w:rFonts w:hint="eastAsia" w:ascii="宋体" w:hAnsi="宋体" w:eastAsia="宋体" w:cs="宋体"/>
                <w:spacing w:val="-60"/>
                <w:sz w:val="24"/>
              </w:rPr>
              <w:t xml:space="preserve"> </w:t>
            </w:r>
            <w:r>
              <w:rPr>
                <w:rFonts w:hint="eastAsia" w:ascii="宋体" w:hAnsi="宋体" w:eastAsia="宋体" w:cs="宋体"/>
                <w:spacing w:val="-4"/>
                <w:sz w:val="24"/>
              </w:rPr>
              <w:t xml:space="preserve">分，提供得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6"/>
                <w:sz w:val="24"/>
              </w:rPr>
              <w:t>分，不提</w:t>
            </w:r>
            <w:r>
              <w:rPr>
                <w:rFonts w:hint="eastAsia" w:ascii="宋体" w:hAnsi="宋体" w:eastAsia="宋体" w:cs="宋体"/>
                <w:sz w:val="24"/>
              </w:rPr>
              <w:t>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leftChars="0"/>
              <w:rPr>
                <w:rFonts w:hint="eastAsia" w:ascii="宋体" w:hAnsi="宋体" w:eastAsia="宋体" w:cs="宋体"/>
                <w:sz w:val="24"/>
              </w:rPr>
            </w:pPr>
            <w:r>
              <w:rPr>
                <w:rFonts w:hint="eastAsia" w:ascii="宋体" w:hAnsi="宋体" w:eastAsia="宋体" w:cs="宋体"/>
                <w:sz w:val="24"/>
              </w:rPr>
              <w:t>3、工作进度计划措施及编制审核工作流程。科学</w:t>
            </w:r>
            <w:r>
              <w:rPr>
                <w:rFonts w:hint="eastAsia" w:ascii="宋体" w:hAnsi="宋体" w:eastAsia="宋体" w:cs="宋体"/>
                <w:spacing w:val="1"/>
                <w:sz w:val="24"/>
              </w:rPr>
              <w:t xml:space="preserve">高效得 </w:t>
            </w:r>
            <w:r>
              <w:rPr>
                <w:rFonts w:hint="eastAsia" w:ascii="宋体" w:hAnsi="宋体" w:eastAsia="宋体" w:cs="宋体"/>
                <w:sz w:val="24"/>
              </w:rPr>
              <w:t>6</w:t>
            </w:r>
            <w:r>
              <w:rPr>
                <w:rFonts w:hint="eastAsia" w:ascii="宋体" w:hAnsi="宋体" w:eastAsia="宋体" w:cs="宋体"/>
                <w:spacing w:val="-60"/>
                <w:sz w:val="24"/>
              </w:rPr>
              <w:t xml:space="preserve"> </w:t>
            </w:r>
            <w:r>
              <w:rPr>
                <w:rFonts w:hint="eastAsia" w:ascii="宋体" w:hAnsi="宋体" w:eastAsia="宋体" w:cs="宋体"/>
                <w:spacing w:val="1"/>
                <w:sz w:val="24"/>
              </w:rPr>
              <w:t xml:space="preserve">分，提供得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z w:val="24"/>
              </w:rPr>
              <w:t>分，不提供不得分。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pStyle w:val="57"/>
              <w:rPr>
                <w:rFonts w:hint="eastAsia" w:ascii="宋体" w:hAnsi="宋体" w:eastAsia="宋体" w:cs="宋体"/>
                <w:sz w:val="24"/>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4、针对政府投资特点应采取的内部控制制度。科学合理得</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pacing w:val="-60"/>
                <w:sz w:val="24"/>
              </w:rPr>
              <w:t xml:space="preserve"> </w:t>
            </w:r>
            <w:r>
              <w:rPr>
                <w:rFonts w:hint="eastAsia" w:ascii="宋体" w:hAnsi="宋体" w:eastAsia="宋体" w:cs="宋体"/>
                <w:sz w:val="24"/>
              </w:rPr>
              <w:t>分，提供得 2</w:t>
            </w:r>
            <w:r>
              <w:rPr>
                <w:rFonts w:hint="eastAsia" w:ascii="宋体" w:hAnsi="宋体" w:eastAsia="宋体" w:cs="宋体"/>
                <w:spacing w:val="-60"/>
                <w:sz w:val="24"/>
              </w:rPr>
              <w:t xml:space="preserve"> </w:t>
            </w:r>
            <w:r>
              <w:rPr>
                <w:rFonts w:hint="eastAsia" w:ascii="宋体" w:hAnsi="宋体" w:eastAsia="宋体" w:cs="宋体"/>
                <w:sz w:val="24"/>
              </w:rPr>
              <w:t>分，不提供不得分。</w:t>
            </w:r>
          </w:p>
        </w:tc>
        <w:tc>
          <w:tcPr>
            <w:tcW w:w="966" w:type="dxa"/>
            <w:vMerge w:val="continue"/>
            <w:vAlign w:val="center"/>
          </w:tcPr>
          <w:p>
            <w:pPr>
              <w:pStyle w:val="57"/>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 xml:space="preserve">5、如何保障项目人员的廉洁自律，避免和杜绝吃拿卡要的不良行为等内容做出相应承诺。合理完整者得 </w:t>
            </w:r>
            <w:r>
              <w:rPr>
                <w:rFonts w:hint="eastAsia" w:ascii="宋体" w:hAnsi="宋体" w:eastAsia="宋体" w:cs="宋体"/>
                <w:sz w:val="24"/>
                <w:lang w:val="en-US" w:eastAsia="zh-CN"/>
              </w:rPr>
              <w:t>3</w:t>
            </w:r>
            <w:r>
              <w:rPr>
                <w:rFonts w:hint="eastAsia" w:ascii="宋体" w:hAnsi="宋体" w:eastAsia="宋体" w:cs="宋体"/>
                <w:sz w:val="24"/>
              </w:rPr>
              <w:t xml:space="preserve"> 分，提供者得 </w:t>
            </w:r>
            <w:r>
              <w:rPr>
                <w:rFonts w:hint="eastAsia" w:ascii="宋体" w:hAnsi="宋体" w:eastAsia="宋体" w:cs="宋体"/>
                <w:sz w:val="24"/>
                <w:lang w:val="en-US" w:eastAsia="zh-CN"/>
              </w:rPr>
              <w:t>1</w:t>
            </w:r>
            <w:r>
              <w:rPr>
                <w:rFonts w:hint="eastAsia" w:ascii="宋体" w:hAnsi="宋体" w:eastAsia="宋体" w:cs="宋体"/>
                <w:sz w:val="24"/>
              </w:rPr>
              <w:t>分，不提供不得分。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9" w:lineRule="exact"/>
              <w:ind w:left="104"/>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pacing w:val="-4"/>
                <w:sz w:val="24"/>
              </w:rPr>
              <w:t xml:space="preserve">、具有针对性的服务措施。切实可行的得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pacing w:val="-2"/>
                <w:sz w:val="24"/>
              </w:rPr>
              <w:t xml:space="preserve">分，提供得 </w:t>
            </w:r>
            <w:r>
              <w:rPr>
                <w:rFonts w:hint="eastAsia" w:ascii="宋体" w:hAnsi="宋体" w:eastAsia="宋体" w:cs="宋体"/>
                <w:sz w:val="24"/>
              </w:rPr>
              <w:t>1</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分，不提供不得分。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pacing w:val="-8"/>
                <w:sz w:val="24"/>
              </w:rPr>
              <w:t xml:space="preserve">、承诺优先为采购人提供业务服务。提供者得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pacing w:val="-9"/>
                <w:sz w:val="24"/>
              </w:rPr>
              <w:t>分，不提</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pacing w:val="-8"/>
                <w:sz w:val="24"/>
              </w:rPr>
              <w:t xml:space="preserve">、应急方案处理。科学、有效者得 </w:t>
            </w:r>
            <w:r>
              <w:rPr>
                <w:rFonts w:hint="eastAsia" w:ascii="宋体" w:hAnsi="宋体" w:eastAsia="宋体" w:cs="宋体"/>
                <w:sz w:val="24"/>
              </w:rPr>
              <w:t>5</w:t>
            </w:r>
            <w:r>
              <w:rPr>
                <w:rFonts w:hint="eastAsia" w:ascii="宋体" w:hAnsi="宋体" w:eastAsia="宋体" w:cs="宋体"/>
                <w:spacing w:val="-60"/>
                <w:sz w:val="24"/>
              </w:rPr>
              <w:t xml:space="preserve"> </w:t>
            </w:r>
            <w:r>
              <w:rPr>
                <w:rFonts w:hint="eastAsia" w:ascii="宋体" w:hAnsi="宋体" w:eastAsia="宋体" w:cs="宋体"/>
                <w:spacing w:val="-4"/>
                <w:sz w:val="24"/>
              </w:rPr>
              <w:t xml:space="preserve">分，提供得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7"/>
                <w:sz w:val="24"/>
              </w:rPr>
              <w:t>分，不</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提供不得分。</w:t>
            </w:r>
          </w:p>
        </w:tc>
        <w:tc>
          <w:tcPr>
            <w:tcW w:w="966" w:type="dxa"/>
            <w:vMerge w:val="continue"/>
            <w:vAlign w:val="center"/>
          </w:tcPr>
          <w:p>
            <w:pPr>
              <w:rPr>
                <w:rFonts w:hint="eastAsia" w:ascii="宋体" w:hAnsi="宋体" w:eastAsia="宋体" w:cs="宋体"/>
                <w:sz w:val="2"/>
                <w:szCs w:val="2"/>
              </w:rPr>
            </w:pPr>
          </w:p>
        </w:tc>
      </w:tr>
    </w:tbl>
    <w:p>
      <w:pPr>
        <w:pStyle w:val="30"/>
        <w:spacing w:line="360" w:lineRule="auto"/>
        <w:ind w:firstLine="482" w:firstLineChars="200"/>
        <w:contextualSpacing/>
        <w:rPr>
          <w:rFonts w:hint="eastAsia" w:ascii="宋体" w:hAnsi="宋体" w:cs="仿宋_GB2312"/>
          <w:b/>
          <w:szCs w:val="24"/>
          <w:lang w:val="zh-CN"/>
        </w:rPr>
      </w:pPr>
    </w:p>
    <w:p>
      <w:pPr>
        <w:pStyle w:val="30"/>
        <w:spacing w:line="360" w:lineRule="auto"/>
        <w:ind w:firstLine="482" w:firstLineChars="200"/>
        <w:contextualSpacing/>
        <w:rPr>
          <w:rFonts w:ascii="宋体" w:hAnsi="宋体" w:cs="仿宋_GB2312"/>
          <w:b/>
          <w:szCs w:val="24"/>
        </w:rPr>
      </w:pPr>
      <w:r>
        <w:rPr>
          <w:rFonts w:hint="eastAsia" w:ascii="宋体" w:hAnsi="宋体" w:cs="仿宋_GB2312"/>
          <w:b/>
          <w:szCs w:val="24"/>
        </w:rPr>
        <w:t>特别说明：</w:t>
      </w:r>
    </w:p>
    <w:p>
      <w:pPr>
        <w:pStyle w:val="30"/>
        <w:spacing w:line="360" w:lineRule="auto"/>
        <w:ind w:firstLine="482" w:firstLineChars="200"/>
        <w:contextualSpacing/>
        <w:rPr>
          <w:rFonts w:ascii="宋体" w:hAnsi="宋体" w:cs="仿宋_GB2312"/>
          <w:b/>
          <w:szCs w:val="24"/>
        </w:rPr>
      </w:pPr>
      <w:r>
        <w:rPr>
          <w:rFonts w:hint="eastAsia" w:ascii="宋体" w:hAnsi="宋体" w:cs="仿宋_GB2312"/>
          <w:b/>
          <w:szCs w:val="24"/>
        </w:rPr>
        <w:t>1、如招标人在某一项认定上出现意见分歧，有评标委员会进行表决，以少数服从多数决定原则定，并作记录。</w:t>
      </w:r>
    </w:p>
    <w:p>
      <w:pPr>
        <w:pStyle w:val="30"/>
        <w:spacing w:line="360" w:lineRule="auto"/>
        <w:ind w:firstLine="482" w:firstLineChars="200"/>
        <w:contextualSpacing/>
        <w:rPr>
          <w:rFonts w:ascii="宋体" w:hAnsi="宋体" w:cs="仿宋_GB2312"/>
          <w:b/>
          <w:szCs w:val="24"/>
        </w:rPr>
      </w:pPr>
      <w:r>
        <w:rPr>
          <w:rFonts w:hint="eastAsia" w:ascii="宋体" w:hAnsi="宋体" w:cs="仿宋_GB2312"/>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pPr>
        <w:pStyle w:val="30"/>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4、根据招标文件</w:t>
      </w:r>
      <w:r>
        <w:rPr>
          <w:rFonts w:hint="eastAsia" w:ascii="宋体" w:hAnsi="宋体" w:cs="仿宋_GB2312"/>
          <w:b/>
          <w:sz w:val="24"/>
          <w:szCs w:val="24"/>
        </w:rPr>
        <w:t>31.2的规定</w:t>
      </w:r>
      <w:r>
        <w:rPr>
          <w:rFonts w:hint="eastAsia" w:ascii="宋体" w:hAnsi="宋体" w:cs="仿宋_GB2312"/>
          <w:b/>
          <w:sz w:val="24"/>
          <w:szCs w:val="24"/>
          <w:lang w:val="zh-CN"/>
        </w:rPr>
        <w:t>确定中标候选人名单。</w:t>
      </w:r>
    </w:p>
    <w:p>
      <w:pPr>
        <w:pStyle w:val="30"/>
        <w:spacing w:line="360" w:lineRule="auto"/>
        <w:contextualSpacing/>
        <w:jc w:val="center"/>
        <w:rPr>
          <w:rFonts w:hint="eastAsia" w:ascii="宋体" w:hAnsi="宋体" w:cs="宋体"/>
          <w:b/>
          <w:kern w:val="0"/>
          <w:sz w:val="36"/>
          <w:szCs w:val="36"/>
        </w:rPr>
      </w:pPr>
      <w:r>
        <w:rPr>
          <w:rFonts w:hint="eastAsia" w:ascii="宋体" w:hAnsi="宋体" w:cs="宋体"/>
          <w:b/>
          <w:kern w:val="0"/>
          <w:sz w:val="36"/>
          <w:szCs w:val="36"/>
        </w:rPr>
        <w:br w:type="textWrapping"/>
      </w:r>
    </w:p>
    <w:p>
      <w:pPr>
        <w:rPr>
          <w:rFonts w:hint="eastAsia" w:ascii="宋体" w:hAnsi="宋体" w:cs="宋体"/>
          <w:b/>
          <w:kern w:val="0"/>
          <w:sz w:val="36"/>
          <w:szCs w:val="36"/>
        </w:rPr>
      </w:pPr>
      <w:r>
        <w:rPr>
          <w:rFonts w:hint="eastAsia" w:ascii="宋体" w:hAnsi="宋体" w:cs="宋体"/>
          <w:b/>
          <w:kern w:val="0"/>
          <w:sz w:val="36"/>
          <w:szCs w:val="36"/>
        </w:rPr>
        <w:br w:type="page"/>
      </w:r>
    </w:p>
    <w:p>
      <w:pPr>
        <w:pStyle w:val="3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 合同条款及格式</w:t>
      </w:r>
    </w:p>
    <w:p>
      <w:pPr>
        <w:pStyle w:val="30"/>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43"/>
        <w:jc w:val="center"/>
        <w:rPr>
          <w:rFonts w:ascii="宋体" w:hAnsi="宋体" w:eastAsia="宋体"/>
          <w:sz w:val="21"/>
          <w:szCs w:val="21"/>
        </w:rPr>
      </w:pPr>
      <w:r>
        <w:rPr>
          <w:rFonts w:hint="eastAsia" w:ascii="宋体" w:hAnsi="宋体" w:eastAsia="宋体"/>
          <w:b/>
          <w:bCs/>
          <w:szCs w:val="28"/>
        </w:rPr>
        <w:t>政府购买资产评估机构服务合同</w:t>
      </w:r>
    </w:p>
    <w:p>
      <w:pPr>
        <w:widowControl/>
        <w:shd w:val="clear" w:color="auto" w:fill="FFFFFF"/>
        <w:spacing w:line="360" w:lineRule="auto"/>
        <w:jc w:val="left"/>
        <w:rPr>
          <w:rFonts w:ascii="宋体" w:cs="宋体"/>
          <w:kern w:val="0"/>
          <w:szCs w:val="21"/>
        </w:rPr>
      </w:pPr>
    </w:p>
    <w:p>
      <w:pPr>
        <w:autoSpaceDE w:val="0"/>
        <w:autoSpaceDN w:val="0"/>
        <w:adjustRightInd w:val="0"/>
        <w:jc w:val="center"/>
        <w:rPr>
          <w:rFonts w:ascii="宋体" w:cs="宋体"/>
          <w:b/>
          <w:kern w:val="0"/>
          <w:sz w:val="24"/>
          <w:szCs w:val="24"/>
        </w:rPr>
      </w:pPr>
      <w:r>
        <w:rPr>
          <w:rFonts w:hint="eastAsia" w:ascii="宋体" w:hAnsi="宋体" w:cs="宋体"/>
          <w:b/>
          <w:kern w:val="0"/>
          <w:sz w:val="24"/>
          <w:szCs w:val="24"/>
        </w:rPr>
        <w:t>第一部分协议书</w:t>
      </w:r>
    </w:p>
    <w:p>
      <w:pPr>
        <w:autoSpaceDE w:val="0"/>
        <w:autoSpaceDN w:val="0"/>
        <w:adjustRightInd w:val="0"/>
        <w:spacing w:line="360" w:lineRule="auto"/>
        <w:ind w:firstLine="480" w:firstLineChars="200"/>
        <w:jc w:val="left"/>
        <w:rPr>
          <w:rFonts w:ascii="宋体" w:cs="宋体"/>
          <w:kern w:val="0"/>
          <w:sz w:val="24"/>
          <w:szCs w:val="24"/>
          <w:u w:val="single"/>
        </w:rPr>
      </w:pPr>
      <w:r>
        <w:rPr>
          <w:rFonts w:hint="eastAsia" w:ascii="宋体" w:hAnsi="宋体" w:cs="宋体"/>
          <w:kern w:val="0"/>
          <w:sz w:val="24"/>
          <w:szCs w:val="24"/>
        </w:rPr>
        <w:t>政府购买服务主体（全称）：</w:t>
      </w:r>
    </w:p>
    <w:p>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承接政府购买服务主体（全称）：</w:t>
      </w:r>
    </w:p>
    <w:p>
      <w:pPr>
        <w:tabs>
          <w:tab w:val="left" w:pos="4620"/>
        </w:tabs>
        <w:spacing w:line="540" w:lineRule="atLeast"/>
        <w:ind w:firstLine="480" w:firstLineChars="200"/>
        <w:jc w:val="left"/>
        <w:rPr>
          <w:rFonts w:ascii="宋体" w:cs="宋体"/>
          <w:kern w:val="0"/>
          <w:sz w:val="24"/>
          <w:szCs w:val="24"/>
        </w:rPr>
      </w:pPr>
      <w:r>
        <w:rPr>
          <w:rFonts w:hint="eastAsia" w:ascii="宋体" w:hAnsi="宋体" w:cs="宋体"/>
          <w:kern w:val="0"/>
          <w:sz w:val="24"/>
          <w:szCs w:val="24"/>
        </w:rPr>
        <w:t>中标人进入许昌市城乡一体化示范区财政局的《中介机构服务备选库》，按照《许昌市城乡一体化示范区政府购买中介机构服务管理暂行办法（试行）》（以下简称《办法》）要求，接受委托参与政府</w:t>
      </w:r>
      <w:r>
        <w:rPr>
          <w:rFonts w:hint="eastAsia" w:ascii="宋体" w:hAnsi="宋体" w:cs="宋体"/>
          <w:sz w:val="24"/>
          <w:szCs w:val="24"/>
        </w:rPr>
        <w:t>购买中介机构服务，待有项目需要服务时，投标人根据《办法》规定再与委托单位订立书面合同。</w:t>
      </w:r>
      <w:r>
        <w:rPr>
          <w:rFonts w:hint="eastAsia" w:ascii="宋体" w:hAnsi="宋体" w:cs="宋体"/>
          <w:kern w:val="0"/>
          <w:sz w:val="24"/>
          <w:szCs w:val="24"/>
        </w:rPr>
        <w:t>根据《中华人民共和国合同法》及其他有关法律法规，遵循平等、自愿、公平和诚实信用的原则，双方就下述服务事项协商一致，订立本协议书。</w:t>
      </w:r>
    </w:p>
    <w:p>
      <w:pPr>
        <w:autoSpaceDE w:val="0"/>
        <w:autoSpaceDN w:val="0"/>
        <w:adjustRightInd w:val="0"/>
        <w:spacing w:line="360" w:lineRule="auto"/>
        <w:ind w:firstLine="482" w:firstLineChars="200"/>
        <w:jc w:val="left"/>
        <w:rPr>
          <w:rFonts w:ascii="宋体" w:cs="宋体"/>
          <w:b/>
          <w:kern w:val="0"/>
          <w:sz w:val="24"/>
        </w:rPr>
      </w:pPr>
      <w:r>
        <w:rPr>
          <w:rFonts w:hint="eastAsia" w:ascii="宋体" w:cs="宋体"/>
          <w:b/>
          <w:kern w:val="0"/>
          <w:sz w:val="24"/>
        </w:rPr>
        <w:t>一、委托内容</w:t>
      </w:r>
    </w:p>
    <w:p>
      <w:pPr>
        <w:autoSpaceDE w:val="0"/>
        <w:autoSpaceDN w:val="0"/>
        <w:adjustRightInd w:val="0"/>
        <w:spacing w:line="360" w:lineRule="auto"/>
        <w:ind w:firstLine="600" w:firstLineChars="250"/>
        <w:jc w:val="left"/>
        <w:rPr>
          <w:rFonts w:ascii="宋体" w:cs="宋体"/>
          <w:kern w:val="0"/>
          <w:sz w:val="24"/>
        </w:rPr>
      </w:pPr>
      <w:r>
        <w:rPr>
          <w:rFonts w:ascii="宋体" w:cs="宋体"/>
          <w:kern w:val="0"/>
          <w:sz w:val="24"/>
        </w:rPr>
        <w:t>1.</w:t>
      </w:r>
      <w:r>
        <w:rPr>
          <w:rFonts w:hint="eastAsia" w:ascii="宋体" w:cs="宋体"/>
          <w:kern w:val="0"/>
          <w:sz w:val="24"/>
        </w:rPr>
        <w:t>评估目的：</w:t>
      </w:r>
    </w:p>
    <w:p>
      <w:pPr>
        <w:autoSpaceDE w:val="0"/>
        <w:autoSpaceDN w:val="0"/>
        <w:adjustRightInd w:val="0"/>
        <w:spacing w:line="360" w:lineRule="auto"/>
        <w:ind w:firstLine="600" w:firstLineChars="250"/>
        <w:jc w:val="left"/>
        <w:rPr>
          <w:rFonts w:ascii="宋体" w:cs="宋体"/>
          <w:kern w:val="0"/>
          <w:sz w:val="24"/>
        </w:rPr>
      </w:pPr>
      <w:r>
        <w:rPr>
          <w:rFonts w:ascii="宋体" w:cs="宋体"/>
          <w:kern w:val="0"/>
          <w:sz w:val="24"/>
        </w:rPr>
        <w:t>2.</w:t>
      </w:r>
      <w:r>
        <w:rPr>
          <w:rFonts w:hint="eastAsia" w:ascii="宋体" w:cs="宋体"/>
          <w:kern w:val="0"/>
          <w:sz w:val="24"/>
        </w:rPr>
        <w:t>评估对象：</w:t>
      </w:r>
    </w:p>
    <w:p>
      <w:pPr>
        <w:autoSpaceDE w:val="0"/>
        <w:autoSpaceDN w:val="0"/>
        <w:adjustRightInd w:val="0"/>
        <w:spacing w:line="360" w:lineRule="auto"/>
        <w:ind w:firstLine="600" w:firstLineChars="250"/>
        <w:jc w:val="left"/>
        <w:rPr>
          <w:rFonts w:ascii="宋体" w:cs="宋体"/>
          <w:kern w:val="0"/>
          <w:szCs w:val="21"/>
        </w:rPr>
      </w:pPr>
      <w:r>
        <w:rPr>
          <w:rFonts w:ascii="宋体" w:cs="宋体"/>
          <w:kern w:val="0"/>
          <w:sz w:val="24"/>
        </w:rPr>
        <w:t>3.</w:t>
      </w:r>
      <w:r>
        <w:rPr>
          <w:rFonts w:hint="eastAsia" w:ascii="宋体" w:cs="宋体"/>
          <w:kern w:val="0"/>
          <w:sz w:val="24"/>
        </w:rPr>
        <w:t>评估范围：</w:t>
      </w:r>
    </w:p>
    <w:p>
      <w:pPr>
        <w:autoSpaceDE w:val="0"/>
        <w:autoSpaceDN w:val="0"/>
        <w:adjustRightInd w:val="0"/>
        <w:spacing w:line="360" w:lineRule="auto"/>
        <w:ind w:firstLine="600" w:firstLineChars="250"/>
        <w:jc w:val="left"/>
        <w:rPr>
          <w:rFonts w:ascii="宋体" w:cs="宋体"/>
          <w:kern w:val="0"/>
          <w:szCs w:val="21"/>
        </w:rPr>
      </w:pPr>
      <w:r>
        <w:rPr>
          <w:rFonts w:ascii="宋体" w:cs="宋体"/>
          <w:kern w:val="0"/>
          <w:sz w:val="24"/>
        </w:rPr>
        <w:t>4.</w:t>
      </w:r>
      <w:r>
        <w:rPr>
          <w:rFonts w:hint="eastAsia" w:ascii="宋体" w:cs="宋体"/>
          <w:kern w:val="0"/>
          <w:sz w:val="24"/>
        </w:rPr>
        <w:t>评估基准日：</w:t>
      </w:r>
    </w:p>
    <w:p>
      <w:pPr>
        <w:autoSpaceDE w:val="0"/>
        <w:autoSpaceDN w:val="0"/>
        <w:adjustRightInd w:val="0"/>
        <w:spacing w:line="360" w:lineRule="auto"/>
        <w:ind w:firstLine="600" w:firstLineChars="250"/>
        <w:jc w:val="left"/>
        <w:rPr>
          <w:rFonts w:ascii="宋体" w:cs="宋体"/>
          <w:kern w:val="0"/>
          <w:szCs w:val="21"/>
        </w:rPr>
      </w:pPr>
      <w:r>
        <w:rPr>
          <w:rFonts w:ascii="宋体" w:cs="宋体"/>
          <w:kern w:val="0"/>
          <w:sz w:val="24"/>
        </w:rPr>
        <w:t>5.</w:t>
      </w:r>
      <w:r>
        <w:rPr>
          <w:rFonts w:hint="eastAsia" w:ascii="宋体" w:cs="宋体"/>
          <w:kern w:val="0"/>
          <w:sz w:val="24"/>
        </w:rPr>
        <w:t>评估报告适用范围：</w:t>
      </w:r>
    </w:p>
    <w:p>
      <w:pPr>
        <w:autoSpaceDE w:val="0"/>
        <w:autoSpaceDN w:val="0"/>
        <w:adjustRightInd w:val="0"/>
        <w:spacing w:line="360" w:lineRule="auto"/>
        <w:ind w:firstLine="600" w:firstLineChars="250"/>
        <w:jc w:val="left"/>
        <w:rPr>
          <w:rFonts w:ascii="宋体" w:cs="宋体"/>
          <w:kern w:val="0"/>
          <w:sz w:val="24"/>
        </w:rPr>
      </w:pPr>
      <w:r>
        <w:rPr>
          <w:rFonts w:ascii="宋体" w:cs="宋体"/>
          <w:kern w:val="0"/>
          <w:sz w:val="24"/>
        </w:rPr>
        <w:t>6.</w:t>
      </w:r>
      <w:r>
        <w:rPr>
          <w:rFonts w:hint="eastAsia" w:ascii="宋体" w:cs="宋体"/>
          <w:kern w:val="0"/>
          <w:sz w:val="24"/>
        </w:rPr>
        <w:t>评估报告提交期限和方式：</w:t>
      </w:r>
    </w:p>
    <w:p>
      <w:pPr>
        <w:autoSpaceDE w:val="0"/>
        <w:autoSpaceDN w:val="0"/>
        <w:adjustRightInd w:val="0"/>
        <w:spacing w:line="360" w:lineRule="auto"/>
        <w:ind w:firstLine="600" w:firstLineChars="250"/>
        <w:jc w:val="left"/>
        <w:rPr>
          <w:rFonts w:ascii="宋体" w:cs="宋体"/>
          <w:kern w:val="0"/>
          <w:szCs w:val="21"/>
        </w:rPr>
      </w:pPr>
      <w:r>
        <w:rPr>
          <w:rFonts w:hint="eastAsia" w:ascii="宋体" w:cs="宋体"/>
          <w:kern w:val="0"/>
          <w:sz w:val="24"/>
        </w:rPr>
        <w:t>7.评估报告使用者：</w:t>
      </w:r>
    </w:p>
    <w:p>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二、</w:t>
      </w:r>
      <w:r>
        <w:rPr>
          <w:rFonts w:hint="eastAsia" w:ascii="宋体" w:hAnsi="宋体" w:cs="宋体"/>
          <w:b/>
          <w:bCs/>
          <w:kern w:val="0"/>
          <w:sz w:val="24"/>
        </w:rPr>
        <w:t>评估服务费</w:t>
      </w:r>
      <w:r>
        <w:rPr>
          <w:rFonts w:ascii="宋体" w:hAnsi="宋体" w:cs="宋体"/>
          <w:b/>
          <w:bCs/>
          <w:kern w:val="0"/>
          <w:sz w:val="24"/>
        </w:rPr>
        <w:t>用</w:t>
      </w:r>
      <w:r>
        <w:rPr>
          <w:rFonts w:hint="eastAsia" w:ascii="宋体" w:hAnsi="宋体" w:cs="宋体"/>
          <w:b/>
          <w:bCs/>
          <w:kern w:val="0"/>
          <w:sz w:val="24"/>
        </w:rPr>
        <w:t>总额、支付标准及</w:t>
      </w:r>
      <w:r>
        <w:rPr>
          <w:rFonts w:ascii="宋体" w:hAnsi="宋体" w:cs="宋体"/>
          <w:b/>
          <w:bCs/>
          <w:kern w:val="0"/>
          <w:sz w:val="24"/>
        </w:rPr>
        <w:t>支付方式</w:t>
      </w:r>
    </w:p>
    <w:p>
      <w:pPr>
        <w:widowControl/>
        <w:shd w:val="clear" w:color="auto" w:fill="FFFFFF"/>
        <w:spacing w:line="360" w:lineRule="auto"/>
        <w:jc w:val="left"/>
        <w:rPr>
          <w:rFonts w:ascii="宋体" w:hAnsi="宋体" w:cs="宋体"/>
          <w:kern w:val="0"/>
          <w:sz w:val="24"/>
        </w:rPr>
      </w:pPr>
      <w:r>
        <w:rPr>
          <w:rFonts w:hint="eastAsia" w:ascii="宋体" w:cs="宋体"/>
          <w:kern w:val="0"/>
          <w:sz w:val="24"/>
        </w:rPr>
        <w:t>根据</w:t>
      </w:r>
      <w:r>
        <w:rPr>
          <w:rFonts w:hint="eastAsia" w:ascii="宋体" w:hAnsi="宋体"/>
          <w:bCs/>
          <w:kern w:val="0"/>
          <w:sz w:val="24"/>
          <w:szCs w:val="24"/>
          <w:lang w:val="zh-CN" w:eastAsia="zh-CN"/>
        </w:rPr>
        <w:t>《许昌市城乡一体化示范区政府购买中介机构服务管理暂行办法（试行）》</w:t>
      </w:r>
      <w:r>
        <w:rPr>
          <w:rFonts w:hint="eastAsia" w:ascii="宋体" w:cs="宋体"/>
          <w:kern w:val="0"/>
          <w:sz w:val="24"/>
        </w:rPr>
        <w:t>规定</w:t>
      </w:r>
      <w:r>
        <w:rPr>
          <w:rFonts w:hint="eastAsia" w:ascii="宋体" w:hAnsi="宋体"/>
          <w:bCs/>
          <w:kern w:val="0"/>
          <w:sz w:val="24"/>
          <w:szCs w:val="24"/>
          <w:lang w:val="zh-CN" w:eastAsia="zh-CN"/>
        </w:rPr>
        <w:t>的“谁使用、谁付费、谁评价”的原则，中标供应商完成委托项目由委托人向其付费，</w:t>
      </w:r>
      <w:r>
        <w:rPr>
          <w:rFonts w:hint="eastAsia" w:ascii="宋体" w:cs="宋体"/>
          <w:kern w:val="0"/>
          <w:sz w:val="24"/>
        </w:rPr>
        <w:t>付费方式由双方另行约定。</w:t>
      </w:r>
    </w:p>
    <w:p>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三、</w:t>
      </w:r>
      <w:r>
        <w:rPr>
          <w:rFonts w:hint="eastAsia" w:ascii="宋体" w:hAnsi="宋体" w:cs="宋体"/>
          <w:b/>
          <w:bCs/>
          <w:kern w:val="0"/>
          <w:sz w:val="24"/>
        </w:rPr>
        <w:t>评估</w:t>
      </w:r>
      <w:r>
        <w:rPr>
          <w:rFonts w:ascii="宋体" w:hAnsi="宋体" w:cs="宋体"/>
          <w:b/>
          <w:bCs/>
          <w:kern w:val="0"/>
          <w:sz w:val="24"/>
        </w:rPr>
        <w:t>责任</w:t>
      </w:r>
    </w:p>
    <w:p>
      <w:pPr>
        <w:snapToGrid w:val="0"/>
        <w:spacing w:line="360" w:lineRule="auto"/>
        <w:rPr>
          <w:rFonts w:ascii="宋体" w:hAnsi="宋体" w:cs="宋体"/>
          <w:kern w:val="0"/>
          <w:sz w:val="24"/>
        </w:rPr>
      </w:pPr>
      <w:r>
        <w:rPr>
          <w:rFonts w:ascii="宋体" w:hAnsi="宋体" w:cs="宋体"/>
          <w:kern w:val="0"/>
          <w:sz w:val="24"/>
        </w:rPr>
        <w:t>受托人承担</w:t>
      </w:r>
      <w:r>
        <w:rPr>
          <w:rFonts w:hint="eastAsia" w:ascii="宋体" w:hAnsi="宋体" w:cs="宋体"/>
          <w:kern w:val="0"/>
          <w:sz w:val="24"/>
        </w:rPr>
        <w:t>资产评估</w:t>
      </w:r>
      <w:r>
        <w:rPr>
          <w:rFonts w:ascii="宋体" w:hAnsi="宋体" w:cs="宋体"/>
          <w:kern w:val="0"/>
          <w:sz w:val="24"/>
        </w:rPr>
        <w:t>责任，即依据《</w:t>
      </w:r>
      <w:r>
        <w:rPr>
          <w:rFonts w:hint="eastAsia" w:ascii="宋体" w:hAnsi="宋体" w:cs="宋体"/>
          <w:kern w:val="0"/>
          <w:sz w:val="24"/>
        </w:rPr>
        <w:t>资产评估基本准则</w:t>
      </w:r>
      <w:r>
        <w:rPr>
          <w:rFonts w:ascii="宋体" w:hAnsi="宋体" w:cs="宋体"/>
          <w:kern w:val="0"/>
          <w:sz w:val="24"/>
        </w:rPr>
        <w:t>》</w:t>
      </w:r>
      <w:r>
        <w:rPr>
          <w:rFonts w:hint="eastAsia" w:ascii="宋体" w:hAnsi="宋体" w:cs="宋体"/>
          <w:kern w:val="0"/>
          <w:sz w:val="24"/>
        </w:rPr>
        <w:t>（</w:t>
      </w:r>
      <w:r>
        <w:rPr>
          <w:rFonts w:ascii="宋体" w:hAnsi="宋体"/>
          <w:color w:val="000000"/>
          <w:sz w:val="24"/>
          <w:shd w:val="clear" w:color="auto" w:fill="FFFFFF"/>
        </w:rPr>
        <w:t>财资〔2017〕43号</w:t>
      </w:r>
      <w:r>
        <w:rPr>
          <w:rFonts w:hint="eastAsia" w:ascii="宋体" w:hAnsi="宋体" w:cs="宋体"/>
          <w:kern w:val="0"/>
          <w:sz w:val="24"/>
        </w:rPr>
        <w:t>）</w:t>
      </w:r>
      <w:r>
        <w:rPr>
          <w:rFonts w:ascii="宋体" w:hAnsi="宋体" w:cs="宋体"/>
          <w:kern w:val="0"/>
          <w:sz w:val="24"/>
        </w:rPr>
        <w:t>的规定，对所出具的</w:t>
      </w:r>
      <w:r>
        <w:rPr>
          <w:rFonts w:hint="eastAsia" w:ascii="宋体" w:hAnsi="宋体" w:cs="宋体"/>
          <w:kern w:val="0"/>
          <w:sz w:val="24"/>
        </w:rPr>
        <w:t>评估</w:t>
      </w:r>
      <w:r>
        <w:rPr>
          <w:rFonts w:ascii="宋体" w:hAnsi="宋体" w:cs="宋体"/>
          <w:kern w:val="0"/>
          <w:sz w:val="24"/>
        </w:rPr>
        <w:t>报告承担责任。</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四、委托人权利义务</w:t>
      </w:r>
    </w:p>
    <w:p>
      <w:pPr>
        <w:spacing w:line="360" w:lineRule="auto"/>
        <w:ind w:firstLine="480" w:firstLineChars="200"/>
        <w:rPr>
          <w:rFonts w:ascii="宋体" w:hAnsi="宋体" w:cs="宋体"/>
          <w:kern w:val="0"/>
          <w:sz w:val="24"/>
        </w:rPr>
      </w:pPr>
      <w:r>
        <w:rPr>
          <w:rFonts w:ascii="宋体" w:hAnsi="宋体" w:cs="宋体"/>
          <w:kern w:val="0"/>
          <w:sz w:val="24"/>
        </w:rPr>
        <w:t>1．</w:t>
      </w:r>
      <w:r>
        <w:rPr>
          <w:rFonts w:ascii="宋体" w:hAnsi="宋体"/>
          <w:sz w:val="24"/>
        </w:rPr>
        <w:t>依法提供资产评估业务需要的资料并保证资料的真实性、完整性、合法性，</w:t>
      </w:r>
      <w:r>
        <w:rPr>
          <w:rFonts w:hint="eastAsia" w:ascii="宋体" w:hAnsi="宋体"/>
          <w:sz w:val="24"/>
        </w:rPr>
        <w:t>并</w:t>
      </w:r>
      <w:r>
        <w:rPr>
          <w:rFonts w:ascii="宋体" w:hAnsi="宋体"/>
          <w:sz w:val="24"/>
        </w:rPr>
        <w:t>对其提供的资产评估明细表及其他重要资料的真实性、完整性、合法性进行确认，确认方式包括签字、盖章或者法律允许的其他方式</w:t>
      </w:r>
      <w:r>
        <w:rPr>
          <w:rFonts w:hint="eastAsia" w:ascii="宋体" w:hAnsi="宋体" w:cs="宋体"/>
          <w:kern w:val="0"/>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2．</w:t>
      </w:r>
      <w:r>
        <w:rPr>
          <w:rFonts w:ascii="宋体" w:hAnsi="宋体"/>
          <w:sz w:val="24"/>
        </w:rPr>
        <w:t>应当为资产评估机构及其资产评估专业人员开展资产评估业务提供必要的工作条件和协助</w:t>
      </w:r>
      <w:r>
        <w:rPr>
          <w:rFonts w:hint="eastAsia" w:ascii="宋体" w:hAnsi="宋体"/>
          <w:sz w:val="24"/>
        </w:rPr>
        <w:t>，并</w:t>
      </w:r>
      <w:r>
        <w:rPr>
          <w:rFonts w:ascii="宋体" w:hAnsi="宋体"/>
          <w:sz w:val="24"/>
        </w:rPr>
        <w:t>根据资产评估业务需要，负责资产评估机构及其资产评估专业人员与其他相关当事人之间的协调</w:t>
      </w:r>
      <w:r>
        <w:rPr>
          <w:rFonts w:ascii="宋体" w:hAnsi="宋体" w:cs="宋体"/>
          <w:kern w:val="0"/>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3．按约定条件及时足额支付</w:t>
      </w:r>
      <w:r>
        <w:rPr>
          <w:rFonts w:hint="eastAsia" w:ascii="宋体" w:hAnsi="宋体" w:cs="宋体"/>
          <w:kern w:val="0"/>
          <w:sz w:val="24"/>
        </w:rPr>
        <w:t>资产评估</w:t>
      </w:r>
      <w:r>
        <w:rPr>
          <w:rFonts w:ascii="宋体" w:hAnsi="宋体" w:cs="宋体"/>
          <w:kern w:val="0"/>
          <w:sz w:val="24"/>
        </w:rPr>
        <w:t>费用，不以足额支付</w:t>
      </w:r>
      <w:r>
        <w:rPr>
          <w:rFonts w:hint="eastAsia" w:ascii="宋体" w:hAnsi="宋体" w:cs="宋体"/>
          <w:kern w:val="0"/>
          <w:sz w:val="24"/>
        </w:rPr>
        <w:t>评估</w:t>
      </w:r>
      <w:r>
        <w:rPr>
          <w:rFonts w:ascii="宋体" w:hAnsi="宋体" w:cs="宋体"/>
          <w:kern w:val="0"/>
          <w:sz w:val="24"/>
        </w:rPr>
        <w:t>费用为条件影响报告意见；</w:t>
      </w:r>
    </w:p>
    <w:p>
      <w:pPr>
        <w:widowControl/>
        <w:shd w:val="clear" w:color="auto" w:fill="FFFFFF"/>
        <w:spacing w:line="360" w:lineRule="auto"/>
        <w:ind w:firstLine="480" w:firstLineChars="200"/>
        <w:jc w:val="left"/>
        <w:rPr>
          <w:rFonts w:ascii="宋体" w:hAnsi="宋体"/>
          <w:sz w:val="24"/>
        </w:rPr>
      </w:pPr>
      <w:r>
        <w:rPr>
          <w:rFonts w:ascii="宋体" w:hAnsi="宋体" w:cs="宋体"/>
          <w:kern w:val="0"/>
          <w:sz w:val="24"/>
        </w:rPr>
        <w:t>4．</w:t>
      </w:r>
      <w:r>
        <w:rPr>
          <w:rFonts w:ascii="宋体" w:hAnsi="宋体"/>
          <w:sz w:val="24"/>
        </w:rPr>
        <w:t>委托人或者其他资产评估报告使用人应当按照法律、行政法规规定和资产评估 报告载明的使用目的及用途</w:t>
      </w:r>
      <w:r>
        <w:rPr>
          <w:rFonts w:hint="eastAsia" w:ascii="宋体" w:hAnsi="宋体"/>
          <w:sz w:val="24"/>
        </w:rPr>
        <w:t>恰当</w:t>
      </w:r>
      <w:r>
        <w:rPr>
          <w:rFonts w:ascii="宋体" w:hAnsi="宋体"/>
          <w:sz w:val="24"/>
        </w:rPr>
        <w:t>使用资产评估报告</w:t>
      </w:r>
      <w:r>
        <w:rPr>
          <w:rFonts w:hint="eastAsia" w:ascii="宋体" w:hAnsi="宋体"/>
          <w:sz w:val="24"/>
        </w:rPr>
        <w:t>，</w:t>
      </w:r>
      <w:r>
        <w:rPr>
          <w:rFonts w:ascii="宋体" w:hAnsi="宋体"/>
          <w:sz w:val="24"/>
        </w:rPr>
        <w:t xml:space="preserve">未征得资产评估机构同意，资产评估报告的内容不得被摘抄、引用或者披露于公开媒体，法律、行政法规规定以及相关当事人另有约定的除外 </w:t>
      </w:r>
      <w:r>
        <w:rPr>
          <w:rFonts w:hint="eastAsia" w:ascii="宋体" w:hAnsi="宋体"/>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5．受托人与委托人有利害关系的，委托人有权要求其回避</w:t>
      </w:r>
      <w:r>
        <w:rPr>
          <w:rFonts w:hint="eastAsia" w:ascii="宋体" w:hAnsi="宋体" w:cs="宋体"/>
          <w:kern w:val="0"/>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6．委托人委托</w:t>
      </w:r>
      <w:r>
        <w:rPr>
          <w:rFonts w:hint="eastAsia" w:ascii="宋体" w:hAnsi="宋体" w:cs="宋体"/>
          <w:kern w:val="0"/>
          <w:sz w:val="24"/>
        </w:rPr>
        <w:t>资产评估机构</w:t>
      </w:r>
      <w:r>
        <w:rPr>
          <w:rFonts w:ascii="宋体" w:hAnsi="宋体" w:cs="宋体"/>
          <w:kern w:val="0"/>
          <w:sz w:val="24"/>
        </w:rPr>
        <w:t>办理业务，任何单位和个人不得干预。</w:t>
      </w:r>
    </w:p>
    <w:p>
      <w:pPr>
        <w:widowControl/>
        <w:shd w:val="clear" w:color="auto" w:fill="FFFFFF"/>
        <w:spacing w:line="360" w:lineRule="auto"/>
        <w:jc w:val="left"/>
        <w:rPr>
          <w:rFonts w:ascii="宋体" w:hAnsi="宋体" w:cs="宋体"/>
          <w:kern w:val="0"/>
          <w:sz w:val="24"/>
        </w:rPr>
      </w:pPr>
      <w:r>
        <w:rPr>
          <w:rFonts w:ascii="宋体" w:hAnsi="宋体" w:cs="宋体"/>
          <w:b/>
          <w:bCs/>
          <w:kern w:val="0"/>
          <w:sz w:val="24"/>
        </w:rPr>
        <w:t>五、受托人权利义务</w:t>
      </w:r>
    </w:p>
    <w:p>
      <w:pPr>
        <w:shd w:val="solid" w:color="FFFFFF" w:fill="auto"/>
        <w:autoSpaceDN w:val="0"/>
        <w:spacing w:line="360" w:lineRule="auto"/>
        <w:rPr>
          <w:rFonts w:ascii="宋体" w:hAnsi="宋体"/>
          <w:color w:val="000000"/>
          <w:sz w:val="24"/>
          <w:shd w:val="clear" w:color="auto" w:fill="FFFFFF"/>
        </w:rPr>
      </w:pPr>
      <w:r>
        <w:rPr>
          <w:rFonts w:ascii="宋体" w:hAnsi="宋体" w:cs="宋体"/>
          <w:kern w:val="0"/>
          <w:sz w:val="24"/>
        </w:rPr>
        <w:t>1．</w:t>
      </w:r>
      <w:r>
        <w:rPr>
          <w:rFonts w:ascii="宋体" w:hAnsi="宋体"/>
          <w:color w:val="000000"/>
          <w:sz w:val="24"/>
          <w:shd w:val="clear" w:color="auto" w:fill="FFFFFF"/>
        </w:rPr>
        <w:t>要求委托人提供相关的权属证明、财务会计信息和其他资料，以及为执行公允的评估程序所需的必要协助；</w:t>
      </w:r>
    </w:p>
    <w:p>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2.</w:t>
      </w:r>
      <w:r>
        <w:rPr>
          <w:rFonts w:ascii="宋体" w:hAnsi="宋体"/>
          <w:color w:val="000000"/>
          <w:sz w:val="24"/>
          <w:shd w:val="clear" w:color="auto" w:fill="FFFFFF"/>
        </w:rPr>
        <w:t>依法向有关国家机关或者其他组织查阅从事业务所需的文件、证明和资料；</w:t>
      </w:r>
    </w:p>
    <w:p>
      <w:pPr>
        <w:widowControl/>
        <w:shd w:val="clear" w:color="auto" w:fill="FFFFFF"/>
        <w:spacing w:line="360" w:lineRule="auto"/>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3.</w:t>
      </w:r>
      <w:r>
        <w:rPr>
          <w:rFonts w:hint="eastAsia" w:ascii="宋体" w:hAnsi="宋体" w:cs="宋体"/>
          <w:sz w:val="24"/>
          <w:szCs w:val="24"/>
        </w:rPr>
        <w:t>独立进行分析和估算并形成专业意见，</w:t>
      </w:r>
      <w:r>
        <w:rPr>
          <w:rFonts w:ascii="宋体" w:hAnsi="宋体"/>
          <w:color w:val="000000"/>
          <w:sz w:val="24"/>
          <w:shd w:val="clear" w:color="auto" w:fill="FFFFFF"/>
        </w:rPr>
        <w:t>拒绝委托人或者其他组织、个人对评估行为和评估结果的非法干预</w:t>
      </w:r>
      <w:r>
        <w:rPr>
          <w:rFonts w:hint="eastAsia" w:ascii="宋体" w:hAnsi="宋体"/>
          <w:color w:val="000000"/>
          <w:sz w:val="24"/>
          <w:shd w:val="clear" w:color="auto" w:fill="FFFFFF"/>
        </w:rPr>
        <w:t>，</w:t>
      </w:r>
      <w:r>
        <w:rPr>
          <w:rFonts w:hint="eastAsia" w:ascii="宋体" w:hAnsi="宋体" w:cs="宋体"/>
          <w:color w:val="000000"/>
          <w:sz w:val="24"/>
          <w:szCs w:val="24"/>
        </w:rPr>
        <w:t>不得直接以预先设定的价值作为评估结论</w:t>
      </w:r>
      <w:r>
        <w:rPr>
          <w:rFonts w:ascii="宋体" w:hAnsi="宋体"/>
          <w:color w:val="000000"/>
          <w:sz w:val="24"/>
          <w:shd w:val="clear" w:color="auto" w:fill="FFFFFF"/>
        </w:rPr>
        <w:t>；</w:t>
      </w:r>
    </w:p>
    <w:p>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4.</w:t>
      </w:r>
      <w:r>
        <w:rPr>
          <w:rFonts w:ascii="宋体" w:hAnsi="宋体"/>
          <w:color w:val="000000"/>
          <w:sz w:val="24"/>
          <w:shd w:val="clear" w:color="auto" w:fill="FFFFFF"/>
        </w:rPr>
        <w:t>依法签署评估报告；</w:t>
      </w:r>
    </w:p>
    <w:p>
      <w:pPr>
        <w:snapToGrid w:val="0"/>
        <w:spacing w:line="360" w:lineRule="auto"/>
        <w:rPr>
          <w:rFonts w:ascii="宋体" w:hAnsi="宋体" w:cs="宋体"/>
          <w:bCs/>
          <w:kern w:val="0"/>
          <w:sz w:val="24"/>
          <w:szCs w:val="24"/>
        </w:rPr>
      </w:pPr>
      <w:r>
        <w:rPr>
          <w:rFonts w:hint="eastAsia" w:ascii="宋体" w:hAnsi="宋体"/>
          <w:sz w:val="24"/>
        </w:rPr>
        <w:t xml:space="preserve">    5.</w:t>
      </w:r>
      <w:r>
        <w:rPr>
          <w:rFonts w:ascii="宋体" w:hAnsi="宋体"/>
          <w:sz w:val="24"/>
        </w:rPr>
        <w:t>遵守相关法律、行政法规和资产评估准则，对评估对象在评估基准日特定目的下的价值进行分析和估算并出具资产评估报告</w:t>
      </w:r>
      <w:r>
        <w:rPr>
          <w:rFonts w:hint="eastAsia" w:ascii="宋体" w:hAnsi="宋体"/>
          <w:sz w:val="24"/>
        </w:rPr>
        <w:t>，评估目的、评估对象、评估基准日发生变化，或者评估范围发生重大变化，评估机构应当与委托人签订补充协议或者重新签订业务约定书</w:t>
      </w:r>
      <w:r>
        <w:rPr>
          <w:rFonts w:hint="eastAsia" w:ascii="宋体" w:hAnsi="宋体" w:cs="宋体"/>
          <w:bCs/>
          <w:kern w:val="0"/>
          <w:sz w:val="24"/>
          <w:szCs w:val="24"/>
        </w:rPr>
        <w:t>；</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6</w:t>
      </w:r>
      <w:r>
        <w:rPr>
          <w:rFonts w:ascii="宋体" w:hAnsi="宋体" w:cs="宋体"/>
          <w:kern w:val="0"/>
          <w:sz w:val="24"/>
        </w:rPr>
        <w:t>．应于</w:t>
      </w:r>
      <w:r>
        <w:rPr>
          <w:rFonts w:ascii="宋体" w:hAnsi="宋体" w:cs="宋体"/>
          <w:kern w:val="0"/>
          <w:sz w:val="24"/>
          <w:u w:val="single"/>
        </w:rPr>
        <w:t>  </w:t>
      </w:r>
      <w:r>
        <w:rPr>
          <w:rFonts w:hint="eastAsia" w:ascii="宋体" w:hAnsi="宋体" w:cs="宋体"/>
          <w:kern w:val="0"/>
          <w:sz w:val="24"/>
        </w:rPr>
        <w:t>年月</w:t>
      </w:r>
      <w:r>
        <w:rPr>
          <w:rFonts w:ascii="宋体" w:hAnsi="宋体" w:cs="宋体"/>
          <w:kern w:val="0"/>
          <w:sz w:val="24"/>
          <w:u w:val="single"/>
        </w:rPr>
        <w:t>  </w:t>
      </w:r>
      <w:r>
        <w:rPr>
          <w:rFonts w:ascii="宋体" w:hAnsi="宋体" w:cs="宋体"/>
          <w:kern w:val="0"/>
          <w:sz w:val="24"/>
        </w:rPr>
        <w:t>日之前出具</w:t>
      </w:r>
      <w:r>
        <w:rPr>
          <w:rFonts w:hint="eastAsia" w:ascii="宋体" w:hAnsi="宋体" w:cs="宋体"/>
          <w:kern w:val="0"/>
          <w:sz w:val="24"/>
        </w:rPr>
        <w:t>资产评估</w:t>
      </w:r>
      <w:r>
        <w:rPr>
          <w:rFonts w:ascii="宋体" w:hAnsi="宋体" w:cs="宋体"/>
          <w:kern w:val="0"/>
          <w:sz w:val="24"/>
        </w:rPr>
        <w:t>报告；</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ascii="宋体" w:hAnsi="宋体"/>
          <w:color w:val="000000"/>
          <w:sz w:val="24"/>
          <w:shd w:val="clear" w:color="auto" w:fill="FFFFFF"/>
        </w:rPr>
        <w:t>对评估活动中使用的有关文件、证明和资料的真实性、准确性、完整性进行核查和验证；</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8.应</w:t>
      </w:r>
      <w:r>
        <w:rPr>
          <w:rFonts w:ascii="宋体" w:hAnsi="宋体" w:cs="宋体"/>
          <w:kern w:val="0"/>
          <w:sz w:val="24"/>
        </w:rPr>
        <w:t>对在业务执行过程中获悉的商业秘密保密</w:t>
      </w:r>
      <w:r>
        <w:rPr>
          <w:rFonts w:hint="eastAsia" w:ascii="宋体" w:hAnsi="宋体" w:cs="宋体"/>
          <w:kern w:val="0"/>
          <w:sz w:val="24"/>
        </w:rPr>
        <w:t>，未经委托人书面许可，受托人及其工作人员不得将评估报告的内容向第三方提供或者公开，法律、法规另有规定的除外</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9.开展资产评估业务的</w:t>
      </w:r>
      <w:r>
        <w:rPr>
          <w:rFonts w:ascii="宋体" w:hAnsi="宋体" w:cs="宋体"/>
          <w:kern w:val="0"/>
          <w:sz w:val="24"/>
        </w:rPr>
        <w:t>工作人员，必须取得</w:t>
      </w:r>
      <w:r>
        <w:rPr>
          <w:rFonts w:hint="eastAsia" w:ascii="宋体" w:hAnsi="宋体" w:cs="宋体"/>
          <w:kern w:val="0"/>
          <w:sz w:val="24"/>
        </w:rPr>
        <w:t>资产评估师职业</w:t>
      </w:r>
      <w:r>
        <w:rPr>
          <w:rFonts w:ascii="宋体" w:hAnsi="宋体" w:cs="宋体"/>
          <w:kern w:val="0"/>
          <w:sz w:val="24"/>
        </w:rPr>
        <w:t>资格证书</w:t>
      </w:r>
      <w:r>
        <w:rPr>
          <w:rFonts w:hint="eastAsia" w:ascii="宋体" w:hAnsi="宋体" w:cs="宋体"/>
          <w:kern w:val="0"/>
          <w:sz w:val="24"/>
        </w:rPr>
        <w:t>，</w:t>
      </w:r>
      <w:r>
        <w:rPr>
          <w:rFonts w:ascii="宋体" w:hAnsi="宋体" w:cs="宋体"/>
          <w:kern w:val="0"/>
          <w:sz w:val="24"/>
        </w:rPr>
        <w:t>具备与其从事的</w:t>
      </w:r>
      <w:r>
        <w:rPr>
          <w:rFonts w:hint="eastAsia" w:ascii="宋体" w:hAnsi="宋体" w:cs="宋体"/>
          <w:kern w:val="0"/>
          <w:sz w:val="24"/>
        </w:rPr>
        <w:t>评审</w:t>
      </w:r>
      <w:r>
        <w:rPr>
          <w:rFonts w:ascii="宋体" w:hAnsi="宋体" w:cs="宋体"/>
          <w:kern w:val="0"/>
          <w:sz w:val="24"/>
        </w:rPr>
        <w:t>工作相适应的专业知识和业务能力。</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ascii="宋体" w:hAnsi="宋体"/>
          <w:sz w:val="24"/>
        </w:rPr>
        <w:t>委托人和其他相关当事人如果拒绝提供或者不如实提供开展资产评估业务所需的权属证明、财务会计信息或者其他相关资料的，</w:t>
      </w:r>
      <w:r>
        <w:rPr>
          <w:rFonts w:hint="eastAsia" w:ascii="宋体" w:hAnsi="宋体"/>
          <w:sz w:val="24"/>
        </w:rPr>
        <w:t>受托人</w:t>
      </w:r>
      <w:r>
        <w:rPr>
          <w:rFonts w:ascii="宋体" w:hAnsi="宋体"/>
          <w:sz w:val="24"/>
        </w:rPr>
        <w:t>有权拒绝履行资产评估委托合同</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11.</w:t>
      </w:r>
      <w:r>
        <w:rPr>
          <w:rFonts w:ascii="宋体" w:hAnsi="宋体"/>
          <w:color w:val="000000"/>
          <w:sz w:val="24"/>
          <w:shd w:val="clear" w:color="auto" w:fill="FFFFFF"/>
        </w:rPr>
        <w:t>与委托人或者其他相关当事人及评估对象有利害关系的，应当回避</w:t>
      </w:r>
      <w:r>
        <w:rPr>
          <w:rFonts w:hint="eastAsia" w:ascii="宋体" w:hAnsi="宋体"/>
          <w:color w:val="000000"/>
          <w:sz w:val="24"/>
          <w:shd w:val="clear" w:color="auto" w:fill="FFFFFF"/>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ascii="宋体" w:hAnsi="宋体" w:cs="宋体"/>
          <w:kern w:val="0"/>
          <w:sz w:val="24"/>
        </w:rPr>
        <w:t>．受托人在执行</w:t>
      </w:r>
      <w:r>
        <w:rPr>
          <w:rFonts w:hint="eastAsia" w:ascii="宋体" w:hAnsi="宋体" w:cs="宋体"/>
          <w:kern w:val="0"/>
          <w:sz w:val="24"/>
        </w:rPr>
        <w:t>评估</w:t>
      </w:r>
      <w:r>
        <w:rPr>
          <w:rFonts w:ascii="宋体" w:hAnsi="宋体" w:cs="宋体"/>
          <w:kern w:val="0"/>
          <w:sz w:val="24"/>
        </w:rPr>
        <w:t>业务时，不得有下列行为：</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w:t>
      </w:r>
      <w:r>
        <w:rPr>
          <w:rFonts w:hint="eastAsia" w:ascii="宋体" w:hAnsi="宋体"/>
          <w:color w:val="000000"/>
          <w:sz w:val="24"/>
          <w:shd w:val="clear" w:color="auto" w:fill="FFFFFF"/>
        </w:rPr>
        <w:t>1</w:t>
      </w:r>
      <w:r>
        <w:rPr>
          <w:rFonts w:ascii="宋体" w:hAnsi="宋体"/>
          <w:color w:val="000000"/>
          <w:sz w:val="24"/>
          <w:shd w:val="clear" w:color="auto" w:fill="FFFFFF"/>
        </w:rPr>
        <w:t>）利用开展业务之便，谋取不正当利益；</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2</w:t>
      </w:r>
      <w:r>
        <w:rPr>
          <w:rFonts w:ascii="宋体" w:hAnsi="宋体"/>
          <w:color w:val="000000"/>
          <w:sz w:val="24"/>
          <w:shd w:val="clear" w:color="auto" w:fill="FFFFFF"/>
        </w:rPr>
        <w:t>）允许其他机构以本机构名义开展业务，或者冒用其他机构名义开展业务；</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3</w:t>
      </w:r>
      <w:r>
        <w:rPr>
          <w:rFonts w:ascii="宋体" w:hAnsi="宋体"/>
          <w:color w:val="000000"/>
          <w:sz w:val="24"/>
          <w:shd w:val="clear" w:color="auto" w:fill="FFFFFF"/>
        </w:rPr>
        <w:t>）以恶性压价、支付回扣、虚假宣传，或者贬损、诋毁其他评估机构等不正当手段招揽业务；</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4</w:t>
      </w:r>
      <w:r>
        <w:rPr>
          <w:rFonts w:ascii="宋体" w:hAnsi="宋体"/>
          <w:color w:val="000000"/>
          <w:sz w:val="24"/>
          <w:shd w:val="clear" w:color="auto" w:fill="FFFFFF"/>
        </w:rPr>
        <w:t>）受理与自身有利害关系的业务；</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5</w:t>
      </w:r>
      <w:r>
        <w:rPr>
          <w:rFonts w:ascii="宋体" w:hAnsi="宋体"/>
          <w:color w:val="000000"/>
          <w:sz w:val="24"/>
          <w:shd w:val="clear" w:color="auto" w:fill="FFFFFF"/>
        </w:rPr>
        <w:t>）分别接受利益冲突双方的委托，对同一评估对象进行评估；</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6</w:t>
      </w:r>
      <w:r>
        <w:rPr>
          <w:rFonts w:ascii="宋体" w:hAnsi="宋体"/>
          <w:color w:val="000000"/>
          <w:sz w:val="24"/>
          <w:shd w:val="clear" w:color="auto" w:fill="FFFFFF"/>
        </w:rPr>
        <w:t>）出具虚假评估报告或者有重大遗漏的评估报告；</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7</w:t>
      </w:r>
      <w:r>
        <w:rPr>
          <w:rFonts w:ascii="宋体" w:hAnsi="宋体"/>
          <w:color w:val="000000"/>
          <w:sz w:val="24"/>
          <w:shd w:val="clear" w:color="auto" w:fill="FFFFFF"/>
        </w:rPr>
        <w:t>）聘用或者指定不符合本法规定的人员从事评估业务；</w:t>
      </w:r>
    </w:p>
    <w:p>
      <w:pPr>
        <w:shd w:val="solid" w:color="FFFFFF" w:fill="auto"/>
        <w:autoSpaceDN w:val="0"/>
        <w:spacing w:line="480" w:lineRule="atLeast"/>
        <w:rPr>
          <w:rFonts w:ascii="宋体" w:hAnsi="宋体" w:cs="宋体"/>
          <w:b/>
          <w:bCs/>
          <w:kern w:val="0"/>
          <w:sz w:val="24"/>
        </w:rPr>
      </w:pPr>
      <w:r>
        <w:rPr>
          <w:rFonts w:ascii="宋体" w:hAnsi="宋体"/>
          <w:color w:val="000000"/>
          <w:sz w:val="24"/>
          <w:shd w:val="clear" w:color="auto" w:fill="FFFFFF"/>
        </w:rPr>
        <w:t>　　（</w:t>
      </w:r>
      <w:r>
        <w:rPr>
          <w:rFonts w:hint="eastAsia" w:ascii="宋体" w:hAnsi="宋体"/>
          <w:color w:val="000000"/>
          <w:sz w:val="24"/>
          <w:shd w:val="clear" w:color="auto" w:fill="FFFFFF"/>
        </w:rPr>
        <w:t>8</w:t>
      </w:r>
      <w:r>
        <w:rPr>
          <w:rFonts w:ascii="宋体" w:hAnsi="宋体"/>
          <w:color w:val="000000"/>
          <w:sz w:val="24"/>
          <w:shd w:val="clear" w:color="auto" w:fill="FFFFFF"/>
        </w:rPr>
        <w:t>）违反法律、行政法规的其他行为。</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六、违约责任</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1．由于</w:t>
      </w:r>
      <w:r>
        <w:rPr>
          <w:rFonts w:ascii="宋体" w:hAnsi="宋体"/>
          <w:sz w:val="24"/>
        </w:rPr>
        <w:t>委托人提前终止资产评估业务、解除资产评估委托合同的，委托人应当按照已经开展资产评估业务的时间、进度，或者已经完成的工作量支付相应的评估服务费</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2．如因</w:t>
      </w:r>
      <w:r>
        <w:rPr>
          <w:rFonts w:ascii="宋体" w:hAnsi="宋体"/>
          <w:sz w:val="24"/>
        </w:rPr>
        <w:t>委托人要求出具虚假资产评估报告或者有其他非法干预评估结论情形的，资产评估机构有权单方解除资产评估委托合同。资产评估委托合同当事人可以约定由委托人按照已经开展资产评估业务的时间、进度，或者已经完成的工作量支付相应的评估服务费</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3.如</w:t>
      </w:r>
      <w:r>
        <w:rPr>
          <w:rFonts w:ascii="宋体" w:hAnsi="宋体"/>
          <w:sz w:val="24"/>
        </w:rPr>
        <w:t>因委托人或者其他相关当事人原因导致资产评估程序受限，资产评估机构无法履行资产评估委托合同，资产评估机构可以单方解除资产评估委托合同；当事人可以在资产评估委托合同中约定由委托人按照已经开展资产评估业务的时间、进度，或者已经完成的工作量支付相应的评估服务费</w:t>
      </w:r>
      <w:r>
        <w:rPr>
          <w:rFonts w:hint="eastAsia" w:ascii="宋体" w:hAnsi="宋体"/>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．除因委托人原因以外，受托人未在合同规定期限内提交</w:t>
      </w:r>
      <w:r>
        <w:rPr>
          <w:rFonts w:hint="eastAsia" w:ascii="宋体" w:hAnsi="宋体" w:cs="宋体"/>
          <w:kern w:val="0"/>
          <w:sz w:val="24"/>
        </w:rPr>
        <w:t>资产评估</w:t>
      </w:r>
      <w:r>
        <w:rPr>
          <w:rFonts w:ascii="宋体" w:hAnsi="宋体" w:cs="宋体"/>
          <w:kern w:val="0"/>
          <w:sz w:val="24"/>
        </w:rPr>
        <w:t>报告，委托人可以拒绝支付服务费用；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．如</w:t>
      </w:r>
      <w:r>
        <w:rPr>
          <w:rFonts w:ascii="宋体" w:hAnsi="宋体"/>
          <w:sz w:val="24"/>
        </w:rPr>
        <w:t>合同当事人因不可抗力无法履行资产评估委托合同的，根据不可抗力的影响，部分或者全部免除责任，法律另有规定的除外。</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6.如</w:t>
      </w:r>
      <w:r>
        <w:rPr>
          <w:rFonts w:ascii="宋体" w:hAnsi="宋体" w:cs="宋体"/>
          <w:kern w:val="0"/>
          <w:sz w:val="24"/>
        </w:rPr>
        <w:t>任何一方违反上述条款，都应负责赔偿由此而给对方造成的合理损失。</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七、本合同因下列事由终止：</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1．本合同期限届满，双方不再续签合同的；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2．双方通过书面协议解除本合同；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3．因不可抗力致使合同目的不能实现的；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4．在委托期限届满之前，当事人一方明确表示或以自己的行为表明不履行合同主要义务的；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5．当事人一方迟延履行合同主要义务，经催告后在合理期限内仍未履行；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6．当事人有其他违约或违法行为致使合同目的不能实现的；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7．</w:t>
      </w:r>
      <w:r>
        <w:rPr>
          <w:rFonts w:ascii="宋体" w:hAnsi="宋体" w:cs="宋体"/>
          <w:kern w:val="0"/>
          <w:sz w:val="24"/>
          <w:u w:val="single"/>
        </w:rPr>
        <w:t>          </w:t>
      </w:r>
      <w:r>
        <w:rPr>
          <w:rFonts w:ascii="宋体" w:hAnsi="宋体" w:cs="宋体"/>
          <w:kern w:val="0"/>
          <w:sz w:val="24"/>
        </w:rPr>
        <w:t>。</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八、声明及保证</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委托人：</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1．委托人有权签署并有能力履行本合同。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2．委托人签署和履行本合同所需的一切手续（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3．在签署本合同时，任何法院、仲裁机构、行政机关或监管机构均未作出任何足以对委托人履行本合同产生重大不利影响的判决、裁定、裁决或具体行政行为。</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受托人：</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1．受托人有权签署并有能力履行本合同。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2．受托人签署和履行本合同所需的一切手续（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3．在签署本合同时，任何法院、仲裁机构、行政机关或监管机构均未作出任何足以对受托人履行本合同产生重大不利影响的判决、裁定、裁决或具体行政行为。</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九、保密</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r>
        <w:rPr>
          <w:rFonts w:ascii="宋体" w:hAnsi="宋体" w:cs="宋体"/>
          <w:kern w:val="0"/>
          <w:sz w:val="24"/>
          <w:u w:val="single"/>
        </w:rPr>
        <w:t>  </w:t>
      </w:r>
      <w:r>
        <w:rPr>
          <w:rFonts w:ascii="宋体" w:hAnsi="宋体" w:cs="宋体"/>
          <w:kern w:val="0"/>
          <w:sz w:val="24"/>
        </w:rPr>
        <w:t>年。</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十、通知</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1．根据本合同需要一方向另一方发出的全部通知以及双方的文件往来及与本合同有关的通知和要求等，必须用书面形式，可采用</w:t>
      </w:r>
      <w:r>
        <w:rPr>
          <w:rFonts w:ascii="宋体" w:hAnsi="宋体" w:cs="宋体"/>
          <w:kern w:val="0"/>
          <w:sz w:val="24"/>
          <w:u w:val="single"/>
        </w:rPr>
        <w:t>          </w:t>
      </w:r>
      <w:r>
        <w:rPr>
          <w:rFonts w:ascii="宋体" w:hAnsi="宋体" w:cs="宋体"/>
          <w:kern w:val="0"/>
          <w:sz w:val="24"/>
        </w:rPr>
        <w:t>（书信当面送交等）方式传递。以上方式无法送达的，方可采取公告送达的方式。</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2．各方通讯地址如下：</w:t>
      </w:r>
      <w:r>
        <w:rPr>
          <w:rFonts w:ascii="宋体" w:hAnsi="宋体" w:cs="宋体"/>
          <w:kern w:val="0"/>
          <w:sz w:val="24"/>
          <w:u w:val="single"/>
        </w:rPr>
        <w:t>          </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3．一方变更通知或通讯地址，应自变更之日起</w:t>
      </w:r>
      <w:r>
        <w:rPr>
          <w:rFonts w:ascii="宋体" w:hAnsi="宋体" w:cs="宋体"/>
          <w:kern w:val="0"/>
          <w:sz w:val="24"/>
          <w:u w:val="single"/>
        </w:rPr>
        <w:t>  </w:t>
      </w:r>
      <w:r>
        <w:rPr>
          <w:rFonts w:ascii="宋体" w:hAnsi="宋体" w:cs="宋体"/>
          <w:kern w:val="0"/>
          <w:sz w:val="24"/>
        </w:rPr>
        <w:t>日内，以书面形式通知对方；否则，由未通知方承担由此而引起的相关责任。</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十一、合同的变更</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本合同履行期间，发生特殊情况时，任何一方需变更本合同的，要求变更一方应及时书面通知对方，征得对方同意后，双方在规定的时限内（书面通知发出</w:t>
      </w:r>
      <w:r>
        <w:rPr>
          <w:rFonts w:ascii="宋体" w:hAnsi="宋体" w:cs="宋体"/>
          <w:kern w:val="0"/>
          <w:sz w:val="24"/>
          <w:u w:val="single"/>
        </w:rPr>
        <w:t>    </w:t>
      </w:r>
      <w:r>
        <w:rPr>
          <w:rFonts w:ascii="宋体" w:hAnsi="宋体" w:cs="宋体"/>
          <w:kern w:val="0"/>
          <w:sz w:val="24"/>
        </w:rPr>
        <w:t>天内）签订书面变更协议，该协议将成为合同不可分割的部分。未经双方签署书面文件，任何一方无权变更本合同，否则，由此造成对方的经济损失，由责任方承担。</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十二、合同的转让</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除合同中另有规定外或经双方协商同意外，本合同所规定双方的任何权利和义务，任何一方在未经征得另一方书面同意之前，不得转让给第三者。任何转让，未经另一方书面明确同意，均属无效。</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十三、争议的处理</w:t>
      </w:r>
    </w:p>
    <w:p>
      <w:pPr>
        <w:spacing w:line="360" w:lineRule="auto"/>
        <w:ind w:firstLine="480" w:firstLineChars="200"/>
        <w:rPr>
          <w:rFonts w:ascii="宋体" w:hAnsi="宋体"/>
          <w:sz w:val="24"/>
        </w:rPr>
      </w:pPr>
      <w:r>
        <w:rPr>
          <w:rFonts w:hint="eastAsia" w:ascii="宋体" w:hAnsi="宋体"/>
          <w:sz w:val="24"/>
        </w:rPr>
        <w:t>因本合同书所引起的或与合同书有关的任何纠纷或争议（包括关于本合同书条款的存在、效力或终止，或无效之后果），双方选择以下第 （）种解决方式：</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w:t>
      </w:r>
      <w:r>
        <w:rPr>
          <w:rFonts w:ascii="宋体" w:hAnsi="宋体"/>
          <w:sz w:val="24"/>
        </w:rPr>
        <w:t>1</w:t>
      </w:r>
      <w:r>
        <w:rPr>
          <w:rFonts w:hint="eastAsia" w:ascii="宋体" w:hAnsi="宋体"/>
          <w:sz w:val="24"/>
        </w:rPr>
        <w:t>）向有管辖权的人民法院提起诉讼；</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w:t>
      </w:r>
      <w:r>
        <w:rPr>
          <w:rFonts w:ascii="宋体" w:hAnsi="宋体"/>
          <w:sz w:val="24"/>
        </w:rPr>
        <w:t>2</w:t>
      </w:r>
      <w:r>
        <w:rPr>
          <w:rFonts w:hint="eastAsia" w:ascii="宋体" w:hAnsi="宋体"/>
          <w:sz w:val="24"/>
        </w:rPr>
        <w:t>）提交仲裁委员会仲裁。</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十四、不可抗力</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1．如果本合同任何一方因受不可抗力事件影响而未能履行其在本合同下的全部或部分义务，该义务的履行在不可抗力事件妨碍其履行期间应予中止。</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2．声称受到不可抗力事件影响的一方应尽可能在最短的时间内通过书面形式将不可抗力事件的发生通知另一方，并在该不可抗力事件发生后</w:t>
      </w:r>
      <w:r>
        <w:rPr>
          <w:rFonts w:ascii="宋体" w:hAnsi="宋体" w:cs="宋体"/>
          <w:kern w:val="0"/>
          <w:sz w:val="24"/>
          <w:u w:val="single"/>
        </w:rPr>
        <w:t> </w:t>
      </w:r>
      <w:r>
        <w:rPr>
          <w:rFonts w:ascii="宋体" w:hAnsi="宋体" w:cs="宋体"/>
          <w:kern w:val="0"/>
          <w:sz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十五、合同的解释</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十六、补充与附件</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本合同未尽事宜，依照有关法律、法规执行，法律、法规未作规定的，双方可以达成书面补充合同。本合同的附件和补充合同均为本合同不可分割的组成部分，与本合同具有同等的法律效力。</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十七、合同的效力</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本合同自双方或双方法定代表人或其授权代表人签字并加盖单位公章或合同专用章之日起生效。</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有效期为</w:t>
      </w:r>
      <w:r>
        <w:rPr>
          <w:rFonts w:ascii="宋体" w:hAnsi="宋体" w:cs="宋体"/>
          <w:kern w:val="0"/>
          <w:sz w:val="24"/>
          <w:u w:val="single"/>
        </w:rPr>
        <w:t>    </w:t>
      </w:r>
      <w:r>
        <w:rPr>
          <w:rFonts w:ascii="宋体" w:hAnsi="宋体" w:cs="宋体"/>
          <w:kern w:val="0"/>
          <w:sz w:val="24"/>
        </w:rPr>
        <w:t>年，自</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日至</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本合同正本一式</w:t>
      </w:r>
      <w:r>
        <w:rPr>
          <w:rFonts w:ascii="宋体" w:hAnsi="宋体" w:cs="宋体"/>
          <w:kern w:val="0"/>
          <w:sz w:val="24"/>
          <w:u w:val="single"/>
        </w:rPr>
        <w:t>      </w:t>
      </w:r>
      <w:r>
        <w:rPr>
          <w:rFonts w:ascii="宋体" w:hAnsi="宋体" w:cs="宋体"/>
          <w:kern w:val="0"/>
          <w:sz w:val="24"/>
        </w:rPr>
        <w:t>份，双方各执</w:t>
      </w:r>
      <w:r>
        <w:rPr>
          <w:rFonts w:ascii="宋体" w:hAnsi="宋体" w:cs="宋体"/>
          <w:kern w:val="0"/>
          <w:sz w:val="24"/>
          <w:u w:val="single"/>
        </w:rPr>
        <w:t>     </w:t>
      </w:r>
      <w:r>
        <w:rPr>
          <w:rFonts w:ascii="宋体" w:hAnsi="宋体" w:cs="宋体"/>
          <w:kern w:val="0"/>
          <w:sz w:val="24"/>
        </w:rPr>
        <w:t>份，具有同等法律效力。</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cs="宋体"/>
          <w:kern w:val="0"/>
          <w:sz w:val="24"/>
        </w:rPr>
        <w:t>政府购买服务主体</w:t>
      </w:r>
      <w:r>
        <w:rPr>
          <w:rFonts w:ascii="宋体" w:hAnsi="宋体" w:cs="宋体"/>
          <w:kern w:val="0"/>
          <w:sz w:val="24"/>
        </w:rPr>
        <w:t>（盖章）：</w:t>
      </w:r>
      <w:r>
        <w:rPr>
          <w:rFonts w:ascii="宋体" w:hAnsi="宋体" w:cs="宋体"/>
          <w:kern w:val="0"/>
          <w:sz w:val="24"/>
          <w:u w:val="single"/>
        </w:rPr>
        <w:t>   </w:t>
      </w:r>
      <w:r>
        <w:rPr>
          <w:rFonts w:ascii="宋体" w:hAnsi="宋体" w:cs="宋体"/>
          <w:kern w:val="0"/>
          <w:sz w:val="24"/>
        </w:rPr>
        <w:t>　　</w:t>
      </w:r>
      <w:r>
        <w:rPr>
          <w:rFonts w:hint="eastAsia" w:ascii="宋体" w:cs="宋体"/>
          <w:kern w:val="0"/>
          <w:sz w:val="24"/>
        </w:rPr>
        <w:t>承接政府购买服务主体</w:t>
      </w:r>
      <w:r>
        <w:rPr>
          <w:rFonts w:ascii="宋体" w:hAnsi="宋体" w:cs="宋体"/>
          <w:kern w:val="0"/>
          <w:sz w:val="24"/>
        </w:rPr>
        <w:t>（盖章）：</w:t>
      </w:r>
      <w:r>
        <w:rPr>
          <w:rFonts w:ascii="宋体" w:hAnsi="宋体" w:cs="宋体"/>
          <w:kern w:val="0"/>
          <w:sz w:val="24"/>
          <w:u w:val="single"/>
        </w:rPr>
        <w:t>     </w:t>
      </w:r>
    </w:p>
    <w:p>
      <w:pPr>
        <w:widowControl/>
        <w:shd w:val="clear" w:color="auto" w:fill="FFFFFF"/>
        <w:spacing w:line="360" w:lineRule="auto"/>
        <w:jc w:val="left"/>
        <w:rPr>
          <w:rFonts w:ascii="宋体" w:hAnsi="宋体" w:cs="宋体"/>
          <w:kern w:val="0"/>
          <w:sz w:val="24"/>
        </w:rPr>
      </w:pPr>
      <w:r>
        <w:rPr>
          <w:rFonts w:ascii="宋体" w:hAnsi="宋体" w:cs="宋体"/>
          <w:kern w:val="0"/>
          <w:sz w:val="24"/>
        </w:rPr>
        <w:t>法定代表人（签字）：</w:t>
      </w:r>
      <w:r>
        <w:rPr>
          <w:rFonts w:ascii="宋体" w:hAnsi="宋体" w:cs="宋体"/>
          <w:kern w:val="0"/>
          <w:sz w:val="24"/>
          <w:u w:val="single"/>
        </w:rPr>
        <w:t>     </w:t>
      </w:r>
      <w:r>
        <w:rPr>
          <w:rFonts w:ascii="宋体" w:hAnsi="宋体" w:cs="宋体"/>
          <w:kern w:val="0"/>
          <w:sz w:val="24"/>
        </w:rPr>
        <w:t>　　　法定代表人（签字）：</w:t>
      </w:r>
      <w:r>
        <w:rPr>
          <w:rFonts w:ascii="宋体" w:hAnsi="宋体" w:cs="宋体"/>
          <w:kern w:val="0"/>
          <w:sz w:val="24"/>
          <w:u w:val="single"/>
        </w:rPr>
        <w:t>      </w:t>
      </w:r>
    </w:p>
    <w:p>
      <w:pPr>
        <w:widowControl/>
        <w:shd w:val="clear" w:color="auto" w:fill="FFFFFF"/>
        <w:spacing w:line="360" w:lineRule="auto"/>
        <w:jc w:val="left"/>
        <w:rPr>
          <w:rFonts w:ascii="宋体" w:hAnsi="宋体" w:cs="宋体"/>
          <w:kern w:val="0"/>
          <w:sz w:val="24"/>
        </w:rPr>
      </w:pPr>
      <w:r>
        <w:rPr>
          <w:rFonts w:ascii="宋体" w:hAnsi="宋体" w:cs="宋体"/>
          <w:kern w:val="0"/>
          <w:sz w:val="24"/>
        </w:rPr>
        <w:t>委托代理人（签字）：</w:t>
      </w:r>
      <w:r>
        <w:rPr>
          <w:rFonts w:ascii="宋体" w:hAnsi="宋体" w:cs="宋体"/>
          <w:kern w:val="0"/>
          <w:sz w:val="24"/>
          <w:u w:val="single"/>
        </w:rPr>
        <w:t>    　　</w:t>
      </w:r>
      <w:r>
        <w:rPr>
          <w:rFonts w:ascii="宋体" w:hAnsi="宋体" w:cs="宋体"/>
          <w:kern w:val="0"/>
          <w:sz w:val="24"/>
        </w:rPr>
        <w:t>　　委托代理人（签字）：</w:t>
      </w:r>
      <w:r>
        <w:rPr>
          <w:rFonts w:ascii="宋体" w:hAnsi="宋体" w:cs="宋体"/>
          <w:kern w:val="0"/>
          <w:sz w:val="24"/>
          <w:u w:val="single"/>
        </w:rPr>
        <w:t>      </w:t>
      </w:r>
    </w:p>
    <w:p>
      <w:pPr>
        <w:widowControl/>
        <w:shd w:val="clear" w:color="auto" w:fill="FFFFFF"/>
        <w:spacing w:line="360" w:lineRule="auto"/>
        <w:jc w:val="left"/>
        <w:rPr>
          <w:rFonts w:ascii="宋体" w:hAnsi="宋体" w:cs="宋体"/>
          <w:kern w:val="0"/>
          <w:sz w:val="24"/>
        </w:rPr>
      </w:pPr>
      <w:r>
        <w:rPr>
          <w:rFonts w:ascii="宋体" w:hAnsi="宋体" w:cs="宋体"/>
          <w:kern w:val="0"/>
          <w:sz w:val="24"/>
        </w:rPr>
        <w:t>签订地点：</w:t>
      </w:r>
      <w:r>
        <w:rPr>
          <w:rFonts w:ascii="宋体" w:hAnsi="宋体" w:cs="宋体"/>
          <w:kern w:val="0"/>
          <w:sz w:val="24"/>
          <w:u w:val="single"/>
        </w:rPr>
        <w:t>     </w:t>
      </w:r>
      <w:r>
        <w:rPr>
          <w:rFonts w:ascii="宋体" w:hAnsi="宋体" w:cs="宋体"/>
          <w:kern w:val="0"/>
          <w:sz w:val="24"/>
        </w:rPr>
        <w:t>　　　签订地点：</w:t>
      </w:r>
      <w:r>
        <w:rPr>
          <w:rFonts w:ascii="宋体" w:hAnsi="宋体" w:cs="宋体"/>
          <w:kern w:val="0"/>
          <w:sz w:val="24"/>
          <w:u w:val="single"/>
        </w:rPr>
        <w:t>       </w:t>
      </w:r>
    </w:p>
    <w:p>
      <w:pPr>
        <w:widowControl/>
        <w:shd w:val="clear" w:color="auto" w:fill="FFFFFF"/>
        <w:spacing w:line="360" w:lineRule="auto"/>
        <w:jc w:val="left"/>
        <w:rPr>
          <w:rFonts w:hint="eastAsia" w:ascii="宋体" w:hAnsi="宋体" w:cs="宋体"/>
          <w:b/>
          <w:kern w:val="0"/>
          <w:sz w:val="36"/>
          <w:szCs w:val="36"/>
        </w:rPr>
      </w:pPr>
      <w:r>
        <w:rPr>
          <w:rFonts w:hint="eastAsia" w:ascii="宋体" w:hAnsi="宋体" w:cs="宋体"/>
          <w:kern w:val="0"/>
          <w:sz w:val="24"/>
        </w:rPr>
        <w:t>日期：</w:t>
      </w:r>
      <w:r>
        <w:rPr>
          <w:rFonts w:ascii="宋体" w:hAnsi="宋体" w:cs="宋体"/>
          <w:kern w:val="0"/>
          <w:sz w:val="24"/>
          <w:u w:val="single"/>
        </w:rPr>
        <w:t>   </w:t>
      </w:r>
      <w:r>
        <w:rPr>
          <w:rFonts w:ascii="宋体" w:hAnsi="宋体" w:cs="宋体"/>
          <w:kern w:val="0"/>
          <w:sz w:val="24"/>
        </w:rPr>
        <w:t>年____月____日　　　</w:t>
      </w:r>
      <w:r>
        <w:rPr>
          <w:rFonts w:hint="eastAsia" w:ascii="宋体" w:hAnsi="宋体" w:cs="宋体"/>
          <w:kern w:val="0"/>
          <w:sz w:val="24"/>
        </w:rPr>
        <w:t>日期：</w:t>
      </w:r>
      <w:r>
        <w:rPr>
          <w:rFonts w:ascii="宋体" w:hAnsi="宋体" w:cs="宋体"/>
          <w:kern w:val="0"/>
          <w:sz w:val="24"/>
          <w:u w:val="single"/>
        </w:rPr>
        <w:t>   </w:t>
      </w:r>
      <w:r>
        <w:rPr>
          <w:rFonts w:ascii="宋体" w:hAnsi="宋体" w:cs="宋体"/>
          <w:kern w:val="0"/>
          <w:sz w:val="24"/>
        </w:rPr>
        <w:t>年____月____日</w:t>
      </w:r>
    </w:p>
    <w:p>
      <w:pPr>
        <w:pStyle w:val="30"/>
        <w:spacing w:line="360" w:lineRule="auto"/>
        <w:contextualSpacing/>
        <w:jc w:val="center"/>
        <w:rPr>
          <w:rFonts w:hint="eastAsia" w:ascii="宋体" w:hAnsi="宋体" w:cs="宋体"/>
          <w:b/>
          <w:kern w:val="0"/>
          <w:sz w:val="36"/>
          <w:szCs w:val="36"/>
        </w:rPr>
      </w:pPr>
    </w:p>
    <w:p>
      <w:pPr>
        <w:pStyle w:val="3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rPr>
          <w:rFonts w:ascii="宋体" w:hAnsi="宋体" w:cs="宋体"/>
          <w:b/>
          <w:kern w:val="0"/>
          <w:sz w:val="36"/>
          <w:szCs w:val="36"/>
        </w:rPr>
      </w:pPr>
    </w:p>
    <w:p>
      <w:pPr>
        <w:jc w:val="right"/>
        <w:rPr>
          <w:rFonts w:ascii="宋体" w:hAnsi="宋体" w:cs="宋体"/>
          <w:b/>
          <w:bCs/>
          <w:sz w:val="32"/>
          <w:szCs w:val="32"/>
        </w:rPr>
      </w:pPr>
      <w:r>
        <w:rPr>
          <w:rFonts w:hint="eastAsia" w:ascii="宋体" w:hAnsi="宋体" w:cs="宋体"/>
          <w:b/>
          <w:bCs/>
          <w:sz w:val="32"/>
          <w:szCs w:val="32"/>
        </w:rPr>
        <w:t xml:space="preserve"> </w:t>
      </w:r>
      <w:r>
        <w:rPr>
          <w:rFonts w:hint="eastAsia" w:ascii="仿宋" w:hAnsi="仿宋" w:eastAsia="仿宋" w:cs="仿宋"/>
          <w:b/>
          <w:bCs/>
          <w:sz w:val="32"/>
          <w:szCs w:val="32"/>
        </w:rPr>
        <w:t xml:space="preserve">正本/副本 </w:t>
      </w:r>
    </w:p>
    <w:p>
      <w:pPr>
        <w:rPr>
          <w:rFonts w:ascii="宋体" w:hAnsi="宋体" w:cs="宋体"/>
          <w:b/>
          <w:kern w:val="0"/>
          <w:sz w:val="36"/>
          <w:szCs w:val="36"/>
        </w:rPr>
      </w:pPr>
    </w:p>
    <w:p>
      <w:pPr>
        <w:rPr>
          <w:rFonts w:ascii="宋体" w:hAnsi="宋体" w:cs="宋体"/>
          <w:b/>
          <w:bCs/>
          <w:sz w:val="32"/>
          <w:szCs w:val="32"/>
        </w:rPr>
      </w:pPr>
      <w:r>
        <w:rPr>
          <w:rFonts w:hint="eastAsia" w:ascii="宋体" w:hAnsi="宋体" w:cs="宋体"/>
          <w:b/>
          <w:bCs/>
          <w:sz w:val="32"/>
          <w:szCs w:val="32"/>
        </w:rPr>
        <w:t xml:space="preserve">  </w:t>
      </w:r>
      <w:r>
        <w:rPr>
          <w:rFonts w:hint="eastAsia" w:ascii="宋体" w:hAnsi="宋体" w:cs="宋体"/>
          <w:b/>
          <w:bCs/>
          <w:sz w:val="32"/>
          <w:szCs w:val="32"/>
          <w:u w:val="single"/>
        </w:rPr>
        <w:t xml:space="preserve">                             </w:t>
      </w:r>
      <w:r>
        <w:rPr>
          <w:rFonts w:hint="eastAsia" w:ascii="宋体" w:hAnsi="宋体" w:cs="宋体"/>
          <w:b/>
          <w:bCs/>
          <w:sz w:val="32"/>
          <w:szCs w:val="32"/>
        </w:rPr>
        <w:t>（项目名称）</w:t>
      </w:r>
    </w:p>
    <w:p>
      <w:pPr>
        <w:ind w:firstLine="141" w:firstLineChars="44"/>
        <w:rPr>
          <w:rFonts w:ascii="宋体" w:hAnsi="宋体" w:cs="宋体"/>
          <w:b/>
          <w:bCs/>
          <w:sz w:val="32"/>
          <w:szCs w:val="32"/>
        </w:rPr>
      </w:pPr>
    </w:p>
    <w:p>
      <w:pPr>
        <w:rPr>
          <w:rFonts w:ascii="宋体" w:hAnsi="宋体" w:cs="宋体"/>
          <w:b/>
          <w:bCs/>
          <w:sz w:val="32"/>
          <w:szCs w:val="32"/>
        </w:rPr>
      </w:pPr>
    </w:p>
    <w:p>
      <w:pPr>
        <w:jc w:val="center"/>
        <w:rPr>
          <w:rFonts w:ascii="宋体" w:hAnsi="宋体" w:cs="宋体"/>
          <w:b/>
          <w:bCs/>
          <w:sz w:val="44"/>
          <w:szCs w:val="44"/>
        </w:rPr>
      </w:pPr>
      <w:r>
        <w:rPr>
          <w:rFonts w:hint="eastAsia" w:ascii="宋体" w:hAnsi="宋体" w:cs="宋体"/>
          <w:b/>
          <w:bCs/>
          <w:sz w:val="44"/>
          <w:szCs w:val="44"/>
        </w:rPr>
        <w:t>投标文件</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30"/>
          <w:szCs w:val="30"/>
        </w:rPr>
        <w:t xml:space="preserve">                项目编号：</w:t>
      </w:r>
    </w:p>
    <w:p>
      <w:pPr>
        <w:spacing w:line="700" w:lineRule="exact"/>
        <w:ind w:firstLine="602" w:firstLineChars="200"/>
        <w:rPr>
          <w:rFonts w:ascii="宋体" w:hAnsi="宋体" w:cs="宋体"/>
          <w:b/>
          <w:bCs/>
          <w:sz w:val="30"/>
          <w:szCs w:val="30"/>
        </w:rPr>
      </w:pPr>
    </w:p>
    <w:p>
      <w:pPr>
        <w:spacing w:line="700" w:lineRule="exact"/>
        <w:rPr>
          <w:rFonts w:ascii="宋体" w:hAnsi="宋体" w:cs="宋体"/>
          <w:b/>
          <w:bCs/>
          <w:sz w:val="30"/>
          <w:szCs w:val="30"/>
        </w:rPr>
      </w:pPr>
    </w:p>
    <w:p>
      <w:pPr>
        <w:spacing w:line="700" w:lineRule="exact"/>
        <w:ind w:firstLine="602" w:firstLineChars="200"/>
        <w:rPr>
          <w:rFonts w:ascii="宋体" w:hAnsi="宋体" w:cs="宋体"/>
          <w:b/>
          <w:bCs/>
          <w:sz w:val="30"/>
          <w:szCs w:val="30"/>
        </w:rPr>
      </w:pPr>
    </w:p>
    <w:p>
      <w:pPr>
        <w:spacing w:line="700" w:lineRule="exact"/>
        <w:ind w:firstLine="602" w:firstLineChars="200"/>
        <w:rPr>
          <w:rFonts w:ascii="宋体" w:hAnsi="宋体" w:cs="宋体"/>
          <w:b/>
          <w:bCs/>
          <w:sz w:val="30"/>
          <w:szCs w:val="30"/>
        </w:rPr>
      </w:pPr>
      <w:r>
        <w:rPr>
          <w:rFonts w:hint="eastAsia" w:ascii="宋体" w:hAnsi="宋体" w:cs="宋体"/>
          <w:b/>
          <w:bCs/>
          <w:sz w:val="30"/>
          <w:szCs w:val="30"/>
        </w:rPr>
        <w:t>投标人名称：</w:t>
      </w:r>
      <w:r>
        <w:rPr>
          <w:rFonts w:hint="eastAsia" w:ascii="宋体" w:hAnsi="宋体" w:cs="宋体"/>
          <w:b/>
          <w:bCs/>
          <w:sz w:val="30"/>
          <w:szCs w:val="30"/>
          <w:u w:val="single"/>
        </w:rPr>
        <w:t xml:space="preserve">                     </w:t>
      </w:r>
      <w:r>
        <w:rPr>
          <w:rFonts w:hint="eastAsia" w:ascii="宋体" w:hAnsi="宋体" w:cs="宋体"/>
          <w:b/>
          <w:bCs/>
          <w:sz w:val="30"/>
          <w:szCs w:val="30"/>
        </w:rPr>
        <w:t>（单位盖章）</w:t>
      </w:r>
    </w:p>
    <w:p>
      <w:pPr>
        <w:spacing w:line="700" w:lineRule="exact"/>
        <w:ind w:firstLine="602" w:firstLineChars="200"/>
        <w:rPr>
          <w:rFonts w:ascii="宋体" w:hAnsi="宋体" w:cs="宋体"/>
          <w:b/>
          <w:bCs/>
          <w:sz w:val="30"/>
          <w:szCs w:val="30"/>
        </w:rPr>
      </w:pPr>
      <w:r>
        <w:rPr>
          <w:rFonts w:hint="eastAsia" w:ascii="宋体" w:hAnsi="宋体" w:cs="宋体"/>
          <w:b/>
          <w:bCs/>
          <w:sz w:val="30"/>
          <w:szCs w:val="30"/>
        </w:rPr>
        <w:t>法定代表人或其委托代理人：</w:t>
      </w:r>
      <w:r>
        <w:rPr>
          <w:rFonts w:hint="eastAsia" w:ascii="宋体" w:hAnsi="宋体" w:cs="宋体"/>
          <w:b/>
          <w:bCs/>
          <w:sz w:val="30"/>
          <w:szCs w:val="30"/>
          <w:u w:val="single"/>
        </w:rPr>
        <w:t xml:space="preserve">       </w:t>
      </w:r>
      <w:r>
        <w:rPr>
          <w:rFonts w:hint="eastAsia" w:ascii="宋体" w:hAnsi="宋体" w:cs="宋体"/>
          <w:b/>
          <w:bCs/>
          <w:sz w:val="30"/>
          <w:szCs w:val="30"/>
        </w:rPr>
        <w:t>（签字或盖章）</w:t>
      </w:r>
    </w:p>
    <w:p>
      <w:pPr>
        <w:spacing w:line="700" w:lineRule="exact"/>
        <w:ind w:firstLine="596" w:firstLineChars="198"/>
        <w:rPr>
          <w:rFonts w:hint="eastAsia" w:ascii="宋体" w:hAnsi="宋体"/>
          <w:b/>
          <w:snapToGrid w:val="0"/>
          <w:kern w:val="0"/>
          <w:sz w:val="36"/>
          <w:szCs w:val="36"/>
        </w:rPr>
      </w:pPr>
      <w:r>
        <w:rPr>
          <w:rFonts w:hint="eastAsia" w:ascii="宋体" w:hAnsi="宋体" w:cs="宋体"/>
          <w:b/>
          <w:bCs/>
          <w:sz w:val="30"/>
          <w:szCs w:val="30"/>
        </w:rPr>
        <w:t>投标日期：</w:t>
      </w:r>
      <w:r>
        <w:rPr>
          <w:rFonts w:hint="eastAsia" w:ascii="宋体" w:hAnsi="宋体" w:cs="宋体"/>
          <w:b/>
          <w:bCs/>
          <w:sz w:val="30"/>
          <w:szCs w:val="30"/>
          <w:u w:val="single"/>
        </w:rPr>
        <w:t xml:space="preserve">      </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rPr>
        <w:t>月</w:t>
      </w:r>
      <w:r>
        <w:rPr>
          <w:rFonts w:hint="eastAsia" w:ascii="宋体" w:hAnsi="宋体" w:cs="宋体"/>
          <w:b/>
          <w:bCs/>
          <w:sz w:val="30"/>
          <w:szCs w:val="30"/>
          <w:u w:val="single"/>
        </w:rPr>
        <w:t xml:space="preserve">    </w:t>
      </w:r>
      <w:r>
        <w:rPr>
          <w:rFonts w:hint="eastAsia" w:ascii="宋体" w:hAnsi="宋体" w:cs="宋体"/>
          <w:b/>
          <w:bCs/>
          <w:sz w:val="30"/>
          <w:szCs w:val="30"/>
        </w:rPr>
        <w:t>日</w:t>
      </w:r>
    </w:p>
    <w:p>
      <w:pPr>
        <w:rPr>
          <w:rFonts w:hint="eastAsia" w:cs="黑体"/>
          <w:color w:val="auto"/>
          <w:kern w:val="2"/>
          <w:sz w:val="36"/>
          <w:szCs w:val="36"/>
          <w:lang w:val="zh-CN"/>
        </w:rPr>
      </w:pPr>
      <w:r>
        <w:rPr>
          <w:rFonts w:hint="eastAsia" w:cs="黑体"/>
          <w:color w:val="auto"/>
          <w:kern w:val="2"/>
          <w:sz w:val="36"/>
          <w:szCs w:val="36"/>
          <w:lang w:val="zh-CN"/>
        </w:rPr>
        <w:br w:type="page"/>
      </w:r>
    </w:p>
    <w:p>
      <w:pPr>
        <w:pStyle w:val="41"/>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0"/>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0"/>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30"/>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30"/>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所投产品符合</w:t>
            </w:r>
            <w:r>
              <w:rPr>
                <w:rFonts w:ascii="宋体" w:hAnsi="宋体" w:cs="宋体"/>
                <w:kern w:val="0"/>
                <w:szCs w:val="24"/>
              </w:rPr>
              <w:t>信息安全产品强制性认证</w:t>
            </w:r>
            <w:r>
              <w:rPr>
                <w:rFonts w:hint="eastAsia" w:ascii="宋体" w:hAnsi="宋体" w:cs="宋体"/>
                <w:bCs/>
                <w:szCs w:val="24"/>
                <w:lang w:val="zh-CN"/>
              </w:rPr>
              <w:t>要求承诺函</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0"/>
        <w:spacing w:line="360" w:lineRule="auto"/>
        <w:jc w:val="center"/>
        <w:rPr>
          <w:rFonts w:ascii="宋体" w:hAnsi="宋体"/>
          <w:b/>
          <w:snapToGrid w:val="0"/>
          <w:kern w:val="0"/>
          <w:sz w:val="36"/>
          <w:szCs w:val="36"/>
        </w:rPr>
      </w:pPr>
      <w:r>
        <w:rPr>
          <w:rFonts w:ascii="宋体" w:hAnsi="宋体"/>
          <w:b/>
          <w:snapToGrid w:val="0"/>
          <w:kern w:val="0"/>
          <w:sz w:val="36"/>
          <w:szCs w:val="36"/>
        </w:rPr>
        <w:br w:type="page"/>
      </w:r>
      <w:r>
        <w:rPr>
          <w:rFonts w:hint="eastAsia" w:ascii="宋体" w:hAnsi="宋体"/>
          <w:b/>
          <w:snapToGrid w:val="0"/>
          <w:kern w:val="0"/>
          <w:sz w:val="36"/>
          <w:szCs w:val="36"/>
          <w:lang w:eastAsia="zh-CN"/>
        </w:rPr>
        <w:t>二</w:t>
      </w:r>
      <w:r>
        <w:rPr>
          <w:rFonts w:hint="eastAsia" w:ascii="宋体" w:hAnsi="宋体"/>
          <w:b/>
          <w:snapToGrid w:val="0"/>
          <w:kern w:val="0"/>
          <w:sz w:val="36"/>
          <w:szCs w:val="36"/>
        </w:rPr>
        <w:t>、开标一览表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项目名称：</w:t>
      </w:r>
    </w:p>
    <w:tbl>
      <w:tblPr>
        <w:tblStyle w:val="19"/>
        <w:tblW w:w="8900" w:type="dxa"/>
        <w:tblInd w:w="-106" w:type="dxa"/>
        <w:tblLayout w:type="fixed"/>
        <w:tblCellMar>
          <w:top w:w="0" w:type="dxa"/>
          <w:left w:w="108" w:type="dxa"/>
          <w:bottom w:w="0" w:type="dxa"/>
          <w:right w:w="108" w:type="dxa"/>
        </w:tblCellMar>
      </w:tblPr>
      <w:tblGrid>
        <w:gridCol w:w="1241"/>
        <w:gridCol w:w="2073"/>
        <w:gridCol w:w="2027"/>
        <w:gridCol w:w="1784"/>
        <w:gridCol w:w="1775"/>
      </w:tblGrid>
      <w:tr>
        <w:tblPrEx>
          <w:tblLayout w:type="fixed"/>
          <w:tblCellMar>
            <w:top w:w="0" w:type="dxa"/>
            <w:left w:w="108" w:type="dxa"/>
            <w:bottom w:w="0" w:type="dxa"/>
            <w:right w:w="108" w:type="dxa"/>
          </w:tblCellMar>
        </w:tblPrEx>
        <w:trPr>
          <w:trHeight w:val="1209" w:hRule="atLeast"/>
        </w:trPr>
        <w:tc>
          <w:tcPr>
            <w:tcW w:w="124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eastAsia="宋体" w:cs="宋体"/>
                <w:b/>
                <w:szCs w:val="21"/>
                <w:lang w:eastAsia="zh-CN"/>
              </w:rPr>
            </w:pPr>
            <w:r>
              <w:rPr>
                <w:rFonts w:hint="eastAsia" w:ascii="宋体" w:hAnsi="宋体" w:cs="宋体"/>
                <w:b/>
                <w:szCs w:val="21"/>
                <w:lang w:eastAsia="zh-CN"/>
              </w:rPr>
              <w:t>标段号</w:t>
            </w:r>
          </w:p>
        </w:tc>
        <w:tc>
          <w:tcPr>
            <w:tcW w:w="207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202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cs="宋体"/>
                <w:b/>
                <w:szCs w:val="21"/>
              </w:rPr>
            </w:pPr>
            <w:r>
              <w:rPr>
                <w:rFonts w:hint="eastAsia" w:ascii="宋体" w:cs="宋体"/>
                <w:b/>
                <w:szCs w:val="21"/>
              </w:rPr>
              <w:t>是否提供承诺函</w:t>
            </w:r>
          </w:p>
        </w:tc>
        <w:tc>
          <w:tcPr>
            <w:tcW w:w="17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rPr>
            </w:pPr>
            <w:r>
              <w:rPr>
                <w:rFonts w:hint="eastAsia" w:ascii="宋体" w:hAnsi="宋体" w:cs="宋体"/>
                <w:b/>
                <w:szCs w:val="21"/>
              </w:rPr>
              <w:t>服务履约期限</w:t>
            </w:r>
          </w:p>
          <w:p>
            <w:pPr>
              <w:autoSpaceDE w:val="0"/>
              <w:autoSpaceDN w:val="0"/>
              <w:adjustRightInd w:val="0"/>
              <w:spacing w:line="480" w:lineRule="exact"/>
              <w:jc w:val="center"/>
              <w:rPr>
                <w:rFonts w:ascii="宋体" w:hAnsi="宋体" w:cs="宋体"/>
                <w:b/>
                <w:szCs w:val="21"/>
              </w:rPr>
            </w:pPr>
            <w:r>
              <w:rPr>
                <w:rFonts w:hint="eastAsia" w:ascii="宋体" w:hAnsi="宋体" w:cs="宋体"/>
                <w:b/>
                <w:szCs w:val="21"/>
              </w:rPr>
              <w:t>（年）</w:t>
            </w:r>
          </w:p>
        </w:tc>
        <w:tc>
          <w:tcPr>
            <w:tcW w:w="177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1209" w:hRule="atLeast"/>
        </w:trPr>
        <w:tc>
          <w:tcPr>
            <w:tcW w:w="12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20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20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Layout w:type="fixed"/>
          <w:tblCellMar>
            <w:top w:w="0" w:type="dxa"/>
            <w:left w:w="108" w:type="dxa"/>
            <w:bottom w:w="0" w:type="dxa"/>
            <w:right w:w="108" w:type="dxa"/>
          </w:tblCellMar>
        </w:tblPrEx>
        <w:trPr>
          <w:trHeight w:val="1246" w:hRule="atLeast"/>
        </w:trPr>
        <w:tc>
          <w:tcPr>
            <w:tcW w:w="12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r>
              <w:rPr>
                <w:rFonts w:hint="eastAsia" w:ascii="宋体" w:cs="Arial"/>
                <w:szCs w:val="21"/>
              </w:rPr>
              <w:t>…</w:t>
            </w:r>
          </w:p>
        </w:tc>
        <w:tc>
          <w:tcPr>
            <w:tcW w:w="20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20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spacing w:line="360" w:lineRule="auto"/>
        <w:contextualSpacing/>
        <w:rPr>
          <w:rFonts w:ascii="宋体" w:hAnsi="宋体"/>
          <w:sz w:val="24"/>
          <w:szCs w:val="24"/>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rPr>
          <w:rFonts w:hint="eastAsia" w:ascii="宋体" w:hAnsi="宋体" w:eastAsia="宋体" w:cs="宋体"/>
          <w:sz w:val="24"/>
          <w:szCs w:val="24"/>
          <w:lang w:val="zh-CN" w:eastAsia="zh-CN"/>
        </w:rPr>
      </w:pPr>
      <w:r>
        <w:rPr>
          <w:rFonts w:hint="eastAsia" w:ascii="宋体" w:hAnsi="宋体" w:cs="宋体"/>
          <w:sz w:val="24"/>
          <w:szCs w:val="24"/>
          <w:lang w:val="zh-CN"/>
        </w:rPr>
        <w:t>注：“是否提供承诺函”指</w:t>
      </w:r>
      <w:r>
        <w:rPr>
          <w:rFonts w:hint="eastAsia" w:ascii="宋体" w:hAnsi="宋体"/>
          <w:bCs/>
          <w:sz w:val="24"/>
          <w:szCs w:val="24"/>
        </w:rPr>
        <w:t>投标人需针对本招标文件的《许昌市城乡一体化示范区政府购买中介机构服务管理暂行办法（试行）》</w:t>
      </w:r>
      <w:r>
        <w:rPr>
          <w:rFonts w:hint="eastAsia" w:ascii="宋体" w:hAnsi="宋体" w:cs="宋体"/>
          <w:color w:val="000000"/>
          <w:sz w:val="24"/>
          <w:szCs w:val="24"/>
        </w:rPr>
        <w:t>，提供</w:t>
      </w:r>
      <w:r>
        <w:rPr>
          <w:rFonts w:hint="eastAsia" w:ascii="宋体" w:hAnsi="宋体"/>
          <w:bCs/>
          <w:sz w:val="24"/>
          <w:szCs w:val="24"/>
        </w:rPr>
        <w:t>收费按照该办法收取的承诺函</w:t>
      </w:r>
      <w:r>
        <w:rPr>
          <w:rFonts w:hint="eastAsia" w:ascii="宋体" w:hAnsi="宋体"/>
          <w:bCs/>
          <w:sz w:val="24"/>
          <w:szCs w:val="24"/>
          <w:lang w:eastAsia="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30"/>
        <w:spacing w:line="360" w:lineRule="auto"/>
        <w:jc w:val="center"/>
        <w:rPr>
          <w:rFonts w:ascii="宋体" w:hAnsi="宋体"/>
          <w:b/>
          <w:snapToGrid w:val="0"/>
          <w:kern w:val="0"/>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pStyle w:val="30"/>
        <w:spacing w:line="360" w:lineRule="auto"/>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widowControl/>
        <w:jc w:val="left"/>
        <w:rPr>
          <w:rFonts w:ascii="宋体" w:hAnsi="宋体"/>
          <w:b/>
          <w:snapToGrid w:val="0"/>
          <w:kern w:val="0"/>
          <w:sz w:val="36"/>
          <w:szCs w:val="36"/>
        </w:rPr>
      </w:pPr>
    </w:p>
    <w:p>
      <w:pPr>
        <w:pStyle w:val="30"/>
        <w:spacing w:line="360" w:lineRule="auto"/>
        <w:jc w:val="center"/>
        <w:rPr>
          <w:rFonts w:hint="eastAsia" w:ascii="宋体" w:hAnsi="宋体" w:eastAsia="宋体" w:cs="黑体"/>
          <w:b/>
          <w:bCs/>
          <w:kern w:val="2"/>
          <w:sz w:val="36"/>
          <w:szCs w:val="36"/>
          <w:lang w:val="en-US" w:eastAsia="zh-CN" w:bidi="ar-SA"/>
        </w:rPr>
      </w:pPr>
      <w:r>
        <w:rPr>
          <w:rFonts w:ascii="宋体" w:hAnsi="宋体"/>
          <w:b/>
          <w:snapToGrid w:val="0"/>
          <w:kern w:val="0"/>
          <w:szCs w:val="24"/>
        </w:rPr>
        <w:br w:type="page"/>
      </w:r>
      <w:r>
        <w:rPr>
          <w:rFonts w:hint="eastAsia" w:ascii="宋体" w:hAnsi="宋体" w:eastAsia="宋体" w:cs="黑体"/>
          <w:b/>
          <w:bCs/>
          <w:kern w:val="2"/>
          <w:sz w:val="36"/>
          <w:szCs w:val="36"/>
          <w:lang w:val="en-US" w:eastAsia="zh-CN" w:bidi="ar-SA"/>
        </w:rPr>
        <w:t>3.1 投标函</w:t>
      </w:r>
    </w:p>
    <w:p>
      <w:pPr>
        <w:pStyle w:val="30"/>
        <w:spacing w:line="360" w:lineRule="auto"/>
        <w:jc w:val="center"/>
        <w:rPr>
          <w:rFonts w:ascii="宋体"/>
          <w:b/>
          <w:snapToGrid w:val="0"/>
          <w:kern w:val="0"/>
          <w:szCs w:val="24"/>
        </w:rPr>
      </w:pPr>
    </w:p>
    <w:p>
      <w:pPr>
        <w:adjustRightInd w:val="0"/>
        <w:spacing w:line="360" w:lineRule="auto"/>
        <w:contextualSpacing/>
        <w:rPr>
          <w:rFonts w:asci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hAnsi="宋体"/>
          <w:snapToGrid w:val="0"/>
          <w:kern w:val="0"/>
          <w:sz w:val="24"/>
          <w:szCs w:val="24"/>
        </w:rPr>
        <w:t>根据贵方（项目名称、招标编号）采购的招标公告及投标邀请，</w:t>
      </w:r>
      <w:r>
        <w:rPr>
          <w:rFonts w:ascii="宋体" w:hAnsi="宋体"/>
          <w:snapToGrid w:val="0"/>
          <w:kern w:val="0"/>
          <w:sz w:val="24"/>
          <w:szCs w:val="24"/>
        </w:rPr>
        <w:t>_______</w:t>
      </w:r>
      <w:r>
        <w:rPr>
          <w:rFonts w:hint="eastAsia" w:ascii="宋体" w:hAnsi="宋体"/>
          <w:snapToGrid w:val="0"/>
          <w:kern w:val="0"/>
          <w:sz w:val="24"/>
          <w:szCs w:val="24"/>
        </w:rPr>
        <w:t>（姓名和职务）被正式授权并代表投标人（投标人名称、地址）提交。</w:t>
      </w:r>
    </w:p>
    <w:p>
      <w:pPr>
        <w:pStyle w:val="30"/>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我方确认收到贵方提供的（项目名称、招标编号）招标文件的全部内容。</w:t>
      </w:r>
    </w:p>
    <w:p>
      <w:pPr>
        <w:pStyle w:val="30"/>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hAnsi="宋体"/>
          <w:i/>
          <w:snapToGrid w:val="0"/>
          <w:kern w:val="0"/>
          <w:sz w:val="24"/>
          <w:szCs w:val="24"/>
          <w:u w:val="single"/>
        </w:rPr>
        <w:t>(</w:t>
      </w:r>
      <w:r>
        <w:rPr>
          <w:rFonts w:hint="eastAsia" w:ascii="宋体" w:hAnsi="宋体"/>
          <w:i/>
          <w:snapToGrid w:val="0"/>
          <w:kern w:val="0"/>
          <w:sz w:val="24"/>
          <w:szCs w:val="24"/>
          <w:u w:val="single"/>
        </w:rPr>
        <w:t>投标人名称</w:t>
      </w:r>
      <w:r>
        <w:rPr>
          <w:rFonts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ascii="宋体" w:hAnsi="宋体"/>
          <w:i/>
          <w:snapToGrid w:val="0"/>
          <w:kern w:val="0"/>
          <w:sz w:val="24"/>
          <w:szCs w:val="24"/>
          <w:u w:val="single"/>
        </w:rPr>
        <w:t>(</w:t>
      </w:r>
      <w:r>
        <w:rPr>
          <w:rFonts w:hint="eastAsia" w:ascii="宋体" w:hAnsi="宋体"/>
          <w:i/>
          <w:snapToGrid w:val="0"/>
          <w:kern w:val="0"/>
          <w:sz w:val="24"/>
          <w:szCs w:val="24"/>
          <w:u w:val="single"/>
        </w:rPr>
        <w:t>授权代表全名</w:t>
      </w:r>
      <w:r>
        <w:rPr>
          <w:rFonts w:ascii="宋体" w:hAnsi="宋体"/>
          <w:i/>
          <w:snapToGrid w:val="0"/>
          <w:kern w:val="0"/>
          <w:sz w:val="24"/>
          <w:szCs w:val="24"/>
          <w:u w:val="single"/>
        </w:rPr>
        <w:t xml:space="preserve">, </w:t>
      </w:r>
      <w:r>
        <w:rPr>
          <w:rFonts w:hint="eastAsia" w:ascii="宋体" w:hAnsi="宋体"/>
          <w:i/>
          <w:snapToGrid w:val="0"/>
          <w:kern w:val="0"/>
          <w:sz w:val="24"/>
          <w:szCs w:val="24"/>
          <w:u w:val="single"/>
        </w:rPr>
        <w:t>职务</w:t>
      </w:r>
      <w:r>
        <w:rPr>
          <w:rFonts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lang w:val="en-US" w:eastAsia="zh-CN"/>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二、本投标文件的有效期为投标截止时间起天。如中标，有效期将延至</w:t>
      </w:r>
      <w:r>
        <w:rPr>
          <w:rFonts w:hint="eastAsia" w:ascii="宋体" w:hAnsi="宋体" w:cs="Courier New"/>
          <w:sz w:val="24"/>
          <w:szCs w:val="24"/>
          <w:lang w:eastAsia="zh-CN"/>
        </w:rPr>
        <w:t>服务</w:t>
      </w:r>
      <w:r>
        <w:rPr>
          <w:rFonts w:hint="eastAsia" w:ascii="宋体" w:hAnsi="宋体" w:cs="Courier New"/>
          <w:sz w:val="24"/>
          <w:szCs w:val="24"/>
        </w:rPr>
        <w:t>终止日为止。在此提交的资格证明文件均至投标截止日有效，如有在投标有效期内失效的，我方承诺在中标后补齐一切手续，保证所有资格证明文件能在签订采购合同时直至采购合同终止日有效。</w:t>
      </w:r>
    </w:p>
    <w:p>
      <w:pPr>
        <w:pStyle w:val="17"/>
        <w:adjustRightInd w:val="0"/>
        <w:spacing w:line="360" w:lineRule="auto"/>
        <w:ind w:firstLine="480" w:firstLineChars="200"/>
        <w:contextualSpacing/>
        <w:rPr>
          <w:rFonts w:ascii="宋体" w:cs="Courier New"/>
        </w:rPr>
      </w:pPr>
      <w:r>
        <w:rPr>
          <w:rFonts w:hint="eastAsia" w:ascii="宋体" w:hAnsi="宋体" w:cs="Courier New"/>
        </w:rPr>
        <w:t>三、我方明白并同意，在规定的开标日之后，投标有效期之内撤销投标的，则贵方将不予退还投标保证金。</w:t>
      </w:r>
    </w:p>
    <w:p>
      <w:pPr>
        <w:pStyle w:val="17"/>
        <w:adjustRightInd w:val="0"/>
        <w:spacing w:line="360" w:lineRule="auto"/>
        <w:ind w:firstLine="480" w:firstLineChars="200"/>
        <w:contextualSpacing/>
        <w:rPr>
          <w:rFonts w:ascii="宋体" w:cs="Courier New"/>
        </w:rPr>
      </w:pPr>
      <w:r>
        <w:rPr>
          <w:rFonts w:hint="eastAsia" w:ascii="宋体" w:hAnsi="宋体" w:cs="Courier New"/>
        </w:rPr>
        <w:t>四、我方同意按照贵方可能提出的要求而提供与投标有关的任何其它数据、信息或资料。</w:t>
      </w:r>
    </w:p>
    <w:p>
      <w:pPr>
        <w:pStyle w:val="17"/>
        <w:adjustRightInd w:val="0"/>
        <w:spacing w:line="360" w:lineRule="auto"/>
        <w:ind w:firstLine="480" w:firstLineChars="200"/>
        <w:contextualSpacing/>
        <w:rPr>
          <w:rFonts w:ascii="宋体" w:cs="Courier New"/>
        </w:rPr>
      </w:pPr>
      <w:r>
        <w:rPr>
          <w:rFonts w:hint="eastAsia" w:ascii="宋体" w:hAnsi="宋体" w:cs="Courier New"/>
        </w:rPr>
        <w:t>五、我方理解贵方不一定接受最低投标价或任何贵方可能收到的投标。</w:t>
      </w:r>
    </w:p>
    <w:p>
      <w:pPr>
        <w:pStyle w:val="17"/>
        <w:adjustRightInd w:val="0"/>
        <w:spacing w:line="360" w:lineRule="auto"/>
        <w:ind w:firstLine="480" w:firstLineChars="200"/>
        <w:contextualSpacing/>
        <w:rPr>
          <w:rFonts w:asci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30"/>
        <w:adjustRightInd w:val="0"/>
        <w:spacing w:line="360" w:lineRule="auto"/>
        <w:ind w:firstLine="480" w:firstLineChars="200"/>
        <w:contextualSpacing/>
        <w:rPr>
          <w:rFonts w:ascii="宋体"/>
          <w:szCs w:val="24"/>
        </w:rPr>
      </w:pPr>
      <w:r>
        <w:rPr>
          <w:rFonts w:hint="eastAsia" w:ascii="宋体" w:hAnsi="宋体"/>
          <w:szCs w:val="24"/>
        </w:rPr>
        <w:t>八、我方投标报价已包含应向知识产权所有权人支付的所有相关税费，并保证采购人在中国使用我方提供的货物时，如有第三方提出侵犯其知识产权主张的，责任由我方承担。</w:t>
      </w:r>
    </w:p>
    <w:p>
      <w:pPr>
        <w:pStyle w:val="30"/>
        <w:adjustRightInd w:val="0"/>
        <w:spacing w:line="360" w:lineRule="auto"/>
        <w:ind w:firstLine="480" w:firstLineChars="200"/>
        <w:contextualSpacing/>
        <w:rPr>
          <w:rFonts w:ascii="宋体" w:cs="Arial"/>
          <w:szCs w:val="24"/>
        </w:rPr>
      </w:pPr>
      <w:r>
        <w:rPr>
          <w:rFonts w:hint="eastAsia" w:ascii="宋体" w:hAnsi="宋体" w:cs="Arial"/>
          <w:szCs w:val="24"/>
        </w:rPr>
        <w:t>九、我方具备《政府采购法》第二十二条规定的条件；承诺如下：</w:t>
      </w:r>
    </w:p>
    <w:p>
      <w:pPr>
        <w:pStyle w:val="30"/>
        <w:adjustRightInd w:val="0"/>
        <w:spacing w:line="360" w:lineRule="auto"/>
        <w:ind w:firstLine="480" w:firstLineChars="200"/>
        <w:contextualSpacing/>
        <w:rPr>
          <w:rFonts w:ascii="宋体" w:cs="Arial"/>
          <w:szCs w:val="24"/>
        </w:rPr>
      </w:pPr>
      <w:r>
        <w:rPr>
          <w:rFonts w:ascii="宋体" w:hAnsi="宋体" w:cs="Arial"/>
          <w:szCs w:val="24"/>
        </w:rPr>
        <w:t xml:space="preserve">1. </w:t>
      </w:r>
      <w:r>
        <w:rPr>
          <w:rFonts w:hint="eastAsia" w:ascii="宋体" w:hAnsi="宋体" w:cs="Arial"/>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2. </w:t>
      </w:r>
      <w:r>
        <w:rPr>
          <w:rFonts w:hint="eastAsia" w:ascii="宋体" w:hAnsi="宋体" w:cs="Arial"/>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3. </w:t>
      </w:r>
      <w:r>
        <w:rPr>
          <w:rFonts w:hint="eastAsia" w:ascii="宋体" w:hAnsi="宋体" w:cs="Arial"/>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4. </w:t>
      </w:r>
      <w:r>
        <w:rPr>
          <w:rFonts w:hint="eastAsia" w:ascii="宋体" w:hAnsi="宋体" w:cs="Arial"/>
          <w:sz w:val="24"/>
          <w:szCs w:val="24"/>
        </w:rPr>
        <w:t>参加政府采购活动前三年内，在经营活动中没有重大违法记录。</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5. </w:t>
      </w:r>
      <w:r>
        <w:rPr>
          <w:rFonts w:hint="eastAsia" w:ascii="宋体" w:hAnsi="宋体" w:cs="Arial"/>
          <w:sz w:val="24"/>
          <w:szCs w:val="24"/>
        </w:rPr>
        <w:t>符合法律、行政法规规定的其他条件。</w:t>
      </w:r>
    </w:p>
    <w:p>
      <w:pPr>
        <w:adjustRightInd w:val="0"/>
        <w:spacing w:line="360" w:lineRule="auto"/>
        <w:ind w:firstLine="504" w:firstLineChars="210"/>
        <w:contextualSpacing/>
        <w:rPr>
          <w:rFonts w:asci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0"/>
        <w:numPr>
          <w:ilvl w:val="0"/>
          <w:numId w:val="17"/>
        </w:numPr>
        <w:adjustRightInd w:val="0"/>
        <w:spacing w:line="360" w:lineRule="auto"/>
        <w:ind w:firstLine="480" w:firstLineChars="200"/>
        <w:contextualSpacing/>
        <w:rPr>
          <w:rFonts w:ascii="宋体" w:hAnsi="宋体"/>
          <w:szCs w:val="24"/>
        </w:rPr>
      </w:pPr>
      <w:r>
        <w:rPr>
          <w:rFonts w:hint="eastAsia" w:ascii="宋体" w:hAnsi="宋体"/>
          <w:szCs w:val="24"/>
        </w:rPr>
        <w:t>我方具备履行合同所必需的设备和专业技术能力。</w:t>
      </w:r>
    </w:p>
    <w:p>
      <w:pPr>
        <w:pStyle w:val="30"/>
        <w:numPr>
          <w:ilvl w:val="0"/>
          <w:numId w:val="17"/>
        </w:numPr>
        <w:adjustRightInd w:val="0"/>
        <w:spacing w:line="360" w:lineRule="auto"/>
        <w:ind w:firstLine="480" w:firstLineChars="200"/>
        <w:contextualSpacing/>
        <w:rPr>
          <w:rFonts w:ascii="宋体"/>
          <w:color w:val="auto"/>
          <w:szCs w:val="24"/>
        </w:rPr>
      </w:pPr>
      <w:r>
        <w:rPr>
          <w:rFonts w:hint="eastAsia" w:ascii="宋体" w:hAnsi="宋体"/>
          <w:color w:val="auto"/>
          <w:szCs w:val="24"/>
        </w:rPr>
        <w:t>我方承诺若中标后进入到备选库期间，承办委托项目的审计、清产核资、政府投资建设项目财务决算等前期与委托项目有关的工作，则不再参与委托项目后续的招标、投标活动。</w:t>
      </w:r>
    </w:p>
    <w:p>
      <w:pPr>
        <w:pStyle w:val="30"/>
        <w:numPr>
          <w:ilvl w:val="0"/>
          <w:numId w:val="17"/>
        </w:numPr>
        <w:adjustRightInd w:val="0"/>
        <w:spacing w:line="360" w:lineRule="auto"/>
        <w:ind w:firstLine="480" w:firstLineChars="200"/>
        <w:contextualSpacing/>
        <w:rPr>
          <w:rFonts w:ascii="宋体"/>
          <w:szCs w:val="24"/>
        </w:rPr>
      </w:pPr>
      <w:r>
        <w:rPr>
          <w:rFonts w:hint="eastAsia" w:ascii="宋体" w:hAnsi="宋体"/>
          <w:szCs w:val="24"/>
        </w:rPr>
        <w:t>我方对在本函及投标文件中所作的所有承诺承担法律责任。</w:t>
      </w:r>
    </w:p>
    <w:p>
      <w:pPr>
        <w:pStyle w:val="30"/>
        <w:adjustRightInd w:val="0"/>
        <w:snapToGrid w:val="0"/>
        <w:spacing w:line="360" w:lineRule="auto"/>
        <w:rPr>
          <w:rFonts w:ascii="宋体"/>
          <w:szCs w:val="24"/>
        </w:rPr>
      </w:pPr>
    </w:p>
    <w:p>
      <w:pPr>
        <w:pStyle w:val="30"/>
        <w:adjustRightInd w:val="0"/>
        <w:snapToGrid w:val="0"/>
        <w:spacing w:line="360" w:lineRule="auto"/>
        <w:rPr>
          <w:rFonts w:ascii="宋体"/>
          <w:szCs w:val="24"/>
        </w:rPr>
      </w:pPr>
    </w:p>
    <w:p>
      <w:pPr>
        <w:pStyle w:val="30"/>
        <w:adjustRightInd w:val="0"/>
        <w:snapToGrid w:val="0"/>
        <w:spacing w:line="360" w:lineRule="auto"/>
        <w:rPr>
          <w:rFonts w:ascii="宋体"/>
          <w:szCs w:val="24"/>
        </w:rPr>
      </w:pPr>
      <w:r>
        <w:rPr>
          <w:rFonts w:hint="eastAsia" w:ascii="宋体" w:hAns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hAnsi="宋体" w:cs="宋体"/>
          <w:sz w:val="24"/>
          <w:szCs w:val="24"/>
        </w:rPr>
        <w:t>地址：邮政编码：</w:t>
      </w:r>
    </w:p>
    <w:p>
      <w:pPr>
        <w:adjustRightInd w:val="0"/>
        <w:snapToGrid w:val="0"/>
        <w:spacing w:line="360" w:lineRule="auto"/>
        <w:rPr>
          <w:rFonts w:ascii="宋体" w:cs="宋体"/>
          <w:sz w:val="24"/>
          <w:szCs w:val="24"/>
        </w:rPr>
      </w:pPr>
      <w:r>
        <w:rPr>
          <w:rFonts w:hint="eastAsia" w:ascii="宋体" w:hAnsi="宋体" w:cs="宋体"/>
          <w:sz w:val="24"/>
          <w:szCs w:val="24"/>
        </w:rPr>
        <w:t>电话：传真</w:t>
      </w:r>
    </w:p>
    <w:p>
      <w:pPr>
        <w:adjustRightInd w:val="0"/>
        <w:snapToGrid w:val="0"/>
        <w:spacing w:line="360" w:lineRule="auto"/>
        <w:rPr>
          <w:rFonts w:ascii="宋体" w:cs="宋体"/>
          <w:sz w:val="24"/>
          <w:szCs w:val="24"/>
          <w:u w:val="single"/>
        </w:rPr>
      </w:pPr>
      <w:r>
        <w:rPr>
          <w:rFonts w:hint="eastAsia" w:ascii="宋体" w:hAnsi="宋体" w:cs="宋体"/>
          <w:sz w:val="24"/>
          <w:szCs w:val="24"/>
        </w:rPr>
        <w:t>投标人代表姓名：职务：</w:t>
      </w:r>
    </w:p>
    <w:p>
      <w:pPr>
        <w:adjustRightInd w:val="0"/>
        <w:snapToGrid w:val="0"/>
        <w:spacing w:line="360" w:lineRule="auto"/>
        <w:rPr>
          <w:rFonts w:asci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hAnsi="宋体" w:cs="宋体"/>
          <w:sz w:val="24"/>
          <w:szCs w:val="24"/>
        </w:rPr>
        <w:t>日期：年月日</w:t>
      </w:r>
    </w:p>
    <w:p>
      <w:pPr>
        <w:rPr>
          <w:rFonts w:hint="eastAsia" w:ascii="宋体" w:hAnsi="宋体"/>
          <w:b/>
          <w:bCs/>
          <w:sz w:val="36"/>
          <w:szCs w:val="36"/>
        </w:rPr>
      </w:pPr>
      <w:r>
        <w:rPr>
          <w:rFonts w:hint="eastAsia"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37"/>
        <w:spacing w:line="480" w:lineRule="auto"/>
        <w:ind w:firstLine="540" w:firstLineChars="225"/>
        <w:jc w:val="left"/>
        <w:rPr>
          <w:rFonts w:hAnsi="宋体"/>
          <w:szCs w:val="24"/>
        </w:rPr>
      </w:pPr>
      <w:r>
        <w:rPr>
          <w:rFonts w:hint="eastAsia" w:hAnsi="宋体"/>
          <w:szCs w:val="24"/>
        </w:rPr>
        <w:t>地址：</w:t>
      </w:r>
    </w:p>
    <w:p>
      <w:pPr>
        <w:pStyle w:val="3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3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3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37"/>
        <w:spacing w:line="480" w:lineRule="auto"/>
        <w:ind w:firstLine="540" w:firstLineChars="225"/>
        <w:jc w:val="left"/>
        <w:rPr>
          <w:rFonts w:hAnsi="宋体"/>
          <w:szCs w:val="24"/>
        </w:rPr>
      </w:pPr>
    </w:p>
    <w:p>
      <w:pPr>
        <w:pStyle w:val="37"/>
        <w:spacing w:line="480" w:lineRule="auto"/>
        <w:ind w:firstLine="540" w:firstLineChars="225"/>
        <w:jc w:val="left"/>
        <w:rPr>
          <w:rFonts w:hAnsi="宋体"/>
          <w:szCs w:val="24"/>
        </w:rPr>
      </w:pPr>
    </w:p>
    <w:p>
      <w:pPr>
        <w:pStyle w:val="3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3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32"/>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0" w:name="_资格证明文件"/>
            <w:bookmarkEnd w:id="0"/>
            <w:bookmarkStart w:id="1" w:name="_Toc364329026"/>
            <w:r>
              <w:rPr>
                <w:rFonts w:hint="eastAsia" w:ascii="宋体" w:hAnsi="宋体"/>
                <w:sz w:val="24"/>
                <w:szCs w:val="24"/>
              </w:rPr>
              <w:t>法定代表人授权代表身份证（正面）</w:t>
            </w:r>
            <w:bookmarkEnd w:id="1"/>
          </w:p>
        </w:tc>
        <w:tc>
          <w:tcPr>
            <w:tcW w:w="4492" w:type="dxa"/>
            <w:gridSpan w:val="2"/>
            <w:vAlign w:val="center"/>
          </w:tcPr>
          <w:p>
            <w:pPr>
              <w:jc w:val="center"/>
              <w:rPr>
                <w:rFonts w:ascii="宋体" w:hAnsi="宋体"/>
                <w:sz w:val="24"/>
                <w:szCs w:val="24"/>
              </w:rPr>
            </w:pPr>
            <w:bookmarkStart w:id="2" w:name="_Toc364329027"/>
            <w:r>
              <w:rPr>
                <w:rFonts w:hint="eastAsia" w:ascii="宋体" w:hAnsi="宋体"/>
                <w:sz w:val="24"/>
                <w:szCs w:val="24"/>
              </w:rPr>
              <w:t>法定代表人授权代表身份证（反面）</w:t>
            </w:r>
            <w:bookmarkEnd w:id="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autoSpaceDE w:val="0"/>
        <w:autoSpaceDN w:val="0"/>
        <w:adjustRightInd w:val="0"/>
        <w:spacing w:line="360" w:lineRule="auto"/>
        <w:jc w:val="center"/>
        <w:outlineLvl w:val="0"/>
        <w:rPr>
          <w:rFonts w:ascii="宋体"/>
          <w:b/>
          <w:bCs/>
          <w:sz w:val="24"/>
          <w:szCs w:val="24"/>
        </w:rPr>
      </w:pPr>
    </w:p>
    <w:p>
      <w:pPr>
        <w:rPr>
          <w:rFonts w:hint="eastAsia" w:cs="黑体"/>
          <w:bCs/>
          <w:color w:val="auto"/>
          <w:kern w:val="2"/>
          <w:sz w:val="36"/>
          <w:szCs w:val="36"/>
          <w:lang w:val="en-US" w:eastAsia="zh-CN"/>
        </w:rPr>
      </w:pPr>
      <w:r>
        <w:rPr>
          <w:rFonts w:hint="eastAsia" w:cs="黑体"/>
          <w:bCs/>
          <w:color w:val="auto"/>
          <w:kern w:val="2"/>
          <w:sz w:val="36"/>
          <w:szCs w:val="36"/>
          <w:lang w:val="en-US" w:eastAsia="zh-CN"/>
        </w:rPr>
        <w:br w:type="page"/>
      </w:r>
    </w:p>
    <w:p>
      <w:pPr>
        <w:pStyle w:val="28"/>
        <w:spacing w:after="156"/>
        <w:rPr>
          <w:rFonts w:cs="黑体"/>
          <w:bCs/>
          <w:color w:val="auto"/>
          <w:kern w:val="2"/>
          <w:sz w:val="36"/>
          <w:szCs w:val="36"/>
        </w:rPr>
      </w:pPr>
      <w:r>
        <w:rPr>
          <w:rFonts w:hint="eastAsia" w:cs="黑体"/>
          <w:bCs/>
          <w:color w:val="auto"/>
          <w:kern w:val="2"/>
          <w:sz w:val="36"/>
          <w:szCs w:val="36"/>
          <w:lang w:val="en-US" w:eastAsia="zh-CN"/>
        </w:rPr>
        <w:t>3</w:t>
      </w:r>
      <w:r>
        <w:rPr>
          <w:rFonts w:cs="黑体"/>
          <w:bCs/>
          <w:color w:val="auto"/>
          <w:kern w:val="2"/>
          <w:sz w:val="36"/>
          <w:szCs w:val="36"/>
        </w:rPr>
        <w:t>.</w:t>
      </w:r>
      <w:r>
        <w:rPr>
          <w:rFonts w:hint="eastAsia" w:cs="黑体"/>
          <w:bCs/>
          <w:color w:val="auto"/>
          <w:kern w:val="2"/>
          <w:sz w:val="36"/>
          <w:szCs w:val="36"/>
          <w:lang w:val="en-US" w:eastAsia="zh-CN"/>
        </w:rPr>
        <w:t>5</w:t>
      </w:r>
      <w:r>
        <w:rPr>
          <w:rFonts w:hint="eastAsia" w:cs="黑体"/>
          <w:bCs/>
          <w:color w:val="auto"/>
          <w:kern w:val="2"/>
          <w:sz w:val="36"/>
          <w:szCs w:val="36"/>
        </w:rPr>
        <w:t>反商业贿赂承诺书（固定格式）</w:t>
      </w:r>
    </w:p>
    <w:p>
      <w:pPr>
        <w:rPr>
          <w:rFonts w:ascii="宋体"/>
          <w:sz w:val="24"/>
          <w:szCs w:val="24"/>
        </w:rPr>
      </w:pP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我公司承诺：</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在（投标项目名称）招标活动中，我公司保证做到：</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一、公平竞争参加本次招标活动。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4030" w:firstLineChars="1550"/>
        <w:rPr>
          <w:rFonts w:ascii="宋体"/>
          <w:bCs/>
          <w:spacing w:val="10"/>
          <w:kern w:val="0"/>
          <w:sz w:val="24"/>
          <w:szCs w:val="24"/>
        </w:rPr>
      </w:pPr>
    </w:p>
    <w:p>
      <w:pPr>
        <w:autoSpaceDE w:val="0"/>
        <w:autoSpaceDN w:val="0"/>
        <w:adjustRightInd w:val="0"/>
        <w:spacing w:line="360" w:lineRule="auto"/>
        <w:ind w:right="600" w:firstLine="5070" w:firstLineChars="1950"/>
        <w:rPr>
          <w:rFonts w:ascii="宋体"/>
          <w:bCs/>
          <w:spacing w:val="10"/>
          <w:kern w:val="0"/>
          <w:sz w:val="24"/>
          <w:szCs w:val="24"/>
        </w:rPr>
      </w:pPr>
      <w:r>
        <w:rPr>
          <w:rFonts w:hint="eastAsia" w:ascii="宋体" w:hAnsi="宋体"/>
          <w:bCs/>
          <w:spacing w:val="10"/>
          <w:kern w:val="0"/>
          <w:sz w:val="24"/>
          <w:szCs w:val="24"/>
        </w:rPr>
        <w:t>投标人名称：（公章）</w:t>
      </w:r>
    </w:p>
    <w:p>
      <w:pPr>
        <w:autoSpaceDE w:val="0"/>
        <w:autoSpaceDN w:val="0"/>
        <w:adjustRightInd w:val="0"/>
        <w:spacing w:line="360" w:lineRule="auto"/>
        <w:ind w:right="600" w:firstLine="5070" w:firstLineChars="1950"/>
        <w:rPr>
          <w:rFonts w:ascii="宋体"/>
          <w:b/>
          <w:bCs/>
          <w:sz w:val="24"/>
          <w:szCs w:val="24"/>
        </w:rPr>
      </w:pPr>
      <w:r>
        <w:rPr>
          <w:rFonts w:hint="eastAsia" w:ascii="宋体" w:hAnsi="宋体"/>
          <w:bCs/>
          <w:spacing w:val="10"/>
          <w:kern w:val="0"/>
          <w:sz w:val="24"/>
          <w:szCs w:val="24"/>
        </w:rPr>
        <w:t>年  月  日</w:t>
      </w: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lang w:val="en-US" w:eastAsia="zh-CN"/>
        </w:rPr>
        <w:t>3</w:t>
      </w:r>
      <w:r>
        <w:rPr>
          <w:rFonts w:hint="eastAsia" w:ascii="宋体" w:hAnsi="宋体"/>
          <w:b/>
          <w:bCs/>
          <w:sz w:val="36"/>
          <w:szCs w:val="36"/>
        </w:rPr>
        <w:t>.</w:t>
      </w:r>
      <w:r>
        <w:rPr>
          <w:rFonts w:hint="eastAsia" w:ascii="宋体" w:hAnsi="宋体"/>
          <w:b/>
          <w:bCs/>
          <w:sz w:val="36"/>
          <w:szCs w:val="36"/>
          <w:lang w:val="en-US" w:eastAsia="zh-CN"/>
        </w:rPr>
        <w:t>7</w:t>
      </w:r>
      <w:r>
        <w:rPr>
          <w:rFonts w:hint="eastAsia" w:ascii="宋体" w:hAnsi="宋体"/>
          <w:b/>
          <w:bCs/>
          <w:sz w:val="36"/>
          <w:szCs w:val="36"/>
        </w:rPr>
        <w:t xml:space="preserve">其他资格证明、证书或材料 </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四、符合性审查证明材料</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rPr>
          <w:rFonts w:hint="eastAsia" w:hAnsi="宋体"/>
          <w:b/>
          <w:snapToGrid w:val="0"/>
          <w:kern w:val="0"/>
          <w:sz w:val="36"/>
          <w:szCs w:val="36"/>
          <w:lang w:val="en-US" w:eastAsia="zh-CN"/>
        </w:rPr>
      </w:pPr>
      <w:r>
        <w:rPr>
          <w:rFonts w:hint="eastAsia" w:hAnsi="宋体"/>
          <w:b/>
          <w:snapToGrid w:val="0"/>
          <w:kern w:val="0"/>
          <w:sz w:val="36"/>
          <w:szCs w:val="36"/>
          <w:lang w:val="en-US" w:eastAsia="zh-CN"/>
        </w:rPr>
        <w:br w:type="page"/>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lang w:val="en-US" w:eastAsia="zh-CN"/>
        </w:rPr>
        <w:t>4</w:t>
      </w:r>
      <w:r>
        <w:rPr>
          <w:rFonts w:hAnsi="宋体"/>
          <w:b/>
          <w:snapToGrid w:val="0"/>
          <w:kern w:val="0"/>
          <w:sz w:val="36"/>
          <w:szCs w:val="36"/>
        </w:rPr>
        <w:t xml:space="preserve">.1 </w:t>
      </w:r>
      <w:r>
        <w:rPr>
          <w:rFonts w:hint="eastAsia" w:hAnsi="宋体"/>
          <w:b/>
          <w:snapToGrid w:val="0"/>
          <w:kern w:val="0"/>
          <w:sz w:val="36"/>
          <w:szCs w:val="36"/>
        </w:rPr>
        <w:t>投标承诺函</w:t>
      </w:r>
    </w:p>
    <w:p>
      <w:pPr>
        <w:spacing w:before="50" w:afterLines="50" w:line="360" w:lineRule="auto"/>
        <w:contextualSpacing/>
        <w:jc w:val="left"/>
        <w:rPr>
          <w:rFonts w:ascii="宋体"/>
          <w:szCs w:val="21"/>
        </w:rPr>
      </w:pPr>
      <w:r>
        <w:rPr>
          <w:rFonts w:hint="eastAsia" w:ascii="宋体" w:hAnsi="宋体"/>
          <w:szCs w:val="21"/>
        </w:rPr>
        <w:t>项目编号：</w:t>
      </w:r>
    </w:p>
    <w:p>
      <w:pPr>
        <w:autoSpaceDE w:val="0"/>
        <w:autoSpaceDN w:val="0"/>
        <w:adjustRightInd w:val="0"/>
        <w:spacing w:line="360" w:lineRule="auto"/>
        <w:outlineLvl w:val="0"/>
        <w:rPr>
          <w:rFonts w:ascii="宋体"/>
          <w:szCs w:val="21"/>
        </w:rPr>
      </w:pPr>
      <w:r>
        <w:rPr>
          <w:rFonts w:hint="eastAsia" w:ascii="宋体" w:hAnsi="宋体"/>
          <w:szCs w:val="21"/>
        </w:rPr>
        <w:t>项目名称：</w:t>
      </w:r>
    </w:p>
    <w:p>
      <w:pPr>
        <w:autoSpaceDE w:val="0"/>
        <w:autoSpaceDN w:val="0"/>
        <w:adjustRightInd w:val="0"/>
        <w:spacing w:line="360" w:lineRule="auto"/>
        <w:outlineLvl w:val="0"/>
        <w:rPr>
          <w:rFonts w:ascii="宋体"/>
          <w:szCs w:val="21"/>
        </w:rPr>
      </w:pPr>
      <w:r>
        <w:rPr>
          <w:rFonts w:hint="eastAsia" w:ascii="宋体" w:hAnsi="宋体"/>
          <w:szCs w:val="21"/>
        </w:rPr>
        <w:t>承诺内容：</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rPr>
          <w:rFonts w:hint="eastAsia" w:ascii="宋体" w:hAnsi="宋体"/>
          <w:b/>
          <w:bCs/>
          <w:sz w:val="36"/>
          <w:szCs w:val="36"/>
          <w:lang w:val="en-US" w:eastAsia="zh-CN"/>
        </w:rPr>
      </w:pPr>
      <w:r>
        <w:rPr>
          <w:rFonts w:hint="eastAsia" w:ascii="宋体" w:hAnsi="宋体"/>
          <w:b/>
          <w:bCs/>
          <w:sz w:val="36"/>
          <w:szCs w:val="36"/>
          <w:lang w:val="en-US" w:eastAsia="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4.</w:t>
      </w:r>
      <w:r>
        <w:rPr>
          <w:rFonts w:hint="eastAsia" w:ascii="宋体" w:hAnsi="宋体"/>
          <w:b/>
          <w:bCs/>
          <w:color w:val="000000"/>
          <w:sz w:val="36"/>
          <w:szCs w:val="36"/>
          <w:lang w:val="en-US" w:eastAsia="zh-CN"/>
        </w:rPr>
        <w:t>2</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8"/>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3</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3" w:name="OLE_LINK14"/>
      <w:bookmarkStart w:id="4" w:name="OLE_LINK13"/>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残疾人福利性单位声明函</w:t>
      </w:r>
    </w:p>
    <w:bookmarkEnd w:id="3"/>
    <w:bookmarkEnd w:id="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tabs>
          <w:tab w:val="left" w:pos="4620"/>
        </w:tabs>
        <w:spacing w:line="540" w:lineRule="atLeast"/>
        <w:jc w:val="center"/>
        <w:rPr>
          <w:rFonts w:ascii="宋体" w:hAnsi="宋体"/>
          <w:b/>
          <w:bCs/>
          <w:sz w:val="32"/>
          <w:szCs w:val="32"/>
        </w:rPr>
      </w:pPr>
    </w:p>
    <w:p>
      <w:pPr>
        <w:tabs>
          <w:tab w:val="left" w:pos="4620"/>
        </w:tabs>
        <w:spacing w:line="540" w:lineRule="atLeast"/>
        <w:jc w:val="center"/>
        <w:rPr>
          <w:rFonts w:ascii="宋体" w:hAnsi="宋体"/>
          <w:b/>
          <w:bCs/>
          <w:sz w:val="32"/>
          <w:szCs w:val="32"/>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4620"/>
        </w:tabs>
        <w:spacing w:line="540" w:lineRule="atLeast"/>
        <w:jc w:val="center"/>
        <w:rPr>
          <w:rFonts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spacing w:line="660" w:lineRule="exact"/>
        <w:jc w:val="center"/>
        <w:rPr>
          <w:rFonts w:hAnsi="方正小标宋简体" w:eastAsia="方正小标宋简体"/>
          <w:bCs/>
          <w:sz w:val="44"/>
          <w:szCs w:val="44"/>
        </w:rPr>
      </w:pPr>
      <w:r>
        <w:rPr>
          <w:rFonts w:hint="eastAsia" w:hAnsi="方正小标宋简体" w:eastAsia="方正小标宋简体"/>
          <w:bCs/>
          <w:sz w:val="44"/>
          <w:szCs w:val="44"/>
        </w:rPr>
        <w:t>许示范财〔2019〕11号</w:t>
      </w:r>
    </w:p>
    <w:p>
      <w:pPr>
        <w:spacing w:line="660" w:lineRule="exact"/>
        <w:jc w:val="center"/>
        <w:rPr>
          <w:rFonts w:eastAsia="方正小标宋简体"/>
          <w:bCs/>
          <w:sz w:val="44"/>
          <w:szCs w:val="44"/>
        </w:rPr>
      </w:pPr>
      <w:r>
        <w:rPr>
          <w:rFonts w:hAnsi="方正小标宋简体" w:eastAsia="方正小标宋简体"/>
          <w:bCs/>
          <w:sz w:val="44"/>
          <w:szCs w:val="44"/>
        </w:rPr>
        <w:t>关于印发《许昌市城乡一体化示范区政府</w:t>
      </w:r>
    </w:p>
    <w:p>
      <w:pPr>
        <w:spacing w:line="660" w:lineRule="exact"/>
        <w:jc w:val="center"/>
        <w:rPr>
          <w:rFonts w:eastAsia="方正小标宋简体"/>
          <w:bCs/>
          <w:sz w:val="44"/>
          <w:szCs w:val="44"/>
        </w:rPr>
      </w:pPr>
      <w:r>
        <w:rPr>
          <w:rFonts w:hAnsi="方正小标宋简体" w:eastAsia="方正小标宋简体"/>
          <w:bCs/>
          <w:sz w:val="44"/>
          <w:szCs w:val="44"/>
        </w:rPr>
        <w:t>购买中介机构服务管理暂行办法（试行）》的</w:t>
      </w:r>
    </w:p>
    <w:p>
      <w:pPr>
        <w:spacing w:line="660" w:lineRule="exact"/>
        <w:jc w:val="center"/>
        <w:rPr>
          <w:rFonts w:eastAsia="方正小标宋简体"/>
          <w:bCs/>
          <w:sz w:val="44"/>
          <w:szCs w:val="44"/>
        </w:rPr>
      </w:pPr>
      <w:r>
        <w:rPr>
          <w:rFonts w:hAnsi="方正小标宋简体" w:eastAsia="方正小标宋简体"/>
          <w:bCs/>
          <w:sz w:val="44"/>
          <w:szCs w:val="44"/>
        </w:rPr>
        <w:t>通</w:t>
      </w:r>
      <w:r>
        <w:rPr>
          <w:rFonts w:eastAsia="方正小标宋简体"/>
          <w:bCs/>
          <w:sz w:val="44"/>
          <w:szCs w:val="44"/>
        </w:rPr>
        <w:t xml:space="preserve">    </w:t>
      </w:r>
      <w:r>
        <w:rPr>
          <w:rFonts w:hAnsi="方正小标宋简体" w:eastAsia="方正小标宋简体"/>
          <w:bCs/>
          <w:sz w:val="44"/>
          <w:szCs w:val="44"/>
        </w:rPr>
        <w:t>知</w:t>
      </w:r>
    </w:p>
    <w:p>
      <w:pPr>
        <w:rPr>
          <w:szCs w:val="32"/>
        </w:rPr>
      </w:pPr>
    </w:p>
    <w:p>
      <w:pPr>
        <w:rPr>
          <w:szCs w:val="32"/>
        </w:rPr>
      </w:pPr>
      <w:r>
        <w:rPr>
          <w:rFonts w:hAnsi="仿宋_GB2312"/>
          <w:szCs w:val="32"/>
        </w:rPr>
        <w:t>工信办、商务中心区，示范区各局、办，各镇（办），各直属事业单位，各派驻单位，各国有公司，瑞新公司</w:t>
      </w:r>
      <w:r>
        <w:rPr>
          <w:szCs w:val="32"/>
        </w:rPr>
        <w:t>：</w:t>
      </w:r>
    </w:p>
    <w:p>
      <w:pPr>
        <w:ind w:firstLine="420" w:firstLineChars="200"/>
        <w:rPr>
          <w:szCs w:val="32"/>
        </w:rPr>
      </w:pPr>
      <w:r>
        <w:rPr>
          <w:rFonts w:hint="eastAsia"/>
        </w:rPr>
        <w:t>为进一步规范我区行政事业单位，国有公司购买中介机构</w:t>
      </w:r>
      <w:r>
        <w:rPr>
          <w:rFonts w:hint="eastAsia" w:ascii="仿宋_GB2312"/>
          <w:color w:val="000000"/>
          <w:szCs w:val="32"/>
        </w:rPr>
        <w:t>开展工程预算编制、预（结）算审核，资产评估，财政（财务）审计、清产核资等工作</w:t>
      </w:r>
      <w:r>
        <w:rPr>
          <w:rFonts w:hint="eastAsia"/>
        </w:rPr>
        <w:t>，</w:t>
      </w:r>
      <w:r>
        <w:t>提高资金使用效益，促进廉政建设，营造高效、公平、公开、公正、规范的市场竞争环境，根据《中华人民共和国政府采购法》《国务院办公厅关于政府向社会力量购买服务的指导意见》（国发〔2013</w:t>
      </w:r>
      <w:r>
        <w:rPr>
          <w:rFonts w:hAnsi="仿宋_GB2312"/>
        </w:rPr>
        <w:t>〕</w:t>
      </w:r>
      <w:r>
        <w:t>96</w:t>
      </w:r>
      <w:r>
        <w:rPr>
          <w:rFonts w:hAnsi="仿宋_GB2312"/>
        </w:rPr>
        <w:t>号</w:t>
      </w:r>
      <w:r>
        <w:t>）《许昌市政府购买服务操作指南（试行）》（许财综〔2016</w:t>
      </w:r>
      <w:r>
        <w:rPr>
          <w:rFonts w:hAnsi="仿宋_GB2312"/>
        </w:rPr>
        <w:t>〕</w:t>
      </w:r>
      <w:r>
        <w:t>28</w:t>
      </w:r>
      <w:r>
        <w:rPr>
          <w:rFonts w:hAnsi="仿宋_GB2312"/>
        </w:rPr>
        <w:t>号）等相关文件</w:t>
      </w:r>
      <w:r>
        <w:t>，特制定《许昌市城乡一体化示范区政府购买中介机构服务管理暂行办法（试行）》，</w:t>
      </w:r>
      <w:r>
        <w:rPr>
          <w:szCs w:val="32"/>
        </w:rPr>
        <w:t>现印发给你们，请遵照执行。</w:t>
      </w:r>
    </w:p>
    <w:p>
      <w:pPr>
        <w:ind w:firstLine="420" w:firstLineChars="200"/>
        <w:rPr>
          <w:szCs w:val="32"/>
        </w:rPr>
      </w:pPr>
    </w:p>
    <w:p>
      <w:pPr>
        <w:ind w:firstLine="420" w:firstLineChars="200"/>
        <w:rPr>
          <w:szCs w:val="32"/>
        </w:rPr>
      </w:pPr>
    </w:p>
    <w:p>
      <w:pPr>
        <w:ind w:firstLine="420" w:firstLineChars="200"/>
        <w:rPr>
          <w:rFonts w:eastAsia="楷体_GB2312"/>
          <w:szCs w:val="32"/>
        </w:rPr>
      </w:pPr>
    </w:p>
    <w:p>
      <w:pPr>
        <w:ind w:firstLine="420" w:firstLineChars="200"/>
        <w:jc w:val="center"/>
        <w:rPr>
          <w:szCs w:val="32"/>
        </w:rPr>
      </w:pPr>
      <w:r>
        <w:rPr>
          <w:szCs w:val="32"/>
        </w:rPr>
        <w:t xml:space="preserve">                    许昌市城乡一体化示范区财政局</w:t>
      </w:r>
    </w:p>
    <w:p>
      <w:pPr>
        <w:ind w:firstLine="1050" w:firstLineChars="500"/>
        <w:jc w:val="center"/>
        <w:rPr>
          <w:szCs w:val="32"/>
        </w:rPr>
      </w:pPr>
      <w:r>
        <w:rPr>
          <w:szCs w:val="32"/>
        </w:rPr>
        <w:t xml:space="preserve">                2019年5月13日</w:t>
      </w: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tabs>
          <w:tab w:val="left" w:pos="4620"/>
        </w:tabs>
        <w:spacing w:line="660" w:lineRule="exact"/>
        <w:jc w:val="center"/>
        <w:rPr>
          <w:rFonts w:eastAsia="方正小标宋简体"/>
          <w:bCs/>
          <w:color w:val="000000"/>
          <w:sz w:val="44"/>
          <w:szCs w:val="44"/>
        </w:rPr>
      </w:pPr>
    </w:p>
    <w:p>
      <w:pPr>
        <w:tabs>
          <w:tab w:val="left" w:pos="4620"/>
        </w:tabs>
        <w:spacing w:line="660" w:lineRule="exact"/>
        <w:jc w:val="center"/>
        <w:rPr>
          <w:rFonts w:eastAsia="方正小标宋简体"/>
          <w:bCs/>
          <w:color w:val="000000"/>
          <w:sz w:val="44"/>
          <w:szCs w:val="44"/>
        </w:rPr>
      </w:pPr>
    </w:p>
    <w:p>
      <w:pPr>
        <w:tabs>
          <w:tab w:val="left" w:pos="4620"/>
        </w:tabs>
        <w:spacing w:line="660" w:lineRule="exact"/>
        <w:jc w:val="center"/>
        <w:rPr>
          <w:rFonts w:eastAsia="方正小标宋简体"/>
          <w:bCs/>
          <w:color w:val="000000"/>
          <w:sz w:val="36"/>
          <w:szCs w:val="36"/>
        </w:rPr>
      </w:pPr>
      <w:r>
        <w:rPr>
          <w:rFonts w:eastAsia="方正小标宋简体"/>
          <w:bCs/>
          <w:color w:val="000000"/>
          <w:sz w:val="44"/>
          <w:szCs w:val="44"/>
        </w:rPr>
        <w:t>许昌市城乡一体化示范区政府购买中介机构服务管理暂行办法（试行）</w:t>
      </w:r>
    </w:p>
    <w:p>
      <w:pPr>
        <w:spacing w:line="540" w:lineRule="atLeast"/>
        <w:jc w:val="center"/>
        <w:rPr>
          <w:color w:val="000000"/>
          <w:sz w:val="18"/>
          <w:szCs w:val="18"/>
        </w:rPr>
      </w:pPr>
    </w:p>
    <w:p>
      <w:pPr>
        <w:spacing w:line="360" w:lineRule="auto"/>
        <w:jc w:val="both"/>
        <w:rPr>
          <w:rFonts w:eastAsia="黑体"/>
          <w:color w:val="000000"/>
          <w:szCs w:val="32"/>
        </w:rPr>
      </w:pPr>
      <w:r>
        <w:rPr>
          <w:color w:val="000000"/>
          <w:sz w:val="18"/>
          <w:szCs w:val="18"/>
        </w:rPr>
        <w:t>　</w:t>
      </w:r>
      <w:r>
        <w:rPr>
          <w:rFonts w:eastAsia="黑体"/>
          <w:bCs/>
          <w:color w:val="000000"/>
          <w:szCs w:val="32"/>
        </w:rPr>
        <w:t>第一章 </w:t>
      </w:r>
      <w:r>
        <w:rPr>
          <w:rStyle w:val="56"/>
          <w:rFonts w:eastAsia="黑体"/>
          <w:bCs/>
          <w:color w:val="000000"/>
          <w:szCs w:val="32"/>
        </w:rPr>
        <w:t> </w:t>
      </w:r>
      <w:r>
        <w:rPr>
          <w:rFonts w:eastAsia="黑体"/>
          <w:bCs/>
          <w:color w:val="000000"/>
          <w:szCs w:val="32"/>
        </w:rPr>
        <w:t>总 </w:t>
      </w:r>
      <w:r>
        <w:rPr>
          <w:rStyle w:val="56"/>
          <w:rFonts w:eastAsia="黑体"/>
          <w:bCs/>
          <w:color w:val="000000"/>
          <w:szCs w:val="32"/>
        </w:rPr>
        <w:t> </w:t>
      </w:r>
      <w:r>
        <w:rPr>
          <w:rFonts w:eastAsia="黑体"/>
          <w:bCs/>
          <w:color w:val="000000"/>
          <w:szCs w:val="32"/>
        </w:rPr>
        <w:t>则</w:t>
      </w:r>
      <w:r>
        <w:rPr>
          <w:rFonts w:eastAsia="黑体"/>
          <w:color w:val="000000"/>
          <w:szCs w:val="32"/>
        </w:rPr>
        <w:t> </w:t>
      </w:r>
    </w:p>
    <w:p>
      <w:pPr>
        <w:ind w:firstLine="422" w:firstLineChars="200"/>
        <w:jc w:val="both"/>
        <w:rPr>
          <w:color w:val="000000"/>
          <w:szCs w:val="32"/>
        </w:rPr>
      </w:pPr>
      <w:r>
        <w:rPr>
          <w:b/>
          <w:bCs/>
          <w:color w:val="000000"/>
          <w:szCs w:val="32"/>
        </w:rPr>
        <w:t>第一条</w:t>
      </w:r>
      <w:r>
        <w:rPr>
          <w:color w:val="000000"/>
          <w:szCs w:val="32"/>
        </w:rPr>
        <w:t> </w:t>
      </w:r>
      <w:r>
        <w:rPr>
          <w:rStyle w:val="56"/>
          <w:color w:val="000000"/>
          <w:szCs w:val="32"/>
        </w:rPr>
        <w:t xml:space="preserve">  </w:t>
      </w:r>
      <w:r>
        <w:rPr>
          <w:color w:val="000000"/>
          <w:kern w:val="0"/>
          <w:szCs w:val="32"/>
        </w:rPr>
        <w:t>本办法所称中介机构，是指依法登记设立和经行业行政主管部门批准、按照规定的业务规则和程序，向委托人提供服务的具有经济鉴证执业资格的会计师事务所、资产评估机构、工程造价咨询机构等。</w:t>
      </w:r>
    </w:p>
    <w:p>
      <w:pPr>
        <w:ind w:firstLine="422" w:firstLineChars="200"/>
        <w:jc w:val="both"/>
        <w:rPr>
          <w:color w:val="000000"/>
          <w:szCs w:val="32"/>
        </w:rPr>
      </w:pPr>
      <w:r>
        <w:rPr>
          <w:b/>
          <w:color w:val="000000"/>
          <w:szCs w:val="32"/>
          <w:shd w:val="clear" w:color="auto" w:fill="FFFFFF"/>
        </w:rPr>
        <w:t>第二条</w:t>
      </w:r>
      <w:r>
        <w:rPr>
          <w:color w:val="000000"/>
          <w:szCs w:val="32"/>
          <w:shd w:val="clear" w:color="auto" w:fill="FFFFFF"/>
        </w:rPr>
        <w:t xml:space="preserve">  </w:t>
      </w:r>
      <w:r>
        <w:rPr>
          <w:color w:val="000000"/>
          <w:kern w:val="0"/>
          <w:szCs w:val="32"/>
        </w:rPr>
        <w:t>本办法所称购买中介机构服务，</w:t>
      </w:r>
      <w:r>
        <w:rPr>
          <w:color w:val="000000"/>
          <w:szCs w:val="32"/>
        </w:rPr>
        <w:t>是指我区行政事业单位，国有公司（以下简称委托人）购买中介机构开展工程预算编制、预（结）算审核，资产评估，财政（财务）审计、清产核资等工作。</w:t>
      </w:r>
    </w:p>
    <w:p>
      <w:pPr>
        <w:ind w:firstLine="422" w:firstLineChars="200"/>
        <w:jc w:val="both"/>
        <w:rPr>
          <w:color w:val="000000"/>
          <w:szCs w:val="32"/>
        </w:rPr>
      </w:pPr>
      <w:r>
        <w:rPr>
          <w:b/>
          <w:color w:val="000000"/>
          <w:szCs w:val="32"/>
        </w:rPr>
        <w:t xml:space="preserve">第三条  </w:t>
      </w:r>
      <w:r>
        <w:rPr>
          <w:color w:val="000000"/>
          <w:szCs w:val="32"/>
        </w:rPr>
        <w:t>财政局采用公开招标方式，确定中介机构定点服务单位,成立中介机构定点服务单位备选库（以下简称备选库），中介机构履约服务期限为三年。</w:t>
      </w:r>
    </w:p>
    <w:p>
      <w:pPr>
        <w:jc w:val="both"/>
        <w:rPr>
          <w:rFonts w:eastAsia="黑体"/>
          <w:color w:val="000000"/>
          <w:szCs w:val="32"/>
        </w:rPr>
      </w:pPr>
      <w:r>
        <w:rPr>
          <w:rFonts w:hAnsi="黑体" w:eastAsia="黑体"/>
          <w:color w:val="000000"/>
          <w:szCs w:val="32"/>
        </w:rPr>
        <w:t>第二章</w:t>
      </w:r>
      <w:r>
        <w:rPr>
          <w:rFonts w:eastAsia="黑体"/>
          <w:color w:val="000000"/>
          <w:szCs w:val="32"/>
        </w:rPr>
        <w:t xml:space="preserve"> </w:t>
      </w:r>
      <w:r>
        <w:rPr>
          <w:rFonts w:hAnsi="黑体" w:eastAsia="黑体"/>
          <w:color w:val="000000"/>
          <w:szCs w:val="32"/>
        </w:rPr>
        <w:t>中介机构服务收费标准及管理要求</w:t>
      </w:r>
    </w:p>
    <w:p>
      <w:pPr>
        <w:widowControl/>
        <w:ind w:firstLine="422" w:firstLineChars="200"/>
        <w:jc w:val="both"/>
        <w:rPr>
          <w:color w:val="000000"/>
          <w:szCs w:val="32"/>
        </w:rPr>
      </w:pPr>
      <w:r>
        <w:rPr>
          <w:b/>
          <w:color w:val="000000"/>
          <w:szCs w:val="32"/>
        </w:rPr>
        <w:t xml:space="preserve">第四条  </w:t>
      </w:r>
      <w:r>
        <w:rPr>
          <w:color w:val="000000"/>
          <w:szCs w:val="32"/>
        </w:rPr>
        <w:t>中介机构业务委托类别及收费率上限</w:t>
      </w:r>
    </w:p>
    <w:p>
      <w:pPr>
        <w:widowControl/>
        <w:ind w:firstLine="420" w:firstLineChars="200"/>
        <w:jc w:val="both"/>
        <w:rPr>
          <w:color w:val="000000"/>
          <w:szCs w:val="32"/>
        </w:rPr>
      </w:pPr>
      <w:r>
        <w:rPr>
          <w:szCs w:val="32"/>
        </w:rPr>
        <w:t>根据</w:t>
      </w:r>
      <w:r>
        <w:rPr>
          <w:color w:val="000000"/>
          <w:szCs w:val="32"/>
        </w:rPr>
        <w:t>中评协〔2009〕199号、豫发改收费〔2008〕2510号、豫发改收费〔2011〕2374号</w:t>
      </w:r>
      <w:r>
        <w:rPr>
          <w:szCs w:val="32"/>
        </w:rPr>
        <w:t>等文件规定收费标准，结合周边县区中介服务费实际支付情况，将示范区有关中介机构服务费用支付标准明确如下：</w:t>
      </w:r>
    </w:p>
    <w:p>
      <w:pPr>
        <w:numPr>
          <w:ilvl w:val="0"/>
          <w:numId w:val="18"/>
        </w:numPr>
        <w:jc w:val="both"/>
        <w:rPr>
          <w:b/>
          <w:bCs/>
          <w:color w:val="000000"/>
          <w:szCs w:val="32"/>
        </w:rPr>
      </w:pPr>
      <w:r>
        <w:rPr>
          <w:b/>
          <w:bCs/>
          <w:color w:val="000000"/>
          <w:szCs w:val="32"/>
        </w:rPr>
        <w:t>预算编制服务费及预（结）算审查收费标准</w:t>
      </w:r>
    </w:p>
    <w:p>
      <w:pPr>
        <w:ind w:firstLine="420" w:firstLineChars="200"/>
        <w:jc w:val="both"/>
        <w:rPr>
          <w:b/>
          <w:bCs/>
          <w:color w:val="000000"/>
          <w:kern w:val="0"/>
          <w:szCs w:val="32"/>
        </w:rPr>
      </w:pPr>
      <w:r>
        <w:rPr>
          <w:color w:val="000000"/>
          <w:szCs w:val="32"/>
        </w:rPr>
        <w:t>（一）</w:t>
      </w:r>
      <w:r>
        <w:rPr>
          <w:color w:val="000000"/>
          <w:kern w:val="0"/>
          <w:szCs w:val="32"/>
        </w:rPr>
        <w:t>预（结）算审查实行业务绩效与付费挂钩，在基础费率据实计算后，</w:t>
      </w:r>
      <w:r>
        <w:rPr>
          <w:color w:val="000000"/>
          <w:szCs w:val="32"/>
        </w:rPr>
        <w:t>再按经被审单位认可的合规审减金额，根据合同约定比例，奖励性增加付费。提供造价咨询服务应与中介机构自身资质相匹配，</w:t>
      </w:r>
      <w:r>
        <w:rPr>
          <w:color w:val="000000"/>
          <w:szCs w:val="32"/>
          <w:shd w:val="clear" w:color="auto" w:fill="FFFFFF"/>
        </w:rPr>
        <w:t>按照《工程造价咨询企业管理办法》（建设部令第149号）的规定，甲级工程造价咨询机构可以从事各类建设项目的工程造价咨询业务，乙级可以从事5000万元以下工程造价咨询业务，中介机构的选择应符合此规定。</w:t>
      </w:r>
    </w:p>
    <w:p>
      <w:pPr>
        <w:ind w:firstLine="420" w:firstLineChars="200"/>
        <w:jc w:val="both"/>
        <w:rPr>
          <w:color w:val="000000"/>
          <w:szCs w:val="32"/>
        </w:rPr>
      </w:pPr>
      <w:r>
        <w:rPr>
          <w:color w:val="000000"/>
          <w:szCs w:val="32"/>
        </w:rPr>
        <w:t>（二）工程量清单及预算编制费</w:t>
      </w:r>
    </w:p>
    <w:p>
      <w:pPr>
        <w:ind w:firstLine="420" w:firstLineChars="200"/>
        <w:jc w:val="both"/>
        <w:rPr>
          <w:color w:val="000000"/>
          <w:szCs w:val="32"/>
        </w:rPr>
      </w:pPr>
      <w:r>
        <w:rPr>
          <w:color w:val="000000"/>
          <w:szCs w:val="32"/>
        </w:rPr>
        <w:t>工程量清单及预算编制费 =工程造价×工程量清单及预算编制费费率</w:t>
      </w:r>
    </w:p>
    <w:p>
      <w:pPr>
        <w:ind w:right="-216"/>
        <w:jc w:val="both"/>
        <w:rPr>
          <w:rFonts w:eastAsia="黑体"/>
          <w:bCs/>
          <w:color w:val="000000"/>
          <w:sz w:val="30"/>
          <w:szCs w:val="30"/>
        </w:rPr>
      </w:pPr>
      <w:r>
        <w:rPr>
          <w:rFonts w:eastAsia="黑体"/>
          <w:color w:val="000000"/>
          <w:sz w:val="30"/>
          <w:szCs w:val="30"/>
        </w:rPr>
        <w:t>表一 工程量清单及预算编制</w:t>
      </w:r>
      <w:r>
        <w:rPr>
          <w:rFonts w:eastAsia="黑体"/>
          <w:color w:val="000000"/>
          <w:kern w:val="0"/>
          <w:sz w:val="30"/>
          <w:szCs w:val="30"/>
        </w:rPr>
        <w:t>费费率表</w:t>
      </w:r>
    </w:p>
    <w:tbl>
      <w:tblPr>
        <w:tblStyle w:val="19"/>
        <w:tblW w:w="83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458"/>
        <w:gridCol w:w="19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89" w:type="dxa"/>
            <w:noWrap w:val="0"/>
            <w:vAlign w:val="center"/>
          </w:tcPr>
          <w:p>
            <w:pPr>
              <w:ind w:right="-216"/>
              <w:jc w:val="both"/>
              <w:rPr>
                <w:sz w:val="24"/>
              </w:rPr>
            </w:pPr>
            <w:r>
              <w:rPr>
                <w:sz w:val="24"/>
              </w:rPr>
              <w:t>档次</w:t>
            </w:r>
          </w:p>
        </w:tc>
        <w:tc>
          <w:tcPr>
            <w:tcW w:w="3458" w:type="dxa"/>
            <w:noWrap w:val="0"/>
            <w:vAlign w:val="center"/>
          </w:tcPr>
          <w:p>
            <w:pPr>
              <w:ind w:right="-216"/>
              <w:jc w:val="both"/>
              <w:rPr>
                <w:sz w:val="24"/>
              </w:rPr>
            </w:pPr>
            <w:r>
              <w:rPr>
                <w:sz w:val="24"/>
              </w:rPr>
              <w:t>工程造价</w:t>
            </w:r>
          </w:p>
        </w:tc>
        <w:tc>
          <w:tcPr>
            <w:tcW w:w="1984" w:type="dxa"/>
            <w:noWrap w:val="0"/>
            <w:vAlign w:val="center"/>
          </w:tcPr>
          <w:p>
            <w:pPr>
              <w:ind w:right="-216"/>
              <w:jc w:val="both"/>
              <w:rPr>
                <w:sz w:val="24"/>
              </w:rPr>
            </w:pPr>
            <w:r>
              <w:rPr>
                <w:sz w:val="24"/>
              </w:rPr>
              <w:t>一类项目费率</w:t>
            </w:r>
          </w:p>
        </w:tc>
        <w:tc>
          <w:tcPr>
            <w:tcW w:w="1869" w:type="dxa"/>
            <w:noWrap w:val="0"/>
            <w:vAlign w:val="center"/>
          </w:tcPr>
          <w:p>
            <w:pPr>
              <w:ind w:right="-216"/>
              <w:jc w:val="both"/>
              <w:rPr>
                <w:sz w:val="24"/>
              </w:rPr>
            </w:pPr>
            <w:r>
              <w:rPr>
                <w:sz w:val="24"/>
              </w:rPr>
              <w:t>二类项目费率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1</w:t>
            </w:r>
          </w:p>
        </w:tc>
        <w:tc>
          <w:tcPr>
            <w:tcW w:w="3458" w:type="dxa"/>
            <w:noWrap w:val="0"/>
            <w:vAlign w:val="center"/>
          </w:tcPr>
          <w:p>
            <w:pPr>
              <w:ind w:right="-216"/>
              <w:jc w:val="both"/>
              <w:rPr>
                <w:sz w:val="24"/>
              </w:rPr>
            </w:pPr>
            <w:r>
              <w:rPr>
                <w:sz w:val="24"/>
              </w:rPr>
              <w:t>500万元以下（含500万元）</w:t>
            </w:r>
          </w:p>
        </w:tc>
        <w:tc>
          <w:tcPr>
            <w:tcW w:w="1984" w:type="dxa"/>
            <w:noWrap w:val="0"/>
            <w:vAlign w:val="center"/>
          </w:tcPr>
          <w:p>
            <w:pPr>
              <w:ind w:right="-216"/>
              <w:jc w:val="both"/>
              <w:rPr>
                <w:sz w:val="24"/>
              </w:rPr>
            </w:pPr>
            <w:r>
              <w:rPr>
                <w:sz w:val="24"/>
              </w:rPr>
              <w:t>3‰</w:t>
            </w:r>
          </w:p>
        </w:tc>
        <w:tc>
          <w:tcPr>
            <w:tcW w:w="1869" w:type="dxa"/>
            <w:noWrap w:val="0"/>
            <w:vAlign w:val="center"/>
          </w:tcPr>
          <w:p>
            <w:pPr>
              <w:ind w:right="-216"/>
              <w:jc w:val="both"/>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2</w:t>
            </w:r>
          </w:p>
        </w:tc>
        <w:tc>
          <w:tcPr>
            <w:tcW w:w="3458" w:type="dxa"/>
            <w:noWrap w:val="0"/>
            <w:vAlign w:val="center"/>
          </w:tcPr>
          <w:p>
            <w:pPr>
              <w:ind w:right="-216"/>
              <w:jc w:val="both"/>
              <w:rPr>
                <w:sz w:val="24"/>
              </w:rPr>
            </w:pPr>
            <w:r>
              <w:rPr>
                <w:sz w:val="24"/>
              </w:rPr>
              <w:t>500万元以上-1000万元</w:t>
            </w:r>
          </w:p>
        </w:tc>
        <w:tc>
          <w:tcPr>
            <w:tcW w:w="1984" w:type="dxa"/>
            <w:noWrap w:val="0"/>
            <w:vAlign w:val="center"/>
          </w:tcPr>
          <w:p>
            <w:pPr>
              <w:ind w:right="-216"/>
              <w:jc w:val="both"/>
              <w:rPr>
                <w:sz w:val="24"/>
              </w:rPr>
            </w:pPr>
            <w:r>
              <w:rPr>
                <w:sz w:val="24"/>
              </w:rPr>
              <w:t>2.5‰</w:t>
            </w:r>
          </w:p>
        </w:tc>
        <w:tc>
          <w:tcPr>
            <w:tcW w:w="1869" w:type="dxa"/>
            <w:noWrap w:val="0"/>
            <w:vAlign w:val="center"/>
          </w:tcPr>
          <w:p>
            <w:pPr>
              <w:ind w:right="-216"/>
              <w:jc w:val="both"/>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3</w:t>
            </w:r>
          </w:p>
        </w:tc>
        <w:tc>
          <w:tcPr>
            <w:tcW w:w="3458" w:type="dxa"/>
            <w:noWrap w:val="0"/>
            <w:vAlign w:val="center"/>
          </w:tcPr>
          <w:p>
            <w:pPr>
              <w:ind w:right="-216"/>
              <w:jc w:val="both"/>
              <w:rPr>
                <w:sz w:val="24"/>
              </w:rPr>
            </w:pPr>
            <w:r>
              <w:rPr>
                <w:sz w:val="24"/>
              </w:rPr>
              <w:t>1000万元以上-5000万元</w:t>
            </w:r>
          </w:p>
        </w:tc>
        <w:tc>
          <w:tcPr>
            <w:tcW w:w="1984" w:type="dxa"/>
            <w:noWrap w:val="0"/>
            <w:vAlign w:val="center"/>
          </w:tcPr>
          <w:p>
            <w:pPr>
              <w:ind w:right="-216"/>
              <w:jc w:val="both"/>
              <w:rPr>
                <w:sz w:val="24"/>
              </w:rPr>
            </w:pPr>
            <w:r>
              <w:rPr>
                <w:sz w:val="24"/>
              </w:rPr>
              <w:t>2‰</w:t>
            </w:r>
          </w:p>
        </w:tc>
        <w:tc>
          <w:tcPr>
            <w:tcW w:w="1869" w:type="dxa"/>
            <w:noWrap w:val="0"/>
            <w:vAlign w:val="center"/>
          </w:tcPr>
          <w:p>
            <w:pPr>
              <w:ind w:right="-216"/>
              <w:jc w:val="both"/>
              <w:rPr>
                <w:sz w:val="24"/>
              </w:rPr>
            </w:pPr>
            <w:r>
              <w:rPr>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4</w:t>
            </w:r>
          </w:p>
        </w:tc>
        <w:tc>
          <w:tcPr>
            <w:tcW w:w="3458" w:type="dxa"/>
            <w:noWrap w:val="0"/>
            <w:vAlign w:val="center"/>
          </w:tcPr>
          <w:p>
            <w:pPr>
              <w:ind w:right="-216"/>
              <w:jc w:val="both"/>
              <w:rPr>
                <w:sz w:val="24"/>
              </w:rPr>
            </w:pPr>
            <w:r>
              <w:rPr>
                <w:sz w:val="24"/>
              </w:rPr>
              <w:t>5000万元以上-1亿元</w:t>
            </w:r>
          </w:p>
        </w:tc>
        <w:tc>
          <w:tcPr>
            <w:tcW w:w="1984" w:type="dxa"/>
            <w:noWrap w:val="0"/>
            <w:vAlign w:val="center"/>
          </w:tcPr>
          <w:p>
            <w:pPr>
              <w:ind w:right="-216"/>
              <w:jc w:val="both"/>
              <w:rPr>
                <w:sz w:val="24"/>
              </w:rPr>
            </w:pPr>
            <w:r>
              <w:rPr>
                <w:sz w:val="24"/>
              </w:rPr>
              <w:t>1.5‰</w:t>
            </w:r>
          </w:p>
        </w:tc>
        <w:tc>
          <w:tcPr>
            <w:tcW w:w="1869" w:type="dxa"/>
            <w:noWrap w:val="0"/>
            <w:vAlign w:val="center"/>
          </w:tcPr>
          <w:p>
            <w:pPr>
              <w:ind w:right="-216"/>
              <w:jc w:val="both"/>
              <w:rPr>
                <w:sz w:val="24"/>
              </w:rPr>
            </w:pPr>
            <w:r>
              <w:rPr>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noWrap w:val="0"/>
            <w:vAlign w:val="center"/>
          </w:tcPr>
          <w:p>
            <w:pPr>
              <w:ind w:right="-216"/>
              <w:jc w:val="both"/>
              <w:rPr>
                <w:sz w:val="24"/>
              </w:rPr>
            </w:pPr>
            <w:r>
              <w:rPr>
                <w:sz w:val="24"/>
              </w:rPr>
              <w:t>5</w:t>
            </w:r>
          </w:p>
        </w:tc>
        <w:tc>
          <w:tcPr>
            <w:tcW w:w="3458" w:type="dxa"/>
            <w:noWrap w:val="0"/>
            <w:vAlign w:val="center"/>
          </w:tcPr>
          <w:p>
            <w:pPr>
              <w:ind w:right="-216"/>
              <w:jc w:val="both"/>
              <w:rPr>
                <w:sz w:val="24"/>
              </w:rPr>
            </w:pPr>
            <w:r>
              <w:rPr>
                <w:sz w:val="24"/>
              </w:rPr>
              <w:t>1亿元以上-5亿元</w:t>
            </w:r>
          </w:p>
        </w:tc>
        <w:tc>
          <w:tcPr>
            <w:tcW w:w="1984" w:type="dxa"/>
            <w:noWrap w:val="0"/>
            <w:vAlign w:val="center"/>
          </w:tcPr>
          <w:p>
            <w:pPr>
              <w:ind w:right="-216"/>
              <w:jc w:val="both"/>
              <w:rPr>
                <w:sz w:val="24"/>
              </w:rPr>
            </w:pPr>
            <w:r>
              <w:rPr>
                <w:sz w:val="24"/>
              </w:rPr>
              <w:t>1‰</w:t>
            </w:r>
          </w:p>
        </w:tc>
        <w:tc>
          <w:tcPr>
            <w:tcW w:w="1869" w:type="dxa"/>
            <w:noWrap w:val="0"/>
            <w:vAlign w:val="center"/>
          </w:tcPr>
          <w:p>
            <w:pPr>
              <w:ind w:right="-216"/>
              <w:jc w:val="both"/>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noWrap w:val="0"/>
            <w:vAlign w:val="center"/>
          </w:tcPr>
          <w:p>
            <w:pPr>
              <w:ind w:right="-216"/>
              <w:jc w:val="both"/>
              <w:rPr>
                <w:sz w:val="24"/>
              </w:rPr>
            </w:pPr>
            <w:r>
              <w:rPr>
                <w:sz w:val="24"/>
              </w:rPr>
              <w:t>6</w:t>
            </w:r>
          </w:p>
        </w:tc>
        <w:tc>
          <w:tcPr>
            <w:tcW w:w="3458" w:type="dxa"/>
            <w:noWrap w:val="0"/>
            <w:vAlign w:val="center"/>
          </w:tcPr>
          <w:p>
            <w:pPr>
              <w:ind w:right="-216"/>
              <w:jc w:val="both"/>
              <w:rPr>
                <w:sz w:val="24"/>
              </w:rPr>
            </w:pPr>
            <w:r>
              <w:rPr>
                <w:sz w:val="24"/>
              </w:rPr>
              <w:t>5亿元以上</w:t>
            </w:r>
          </w:p>
        </w:tc>
        <w:tc>
          <w:tcPr>
            <w:tcW w:w="1984" w:type="dxa"/>
            <w:noWrap w:val="0"/>
            <w:vAlign w:val="center"/>
          </w:tcPr>
          <w:p>
            <w:pPr>
              <w:ind w:right="-216"/>
              <w:jc w:val="both"/>
              <w:rPr>
                <w:sz w:val="24"/>
              </w:rPr>
            </w:pPr>
            <w:r>
              <w:rPr>
                <w:sz w:val="24"/>
              </w:rPr>
              <w:t>0.8‰</w:t>
            </w:r>
          </w:p>
        </w:tc>
        <w:tc>
          <w:tcPr>
            <w:tcW w:w="1869" w:type="dxa"/>
            <w:noWrap w:val="0"/>
            <w:vAlign w:val="center"/>
          </w:tcPr>
          <w:p>
            <w:pPr>
              <w:ind w:right="-216"/>
              <w:jc w:val="both"/>
              <w:rPr>
                <w:sz w:val="24"/>
              </w:rPr>
            </w:pPr>
            <w:r>
              <w:rPr>
                <w:sz w:val="24"/>
              </w:rPr>
              <w:t>0.8‰</w:t>
            </w:r>
          </w:p>
        </w:tc>
      </w:tr>
    </w:tbl>
    <w:p>
      <w:pPr>
        <w:ind w:firstLine="420" w:firstLineChars="200"/>
        <w:jc w:val="both"/>
        <w:rPr>
          <w:color w:val="000000"/>
          <w:szCs w:val="32"/>
        </w:rPr>
      </w:pPr>
      <w:r>
        <w:rPr>
          <w:color w:val="000000"/>
          <w:szCs w:val="32"/>
        </w:rPr>
        <w:t>（三）工程预算审查委托费</w:t>
      </w:r>
    </w:p>
    <w:p>
      <w:pPr>
        <w:ind w:firstLine="420" w:firstLineChars="200"/>
        <w:jc w:val="both"/>
        <w:rPr>
          <w:color w:val="000000"/>
          <w:szCs w:val="32"/>
        </w:rPr>
      </w:pPr>
      <w:r>
        <w:rPr>
          <w:color w:val="000000"/>
          <w:szCs w:val="32"/>
        </w:rPr>
        <w:t>工程预算审查委托费 =基本费计算基数×基本费费率+审减追加费计算基数×审减追加费费率。</w:t>
      </w:r>
    </w:p>
    <w:p>
      <w:pPr>
        <w:ind w:right="-216" w:firstLine="294" w:firstLineChars="98"/>
        <w:jc w:val="both"/>
        <w:rPr>
          <w:rFonts w:eastAsia="黑体"/>
          <w:color w:val="000000"/>
          <w:sz w:val="30"/>
          <w:szCs w:val="30"/>
        </w:rPr>
      </w:pPr>
      <w:r>
        <w:rPr>
          <w:rFonts w:eastAsia="黑体"/>
          <w:color w:val="000000"/>
          <w:sz w:val="30"/>
          <w:szCs w:val="30"/>
        </w:rPr>
        <w:t>表二 工程预算审查委托费费率表</w:t>
      </w:r>
    </w:p>
    <w:tbl>
      <w:tblPr>
        <w:tblStyle w:val="19"/>
        <w:tblW w:w="8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533"/>
        <w:gridCol w:w="155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档次</w:t>
            </w:r>
          </w:p>
        </w:tc>
        <w:tc>
          <w:tcPr>
            <w:tcW w:w="3036" w:type="dxa"/>
            <w:noWrap w:val="0"/>
            <w:vAlign w:val="center"/>
          </w:tcPr>
          <w:p>
            <w:pPr>
              <w:ind w:right="-216"/>
              <w:jc w:val="both"/>
              <w:rPr>
                <w:sz w:val="24"/>
              </w:rPr>
            </w:pPr>
            <w:r>
              <w:rPr>
                <w:sz w:val="24"/>
              </w:rPr>
              <w:t>工程造价</w:t>
            </w:r>
          </w:p>
        </w:tc>
        <w:tc>
          <w:tcPr>
            <w:tcW w:w="1533" w:type="dxa"/>
            <w:noWrap w:val="0"/>
            <w:vAlign w:val="top"/>
          </w:tcPr>
          <w:p>
            <w:pPr>
              <w:ind w:right="-216"/>
              <w:jc w:val="both"/>
              <w:rPr>
                <w:sz w:val="24"/>
              </w:rPr>
            </w:pPr>
            <w:r>
              <w:rPr>
                <w:sz w:val="24"/>
              </w:rPr>
              <w:t>一类项目费率</w:t>
            </w:r>
          </w:p>
        </w:tc>
        <w:tc>
          <w:tcPr>
            <w:tcW w:w="1551" w:type="dxa"/>
            <w:noWrap w:val="0"/>
            <w:vAlign w:val="center"/>
          </w:tcPr>
          <w:p>
            <w:pPr>
              <w:ind w:right="-216"/>
              <w:jc w:val="both"/>
              <w:rPr>
                <w:sz w:val="24"/>
              </w:rPr>
            </w:pPr>
            <w:r>
              <w:rPr>
                <w:sz w:val="24"/>
              </w:rPr>
              <w:t>二类项目费率</w:t>
            </w:r>
          </w:p>
        </w:tc>
        <w:tc>
          <w:tcPr>
            <w:tcW w:w="1794" w:type="dxa"/>
            <w:noWrap w:val="0"/>
            <w:vAlign w:val="top"/>
          </w:tcPr>
          <w:p>
            <w:pPr>
              <w:ind w:right="-216"/>
              <w:jc w:val="both"/>
              <w:rPr>
                <w:sz w:val="24"/>
              </w:rPr>
            </w:pPr>
            <w:r>
              <w:rPr>
                <w:sz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1</w:t>
            </w:r>
          </w:p>
        </w:tc>
        <w:tc>
          <w:tcPr>
            <w:tcW w:w="3036" w:type="dxa"/>
            <w:noWrap w:val="0"/>
            <w:vAlign w:val="center"/>
          </w:tcPr>
          <w:p>
            <w:pPr>
              <w:ind w:right="-216"/>
              <w:jc w:val="both"/>
              <w:rPr>
                <w:sz w:val="24"/>
              </w:rPr>
            </w:pPr>
            <w:r>
              <w:rPr>
                <w:sz w:val="24"/>
              </w:rPr>
              <w:t>500万元以下（含500万元）</w:t>
            </w:r>
          </w:p>
        </w:tc>
        <w:tc>
          <w:tcPr>
            <w:tcW w:w="1533" w:type="dxa"/>
            <w:noWrap w:val="0"/>
            <w:vAlign w:val="top"/>
          </w:tcPr>
          <w:p>
            <w:pPr>
              <w:ind w:right="-216"/>
              <w:jc w:val="both"/>
              <w:rPr>
                <w:sz w:val="24"/>
              </w:rPr>
            </w:pPr>
            <w:r>
              <w:rPr>
                <w:sz w:val="24"/>
              </w:rPr>
              <w:t>1.5‰</w:t>
            </w:r>
          </w:p>
        </w:tc>
        <w:tc>
          <w:tcPr>
            <w:tcW w:w="1551" w:type="dxa"/>
            <w:noWrap w:val="0"/>
            <w:vAlign w:val="center"/>
          </w:tcPr>
          <w:p>
            <w:pPr>
              <w:ind w:right="-216"/>
              <w:jc w:val="both"/>
              <w:rPr>
                <w:sz w:val="24"/>
              </w:rPr>
            </w:pPr>
            <w:r>
              <w:rPr>
                <w:sz w:val="24"/>
              </w:rPr>
              <w:t>1.5‰</w:t>
            </w:r>
          </w:p>
        </w:tc>
        <w:tc>
          <w:tcPr>
            <w:tcW w:w="1794" w:type="dxa"/>
            <w:noWrap w:val="0"/>
            <w:vAlign w:val="top"/>
          </w:tcPr>
          <w:p>
            <w:pPr>
              <w:ind w:right="-216"/>
              <w:jc w:val="both"/>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2</w:t>
            </w:r>
          </w:p>
        </w:tc>
        <w:tc>
          <w:tcPr>
            <w:tcW w:w="3036" w:type="dxa"/>
            <w:noWrap w:val="0"/>
            <w:vAlign w:val="center"/>
          </w:tcPr>
          <w:p>
            <w:pPr>
              <w:ind w:right="-216"/>
              <w:jc w:val="both"/>
              <w:rPr>
                <w:sz w:val="24"/>
              </w:rPr>
            </w:pPr>
            <w:r>
              <w:rPr>
                <w:sz w:val="24"/>
              </w:rPr>
              <w:t>500万元以上-1000万元</w:t>
            </w:r>
          </w:p>
        </w:tc>
        <w:tc>
          <w:tcPr>
            <w:tcW w:w="1533" w:type="dxa"/>
            <w:noWrap w:val="0"/>
            <w:vAlign w:val="top"/>
          </w:tcPr>
          <w:p>
            <w:pPr>
              <w:ind w:right="-216"/>
              <w:jc w:val="both"/>
              <w:rPr>
                <w:sz w:val="24"/>
              </w:rPr>
            </w:pPr>
            <w:r>
              <w:rPr>
                <w:sz w:val="24"/>
              </w:rPr>
              <w:t>1.3‰</w:t>
            </w:r>
          </w:p>
        </w:tc>
        <w:tc>
          <w:tcPr>
            <w:tcW w:w="1551" w:type="dxa"/>
            <w:noWrap w:val="0"/>
            <w:vAlign w:val="center"/>
          </w:tcPr>
          <w:p>
            <w:pPr>
              <w:ind w:right="-216"/>
              <w:jc w:val="both"/>
              <w:rPr>
                <w:sz w:val="24"/>
              </w:rPr>
            </w:pPr>
            <w:r>
              <w:rPr>
                <w:sz w:val="24"/>
              </w:rPr>
              <w:t>1.1‰</w:t>
            </w:r>
          </w:p>
        </w:tc>
        <w:tc>
          <w:tcPr>
            <w:tcW w:w="1794" w:type="dxa"/>
            <w:noWrap w:val="0"/>
            <w:vAlign w:val="top"/>
          </w:tcPr>
          <w:p>
            <w:pPr>
              <w:ind w:right="-216"/>
              <w:jc w:val="both"/>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3</w:t>
            </w:r>
          </w:p>
        </w:tc>
        <w:tc>
          <w:tcPr>
            <w:tcW w:w="3036" w:type="dxa"/>
            <w:noWrap w:val="0"/>
            <w:vAlign w:val="center"/>
          </w:tcPr>
          <w:p>
            <w:pPr>
              <w:ind w:right="-216"/>
              <w:jc w:val="both"/>
              <w:rPr>
                <w:sz w:val="24"/>
              </w:rPr>
            </w:pPr>
            <w:r>
              <w:rPr>
                <w:sz w:val="24"/>
              </w:rPr>
              <w:t>1000万元以上-5000万元</w:t>
            </w:r>
          </w:p>
        </w:tc>
        <w:tc>
          <w:tcPr>
            <w:tcW w:w="1533" w:type="dxa"/>
            <w:noWrap w:val="0"/>
            <w:vAlign w:val="top"/>
          </w:tcPr>
          <w:p>
            <w:pPr>
              <w:ind w:right="-216"/>
              <w:jc w:val="both"/>
              <w:rPr>
                <w:sz w:val="24"/>
              </w:rPr>
            </w:pPr>
            <w:r>
              <w:rPr>
                <w:sz w:val="24"/>
              </w:rPr>
              <w:t>1.1‰</w:t>
            </w:r>
          </w:p>
        </w:tc>
        <w:tc>
          <w:tcPr>
            <w:tcW w:w="1551" w:type="dxa"/>
            <w:noWrap w:val="0"/>
            <w:vAlign w:val="center"/>
          </w:tcPr>
          <w:p>
            <w:pPr>
              <w:ind w:right="-216"/>
              <w:jc w:val="both"/>
              <w:rPr>
                <w:sz w:val="24"/>
              </w:rPr>
            </w:pPr>
            <w:r>
              <w:rPr>
                <w:sz w:val="24"/>
              </w:rPr>
              <w:t>1.0‰</w:t>
            </w:r>
          </w:p>
        </w:tc>
        <w:tc>
          <w:tcPr>
            <w:tcW w:w="1794" w:type="dxa"/>
            <w:noWrap w:val="0"/>
            <w:vAlign w:val="top"/>
          </w:tcPr>
          <w:p>
            <w:pPr>
              <w:ind w:right="-216"/>
              <w:jc w:val="both"/>
              <w:rPr>
                <w:sz w:val="24"/>
              </w:rPr>
            </w:pPr>
            <w:r>
              <w:rPr>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4</w:t>
            </w:r>
          </w:p>
        </w:tc>
        <w:tc>
          <w:tcPr>
            <w:tcW w:w="3036" w:type="dxa"/>
            <w:noWrap w:val="0"/>
            <w:vAlign w:val="center"/>
          </w:tcPr>
          <w:p>
            <w:pPr>
              <w:ind w:right="-216"/>
              <w:jc w:val="both"/>
              <w:rPr>
                <w:sz w:val="24"/>
              </w:rPr>
            </w:pPr>
            <w:r>
              <w:rPr>
                <w:sz w:val="24"/>
              </w:rPr>
              <w:t>5000万元以上-1亿元</w:t>
            </w:r>
          </w:p>
        </w:tc>
        <w:tc>
          <w:tcPr>
            <w:tcW w:w="1533" w:type="dxa"/>
            <w:noWrap w:val="0"/>
            <w:vAlign w:val="top"/>
          </w:tcPr>
          <w:p>
            <w:pPr>
              <w:ind w:right="-216"/>
              <w:jc w:val="both"/>
              <w:rPr>
                <w:sz w:val="24"/>
              </w:rPr>
            </w:pPr>
            <w:r>
              <w:rPr>
                <w:sz w:val="24"/>
              </w:rPr>
              <w:t>1.0‰</w:t>
            </w:r>
          </w:p>
        </w:tc>
        <w:tc>
          <w:tcPr>
            <w:tcW w:w="1551" w:type="dxa"/>
            <w:noWrap w:val="0"/>
            <w:vAlign w:val="center"/>
          </w:tcPr>
          <w:p>
            <w:pPr>
              <w:ind w:right="-216"/>
              <w:jc w:val="both"/>
              <w:rPr>
                <w:sz w:val="24"/>
              </w:rPr>
            </w:pPr>
            <w:r>
              <w:rPr>
                <w:sz w:val="24"/>
              </w:rPr>
              <w:t>0.8‰</w:t>
            </w:r>
          </w:p>
        </w:tc>
        <w:tc>
          <w:tcPr>
            <w:tcW w:w="1794" w:type="dxa"/>
            <w:noWrap w:val="0"/>
            <w:vAlign w:val="top"/>
          </w:tcPr>
          <w:p>
            <w:pPr>
              <w:ind w:right="-216"/>
              <w:jc w:val="both"/>
              <w:rPr>
                <w:sz w:val="24"/>
              </w:rPr>
            </w:pPr>
            <w:r>
              <w:rPr>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noWrap w:val="0"/>
            <w:vAlign w:val="center"/>
          </w:tcPr>
          <w:p>
            <w:pPr>
              <w:ind w:right="-216"/>
              <w:jc w:val="both"/>
              <w:rPr>
                <w:sz w:val="24"/>
              </w:rPr>
            </w:pPr>
            <w:r>
              <w:rPr>
                <w:sz w:val="24"/>
              </w:rPr>
              <w:t>5</w:t>
            </w:r>
          </w:p>
        </w:tc>
        <w:tc>
          <w:tcPr>
            <w:tcW w:w="3036" w:type="dxa"/>
            <w:noWrap w:val="0"/>
            <w:vAlign w:val="center"/>
          </w:tcPr>
          <w:p>
            <w:pPr>
              <w:ind w:right="-216"/>
              <w:jc w:val="both"/>
              <w:rPr>
                <w:sz w:val="24"/>
              </w:rPr>
            </w:pPr>
            <w:r>
              <w:rPr>
                <w:sz w:val="24"/>
              </w:rPr>
              <w:t>1亿元以上-5亿元</w:t>
            </w:r>
          </w:p>
        </w:tc>
        <w:tc>
          <w:tcPr>
            <w:tcW w:w="1533" w:type="dxa"/>
            <w:noWrap w:val="0"/>
            <w:vAlign w:val="top"/>
          </w:tcPr>
          <w:p>
            <w:pPr>
              <w:ind w:right="-216"/>
              <w:jc w:val="both"/>
              <w:rPr>
                <w:sz w:val="24"/>
              </w:rPr>
            </w:pPr>
            <w:r>
              <w:rPr>
                <w:sz w:val="24"/>
              </w:rPr>
              <w:t>0.8‰</w:t>
            </w:r>
          </w:p>
        </w:tc>
        <w:tc>
          <w:tcPr>
            <w:tcW w:w="1551" w:type="dxa"/>
            <w:noWrap w:val="0"/>
            <w:vAlign w:val="center"/>
          </w:tcPr>
          <w:p>
            <w:pPr>
              <w:ind w:right="-216"/>
              <w:jc w:val="both"/>
              <w:rPr>
                <w:sz w:val="24"/>
              </w:rPr>
            </w:pPr>
            <w:r>
              <w:rPr>
                <w:sz w:val="24"/>
              </w:rPr>
              <w:t>0.8‰</w:t>
            </w:r>
          </w:p>
        </w:tc>
        <w:tc>
          <w:tcPr>
            <w:tcW w:w="1794" w:type="dxa"/>
            <w:noWrap w:val="0"/>
            <w:vAlign w:val="top"/>
          </w:tcPr>
          <w:p>
            <w:pPr>
              <w:ind w:right="-216"/>
              <w:jc w:val="both"/>
              <w:rPr>
                <w:sz w:val="24"/>
              </w:rPr>
            </w:pPr>
            <w:r>
              <w:rPr>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noWrap w:val="0"/>
            <w:vAlign w:val="center"/>
          </w:tcPr>
          <w:p>
            <w:pPr>
              <w:ind w:right="-216"/>
              <w:jc w:val="both"/>
              <w:rPr>
                <w:sz w:val="24"/>
              </w:rPr>
            </w:pPr>
            <w:r>
              <w:rPr>
                <w:sz w:val="24"/>
              </w:rPr>
              <w:t>6</w:t>
            </w:r>
          </w:p>
        </w:tc>
        <w:tc>
          <w:tcPr>
            <w:tcW w:w="3036" w:type="dxa"/>
            <w:noWrap w:val="0"/>
            <w:vAlign w:val="center"/>
          </w:tcPr>
          <w:p>
            <w:pPr>
              <w:ind w:right="-216"/>
              <w:jc w:val="both"/>
              <w:rPr>
                <w:sz w:val="24"/>
              </w:rPr>
            </w:pPr>
            <w:r>
              <w:rPr>
                <w:sz w:val="24"/>
              </w:rPr>
              <w:t>5亿元以上</w:t>
            </w:r>
          </w:p>
        </w:tc>
        <w:tc>
          <w:tcPr>
            <w:tcW w:w="1533" w:type="dxa"/>
            <w:noWrap w:val="0"/>
            <w:vAlign w:val="top"/>
          </w:tcPr>
          <w:p>
            <w:pPr>
              <w:ind w:right="-216"/>
              <w:jc w:val="both"/>
              <w:rPr>
                <w:sz w:val="24"/>
              </w:rPr>
            </w:pPr>
            <w:r>
              <w:rPr>
                <w:sz w:val="24"/>
              </w:rPr>
              <w:t>0.7‰</w:t>
            </w:r>
          </w:p>
        </w:tc>
        <w:tc>
          <w:tcPr>
            <w:tcW w:w="1551" w:type="dxa"/>
            <w:noWrap w:val="0"/>
            <w:vAlign w:val="center"/>
          </w:tcPr>
          <w:p>
            <w:pPr>
              <w:ind w:right="-216"/>
              <w:jc w:val="both"/>
              <w:rPr>
                <w:sz w:val="24"/>
              </w:rPr>
            </w:pPr>
            <w:r>
              <w:rPr>
                <w:sz w:val="24"/>
              </w:rPr>
              <w:t>0.7‰</w:t>
            </w:r>
          </w:p>
        </w:tc>
        <w:tc>
          <w:tcPr>
            <w:tcW w:w="1794" w:type="dxa"/>
            <w:noWrap w:val="0"/>
            <w:vAlign w:val="top"/>
          </w:tcPr>
          <w:p>
            <w:pPr>
              <w:ind w:right="-216"/>
              <w:jc w:val="both"/>
              <w:rPr>
                <w:sz w:val="24"/>
              </w:rPr>
            </w:pPr>
            <w:r>
              <w:rPr>
                <w:sz w:val="24"/>
              </w:rPr>
              <w:t>0.5%</w:t>
            </w:r>
          </w:p>
        </w:tc>
      </w:tr>
    </w:tbl>
    <w:p>
      <w:pPr>
        <w:ind w:firstLine="420" w:firstLineChars="200"/>
        <w:jc w:val="both"/>
        <w:rPr>
          <w:color w:val="000000"/>
          <w:szCs w:val="32"/>
        </w:rPr>
      </w:pPr>
      <w:r>
        <w:rPr>
          <w:color w:val="000000"/>
          <w:szCs w:val="32"/>
        </w:rPr>
        <w:t>基本费计算基数为财政、审计复审后的建安工程造价审定金额，审减追加费的计算基数为财政、审计复审后的审减金额。</w:t>
      </w:r>
    </w:p>
    <w:p>
      <w:pPr>
        <w:ind w:firstLine="420" w:firstLineChars="200"/>
        <w:jc w:val="both"/>
        <w:rPr>
          <w:color w:val="000000"/>
          <w:szCs w:val="32"/>
        </w:rPr>
      </w:pPr>
      <w:r>
        <w:rPr>
          <w:color w:val="000000"/>
          <w:szCs w:val="32"/>
        </w:rPr>
        <w:t>（四）工程结算审查委托费</w:t>
      </w:r>
    </w:p>
    <w:p>
      <w:pPr>
        <w:ind w:firstLine="420" w:firstLineChars="200"/>
        <w:jc w:val="both"/>
        <w:rPr>
          <w:color w:val="000000"/>
          <w:szCs w:val="32"/>
        </w:rPr>
      </w:pPr>
      <w:r>
        <w:rPr>
          <w:color w:val="000000"/>
          <w:szCs w:val="32"/>
        </w:rPr>
        <w:t>工程结算审查委托费 =基本费计算基数×基本费费率+审减追加费计算基数×审减追加费费率。</w:t>
      </w:r>
    </w:p>
    <w:p>
      <w:pPr>
        <w:spacing w:before="289" w:beforeLines="50"/>
        <w:ind w:right="-215" w:firstLine="294" w:firstLineChars="98"/>
        <w:jc w:val="both"/>
        <w:rPr>
          <w:rFonts w:eastAsia="黑体"/>
          <w:color w:val="000000"/>
          <w:sz w:val="30"/>
          <w:szCs w:val="30"/>
        </w:rPr>
      </w:pPr>
      <w:r>
        <w:rPr>
          <w:rFonts w:eastAsia="黑体"/>
          <w:color w:val="000000"/>
          <w:sz w:val="30"/>
          <w:szCs w:val="30"/>
        </w:rPr>
        <w:t>表三 工程结算审查委托费费率表</w:t>
      </w:r>
    </w:p>
    <w:tbl>
      <w:tblPr>
        <w:tblStyle w:val="19"/>
        <w:tblW w:w="93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838"/>
        <w:gridCol w:w="17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档次</w:t>
            </w:r>
          </w:p>
        </w:tc>
        <w:tc>
          <w:tcPr>
            <w:tcW w:w="3036" w:type="dxa"/>
            <w:noWrap w:val="0"/>
            <w:vAlign w:val="center"/>
          </w:tcPr>
          <w:p>
            <w:pPr>
              <w:ind w:right="-216"/>
              <w:jc w:val="both"/>
              <w:rPr>
                <w:sz w:val="24"/>
              </w:rPr>
            </w:pPr>
            <w:r>
              <w:rPr>
                <w:sz w:val="24"/>
              </w:rPr>
              <w:t>工程造价</w:t>
            </w:r>
          </w:p>
        </w:tc>
        <w:tc>
          <w:tcPr>
            <w:tcW w:w="1838" w:type="dxa"/>
            <w:noWrap w:val="0"/>
            <w:vAlign w:val="top"/>
          </w:tcPr>
          <w:p>
            <w:pPr>
              <w:ind w:right="-216"/>
              <w:jc w:val="both"/>
              <w:rPr>
                <w:sz w:val="24"/>
              </w:rPr>
            </w:pPr>
            <w:r>
              <w:rPr>
                <w:sz w:val="24"/>
              </w:rPr>
              <w:t>一类项目费率</w:t>
            </w:r>
          </w:p>
        </w:tc>
        <w:tc>
          <w:tcPr>
            <w:tcW w:w="1700" w:type="dxa"/>
            <w:noWrap w:val="0"/>
            <w:vAlign w:val="center"/>
          </w:tcPr>
          <w:p>
            <w:pPr>
              <w:ind w:right="-216"/>
              <w:jc w:val="both"/>
              <w:rPr>
                <w:sz w:val="24"/>
              </w:rPr>
            </w:pPr>
            <w:r>
              <w:rPr>
                <w:sz w:val="24"/>
              </w:rPr>
              <w:t>二类项目费率</w:t>
            </w:r>
          </w:p>
        </w:tc>
        <w:tc>
          <w:tcPr>
            <w:tcW w:w="2210" w:type="dxa"/>
            <w:noWrap w:val="0"/>
            <w:vAlign w:val="top"/>
          </w:tcPr>
          <w:p>
            <w:pPr>
              <w:ind w:right="-216"/>
              <w:jc w:val="both"/>
              <w:rPr>
                <w:sz w:val="24"/>
              </w:rPr>
            </w:pPr>
            <w:r>
              <w:rPr>
                <w:sz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1</w:t>
            </w:r>
          </w:p>
        </w:tc>
        <w:tc>
          <w:tcPr>
            <w:tcW w:w="3036" w:type="dxa"/>
            <w:noWrap w:val="0"/>
            <w:vAlign w:val="center"/>
          </w:tcPr>
          <w:p>
            <w:pPr>
              <w:ind w:right="-216"/>
              <w:jc w:val="both"/>
              <w:rPr>
                <w:sz w:val="24"/>
              </w:rPr>
            </w:pPr>
            <w:r>
              <w:rPr>
                <w:sz w:val="24"/>
              </w:rPr>
              <w:t>500万元以下（含500万元）</w:t>
            </w:r>
          </w:p>
        </w:tc>
        <w:tc>
          <w:tcPr>
            <w:tcW w:w="1838" w:type="dxa"/>
            <w:noWrap w:val="0"/>
            <w:vAlign w:val="top"/>
          </w:tcPr>
          <w:p>
            <w:pPr>
              <w:ind w:right="-216"/>
              <w:jc w:val="both"/>
              <w:rPr>
                <w:sz w:val="24"/>
              </w:rPr>
            </w:pPr>
            <w:r>
              <w:rPr>
                <w:sz w:val="24"/>
              </w:rPr>
              <w:t>1.8‰</w:t>
            </w:r>
          </w:p>
        </w:tc>
        <w:tc>
          <w:tcPr>
            <w:tcW w:w="1700" w:type="dxa"/>
            <w:noWrap w:val="0"/>
            <w:vAlign w:val="center"/>
          </w:tcPr>
          <w:p>
            <w:pPr>
              <w:ind w:right="-216"/>
              <w:jc w:val="both"/>
              <w:rPr>
                <w:sz w:val="24"/>
              </w:rPr>
            </w:pPr>
            <w:r>
              <w:rPr>
                <w:sz w:val="24"/>
              </w:rPr>
              <w:t>1.5‰</w:t>
            </w:r>
          </w:p>
        </w:tc>
        <w:tc>
          <w:tcPr>
            <w:tcW w:w="2210" w:type="dxa"/>
            <w:noWrap w:val="0"/>
            <w:vAlign w:val="top"/>
          </w:tcPr>
          <w:p>
            <w:pPr>
              <w:ind w:right="-216"/>
              <w:jc w:val="both"/>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2</w:t>
            </w:r>
          </w:p>
        </w:tc>
        <w:tc>
          <w:tcPr>
            <w:tcW w:w="3036" w:type="dxa"/>
            <w:noWrap w:val="0"/>
            <w:vAlign w:val="center"/>
          </w:tcPr>
          <w:p>
            <w:pPr>
              <w:ind w:right="-216"/>
              <w:jc w:val="both"/>
              <w:rPr>
                <w:sz w:val="24"/>
              </w:rPr>
            </w:pPr>
            <w:r>
              <w:rPr>
                <w:sz w:val="24"/>
              </w:rPr>
              <w:t>500万元以上-1000万元</w:t>
            </w:r>
          </w:p>
        </w:tc>
        <w:tc>
          <w:tcPr>
            <w:tcW w:w="1838" w:type="dxa"/>
            <w:noWrap w:val="0"/>
            <w:vAlign w:val="top"/>
          </w:tcPr>
          <w:p>
            <w:pPr>
              <w:ind w:right="-216"/>
              <w:jc w:val="both"/>
              <w:rPr>
                <w:sz w:val="24"/>
              </w:rPr>
            </w:pPr>
            <w:r>
              <w:rPr>
                <w:sz w:val="24"/>
              </w:rPr>
              <w:t>1.5‰</w:t>
            </w:r>
          </w:p>
        </w:tc>
        <w:tc>
          <w:tcPr>
            <w:tcW w:w="1700" w:type="dxa"/>
            <w:noWrap w:val="0"/>
            <w:vAlign w:val="center"/>
          </w:tcPr>
          <w:p>
            <w:pPr>
              <w:ind w:right="-216"/>
              <w:jc w:val="both"/>
              <w:rPr>
                <w:sz w:val="24"/>
              </w:rPr>
            </w:pPr>
            <w:r>
              <w:rPr>
                <w:sz w:val="24"/>
              </w:rPr>
              <w:t>1.3‰</w:t>
            </w:r>
          </w:p>
        </w:tc>
        <w:tc>
          <w:tcPr>
            <w:tcW w:w="2210" w:type="dxa"/>
            <w:noWrap w:val="0"/>
            <w:vAlign w:val="top"/>
          </w:tcPr>
          <w:p>
            <w:pPr>
              <w:ind w:right="-216"/>
              <w:jc w:val="both"/>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3</w:t>
            </w:r>
          </w:p>
        </w:tc>
        <w:tc>
          <w:tcPr>
            <w:tcW w:w="3036" w:type="dxa"/>
            <w:noWrap w:val="0"/>
            <w:vAlign w:val="center"/>
          </w:tcPr>
          <w:p>
            <w:pPr>
              <w:ind w:right="-216"/>
              <w:jc w:val="both"/>
              <w:rPr>
                <w:sz w:val="24"/>
              </w:rPr>
            </w:pPr>
            <w:r>
              <w:rPr>
                <w:sz w:val="24"/>
              </w:rPr>
              <w:t>1000万元以上-5000万元</w:t>
            </w:r>
          </w:p>
        </w:tc>
        <w:tc>
          <w:tcPr>
            <w:tcW w:w="1838" w:type="dxa"/>
            <w:noWrap w:val="0"/>
            <w:vAlign w:val="top"/>
          </w:tcPr>
          <w:p>
            <w:pPr>
              <w:ind w:right="-216"/>
              <w:jc w:val="both"/>
              <w:rPr>
                <w:sz w:val="24"/>
              </w:rPr>
            </w:pPr>
            <w:r>
              <w:rPr>
                <w:sz w:val="24"/>
              </w:rPr>
              <w:t>1.3‰</w:t>
            </w:r>
          </w:p>
        </w:tc>
        <w:tc>
          <w:tcPr>
            <w:tcW w:w="1700" w:type="dxa"/>
            <w:noWrap w:val="0"/>
            <w:vAlign w:val="center"/>
          </w:tcPr>
          <w:p>
            <w:pPr>
              <w:ind w:right="-216"/>
              <w:jc w:val="both"/>
              <w:rPr>
                <w:sz w:val="24"/>
              </w:rPr>
            </w:pPr>
            <w:r>
              <w:rPr>
                <w:sz w:val="24"/>
              </w:rPr>
              <w:t>1.0‰</w:t>
            </w:r>
          </w:p>
        </w:tc>
        <w:tc>
          <w:tcPr>
            <w:tcW w:w="2210" w:type="dxa"/>
            <w:noWrap w:val="0"/>
            <w:vAlign w:val="top"/>
          </w:tcPr>
          <w:p>
            <w:pPr>
              <w:ind w:right="-216"/>
              <w:jc w:val="both"/>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4</w:t>
            </w:r>
          </w:p>
        </w:tc>
        <w:tc>
          <w:tcPr>
            <w:tcW w:w="3036" w:type="dxa"/>
            <w:noWrap w:val="0"/>
            <w:vAlign w:val="center"/>
          </w:tcPr>
          <w:p>
            <w:pPr>
              <w:ind w:right="-216"/>
              <w:jc w:val="both"/>
              <w:rPr>
                <w:sz w:val="24"/>
              </w:rPr>
            </w:pPr>
            <w:r>
              <w:rPr>
                <w:sz w:val="24"/>
              </w:rPr>
              <w:t>5000万元以上-1亿元</w:t>
            </w:r>
          </w:p>
        </w:tc>
        <w:tc>
          <w:tcPr>
            <w:tcW w:w="1838" w:type="dxa"/>
            <w:noWrap w:val="0"/>
            <w:vAlign w:val="top"/>
          </w:tcPr>
          <w:p>
            <w:pPr>
              <w:ind w:right="-216"/>
              <w:jc w:val="both"/>
              <w:rPr>
                <w:sz w:val="24"/>
              </w:rPr>
            </w:pPr>
            <w:r>
              <w:rPr>
                <w:sz w:val="24"/>
              </w:rPr>
              <w:t>1.0‰</w:t>
            </w:r>
          </w:p>
        </w:tc>
        <w:tc>
          <w:tcPr>
            <w:tcW w:w="1700" w:type="dxa"/>
            <w:noWrap w:val="0"/>
            <w:vAlign w:val="center"/>
          </w:tcPr>
          <w:p>
            <w:pPr>
              <w:ind w:right="-216"/>
              <w:jc w:val="both"/>
              <w:rPr>
                <w:sz w:val="24"/>
              </w:rPr>
            </w:pPr>
            <w:r>
              <w:rPr>
                <w:sz w:val="24"/>
              </w:rPr>
              <w:t>0.8‰</w:t>
            </w:r>
          </w:p>
        </w:tc>
        <w:tc>
          <w:tcPr>
            <w:tcW w:w="2210" w:type="dxa"/>
            <w:noWrap w:val="0"/>
            <w:vAlign w:val="top"/>
          </w:tcPr>
          <w:p>
            <w:pPr>
              <w:ind w:right="-216"/>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noWrap w:val="0"/>
            <w:vAlign w:val="center"/>
          </w:tcPr>
          <w:p>
            <w:pPr>
              <w:ind w:right="-216"/>
              <w:jc w:val="both"/>
              <w:rPr>
                <w:sz w:val="24"/>
              </w:rPr>
            </w:pPr>
            <w:r>
              <w:rPr>
                <w:sz w:val="24"/>
              </w:rPr>
              <w:t>5</w:t>
            </w:r>
          </w:p>
        </w:tc>
        <w:tc>
          <w:tcPr>
            <w:tcW w:w="3036" w:type="dxa"/>
            <w:noWrap w:val="0"/>
            <w:vAlign w:val="center"/>
          </w:tcPr>
          <w:p>
            <w:pPr>
              <w:ind w:right="-216"/>
              <w:jc w:val="both"/>
              <w:rPr>
                <w:sz w:val="24"/>
              </w:rPr>
            </w:pPr>
            <w:r>
              <w:rPr>
                <w:sz w:val="24"/>
              </w:rPr>
              <w:t>1亿元以上-5亿元</w:t>
            </w:r>
          </w:p>
        </w:tc>
        <w:tc>
          <w:tcPr>
            <w:tcW w:w="1838" w:type="dxa"/>
            <w:noWrap w:val="0"/>
            <w:vAlign w:val="top"/>
          </w:tcPr>
          <w:p>
            <w:pPr>
              <w:ind w:right="-216"/>
              <w:jc w:val="both"/>
              <w:rPr>
                <w:sz w:val="24"/>
              </w:rPr>
            </w:pPr>
            <w:r>
              <w:rPr>
                <w:sz w:val="24"/>
              </w:rPr>
              <w:t>0.8‰</w:t>
            </w:r>
          </w:p>
        </w:tc>
        <w:tc>
          <w:tcPr>
            <w:tcW w:w="1700" w:type="dxa"/>
            <w:noWrap w:val="0"/>
            <w:vAlign w:val="center"/>
          </w:tcPr>
          <w:p>
            <w:pPr>
              <w:ind w:right="-216"/>
              <w:jc w:val="both"/>
              <w:rPr>
                <w:sz w:val="24"/>
              </w:rPr>
            </w:pPr>
            <w:r>
              <w:rPr>
                <w:sz w:val="24"/>
              </w:rPr>
              <w:t>0.8‰</w:t>
            </w:r>
          </w:p>
        </w:tc>
        <w:tc>
          <w:tcPr>
            <w:tcW w:w="2210" w:type="dxa"/>
            <w:noWrap w:val="0"/>
            <w:vAlign w:val="top"/>
          </w:tcPr>
          <w:p>
            <w:pPr>
              <w:ind w:right="-216"/>
              <w:jc w:val="both"/>
              <w:rPr>
                <w:sz w:val="24"/>
              </w:rPr>
            </w:pPr>
            <w:r>
              <w:rPr>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noWrap w:val="0"/>
            <w:vAlign w:val="center"/>
          </w:tcPr>
          <w:p>
            <w:pPr>
              <w:ind w:right="-216"/>
              <w:jc w:val="both"/>
              <w:rPr>
                <w:sz w:val="24"/>
              </w:rPr>
            </w:pPr>
            <w:r>
              <w:rPr>
                <w:sz w:val="24"/>
              </w:rPr>
              <w:t>6</w:t>
            </w:r>
          </w:p>
        </w:tc>
        <w:tc>
          <w:tcPr>
            <w:tcW w:w="3036" w:type="dxa"/>
            <w:noWrap w:val="0"/>
            <w:vAlign w:val="center"/>
          </w:tcPr>
          <w:p>
            <w:pPr>
              <w:ind w:right="-216"/>
              <w:jc w:val="both"/>
              <w:rPr>
                <w:sz w:val="24"/>
              </w:rPr>
            </w:pPr>
            <w:r>
              <w:rPr>
                <w:sz w:val="24"/>
              </w:rPr>
              <w:t>5亿元以上</w:t>
            </w:r>
          </w:p>
        </w:tc>
        <w:tc>
          <w:tcPr>
            <w:tcW w:w="1838" w:type="dxa"/>
            <w:noWrap w:val="0"/>
            <w:vAlign w:val="top"/>
          </w:tcPr>
          <w:p>
            <w:pPr>
              <w:ind w:right="-216"/>
              <w:jc w:val="both"/>
              <w:rPr>
                <w:sz w:val="24"/>
              </w:rPr>
            </w:pPr>
            <w:r>
              <w:rPr>
                <w:sz w:val="24"/>
              </w:rPr>
              <w:t>0.7‰</w:t>
            </w:r>
          </w:p>
        </w:tc>
        <w:tc>
          <w:tcPr>
            <w:tcW w:w="1700" w:type="dxa"/>
            <w:noWrap w:val="0"/>
            <w:vAlign w:val="center"/>
          </w:tcPr>
          <w:p>
            <w:pPr>
              <w:ind w:right="-216"/>
              <w:jc w:val="both"/>
              <w:rPr>
                <w:sz w:val="24"/>
              </w:rPr>
            </w:pPr>
            <w:r>
              <w:rPr>
                <w:sz w:val="24"/>
              </w:rPr>
              <w:t>0.7‰</w:t>
            </w:r>
          </w:p>
        </w:tc>
        <w:tc>
          <w:tcPr>
            <w:tcW w:w="2210" w:type="dxa"/>
            <w:noWrap w:val="0"/>
            <w:vAlign w:val="top"/>
          </w:tcPr>
          <w:p>
            <w:pPr>
              <w:ind w:right="-216"/>
              <w:jc w:val="both"/>
              <w:rPr>
                <w:sz w:val="24"/>
              </w:rPr>
            </w:pPr>
            <w:r>
              <w:rPr>
                <w:sz w:val="24"/>
              </w:rPr>
              <w:t>0.5%</w:t>
            </w:r>
          </w:p>
        </w:tc>
      </w:tr>
    </w:tbl>
    <w:p>
      <w:pPr>
        <w:ind w:firstLine="525" w:firstLineChars="250"/>
        <w:jc w:val="both"/>
        <w:rPr>
          <w:color w:val="000000"/>
          <w:szCs w:val="32"/>
        </w:rPr>
      </w:pPr>
      <w:r>
        <w:rPr>
          <w:color w:val="000000"/>
          <w:szCs w:val="32"/>
        </w:rPr>
        <w:t>基本费计算基数为财政、审计复审后的建安工程造价审定金额，审减追加费的计算基数为财政、审计复审后的审减金额。</w:t>
      </w:r>
    </w:p>
    <w:p>
      <w:pPr>
        <w:ind w:firstLine="420" w:firstLineChars="200"/>
        <w:jc w:val="both"/>
        <w:rPr>
          <w:color w:val="000000"/>
          <w:szCs w:val="32"/>
        </w:rPr>
      </w:pPr>
      <w:r>
        <w:rPr>
          <w:color w:val="000000"/>
          <w:szCs w:val="32"/>
        </w:rPr>
        <w:t>（五）表一、表二、表三中的一类项目是指房屋建筑工程（包含与其配套的线路管道和设备安装工程、装饰工程）、人防工程、古建工程等；二类项目是指市政工程、园林绿化工程、交通水利工程、大型土石方工程及土地整理项目等。</w:t>
      </w:r>
    </w:p>
    <w:p>
      <w:pPr>
        <w:ind w:firstLine="420" w:firstLineChars="200"/>
        <w:jc w:val="both"/>
        <w:rPr>
          <w:color w:val="000000"/>
          <w:szCs w:val="32"/>
        </w:rPr>
      </w:pPr>
      <w:r>
        <w:rPr>
          <w:color w:val="000000"/>
          <w:szCs w:val="32"/>
        </w:rPr>
        <w:t>（六）房建项目审减追加费最高支付限额30万元，其他项目最高支付限额15万元，且预（结）算审查费原则上不低于编制费用。以下金额不列入审减追加费计算基数（应计费审减额）：</w:t>
      </w:r>
    </w:p>
    <w:p>
      <w:pPr>
        <w:ind w:firstLine="420" w:firstLineChars="200"/>
        <w:jc w:val="both"/>
        <w:rPr>
          <w:color w:val="000000"/>
          <w:szCs w:val="32"/>
        </w:rPr>
      </w:pPr>
      <w:r>
        <w:rPr>
          <w:color w:val="000000"/>
          <w:szCs w:val="32"/>
        </w:rPr>
        <w:t>1、因变更签证优惠率产生的审减金额；</w:t>
      </w:r>
    </w:p>
    <w:p>
      <w:pPr>
        <w:ind w:firstLine="420" w:firstLineChars="200"/>
        <w:jc w:val="both"/>
        <w:rPr>
          <w:color w:val="000000"/>
          <w:szCs w:val="32"/>
        </w:rPr>
      </w:pPr>
      <w:r>
        <w:rPr>
          <w:color w:val="000000"/>
          <w:szCs w:val="32"/>
        </w:rPr>
        <w:t>2、因建设单位（委托人）原因项目取消产生的审减额；</w:t>
      </w:r>
    </w:p>
    <w:p>
      <w:pPr>
        <w:ind w:firstLine="420" w:firstLineChars="200"/>
        <w:jc w:val="both"/>
        <w:rPr>
          <w:color w:val="000000"/>
          <w:szCs w:val="32"/>
        </w:rPr>
      </w:pPr>
      <w:r>
        <w:rPr>
          <w:color w:val="000000"/>
          <w:szCs w:val="32"/>
        </w:rPr>
        <w:t>3、不应计取的安全文明施工措施费、暂估价、优秀奖、材料价差调整（委托单位原因）等；</w:t>
      </w:r>
    </w:p>
    <w:p>
      <w:pPr>
        <w:ind w:firstLine="420" w:firstLineChars="200"/>
        <w:jc w:val="both"/>
        <w:rPr>
          <w:color w:val="000000"/>
          <w:szCs w:val="32"/>
        </w:rPr>
      </w:pPr>
      <w:r>
        <w:rPr>
          <w:color w:val="000000"/>
          <w:szCs w:val="32"/>
        </w:rPr>
        <w:t>4、由财政局提出扣减的项目及相应金额。</w:t>
      </w:r>
    </w:p>
    <w:p>
      <w:pPr>
        <w:ind w:firstLine="422" w:firstLineChars="200"/>
        <w:jc w:val="both"/>
        <w:rPr>
          <w:b/>
          <w:bCs/>
          <w:color w:val="000000"/>
          <w:szCs w:val="32"/>
        </w:rPr>
      </w:pPr>
      <w:r>
        <w:rPr>
          <w:b/>
          <w:bCs/>
          <w:color w:val="000000"/>
          <w:szCs w:val="32"/>
        </w:rPr>
        <w:t>二、 资产评估收费标准</w:t>
      </w:r>
    </w:p>
    <w:p>
      <w:pPr>
        <w:ind w:firstLine="600" w:firstLineChars="200"/>
        <w:jc w:val="both"/>
        <w:rPr>
          <w:rFonts w:hint="eastAsia" w:hAnsi="黑体" w:eastAsia="黑体"/>
          <w:color w:val="000000"/>
          <w:kern w:val="0"/>
          <w:sz w:val="30"/>
          <w:szCs w:val="30"/>
        </w:rPr>
      </w:pPr>
    </w:p>
    <w:p>
      <w:pPr>
        <w:ind w:firstLine="600" w:firstLineChars="200"/>
        <w:jc w:val="both"/>
        <w:rPr>
          <w:rFonts w:eastAsia="黑体"/>
          <w:color w:val="000000"/>
          <w:kern w:val="0"/>
          <w:sz w:val="30"/>
          <w:szCs w:val="30"/>
        </w:rPr>
      </w:pPr>
      <w:r>
        <w:rPr>
          <w:rFonts w:hAnsi="黑体" w:eastAsia="黑体"/>
          <w:color w:val="000000"/>
          <w:kern w:val="0"/>
          <w:sz w:val="30"/>
          <w:szCs w:val="30"/>
        </w:rPr>
        <w:t>表四</w:t>
      </w:r>
      <w:r>
        <w:rPr>
          <w:rFonts w:eastAsia="黑体"/>
          <w:color w:val="000000"/>
          <w:kern w:val="0"/>
          <w:sz w:val="30"/>
          <w:szCs w:val="30"/>
        </w:rPr>
        <w:t xml:space="preserve"> </w:t>
      </w:r>
      <w:r>
        <w:rPr>
          <w:rFonts w:hAnsi="黑体" w:eastAsia="黑体"/>
          <w:color w:val="000000"/>
          <w:kern w:val="0"/>
          <w:sz w:val="30"/>
          <w:szCs w:val="30"/>
        </w:rPr>
        <w:t>资产评估差额定率累进取费表</w:t>
      </w:r>
    </w:p>
    <w:tbl>
      <w:tblPr>
        <w:tblStyle w:val="19"/>
        <w:tblW w:w="8603" w:type="dxa"/>
        <w:jc w:val="center"/>
        <w:tblInd w:w="0" w:type="dxa"/>
        <w:tblLayout w:type="fixed"/>
        <w:tblCellMar>
          <w:top w:w="0" w:type="dxa"/>
          <w:left w:w="0" w:type="dxa"/>
          <w:bottom w:w="0" w:type="dxa"/>
          <w:right w:w="0" w:type="dxa"/>
        </w:tblCellMar>
      </w:tblPr>
      <w:tblGrid>
        <w:gridCol w:w="835"/>
        <w:gridCol w:w="4579"/>
        <w:gridCol w:w="3189"/>
      </w:tblGrid>
      <w:tr>
        <w:tblPrEx>
          <w:tblLayout w:type="fixed"/>
          <w:tblCellMar>
            <w:top w:w="0" w:type="dxa"/>
            <w:left w:w="0" w:type="dxa"/>
            <w:bottom w:w="0" w:type="dxa"/>
            <w:right w:w="0" w:type="dxa"/>
          </w:tblCellMar>
        </w:tblPrEx>
        <w:trPr>
          <w:trHeight w:val="713" w:hRule="atLeast"/>
          <w:jc w:val="center"/>
        </w:trPr>
        <w:tc>
          <w:tcPr>
            <w:tcW w:w="8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档次</w:t>
            </w:r>
          </w:p>
        </w:tc>
        <w:tc>
          <w:tcPr>
            <w:tcW w:w="4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计费额度</w:t>
            </w:r>
          </w:p>
        </w:tc>
        <w:tc>
          <w:tcPr>
            <w:tcW w:w="31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差额计费率</w:t>
            </w:r>
          </w:p>
        </w:tc>
      </w:tr>
      <w:tr>
        <w:tblPrEx>
          <w:tblLayout w:type="fixed"/>
          <w:tblCellMar>
            <w:top w:w="0" w:type="dxa"/>
            <w:left w:w="0" w:type="dxa"/>
            <w:bottom w:w="0" w:type="dxa"/>
            <w:right w:w="0" w:type="dxa"/>
          </w:tblCellMar>
        </w:tblPrEx>
        <w:trPr>
          <w:trHeight w:val="584" w:hRule="atLeast"/>
          <w:jc w:val="center"/>
        </w:trPr>
        <w:tc>
          <w:tcPr>
            <w:tcW w:w="835"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w:t>
            </w:r>
          </w:p>
        </w:tc>
        <w:tc>
          <w:tcPr>
            <w:tcW w:w="4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100万元以下（含100万元）</w:t>
            </w:r>
          </w:p>
        </w:tc>
        <w:tc>
          <w:tcPr>
            <w:tcW w:w="318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9‰</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2</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100万元-1000万元（含1000万元）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5‰</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3</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1000万元-5000万元（含5000万元）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sz w:val="24"/>
              </w:rPr>
              <w:t>1.6‰</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4</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5000万元-1亿元（含1亿元）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sz w:val="24"/>
              </w:rPr>
              <w:t>0.75‰</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5</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1亿元-10亿元（含10亿元）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0.15</w:t>
            </w:r>
            <w:r>
              <w:rPr>
                <w:sz w:val="24"/>
              </w:rPr>
              <w:t>‰</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6</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10亿元以上</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0.1</w:t>
            </w:r>
            <w:r>
              <w:rPr>
                <w:sz w:val="24"/>
              </w:rPr>
              <w:t>‰</w:t>
            </w:r>
          </w:p>
        </w:tc>
      </w:tr>
    </w:tbl>
    <w:p>
      <w:pPr>
        <w:ind w:firstLine="422" w:firstLineChars="200"/>
        <w:jc w:val="both"/>
        <w:rPr>
          <w:b/>
          <w:bCs/>
          <w:color w:val="000000"/>
          <w:szCs w:val="32"/>
        </w:rPr>
      </w:pPr>
    </w:p>
    <w:p>
      <w:pPr>
        <w:numPr>
          <w:ilvl w:val="0"/>
          <w:numId w:val="19"/>
        </w:numPr>
        <w:spacing w:line="590" w:lineRule="exact"/>
        <w:ind w:firstLine="422" w:firstLineChars="200"/>
        <w:jc w:val="both"/>
        <w:rPr>
          <w:b/>
          <w:bCs/>
          <w:color w:val="000000"/>
          <w:szCs w:val="32"/>
        </w:rPr>
      </w:pPr>
      <w:r>
        <w:rPr>
          <w:b/>
          <w:bCs/>
          <w:color w:val="000000"/>
          <w:szCs w:val="32"/>
        </w:rPr>
        <w:t>财政（财务）审计、清产核资收费标准</w:t>
      </w:r>
    </w:p>
    <w:p>
      <w:pPr>
        <w:spacing w:line="590" w:lineRule="exact"/>
        <w:ind w:firstLine="420" w:firstLineChars="200"/>
        <w:jc w:val="both"/>
        <w:rPr>
          <w:color w:val="000000"/>
          <w:szCs w:val="32"/>
        </w:rPr>
      </w:pPr>
      <w:r>
        <w:rPr>
          <w:color w:val="000000"/>
          <w:szCs w:val="32"/>
        </w:rPr>
        <w:t>财政（财务）审计业务、清产核资类收费上限为豫发改收费〔2011〕2374号文件规定收费标准的70%。</w:t>
      </w:r>
    </w:p>
    <w:p>
      <w:pPr>
        <w:spacing w:line="590" w:lineRule="exact"/>
        <w:ind w:firstLine="519" w:firstLineChars="246"/>
        <w:jc w:val="both"/>
        <w:rPr>
          <w:b/>
          <w:color w:val="000000"/>
          <w:szCs w:val="32"/>
        </w:rPr>
      </w:pPr>
      <w:r>
        <w:rPr>
          <w:b/>
          <w:color w:val="000000"/>
          <w:szCs w:val="32"/>
        </w:rPr>
        <w:t>第五条</w:t>
      </w:r>
      <w:r>
        <w:rPr>
          <w:bCs/>
          <w:color w:val="000000"/>
          <w:szCs w:val="32"/>
        </w:rPr>
        <w:t xml:space="preserve">  服务费支付及其他管理要求</w:t>
      </w:r>
    </w:p>
    <w:p>
      <w:pPr>
        <w:spacing w:line="590" w:lineRule="exact"/>
        <w:ind w:firstLine="420" w:firstLineChars="200"/>
        <w:jc w:val="both"/>
        <w:rPr>
          <w:color w:val="000000"/>
          <w:szCs w:val="32"/>
        </w:rPr>
      </w:pPr>
      <w:r>
        <w:rPr>
          <w:color w:val="000000"/>
          <w:szCs w:val="32"/>
        </w:rPr>
        <w:t>（一）以上费率是最高限价，不随市场价格的波动而提高，双方可在此基础上进一步谈判和协商，以获得更优惠的价格。</w:t>
      </w:r>
    </w:p>
    <w:p>
      <w:pPr>
        <w:spacing w:line="590" w:lineRule="exact"/>
        <w:ind w:firstLine="420" w:firstLineChars="200"/>
        <w:jc w:val="both"/>
        <w:rPr>
          <w:color w:val="000000"/>
          <w:szCs w:val="32"/>
        </w:rPr>
      </w:pPr>
      <w:r>
        <w:rPr>
          <w:color w:val="000000"/>
          <w:szCs w:val="32"/>
        </w:rPr>
        <w:t>（二）同一工程项目划分多个标段的，一类项目（5000万及以上）和二类项目（2亿元及以上）计费时可分标段计算，分标段费用不超过合并计费的1.2倍计取；一类项目（5000万以内）和二类项目（2亿元以内）计费时合并计算。</w:t>
      </w:r>
    </w:p>
    <w:p>
      <w:pPr>
        <w:spacing w:line="590" w:lineRule="exact"/>
        <w:ind w:firstLine="420" w:firstLineChars="200"/>
        <w:jc w:val="both"/>
        <w:rPr>
          <w:color w:val="000000"/>
          <w:szCs w:val="32"/>
        </w:rPr>
      </w:pPr>
      <w:r>
        <w:rPr>
          <w:color w:val="000000"/>
          <w:szCs w:val="32"/>
        </w:rPr>
        <w:t>（三）同一套图纸实施多个相同项目的，第一个项目正常计算委托编制费，其余项目按第一个项目计算出的编制费的20%计算。同一项目出具报告后，方案又多次变动时，根据变动复杂性，按照编制费的40%-60%另行计算。</w:t>
      </w:r>
    </w:p>
    <w:p>
      <w:pPr>
        <w:spacing w:line="590" w:lineRule="exact"/>
        <w:ind w:firstLine="420" w:firstLineChars="200"/>
        <w:jc w:val="both"/>
        <w:rPr>
          <w:color w:val="000000"/>
          <w:szCs w:val="32"/>
        </w:rPr>
      </w:pPr>
      <w:r>
        <w:rPr>
          <w:color w:val="000000"/>
          <w:szCs w:val="32"/>
        </w:rPr>
        <w:t>（四）预算编制服务费基本费计算采用差额定率累进法计算，其他工程预（结）算审查及审减追加费费率按照工程造价选取该档费率；按照编制服务费或预（结）算评审费用少于2000元的按2000元保底付费计算。</w:t>
      </w:r>
    </w:p>
    <w:p>
      <w:pPr>
        <w:spacing w:line="590" w:lineRule="exact"/>
        <w:ind w:firstLine="420" w:firstLineChars="200"/>
        <w:jc w:val="both"/>
        <w:rPr>
          <w:color w:val="000000"/>
          <w:szCs w:val="32"/>
        </w:rPr>
      </w:pPr>
      <w:r>
        <w:rPr>
          <w:color w:val="000000"/>
          <w:szCs w:val="32"/>
        </w:rPr>
        <w:t>（五）对于抽查复核项目，若委托第三方中介机构稽核的，不超过工程预（结）算审查委托费的20%予以支付。</w:t>
      </w:r>
    </w:p>
    <w:p>
      <w:pPr>
        <w:spacing w:line="590" w:lineRule="exact"/>
        <w:ind w:firstLine="420" w:firstLineChars="200"/>
        <w:jc w:val="both"/>
        <w:rPr>
          <w:color w:val="000000"/>
          <w:szCs w:val="32"/>
        </w:rPr>
      </w:pPr>
      <w:r>
        <w:rPr>
          <w:color w:val="000000"/>
          <w:szCs w:val="32"/>
        </w:rPr>
        <w:t>（六）委托人委托中介机构出具的工程量清单及预算控制价或预（结）算，经财政、审计等部门审核后,因中介机构编制质量问题,审减率达到10%以上,委托人不得支付所委托中介机构的预算编制劳务费;审减率达到15%以上,一年内不得参与财政投资项目;审减率达到20%以上,三年内不得参与财政投资项目。因预（结）算编制错项、漏项，大于工程造价的3%的，不予支付劳务费并取消财政投资建设项目委托业务备选库资格。</w:t>
      </w:r>
    </w:p>
    <w:p>
      <w:pPr>
        <w:spacing w:line="590" w:lineRule="exact"/>
        <w:ind w:firstLine="420" w:firstLineChars="200"/>
        <w:jc w:val="both"/>
        <w:rPr>
          <w:color w:val="000000"/>
          <w:szCs w:val="32"/>
        </w:rPr>
      </w:pPr>
      <w:r>
        <w:rPr>
          <w:color w:val="000000"/>
          <w:szCs w:val="32"/>
        </w:rPr>
        <w:t>（七）造价咨询中介机构在具体实施编制业务时要严格按照委托合同约定的时间要求，在确保编制质量的同时，按规定的时间出具编制成果，若因承办中介机构的原因而未按时完成的，则扣除该项目的编制费用。</w:t>
      </w:r>
    </w:p>
    <w:p>
      <w:pPr>
        <w:spacing w:line="590" w:lineRule="exact"/>
        <w:ind w:firstLine="420" w:firstLineChars="200"/>
        <w:jc w:val="both"/>
        <w:rPr>
          <w:color w:val="000000"/>
          <w:szCs w:val="32"/>
        </w:rPr>
      </w:pPr>
      <w:r>
        <w:rPr>
          <w:color w:val="000000"/>
          <w:szCs w:val="32"/>
        </w:rPr>
        <w:t>（八）造价咨询中介机构应遵守国家有关法律、法规及执业规范，应遵守财政部门的相关制度规定。因造价咨询中介机构的过失，给委托人造成经济损失的，应当依法赔偿。</w:t>
      </w:r>
    </w:p>
    <w:p>
      <w:pPr>
        <w:spacing w:line="590" w:lineRule="exact"/>
        <w:ind w:firstLine="420" w:firstLineChars="200"/>
        <w:jc w:val="both"/>
        <w:rPr>
          <w:color w:val="000000"/>
          <w:szCs w:val="32"/>
        </w:rPr>
      </w:pPr>
      <w:r>
        <w:rPr>
          <w:color w:val="000000"/>
          <w:szCs w:val="32"/>
        </w:rPr>
        <w:t>（九）实行质量控制复核制度，中介机构内部建立三级复核制度，对造价咨询过程、工作底稿和成果质量实施专业编审人员自校、项目负责人审核、技术总负责人审定的逐级复核制度。</w:t>
      </w:r>
    </w:p>
    <w:p>
      <w:pPr>
        <w:spacing w:line="590" w:lineRule="exact"/>
        <w:ind w:firstLine="420" w:firstLineChars="200"/>
        <w:jc w:val="both"/>
        <w:rPr>
          <w:color w:val="000000"/>
          <w:szCs w:val="32"/>
        </w:rPr>
      </w:pPr>
      <w:r>
        <w:rPr>
          <w:color w:val="000000"/>
          <w:szCs w:val="32"/>
        </w:rPr>
        <w:t>（十）造价咨询中介机构应遵守国家有关法律、法规及执业规范，应遵守财政部门的相关制度规定，并由采购人对其进行日常考核和年度综合考评。</w:t>
      </w:r>
    </w:p>
    <w:p>
      <w:pPr>
        <w:spacing w:line="590" w:lineRule="exact"/>
        <w:ind w:firstLine="642"/>
        <w:jc w:val="both"/>
        <w:rPr>
          <w:bCs/>
          <w:color w:val="000000"/>
          <w:szCs w:val="32"/>
        </w:rPr>
      </w:pPr>
      <w:r>
        <w:rPr>
          <w:bCs/>
          <w:color w:val="000000"/>
          <w:szCs w:val="32"/>
        </w:rPr>
        <w:t>（十一）实行计件收费的法定资产评估服务，可以被评估资产账面原值为计费依据，采取差额定率累进计算办法收取评估费用。</w:t>
      </w:r>
      <w:r>
        <w:rPr>
          <w:color w:val="000000"/>
          <w:szCs w:val="32"/>
        </w:rPr>
        <w:t>资产评估类业务</w:t>
      </w:r>
      <w:r>
        <w:rPr>
          <w:bCs/>
          <w:color w:val="000000"/>
          <w:szCs w:val="32"/>
        </w:rPr>
        <w:t>服务费费率计算出的编制费少于2000元的按2000元计算。</w:t>
      </w:r>
    </w:p>
    <w:p>
      <w:pPr>
        <w:spacing w:line="360" w:lineRule="auto"/>
        <w:jc w:val="both"/>
        <w:rPr>
          <w:rFonts w:eastAsia="黑体"/>
          <w:color w:val="000000"/>
          <w:szCs w:val="32"/>
        </w:rPr>
      </w:pPr>
      <w:r>
        <w:rPr>
          <w:rFonts w:hAnsi="黑体" w:eastAsia="黑体"/>
          <w:color w:val="000000"/>
          <w:szCs w:val="32"/>
        </w:rPr>
        <w:t>第三章</w:t>
      </w:r>
      <w:r>
        <w:rPr>
          <w:rFonts w:eastAsia="黑体"/>
          <w:color w:val="000000"/>
          <w:szCs w:val="32"/>
        </w:rPr>
        <w:t xml:space="preserve"> </w:t>
      </w:r>
      <w:r>
        <w:rPr>
          <w:rFonts w:hAnsi="黑体" w:eastAsia="黑体"/>
          <w:color w:val="000000"/>
          <w:szCs w:val="32"/>
        </w:rPr>
        <w:t>评价监督与责任追究</w:t>
      </w:r>
    </w:p>
    <w:p>
      <w:pPr>
        <w:spacing w:line="590" w:lineRule="exact"/>
        <w:ind w:firstLine="422" w:firstLineChars="200"/>
        <w:jc w:val="both"/>
        <w:rPr>
          <w:color w:val="000000"/>
          <w:kern w:val="0"/>
          <w:szCs w:val="32"/>
        </w:rPr>
      </w:pPr>
      <w:r>
        <w:rPr>
          <w:b/>
          <w:color w:val="000000"/>
          <w:kern w:val="0"/>
          <w:szCs w:val="32"/>
        </w:rPr>
        <w:t>第六条</w:t>
      </w:r>
      <w:r>
        <w:rPr>
          <w:color w:val="000000"/>
          <w:kern w:val="0"/>
          <w:szCs w:val="32"/>
        </w:rPr>
        <w:t>  建立政府投资项目中介服务诚信黑名单制度，根据“谁使用、谁付费、谁评价”的原则，委托人在项目结束后对受托中介机构服务质量进行评价，有下列情形之一的，清出备选库，承办业务的中介机构不得参与政府投资项目中介服务活动：</w:t>
      </w:r>
    </w:p>
    <w:p>
      <w:pPr>
        <w:spacing w:line="590" w:lineRule="exact"/>
        <w:ind w:firstLine="420" w:firstLineChars="200"/>
        <w:jc w:val="both"/>
        <w:rPr>
          <w:color w:val="000000"/>
          <w:kern w:val="0"/>
          <w:szCs w:val="32"/>
        </w:rPr>
      </w:pPr>
      <w:r>
        <w:rPr>
          <w:color w:val="000000"/>
          <w:kern w:val="0"/>
          <w:szCs w:val="32"/>
        </w:rPr>
        <w:t>（一）承担两次委托业务均未查出违规违纪问题，或是披露问题避重就轻、掩饰隐瞒重大问题，但事后被其他审计、检查发现，给委托人造成恶劣社会影响的；</w:t>
      </w:r>
    </w:p>
    <w:p>
      <w:pPr>
        <w:spacing w:line="590" w:lineRule="exact"/>
        <w:ind w:firstLine="420" w:firstLineChars="200"/>
        <w:jc w:val="both"/>
        <w:rPr>
          <w:color w:val="000000"/>
          <w:kern w:val="0"/>
          <w:szCs w:val="32"/>
        </w:rPr>
      </w:pPr>
      <w:r>
        <w:rPr>
          <w:color w:val="000000"/>
          <w:kern w:val="0"/>
          <w:szCs w:val="32"/>
        </w:rPr>
        <w:t>（二）有重大违规经营事项受到处罚的；</w:t>
      </w:r>
    </w:p>
    <w:p>
      <w:pPr>
        <w:spacing w:line="590" w:lineRule="exact"/>
        <w:ind w:firstLine="420" w:firstLineChars="200"/>
        <w:jc w:val="both"/>
        <w:rPr>
          <w:color w:val="000000"/>
          <w:kern w:val="0"/>
          <w:szCs w:val="32"/>
        </w:rPr>
      </w:pPr>
      <w:r>
        <w:rPr>
          <w:color w:val="000000"/>
          <w:kern w:val="0"/>
          <w:szCs w:val="32"/>
        </w:rPr>
        <w:t>（三）与服务单位存在恶意串通等不诚信行为的；</w:t>
      </w:r>
    </w:p>
    <w:p>
      <w:pPr>
        <w:spacing w:line="590" w:lineRule="exact"/>
        <w:ind w:firstLine="420" w:firstLineChars="200"/>
        <w:jc w:val="both"/>
        <w:rPr>
          <w:color w:val="000000"/>
          <w:kern w:val="0"/>
          <w:szCs w:val="32"/>
        </w:rPr>
      </w:pPr>
      <w:r>
        <w:rPr>
          <w:color w:val="000000"/>
          <w:kern w:val="0"/>
          <w:szCs w:val="32"/>
        </w:rPr>
        <w:t>（四）出具虚假、不实报告或泄露商业秘密的。</w:t>
      </w:r>
    </w:p>
    <w:p>
      <w:pPr>
        <w:spacing w:line="590" w:lineRule="exact"/>
        <w:ind w:firstLine="422" w:firstLineChars="200"/>
        <w:jc w:val="both"/>
        <w:rPr>
          <w:color w:val="000000"/>
          <w:kern w:val="0"/>
          <w:szCs w:val="32"/>
        </w:rPr>
      </w:pPr>
      <w:r>
        <w:rPr>
          <w:b/>
          <w:bCs/>
          <w:color w:val="000000"/>
          <w:kern w:val="0"/>
          <w:szCs w:val="32"/>
        </w:rPr>
        <w:t>第七条</w:t>
      </w:r>
      <w:r>
        <w:rPr>
          <w:color w:val="000000"/>
          <w:kern w:val="0"/>
          <w:szCs w:val="32"/>
        </w:rPr>
        <w:t>　相关当事人存在以下情形的，应当回避：</w:t>
      </w:r>
    </w:p>
    <w:p>
      <w:pPr>
        <w:spacing w:line="590" w:lineRule="exact"/>
        <w:ind w:firstLine="420" w:firstLineChars="200"/>
        <w:jc w:val="both"/>
        <w:rPr>
          <w:color w:val="000000"/>
          <w:kern w:val="0"/>
          <w:szCs w:val="32"/>
        </w:rPr>
      </w:pPr>
      <w:r>
        <w:rPr>
          <w:color w:val="000000"/>
          <w:kern w:val="0"/>
          <w:szCs w:val="32"/>
        </w:rPr>
        <w:t>（一）委托方承办人与受托中介机构法人或实际控制人及项目负责人有夫妻、直系血亲、近姻亲、同学、战友关系；</w:t>
      </w:r>
    </w:p>
    <w:p>
      <w:pPr>
        <w:spacing w:line="590" w:lineRule="exact"/>
        <w:ind w:firstLine="420" w:firstLineChars="200"/>
        <w:jc w:val="both"/>
        <w:rPr>
          <w:color w:val="000000"/>
          <w:szCs w:val="32"/>
          <w:shd w:val="clear" w:color="auto" w:fill="FFFFFF"/>
        </w:rPr>
      </w:pPr>
      <w:r>
        <w:rPr>
          <w:color w:val="000000"/>
          <w:szCs w:val="32"/>
          <w:shd w:val="clear" w:color="auto" w:fill="FFFFFF"/>
        </w:rPr>
        <w:t>（二）预（结）算编制单位和审核单位为同一家中介机构，存在股权关联或者管理关系；</w:t>
      </w:r>
    </w:p>
    <w:p>
      <w:pPr>
        <w:spacing w:line="590" w:lineRule="exact"/>
        <w:ind w:firstLine="420" w:firstLineChars="200"/>
        <w:jc w:val="both"/>
        <w:rPr>
          <w:color w:val="000000"/>
          <w:szCs w:val="32"/>
          <w:shd w:val="clear" w:color="auto" w:fill="FFFFFF"/>
        </w:rPr>
      </w:pPr>
      <w:r>
        <w:rPr>
          <w:color w:val="000000"/>
          <w:szCs w:val="32"/>
          <w:shd w:val="clear" w:color="auto" w:fill="FFFFFF"/>
        </w:rPr>
        <w:t>（三）受托承办业务人员与被审单位工作人员有近亲属关系或其他问题，可能对所承接项目结论产生影响的；</w:t>
      </w:r>
    </w:p>
    <w:p>
      <w:pPr>
        <w:spacing w:line="590" w:lineRule="exact"/>
        <w:ind w:firstLine="420" w:firstLineChars="200"/>
        <w:jc w:val="both"/>
        <w:rPr>
          <w:b/>
          <w:color w:val="000000"/>
          <w:szCs w:val="32"/>
          <w:shd w:val="clear" w:color="auto" w:fill="FFFFFF"/>
        </w:rPr>
      </w:pPr>
      <w:r>
        <w:rPr>
          <w:color w:val="000000"/>
          <w:szCs w:val="32"/>
          <w:shd w:val="clear" w:color="auto" w:fill="FFFFFF"/>
        </w:rPr>
        <w:t>（四）法律规定需要回避的其他情形。</w:t>
      </w:r>
    </w:p>
    <w:p>
      <w:pPr>
        <w:spacing w:line="590" w:lineRule="exact"/>
        <w:ind w:firstLine="422" w:firstLineChars="200"/>
        <w:jc w:val="both"/>
        <w:rPr>
          <w:color w:val="000000"/>
          <w:szCs w:val="32"/>
        </w:rPr>
      </w:pPr>
      <w:r>
        <w:rPr>
          <w:b/>
          <w:color w:val="000000"/>
          <w:kern w:val="0"/>
          <w:szCs w:val="32"/>
        </w:rPr>
        <w:t>第八条</w:t>
      </w:r>
      <w:r>
        <w:rPr>
          <w:color w:val="000000"/>
          <w:kern w:val="0"/>
          <w:szCs w:val="32"/>
        </w:rPr>
        <w:t>　相关工作人员应遵守廉洁自律规定，不得利用工作之便获取不正当利益，不得违法违规干预审计、评审、检查、评估结果。以上人员有徇私舞弊、滥用职权等违法违规行为的，按有关规定给予党政纪处分。</w:t>
      </w:r>
      <w:r>
        <w:rPr>
          <w:color w:val="000000"/>
          <w:szCs w:val="32"/>
        </w:rPr>
        <w:t>构成犯罪的，依法追究刑事责任。</w:t>
      </w:r>
    </w:p>
    <w:p>
      <w:pPr>
        <w:spacing w:line="590" w:lineRule="exact"/>
        <w:jc w:val="both"/>
        <w:rPr>
          <w:rFonts w:eastAsia="黑体"/>
          <w:color w:val="000000"/>
          <w:szCs w:val="32"/>
        </w:rPr>
      </w:pPr>
      <w:r>
        <w:rPr>
          <w:rFonts w:hAnsi="黑体" w:eastAsia="黑体"/>
          <w:color w:val="000000"/>
          <w:szCs w:val="32"/>
        </w:rPr>
        <w:t>第四章</w:t>
      </w:r>
      <w:r>
        <w:rPr>
          <w:rFonts w:eastAsia="黑体"/>
          <w:color w:val="000000"/>
          <w:szCs w:val="32"/>
        </w:rPr>
        <w:t xml:space="preserve"> </w:t>
      </w:r>
      <w:r>
        <w:rPr>
          <w:rFonts w:hAnsi="黑体" w:eastAsia="黑体"/>
          <w:color w:val="000000"/>
          <w:szCs w:val="32"/>
        </w:rPr>
        <w:t>其</w:t>
      </w:r>
      <w:r>
        <w:rPr>
          <w:rFonts w:eastAsia="黑体"/>
          <w:color w:val="000000"/>
          <w:szCs w:val="32"/>
        </w:rPr>
        <w:t xml:space="preserve"> </w:t>
      </w:r>
      <w:r>
        <w:rPr>
          <w:rFonts w:hAnsi="黑体" w:eastAsia="黑体"/>
          <w:color w:val="000000"/>
          <w:szCs w:val="32"/>
        </w:rPr>
        <w:t>他</w:t>
      </w:r>
    </w:p>
    <w:p>
      <w:pPr>
        <w:ind w:firstLine="422" w:firstLineChars="200"/>
        <w:jc w:val="both"/>
        <w:rPr>
          <w:color w:val="000000"/>
          <w:szCs w:val="32"/>
          <w:shd w:val="clear" w:color="auto" w:fill="FFFFFF"/>
        </w:rPr>
      </w:pPr>
      <w:r>
        <w:rPr>
          <w:b/>
          <w:bCs/>
          <w:color w:val="000000"/>
          <w:szCs w:val="32"/>
          <w:shd w:val="clear" w:color="auto" w:fill="FFFFFF"/>
        </w:rPr>
        <w:t>第九条</w:t>
      </w:r>
      <w:r>
        <w:rPr>
          <w:color w:val="000000"/>
          <w:szCs w:val="32"/>
          <w:shd w:val="clear" w:color="auto" w:fill="FFFFFF"/>
        </w:rPr>
        <w:t xml:space="preserve">  中标的中介服务机构，总部不在许昌市，收到中标通知书后一个月内必须在许昌设立办事机构并报财政局备案，否则财政局有权将其清出备选库。</w:t>
      </w:r>
    </w:p>
    <w:p>
      <w:pPr>
        <w:ind w:firstLine="422" w:firstLineChars="200"/>
        <w:jc w:val="both"/>
        <w:rPr>
          <w:color w:val="000000"/>
          <w:kern w:val="0"/>
          <w:szCs w:val="32"/>
        </w:rPr>
      </w:pPr>
      <w:r>
        <w:rPr>
          <w:b/>
          <w:bCs/>
          <w:color w:val="000000"/>
          <w:kern w:val="0"/>
          <w:szCs w:val="32"/>
        </w:rPr>
        <w:t>第十条</w:t>
      </w:r>
      <w:r>
        <w:rPr>
          <w:color w:val="000000"/>
          <w:kern w:val="0"/>
          <w:szCs w:val="32"/>
        </w:rPr>
        <w:t xml:space="preserve">  入选备选库的中介机构书面承诺自觉接受该管理办法的各项规定。</w:t>
      </w:r>
    </w:p>
    <w:p>
      <w:pPr>
        <w:widowControl/>
        <w:shd w:val="clear" w:color="auto" w:fill="FFFFFF"/>
        <w:ind w:firstLine="422" w:firstLineChars="200"/>
        <w:jc w:val="both"/>
        <w:rPr>
          <w:color w:val="000000"/>
          <w:szCs w:val="32"/>
        </w:rPr>
      </w:pPr>
      <w:r>
        <w:rPr>
          <w:b/>
          <w:color w:val="000000"/>
          <w:kern w:val="0"/>
          <w:szCs w:val="32"/>
        </w:rPr>
        <w:t>第十一条</w:t>
      </w:r>
      <w:r>
        <w:rPr>
          <w:color w:val="000000"/>
          <w:kern w:val="0"/>
          <w:szCs w:val="32"/>
        </w:rPr>
        <w:t xml:space="preserve">  </w:t>
      </w:r>
      <w:r>
        <w:rPr>
          <w:color w:val="000000"/>
          <w:szCs w:val="32"/>
        </w:rPr>
        <w:t>委托人邀请专家对项目的合规性、必要性、科学性、合理性以及成果效率等情况进行评审、论证和研讨等活动需要向专家支付劳务费的，专家的往返交通、食宿、个税缴纳等事宜均</w:t>
      </w:r>
      <w:r>
        <w:rPr>
          <w:color w:val="000000"/>
          <w:kern w:val="0"/>
          <w:szCs w:val="32"/>
        </w:rPr>
        <w:t>按照</w:t>
      </w:r>
      <w:r>
        <w:rPr>
          <w:color w:val="000000"/>
          <w:szCs w:val="32"/>
        </w:rPr>
        <w:t>河南省财政厅豫财办〔2018〕41号文件规定执行；专家的劳务费支出标准参照河南省财政厅豫财办〔2018〕41号文件规定的50%-80%执行。</w:t>
      </w:r>
    </w:p>
    <w:p>
      <w:pPr>
        <w:widowControl/>
        <w:shd w:val="clear" w:color="auto" w:fill="FFFFFF"/>
        <w:ind w:firstLine="422" w:firstLineChars="200"/>
        <w:jc w:val="both"/>
        <w:rPr>
          <w:rFonts w:eastAsia="黑体"/>
          <w:color w:val="000000"/>
          <w:kern w:val="0"/>
          <w:szCs w:val="32"/>
        </w:rPr>
      </w:pPr>
      <w:r>
        <w:rPr>
          <w:b/>
          <w:color w:val="000000"/>
          <w:szCs w:val="32"/>
        </w:rPr>
        <w:t>第十二条</w:t>
      </w:r>
      <w:r>
        <w:rPr>
          <w:color w:val="000000"/>
          <w:szCs w:val="32"/>
        </w:rPr>
        <w:t xml:space="preserve">  委托人使用备选库的中介机构提供服务的，应和中介机构签订相应的委托合同；委托人使用备选库外的中介机构提供服务的，应按照</w:t>
      </w:r>
      <w:r>
        <w:t>《许昌市政府购买服务操作指南（试行）》（许财综〔2016</w:t>
      </w:r>
      <w:r>
        <w:rPr>
          <w:rFonts w:hAnsi="仿宋_GB2312"/>
        </w:rPr>
        <w:t>〕</w:t>
      </w:r>
      <w:r>
        <w:t>28</w:t>
      </w:r>
      <w:r>
        <w:rPr>
          <w:rFonts w:hAnsi="仿宋_GB2312"/>
        </w:rPr>
        <w:t>号）规定购买服务。</w:t>
      </w:r>
    </w:p>
    <w:p>
      <w:pPr>
        <w:ind w:firstLine="422" w:firstLineChars="200"/>
        <w:jc w:val="both"/>
        <w:rPr>
          <w:color w:val="000000"/>
          <w:kern w:val="0"/>
          <w:szCs w:val="32"/>
        </w:rPr>
      </w:pPr>
      <w:r>
        <w:rPr>
          <w:b/>
          <w:bCs/>
          <w:color w:val="000000"/>
          <w:kern w:val="0"/>
          <w:szCs w:val="32"/>
        </w:rPr>
        <w:t>第十三条</w:t>
      </w:r>
      <w:r>
        <w:rPr>
          <w:color w:val="000000"/>
          <w:kern w:val="0"/>
          <w:szCs w:val="32"/>
        </w:rPr>
        <w:t>  本办法第二章涉及付费标准的有关文件规定，如遇国家、省、市</w:t>
      </w:r>
      <w:r>
        <w:rPr>
          <w:color w:val="000000"/>
          <w:szCs w:val="32"/>
          <w:shd w:val="clear" w:color="auto" w:fill="FFFFFF"/>
        </w:rPr>
        <w:t>有关费率政策调整</w:t>
      </w:r>
      <w:r>
        <w:rPr>
          <w:color w:val="000000"/>
          <w:kern w:val="0"/>
          <w:szCs w:val="32"/>
        </w:rPr>
        <w:t>，按照新的规定标准相应调整。未尽事宜，将以附加条款及合同方式约定，与本办法具有同等法律效力，本办法由示范区财政局负责解释。</w:t>
      </w:r>
    </w:p>
    <w:p>
      <w:pPr>
        <w:ind w:firstLine="422" w:firstLineChars="200"/>
        <w:jc w:val="both"/>
        <w:rPr>
          <w:color w:val="000000"/>
          <w:kern w:val="0"/>
          <w:szCs w:val="32"/>
        </w:rPr>
      </w:pPr>
      <w:r>
        <w:rPr>
          <w:b/>
          <w:bCs/>
          <w:color w:val="000000"/>
          <w:kern w:val="0"/>
          <w:szCs w:val="32"/>
        </w:rPr>
        <w:t>第十四条</w:t>
      </w:r>
      <w:r>
        <w:rPr>
          <w:color w:val="000000"/>
          <w:kern w:val="0"/>
          <w:szCs w:val="32"/>
        </w:rPr>
        <w:t>  本办法自2019年8月1日起试行，原</w:t>
      </w:r>
      <w:r>
        <w:rPr>
          <w:color w:val="000000"/>
          <w:szCs w:val="32"/>
        </w:rPr>
        <w:t>许示范财〔2018〕38号文件同时废止。</w:t>
      </w:r>
    </w:p>
    <w:p>
      <w:pPr>
        <w:ind w:firstLine="420" w:firstLineChars="200"/>
        <w:rPr>
          <w:color w:val="000000"/>
          <w:kern w:val="0"/>
          <w:szCs w:val="32"/>
        </w:rPr>
      </w:pPr>
    </w:p>
    <w:p>
      <w:pPr>
        <w:jc w:val="left"/>
        <w:rPr>
          <w:szCs w:val="32"/>
        </w:rPr>
      </w:pPr>
    </w:p>
    <w:p>
      <w:pPr>
        <w:spacing w:line="480" w:lineRule="auto"/>
        <w:jc w:val="left"/>
        <w:rPr>
          <w:szCs w:val="32"/>
        </w:rPr>
      </w:pPr>
    </w:p>
    <w:p>
      <w:pPr>
        <w:spacing w:line="480" w:lineRule="auto"/>
        <w:jc w:val="left"/>
        <w:rPr>
          <w:szCs w:val="32"/>
        </w:rPr>
      </w:pPr>
    </w:p>
    <w:p>
      <w:pPr>
        <w:spacing w:line="480" w:lineRule="auto"/>
        <w:jc w:val="left"/>
        <w:rPr>
          <w:szCs w:val="32"/>
        </w:rPr>
      </w:pPr>
    </w:p>
    <w:p>
      <w:pPr>
        <w:spacing w:line="480" w:lineRule="auto"/>
        <w:jc w:val="left"/>
        <w:rPr>
          <w:szCs w:val="3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00" w:lineRule="exact"/>
        <w:rPr>
          <w:rFonts w:hint="eastAsia"/>
          <w:szCs w:val="32"/>
        </w:rPr>
      </w:pPr>
    </w:p>
    <w:p>
      <w:pPr>
        <w:spacing w:line="200" w:lineRule="exact"/>
        <w:ind w:firstLine="435"/>
        <w:jc w:val="right"/>
        <w:rPr>
          <w:szCs w:val="32"/>
        </w:rPr>
      </w:pPr>
    </w:p>
    <w:p>
      <w:pPr>
        <w:pBdr>
          <w:top w:val="single" w:color="auto" w:sz="6" w:space="6"/>
          <w:bottom w:val="single" w:color="auto" w:sz="6" w:space="1"/>
        </w:pBdr>
        <w:ind w:firstLine="94" w:firstLineChars="50"/>
        <w:jc w:val="right"/>
        <w:rPr>
          <w:szCs w:val="32"/>
        </w:rPr>
      </w:pPr>
      <w:r>
        <w:rPr>
          <w:rFonts w:hAnsi="仿宋_GB2312"/>
          <w:spacing w:val="-11"/>
          <w:szCs w:val="32"/>
        </w:rPr>
        <w:t>许昌市城乡一体化示范区财政局</w:t>
      </w:r>
      <w:r>
        <w:rPr>
          <w:spacing w:val="-11"/>
          <w:szCs w:val="32"/>
        </w:rPr>
        <w:t xml:space="preserve">         2019</w:t>
      </w:r>
      <w:r>
        <w:rPr>
          <w:rFonts w:hAnsi="仿宋_GB2312"/>
          <w:spacing w:val="-11"/>
          <w:szCs w:val="32"/>
        </w:rPr>
        <w:t>年</w:t>
      </w:r>
      <w:r>
        <w:rPr>
          <w:rFonts w:hint="eastAsia"/>
          <w:spacing w:val="-11"/>
          <w:szCs w:val="32"/>
        </w:rPr>
        <w:t>5</w:t>
      </w:r>
      <w:r>
        <w:rPr>
          <w:rFonts w:hAnsi="仿宋_GB2312"/>
          <w:spacing w:val="-11"/>
          <w:szCs w:val="32"/>
        </w:rPr>
        <w:t>月</w:t>
      </w:r>
      <w:r>
        <w:rPr>
          <w:rFonts w:hint="eastAsia"/>
          <w:spacing w:val="-11"/>
          <w:szCs w:val="32"/>
        </w:rPr>
        <w:t>13</w:t>
      </w:r>
      <w:r>
        <w:rPr>
          <w:rFonts w:hAnsi="仿宋_GB2312"/>
          <w:spacing w:val="-11"/>
          <w:szCs w:val="32"/>
        </w:rPr>
        <w:t>日印</w:t>
      </w:r>
      <w:r>
        <w:rPr>
          <w:szCs w:val="32"/>
        </w:rPr>
        <w:t xml:space="preserve"> </w:t>
      </w:r>
    </w:p>
    <w:p>
      <w:pPr>
        <w:jc w:val="right"/>
        <w:rPr>
          <w:rFonts w:hint="eastAsia"/>
          <w:szCs w:val="32"/>
        </w:rPr>
      </w:pPr>
      <w:r>
        <w:rPr>
          <w:szCs w:val="32"/>
        </w:rPr>
        <w:t xml:space="preserve">                                     </w:t>
      </w:r>
      <w:r>
        <w:rPr>
          <w:rFonts w:hAnsi="仿宋_GB2312"/>
          <w:szCs w:val="32"/>
        </w:rPr>
        <w:t>（共印</w:t>
      </w:r>
      <w:r>
        <w:rPr>
          <w:rFonts w:hint="eastAsia"/>
          <w:szCs w:val="32"/>
        </w:rPr>
        <w:t>40</w:t>
      </w:r>
      <w:r>
        <w:rPr>
          <w:rFonts w:hAnsi="仿宋_GB2312"/>
          <w:szCs w:val="32"/>
        </w:rPr>
        <w:t>份）</w:t>
      </w:r>
    </w:p>
    <w:p>
      <w:pPr>
        <w:jc w:val="right"/>
      </w:pPr>
    </w:p>
    <w:sectPr>
      <w:footerReference r:id="rId3"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rect id="文本框 1"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A4C7A"/>
    <w:multiLevelType w:val="singleLevel"/>
    <w:tmpl w:val="9B1A4C7A"/>
    <w:lvl w:ilvl="0" w:tentative="0">
      <w:start w:val="3"/>
      <w:numFmt w:val="chineseCounting"/>
      <w:suff w:val="nothing"/>
      <w:lvlText w:val="%1、"/>
      <w:lvlJc w:val="left"/>
      <w:rPr>
        <w:rFonts w:hint="eastAsia"/>
      </w:rPr>
    </w:lvl>
  </w:abstractNum>
  <w:abstractNum w:abstractNumId="1">
    <w:nsid w:val="AB29E2D7"/>
    <w:multiLevelType w:val="singleLevel"/>
    <w:tmpl w:val="AB29E2D7"/>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3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150A76"/>
    <w:multiLevelType w:val="multilevel"/>
    <w:tmpl w:val="1C150A7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1"/>
      <w:suff w:val="nothing"/>
      <w:lvlText w:val="%1、"/>
      <w:lvlJc w:val="left"/>
    </w:lvl>
  </w:abstractNum>
  <w:abstractNum w:abstractNumId="13">
    <w:nsid w:val="5B72A3B0"/>
    <w:multiLevelType w:val="singleLevel"/>
    <w:tmpl w:val="5B72A3B0"/>
    <w:lvl w:ilvl="0" w:tentative="0">
      <w:start w:val="1"/>
      <w:numFmt w:val="decimal"/>
      <w:suff w:val="nothing"/>
      <w:lvlText w:val="%1、"/>
      <w:lvlJc w:val="left"/>
      <w:rPr>
        <w:rFonts w:cs="Times New Roman"/>
      </w:rPr>
    </w:lvl>
  </w:abstractNum>
  <w:abstractNum w:abstractNumId="14">
    <w:nsid w:val="5B986860"/>
    <w:multiLevelType w:val="singleLevel"/>
    <w:tmpl w:val="5B986860"/>
    <w:lvl w:ilvl="0" w:tentative="0">
      <w:start w:val="38"/>
      <w:numFmt w:val="decimal"/>
      <w:suff w:val="nothing"/>
      <w:lvlText w:val="%1."/>
      <w:lvlJc w:val="left"/>
    </w:lvl>
  </w:abstractNum>
  <w:abstractNum w:abstractNumId="15">
    <w:nsid w:val="5BBD6302"/>
    <w:multiLevelType w:val="singleLevel"/>
    <w:tmpl w:val="5BBD6302"/>
    <w:lvl w:ilvl="0" w:tentative="0">
      <w:start w:val="10"/>
      <w:numFmt w:val="chineseCounting"/>
      <w:suff w:val="nothing"/>
      <w:lvlText w:val="%1、"/>
      <w:lvlJc w:val="left"/>
    </w:lvl>
  </w:abstractNum>
  <w:abstractNum w:abstractNumId="16">
    <w:nsid w:val="5BCD7864"/>
    <w:multiLevelType w:val="singleLevel"/>
    <w:tmpl w:val="5BCD7864"/>
    <w:lvl w:ilvl="0" w:tentative="0">
      <w:start w:val="1"/>
      <w:numFmt w:val="decimal"/>
      <w:suff w:val="nothing"/>
      <w:lvlText w:val="（%1）"/>
      <w:lvlJc w:val="left"/>
    </w:lvl>
  </w:abstractNum>
  <w:abstractNum w:abstractNumId="17">
    <w:nsid w:val="5BD2C8CE"/>
    <w:multiLevelType w:val="singleLevel"/>
    <w:tmpl w:val="5BD2C8CE"/>
    <w:lvl w:ilvl="0" w:tentative="0">
      <w:start w:val="5"/>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2"/>
  </w:num>
  <w:num w:numId="2">
    <w:abstractNumId w:val="3"/>
  </w:num>
  <w:num w:numId="3">
    <w:abstractNumId w:val="12"/>
  </w:num>
  <w:num w:numId="4">
    <w:abstractNumId w:val="11"/>
  </w:num>
  <w:num w:numId="5">
    <w:abstractNumId w:val="1"/>
  </w:num>
  <w:num w:numId="6">
    <w:abstractNumId w:val="13"/>
  </w:num>
  <w:num w:numId="7">
    <w:abstractNumId w:val="16"/>
  </w:num>
  <w:num w:numId="8">
    <w:abstractNumId w:val="17"/>
  </w:num>
  <w:num w:numId="9">
    <w:abstractNumId w:val="9"/>
  </w:num>
  <w:num w:numId="10">
    <w:abstractNumId w:val="18"/>
  </w:num>
  <w:num w:numId="11">
    <w:abstractNumId w:val="6"/>
  </w:num>
  <w:num w:numId="12">
    <w:abstractNumId w:val="8"/>
  </w:num>
  <w:num w:numId="13">
    <w:abstractNumId w:val="10"/>
  </w:num>
  <w:num w:numId="14">
    <w:abstractNumId w:val="5"/>
  </w:num>
  <w:num w:numId="15">
    <w:abstractNumId w:val="14"/>
  </w:num>
  <w:num w:numId="16">
    <w:abstractNumId w:val="4"/>
  </w:num>
  <w:num w:numId="17">
    <w:abstractNumId w:val="1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796B"/>
    <w:rsid w:val="00010BB2"/>
    <w:rsid w:val="00057095"/>
    <w:rsid w:val="00080F23"/>
    <w:rsid w:val="00097D3F"/>
    <w:rsid w:val="000C1C60"/>
    <w:rsid w:val="000E3A6E"/>
    <w:rsid w:val="00153583"/>
    <w:rsid w:val="001819B4"/>
    <w:rsid w:val="001F6011"/>
    <w:rsid w:val="00213F63"/>
    <w:rsid w:val="0023042F"/>
    <w:rsid w:val="00232461"/>
    <w:rsid w:val="00253F15"/>
    <w:rsid w:val="00257A9A"/>
    <w:rsid w:val="002A4FFD"/>
    <w:rsid w:val="003173D1"/>
    <w:rsid w:val="00330864"/>
    <w:rsid w:val="00334C27"/>
    <w:rsid w:val="00357579"/>
    <w:rsid w:val="00360B3A"/>
    <w:rsid w:val="00364425"/>
    <w:rsid w:val="00370047"/>
    <w:rsid w:val="003A1C38"/>
    <w:rsid w:val="003B3BCE"/>
    <w:rsid w:val="003D2D70"/>
    <w:rsid w:val="003F366C"/>
    <w:rsid w:val="00404927"/>
    <w:rsid w:val="00412C86"/>
    <w:rsid w:val="00423E6F"/>
    <w:rsid w:val="00424BA6"/>
    <w:rsid w:val="0042796B"/>
    <w:rsid w:val="0049096C"/>
    <w:rsid w:val="004944A9"/>
    <w:rsid w:val="00496CE6"/>
    <w:rsid w:val="004C212F"/>
    <w:rsid w:val="004D7BCB"/>
    <w:rsid w:val="004E303A"/>
    <w:rsid w:val="005306AF"/>
    <w:rsid w:val="00532455"/>
    <w:rsid w:val="00593BFC"/>
    <w:rsid w:val="00610851"/>
    <w:rsid w:val="00610E3E"/>
    <w:rsid w:val="00627A13"/>
    <w:rsid w:val="0063735C"/>
    <w:rsid w:val="0064275B"/>
    <w:rsid w:val="0064422C"/>
    <w:rsid w:val="00664BB1"/>
    <w:rsid w:val="0069478D"/>
    <w:rsid w:val="006D258B"/>
    <w:rsid w:val="006E598A"/>
    <w:rsid w:val="00713651"/>
    <w:rsid w:val="00716101"/>
    <w:rsid w:val="007A32DA"/>
    <w:rsid w:val="007E12B3"/>
    <w:rsid w:val="008166C3"/>
    <w:rsid w:val="00836E19"/>
    <w:rsid w:val="008642A5"/>
    <w:rsid w:val="00884BCA"/>
    <w:rsid w:val="008A32AB"/>
    <w:rsid w:val="009025D7"/>
    <w:rsid w:val="00951A0F"/>
    <w:rsid w:val="009815D7"/>
    <w:rsid w:val="00995CEC"/>
    <w:rsid w:val="009C4532"/>
    <w:rsid w:val="00A03098"/>
    <w:rsid w:val="00A32ABB"/>
    <w:rsid w:val="00A32C73"/>
    <w:rsid w:val="00A73D42"/>
    <w:rsid w:val="00A7516D"/>
    <w:rsid w:val="00A90918"/>
    <w:rsid w:val="00AA1552"/>
    <w:rsid w:val="00AB3FD8"/>
    <w:rsid w:val="00AB4BF9"/>
    <w:rsid w:val="00B271AE"/>
    <w:rsid w:val="00B33244"/>
    <w:rsid w:val="00B5698E"/>
    <w:rsid w:val="00BA5469"/>
    <w:rsid w:val="00BB1DAD"/>
    <w:rsid w:val="00BD4430"/>
    <w:rsid w:val="00BF3473"/>
    <w:rsid w:val="00BF4470"/>
    <w:rsid w:val="00C037D2"/>
    <w:rsid w:val="00C249AD"/>
    <w:rsid w:val="00C431DB"/>
    <w:rsid w:val="00C65110"/>
    <w:rsid w:val="00C91B5C"/>
    <w:rsid w:val="00CA6DF1"/>
    <w:rsid w:val="00CA7279"/>
    <w:rsid w:val="00CC6EDB"/>
    <w:rsid w:val="00CF65FE"/>
    <w:rsid w:val="00D53BBD"/>
    <w:rsid w:val="00D738C9"/>
    <w:rsid w:val="00D843EC"/>
    <w:rsid w:val="00D96582"/>
    <w:rsid w:val="00DC0890"/>
    <w:rsid w:val="00E0381A"/>
    <w:rsid w:val="00E0384F"/>
    <w:rsid w:val="00EB4AE9"/>
    <w:rsid w:val="00ED004B"/>
    <w:rsid w:val="00ED5C95"/>
    <w:rsid w:val="00EE2DD3"/>
    <w:rsid w:val="00F02EDB"/>
    <w:rsid w:val="00F26279"/>
    <w:rsid w:val="00F35CBE"/>
    <w:rsid w:val="00F441BB"/>
    <w:rsid w:val="00F60A90"/>
    <w:rsid w:val="00F97F04"/>
    <w:rsid w:val="00FC331A"/>
    <w:rsid w:val="011B06BF"/>
    <w:rsid w:val="045E7F9E"/>
    <w:rsid w:val="04A976AE"/>
    <w:rsid w:val="054935A9"/>
    <w:rsid w:val="056E640F"/>
    <w:rsid w:val="05A1368D"/>
    <w:rsid w:val="07292124"/>
    <w:rsid w:val="08BF5AF4"/>
    <w:rsid w:val="09723B70"/>
    <w:rsid w:val="0B2A5DD7"/>
    <w:rsid w:val="0C5E29C2"/>
    <w:rsid w:val="0DAA7783"/>
    <w:rsid w:val="0DB05587"/>
    <w:rsid w:val="0ECD31FD"/>
    <w:rsid w:val="0F103986"/>
    <w:rsid w:val="0F117353"/>
    <w:rsid w:val="0F166B4F"/>
    <w:rsid w:val="0F8A1794"/>
    <w:rsid w:val="0FA341A1"/>
    <w:rsid w:val="101D0D22"/>
    <w:rsid w:val="102B7CD1"/>
    <w:rsid w:val="103477D9"/>
    <w:rsid w:val="10AF1D53"/>
    <w:rsid w:val="10CF239A"/>
    <w:rsid w:val="10F44AD8"/>
    <w:rsid w:val="115D07F5"/>
    <w:rsid w:val="12671686"/>
    <w:rsid w:val="12AC6BDB"/>
    <w:rsid w:val="132811C6"/>
    <w:rsid w:val="137B0BF9"/>
    <w:rsid w:val="13FD0DCB"/>
    <w:rsid w:val="142F4A2E"/>
    <w:rsid w:val="159939D8"/>
    <w:rsid w:val="19DC201D"/>
    <w:rsid w:val="1B29216C"/>
    <w:rsid w:val="1D084A5A"/>
    <w:rsid w:val="1E430C2A"/>
    <w:rsid w:val="1EEB2861"/>
    <w:rsid w:val="204269CB"/>
    <w:rsid w:val="20FA716E"/>
    <w:rsid w:val="21AD02A0"/>
    <w:rsid w:val="23C3159E"/>
    <w:rsid w:val="2466240B"/>
    <w:rsid w:val="25FC21E2"/>
    <w:rsid w:val="26234AA4"/>
    <w:rsid w:val="26DB4139"/>
    <w:rsid w:val="27203366"/>
    <w:rsid w:val="279931D6"/>
    <w:rsid w:val="29116DF4"/>
    <w:rsid w:val="29254978"/>
    <w:rsid w:val="2A370249"/>
    <w:rsid w:val="2A911424"/>
    <w:rsid w:val="2C064CC1"/>
    <w:rsid w:val="2CAC3B06"/>
    <w:rsid w:val="2DC072DC"/>
    <w:rsid w:val="2DFD02C7"/>
    <w:rsid w:val="2F193195"/>
    <w:rsid w:val="2F6476C8"/>
    <w:rsid w:val="303A3C63"/>
    <w:rsid w:val="307D4C52"/>
    <w:rsid w:val="312E5FCD"/>
    <w:rsid w:val="31EB51BE"/>
    <w:rsid w:val="33D07C1A"/>
    <w:rsid w:val="340E3E6D"/>
    <w:rsid w:val="34230F31"/>
    <w:rsid w:val="349A68AC"/>
    <w:rsid w:val="359763D4"/>
    <w:rsid w:val="37E955D4"/>
    <w:rsid w:val="37F30C7D"/>
    <w:rsid w:val="3A6A481C"/>
    <w:rsid w:val="3B3366B9"/>
    <w:rsid w:val="3B971679"/>
    <w:rsid w:val="3C164035"/>
    <w:rsid w:val="3D523095"/>
    <w:rsid w:val="40A62CA6"/>
    <w:rsid w:val="41842823"/>
    <w:rsid w:val="41A10CBA"/>
    <w:rsid w:val="43D62A32"/>
    <w:rsid w:val="448D7183"/>
    <w:rsid w:val="45133723"/>
    <w:rsid w:val="46EA30FE"/>
    <w:rsid w:val="481012DF"/>
    <w:rsid w:val="48283780"/>
    <w:rsid w:val="48C35417"/>
    <w:rsid w:val="48F03D36"/>
    <w:rsid w:val="4990559D"/>
    <w:rsid w:val="4A2B1DD5"/>
    <w:rsid w:val="4A417F9E"/>
    <w:rsid w:val="4A836FB9"/>
    <w:rsid w:val="4B2C1FCC"/>
    <w:rsid w:val="4B6F3276"/>
    <w:rsid w:val="4CA334F2"/>
    <w:rsid w:val="4EEC47BE"/>
    <w:rsid w:val="4EEE5E79"/>
    <w:rsid w:val="4F2C2F92"/>
    <w:rsid w:val="503E6769"/>
    <w:rsid w:val="50F96E6A"/>
    <w:rsid w:val="538602FD"/>
    <w:rsid w:val="54206F60"/>
    <w:rsid w:val="54C7496F"/>
    <w:rsid w:val="551638E3"/>
    <w:rsid w:val="55234569"/>
    <w:rsid w:val="569964B9"/>
    <w:rsid w:val="571C46B8"/>
    <w:rsid w:val="57781A9E"/>
    <w:rsid w:val="591B19FC"/>
    <w:rsid w:val="59A64185"/>
    <w:rsid w:val="5A441729"/>
    <w:rsid w:val="5AAA225B"/>
    <w:rsid w:val="5B1D24F4"/>
    <w:rsid w:val="5B7C3F14"/>
    <w:rsid w:val="5C814DB6"/>
    <w:rsid w:val="5D037412"/>
    <w:rsid w:val="5EB7648B"/>
    <w:rsid w:val="5F523E7F"/>
    <w:rsid w:val="619358A8"/>
    <w:rsid w:val="62FD373D"/>
    <w:rsid w:val="632C3336"/>
    <w:rsid w:val="635D3968"/>
    <w:rsid w:val="6722484B"/>
    <w:rsid w:val="67786A26"/>
    <w:rsid w:val="67D13AE6"/>
    <w:rsid w:val="6818257F"/>
    <w:rsid w:val="69A8209F"/>
    <w:rsid w:val="69F90F27"/>
    <w:rsid w:val="6B6A2B8D"/>
    <w:rsid w:val="6B7376EF"/>
    <w:rsid w:val="6BF33990"/>
    <w:rsid w:val="6DA138C9"/>
    <w:rsid w:val="6E743453"/>
    <w:rsid w:val="6F5015B0"/>
    <w:rsid w:val="719B112D"/>
    <w:rsid w:val="71B72DFE"/>
    <w:rsid w:val="73157336"/>
    <w:rsid w:val="7320120A"/>
    <w:rsid w:val="73C22A7A"/>
    <w:rsid w:val="76866328"/>
    <w:rsid w:val="787837BA"/>
    <w:rsid w:val="78AB0877"/>
    <w:rsid w:val="78DC5527"/>
    <w:rsid w:val="794F2664"/>
    <w:rsid w:val="7A141B69"/>
    <w:rsid w:val="7A2C43C7"/>
    <w:rsid w:val="7A5A74F8"/>
    <w:rsid w:val="7A875B52"/>
    <w:rsid w:val="7B050438"/>
    <w:rsid w:val="7C1D15BC"/>
    <w:rsid w:val="7C7A2738"/>
    <w:rsid w:val="7E073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4"/>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4">
    <w:name w:val="heading 2"/>
    <w:basedOn w:val="1"/>
    <w:next w:val="1"/>
    <w:link w:val="4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4"/>
    <w:basedOn w:val="1"/>
    <w:next w:val="1"/>
    <w:link w:val="4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caption"/>
    <w:basedOn w:val="1"/>
    <w:next w:val="1"/>
    <w:qFormat/>
    <w:uiPriority w:val="0"/>
    <w:rPr>
      <w:rFonts w:ascii="Arial" w:hAnsi="Arial" w:eastAsia="黑体" w:cs="Arial"/>
      <w:sz w:val="20"/>
      <w:szCs w:val="20"/>
    </w:rPr>
  </w:style>
  <w:style w:type="paragraph" w:styleId="7">
    <w:name w:val="Body Text 3"/>
    <w:basedOn w:val="1"/>
    <w:link w:val="51"/>
    <w:qFormat/>
    <w:uiPriority w:val="0"/>
    <w:rPr>
      <w:rFonts w:ascii="Times New Roman" w:hAnsi="Times New Roman" w:cs="Times New Roman"/>
      <w:color w:val="FF0000"/>
      <w:sz w:val="24"/>
      <w:szCs w:val="24"/>
    </w:rPr>
  </w:style>
  <w:style w:type="paragraph" w:styleId="8">
    <w:name w:val="Body Text"/>
    <w:basedOn w:val="1"/>
    <w:link w:val="53"/>
    <w:semiHidden/>
    <w:unhideWhenUsed/>
    <w:qFormat/>
    <w:uiPriority w:val="99"/>
    <w:pPr>
      <w:spacing w:after="120"/>
    </w:pPr>
  </w:style>
  <w:style w:type="paragraph" w:styleId="9">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0">
    <w:name w:val="toc 3"/>
    <w:basedOn w:val="1"/>
    <w:next w:val="1"/>
    <w:qFormat/>
    <w:uiPriority w:val="39"/>
    <w:pPr>
      <w:ind w:left="480"/>
      <w:jc w:val="left"/>
    </w:pPr>
    <w:rPr>
      <w:rFonts w:ascii="Times New Roman" w:hAnsi="Times New Roman" w:cs="Times New Roman"/>
      <w:i/>
      <w:iCs/>
      <w:color w:val="0000FF"/>
      <w:sz w:val="20"/>
      <w:szCs w:val="20"/>
    </w:rPr>
  </w:style>
  <w:style w:type="paragraph" w:styleId="11">
    <w:name w:val="Plain Text"/>
    <w:basedOn w:val="1"/>
    <w:semiHidden/>
    <w:unhideWhenUsed/>
    <w:qFormat/>
    <w:uiPriority w:val="0"/>
    <w:rPr>
      <w:sz w:val="24"/>
    </w:rPr>
  </w:style>
  <w:style w:type="paragraph" w:styleId="12">
    <w:name w:val="Date"/>
    <w:basedOn w:val="1"/>
    <w:next w:val="1"/>
    <w:unhideWhenUsed/>
    <w:qFormat/>
    <w:uiPriority w:val="99"/>
    <w:pPr>
      <w:ind w:left="100" w:leftChars="2500"/>
    </w:pPr>
    <w:rPr>
      <w:sz w:val="24"/>
    </w:r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spacing w:before="120" w:after="120"/>
      <w:jc w:val="left"/>
    </w:pPr>
    <w:rPr>
      <w:rFonts w:ascii="Times New Roman" w:hAnsi="Times New Roman" w:cs="Times New Roman"/>
      <w:b/>
      <w:bCs/>
      <w:caps/>
      <w:color w:val="0000FF"/>
      <w:sz w:val="20"/>
      <w:szCs w:val="20"/>
    </w:rPr>
  </w:style>
  <w:style w:type="paragraph" w:styleId="16">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qFormat/>
    <w:uiPriority w:val="99"/>
    <w:rPr>
      <w:rFonts w:cs="Times New Roman"/>
      <w:sz w:val="24"/>
      <w:szCs w:val="24"/>
    </w:rPr>
  </w:style>
  <w:style w:type="paragraph" w:styleId="18">
    <w:name w:val="Body Text First Indent"/>
    <w:basedOn w:val="8"/>
    <w:link w:val="54"/>
    <w:qFormat/>
    <w:uiPriority w:val="0"/>
    <w:pPr>
      <w:ind w:firstLine="420" w:firstLineChars="100"/>
    </w:pPr>
    <w:rPr>
      <w:rFonts w:ascii="宋体" w:hAnsi="Times New Roman" w:cs="Times New Roman"/>
      <w:kern w:val="0"/>
      <w:sz w:val="34"/>
      <w:szCs w:val="20"/>
    </w:rPr>
  </w:style>
  <w:style w:type="table" w:styleId="20">
    <w:name w:val="Table Grid"/>
    <w:basedOn w:val="19"/>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unhideWhenUsed/>
    <w:qFormat/>
    <w:uiPriority w:val="0"/>
  </w:style>
  <w:style w:type="character" w:styleId="24">
    <w:name w:val="FollowedHyperlink"/>
    <w:basedOn w:val="21"/>
    <w:semiHidden/>
    <w:unhideWhenUsed/>
    <w:qFormat/>
    <w:uiPriority w:val="99"/>
    <w:rPr>
      <w:color w:val="800080"/>
      <w:u w:val="single"/>
    </w:rPr>
  </w:style>
  <w:style w:type="character" w:styleId="25">
    <w:name w:val="Emphasis"/>
    <w:basedOn w:val="21"/>
    <w:qFormat/>
    <w:uiPriority w:val="20"/>
    <w:rPr>
      <w:i/>
      <w:iCs/>
    </w:rPr>
  </w:style>
  <w:style w:type="character" w:styleId="26">
    <w:name w:val="Hyperlink"/>
    <w:basedOn w:val="21"/>
    <w:unhideWhenUsed/>
    <w:qFormat/>
    <w:uiPriority w:val="99"/>
    <w:rPr>
      <w:color w:val="0000FF"/>
      <w:u w:val="single"/>
    </w:rPr>
  </w:style>
  <w:style w:type="character" w:customStyle="1" w:styleId="27">
    <w:name w:val="标题 3 Char"/>
    <w:basedOn w:val="21"/>
    <w:link w:val="28"/>
    <w:qFormat/>
    <w:uiPriority w:val="99"/>
    <w:rPr>
      <w:rFonts w:ascii="宋体" w:hAnsi="宋体" w:eastAsia="宋体" w:cs="Times New Roman"/>
      <w:b/>
      <w:color w:val="000000"/>
      <w:kern w:val="0"/>
      <w:sz w:val="24"/>
      <w:szCs w:val="20"/>
    </w:rPr>
  </w:style>
  <w:style w:type="paragraph" w:customStyle="1" w:styleId="28">
    <w:name w:val="标题 31"/>
    <w:basedOn w:val="1"/>
    <w:next w:val="1"/>
    <w:link w:val="27"/>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29">
    <w:name w:val="纯文本 Char"/>
    <w:basedOn w:val="21"/>
    <w:link w:val="30"/>
    <w:qFormat/>
    <w:uiPriority w:val="0"/>
    <w:rPr>
      <w:rFonts w:eastAsia="宋体"/>
      <w:sz w:val="24"/>
    </w:rPr>
  </w:style>
  <w:style w:type="paragraph" w:customStyle="1" w:styleId="30">
    <w:name w:val="纯文本1"/>
    <w:basedOn w:val="1"/>
    <w:link w:val="29"/>
    <w:qFormat/>
    <w:uiPriority w:val="99"/>
    <w:rPr>
      <w:sz w:val="24"/>
    </w:rPr>
  </w:style>
  <w:style w:type="character" w:customStyle="1" w:styleId="31">
    <w:name w:val="日期 Char"/>
    <w:basedOn w:val="21"/>
    <w:link w:val="32"/>
    <w:qFormat/>
    <w:uiPriority w:val="0"/>
    <w:rPr>
      <w:sz w:val="24"/>
    </w:rPr>
  </w:style>
  <w:style w:type="paragraph" w:customStyle="1" w:styleId="32">
    <w:name w:val="日期1"/>
    <w:basedOn w:val="1"/>
    <w:next w:val="1"/>
    <w:link w:val="31"/>
    <w:qFormat/>
    <w:uiPriority w:val="0"/>
    <w:rPr>
      <w:sz w:val="24"/>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列出段落1"/>
    <w:basedOn w:val="1"/>
    <w:qFormat/>
    <w:uiPriority w:val="34"/>
    <w:pPr>
      <w:ind w:firstLine="420" w:firstLineChars="200"/>
    </w:pPr>
  </w:style>
  <w:style w:type="paragraph" w:customStyle="1" w:styleId="35">
    <w:name w:val="列出段落2"/>
    <w:basedOn w:val="1"/>
    <w:unhideWhenUsed/>
    <w:qFormat/>
    <w:uiPriority w:val="99"/>
    <w:pPr>
      <w:ind w:firstLine="420" w:firstLineChars="200"/>
    </w:p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7">
    <w:name w:val="正文文本缩进1"/>
    <w:basedOn w:val="1"/>
    <w:link w:val="50"/>
    <w:qFormat/>
    <w:uiPriority w:val="0"/>
    <w:pPr>
      <w:spacing w:line="360" w:lineRule="auto"/>
      <w:ind w:firstLine="480" w:firstLineChars="200"/>
    </w:pPr>
    <w:rPr>
      <w:rFonts w:ascii="宋体" w:hAnsi="Times New Roman" w:cs="Times New Roman"/>
      <w:kern w:val="0"/>
      <w:sz w:val="24"/>
      <w:szCs w:val="20"/>
    </w:rPr>
  </w:style>
  <w:style w:type="paragraph" w:customStyle="1" w:styleId="38">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4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42">
    <w:name w:val="List Paragraph1"/>
    <w:basedOn w:val="1"/>
    <w:qFormat/>
    <w:uiPriority w:val="99"/>
    <w:pPr>
      <w:ind w:firstLine="420" w:firstLineChars="200"/>
    </w:pPr>
  </w:style>
  <w:style w:type="paragraph" w:customStyle="1" w:styleId="43">
    <w:name w:val="样式 标题 2 + Times New Roman 四号 非加粗 段前: 5 磅 段后: 0 磅 行距: 固定值 20..."/>
    <w:basedOn w:val="4"/>
    <w:qFormat/>
    <w:uiPriority w:val="99"/>
    <w:pPr>
      <w:numPr>
        <w:numId w:val="0"/>
      </w:numPr>
      <w:spacing w:before="100" w:after="0" w:line="400" w:lineRule="exact"/>
    </w:pPr>
    <w:rPr>
      <w:rFonts w:ascii="Times New Roman" w:hAnsi="Times New Roman" w:cs="宋体"/>
      <w:b w:val="0"/>
      <w:bCs w:val="0"/>
      <w:sz w:val="28"/>
      <w:szCs w:val="20"/>
    </w:rPr>
  </w:style>
  <w:style w:type="character" w:customStyle="1" w:styleId="44">
    <w:name w:val="标题 1 Char"/>
    <w:basedOn w:val="21"/>
    <w:link w:val="3"/>
    <w:qFormat/>
    <w:uiPriority w:val="0"/>
    <w:rPr>
      <w:rFonts w:ascii="Calibri" w:hAnsi="Calibri" w:eastAsia="宋体" w:cs="Times New Roman"/>
      <w:b/>
      <w:bCs/>
      <w:kern w:val="44"/>
      <w:sz w:val="44"/>
      <w:szCs w:val="44"/>
    </w:rPr>
  </w:style>
  <w:style w:type="character" w:customStyle="1" w:styleId="45">
    <w:name w:val="标题 2 Char"/>
    <w:basedOn w:val="21"/>
    <w:link w:val="4"/>
    <w:qFormat/>
    <w:uiPriority w:val="0"/>
    <w:rPr>
      <w:rFonts w:ascii="Arial" w:hAnsi="Arial" w:eastAsia="黑体" w:cs="Times New Roman"/>
      <w:b/>
      <w:bCs/>
      <w:kern w:val="0"/>
      <w:sz w:val="32"/>
      <w:szCs w:val="32"/>
    </w:rPr>
  </w:style>
  <w:style w:type="character" w:customStyle="1" w:styleId="46">
    <w:name w:val="标题 4 Char"/>
    <w:basedOn w:val="21"/>
    <w:link w:val="5"/>
    <w:qFormat/>
    <w:uiPriority w:val="0"/>
    <w:rPr>
      <w:rFonts w:ascii="Arial" w:hAnsi="Arial" w:eastAsia="黑体" w:cs="Times New Roman"/>
      <w:b/>
      <w:bCs/>
      <w:kern w:val="0"/>
      <w:sz w:val="28"/>
      <w:szCs w:val="28"/>
    </w:rPr>
  </w:style>
  <w:style w:type="character" w:customStyle="1" w:styleId="47">
    <w:name w:val="页脚 Char"/>
    <w:basedOn w:val="21"/>
    <w:link w:val="13"/>
    <w:qFormat/>
    <w:uiPriority w:val="99"/>
    <w:rPr>
      <w:sz w:val="18"/>
      <w:szCs w:val="18"/>
    </w:rPr>
  </w:style>
  <w:style w:type="character" w:customStyle="1" w:styleId="48">
    <w:name w:val="页眉 Char"/>
    <w:basedOn w:val="21"/>
    <w:link w:val="14"/>
    <w:qFormat/>
    <w:uiPriority w:val="99"/>
    <w:rPr>
      <w:sz w:val="18"/>
      <w:szCs w:val="18"/>
    </w:rPr>
  </w:style>
  <w:style w:type="character" w:customStyle="1" w:styleId="49">
    <w:name w:val="纯文本 Char1"/>
    <w:qFormat/>
    <w:uiPriority w:val="0"/>
    <w:rPr>
      <w:rFonts w:eastAsia="宋体"/>
      <w:sz w:val="24"/>
    </w:rPr>
  </w:style>
  <w:style w:type="character" w:customStyle="1" w:styleId="50">
    <w:name w:val="正文文本缩进 Char Char"/>
    <w:link w:val="37"/>
    <w:qFormat/>
    <w:uiPriority w:val="0"/>
    <w:rPr>
      <w:rFonts w:ascii="宋体"/>
      <w:sz w:val="24"/>
    </w:rPr>
  </w:style>
  <w:style w:type="character" w:customStyle="1" w:styleId="51">
    <w:name w:val="正文文本 3 Char"/>
    <w:basedOn w:val="21"/>
    <w:link w:val="7"/>
    <w:qFormat/>
    <w:uiPriority w:val="0"/>
    <w:rPr>
      <w:rFonts w:ascii="Times New Roman" w:hAnsi="Times New Roman" w:eastAsia="宋体" w:cs="Times New Roman"/>
      <w:color w:val="FF0000"/>
      <w:sz w:val="24"/>
      <w:szCs w:val="24"/>
    </w:rPr>
  </w:style>
  <w:style w:type="character" w:customStyle="1" w:styleId="52">
    <w:name w:val="edittexttarea"/>
    <w:basedOn w:val="21"/>
    <w:qFormat/>
    <w:uiPriority w:val="0"/>
  </w:style>
  <w:style w:type="character" w:customStyle="1" w:styleId="53">
    <w:name w:val="正文文本 Char"/>
    <w:basedOn w:val="21"/>
    <w:link w:val="8"/>
    <w:qFormat/>
    <w:uiPriority w:val="99"/>
  </w:style>
  <w:style w:type="character" w:customStyle="1" w:styleId="54">
    <w:name w:val="正文首行缩进 Char"/>
    <w:basedOn w:val="53"/>
    <w:link w:val="18"/>
    <w:qFormat/>
    <w:uiPriority w:val="0"/>
    <w:rPr>
      <w:rFonts w:ascii="宋体" w:hAnsi="Times New Roman" w:eastAsia="宋体" w:cs="Times New Roman"/>
      <w:kern w:val="0"/>
      <w:sz w:val="34"/>
      <w:szCs w:val="20"/>
    </w:rPr>
  </w:style>
  <w:style w:type="character" w:customStyle="1" w:styleId="55">
    <w:name w:val="HTML 预设格式 Char"/>
    <w:basedOn w:val="21"/>
    <w:link w:val="16"/>
    <w:qFormat/>
    <w:uiPriority w:val="99"/>
    <w:rPr>
      <w:rFonts w:ascii="宋体" w:hAnsi="宋体" w:eastAsia="宋体" w:cs="宋体"/>
      <w:kern w:val="0"/>
      <w:sz w:val="24"/>
      <w:szCs w:val="24"/>
    </w:rPr>
  </w:style>
  <w:style w:type="character" w:customStyle="1" w:styleId="56">
    <w:name w:val="apple-converted-space"/>
    <w:basedOn w:val="21"/>
    <w:qFormat/>
    <w:uiPriority w:val="99"/>
    <w:rPr>
      <w:rFonts w:cs="Times New Roman"/>
    </w:rPr>
  </w:style>
  <w:style w:type="paragraph" w:customStyle="1" w:styleId="5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5127</Words>
  <Characters>29225</Characters>
  <Lines>243</Lines>
  <Paragraphs>68</Paragraphs>
  <TotalTime>9</TotalTime>
  <ScaleCrop>false</ScaleCrop>
  <LinksUpToDate>false</LinksUpToDate>
  <CharactersWithSpaces>34284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2018-10-25T02:43:00Z</dcterms:created>
  <dc:creator>许昌市公共资源交易中心:孟莉</dc:creator>
  <cp:lastModifiedBy>Administrator</cp:lastModifiedBy>
  <cp:lastPrinted>2019-05-21T05:11:00Z</cp:lastPrinted>
  <dcterms:modified xsi:type="dcterms:W3CDTF">2019-05-23T06:59:07Z</dcterms:modified>
  <dc:title>许昌市财政局“选聘工程造价咨询机构建立</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