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eastAsia="华文中宋"/>
          <w:sz w:val="56"/>
          <w:szCs w:val="56"/>
        </w:rPr>
      </w:pPr>
    </w:p>
    <w:p>
      <w:pPr>
        <w:jc w:val="center"/>
        <w:rPr>
          <w:rFonts w:hAnsi="华文中宋" w:eastAsia="华文中宋"/>
          <w:sz w:val="52"/>
          <w:szCs w:val="52"/>
        </w:rPr>
      </w:pPr>
    </w:p>
    <w:p>
      <w:pPr>
        <w:rPr>
          <w:rFonts w:hAnsi="华文中宋" w:eastAsia="华文中宋"/>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jc w:val="left"/>
        <w:rPr>
          <w:rFonts w:asciiTheme="minorEastAsia" w:hAnsiTheme="minorEastAsia" w:eastAsiaTheme="minorEastAsia"/>
          <w:sz w:val="32"/>
          <w:szCs w:val="32"/>
        </w:rPr>
      </w:pPr>
    </w:p>
    <w:p>
      <w:pPr>
        <w:ind w:firstLine="1280" w:firstLineChars="400"/>
        <w:jc w:val="left"/>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项目编号：建安建工公字〔201</w:t>
      </w:r>
      <w:r>
        <w:rPr>
          <w:rFonts w:hint="eastAsia" w:asciiTheme="minorEastAsia" w:hAnsiTheme="minorEastAsia" w:eastAsiaTheme="minorEastAsia"/>
          <w:color w:val="000000" w:themeColor="text1"/>
          <w:sz w:val="32"/>
          <w:szCs w:val="32"/>
          <w:lang w:val="en-US" w:eastAsia="zh-CN"/>
        </w:rPr>
        <w:t>9</w:t>
      </w:r>
      <w:r>
        <w:rPr>
          <w:rFonts w:hint="eastAsia" w:asciiTheme="minorEastAsia" w:hAnsiTheme="minorEastAsia" w:eastAsiaTheme="minorEastAsia"/>
          <w:color w:val="000000" w:themeColor="text1"/>
          <w:sz w:val="32"/>
          <w:szCs w:val="32"/>
        </w:rPr>
        <w:t>〕</w:t>
      </w:r>
      <w:r>
        <w:rPr>
          <w:rFonts w:hint="eastAsia" w:asciiTheme="minorEastAsia" w:hAnsiTheme="minorEastAsia" w:eastAsiaTheme="minorEastAsia"/>
          <w:color w:val="000000" w:themeColor="text1"/>
          <w:sz w:val="32"/>
          <w:szCs w:val="32"/>
          <w:lang w:val="en-US" w:eastAsia="zh-CN"/>
        </w:rPr>
        <w:t>85</w:t>
      </w:r>
      <w:r>
        <w:rPr>
          <w:rFonts w:hint="eastAsia" w:asciiTheme="minorEastAsia" w:hAnsiTheme="minorEastAsia" w:eastAsiaTheme="minorEastAsia"/>
          <w:color w:val="000000" w:themeColor="text1"/>
          <w:sz w:val="32"/>
          <w:szCs w:val="32"/>
        </w:rPr>
        <w:t>号</w:t>
      </w:r>
    </w:p>
    <w:p>
      <w:pPr>
        <w:ind w:firstLine="1280" w:firstLineChars="4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许昌市建安区南湖苑及工商局家属院改造项目</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许昌市建安区住房和城乡建设局</w:t>
      </w:r>
    </w:p>
    <w:p>
      <w:pPr>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eastAsia="zh-CN"/>
        </w:rPr>
        <w:t>河南天扬工程项目管理有限公司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五</w:t>
      </w:r>
      <w:r>
        <w:rPr>
          <w:rFonts w:hint="eastAsia" w:asciiTheme="minorEastAsia" w:hAnsiTheme="minorEastAsia" w:eastAsiaTheme="minorEastAsia"/>
          <w:sz w:val="32"/>
          <w:szCs w:val="32"/>
        </w:rPr>
        <w:t>月</w:t>
      </w: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第六章  图  纸</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第八章  投标文件格式</w:t>
      </w:r>
      <w:r>
        <w:rPr>
          <w:rFonts w:ascii="黑体" w:hAnsi="宋体" w:eastAsia="黑体"/>
          <w:b/>
          <w:sz w:val="28"/>
        </w:rPr>
        <w:tab/>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0"/>
        </w:num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 xml:space="preserve">第一章   </w:t>
      </w:r>
      <w:r>
        <w:rPr>
          <w:rFonts w:hint="eastAsia" w:hAnsi="宋体" w:cs="黑体"/>
          <w:b/>
          <w:sz w:val="36"/>
          <w:szCs w:val="36"/>
        </w:rPr>
        <w:t>招标公告</w:t>
      </w:r>
    </w:p>
    <w:p>
      <w:pPr>
        <w:autoSpaceDE w:val="0"/>
        <w:autoSpaceDN w:val="0"/>
        <w:adjustRightInd w:val="0"/>
        <w:spacing w:line="420" w:lineRule="exact"/>
        <w:ind w:firstLine="480" w:firstLineChars="200"/>
        <w:jc w:val="center"/>
        <w:outlineLvl w:val="0"/>
        <w:rPr>
          <w:rFonts w:hint="eastAsia" w:hAnsi="宋体" w:cs="宋体"/>
          <w:sz w:val="24"/>
          <w:szCs w:val="24"/>
        </w:rPr>
      </w:pPr>
      <w:r>
        <w:rPr>
          <w:rFonts w:hint="eastAsia" w:hAnsi="宋体" w:cs="宋体"/>
          <w:sz w:val="24"/>
          <w:szCs w:val="24"/>
        </w:rPr>
        <w:t>建安建工公字〔201</w:t>
      </w:r>
      <w:r>
        <w:rPr>
          <w:rFonts w:hint="eastAsia" w:hAnsi="宋体" w:cs="宋体"/>
          <w:sz w:val="24"/>
          <w:szCs w:val="24"/>
          <w:lang w:val="en-US" w:eastAsia="zh-CN"/>
        </w:rPr>
        <w:t>9</w:t>
      </w:r>
      <w:r>
        <w:rPr>
          <w:rFonts w:hint="eastAsia" w:hAnsi="宋体" w:cs="宋体"/>
          <w:sz w:val="24"/>
          <w:szCs w:val="24"/>
        </w:rPr>
        <w:t>〕</w:t>
      </w:r>
      <w:r>
        <w:rPr>
          <w:rFonts w:hint="eastAsia" w:hAnsi="宋体" w:cs="宋体"/>
          <w:sz w:val="24"/>
          <w:szCs w:val="24"/>
          <w:lang w:val="en-US" w:eastAsia="zh-CN"/>
        </w:rPr>
        <w:t>85</w:t>
      </w:r>
      <w:r>
        <w:rPr>
          <w:rFonts w:hint="eastAsia" w:hAnsi="宋体" w:cs="宋体"/>
          <w:sz w:val="24"/>
          <w:szCs w:val="24"/>
        </w:rPr>
        <w:t>号</w:t>
      </w:r>
    </w:p>
    <w:p>
      <w:pPr>
        <w:autoSpaceDE w:val="0"/>
        <w:autoSpaceDN w:val="0"/>
        <w:adjustRightInd w:val="0"/>
        <w:spacing w:line="420" w:lineRule="exact"/>
        <w:ind w:firstLine="480" w:firstLineChars="200"/>
        <w:jc w:val="center"/>
        <w:outlineLvl w:val="0"/>
        <w:rPr>
          <w:rFonts w:hint="eastAsia" w:hAnsi="宋体" w:eastAsia="宋体" w:cs="宋体"/>
          <w:sz w:val="24"/>
          <w:szCs w:val="24"/>
          <w:lang w:val="en-US" w:eastAsia="zh-CN"/>
        </w:rPr>
      </w:pPr>
      <w:r>
        <w:rPr>
          <w:rFonts w:hint="eastAsia" w:hAnsi="宋体" w:cs="宋体"/>
          <w:sz w:val="24"/>
          <w:szCs w:val="24"/>
          <w:lang w:eastAsia="zh-CN"/>
        </w:rPr>
        <w:t>许昌市建安区住房和城乡建设局</w:t>
      </w:r>
    </w:p>
    <w:p>
      <w:pPr>
        <w:autoSpaceDE w:val="0"/>
        <w:autoSpaceDN w:val="0"/>
        <w:adjustRightInd w:val="0"/>
        <w:spacing w:line="4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val="en-US" w:eastAsia="zh-CN"/>
        </w:rPr>
        <w:t>许昌市建安区南湖苑及工商局家属院改造项目</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rPr>
          <w:rFonts w:hint="eastAsia" w:hAnsi="宋体" w:cs="宋体"/>
          <w:sz w:val="24"/>
          <w:szCs w:val="24"/>
          <w:lang w:val="en-US" w:eastAsia="zh-CN"/>
        </w:rPr>
      </w:pPr>
      <w:r>
        <w:rPr>
          <w:rFonts w:hint="eastAsia" w:hAnsi="宋体" w:cs="宋体"/>
          <w:sz w:val="24"/>
          <w:szCs w:val="24"/>
        </w:rPr>
        <w:t>1、项目编号：</w:t>
      </w:r>
      <w:r>
        <w:rPr>
          <w:rFonts w:hint="eastAsia" w:hAnsi="宋体" w:cs="宋体"/>
          <w:sz w:val="24"/>
          <w:szCs w:val="24"/>
          <w:lang w:val="en-US" w:eastAsia="zh-CN"/>
        </w:rPr>
        <w:t>建安建工公字〔2019〕85号。</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许昌市建安区南湖苑及工商局家属院改造项目</w:t>
      </w:r>
      <w:r>
        <w:rPr>
          <w:rFonts w:hint="eastAsia"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rPr>
          <w:rFonts w:hAnsi="宋体" w:cs="宋体"/>
          <w:sz w:val="24"/>
          <w:szCs w:val="24"/>
        </w:rPr>
      </w:pPr>
      <w:r>
        <w:rPr>
          <w:rFonts w:hAnsi="宋体" w:cs="宋体"/>
          <w:sz w:val="24"/>
          <w:szCs w:val="24"/>
        </w:rPr>
        <w:t>3、招标单位：</w:t>
      </w:r>
      <w:r>
        <w:rPr>
          <w:rFonts w:hint="eastAsia" w:hAnsi="宋体" w:cs="宋体"/>
          <w:sz w:val="24"/>
          <w:szCs w:val="22"/>
          <w:lang w:eastAsia="zh-CN"/>
        </w:rPr>
        <w:t>许昌市建安区住房和城乡建设局</w:t>
      </w:r>
      <w:r>
        <w:rPr>
          <w:rFonts w:hint="eastAsia"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Ansi="宋体" w:cs="宋体"/>
          <w:sz w:val="24"/>
          <w:szCs w:val="24"/>
        </w:rPr>
        <w:t>4、项目简介：</w:t>
      </w:r>
      <w:r>
        <w:rPr>
          <w:rFonts w:hint="eastAsia" w:hAnsi="宋体" w:cs="宋体"/>
          <w:sz w:val="24"/>
          <w:szCs w:val="24"/>
          <w:lang w:val="en-US" w:eastAsia="zh-CN"/>
        </w:rPr>
        <w:t>工商局家属院位于许昌市许由路与魏风路交叉口东南区域，南湖苑家属院位于许昌市运河街与农贸路交叉口东南区域，</w:t>
      </w:r>
      <w:r>
        <w:rPr>
          <w:rFonts w:hint="eastAsia" w:hAnsi="宋体" w:cs="宋体"/>
          <w:sz w:val="24"/>
          <w:szCs w:val="22"/>
          <w:lang w:val="en-US" w:eastAsia="zh-CN"/>
        </w:rPr>
        <w:t>其内容包括：排水改造、地面改造、墙面改造、电气改造及其他零星工程。</w:t>
      </w:r>
      <w:r>
        <w:rPr>
          <w:rFonts w:hint="eastAsia" w:hAnsi="宋体" w:cs="宋体"/>
          <w:sz w:val="24"/>
          <w:szCs w:val="22"/>
          <w:lang w:eastAsia="zh-CN"/>
        </w:rPr>
        <w:t xml:space="preserve"> </w:t>
      </w:r>
    </w:p>
    <w:p>
      <w:pPr>
        <w:keepNext w:val="0"/>
        <w:keepLines w:val="0"/>
        <w:pageBreakBefore w:val="0"/>
        <w:widowControl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5、标段划分：共分为一个标段。</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2"/>
        </w:rPr>
      </w:pPr>
      <w:r>
        <w:rPr>
          <w:rFonts w:hint="eastAsia" w:hAnsi="宋体" w:cs="宋体"/>
          <w:sz w:val="24"/>
          <w:szCs w:val="24"/>
        </w:rPr>
        <w:t>6</w:t>
      </w:r>
      <w:r>
        <w:rPr>
          <w:rFonts w:hAnsi="宋体" w:cs="宋体"/>
          <w:sz w:val="24"/>
          <w:szCs w:val="24"/>
        </w:rPr>
        <w:t>、资金预算：</w:t>
      </w:r>
      <w:r>
        <w:rPr>
          <w:rFonts w:hint="eastAsia" w:hAnsi="宋体" w:cs="宋体"/>
          <w:sz w:val="24"/>
          <w:szCs w:val="24"/>
          <w:lang w:val="en-US" w:eastAsia="zh-CN"/>
        </w:rPr>
        <w:t>803386.55</w:t>
      </w:r>
      <w:r>
        <w:rPr>
          <w:rFonts w:hint="eastAsia" w:hAnsi="宋体" w:cs="宋体"/>
          <w:sz w:val="24"/>
          <w:szCs w:val="22"/>
        </w:rPr>
        <w:t>元。</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rPr>
        <w:t>7</w:t>
      </w:r>
      <w:r>
        <w:rPr>
          <w:rFonts w:hAnsi="宋体" w:cs="宋体"/>
          <w:sz w:val="24"/>
          <w:szCs w:val="24"/>
        </w:rPr>
        <w:t>、计划工期：</w:t>
      </w:r>
      <w:r>
        <w:rPr>
          <w:rFonts w:hint="eastAsia" w:hAnsi="宋体" w:cs="宋体"/>
          <w:color w:val="auto"/>
          <w:sz w:val="24"/>
          <w:szCs w:val="24"/>
          <w:lang w:val="en-US" w:eastAsia="zh-CN"/>
        </w:rPr>
        <w:t>60</w:t>
      </w:r>
      <w:r>
        <w:rPr>
          <w:rFonts w:hint="eastAsia" w:hAnsi="宋体" w:cs="宋体"/>
          <w:color w:val="auto"/>
          <w:sz w:val="24"/>
          <w:szCs w:val="24"/>
        </w:rPr>
        <w:t>日历天。</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rPr>
        <w:t>8、质量要求：达到国家建设工程质量验收的规范和标准(合格)。</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Ansi="宋体" w:cs="宋体"/>
          <w:b/>
          <w:bCs/>
          <w:sz w:val="24"/>
          <w:szCs w:val="24"/>
        </w:rPr>
      </w:pPr>
      <w:r>
        <w:rPr>
          <w:rFonts w:hAnsi="宋体" w:cs="宋体"/>
          <w:b/>
          <w:bCs/>
          <w:sz w:val="24"/>
          <w:szCs w:val="24"/>
        </w:rPr>
        <w:t>二、投标人资格要求</w:t>
      </w:r>
    </w:p>
    <w:p>
      <w:pPr>
        <w:keepNext w:val="0"/>
        <w:keepLines w:val="0"/>
        <w:pageBreakBefore w:val="0"/>
        <w:kinsoku/>
        <w:wordWrap/>
        <w:overflowPunct/>
        <w:topLinePunct w:val="0"/>
        <w:autoSpaceDE w:val="0"/>
        <w:autoSpaceDN w:val="0"/>
        <w:bidi w:val="0"/>
        <w:adjustRightInd w:val="0"/>
        <w:snapToGrid/>
        <w:spacing w:line="400" w:lineRule="exact"/>
        <w:ind w:left="0" w:leftChars="0" w:firstLine="240" w:firstLineChars="100"/>
        <w:jc w:val="left"/>
        <w:textAlignment w:val="auto"/>
        <w:outlineLvl w:val="0"/>
        <w:rPr>
          <w:rFonts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 xml:space="preserve">1、须具备独立的法人资格。 </w:t>
      </w:r>
    </w:p>
    <w:p>
      <w:pPr>
        <w:keepNext w:val="0"/>
        <w:keepLines w:val="0"/>
        <w:pageBreakBefore w:val="0"/>
        <w:kinsoku/>
        <w:wordWrap/>
        <w:overflowPunct/>
        <w:topLinePunct w:val="0"/>
        <w:autoSpaceDE w:val="0"/>
        <w:autoSpaceDN w:val="0"/>
        <w:bidi w:val="0"/>
        <w:adjustRightInd w:val="0"/>
        <w:snapToGrid/>
        <w:spacing w:line="400" w:lineRule="exact"/>
        <w:ind w:left="0" w:leftChars="0" w:firstLine="240" w:firstLineChars="100"/>
        <w:jc w:val="left"/>
        <w:textAlignment w:val="auto"/>
        <w:outlineLvl w:val="0"/>
        <w:rPr>
          <w:rFonts w:hint="eastAsia"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2</w:t>
      </w:r>
      <w:r>
        <w:rPr>
          <w:rFonts w:hint="eastAsia" w:hAnsi="宋体" w:cs="宋体"/>
          <w:color w:val="0000FF"/>
          <w:sz w:val="24"/>
          <w:szCs w:val="24"/>
        </w:rPr>
        <w:t>、</w:t>
      </w:r>
      <w:r>
        <w:rPr>
          <w:rFonts w:hint="eastAsia" w:hAnsi="宋体" w:cs="宋体"/>
          <w:sz w:val="24"/>
          <w:szCs w:val="24"/>
          <w:lang w:val="en-US" w:eastAsia="zh-CN"/>
        </w:rPr>
        <w:t>须具备建设行政主管部门核发的</w:t>
      </w:r>
      <w:r>
        <w:rPr>
          <w:rFonts w:hint="eastAsia" w:hAnsi="宋体" w:cs="宋体"/>
          <w:sz w:val="24"/>
          <w:szCs w:val="24"/>
        </w:rPr>
        <w:t>建筑工程施工总承包叁级及以上资质</w:t>
      </w:r>
      <w:r>
        <w:rPr>
          <w:rFonts w:hint="eastAsia" w:hAnsi="宋体" w:cs="宋体"/>
          <w:sz w:val="24"/>
          <w:szCs w:val="24"/>
          <w:lang w:val="en-US" w:eastAsia="zh-CN"/>
        </w:rPr>
        <w:t>，具有有效的安全生产许可证，并在人员、设备、资金等方面具备相应的施工能力</w:t>
      </w:r>
      <w:r>
        <w:rPr>
          <w:rFonts w:hint="eastAsia" w:hAnsi="宋体" w:cs="宋体"/>
          <w:sz w:val="24"/>
          <w:szCs w:val="24"/>
        </w:rPr>
        <w:t>。</w:t>
      </w:r>
    </w:p>
    <w:p>
      <w:pPr>
        <w:keepNext w:val="0"/>
        <w:keepLines w:val="0"/>
        <w:pageBreakBefore w:val="0"/>
        <w:kinsoku/>
        <w:wordWrap/>
        <w:overflowPunct/>
        <w:topLinePunct w:val="0"/>
        <w:autoSpaceDE w:val="0"/>
        <w:autoSpaceDN w:val="0"/>
        <w:bidi w:val="0"/>
        <w:adjustRightInd w:val="0"/>
        <w:snapToGrid/>
        <w:spacing w:line="400" w:lineRule="exact"/>
        <w:ind w:left="0" w:leftChars="0" w:firstLine="240" w:firstLineChars="100"/>
        <w:jc w:val="left"/>
        <w:textAlignment w:val="auto"/>
        <w:outlineLvl w:val="0"/>
        <w:rPr>
          <w:rFonts w:hint="eastAsia" w:hAnsi="宋体" w:cs="宋体"/>
          <w:sz w:val="24"/>
          <w:szCs w:val="24"/>
          <w:lang w:val="en-US" w:eastAsia="zh-CN"/>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3、</w:t>
      </w:r>
      <w:r>
        <w:rPr>
          <w:rFonts w:hint="eastAsia" w:hAnsi="宋体" w:cs="宋体"/>
          <w:sz w:val="24"/>
          <w:szCs w:val="24"/>
          <w:lang w:val="en-US" w:eastAsia="zh-CN"/>
        </w:rPr>
        <w:t>拟派建造师须具备建筑工程专业贰级及以上注册建造师资格，且具有有效的安全生产考核合格证书，并未担任其他在建工程。</w:t>
      </w:r>
    </w:p>
    <w:p>
      <w:pPr>
        <w:keepNext w:val="0"/>
        <w:keepLines w:val="0"/>
        <w:pageBreakBefore w:val="0"/>
        <w:kinsoku/>
        <w:wordWrap/>
        <w:overflowPunct/>
        <w:topLinePunct w:val="0"/>
        <w:autoSpaceDE w:val="0"/>
        <w:autoSpaceDN w:val="0"/>
        <w:bidi w:val="0"/>
        <w:adjustRightInd w:val="0"/>
        <w:snapToGrid/>
        <w:spacing w:line="400" w:lineRule="exact"/>
        <w:ind w:left="0" w:leftChars="0" w:firstLine="480" w:firstLineChars="2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4、</w:t>
      </w:r>
      <w:r>
        <w:rPr>
          <w:rFonts w:hint="eastAsia" w:hAnsi="宋体" w:cs="仿宋_GB2312"/>
          <w:color w:val="auto"/>
          <w:kern w:val="2"/>
          <w:sz w:val="24"/>
          <w:szCs w:val="24"/>
          <w:highlight w:val="none"/>
          <w:shd w:val="clear" w:color="auto" w:fill="FFFFFF"/>
          <w:lang w:val="en-US" w:eastAsia="zh-CN" w:bidi="ar-SA"/>
        </w:rPr>
        <w:t>不接受投标人被“信用中国”和“信用河南”网站信用信息栏列入黑名单，以及被“国家企业信用信息公示系统”列入经营异常名录或严重失信黑名单的投标</w:t>
      </w:r>
      <w:r>
        <w:rPr>
          <w:rFonts w:hint="eastAsia" w:hAnsi="宋体" w:cs="宋体"/>
          <w:sz w:val="24"/>
          <w:szCs w:val="24"/>
          <w:lang w:val="en-US" w:eastAsia="zh-CN"/>
        </w:rPr>
        <w:t>。</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5</w:t>
      </w:r>
      <w:r>
        <w:rPr>
          <w:rFonts w:hint="eastAsia" w:hAnsi="宋体" w:cs="宋体"/>
          <w:sz w:val="24"/>
          <w:szCs w:val="24"/>
        </w:rPr>
        <w:t>、不接受联合体投标。</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6</w:t>
      </w:r>
      <w:r>
        <w:rPr>
          <w:rFonts w:hint="eastAsia" w:hAnsi="宋体" w:cs="宋体"/>
          <w:sz w:val="24"/>
          <w:szCs w:val="24"/>
        </w:rPr>
        <w:t>、本次招标实行资格后审。</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Ansi="宋体"/>
          <w:b/>
          <w:sz w:val="24"/>
        </w:rPr>
      </w:pPr>
      <w:r>
        <w:rPr>
          <w:rFonts w:hint="eastAsia" w:hAnsi="宋体" w:cs="宋体"/>
          <w:b/>
          <w:bCs/>
          <w:sz w:val="24"/>
          <w:szCs w:val="24"/>
        </w:rPr>
        <w:t xml:space="preserve">四、招标文件和施工图纸的获取  </w:t>
      </w:r>
      <w:r>
        <w:rPr>
          <w:rFonts w:hint="eastAsia" w:hAnsi="宋体"/>
          <w:b/>
          <w:sz w:val="24"/>
        </w:rPr>
        <w:t xml:space="preserve">                                                                                                                                                                                                                               </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4.1招标文件和工程量清单的获取：投标人于投标文件递交截止时间前均可登录《全国公共资源交易平台(河南省▪许昌市)》（http://ggzy.xuchang.gov.cn/），通过“投标人/供应商登录” 入口自行下载。</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color w:val="auto"/>
          <w:sz w:val="24"/>
          <w:szCs w:val="24"/>
        </w:rPr>
      </w:pPr>
      <w:r>
        <w:rPr>
          <w:rFonts w:hint="eastAsia" w:hAnsi="宋体" w:cs="宋体"/>
          <w:sz w:val="24"/>
          <w:szCs w:val="24"/>
        </w:rPr>
        <w:t>4.2施工图纸下载</w:t>
      </w:r>
      <w:r>
        <w:rPr>
          <w:rFonts w:hint="eastAsia" w:hAnsi="宋体" w:cs="宋体"/>
          <w:sz w:val="24"/>
          <w:szCs w:val="24"/>
          <w:lang w:val="en-US" w:eastAsia="zh-CN"/>
        </w:rPr>
        <w:t>网址</w:t>
      </w:r>
      <w:r>
        <w:rPr>
          <w:rFonts w:hint="eastAsia" w:hAnsi="宋体" w:cs="宋体"/>
          <w:color w:val="auto"/>
          <w:sz w:val="24"/>
          <w:szCs w:val="24"/>
        </w:rPr>
        <w:t xml:space="preserve">：https://pan.baidu.com/s/1e-GKygI5PfFIO77rBRqoYA </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color w:val="auto"/>
          <w:sz w:val="24"/>
          <w:szCs w:val="24"/>
        </w:rPr>
      </w:pPr>
      <w:r>
        <w:rPr>
          <w:rFonts w:hint="eastAsia" w:hAnsi="宋体" w:cs="宋体"/>
          <w:color w:val="auto"/>
          <w:sz w:val="24"/>
          <w:szCs w:val="24"/>
        </w:rPr>
        <w:t>提取码：ip4n 。</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4.3招标文件每套售价300元，于递交投标文件时缴纳给招标代理机构，售后不退。</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Ansi="宋体" w:cs="宋体"/>
          <w:b/>
          <w:bCs/>
          <w:sz w:val="24"/>
          <w:szCs w:val="24"/>
        </w:rPr>
      </w:pPr>
      <w:r>
        <w:rPr>
          <w:rFonts w:hint="eastAsia" w:hAnsi="宋体" w:cs="宋体"/>
          <w:b/>
          <w:bCs/>
          <w:sz w:val="24"/>
          <w:szCs w:val="24"/>
        </w:rPr>
        <w:t>五、投标文件的递交</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5.1 本项目为全流程电子化交易项目，须提交电子投标文件和纸质投标文件（正本1份、副本</w:t>
      </w:r>
      <w:r>
        <w:rPr>
          <w:rFonts w:hint="eastAsia" w:hAnsi="宋体" w:cs="宋体"/>
          <w:sz w:val="24"/>
          <w:szCs w:val="24"/>
          <w:lang w:val="en-US" w:eastAsia="zh-CN"/>
        </w:rPr>
        <w:t>1</w:t>
      </w:r>
      <w:r>
        <w:rPr>
          <w:rFonts w:hint="eastAsia" w:hAnsi="宋体" w:cs="宋体"/>
          <w:sz w:val="24"/>
          <w:szCs w:val="24"/>
        </w:rPr>
        <w:t>份）。</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rPr>
      </w:pPr>
      <w:r>
        <w:rPr>
          <w:rFonts w:hint="eastAsia" w:hAnsi="宋体" w:cs="宋体"/>
          <w:sz w:val="24"/>
          <w:szCs w:val="24"/>
        </w:rPr>
        <w:t>5.2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6</w:t>
      </w:r>
      <w:r>
        <w:rPr>
          <w:rFonts w:hint="eastAsia" w:hAnsi="宋体" w:cs="宋体"/>
          <w:sz w:val="24"/>
          <w:szCs w:val="24"/>
        </w:rPr>
        <w:t>月</w:t>
      </w:r>
      <w:r>
        <w:rPr>
          <w:rFonts w:hint="eastAsia" w:hAnsi="宋体" w:cs="宋体"/>
          <w:sz w:val="24"/>
          <w:szCs w:val="24"/>
          <w:lang w:val="en-US" w:eastAsia="zh-CN"/>
        </w:rPr>
        <w:t>14</w:t>
      </w:r>
      <w:r>
        <w:rPr>
          <w:rFonts w:hint="eastAsia" w:hAnsi="宋体" w:cs="宋体"/>
          <w:sz w:val="24"/>
          <w:szCs w:val="24"/>
        </w:rPr>
        <w:t>日9时30分。</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5.4纸质投标文件提交地点：许昌市建安区新元大道兴业大厦4楼</w:t>
      </w:r>
      <w:r>
        <w:rPr>
          <w:rFonts w:hint="eastAsia" w:hAnsi="宋体" w:cs="宋体"/>
          <w:color w:val="auto"/>
          <w:sz w:val="24"/>
          <w:szCs w:val="24"/>
          <w:lang w:val="en-US" w:eastAsia="zh-CN"/>
        </w:rPr>
        <w:t>开标二室</w:t>
      </w:r>
      <w:r>
        <w:rPr>
          <w:rFonts w:hint="eastAsia" w:hAnsi="宋体" w:cs="宋体"/>
          <w:sz w:val="24"/>
          <w:szCs w:val="24"/>
        </w:rPr>
        <w:t>。</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keepNext w:val="0"/>
        <w:keepLines w:val="0"/>
        <w:pageBreakBefore w:val="0"/>
        <w:widowControl/>
        <w:kinsoku/>
        <w:wordWrap/>
        <w:overflowPunct/>
        <w:topLinePunct w:val="0"/>
        <w:bidi w:val="0"/>
        <w:snapToGrid/>
        <w:spacing w:line="400" w:lineRule="exact"/>
        <w:textAlignment w:val="auto"/>
        <w:rPr>
          <w:rFonts w:hAnsi="宋体"/>
          <w:b/>
          <w:sz w:val="24"/>
        </w:rPr>
      </w:pPr>
      <w:r>
        <w:rPr>
          <w:rFonts w:hint="eastAsia" w:hAnsi="宋体"/>
          <w:b/>
          <w:sz w:val="24"/>
        </w:rPr>
        <w:t>六、发布公告的媒介</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keepNext w:val="0"/>
        <w:keepLines w:val="0"/>
        <w:pageBreakBefore w:val="0"/>
        <w:widowControl/>
        <w:kinsoku/>
        <w:wordWrap/>
        <w:overflowPunct/>
        <w:topLinePunct w:val="0"/>
        <w:bidi w:val="0"/>
        <w:snapToGrid/>
        <w:spacing w:line="400" w:lineRule="exact"/>
        <w:textAlignment w:val="auto"/>
        <w:rPr>
          <w:rFonts w:hAnsi="宋体"/>
          <w:b/>
          <w:sz w:val="24"/>
          <w:szCs w:val="22"/>
        </w:rPr>
      </w:pPr>
      <w:r>
        <w:rPr>
          <w:rFonts w:hint="eastAsia" w:hAnsi="宋体"/>
          <w:b/>
          <w:sz w:val="24"/>
          <w:szCs w:val="22"/>
        </w:rPr>
        <w:t>七、联系方式</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招  标  人：</w:t>
      </w:r>
      <w:r>
        <w:rPr>
          <w:rFonts w:hint="eastAsia" w:hAnsi="宋体" w:cs="宋体"/>
          <w:sz w:val="24"/>
          <w:szCs w:val="24"/>
          <w:lang w:eastAsia="zh-CN"/>
        </w:rPr>
        <w:t>许昌市建安区住房和城乡建设局</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lang w:eastAsia="zh-CN"/>
        </w:rPr>
      </w:pPr>
      <w:r>
        <w:rPr>
          <w:rFonts w:hint="eastAsia" w:hAnsi="宋体" w:cs="宋体"/>
          <w:sz w:val="24"/>
          <w:szCs w:val="24"/>
        </w:rPr>
        <w:t>项目负责人：</w:t>
      </w:r>
      <w:r>
        <w:rPr>
          <w:rFonts w:hint="eastAsia" w:hAnsi="宋体" w:cs="宋体"/>
          <w:sz w:val="24"/>
          <w:szCs w:val="24"/>
          <w:lang w:val="en-US" w:eastAsia="zh-CN"/>
        </w:rPr>
        <w:t>杨会芳</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13849880890</w:t>
      </w:r>
      <w:r>
        <w:rPr>
          <w:rFonts w:hint="eastAsia" w:hAnsi="宋体" w:cs="宋体"/>
          <w:sz w:val="24"/>
          <w:szCs w:val="24"/>
          <w:lang w:val="zh-CN" w:eastAsia="zh-CN"/>
        </w:rPr>
        <w:t xml:space="preserve">  </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lang w:eastAsia="zh-CN"/>
        </w:rPr>
      </w:pPr>
      <w:r>
        <w:rPr>
          <w:rFonts w:hint="eastAsia" w:hAnsi="宋体" w:cs="宋体"/>
          <w:sz w:val="24"/>
          <w:szCs w:val="24"/>
        </w:rPr>
        <w:t>代理  机构：</w:t>
      </w:r>
      <w:r>
        <w:rPr>
          <w:rFonts w:hint="eastAsia" w:hAnsi="宋体" w:cs="宋体"/>
          <w:sz w:val="24"/>
          <w:szCs w:val="24"/>
          <w:lang w:eastAsia="zh-CN"/>
        </w:rPr>
        <w:t>河南天扬工程项目管理有限公司</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项目负责人：</w:t>
      </w:r>
      <w:r>
        <w:rPr>
          <w:rFonts w:hint="eastAsia" w:hAnsi="宋体" w:cs="宋体"/>
          <w:sz w:val="24"/>
          <w:szCs w:val="24"/>
          <w:lang w:val="en-US" w:eastAsia="zh-CN"/>
        </w:rPr>
        <w:t>齐小换</w:t>
      </w:r>
    </w:p>
    <w:p>
      <w:pPr>
        <w:keepNext w:val="0"/>
        <w:keepLines w:val="0"/>
        <w:pageBreakBefore w:val="0"/>
        <w:kinsoku/>
        <w:wordWrap/>
        <w:overflowPunct/>
        <w:topLinePunct w:val="0"/>
        <w:bidi w:val="0"/>
        <w:snapToGrid/>
        <w:spacing w:line="400" w:lineRule="exact"/>
        <w:ind w:firstLine="480" w:firstLineChars="200"/>
        <w:jc w:val="left"/>
        <w:textAlignment w:val="auto"/>
        <w:rPr>
          <w:rFonts w:hint="default"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13938775087</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720" w:firstLineChars="300"/>
        <w:jc w:val="right"/>
        <w:rPr>
          <w:rFonts w:hint="eastAsia" w:hAnsi="宋体" w:eastAsia="宋体" w:cs="宋体"/>
          <w:sz w:val="24"/>
          <w:szCs w:val="24"/>
          <w:lang w:val="en-US" w:eastAsia="zh-CN"/>
        </w:rPr>
      </w:pPr>
      <w:r>
        <w:rPr>
          <w:rFonts w:hint="eastAsia" w:hAnsi="宋体" w:cs="宋体"/>
          <w:sz w:val="24"/>
          <w:szCs w:val="24"/>
          <w:lang w:eastAsia="zh-CN"/>
        </w:rPr>
        <w:t>许昌市建安区住房和城乡建设局</w:t>
      </w:r>
    </w:p>
    <w:p>
      <w:pPr>
        <w:pStyle w:val="2"/>
        <w:ind w:firstLine="6720" w:firstLineChars="2800"/>
        <w:jc w:val="right"/>
        <w:rPr>
          <w:rFonts w:hint="eastAsia" w:hAnsi="宋体" w:cs="宋体"/>
          <w:sz w:val="24"/>
          <w:szCs w:val="24"/>
          <w:lang w:val="en-US" w:eastAsia="zh-CN"/>
        </w:rPr>
      </w:pPr>
      <w:r>
        <w:rPr>
          <w:rFonts w:hint="eastAsia" w:hAnsi="宋体" w:cs="宋体"/>
          <w:sz w:val="24"/>
          <w:szCs w:val="24"/>
          <w:lang w:val="en-US" w:eastAsia="zh-CN"/>
        </w:rPr>
        <w:t xml:space="preserve">2019年5月22日    </w:t>
      </w:r>
    </w:p>
    <w:p>
      <w:pPr>
        <w:pStyle w:val="2"/>
        <w:ind w:firstLine="6240" w:firstLineChars="2600"/>
        <w:rPr>
          <w:rFonts w:hint="eastAsia" w:hAnsi="宋体" w:cs="宋体"/>
          <w:sz w:val="24"/>
          <w:szCs w:val="24"/>
          <w:lang w:val="en-US" w:eastAsia="zh-CN"/>
        </w:rPr>
      </w:pPr>
    </w:p>
    <w:p>
      <w:pPr>
        <w:pStyle w:val="2"/>
        <w:rPr>
          <w:rFonts w:hint="eastAsia"/>
          <w:lang w:val="en-US" w:eastAsia="zh-CN"/>
        </w:rPr>
      </w:pPr>
      <w:r>
        <w:rPr>
          <w:rFonts w:hint="eastAsia"/>
          <w:lang w:val="en-US" w:eastAsia="zh-CN"/>
        </w:rPr>
        <w:t xml:space="preserve"> </w:t>
      </w:r>
    </w:p>
    <w:p>
      <w:pPr>
        <w:pStyle w:val="2"/>
        <w:rPr>
          <w:rFonts w:hint="eastAsia"/>
          <w:lang w:val="en-US" w:eastAsia="zh-CN"/>
        </w:rPr>
      </w:pPr>
    </w:p>
    <w:p>
      <w:pPr>
        <w:pStyle w:val="2"/>
        <w:rPr>
          <w:rFonts w:hint="eastAsia"/>
          <w:lang w:val="en-US" w:eastAsia="zh-CN"/>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firstLine="360" w:firstLineChars="100"/>
        <w:rPr>
          <w:rFonts w:hAnsi="宋体" w:cs="黑体"/>
          <w:b/>
          <w:sz w:val="36"/>
          <w:szCs w:val="36"/>
        </w:rPr>
      </w:pP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8"/>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lang w:val="zh-CN"/>
              </w:rPr>
              <w:t>招 标 人：许昌市建安区住房和城乡建设局</w:t>
            </w:r>
          </w:p>
          <w:p>
            <w:pPr>
              <w:autoSpaceDE w:val="0"/>
              <w:autoSpaceDN w:val="0"/>
              <w:adjustRightInd w:val="0"/>
              <w:spacing w:line="320" w:lineRule="exact"/>
              <w:rPr>
                <w:rFonts w:hint="eastAsia" w:hAnsi="宋体"/>
                <w:sz w:val="24"/>
                <w:szCs w:val="22"/>
                <w:lang w:val="zh-CN"/>
              </w:rPr>
            </w:pPr>
            <w:r>
              <w:rPr>
                <w:rFonts w:hint="eastAsia" w:hAnsi="宋体"/>
                <w:sz w:val="24"/>
                <w:szCs w:val="22"/>
                <w:lang w:val="zh-CN"/>
              </w:rPr>
              <w:t>地    址：许昌市建安区</w:t>
            </w:r>
          </w:p>
          <w:p>
            <w:pPr>
              <w:autoSpaceDE w:val="0"/>
              <w:autoSpaceDN w:val="0"/>
              <w:adjustRightInd w:val="0"/>
              <w:spacing w:line="320" w:lineRule="exact"/>
              <w:rPr>
                <w:rFonts w:hint="eastAsia" w:hAnsi="宋体"/>
                <w:sz w:val="24"/>
                <w:szCs w:val="22"/>
                <w:lang w:val="zh-CN" w:eastAsia="zh-CN"/>
              </w:rPr>
            </w:pPr>
            <w:r>
              <w:rPr>
                <w:rFonts w:hint="eastAsia" w:hAnsi="宋体"/>
                <w:sz w:val="24"/>
                <w:szCs w:val="22"/>
                <w:lang w:val="zh-CN"/>
              </w:rPr>
              <w:t>联 系 人：</w:t>
            </w:r>
            <w:r>
              <w:rPr>
                <w:rFonts w:hint="eastAsia" w:hAnsi="宋体"/>
                <w:sz w:val="24"/>
                <w:szCs w:val="22"/>
                <w:lang w:val="en-US" w:eastAsia="zh-CN"/>
              </w:rPr>
              <w:t>杨会芳</w:t>
            </w:r>
          </w:p>
          <w:p>
            <w:pPr>
              <w:autoSpaceDE w:val="0"/>
              <w:autoSpaceDN w:val="0"/>
              <w:adjustRightInd w:val="0"/>
              <w:spacing w:line="320" w:lineRule="exact"/>
              <w:rPr>
                <w:rFonts w:hAnsi="宋体"/>
                <w:bCs/>
                <w:sz w:val="24"/>
              </w:rPr>
            </w:pPr>
            <w:r>
              <w:rPr>
                <w:rFonts w:hint="eastAsia" w:hAnsi="宋体"/>
                <w:sz w:val="24"/>
                <w:szCs w:val="22"/>
                <w:lang w:val="zh-CN"/>
              </w:rPr>
              <w:t>联系电话：</w:t>
            </w:r>
            <w:r>
              <w:rPr>
                <w:rFonts w:hint="eastAsia" w:hAnsi="宋体"/>
                <w:sz w:val="24"/>
                <w:szCs w:val="22"/>
                <w:lang w:val="en-US" w:eastAsia="zh-CN"/>
              </w:rPr>
              <w:t>13849880890</w:t>
            </w:r>
            <w:r>
              <w:rPr>
                <w:rFonts w:hint="eastAsia" w:hAnsi="宋体"/>
                <w:sz w:val="24"/>
                <w:szCs w:val="22"/>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int="eastAsia" w:hAnsi="宋体" w:eastAsia="宋体"/>
                <w:sz w:val="24"/>
                <w:lang w:eastAsia="zh-CN"/>
              </w:rPr>
            </w:pPr>
            <w:r>
              <w:rPr>
                <w:rFonts w:hint="eastAsia" w:hAnsi="宋体"/>
                <w:sz w:val="24"/>
              </w:rPr>
              <w:t>代理机构：</w:t>
            </w:r>
            <w:r>
              <w:rPr>
                <w:rFonts w:hint="eastAsia" w:hAnsi="宋体"/>
                <w:sz w:val="24"/>
                <w:lang w:eastAsia="zh-CN"/>
              </w:rPr>
              <w:t>河南天扬工程项目管理有限公司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 系 人：</w:t>
            </w:r>
            <w:r>
              <w:rPr>
                <w:rFonts w:hint="eastAsia" w:hAnsi="宋体"/>
                <w:sz w:val="24"/>
                <w:lang w:val="en-US" w:eastAsia="zh-CN"/>
              </w:rPr>
              <w:t>齐小换</w:t>
            </w:r>
          </w:p>
          <w:p>
            <w:pPr>
              <w:autoSpaceDE w:val="0"/>
              <w:autoSpaceDN w:val="0"/>
              <w:adjustRightInd w:val="0"/>
              <w:spacing w:line="320" w:lineRule="exact"/>
              <w:rPr>
                <w:rFonts w:hint="default" w:hAnsi="宋体" w:eastAsia="宋体"/>
                <w:sz w:val="24"/>
                <w:lang w:val="en-US" w:eastAsia="zh-CN"/>
              </w:rPr>
            </w:pPr>
            <w:r>
              <w:rPr>
                <w:rFonts w:hint="eastAsia" w:hAnsi="宋体"/>
                <w:sz w:val="24"/>
              </w:rPr>
              <w:t>联系电话：</w:t>
            </w:r>
            <w:r>
              <w:rPr>
                <w:rFonts w:hint="eastAsia" w:hAnsi="宋体"/>
                <w:sz w:val="24"/>
                <w:lang w:val="en-US" w:eastAsia="zh-CN"/>
              </w:rPr>
              <w:t>13938775087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eastAsia="zh-CN"/>
              </w:rPr>
            </w:pPr>
            <w:r>
              <w:rPr>
                <w:rFonts w:hAnsi="宋体" w:cs="TimesNewRomanPSMT"/>
                <w:sz w:val="24"/>
              </w:rPr>
              <w:t>1.1.</w:t>
            </w:r>
            <w:r>
              <w:rPr>
                <w:rFonts w:hint="eastAsia" w:hAnsi="宋体" w:cs="TimesNewRomanPSMT"/>
                <w:sz w:val="24"/>
                <w:lang w:val="en-US" w:eastAsia="zh-CN"/>
              </w:rPr>
              <w:t>3</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420" w:lineRule="exact"/>
              <w:jc w:val="left"/>
              <w:outlineLvl w:val="0"/>
              <w:rPr>
                <w:rFonts w:hAnsi="宋体"/>
                <w:b/>
                <w:sz w:val="24"/>
                <w:lang w:val="en-US"/>
              </w:rPr>
            </w:pPr>
            <w:r>
              <w:rPr>
                <w:rFonts w:hint="eastAsia" w:hAnsi="宋体" w:cs="宋体"/>
                <w:sz w:val="24"/>
                <w:szCs w:val="24"/>
                <w:lang w:val="en-US" w:eastAsia="zh-CN"/>
              </w:rPr>
              <w:t>许昌市建安区南湖苑及工商局家属院改造项目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eastAsia="zh-CN"/>
              </w:rPr>
            </w:pPr>
            <w:r>
              <w:rPr>
                <w:rFonts w:hAnsi="宋体" w:cs="TimesNewRomanPSMT"/>
                <w:sz w:val="24"/>
              </w:rPr>
              <w:t>1.1.</w:t>
            </w:r>
            <w:r>
              <w:rPr>
                <w:rFonts w:hint="eastAsia" w:hAnsi="宋体" w:cs="TimesNewRomanPSMT"/>
                <w:sz w:val="24"/>
                <w:lang w:val="en-US" w:eastAsia="zh-CN"/>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int="eastAsia" w:hAnsi="宋体" w:eastAsia="宋体" w:cs="仿宋_GB2312"/>
                <w:sz w:val="24"/>
                <w:szCs w:val="24"/>
                <w:lang w:val="en-US" w:eastAsia="zh-CN"/>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int="eastAsia" w:hAnsi="宋体"/>
                <w:sz w:val="24"/>
                <w:szCs w:val="22"/>
              </w:rPr>
            </w:pPr>
            <w:r>
              <w:rPr>
                <w:rFonts w:hint="eastAsia" w:hAnsi="宋体"/>
                <w:sz w:val="24"/>
                <w:szCs w:val="22"/>
              </w:rPr>
              <w:t>招标文件、工程量清单、施工图纸、答疑纪要和补充文件（如有）范围内的所有建设内容。</w:t>
            </w:r>
          </w:p>
          <w:p>
            <w:pPr>
              <w:autoSpaceDE w:val="0"/>
              <w:autoSpaceDN w:val="0"/>
              <w:adjustRightInd w:val="0"/>
              <w:spacing w:line="320" w:lineRule="exact"/>
              <w:rPr>
                <w:rFonts w:hint="eastAsia" w:hAnsi="宋体"/>
                <w:sz w:val="24"/>
                <w:szCs w:val="22"/>
              </w:rPr>
            </w:pPr>
            <w:r>
              <w:rPr>
                <w:rFonts w:hint="eastAsia" w:hAnsi="宋体"/>
                <w:sz w:val="24"/>
                <w:szCs w:val="22"/>
              </w:rPr>
              <w:t>主要内容为</w:t>
            </w:r>
            <w:r>
              <w:rPr>
                <w:rFonts w:hint="eastAsia" w:hAnsi="宋体"/>
                <w:sz w:val="24"/>
                <w:szCs w:val="22"/>
                <w:lang w:val="en-US" w:eastAsia="zh-CN"/>
              </w:rPr>
              <w:t>排水改造、地面改造、墙面改造、电气改造及其他零星工程</w:t>
            </w:r>
            <w:r>
              <w:rPr>
                <w:rFonts w:hint="eastAsia" w:hAnsi="宋体"/>
                <w:sz w:val="24"/>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320" w:lineRule="exact"/>
              <w:rPr>
                <w:rFonts w:hint="eastAsia" w:hAnsi="宋体" w:cs="宋体"/>
                <w:sz w:val="24"/>
                <w:szCs w:val="22"/>
                <w:lang w:val="en-US" w:eastAsia="zh-CN"/>
              </w:rPr>
            </w:pPr>
            <w:r>
              <w:rPr>
                <w:rFonts w:hint="eastAsia" w:hAnsi="宋体" w:cs="宋体"/>
                <w:sz w:val="24"/>
                <w:szCs w:val="22"/>
                <w:lang w:val="en-US" w:eastAsia="zh-CN"/>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int="eastAsia" w:hAnsi="宋体" w:cs="宋体"/>
                <w:sz w:val="24"/>
                <w:szCs w:val="22"/>
                <w:lang w:val="en-US" w:eastAsia="zh-CN"/>
              </w:rPr>
            </w:pPr>
            <w:r>
              <w:rPr>
                <w:rFonts w:hint="eastAsia" w:hAnsi="宋体" w:cs="宋体"/>
                <w:sz w:val="24"/>
                <w:szCs w:val="22"/>
                <w:lang w:val="en-US" w:eastAsia="zh-CN"/>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int="eastAsia" w:hAnsi="宋体" w:cs="宋体"/>
                <w:sz w:val="24"/>
                <w:szCs w:val="22"/>
                <w:lang w:val="en-US" w:eastAsia="zh-CN"/>
              </w:rPr>
            </w:pPr>
            <w:r>
              <w:rPr>
                <w:rFonts w:hint="eastAsia" w:hAnsi="宋体" w:cs="宋体"/>
                <w:sz w:val="24"/>
                <w:szCs w:val="22"/>
                <w:lang w:val="en-US" w:eastAsia="zh-CN"/>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 xml:space="preserve">1、须具备独立的法人资格。 </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2、须具备建设行政主管部门核发的建筑工程施工总承包叁级及以上资质，具有有效的安全生产许可证，并在人员、设备、资金等方面具备相应的施工能力。</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3、拟派建造师须具备建筑工程专业贰级及以上注册建造师资格，且具有有效的安全生产考核合格证书，并未担任其他在建工程。</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4、不接受投标人被“信用中国”和“信用河南”网站信用信息栏列入黑名单，以及被“国家企业信用信息公示系统”列入经营异常名录或严重失信黑名单的投标。</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5、不接受联合体投标。</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招标文件及图纸的获取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招标文件和工程量清单的获取：投标人于投标文件递交截止时间前均可登录《全国公共资源交易平台(河南省▪许昌市)》（http://ggzy.xuchang.gov.cn/），通过“投标人/供应商登录”后自行下载。</w:t>
            </w:r>
          </w:p>
          <w:p>
            <w:pPr>
              <w:autoSpaceDE w:val="0"/>
              <w:autoSpaceDN w:val="0"/>
              <w:adjustRightInd w:val="0"/>
              <w:spacing w:line="340" w:lineRule="exact"/>
              <w:rPr>
                <w:rFonts w:hint="eastAsia" w:hAnsi="宋体" w:cs="仿宋_GB2312"/>
                <w:sz w:val="24"/>
                <w:szCs w:val="22"/>
              </w:rPr>
            </w:pPr>
            <w:r>
              <w:rPr>
                <w:rFonts w:hint="eastAsia" w:hAnsi="宋体" w:cs="仿宋_GB2312"/>
                <w:sz w:val="24"/>
                <w:szCs w:val="22"/>
              </w:rPr>
              <w:t>图纸下载地址:</w:t>
            </w:r>
          </w:p>
          <w:p>
            <w:pPr>
              <w:keepNext w:val="0"/>
              <w:keepLines w:val="0"/>
              <w:pageBreakBefore w:val="0"/>
              <w:kinsoku/>
              <w:wordWrap/>
              <w:overflowPunct/>
              <w:topLinePunct w:val="0"/>
              <w:bidi w:val="0"/>
              <w:snapToGrid/>
              <w:spacing w:line="400" w:lineRule="exact"/>
              <w:jc w:val="left"/>
              <w:textAlignment w:val="auto"/>
              <w:rPr>
                <w:rFonts w:hint="eastAsia" w:hAnsi="宋体" w:cs="宋体"/>
                <w:color w:val="auto"/>
                <w:sz w:val="24"/>
                <w:szCs w:val="24"/>
              </w:rPr>
            </w:pPr>
            <w:r>
              <w:rPr>
                <w:rFonts w:hint="eastAsia" w:hAnsi="宋体" w:cs="宋体"/>
                <w:color w:val="auto"/>
                <w:sz w:val="24"/>
                <w:szCs w:val="24"/>
              </w:rPr>
              <w:t xml:space="preserve">https://pan.baidu.com/s/1e-GKygI5PfFIO77rBRqoYA </w:t>
            </w:r>
          </w:p>
          <w:p>
            <w:pPr>
              <w:keepNext w:val="0"/>
              <w:keepLines w:val="0"/>
              <w:pageBreakBefore w:val="0"/>
              <w:kinsoku/>
              <w:wordWrap/>
              <w:overflowPunct/>
              <w:topLinePunct w:val="0"/>
              <w:bidi w:val="0"/>
              <w:snapToGrid/>
              <w:spacing w:line="400" w:lineRule="exact"/>
              <w:jc w:val="left"/>
              <w:textAlignment w:val="auto"/>
              <w:rPr>
                <w:rFonts w:hAnsi="宋体" w:cs="仿宋_GB2312"/>
                <w:sz w:val="24"/>
                <w:szCs w:val="22"/>
              </w:rPr>
            </w:pPr>
            <w:r>
              <w:rPr>
                <w:rFonts w:hint="eastAsia" w:hAnsi="宋体" w:cs="宋体"/>
                <w:color w:val="auto"/>
                <w:sz w:val="24"/>
                <w:szCs w:val="24"/>
              </w:rPr>
              <w:t>提取码：ip4n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2.2.2</w:t>
            </w:r>
          </w:p>
        </w:tc>
        <w:tc>
          <w:tcPr>
            <w:tcW w:w="2447" w:type="dxa"/>
            <w:gridSpan w:val="3"/>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auto"/>
                <w:sz w:val="24"/>
                <w:szCs w:val="22"/>
              </w:rPr>
              <w:t>201</w:t>
            </w:r>
            <w:r>
              <w:rPr>
                <w:rFonts w:hint="eastAsia" w:hAnsi="宋体"/>
                <w:bCs/>
                <w:color w:val="auto"/>
                <w:sz w:val="24"/>
                <w:szCs w:val="22"/>
                <w:lang w:val="en-US" w:eastAsia="zh-CN"/>
              </w:rPr>
              <w:t>9</w:t>
            </w:r>
            <w:r>
              <w:rPr>
                <w:rFonts w:hint="eastAsia" w:hAnsi="宋体"/>
                <w:bCs/>
                <w:color w:val="auto"/>
                <w:sz w:val="24"/>
                <w:szCs w:val="22"/>
              </w:rPr>
              <w:t>年</w:t>
            </w:r>
            <w:r>
              <w:rPr>
                <w:rFonts w:hint="eastAsia" w:hAnsi="宋体"/>
                <w:bCs/>
                <w:color w:val="auto"/>
                <w:sz w:val="24"/>
                <w:szCs w:val="22"/>
                <w:lang w:val="en-US" w:eastAsia="zh-CN"/>
              </w:rPr>
              <w:t>6</w:t>
            </w:r>
            <w:r>
              <w:rPr>
                <w:rFonts w:hint="eastAsia" w:hAnsi="宋体"/>
                <w:bCs/>
                <w:color w:val="auto"/>
                <w:sz w:val="24"/>
                <w:szCs w:val="22"/>
              </w:rPr>
              <w:t>月</w:t>
            </w:r>
            <w:r>
              <w:rPr>
                <w:rFonts w:hint="eastAsia" w:hAnsi="宋体"/>
                <w:bCs/>
                <w:color w:val="auto"/>
                <w:sz w:val="24"/>
                <w:szCs w:val="22"/>
                <w:lang w:val="en-US" w:eastAsia="zh-CN"/>
              </w:rPr>
              <w:t>14</w:t>
            </w:r>
            <w:r>
              <w:rPr>
                <w:rFonts w:hint="eastAsia" w:hAnsi="宋体"/>
                <w:bCs/>
                <w:color w:val="auto"/>
                <w:sz w:val="24"/>
                <w:szCs w:val="22"/>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3" w:colFirst="0" w:colLast="2"/>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、201</w:t>
            </w:r>
            <w:r>
              <w:rPr>
                <w:rFonts w:hint="eastAsia" w:hAnsi="宋体" w:cs="仿宋_GB2312"/>
                <w:sz w:val="24"/>
                <w:lang w:val="en-US" w:eastAsia="zh-CN"/>
              </w:rPr>
              <w:t>8</w:t>
            </w:r>
            <w:r>
              <w:rPr>
                <w:rFonts w:hint="eastAsia" w:hAnsi="宋体"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auto"/>
              <w:rPr>
                <w:rFonts w:hAnsi="宋体" w:cs="宋体"/>
                <w:sz w:val="24"/>
                <w:szCs w:val="22"/>
                <w:lang w:val="zh-CN"/>
              </w:rPr>
            </w:pPr>
            <w:r>
              <w:rPr>
                <w:rFonts w:hint="eastAsia" w:hAnsi="宋体" w:cs="宋体"/>
                <w:sz w:val="24"/>
                <w:szCs w:val="22"/>
                <w:lang w:val="zh-CN"/>
              </w:rPr>
              <w:t>1、电子投标文件</w:t>
            </w:r>
          </w:p>
          <w:p>
            <w:pPr>
              <w:spacing w:line="36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auto"/>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auto"/>
              <w:rPr>
                <w:rFonts w:hAnsi="宋体" w:cs="宋体"/>
                <w:sz w:val="24"/>
                <w:szCs w:val="22"/>
                <w:lang w:val="zh-CN"/>
              </w:rPr>
            </w:pPr>
            <w:r>
              <w:rPr>
                <w:rFonts w:hint="eastAsia" w:hAnsi="宋体" w:cs="宋体"/>
                <w:sz w:val="24"/>
                <w:szCs w:val="22"/>
                <w:lang w:val="zh-CN"/>
              </w:rPr>
              <w:t>2、纸质投标文件</w:t>
            </w:r>
          </w:p>
          <w:p>
            <w:pPr>
              <w:spacing w:line="36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lang w:val="en-US" w:eastAsia="zh-CN"/>
              </w:rPr>
              <w:t>1</w:t>
            </w:r>
            <w:r>
              <w:rPr>
                <w:rFonts w:hint="eastAsia" w:hAnsi="宋体" w:cs="宋体"/>
                <w:sz w:val="24"/>
                <w:szCs w:val="22"/>
                <w:lang w:val="zh-CN"/>
              </w:rPr>
              <w:t xml:space="preserve">份； </w:t>
            </w:r>
          </w:p>
          <w:p>
            <w:pPr>
              <w:spacing w:line="36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autoSpaceDE w:val="0"/>
              <w:autoSpaceDN w:val="0"/>
              <w:adjustRightInd w:val="0"/>
              <w:spacing w:line="420" w:lineRule="exact"/>
              <w:jc w:val="left"/>
              <w:rPr>
                <w:rFonts w:hint="eastAsia" w:hAnsi="宋体" w:cs="仿宋_GB2312"/>
                <w:sz w:val="24"/>
                <w:szCs w:val="22"/>
              </w:rPr>
            </w:pPr>
            <w:r>
              <w:rPr>
                <w:rFonts w:hint="eastAsia" w:hAnsi="宋体" w:cs="仿宋_GB2312"/>
                <w:sz w:val="24"/>
                <w:szCs w:val="22"/>
              </w:rPr>
              <w:t xml:space="preserve">招标人名称： </w:t>
            </w:r>
          </w:p>
          <w:p>
            <w:pPr>
              <w:autoSpaceDE w:val="0"/>
              <w:autoSpaceDN w:val="0"/>
              <w:adjustRightInd w:val="0"/>
              <w:spacing w:line="420" w:lineRule="exact"/>
              <w:jc w:val="left"/>
              <w:rPr>
                <w:rFonts w:hint="eastAsia" w:hAnsi="宋体" w:cs="仿宋_GB2312"/>
                <w:sz w:val="24"/>
                <w:szCs w:val="22"/>
              </w:rPr>
            </w:pPr>
            <w:r>
              <w:rPr>
                <w:rFonts w:hint="eastAsia" w:hAnsi="宋体" w:cs="仿宋_GB2312"/>
                <w:sz w:val="24"/>
                <w:szCs w:val="22"/>
              </w:rPr>
              <w:t xml:space="preserve">项目名称：         </w:t>
            </w:r>
          </w:p>
          <w:p>
            <w:pPr>
              <w:autoSpaceDE w:val="0"/>
              <w:autoSpaceDN w:val="0"/>
              <w:adjustRightInd w:val="0"/>
              <w:spacing w:line="420" w:lineRule="exact"/>
              <w:jc w:val="left"/>
              <w:rPr>
                <w:rFonts w:hint="eastAsia" w:hAnsi="宋体" w:cs="仿宋_GB2312"/>
                <w:sz w:val="24"/>
                <w:szCs w:val="22"/>
              </w:rPr>
            </w:pPr>
            <w:r>
              <w:rPr>
                <w:rFonts w:hint="eastAsia" w:hAnsi="宋体" w:cs="仿宋_GB2312"/>
                <w:sz w:val="24"/>
                <w:szCs w:val="22"/>
              </w:rPr>
              <w:t>投标人名称：（盖章）</w:t>
            </w:r>
          </w:p>
          <w:p>
            <w:pPr>
              <w:autoSpaceDE w:val="0"/>
              <w:autoSpaceDN w:val="0"/>
              <w:adjustRightInd w:val="0"/>
              <w:spacing w:line="420" w:lineRule="exact"/>
              <w:jc w:val="left"/>
              <w:rPr>
                <w:rFonts w:hAnsi="宋体" w:cs="黑体"/>
                <w:sz w:val="24"/>
              </w:rPr>
            </w:pPr>
            <w:r>
              <w:rPr>
                <w:rFonts w:hint="eastAsia" w:hAnsi="宋体" w:cs="仿宋_GB2312"/>
                <w:sz w:val="24"/>
                <w:szCs w:val="22"/>
              </w:rPr>
              <w:t>投标文件在201</w:t>
            </w:r>
            <w:r>
              <w:rPr>
                <w:rFonts w:hint="eastAsia" w:hAnsi="宋体" w:cs="仿宋_GB2312"/>
                <w:sz w:val="24"/>
                <w:szCs w:val="22"/>
                <w:lang w:val="en-US" w:eastAsia="zh-CN"/>
              </w:rPr>
              <w:t>9</w:t>
            </w:r>
            <w:r>
              <w:rPr>
                <w:rFonts w:hint="eastAsia" w:hAnsi="宋体" w:cs="仿宋_GB2312"/>
                <w:sz w:val="24"/>
                <w:szCs w:val="22"/>
              </w:rPr>
              <w:t>年</w:t>
            </w:r>
            <w:r>
              <w:rPr>
                <w:rFonts w:hint="eastAsia" w:hAnsi="宋体" w:cs="仿宋_GB2312"/>
                <w:sz w:val="24"/>
                <w:szCs w:val="22"/>
                <w:lang w:val="en-US" w:eastAsia="zh-CN"/>
              </w:rPr>
              <w:t>6</w:t>
            </w:r>
            <w:r>
              <w:rPr>
                <w:rFonts w:hint="eastAsia" w:hAnsi="宋体" w:cs="仿宋_GB2312"/>
                <w:sz w:val="24"/>
                <w:szCs w:val="22"/>
              </w:rPr>
              <w:t>月</w:t>
            </w:r>
            <w:r>
              <w:rPr>
                <w:rFonts w:hint="eastAsia" w:hAnsi="宋体" w:cs="仿宋_GB2312"/>
                <w:sz w:val="24"/>
                <w:szCs w:val="22"/>
                <w:lang w:val="en-US" w:eastAsia="zh-CN"/>
              </w:rPr>
              <w:t>14</w:t>
            </w:r>
            <w:r>
              <w:rPr>
                <w:rFonts w:hint="eastAsia" w:hAnsi="宋体" w:cs="仿宋_GB2312"/>
                <w:sz w:val="24"/>
                <w:szCs w:val="22"/>
              </w:rPr>
              <w:t>日9时30分前不得开启。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1"/>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w:t>
            </w:r>
            <w:r>
              <w:rPr>
                <w:rFonts w:hint="eastAsia" w:hAnsi="宋体" w:cs="宋体"/>
                <w:color w:val="auto"/>
                <w:sz w:val="24"/>
                <w:szCs w:val="22"/>
              </w:rPr>
              <w:t>楼</w:t>
            </w:r>
            <w:r>
              <w:rPr>
                <w:rFonts w:hint="eastAsia" w:hAnsi="宋体" w:cs="宋体"/>
                <w:color w:val="auto"/>
                <w:sz w:val="24"/>
                <w:szCs w:val="22"/>
                <w:lang w:val="en-US" w:eastAsia="zh-CN"/>
              </w:rPr>
              <w:t>开标二室</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color w:val="auto"/>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color w:val="auto"/>
                <w:sz w:val="24"/>
              </w:rPr>
              <w:t>开标地点：</w:t>
            </w:r>
            <w:r>
              <w:rPr>
                <w:rFonts w:hint="eastAsia" w:hAnsi="宋体" w:cs="仿宋_GB2312"/>
                <w:color w:val="auto"/>
                <w:sz w:val="24"/>
                <w:szCs w:val="22"/>
              </w:rPr>
              <w:t>许昌市建安区新元大道兴业大厦4楼</w:t>
            </w:r>
            <w:r>
              <w:rPr>
                <w:rFonts w:hint="eastAsia" w:hAnsi="宋体" w:cs="仿宋_GB2312"/>
                <w:color w:val="auto"/>
                <w:sz w:val="24"/>
                <w:szCs w:val="22"/>
                <w:lang w:val="en-US" w:eastAsia="zh-CN"/>
              </w:rPr>
              <w:t>开标二室</w:t>
            </w:r>
            <w:r>
              <w:rPr>
                <w:rFonts w:hint="eastAsia" w:hAnsi="宋体" w:cs="仿宋_GB2312"/>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autoSpaceDE w:val="0"/>
              <w:autoSpaceDN w:val="0"/>
              <w:adjustRightInd w:val="0"/>
              <w:spacing w:line="420" w:lineRule="exact"/>
              <w:jc w:val="left"/>
              <w:rPr>
                <w:rFonts w:hint="eastAsia" w:hAnsi="宋体" w:cs="仿宋_GB2312"/>
                <w:sz w:val="24"/>
                <w:szCs w:val="22"/>
              </w:rPr>
            </w:pPr>
            <w:r>
              <w:rPr>
                <w:rFonts w:hint="eastAsia" w:hAnsi="宋体" w:cs="仿宋_GB2312"/>
                <w:sz w:val="24"/>
                <w:szCs w:val="22"/>
              </w:rPr>
              <w:t>评标委员会构成：5人，从河南省综合评标专家库中随机抽取4人和招标人代表1人（其中注册造价工程师不少于2人）。</w:t>
            </w:r>
          </w:p>
          <w:p>
            <w:pPr>
              <w:autoSpaceDE w:val="0"/>
              <w:autoSpaceDN w:val="0"/>
              <w:adjustRightInd w:val="0"/>
              <w:spacing w:line="420" w:lineRule="exact"/>
              <w:jc w:val="left"/>
            </w:pPr>
            <w:r>
              <w:rPr>
                <w:rFonts w:hint="eastAsia" w:hAnsi="宋体" w:cs="仿宋_GB2312"/>
                <w:sz w:val="24"/>
                <w:szCs w:val="22"/>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jc w:val="center"/>
              <w:rPr>
                <w:rFonts w:hint="eastAsia" w:hAnsi="宋体" w:cs="仿宋_GB2312"/>
                <w:sz w:val="24"/>
                <w:szCs w:val="22"/>
              </w:rPr>
            </w:pPr>
            <w:r>
              <w:rPr>
                <w:rFonts w:hint="eastAsia" w:hAnsi="宋体" w:cs="仿宋_GB2312"/>
                <w:sz w:val="24"/>
                <w:szCs w:val="22"/>
              </w:rPr>
              <w:t>10.1.1</w:t>
            </w:r>
          </w:p>
        </w:tc>
        <w:tc>
          <w:tcPr>
            <w:tcW w:w="1571" w:type="dxa"/>
            <w:vAlign w:val="center"/>
          </w:tcPr>
          <w:p>
            <w:pPr>
              <w:autoSpaceDE w:val="0"/>
              <w:autoSpaceDN w:val="0"/>
              <w:adjustRightInd w:val="0"/>
              <w:jc w:val="center"/>
              <w:rPr>
                <w:rFonts w:hint="eastAsia" w:hAnsi="宋体" w:cs="仿宋_GB2312"/>
                <w:sz w:val="24"/>
                <w:szCs w:val="22"/>
              </w:rPr>
            </w:pPr>
            <w:r>
              <w:rPr>
                <w:rFonts w:hint="eastAsia" w:hAnsi="宋体" w:cs="仿宋_GB2312"/>
                <w:sz w:val="24"/>
                <w:szCs w:val="22"/>
              </w:rPr>
              <w:t>类似项目</w:t>
            </w:r>
          </w:p>
        </w:tc>
        <w:tc>
          <w:tcPr>
            <w:tcW w:w="7226" w:type="dxa"/>
            <w:gridSpan w:val="3"/>
            <w:vAlign w:val="center"/>
          </w:tcPr>
          <w:p>
            <w:pPr>
              <w:autoSpaceDE w:val="0"/>
              <w:autoSpaceDN w:val="0"/>
              <w:adjustRightInd w:val="0"/>
              <w:jc w:val="left"/>
              <w:rPr>
                <w:rFonts w:hint="eastAsia" w:hAnsi="宋体" w:cs="仿宋_GB2312"/>
                <w:sz w:val="24"/>
                <w:szCs w:val="22"/>
                <w:lang w:val="en-US"/>
              </w:rPr>
            </w:pPr>
            <w:r>
              <w:rPr>
                <w:rFonts w:hint="eastAsia" w:hAnsi="宋体" w:cs="仿宋_GB2312"/>
                <w:sz w:val="24"/>
                <w:szCs w:val="22"/>
                <w:lang w:val="en-US" w:eastAsia="zh-CN"/>
              </w:rPr>
              <w:t>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tbl>
            <w:tblPr>
              <w:tblStyle w:val="28"/>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fldChar w:fldCharType="begin"/>
                  </w:r>
                  <w:r>
                    <w:rPr>
                      <w:rFonts w:hint="eastAsia" w:hAnsi="宋体" w:cs="宋体"/>
                      <w:b/>
                      <w:bCs/>
                      <w:sz w:val="24"/>
                      <w:szCs w:val="24"/>
                      <w:lang w:val="en-US" w:eastAsia="zh-CN"/>
                    </w:rPr>
                    <w:instrText xml:space="preserve"> = 803386 \* CHINESENUM2 \* MERGEFORMAT </w:instrText>
                  </w:r>
                  <w:r>
                    <w:rPr>
                      <w:rFonts w:hint="eastAsia" w:hAnsi="宋体" w:cs="宋体"/>
                      <w:b/>
                      <w:bCs/>
                      <w:sz w:val="24"/>
                      <w:szCs w:val="24"/>
                      <w:lang w:val="en-US" w:eastAsia="zh-CN"/>
                    </w:rPr>
                    <w:fldChar w:fldCharType="separate"/>
                  </w:r>
                  <w:r>
                    <w:rPr>
                      <w:rFonts w:hint="eastAsia" w:hAnsi="宋体" w:cs="宋体"/>
                      <w:b/>
                      <w:bCs/>
                      <w:sz w:val="24"/>
                      <w:szCs w:val="24"/>
                      <w:lang w:val="en-US" w:eastAsia="zh-CN"/>
                    </w:rPr>
                    <w:t>捌拾万叁仟叁佰捌拾陆</w:t>
                  </w:r>
                  <w:r>
                    <w:rPr>
                      <w:rFonts w:hint="eastAsia" w:hAnsi="宋体" w:cs="宋体"/>
                      <w:b/>
                      <w:bCs/>
                      <w:sz w:val="24"/>
                      <w:szCs w:val="24"/>
                      <w:lang w:val="en-US" w:eastAsia="zh-CN"/>
                    </w:rPr>
                    <w:fldChar w:fldCharType="end"/>
                  </w:r>
                  <w:r>
                    <w:rPr>
                      <w:rFonts w:hint="eastAsia" w:hAnsi="宋体" w:cs="宋体"/>
                      <w:b/>
                      <w:bCs/>
                      <w:sz w:val="24"/>
                      <w:szCs w:val="24"/>
                      <w:lang w:val="en-US" w:eastAsia="zh-CN"/>
                    </w:rPr>
                    <w:t>元伍角伍分（含规费、税金、安全文明措施费）</w:t>
                  </w:r>
                  <w:r>
                    <w:rPr>
                      <w:rFonts w:hint="eastAsia" w:hAnsi="宋体" w:cs="宋体"/>
                      <w:b/>
                      <w:bCs/>
                      <w:sz w:val="24"/>
                      <w:szCs w:val="24"/>
                    </w:rPr>
                    <w:t>；</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803386.55</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w:t>
                  </w:r>
                  <w:r>
                    <w:rPr>
                      <w:rFonts w:hint="eastAsia" w:hAnsi="宋体" w:cs="宋体"/>
                      <w:b/>
                      <w:bCs/>
                      <w:sz w:val="24"/>
                      <w:szCs w:val="24"/>
                      <w:lang w:val="en-US" w:eastAsia="zh-CN"/>
                    </w:rPr>
                    <w:t>视</w:t>
                  </w:r>
                  <w:r>
                    <w:rPr>
                      <w:rFonts w:hint="eastAsia" w:hAnsi="宋体" w:cs="宋体"/>
                      <w:b/>
                      <w:bCs/>
                      <w:sz w:val="24"/>
                      <w:szCs w:val="24"/>
                    </w:rPr>
                    <w:t>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w:t>
            </w:r>
            <w:r>
              <w:rPr>
                <w:rFonts w:hint="eastAsia" w:hAnsi="宋体" w:cs="仿宋_GB2312"/>
                <w:sz w:val="24"/>
                <w:lang w:val="en-US" w:eastAsia="zh-CN"/>
              </w:rPr>
              <w:t>3</w:t>
            </w:r>
            <w:r>
              <w:rPr>
                <w:rFonts w:hint="eastAsia" w:hAnsi="宋体" w:cs="仿宋_GB2312"/>
                <w:sz w:val="24"/>
              </w:rPr>
              <w:t>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szCs w:val="22"/>
              </w:rPr>
            </w:pPr>
            <w:r>
              <w:rPr>
                <w:rFonts w:hint="eastAsia"/>
                <w:sz w:val="24"/>
              </w:rPr>
              <w:t xml:space="preserve">10.11.2 </w:t>
            </w:r>
            <w:r>
              <w:rPr>
                <w:rFonts w:hint="eastAsia" w:ascii="新宋体" w:hAnsi="新宋体" w:eastAsia="新宋体"/>
                <w:sz w:val="24"/>
                <w:szCs w:val="22"/>
              </w:rPr>
              <w:t>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pStyle w:val="2"/>
        <w:rPr>
          <w:rFonts w:hAnsi="宋体" w:cs="宋体"/>
          <w:b/>
          <w:sz w:val="28"/>
          <w:szCs w:val="28"/>
        </w:rPr>
      </w:pPr>
    </w:p>
    <w:p>
      <w:pPr>
        <w:pStyle w:val="2"/>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3</w:t>
      </w:r>
      <w:r>
        <w:rPr>
          <w:rFonts w:hint="eastAsia" w:hAnsi="宋体" w:cs="仿宋_GB2312"/>
          <w:sz w:val="24"/>
        </w:rPr>
        <w:t xml:space="preserve">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4</w:t>
      </w:r>
      <w:r>
        <w:rPr>
          <w:rFonts w:hint="eastAsia" w:hAnsi="宋体" w:cs="仿宋_GB2312"/>
          <w:sz w:val="24"/>
        </w:rPr>
        <w:t>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w:t>
      </w:r>
      <w:r>
        <w:rPr>
          <w:rFonts w:hint="eastAsia" w:hAnsi="宋体" w:cs="仿宋_GB2312"/>
          <w:sz w:val="24"/>
          <w:lang w:val="en-US" w:eastAsia="zh-CN"/>
        </w:rPr>
        <w:t>3</w:t>
      </w:r>
      <w:r>
        <w:rPr>
          <w:rFonts w:hint="eastAsia" w:hAnsi="宋体" w:cs="仿宋_GB2312"/>
          <w:sz w:val="24"/>
        </w:rPr>
        <w:t>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w:t>
      </w:r>
      <w:r>
        <w:rPr>
          <w:rFonts w:hint="eastAsia" w:hAnsi="宋体" w:cs="仿宋_GB2312"/>
          <w:sz w:val="24"/>
          <w:lang w:val="en-US" w:eastAsia="zh-CN"/>
        </w:rPr>
        <w:t>计划</w:t>
      </w:r>
      <w:r>
        <w:rPr>
          <w:rFonts w:hint="eastAsia" w:hAnsi="宋体" w:cs="仿宋_GB2312"/>
          <w:sz w:val="24"/>
        </w:rPr>
        <w:t>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79632553"/>
      <w:bookmarkStart w:id="14" w:name="_Toc152042312"/>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79632555"/>
      <w:bookmarkStart w:id="22" w:name="_Toc144974506"/>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52042322"/>
      <w:bookmarkStart w:id="33" w:name="_Toc179632564"/>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（5）项目管理机构配备情况； </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int="eastAsia" w:hAnsi="宋体" w:eastAsia="宋体" w:cs="宋体"/>
          <w:sz w:val="24"/>
          <w:lang w:eastAsia="zh-CN"/>
        </w:rPr>
      </w:pPr>
      <w:r>
        <w:rPr>
          <w:rFonts w:hint="eastAsia" w:hAnsi="宋体" w:cs="宋体"/>
          <w:sz w:val="24"/>
        </w:rPr>
        <w:t>（9）其它材料</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w:t>
      </w:r>
      <w:r>
        <w:rPr>
          <w:rFonts w:hint="eastAsia" w:hAnsi="宋体" w:cs="宋体"/>
          <w:sz w:val="24"/>
          <w:lang w:eastAsia="zh-CN"/>
        </w:rPr>
        <w:t>、</w:t>
      </w:r>
      <w:r>
        <w:rPr>
          <w:rFonts w:hint="eastAsia" w:hAnsi="宋体" w:cs="宋体"/>
          <w:sz w:val="24"/>
          <w:lang w:val="en-US" w:eastAsia="zh-CN"/>
        </w:rPr>
        <w:t>履约保证金转帐凭证</w:t>
      </w:r>
      <w:r>
        <w:rPr>
          <w:rFonts w:hint="eastAsia" w:hAnsi="宋体" w:cs="宋体"/>
          <w:sz w:val="24"/>
        </w:rPr>
        <w:t>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79632571"/>
      <w:bookmarkStart w:id="40" w:name="_Toc152045553"/>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44974537"/>
      <w:bookmarkStart w:id="56" w:name="_Toc152042345"/>
      <w:bookmarkStart w:id="57" w:name="_Toc179632587"/>
      <w:bookmarkStart w:id="58" w:name="_Toc152045569"/>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int="eastAsia" w:hAnsi="宋体" w:cs="宋体"/>
          <w:b/>
          <w:sz w:val="24"/>
          <w:lang w:val="en-US" w:eastAsia="zh-CN"/>
        </w:rPr>
      </w:pPr>
      <w:bookmarkStart w:id="59" w:name="_Toc283559978"/>
      <w:r>
        <w:rPr>
          <w:rFonts w:hint="eastAsia" w:hAnsi="宋体" w:cs="宋体"/>
          <w:b/>
          <w:sz w:val="24"/>
          <w:lang w:val="en-US" w:eastAsia="zh-CN"/>
        </w:rPr>
        <w:t>7.4履约保证金</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7.4.1</w:t>
      </w:r>
      <w:r>
        <w:rPr>
          <w:rFonts w:hint="eastAsia" w:hAnsi="宋体" w:cs="宋体"/>
          <w:sz w:val="24"/>
          <w:szCs w:val="22"/>
        </w:rPr>
        <w:t xml:space="preserve">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int="default" w:hAnsi="宋体" w:cs="宋体"/>
          <w:sz w:val="24"/>
          <w:szCs w:val="22"/>
          <w:lang w:val="en-US" w:eastAsia="zh-CN"/>
        </w:rPr>
      </w:pPr>
      <w:r>
        <w:rPr>
          <w:rFonts w:hint="eastAsia" w:hAnsi="宋体" w:cs="宋体"/>
          <w:sz w:val="24"/>
          <w:szCs w:val="22"/>
          <w:lang w:val="en-US" w:eastAsia="zh-CN"/>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7.4.2</w:t>
      </w:r>
      <w:r>
        <w:rPr>
          <w:rFonts w:hint="eastAsia" w:hAnsi="宋体" w:cs="宋体"/>
          <w:sz w:val="24"/>
          <w:szCs w:val="22"/>
        </w:rPr>
        <w:t xml:space="preserve">履约保证金提交比例和数额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7.4.3</w:t>
      </w:r>
      <w:r>
        <w:rPr>
          <w:rFonts w:hint="eastAsia" w:hAnsi="宋体" w:cs="宋体"/>
          <w:sz w:val="24"/>
          <w:szCs w:val="22"/>
        </w:rPr>
        <w:t xml:space="preserve">履约保证金的退还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int="eastAsia" w:hAnsi="宋体" w:cs="宋体"/>
          <w:sz w:val="24"/>
          <w:szCs w:val="22"/>
          <w:lang w:val="en-US" w:eastAsia="zh-CN"/>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r>
        <w:rPr>
          <w:rFonts w:ascii="Arial" w:hAnsi="Arial" w:eastAsia="宋体" w:cs="Arial"/>
          <w:color w:val="000000"/>
          <w:kern w:val="0"/>
          <w:szCs w:val="21"/>
        </w:rPr>
        <w:t xml:space="preserve"> </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left="0" w:leftChars="0" w:firstLine="0" w:firstLineChars="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rPr>
          <w:sz w:val="24"/>
        </w:rPr>
      </w:pPr>
    </w:p>
    <w:p>
      <w:pPr>
        <w:pStyle w:val="2"/>
        <w:rPr>
          <w:sz w:val="24"/>
        </w:rPr>
      </w:pPr>
    </w:p>
    <w:p>
      <w:pPr>
        <w:pStyle w:val="2"/>
        <w:rPr>
          <w:sz w:val="24"/>
        </w:rPr>
      </w:pPr>
    </w:p>
    <w:p>
      <w:pPr>
        <w:pStyle w:val="2"/>
        <w:rPr>
          <w:sz w:val="24"/>
        </w:rPr>
      </w:pPr>
    </w:p>
    <w:p>
      <w:pPr>
        <w:spacing w:line="480" w:lineRule="exact"/>
        <w:rPr>
          <w:sz w:val="24"/>
        </w:rPr>
      </w:pPr>
    </w:p>
    <w:p>
      <w:pPr>
        <w:numPr>
          <w:ilvl w:val="0"/>
          <w:numId w:val="2"/>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70931534"/>
            <w:bookmarkStart w:id="73" w:name="_Toc295572535"/>
            <w:bookmarkStart w:id="74"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  0-</w:t>
      </w:r>
      <w:r>
        <w:rPr>
          <w:rFonts w:hint="eastAsia" w:cs="宋体"/>
          <w:b/>
          <w:bCs/>
          <w:sz w:val="24"/>
          <w:szCs w:val="24"/>
          <w:lang w:val="en-US" w:eastAsia="zh-CN"/>
        </w:rPr>
        <w:t>4</w:t>
      </w:r>
      <w:r>
        <w:rPr>
          <w:rFonts w:hint="eastAsia" w:cs="宋体"/>
          <w:b/>
          <w:bCs/>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1.</w:t>
      </w:r>
      <w:r>
        <w:rPr>
          <w:rFonts w:hint="eastAsia" w:hAnsi="宋体" w:cs="宋体"/>
          <w:sz w:val="24"/>
          <w:szCs w:val="24"/>
          <w:lang w:val="en-US" w:eastAsia="zh-CN"/>
        </w:rPr>
        <w:t>1</w:t>
      </w:r>
      <w:r>
        <w:rPr>
          <w:rFonts w:hint="eastAsia" w:hAnsi="宋体" w:cs="宋体"/>
          <w:sz w:val="24"/>
          <w:szCs w:val="24"/>
        </w:rPr>
        <w:t>拟派技术负责人具有</w:t>
      </w:r>
      <w:r>
        <w:rPr>
          <w:rFonts w:hint="eastAsia" w:hAnsi="宋体" w:cs="宋体"/>
          <w:sz w:val="24"/>
          <w:szCs w:val="24"/>
          <w:lang w:val="en-US" w:eastAsia="zh-CN"/>
        </w:rPr>
        <w:t>建筑工程</w:t>
      </w:r>
      <w:r>
        <w:rPr>
          <w:rFonts w:hint="eastAsia" w:hAnsi="宋体" w:cs="宋体"/>
          <w:sz w:val="24"/>
          <w:szCs w:val="24"/>
        </w:rPr>
        <w:t>相关专业</w:t>
      </w:r>
      <w:r>
        <w:rPr>
          <w:rFonts w:hint="eastAsia" w:hAnsi="宋体" w:cs="宋体"/>
          <w:sz w:val="24"/>
          <w:szCs w:val="24"/>
          <w:lang w:val="en-US" w:eastAsia="zh-CN"/>
        </w:rPr>
        <w:t>中级及以上</w:t>
      </w:r>
      <w:r>
        <w:rPr>
          <w:rFonts w:hint="eastAsia" w:hAnsi="宋体" w:cs="宋体"/>
          <w:sz w:val="24"/>
          <w:szCs w:val="24"/>
        </w:rPr>
        <w:t>技术职称的得</w:t>
      </w:r>
      <w:r>
        <w:rPr>
          <w:rFonts w:hint="eastAsia" w:hAnsi="宋体" w:cs="宋体"/>
          <w:sz w:val="24"/>
          <w:szCs w:val="24"/>
          <w:lang w:val="en-US" w:eastAsia="zh-CN"/>
        </w:rPr>
        <w:t>2</w:t>
      </w:r>
      <w:r>
        <w:rPr>
          <w:rFonts w:hint="eastAsia" w:hAnsi="宋体" w:cs="宋体"/>
          <w:sz w:val="24"/>
          <w:szCs w:val="24"/>
        </w:rPr>
        <w:t>分，</w:t>
      </w:r>
      <w:r>
        <w:rPr>
          <w:rFonts w:hint="eastAsia" w:hAnsi="宋体" w:cs="宋体"/>
          <w:sz w:val="24"/>
          <w:szCs w:val="24"/>
          <w:lang w:val="en-US" w:eastAsia="zh-CN"/>
        </w:rPr>
        <w:t>否则不得分</w:t>
      </w:r>
      <w:r>
        <w:rPr>
          <w:rFonts w:hint="eastAsia" w:hAnsi="宋体" w:cs="宋体"/>
          <w:sz w:val="24"/>
          <w:szCs w:val="24"/>
          <w:lang w:eastAsia="zh-CN"/>
        </w:rPr>
        <w:t>；（</w:t>
      </w:r>
      <w:r>
        <w:rPr>
          <w:rFonts w:hint="eastAsia" w:hAnsi="宋体" w:cs="宋体"/>
          <w:sz w:val="24"/>
          <w:szCs w:val="24"/>
          <w:lang w:val="en-US" w:eastAsia="zh-CN"/>
        </w:rPr>
        <w:t>附社保：近三个月网上查询截图及当地社保部门出具的个人明细表</w:t>
      </w:r>
      <w:r>
        <w:rPr>
          <w:rFonts w:hint="eastAsia" w:hAnsi="宋体" w:cs="宋体"/>
          <w:sz w:val="24"/>
          <w:szCs w:val="24"/>
          <w:lang w:eastAsia="zh-CN"/>
        </w:rPr>
        <w:t>）</w:t>
      </w:r>
    </w:p>
    <w:p>
      <w:pPr>
        <w:snapToGrid w:val="0"/>
        <w:spacing w:line="360" w:lineRule="auto"/>
        <w:ind w:firstLine="484"/>
        <w:rPr>
          <w:rFonts w:hint="eastAsia" w:hAnsi="宋体" w:eastAsia="宋体" w:cs="宋体"/>
          <w:sz w:val="24"/>
          <w:szCs w:val="24"/>
          <w:lang w:eastAsia="zh-CN"/>
        </w:rPr>
      </w:pPr>
      <w:r>
        <w:rPr>
          <w:rFonts w:hint="eastAsia" w:hAnsi="宋体" w:cs="宋体"/>
          <w:sz w:val="24"/>
          <w:szCs w:val="24"/>
        </w:rPr>
        <w:t>1.</w:t>
      </w:r>
      <w:r>
        <w:rPr>
          <w:rFonts w:hint="eastAsia" w:hAnsi="宋体" w:cs="宋体"/>
          <w:sz w:val="24"/>
          <w:szCs w:val="24"/>
          <w:lang w:val="en-US" w:eastAsia="zh-CN"/>
        </w:rPr>
        <w:t>2</w:t>
      </w:r>
      <w:r>
        <w:rPr>
          <w:rFonts w:hint="eastAsia" w:hAnsi="宋体" w:cs="宋体"/>
          <w:sz w:val="24"/>
          <w:szCs w:val="24"/>
        </w:rPr>
        <w:t>拟派项目班子中施工员、质</w:t>
      </w:r>
      <w:r>
        <w:rPr>
          <w:rFonts w:hint="eastAsia" w:hAnsi="宋体" w:cs="宋体"/>
          <w:sz w:val="24"/>
          <w:szCs w:val="24"/>
          <w:lang w:val="en-US" w:eastAsia="zh-CN"/>
        </w:rPr>
        <w:t>量</w:t>
      </w:r>
      <w:r>
        <w:rPr>
          <w:rFonts w:hint="eastAsia" w:hAnsi="宋体" w:cs="宋体"/>
          <w:sz w:val="24"/>
          <w:szCs w:val="24"/>
        </w:rPr>
        <w:t>员、安全员、资料员证件齐全者得2分，每缺一个证件扣</w:t>
      </w:r>
      <w:r>
        <w:rPr>
          <w:rFonts w:hint="eastAsia" w:hAnsi="宋体" w:cs="宋体"/>
          <w:sz w:val="24"/>
          <w:szCs w:val="24"/>
          <w:lang w:val="en-US" w:eastAsia="zh-CN"/>
        </w:rPr>
        <w:t>0.5</w:t>
      </w:r>
      <w:r>
        <w:rPr>
          <w:rFonts w:hint="eastAsia" w:hAnsi="宋体" w:cs="宋体"/>
          <w:sz w:val="24"/>
          <w:szCs w:val="24"/>
        </w:rPr>
        <w:t>分，扣完为止。</w:t>
      </w:r>
      <w:r>
        <w:rPr>
          <w:rFonts w:hint="eastAsia" w:hAnsi="宋体" w:cs="宋体"/>
          <w:sz w:val="24"/>
          <w:szCs w:val="24"/>
          <w:lang w:eastAsia="zh-CN"/>
        </w:rPr>
        <w:t>（</w:t>
      </w:r>
      <w:r>
        <w:rPr>
          <w:rFonts w:hint="eastAsia" w:hAnsi="宋体" w:cs="宋体"/>
          <w:sz w:val="24"/>
          <w:szCs w:val="24"/>
          <w:lang w:val="en-US" w:eastAsia="zh-CN"/>
        </w:rPr>
        <w:t>附社保：近三个月网上查询截图及当地社保部门出具的个人明细表</w:t>
      </w:r>
      <w:r>
        <w:rPr>
          <w:rFonts w:hint="eastAsia" w:hAnsi="宋体" w:cs="宋体"/>
          <w:sz w:val="24"/>
          <w:szCs w:val="24"/>
          <w:lang w:eastAsia="zh-CN"/>
        </w:rPr>
        <w:t>）</w:t>
      </w:r>
    </w:p>
    <w:p>
      <w:pPr>
        <w:numPr>
          <w:ilvl w:val="0"/>
          <w:numId w:val="0"/>
        </w:numPr>
        <w:snapToGrid w:val="0"/>
        <w:spacing w:line="384" w:lineRule="auto"/>
        <w:ind w:left="481" w:leftChars="0"/>
        <w:rPr>
          <w:rFonts w:hint="eastAsia" w:cs="宋体"/>
          <w:b/>
          <w:bCs/>
          <w:sz w:val="24"/>
          <w:szCs w:val="24"/>
        </w:rPr>
      </w:pPr>
      <w:r>
        <w:rPr>
          <w:rFonts w:hint="eastAsia" w:cs="宋体"/>
          <w:b/>
          <w:bCs/>
          <w:sz w:val="24"/>
          <w:szCs w:val="24"/>
          <w:lang w:val="en-US" w:eastAsia="zh-CN"/>
        </w:rPr>
        <w:t>2、</w:t>
      </w:r>
      <w:r>
        <w:rPr>
          <w:rFonts w:hint="eastAsia" w:cs="宋体"/>
          <w:b/>
          <w:bCs/>
          <w:sz w:val="24"/>
          <w:szCs w:val="24"/>
        </w:rPr>
        <w:t>企业综合信用    0-</w:t>
      </w:r>
      <w:r>
        <w:rPr>
          <w:rFonts w:hint="eastAsia" w:cs="宋体"/>
          <w:b/>
          <w:bCs/>
          <w:sz w:val="24"/>
          <w:szCs w:val="24"/>
          <w:lang w:val="en-US" w:eastAsia="zh-CN"/>
        </w:rPr>
        <w:t>9</w:t>
      </w:r>
      <w:r>
        <w:rPr>
          <w:rFonts w:hint="eastAsia" w:cs="宋体"/>
          <w:b/>
          <w:bCs/>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 xml:space="preserve">2.1 </w:t>
      </w:r>
      <w:r>
        <w:rPr>
          <w:rFonts w:hint="eastAsia" w:hAnsi="宋体" w:cs="宋体"/>
          <w:sz w:val="24"/>
          <w:szCs w:val="24"/>
          <w:lang w:val="en-US" w:eastAsia="zh-CN"/>
        </w:rPr>
        <w:t>近年来获得企业先进称号、质量管理先进单位、安全管理先进单位的，市级者每项得1分，省级及以上者每项得2分，最高得6分，没有的不得分（以荣誉证书及同级奖励文件为准）</w:t>
      </w:r>
      <w:r>
        <w:rPr>
          <w:rFonts w:hint="eastAsia" w:hAnsi="宋体" w:cs="宋体"/>
          <w:sz w:val="24"/>
          <w:szCs w:val="24"/>
        </w:rPr>
        <w:t>。</w:t>
      </w:r>
    </w:p>
    <w:p>
      <w:pPr>
        <w:snapToGrid w:val="0"/>
        <w:spacing w:line="360" w:lineRule="auto"/>
        <w:ind w:firstLine="484"/>
        <w:rPr>
          <w:rFonts w:hint="eastAsia" w:hAnsi="宋体" w:cs="宋体"/>
          <w:sz w:val="24"/>
          <w:szCs w:val="24"/>
        </w:rPr>
      </w:pPr>
      <w:r>
        <w:rPr>
          <w:rFonts w:hint="eastAsia" w:hAnsi="宋体" w:cs="宋体"/>
          <w:sz w:val="24"/>
          <w:szCs w:val="24"/>
          <w:lang w:val="en-US" w:eastAsia="zh-CN"/>
        </w:rPr>
        <w:t>2.2</w:t>
      </w:r>
      <w:r>
        <w:rPr>
          <w:rFonts w:hint="eastAsia" w:hAnsi="宋体" w:cs="宋体"/>
          <w:sz w:val="24"/>
          <w:szCs w:val="24"/>
        </w:rPr>
        <w:t>企业</w:t>
      </w:r>
      <w:r>
        <w:rPr>
          <w:rFonts w:hint="eastAsia" w:hAnsi="宋体" w:cs="宋体"/>
          <w:sz w:val="24"/>
          <w:szCs w:val="24"/>
          <w:lang w:val="en-US" w:eastAsia="zh-CN"/>
        </w:rPr>
        <w:t>近年来</w:t>
      </w:r>
      <w:r>
        <w:rPr>
          <w:rFonts w:hint="eastAsia" w:hAnsi="宋体" w:cs="宋体"/>
          <w:sz w:val="24"/>
          <w:szCs w:val="24"/>
        </w:rPr>
        <w:t>完</w:t>
      </w:r>
      <w:r>
        <w:rPr>
          <w:rFonts w:hint="eastAsia" w:hAnsi="宋体" w:cs="宋体"/>
          <w:sz w:val="24"/>
          <w:szCs w:val="24"/>
          <w:lang w:eastAsia="zh-CN"/>
        </w:rPr>
        <w:t>成</w:t>
      </w:r>
      <w:r>
        <w:rPr>
          <w:rFonts w:hint="eastAsia" w:hAnsi="宋体" w:cs="宋体"/>
          <w:sz w:val="24"/>
          <w:szCs w:val="24"/>
        </w:rPr>
        <w:t>类似</w:t>
      </w:r>
      <w:r>
        <w:rPr>
          <w:rFonts w:hint="eastAsia" w:hAnsi="宋体" w:cs="宋体"/>
          <w:sz w:val="24"/>
          <w:szCs w:val="24"/>
          <w:lang w:val="en-US" w:eastAsia="zh-CN"/>
        </w:rPr>
        <w:t>项目者，</w:t>
      </w:r>
      <w:r>
        <w:rPr>
          <w:rFonts w:hint="eastAsia" w:hAnsi="宋体" w:cs="宋体"/>
          <w:sz w:val="24"/>
          <w:szCs w:val="24"/>
        </w:rPr>
        <w:t>每</w:t>
      </w:r>
      <w:r>
        <w:rPr>
          <w:rFonts w:hint="eastAsia" w:hAnsi="宋体" w:cs="宋体"/>
          <w:sz w:val="24"/>
          <w:szCs w:val="24"/>
          <w:lang w:val="en-US" w:eastAsia="zh-CN"/>
        </w:rPr>
        <w:t>项</w:t>
      </w:r>
      <w:r>
        <w:rPr>
          <w:rFonts w:hint="eastAsia" w:hAnsi="宋体" w:cs="宋体"/>
          <w:sz w:val="24"/>
          <w:szCs w:val="24"/>
        </w:rPr>
        <w:t>得</w:t>
      </w:r>
      <w:r>
        <w:rPr>
          <w:rFonts w:hint="eastAsia" w:hAnsi="宋体" w:cs="宋体"/>
          <w:sz w:val="24"/>
          <w:szCs w:val="24"/>
          <w:lang w:val="en-US" w:eastAsia="zh-CN"/>
        </w:rPr>
        <w:t>1</w:t>
      </w:r>
      <w:r>
        <w:rPr>
          <w:rFonts w:hint="eastAsia" w:hAnsi="宋体" w:cs="宋体"/>
          <w:sz w:val="24"/>
          <w:szCs w:val="24"/>
        </w:rPr>
        <w:t>分，最</w:t>
      </w:r>
      <w:r>
        <w:rPr>
          <w:rFonts w:hint="eastAsia" w:hAnsi="宋体" w:cs="宋体"/>
          <w:sz w:val="24"/>
          <w:szCs w:val="24"/>
          <w:lang w:val="en-US" w:eastAsia="zh-CN"/>
        </w:rPr>
        <w:t>高</w:t>
      </w:r>
      <w:r>
        <w:rPr>
          <w:rFonts w:hint="eastAsia" w:hAnsi="宋体" w:cs="宋体"/>
          <w:sz w:val="24"/>
          <w:szCs w:val="24"/>
        </w:rPr>
        <w:t>得</w:t>
      </w:r>
      <w:r>
        <w:rPr>
          <w:rFonts w:hint="eastAsia" w:hAnsi="宋体" w:cs="宋体"/>
          <w:sz w:val="24"/>
          <w:szCs w:val="24"/>
          <w:lang w:val="en-US" w:eastAsia="zh-CN"/>
        </w:rPr>
        <w:t>3</w:t>
      </w:r>
      <w:r>
        <w:rPr>
          <w:rFonts w:hint="eastAsia" w:hAnsi="宋体" w:cs="宋体"/>
          <w:sz w:val="24"/>
          <w:szCs w:val="24"/>
        </w:rPr>
        <w:t>分</w:t>
      </w:r>
      <w:r>
        <w:rPr>
          <w:rFonts w:hint="eastAsia" w:hAnsi="宋体" w:cs="宋体"/>
          <w:sz w:val="24"/>
          <w:szCs w:val="24"/>
          <w:lang w:eastAsia="zh-CN"/>
        </w:rPr>
        <w:t>（</w:t>
      </w:r>
      <w:r>
        <w:rPr>
          <w:rFonts w:hint="eastAsia" w:hAnsi="宋体"/>
          <w:sz w:val="24"/>
        </w:rPr>
        <w:t>提供施工合同和竣工验收备案表（或施工合同和中标通知书）</w:t>
      </w:r>
      <w:r>
        <w:rPr>
          <w:rFonts w:hint="eastAsia" w:hAnsi="宋体" w:cs="宋体"/>
          <w:sz w:val="24"/>
          <w:szCs w:val="24"/>
          <w:lang w:eastAsia="zh-CN"/>
        </w:rPr>
        <w:t>）</w:t>
      </w:r>
      <w:r>
        <w:rPr>
          <w:rFonts w:hint="eastAsia" w:hAnsi="宋体" w:cs="宋体"/>
          <w:sz w:val="24"/>
          <w:szCs w:val="24"/>
        </w:rPr>
        <w:t>。</w:t>
      </w:r>
    </w:p>
    <w:p>
      <w:pPr>
        <w:snapToGrid w:val="0"/>
        <w:spacing w:line="384" w:lineRule="auto"/>
        <w:ind w:firstLine="480" w:firstLineChars="200"/>
        <w:rPr>
          <w:rFonts w:cs="宋体"/>
          <w:b/>
          <w:bCs/>
          <w:sz w:val="24"/>
          <w:szCs w:val="24"/>
        </w:rPr>
      </w:pPr>
      <w:r>
        <w:rPr>
          <w:rFonts w:hint="eastAsia" w:hAnsi="宋体" w:cs="宋体"/>
          <w:sz w:val="24"/>
          <w:szCs w:val="24"/>
        </w:rPr>
        <w:t xml:space="preserve"> </w:t>
      </w:r>
      <w:r>
        <w:rPr>
          <w:rFonts w:cs="宋体"/>
          <w:b/>
          <w:bCs/>
          <w:sz w:val="24"/>
          <w:szCs w:val="24"/>
        </w:rPr>
        <w:t>3</w:t>
      </w:r>
      <w:r>
        <w:rPr>
          <w:rFonts w:hint="eastAsia" w:cs="宋体"/>
          <w:b/>
          <w:bCs/>
          <w:sz w:val="24"/>
          <w:szCs w:val="24"/>
        </w:rPr>
        <w:t>、项目负责人业绩及信用    0-</w:t>
      </w:r>
      <w:r>
        <w:rPr>
          <w:rFonts w:hint="eastAsia" w:cs="宋体"/>
          <w:b/>
          <w:bCs/>
          <w:sz w:val="24"/>
          <w:szCs w:val="24"/>
          <w:lang w:val="en-US" w:eastAsia="zh-CN"/>
        </w:rPr>
        <w:t>2</w:t>
      </w:r>
      <w:r>
        <w:rPr>
          <w:rFonts w:hint="eastAsia" w:cs="宋体"/>
          <w:b/>
          <w:bCs/>
          <w:sz w:val="24"/>
          <w:szCs w:val="24"/>
        </w:rPr>
        <w:t>分</w:t>
      </w:r>
    </w:p>
    <w:p>
      <w:pPr>
        <w:snapToGrid w:val="0"/>
        <w:spacing w:line="360" w:lineRule="auto"/>
        <w:ind w:firstLine="484"/>
        <w:rPr>
          <w:rFonts w:hint="eastAsia" w:hAnsi="宋体" w:eastAsia="宋体" w:cs="宋体"/>
          <w:sz w:val="24"/>
          <w:szCs w:val="24"/>
          <w:lang w:eastAsia="zh-CN"/>
        </w:rPr>
      </w:pPr>
      <w:r>
        <w:rPr>
          <w:rFonts w:hint="eastAsia" w:ascii="宋体" w:hAnsi="宋体" w:cs="宋体"/>
          <w:color w:val="000000"/>
          <w:sz w:val="24"/>
        </w:rPr>
        <w:t>近年来拟派建造师承建过类似工程者</w:t>
      </w:r>
      <w:r>
        <w:rPr>
          <w:rFonts w:hint="eastAsia" w:hAnsi="宋体" w:cs="宋体"/>
          <w:color w:val="000000"/>
          <w:sz w:val="24"/>
          <w:lang w:eastAsia="zh-CN"/>
        </w:rPr>
        <w:t>，</w:t>
      </w:r>
      <w:r>
        <w:rPr>
          <w:rFonts w:hint="eastAsia" w:ascii="宋体" w:hAnsi="宋体" w:cs="宋体"/>
          <w:color w:val="000000"/>
          <w:sz w:val="24"/>
        </w:rPr>
        <w:t>每项得1分，最高得</w:t>
      </w:r>
      <w:r>
        <w:rPr>
          <w:rFonts w:hint="eastAsia" w:ascii="宋体" w:hAnsi="宋体" w:cs="宋体"/>
          <w:color w:val="000000"/>
          <w:sz w:val="24"/>
          <w:lang w:val="en-US" w:eastAsia="zh-CN"/>
        </w:rPr>
        <w:t>2</w:t>
      </w:r>
      <w:r>
        <w:rPr>
          <w:rFonts w:hint="eastAsia" w:ascii="宋体" w:hAnsi="宋体" w:cs="宋体"/>
          <w:color w:val="000000"/>
          <w:sz w:val="24"/>
        </w:rPr>
        <w:t>分（</w:t>
      </w:r>
      <w:r>
        <w:rPr>
          <w:rFonts w:hint="eastAsia" w:hAnsi="宋体" w:cs="宋体"/>
          <w:color w:val="000000"/>
          <w:sz w:val="24"/>
          <w:szCs w:val="24"/>
        </w:rPr>
        <w:t>须提供合同和中标通知书或合同和竣工验收证明材料，若上述资料不显示项目经理姓名，还须同时提供相关证明文件</w:t>
      </w:r>
      <w:r>
        <w:rPr>
          <w:rFonts w:hint="eastAsia" w:ascii="宋体" w:hAnsi="宋体" w:cs="宋体"/>
          <w:color w:val="000000"/>
          <w:sz w:val="24"/>
        </w:rPr>
        <w:t>）</w:t>
      </w:r>
      <w:r>
        <w:rPr>
          <w:rFonts w:hint="eastAsia" w:hAnsi="宋体" w:cs="宋体"/>
          <w:color w:val="000000"/>
          <w:sz w:val="24"/>
          <w:lang w:eastAsia="zh-CN"/>
        </w:rPr>
        <w:t>。</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服务承诺（含不拖欠农民工工资承诺、扬尘治理等内容）0-5分</w:t>
      </w:r>
    </w:p>
    <w:p>
      <w:pPr>
        <w:snapToGrid w:val="0"/>
        <w:spacing w:line="384" w:lineRule="auto"/>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384" w:lineRule="auto"/>
        <w:rPr>
          <w:rFonts w:cs="宋体"/>
          <w:b/>
          <w:bCs/>
          <w:sz w:val="24"/>
          <w:szCs w:val="24"/>
        </w:rPr>
      </w:pPr>
      <w:r>
        <w:rPr>
          <w:rFonts w:hint="eastAsia" w:cs="宋体"/>
          <w:b/>
          <w:bCs/>
          <w:sz w:val="24"/>
          <w:szCs w:val="24"/>
        </w:rPr>
        <w:t>注：1）近年年份要求：201</w:t>
      </w:r>
      <w:r>
        <w:rPr>
          <w:rFonts w:hint="eastAsia" w:cs="宋体"/>
          <w:b/>
          <w:bCs/>
          <w:sz w:val="24"/>
          <w:szCs w:val="24"/>
          <w:lang w:val="en-US" w:eastAsia="zh-CN"/>
        </w:rPr>
        <w:t>6</w:t>
      </w:r>
      <w:r>
        <w:rPr>
          <w:rFonts w:hint="eastAsia" w:cs="宋体"/>
          <w:b/>
          <w:bCs/>
          <w:sz w:val="24"/>
          <w:szCs w:val="24"/>
        </w:rPr>
        <w:t>年1月1日以来；</w:t>
      </w:r>
    </w:p>
    <w:p>
      <w:pPr>
        <w:snapToGrid w:val="0"/>
        <w:spacing w:line="384" w:lineRule="auto"/>
        <w:ind w:firstLine="480" w:firstLineChars="200"/>
        <w:rPr>
          <w:rFonts w:hint="eastAsia" w:cs="宋体"/>
          <w:b/>
          <w:bCs/>
          <w:sz w:val="24"/>
          <w:szCs w:val="24"/>
        </w:rPr>
      </w:pPr>
      <w:r>
        <w:rPr>
          <w:rFonts w:hint="eastAsia" w:cs="宋体"/>
          <w:b/>
          <w:bCs/>
          <w:sz w:val="24"/>
          <w:szCs w:val="24"/>
        </w:rPr>
        <w:t>2）类似工程：指201</w:t>
      </w:r>
      <w:r>
        <w:rPr>
          <w:rFonts w:hint="eastAsia" w:cs="宋体"/>
          <w:b/>
          <w:bCs/>
          <w:sz w:val="24"/>
          <w:szCs w:val="24"/>
          <w:lang w:val="en-US" w:eastAsia="zh-CN"/>
        </w:rPr>
        <w:t>6</w:t>
      </w:r>
      <w:r>
        <w:rPr>
          <w:rFonts w:hint="eastAsia" w:cs="宋体"/>
          <w:b/>
          <w:bCs/>
          <w:sz w:val="24"/>
          <w:szCs w:val="24"/>
        </w:rPr>
        <w:t>年1月1日以来承建的合同金额不低于该项目招标控制价金额的</w:t>
      </w:r>
      <w:r>
        <w:rPr>
          <w:rFonts w:hint="eastAsia" w:cs="宋体"/>
          <w:b/>
          <w:bCs/>
          <w:sz w:val="24"/>
          <w:szCs w:val="24"/>
          <w:lang w:val="en-US" w:eastAsia="zh-CN"/>
        </w:rPr>
        <w:t>建筑工程</w:t>
      </w:r>
      <w:r>
        <w:rPr>
          <w:rFonts w:hint="eastAsia" w:cs="宋体"/>
          <w:b/>
          <w:bCs/>
          <w:sz w:val="24"/>
          <w:szCs w:val="24"/>
        </w:rPr>
        <w:t>项目；</w:t>
      </w:r>
    </w:p>
    <w:p>
      <w:pPr>
        <w:snapToGrid w:val="0"/>
        <w:spacing w:line="384" w:lineRule="auto"/>
        <w:ind w:firstLine="480" w:firstLineChars="200"/>
        <w:rPr>
          <w:rFonts w:cs="宋体"/>
          <w:b/>
          <w:bCs/>
          <w:sz w:val="24"/>
          <w:szCs w:val="24"/>
        </w:rPr>
      </w:pPr>
      <w:r>
        <w:rPr>
          <w:rFonts w:hint="eastAsia" w:cs="宋体"/>
          <w:b/>
          <w:bCs/>
          <w:sz w:val="24"/>
          <w:szCs w:val="24"/>
        </w:rPr>
        <w:t>3）业绩合同以合同签订日期为准，获奖证书以发证日期为准。</w:t>
      </w:r>
    </w:p>
    <w:p>
      <w:pPr>
        <w:snapToGrid w:val="0"/>
        <w:spacing w:line="384" w:lineRule="auto"/>
        <w:ind w:firstLine="480" w:firstLineChars="200"/>
        <w:rPr>
          <w:rFonts w:cs="宋体"/>
          <w:b/>
          <w:bCs/>
          <w:sz w:val="24"/>
          <w:szCs w:val="24"/>
        </w:rPr>
      </w:pPr>
      <w:r>
        <w:rPr>
          <w:rFonts w:hint="eastAsia" w:cs="宋体"/>
          <w:b/>
          <w:bCs/>
          <w:sz w:val="24"/>
          <w:szCs w:val="24"/>
        </w:rPr>
        <w:t xml:space="preserve">4）企业业绩和建造师业绩不可累计使用；  </w:t>
      </w:r>
    </w:p>
    <w:p>
      <w:pPr>
        <w:snapToGrid w:val="0"/>
        <w:spacing w:line="384" w:lineRule="auto"/>
        <w:ind w:firstLine="480" w:firstLineChars="200"/>
        <w:rPr>
          <w:rFonts w:cs="宋体"/>
          <w:b/>
          <w:bCs/>
          <w:sz w:val="24"/>
          <w:szCs w:val="24"/>
        </w:rPr>
      </w:pPr>
      <w:r>
        <w:rPr>
          <w:rFonts w:hint="eastAsia" w:cs="宋体"/>
          <w:b/>
          <w:bCs/>
          <w:sz w:val="24"/>
          <w:szCs w:val="24"/>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新宋体" w:eastAsia="新宋体"/>
          <w:sz w:val="24"/>
        </w:rPr>
      </w:pPr>
      <w:r>
        <w:rPr>
          <w:rFonts w:hint="eastAsia" w:ascii="新宋体" w:eastAsia="新宋体"/>
          <w:sz w:val="24"/>
        </w:rPr>
        <w:t>11.3.1除非发生下列情况之一，评标委员会成员不得在评标中途更换：</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新宋体" w:eastAsia="新宋体"/>
          <w:sz w:val="24"/>
        </w:rPr>
      </w:pPr>
      <w:r>
        <w:rPr>
          <w:rFonts w:hint="eastAsia" w:ascii="新宋体" w:eastAsia="新宋体"/>
          <w:sz w:val="24"/>
        </w:rPr>
        <w:t>（1）因不可抗拒的客观原因，不能到场或需在评标中途退出评标活动。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新宋体" w:eastAsia="新宋体"/>
          <w:sz w:val="24"/>
        </w:rPr>
      </w:pPr>
      <w:r>
        <w:rPr>
          <w:rFonts w:hint="eastAsia" w:ascii="新宋体" w:eastAsia="新宋体"/>
          <w:sz w:val="24"/>
        </w:rPr>
        <w:t>（2）根据法律法规规定，某个或某几个评标委员会成员需要回避。</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color w:val="000000" w:themeColor="text1"/>
          <w:sz w:val="32"/>
          <w:szCs w:val="32"/>
        </w:rPr>
      </w:pPr>
      <w:r>
        <w:rPr>
          <w:rFonts w:hint="eastAsia" w:ascii="方正小标宋简体" w:hAnsi="黑体" w:eastAsia="方正小标宋简体"/>
          <w:b/>
          <w:bCs/>
          <w:color w:val="000000" w:themeColor="text1"/>
          <w:sz w:val="32"/>
          <w:szCs w:val="32"/>
        </w:rPr>
        <w:t>附表一：投标保证金</w:t>
      </w:r>
    </w:p>
    <w:tbl>
      <w:tblPr>
        <w:tblStyle w:val="2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建安建工公字〔2019〕85号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val="en-US" w:eastAsia="zh-CN"/>
              </w:rPr>
            </w:pPr>
            <w:r>
              <w:rPr>
                <w:rFonts w:hint="eastAsia" w:ascii="仿宋_GB2312" w:hAnsi="宋体" w:eastAsia="仿宋_GB2312" w:cs="宋体"/>
                <w:sz w:val="24"/>
                <w:szCs w:val="22"/>
                <w:lang w:val="en-US" w:eastAsia="zh-CN"/>
              </w:rPr>
              <w:t>许昌市建安区南湖苑及工商局家属院改造项目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壹</w:t>
            </w:r>
            <w:r>
              <w:rPr>
                <w:rFonts w:hint="eastAsia" w:ascii="仿宋_GB2312" w:hAnsi="宋体" w:eastAsia="仿宋_GB2312" w:cs="宋体"/>
                <w:sz w:val="24"/>
                <w:szCs w:val="22"/>
              </w:rPr>
              <w:t>万</w:t>
            </w:r>
            <w:r>
              <w:rPr>
                <w:rFonts w:hint="eastAsia" w:ascii="仿宋_GB2312" w:hAnsi="宋体" w:eastAsia="仿宋_GB2312" w:cs="宋体"/>
                <w:sz w:val="24"/>
                <w:szCs w:val="22"/>
                <w:lang w:val="en-US" w:eastAsia="zh-CN"/>
              </w:rPr>
              <w:t>伍仟</w:t>
            </w:r>
            <w:r>
              <w:rPr>
                <w:rFonts w:hint="eastAsia" w:ascii="仿宋_GB2312" w:hAnsi="宋体" w:eastAsia="仿宋_GB2312" w:cs="宋体"/>
                <w:sz w:val="24"/>
                <w:szCs w:val="22"/>
              </w:rPr>
              <w:t>元整（</w:t>
            </w:r>
            <w:r>
              <w:rPr>
                <w:rFonts w:hint="eastAsia" w:ascii="仿宋_GB2312" w:hAnsi="宋体" w:eastAsia="仿宋_GB2312" w:cs="宋体"/>
                <w:sz w:val="24"/>
                <w:szCs w:val="22"/>
                <w:lang w:val="en-US" w:eastAsia="zh-CN"/>
              </w:rPr>
              <w:t>15000</w:t>
            </w:r>
            <w:r>
              <w:rPr>
                <w:rFonts w:hint="eastAsia" w:ascii="仿宋_GB2312" w:hAnsi="宋体" w:eastAsia="仿宋_GB2312" w:cs="宋体"/>
                <w:sz w:val="24"/>
                <w:szCs w:val="22"/>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4"/>
                <w:rFonts w:hint="eastAsia" w:ascii="仿宋_GB2312" w:hAnsi="宋体" w:eastAsia="仿宋_GB2312" w:cs="宋体"/>
                <w:sz w:val="24"/>
              </w:rPr>
              <w:t>http://221.14.6.70:8088/ggzy</w:t>
            </w:r>
            <w:r>
              <w:rPr>
                <w:rStyle w:val="34"/>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pStyle w:val="2"/>
        <w:ind w:firstLine="0" w:firstLineChars="0"/>
      </w:pPr>
    </w:p>
    <w:p>
      <w:pPr>
        <w:snapToGrid w:val="0"/>
        <w:spacing w:line="360" w:lineRule="auto"/>
        <w:jc w:val="center"/>
        <w:rPr>
          <w:rFonts w:hint="eastAsia" w:hAnsi="宋体" w:cs="黑体"/>
          <w:b/>
          <w:sz w:val="36"/>
          <w:szCs w:val="36"/>
        </w:rPr>
      </w:pPr>
    </w:p>
    <w:p>
      <w:pPr>
        <w:ind w:firstLine="2880" w:firstLineChars="800"/>
        <w:rPr>
          <w:rFonts w:hint="eastAsia" w:ascii="宋体" w:hAnsi="宋体"/>
          <w:sz w:val="36"/>
          <w:szCs w:val="36"/>
        </w:rPr>
      </w:pPr>
      <w:r>
        <w:rPr>
          <w:rFonts w:hint="eastAsia" w:ascii="宋体" w:hAnsi="宋体"/>
          <w:sz w:val="36"/>
          <w:szCs w:val="36"/>
        </w:rPr>
        <w:t>履约保证金退还通知单</w:t>
      </w:r>
    </w:p>
    <w:tbl>
      <w:tblPr>
        <w:tblStyle w:val="2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722"/>
        <w:gridCol w:w="71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noWrap w:val="0"/>
            <w:vAlign w:val="center"/>
          </w:tcPr>
          <w:p>
            <w:pPr>
              <w:spacing w:line="360" w:lineRule="exact"/>
              <w:jc w:val="center"/>
              <w:rPr>
                <w:rFonts w:hint="eastAsia" w:ascii="宋体" w:hAnsi="宋体"/>
                <w:sz w:val="24"/>
              </w:rPr>
            </w:pPr>
            <w:r>
              <w:rPr>
                <w:rFonts w:hint="eastAsia" w:ascii="宋体" w:hAnsi="宋体"/>
                <w:sz w:val="24"/>
              </w:rPr>
              <w:t>项目编号</w:t>
            </w:r>
          </w:p>
        </w:tc>
        <w:tc>
          <w:tcPr>
            <w:tcW w:w="4140" w:type="dxa"/>
            <w:gridSpan w:val="2"/>
            <w:noWrap w:val="0"/>
            <w:vAlign w:val="center"/>
          </w:tcPr>
          <w:p>
            <w:pPr>
              <w:spacing w:line="360" w:lineRule="exact"/>
              <w:jc w:val="center"/>
              <w:rPr>
                <w:rFonts w:hint="eastAsia" w:ascii="宋体" w:hAnsi="宋体"/>
                <w:sz w:val="24"/>
              </w:rPr>
            </w:pPr>
          </w:p>
        </w:tc>
        <w:tc>
          <w:tcPr>
            <w:tcW w:w="1440" w:type="dxa"/>
            <w:gridSpan w:val="2"/>
            <w:noWrap w:val="0"/>
            <w:vAlign w:val="center"/>
          </w:tcPr>
          <w:p>
            <w:pPr>
              <w:spacing w:line="360" w:lineRule="exact"/>
              <w:ind w:left="0" w:leftChars="0" w:firstLine="0" w:firstLineChars="0"/>
              <w:jc w:val="both"/>
              <w:rPr>
                <w:rFonts w:hint="eastAsia" w:ascii="宋体" w:hAnsi="宋体"/>
                <w:sz w:val="24"/>
              </w:rPr>
            </w:pPr>
            <w:r>
              <w:rPr>
                <w:rFonts w:hint="eastAsia" w:ascii="宋体" w:hAnsi="宋体"/>
                <w:sz w:val="24"/>
              </w:rPr>
              <w:t>是否完工</w:t>
            </w:r>
          </w:p>
        </w:tc>
        <w:tc>
          <w:tcPr>
            <w:tcW w:w="2162" w:type="dxa"/>
            <w:noWrap w:val="0"/>
            <w:vAlign w:val="center"/>
          </w:tcPr>
          <w:p>
            <w:pPr>
              <w:spacing w:line="360" w:lineRule="exact"/>
              <w:ind w:firstLine="240" w:firstLineChars="100"/>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exact"/>
        </w:trPr>
        <w:tc>
          <w:tcPr>
            <w:tcW w:w="2086" w:type="dxa"/>
            <w:noWrap w:val="0"/>
            <w:vAlign w:val="center"/>
          </w:tcPr>
          <w:p>
            <w:pPr>
              <w:spacing w:line="360" w:lineRule="exact"/>
              <w:ind w:left="0" w:leftChars="0" w:firstLine="0" w:firstLineChars="0"/>
              <w:jc w:val="center"/>
              <w:rPr>
                <w:rFonts w:hint="eastAsia" w:ascii="宋体" w:hAnsi="宋体"/>
                <w:sz w:val="24"/>
              </w:rPr>
            </w:pPr>
            <w:r>
              <w:rPr>
                <w:rFonts w:hint="eastAsia" w:ascii="宋体" w:hAnsi="宋体"/>
                <w:sz w:val="24"/>
              </w:rPr>
              <w:t>中标企业名称</w:t>
            </w:r>
          </w:p>
        </w:tc>
        <w:tc>
          <w:tcPr>
            <w:tcW w:w="7742" w:type="dxa"/>
            <w:gridSpan w:val="5"/>
            <w:noWrap w:val="0"/>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noWrap w:val="0"/>
            <w:vAlign w:val="center"/>
          </w:tcPr>
          <w:p>
            <w:pPr>
              <w:spacing w:line="360" w:lineRule="exact"/>
              <w:ind w:firstLine="480" w:firstLineChars="200"/>
              <w:jc w:val="center"/>
              <w:rPr>
                <w:rFonts w:hint="eastAsia" w:ascii="宋体" w:hAnsi="宋体"/>
                <w:sz w:val="24"/>
              </w:rPr>
            </w:pPr>
            <w:r>
              <w:rPr>
                <w:rFonts w:hint="eastAsia" w:ascii="宋体" w:hAnsi="宋体"/>
                <w:sz w:val="24"/>
              </w:rPr>
              <w:t>开户银行</w:t>
            </w:r>
          </w:p>
        </w:tc>
        <w:tc>
          <w:tcPr>
            <w:tcW w:w="3780" w:type="dxa"/>
            <w:noWrap w:val="0"/>
            <w:vAlign w:val="center"/>
          </w:tcPr>
          <w:p>
            <w:pPr>
              <w:rPr>
                <w:rFonts w:hint="eastAsia" w:ascii="宋体" w:hAnsi="宋体"/>
                <w:sz w:val="24"/>
              </w:rPr>
            </w:pPr>
          </w:p>
        </w:tc>
        <w:tc>
          <w:tcPr>
            <w:tcW w:w="1082" w:type="dxa"/>
            <w:gridSpan w:val="2"/>
            <w:noWrap w:val="0"/>
            <w:vAlign w:val="center"/>
          </w:tcPr>
          <w:p>
            <w:pPr>
              <w:spacing w:line="360" w:lineRule="exact"/>
              <w:ind w:left="0" w:leftChars="0" w:firstLine="0" w:firstLineChars="0"/>
              <w:rPr>
                <w:rFonts w:hint="eastAsia" w:ascii="宋体" w:hAnsi="宋体"/>
                <w:sz w:val="24"/>
              </w:rPr>
            </w:pPr>
            <w:r>
              <w:rPr>
                <w:rFonts w:hint="eastAsia" w:ascii="宋体" w:hAnsi="宋体"/>
                <w:sz w:val="24"/>
              </w:rPr>
              <w:t>账号</w:t>
            </w:r>
          </w:p>
        </w:tc>
        <w:tc>
          <w:tcPr>
            <w:tcW w:w="2880" w:type="dxa"/>
            <w:gridSpan w:val="2"/>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noWrap w:val="0"/>
            <w:vAlign w:val="center"/>
          </w:tcPr>
          <w:p>
            <w:pPr>
              <w:spacing w:line="360" w:lineRule="exact"/>
              <w:ind w:firstLine="480" w:firstLineChars="200"/>
              <w:rPr>
                <w:rFonts w:hint="eastAsia" w:ascii="宋体" w:hAnsi="宋体"/>
                <w:sz w:val="24"/>
              </w:rPr>
            </w:pPr>
            <w:r>
              <w:rPr>
                <w:rFonts w:hint="eastAsia" w:ascii="宋体" w:hAnsi="宋体"/>
                <w:sz w:val="24"/>
              </w:rPr>
              <w:t>金额</w:t>
            </w:r>
          </w:p>
        </w:tc>
        <w:tc>
          <w:tcPr>
            <w:tcW w:w="7742" w:type="dxa"/>
            <w:gridSpan w:val="5"/>
            <w:noWrap w:val="0"/>
            <w:vAlign w:val="center"/>
          </w:tcPr>
          <w:p>
            <w:pPr>
              <w:spacing w:line="360" w:lineRule="exact"/>
              <w:rPr>
                <w:rFonts w:hint="eastAsia"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noWrap w:val="0"/>
            <w:vAlign w:val="center"/>
          </w:tcPr>
          <w:p>
            <w:pPr>
              <w:spacing w:line="360" w:lineRule="exact"/>
              <w:jc w:val="center"/>
              <w:rPr>
                <w:rFonts w:hint="eastAsia"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noWrap w:val="0"/>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w:t>
            </w:r>
          </w:p>
          <w:p>
            <w:pPr>
              <w:ind w:firstLine="840" w:firstLineChars="350"/>
              <w:rPr>
                <w:rFonts w:hint="eastAsia" w:ascii="宋体" w:hAnsi="宋体"/>
                <w:sz w:val="24"/>
              </w:rPr>
            </w:pPr>
            <w:r>
              <w:rPr>
                <w:rFonts w:hint="eastAsia" w:ascii="宋体" w:hAnsi="宋体"/>
                <w:sz w:val="24"/>
              </w:rPr>
              <w:t>主要负责人签字 ：                           盖  章：</w:t>
            </w:r>
          </w:p>
          <w:p>
            <w:pPr>
              <w:jc w:val="center"/>
              <w:rPr>
                <w:rFonts w:hint="eastAsia" w:ascii="宋体" w:hAnsi="宋体"/>
                <w:sz w:val="24"/>
              </w:rPr>
            </w:pPr>
          </w:p>
          <w:p>
            <w:pPr>
              <w:ind w:right="480" w:firstLine="5880" w:firstLineChars="2450"/>
              <w:rPr>
                <w:rFonts w:hint="eastAsia" w:ascii="宋体" w:hAnsi="宋体"/>
                <w:sz w:val="24"/>
              </w:rPr>
            </w:pPr>
            <w:r>
              <w:rPr>
                <w:rFonts w:hint="eastAsia" w:ascii="宋体" w:hAnsi="宋体"/>
                <w:sz w:val="24"/>
              </w:rPr>
              <w:t>年   月   日</w:t>
            </w:r>
          </w:p>
        </w:tc>
      </w:tr>
    </w:tbl>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bookmarkStart w:id="631" w:name="_GoBack"/>
      <w:bookmarkEnd w:id="631"/>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ind w:left="0" w:leftChars="0" w:firstLine="0" w:firstLineChars="0"/>
        <w:rPr>
          <w:rFonts w:hAnsi="宋体" w:cs="黑体"/>
          <w:b/>
          <w:sz w:val="36"/>
          <w:szCs w:val="36"/>
        </w:rPr>
      </w:pPr>
    </w:p>
    <w:p>
      <w:pPr>
        <w:pStyle w:val="6"/>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发包人（全称）：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承包人（全称）：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根据《中华人民共和国合同法》、《中华人民共和国建筑法》及有关法律规定，遵循平等、自愿、公平和诚实信用的原则，双方就</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工程施工及有关事项协商一致</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共同达成如下协议：</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79" w:name="_Toc351203481"/>
      <w:r>
        <w:rPr>
          <w:rFonts w:ascii="Times New Roman" w:hAnsi="Times New Roman" w:eastAsia="黑体"/>
          <w:b w:val="0"/>
          <w:color w:val="000000"/>
          <w:sz w:val="24"/>
          <w:szCs w:val="24"/>
        </w:rPr>
        <w:t>一、工程概况</w:t>
      </w:r>
      <w:bookmarkEnd w:id="79"/>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color w:val="000000"/>
          <w:sz w:val="24"/>
          <w:szCs w:val="24"/>
          <w:u w:val="single"/>
        </w:rPr>
      </w:pPr>
      <w:r>
        <w:rPr>
          <w:rFonts w:ascii="Times New Roman" w:hAnsi="Times New Roman" w:eastAsia="仿宋_GB2312"/>
          <w:bCs/>
          <w:color w:val="000000"/>
          <w:sz w:val="24"/>
          <w:szCs w:val="24"/>
        </w:rPr>
        <w:t>1.工程名称</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2.工程地点：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3.工程立项批准文号：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ascii="Times New Roman" w:hAnsi="Times New Roman" w:eastAsia="仿宋_GB2312"/>
          <w:bCs/>
          <w:color w:val="000000"/>
          <w:sz w:val="24"/>
          <w:szCs w:val="24"/>
        </w:rPr>
        <w:t>4.资金来源：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5.工程内容：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群体工程应附《</w:t>
      </w:r>
      <w:r>
        <w:rPr>
          <w:rFonts w:ascii="Times New Roman" w:hAnsi="Times New Roman" w:eastAsia="仿宋_GB2312"/>
          <w:color w:val="000000"/>
          <w:sz w:val="24"/>
          <w:szCs w:val="24"/>
        </w:rPr>
        <w:t>承包人承揽工程项目一览表</w:t>
      </w:r>
      <w:r>
        <w:rPr>
          <w:rFonts w:hint="eastAsia" w:ascii="Times New Roman" w:hAnsi="Times New Roman" w:eastAsia="仿宋_GB2312"/>
          <w:color w:val="000000"/>
          <w:sz w:val="24"/>
          <w:szCs w:val="24"/>
        </w:rPr>
        <w:t>》（附件1）。</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6</w:t>
      </w:r>
      <w:r>
        <w:rPr>
          <w:rFonts w:ascii="Times New Roman" w:hAnsi="Times New Roman" w:eastAsia="仿宋_GB2312"/>
          <w:bCs/>
          <w:color w:val="000000"/>
          <w:sz w:val="24"/>
          <w:szCs w:val="24"/>
        </w:rPr>
        <w:t>.工程承包范围：</w:t>
      </w:r>
    </w:p>
    <w:p>
      <w:pPr>
        <w:pageBreakBefore w:val="0"/>
        <w:widowControl w:val="0"/>
        <w:kinsoku/>
        <w:wordWrap/>
        <w:overflowPunct/>
        <w:topLinePunct w:val="0"/>
        <w:bidi w:val="0"/>
        <w:snapToGrid/>
        <w:spacing w:line="480" w:lineRule="exact"/>
        <w:ind w:firstLine="463" w:firstLineChars="193"/>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r>
        <w:rPr>
          <w:rFonts w:ascii="Times New Roman" w:hAnsi="Times New Roman" w:eastAsia="黑体"/>
          <w:b w:val="0"/>
          <w:color w:val="000000"/>
          <w:sz w:val="24"/>
          <w:szCs w:val="24"/>
        </w:rPr>
        <w:t xml:space="preserve">   </w:t>
      </w:r>
      <w:bookmarkStart w:id="80" w:name="_Toc351203482"/>
      <w:r>
        <w:rPr>
          <w:rFonts w:ascii="Times New Roman" w:hAnsi="Times New Roman" w:eastAsia="黑体"/>
          <w:b w:val="0"/>
          <w:color w:val="000000"/>
          <w:sz w:val="24"/>
          <w:szCs w:val="24"/>
        </w:rPr>
        <w:t>二、合同工期</w:t>
      </w:r>
      <w:bookmarkEnd w:id="80"/>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计划开工日期：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计划竣工日期：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工期总日历天数：</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天。工期总日历天数与根据前述计划开竣工日期计算的工期天数不一致的，以工期总日历天数为准。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1" w:name="_Toc351203483"/>
      <w:r>
        <w:rPr>
          <w:rFonts w:ascii="Times New Roman" w:hAnsi="Times New Roman" w:eastAsia="黑体"/>
          <w:b w:val="0"/>
          <w:color w:val="000000"/>
          <w:sz w:val="24"/>
          <w:szCs w:val="24"/>
        </w:rPr>
        <w:t>三、质量标准</w:t>
      </w:r>
      <w:bookmarkEnd w:id="81"/>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工程质量符合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标准。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2" w:name="_Toc351203484"/>
      <w:r>
        <w:rPr>
          <w:rFonts w:ascii="Times New Roman" w:hAnsi="Times New Roman" w:eastAsia="黑体"/>
          <w:b w:val="0"/>
          <w:color w:val="000000"/>
          <w:sz w:val="24"/>
          <w:szCs w:val="24"/>
        </w:rPr>
        <w:t>四、签约合同价与合同价格形式</w:t>
      </w:r>
      <w:bookmarkEnd w:id="82"/>
      <w:r>
        <w:rPr>
          <w:rFonts w:ascii="Times New Roman" w:hAnsi="Times New Roman" w:eastAsia="黑体"/>
          <w:b w:val="0"/>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1.签约合同价为：</w:t>
      </w:r>
    </w:p>
    <w:p>
      <w:pPr>
        <w:pageBreakBefore w:val="0"/>
        <w:widowControl w:val="0"/>
        <w:kinsoku/>
        <w:wordWrap/>
        <w:overflowPunct/>
        <w:topLinePunct w:val="0"/>
        <w:bidi w:val="0"/>
        <w:snapToGrid/>
        <w:spacing w:line="480" w:lineRule="exact"/>
        <w:ind w:firstLine="600" w:firstLineChars="2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其中：</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（1）安全文明施工费：</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（2）材料和工程设备暂估价金额：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（3）专业工程暂估价金额：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（4）暂列金额：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2.合同价格形式：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3" w:name="_Toc351203485"/>
      <w:r>
        <w:rPr>
          <w:rFonts w:ascii="Times New Roman" w:hAnsi="Times New Roman" w:eastAsia="黑体"/>
          <w:b w:val="0"/>
          <w:color w:val="000000"/>
          <w:sz w:val="24"/>
          <w:szCs w:val="24"/>
        </w:rPr>
        <w:t>五、</w:t>
      </w:r>
      <w:bookmarkEnd w:id="83"/>
      <w:r>
        <w:rPr>
          <w:rFonts w:ascii="Times New Roman" w:hAnsi="Times New Roman" w:eastAsia="黑体"/>
          <w:b w:val="0"/>
          <w:color w:val="000000"/>
          <w:sz w:val="24"/>
          <w:szCs w:val="24"/>
        </w:rPr>
        <w:t>项目经理</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承包人项目经理：</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4" w:name="_Toc351203486"/>
      <w:r>
        <w:rPr>
          <w:rFonts w:ascii="Times New Roman" w:hAnsi="Times New Roman" w:eastAsia="黑体"/>
          <w:b w:val="0"/>
          <w:color w:val="000000"/>
          <w:sz w:val="24"/>
          <w:szCs w:val="24"/>
        </w:rPr>
        <w:t>六、合同文件构成</w:t>
      </w:r>
      <w:bookmarkEnd w:id="84"/>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本协议书与下列文件一起构成合同文件：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（1）中标通知书（如果有）；</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（2）投标函及其附录（如果有）；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（3）专用合同条款及其附件；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（4）通用合同条款；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（5）技术标准和要求；</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（6）图纸；</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（7）已标价工程量清单或预算书；</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（8）其他合同文件。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4"/>
          <w:szCs w:val="24"/>
        </w:rPr>
        <w:t>专用合同条款及其附件须经合同当事人签字或盖章。</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bCs w:val="0"/>
          <w:color w:val="000000"/>
          <w:sz w:val="24"/>
          <w:szCs w:val="24"/>
        </w:rPr>
      </w:pPr>
      <w:r>
        <w:rPr>
          <w:rFonts w:ascii="Times New Roman" w:hAnsi="Times New Roman" w:eastAsia="黑体"/>
          <w:b w:val="0"/>
          <w:bCs w:val="0"/>
          <w:color w:val="000000"/>
          <w:sz w:val="24"/>
          <w:szCs w:val="24"/>
        </w:rPr>
        <w:t xml:space="preserve">   </w:t>
      </w:r>
      <w:r>
        <w:rPr>
          <w:rFonts w:ascii="Times New Roman" w:hAnsi="Times New Roman" w:eastAsia="黑体"/>
          <w:b w:val="0"/>
          <w:color w:val="000000"/>
          <w:sz w:val="24"/>
          <w:szCs w:val="24"/>
        </w:rPr>
        <w:t xml:space="preserve"> </w:t>
      </w:r>
      <w:bookmarkStart w:id="85" w:name="_Toc351203487"/>
      <w:r>
        <w:rPr>
          <w:rFonts w:ascii="Times New Roman" w:hAnsi="Times New Roman" w:eastAsia="黑体"/>
          <w:b w:val="0"/>
          <w:color w:val="000000"/>
          <w:sz w:val="24"/>
          <w:szCs w:val="24"/>
        </w:rPr>
        <w:t>七、承诺</w:t>
      </w:r>
      <w:bookmarkEnd w:id="85"/>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3.发包人和承包人通过招投标形式签订合同的，双方理解并</w:t>
      </w:r>
      <w:r>
        <w:rPr>
          <w:rFonts w:hint="eastAsia" w:ascii="Times New Roman" w:hAnsi="Times New Roman" w:eastAsia="仿宋_GB2312"/>
          <w:bCs/>
          <w:color w:val="000000"/>
          <w:sz w:val="24"/>
          <w:szCs w:val="24"/>
        </w:rPr>
        <w:t>承诺</w:t>
      </w:r>
      <w:r>
        <w:rPr>
          <w:rFonts w:ascii="Times New Roman" w:hAnsi="Times New Roman" w:eastAsia="仿宋_GB2312"/>
          <w:bCs/>
          <w:color w:val="000000"/>
          <w:sz w:val="24"/>
          <w:szCs w:val="24"/>
        </w:rPr>
        <w:t>不再就同一工程另行签订与合同实质性内容相背离的协议。</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Times New Roman" w:hAnsi="Times New Roman" w:eastAsia="黑体"/>
          <w:bCs/>
          <w:color w:val="000000"/>
          <w:sz w:val="24"/>
          <w:szCs w:val="24"/>
        </w:rPr>
      </w:pPr>
      <w:bookmarkStart w:id="86" w:name="_Toc351203488"/>
      <w:r>
        <w:rPr>
          <w:rFonts w:hint="eastAsia" w:ascii="Times New Roman" w:hAnsi="Times New Roman" w:eastAsia="黑体"/>
          <w:b/>
          <w:color w:val="000000"/>
          <w:sz w:val="24"/>
          <w:szCs w:val="24"/>
        </w:rPr>
        <w:t xml:space="preserve">    </w:t>
      </w:r>
      <w:r>
        <w:rPr>
          <w:rFonts w:ascii="Times New Roman" w:hAnsi="Times New Roman" w:eastAsia="黑体"/>
          <w:b/>
          <w:color w:val="000000"/>
          <w:sz w:val="24"/>
          <w:szCs w:val="24"/>
        </w:rPr>
        <w:t>八、词语含义</w:t>
      </w:r>
      <w:bookmarkEnd w:id="86"/>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本协议书中词语含义与第二部分通用合同条款中赋予的含义相同。</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7" w:name="_Toc351203489"/>
      <w:r>
        <w:rPr>
          <w:rFonts w:ascii="Times New Roman" w:hAnsi="Times New Roman" w:eastAsia="黑体"/>
          <w:b w:val="0"/>
          <w:color w:val="000000"/>
          <w:sz w:val="24"/>
          <w:szCs w:val="24"/>
        </w:rPr>
        <w:t>九、签订时间</w:t>
      </w:r>
      <w:bookmarkEnd w:id="87"/>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本合同于</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年</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月</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日签订。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8" w:name="_Toc351203490"/>
      <w:r>
        <w:rPr>
          <w:rFonts w:ascii="Times New Roman" w:hAnsi="Times New Roman" w:eastAsia="黑体"/>
          <w:b w:val="0"/>
          <w:color w:val="000000"/>
          <w:sz w:val="24"/>
          <w:szCs w:val="24"/>
        </w:rPr>
        <w:t>十、签订地点</w:t>
      </w:r>
      <w:bookmarkEnd w:id="88"/>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本合同在</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9" w:name="_Toc351203491"/>
      <w:r>
        <w:rPr>
          <w:rFonts w:ascii="Times New Roman" w:hAnsi="Times New Roman" w:eastAsia="黑体"/>
          <w:b w:val="0"/>
          <w:color w:val="000000"/>
          <w:sz w:val="24"/>
          <w:szCs w:val="24"/>
        </w:rPr>
        <w:t>十一、补充协议</w:t>
      </w:r>
      <w:bookmarkEnd w:id="89"/>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
          <w:bCs/>
          <w:color w:val="000000"/>
          <w:sz w:val="24"/>
          <w:szCs w:val="24"/>
        </w:rPr>
      </w:pPr>
      <w:r>
        <w:rPr>
          <w:rFonts w:ascii="Times New Roman" w:hAnsi="Times New Roman" w:eastAsia="仿宋_GB2312"/>
          <w:bCs/>
          <w:color w:val="000000"/>
          <w:sz w:val="24"/>
          <w:szCs w:val="24"/>
        </w:rPr>
        <w:t>合同未尽事宜，合同当事人另行签订补充协议</w:t>
      </w:r>
      <w:r>
        <w:rPr>
          <w:rFonts w:hint="eastAsia" w:ascii="Times New Roman" w:hAnsi="Times New Roman" w:eastAsia="仿宋_GB2312"/>
          <w:bCs/>
          <w:color w:val="000000"/>
          <w:sz w:val="24"/>
          <w:szCs w:val="24"/>
        </w:rPr>
        <w:t>，</w:t>
      </w:r>
      <w:r>
        <w:rPr>
          <w:rFonts w:ascii="Times New Roman" w:hAnsi="Times New Roman" w:eastAsia="仿宋_GB2312"/>
          <w:bCs/>
          <w:color w:val="000000"/>
          <w:sz w:val="24"/>
          <w:szCs w:val="24"/>
        </w:rPr>
        <w:t>补充协议是合同的组成部分。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0" w:name="_Toc351203492"/>
      <w:r>
        <w:rPr>
          <w:rFonts w:ascii="Times New Roman" w:hAnsi="Times New Roman" w:eastAsia="黑体"/>
          <w:b w:val="0"/>
          <w:color w:val="000000"/>
          <w:sz w:val="24"/>
          <w:szCs w:val="24"/>
        </w:rPr>
        <w:t>十二、合同生效</w:t>
      </w:r>
      <w:bookmarkEnd w:id="90"/>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本合同自</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生效。</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1" w:name="_Toc351203493"/>
      <w:r>
        <w:rPr>
          <w:rFonts w:ascii="Times New Roman" w:hAnsi="Times New Roman" w:eastAsia="黑体"/>
          <w:b w:val="0"/>
          <w:color w:val="000000"/>
          <w:sz w:val="24"/>
          <w:szCs w:val="24"/>
        </w:rPr>
        <w:t>十三、合同份数</w:t>
      </w:r>
      <w:bookmarkEnd w:id="91"/>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bCs/>
          <w:color w:val="000000"/>
          <w:sz w:val="24"/>
          <w:szCs w:val="24"/>
        </w:rPr>
        <w:t>本合同一式</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份，均具有同等法律效力，发包人执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份，承包人执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承包人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法定代表人或其委托代理人：  法定代表人或其委托代理人：</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（签字）                    （签字）</w:t>
      </w:r>
    </w:p>
    <w:p>
      <w:pPr>
        <w:pageBreakBefore w:val="0"/>
        <w:widowControl w:val="0"/>
        <w:tabs>
          <w:tab w:val="left" w:pos="4410"/>
        </w:tabs>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4"/>
          <w:szCs w:val="24"/>
        </w:rPr>
        <w:t>账  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 xml:space="preserve"> 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Style w:val="6"/>
        <w:jc w:val="center"/>
        <w:rPr>
          <w:rFonts w:ascii="华文中宋" w:hAnsi="华文中宋" w:eastAsia="华文中宋"/>
          <w:sz w:val="44"/>
          <w:szCs w:val="44"/>
        </w:rPr>
      </w:pPr>
      <w:r>
        <w:rPr>
          <w:rFonts w:eastAsia="仿宋_GB2312"/>
        </w:rPr>
        <w:br w:type="page"/>
      </w:r>
      <w:bookmarkStart w:id="92" w:name="_Toc351203494"/>
      <w:r>
        <w:rPr>
          <w:rFonts w:ascii="华文中宋" w:hAnsi="华文中宋" w:eastAsia="华文中宋"/>
          <w:sz w:val="44"/>
          <w:szCs w:val="44"/>
        </w:rPr>
        <w:t>第二部分 通用合同条款</w:t>
      </w:r>
      <w:bookmarkEnd w:id="92"/>
      <w:r>
        <w:rPr>
          <w:rFonts w:hint="eastAsia" w:ascii="华文中宋" w:hAnsi="华文中宋" w:eastAsia="华文中宋"/>
          <w:sz w:val="44"/>
          <w:szCs w:val="44"/>
          <w:lang w:eastAsia="zh-CN"/>
        </w:rPr>
        <w:t>（</w:t>
      </w:r>
      <w:r>
        <w:rPr>
          <w:rFonts w:hint="eastAsia" w:ascii="华文中宋" w:hAnsi="华文中宋" w:eastAsia="华文中宋"/>
          <w:sz w:val="44"/>
          <w:szCs w:val="44"/>
          <w:lang w:val="en-US" w:eastAsia="zh-CN"/>
        </w:rPr>
        <w:t>略</w:t>
      </w:r>
      <w:r>
        <w:rPr>
          <w:rFonts w:hint="eastAsia" w:ascii="华文中宋" w:hAnsi="华文中宋" w:eastAsia="华文中宋"/>
          <w:sz w:val="44"/>
          <w:szCs w:val="44"/>
          <w:lang w:eastAsia="zh-CN"/>
        </w:rPr>
        <w:t>）</w:t>
      </w: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93" w:name="_Toc351203633"/>
      <w:r>
        <w:rPr>
          <w:rFonts w:ascii="Times New Roman" w:hAnsi="Times New Roman" w:eastAsia="黑体"/>
          <w:b w:val="0"/>
          <w:color w:val="000000"/>
          <w:sz w:val="24"/>
          <w:szCs w:val="24"/>
        </w:rPr>
        <w:t>1</w:t>
      </w:r>
      <w:bookmarkStart w:id="94" w:name="_Toc297048342"/>
      <w:bookmarkStart w:id="95" w:name="_Toc292559361"/>
      <w:bookmarkStart w:id="96" w:name="_Toc296890984"/>
      <w:bookmarkStart w:id="97" w:name="_Toc296346657"/>
      <w:bookmarkStart w:id="98" w:name="_Toc296503156"/>
      <w:bookmarkStart w:id="99" w:name="_Toc292559866"/>
      <w:bookmarkStart w:id="100" w:name="_Toc296347155"/>
      <w:bookmarkStart w:id="101" w:name="_Toc296944495"/>
      <w:bookmarkStart w:id="102" w:name="_Toc296891196"/>
      <w:bookmarkStart w:id="103" w:name="_Toc297120456"/>
      <w:r>
        <w:rPr>
          <w:rFonts w:ascii="Times New Roman" w:hAnsi="Times New Roman" w:eastAsia="黑体"/>
          <w:b w:val="0"/>
          <w:color w:val="000000"/>
          <w:sz w:val="24"/>
          <w:szCs w:val="24"/>
        </w:rPr>
        <w:t>. 一般约定</w:t>
      </w:r>
      <w:bookmarkEnd w:id="93"/>
    </w:p>
    <w:bookmarkEnd w:id="94"/>
    <w:bookmarkEnd w:id="95"/>
    <w:bookmarkEnd w:id="96"/>
    <w:bookmarkEnd w:id="97"/>
    <w:bookmarkEnd w:id="98"/>
    <w:bookmarkEnd w:id="99"/>
    <w:bookmarkEnd w:id="100"/>
    <w:bookmarkEnd w:id="101"/>
    <w:bookmarkEnd w:id="102"/>
    <w:bookmarkEnd w:id="103"/>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 词语定义</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1.1.1合同</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1.1.1.10其他合同文件包括：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 合同当事人及其他相关方</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1.1.2.4监理人：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1.1.2.5 设计人：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1.1.3 工程和设备</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1.1.3.7 作为施工现场组成部分的其他场所包括：</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1.1.3.9 永久占地包括：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1.1.3.10 临时占地包括：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 xml:space="preserve">1.3法律 </w:t>
      </w:r>
    </w:p>
    <w:p>
      <w:pPr>
        <w:pageBreakBefore w:val="0"/>
        <w:widowControl w:val="0"/>
        <w:kinsoku/>
        <w:wordWrap/>
        <w:overflowPunct/>
        <w:topLinePunct w:val="0"/>
        <w:autoSpaceDE w:val="0"/>
        <w:autoSpaceDN w:val="0"/>
        <w:bidi w:val="0"/>
        <w:adjustRightInd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适用于合同的其他规范性文件：</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 标准和规范</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1.4.1适用于工程的标准规范包括：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1.4.2 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发包人提供国外标准、规范的份数：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1.4.3发包人对工程的技术标准和功能要求的特殊要求：</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 合同文件的优先顺序</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合同文件组成及优先顺序为：</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 图纸和承包人文件</w:t>
      </w:r>
      <w:r>
        <w:rPr>
          <w:rFonts w:ascii="Times New Roman" w:hAnsi="Times New Roman" w:eastAsia="黑体"/>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 图纸的提供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发包人向承包人提供图纸的期限：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发包人向承包人提供图纸的数量：</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1.6.4 承包人文件</w:t>
      </w:r>
    </w:p>
    <w:p>
      <w:pPr>
        <w:pageBreakBefore w:val="0"/>
        <w:widowControl w:val="0"/>
        <w:kinsoku/>
        <w:wordWrap/>
        <w:overflowPunct/>
        <w:topLinePunct w:val="0"/>
        <w:bidi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需要由承包人提供的文件，包括：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left="965" w:leftChars="28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承包人提供的文件的期限为：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承包人提供的文件的数量为：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承包人提供的文件的形式为：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审批</w:t>
      </w:r>
      <w:r>
        <w:rPr>
          <w:rFonts w:ascii="Times New Roman" w:hAnsi="Times New Roman" w:eastAsia="仿宋_GB2312"/>
          <w:color w:val="000000"/>
          <w:sz w:val="24"/>
          <w:szCs w:val="24"/>
        </w:rPr>
        <w:t>承包人文件的期限：</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1.6.5 现场图纸准备</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关于现场图纸准备的约定：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 联络</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1.7.1发包人和承包人应当在</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1.7.2 发包人接收文件的地点：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1.10 交通运输</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04" w:name="_Toc312677986"/>
      <w:bookmarkStart w:id="105" w:name="_Toc303539100"/>
      <w:bookmarkStart w:id="106" w:name="_Toc304295521"/>
      <w:bookmarkStart w:id="107" w:name="_Toc300934943"/>
      <w:bookmarkStart w:id="108" w:name="_Toc318581155"/>
      <w:r>
        <w:rPr>
          <w:rFonts w:ascii="Times New Roman" w:hAnsi="Times New Roman" w:eastAsia="仿宋_GB2312"/>
          <w:sz w:val="24"/>
          <w:szCs w:val="24"/>
        </w:rPr>
        <w:t>.10.1 出入现场的权利</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关于出入现场的权利的约定：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p>
    <w:bookmarkEnd w:id="104"/>
    <w:bookmarkEnd w:id="105"/>
    <w:bookmarkEnd w:id="106"/>
    <w:bookmarkEnd w:id="107"/>
    <w:bookmarkEnd w:id="108"/>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09" w:name="_Toc304295522"/>
      <w:bookmarkStart w:id="110" w:name="_Toc303539101"/>
      <w:bookmarkStart w:id="111" w:name="_Toc312677987"/>
      <w:bookmarkStart w:id="112" w:name="_Toc318581156"/>
      <w:bookmarkStart w:id="113" w:name="_Toc300934944"/>
      <w:r>
        <w:rPr>
          <w:rFonts w:ascii="Times New Roman" w:hAnsi="Times New Roman" w:eastAsia="仿宋_GB2312"/>
          <w:sz w:val="24"/>
          <w:szCs w:val="24"/>
        </w:rPr>
        <w:t>.10.3 场内交通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关于场外交通和场内交通的边界的约定：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关于发包人向承包人免费提供满足工程施工需要的场内道路和交通设施的约定：</w:t>
      </w: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bookmarkEnd w:id="109"/>
      <w:bookmarkEnd w:id="110"/>
      <w:bookmarkEnd w:id="111"/>
      <w:bookmarkEnd w:id="112"/>
      <w:bookmarkEnd w:id="113"/>
      <w:r>
        <w:rPr>
          <w:rFonts w:ascii="Times New Roman" w:hAnsi="Times New Roman" w:eastAsia="仿宋_GB2312"/>
          <w:sz w:val="24"/>
          <w:szCs w:val="24"/>
        </w:rPr>
        <w:t xml:space="preserve">  </w:t>
      </w:r>
      <w:bookmarkStart w:id="114" w:name="_Toc318581157"/>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1.10.4超大件和超重件的运输</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运输超大件或超重件所需的道路和桥梁临时加固改造费用和其他有关费用由</w:t>
      </w:r>
      <w:r>
        <w:rPr>
          <w:rFonts w:ascii="Times New Roman" w:hAnsi="Times New Roman" w:eastAsia="仿宋_GB2312"/>
          <w:sz w:val="24"/>
          <w:szCs w:val="24"/>
          <w:u w:val="single"/>
        </w:rPr>
        <w:t xml:space="preserve">              </w:t>
      </w:r>
      <w:r>
        <w:rPr>
          <w:rFonts w:ascii="Times New Roman" w:hAnsi="Times New Roman" w:eastAsia="仿宋_GB2312"/>
          <w:sz w:val="24"/>
          <w:szCs w:val="24"/>
        </w:rPr>
        <w:t>承担。</w:t>
      </w:r>
    </w:p>
    <w:bookmarkEnd w:id="11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1.11 知识产权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关于发包人提供的上述文件的使用限制的要求：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1.11.2 关于承包人为实施工程所编制文件的著作权的归属：</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hint="eastAsia" w:ascii="Times New Roman" w:hAnsi="Times New Roman" w:eastAsia="仿宋_GB2312"/>
          <w:color w:val="000000"/>
          <w:sz w:val="24"/>
          <w:szCs w:val="24"/>
          <w:lang w:val="en-US" w:eastAsia="zh-CN"/>
        </w:rPr>
        <w:t>1.11.3</w:t>
      </w:r>
      <w:r>
        <w:rPr>
          <w:rFonts w:ascii="Times New Roman" w:hAnsi="Times New Roman" w:eastAsia="仿宋_GB2312"/>
          <w:color w:val="000000"/>
          <w:sz w:val="24"/>
          <w:szCs w:val="24"/>
        </w:rPr>
        <w:t>关于承包人提供的上述文件的使用限制的要求：</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sz w:val="24"/>
          <w:szCs w:val="24"/>
        </w:rPr>
        <w:t>1.11.4 承包人在施工过程中所采用的专利、专有技术、技术秘密的使用费的承担方式：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1.13工程量清单错误的修正</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出现工程量清单错误时，是否调整合同价格：</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允许调整合同价格的工程量偏差范围：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15" w:name="_Toc351203634"/>
      <w:r>
        <w:rPr>
          <w:rFonts w:ascii="Times New Roman" w:hAnsi="Times New Roman" w:eastAsia="黑体"/>
          <w:b w:val="0"/>
          <w:color w:val="000000"/>
          <w:sz w:val="24"/>
          <w:szCs w:val="24"/>
        </w:rPr>
        <w:t>2</w:t>
      </w:r>
      <w:bookmarkStart w:id="116" w:name="_Toc297120457"/>
      <w:bookmarkStart w:id="117" w:name="_Toc296347156"/>
      <w:bookmarkStart w:id="118" w:name="_Toc292559867"/>
      <w:bookmarkStart w:id="119" w:name="_Toc297048343"/>
      <w:bookmarkStart w:id="120" w:name="_Toc296891197"/>
      <w:bookmarkStart w:id="121" w:name="_Toc296890985"/>
      <w:bookmarkStart w:id="122" w:name="_Toc296944496"/>
      <w:bookmarkStart w:id="123" w:name="_Toc292559362"/>
      <w:bookmarkStart w:id="124" w:name="_Toc296346658"/>
      <w:bookmarkStart w:id="125" w:name="_Toc296503157"/>
      <w:r>
        <w:rPr>
          <w:rFonts w:ascii="Times New Roman" w:hAnsi="Times New Roman" w:eastAsia="黑体"/>
          <w:b w:val="0"/>
          <w:color w:val="000000"/>
          <w:sz w:val="24"/>
          <w:szCs w:val="24"/>
        </w:rPr>
        <w:t>. 发包人</w:t>
      </w:r>
      <w:bookmarkEnd w:id="115"/>
    </w:p>
    <w:bookmarkEnd w:id="116"/>
    <w:bookmarkEnd w:id="117"/>
    <w:bookmarkEnd w:id="118"/>
    <w:bookmarkEnd w:id="119"/>
    <w:bookmarkEnd w:id="120"/>
    <w:bookmarkEnd w:id="121"/>
    <w:bookmarkEnd w:id="122"/>
    <w:bookmarkEnd w:id="123"/>
    <w:bookmarkEnd w:id="124"/>
    <w:bookmarkEnd w:id="12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2.2 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发包人对发包人代表的授权范围如下：</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2.4 施工现场、施工条件和基础资料的提供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2.4.1 提供施工现场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关于发包人移交施工现场的期限要求：</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2.4.2 提供施工条件</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关于发包人应负责提供施工</w:t>
      </w:r>
      <w:r>
        <w:rPr>
          <w:rFonts w:hint="eastAsia" w:ascii="Times New Roman" w:hAnsi="Times New Roman" w:eastAsia="仿宋_GB2312"/>
          <w:color w:val="000000"/>
          <w:sz w:val="24"/>
          <w:szCs w:val="24"/>
        </w:rPr>
        <w:t>所需要的条件，</w:t>
      </w:r>
      <w:r>
        <w:rPr>
          <w:rFonts w:ascii="Times New Roman" w:hAnsi="Times New Roman" w:eastAsia="仿宋_GB2312"/>
          <w:color w:val="000000"/>
          <w:sz w:val="24"/>
          <w:szCs w:val="24"/>
        </w:rPr>
        <w:t>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2.5 资金来源证明及支付担保</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发包人提供资金来源证明的期限要求：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发包人是否提供支付担保：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发包人提供支付担保的形式：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26" w:name="_Toc351203635"/>
      <w:r>
        <w:rPr>
          <w:rFonts w:ascii="Times New Roman" w:hAnsi="Times New Roman" w:eastAsia="黑体"/>
          <w:b w:val="0"/>
          <w:color w:val="000000"/>
          <w:sz w:val="24"/>
          <w:szCs w:val="24"/>
        </w:rPr>
        <w:t>3</w:t>
      </w:r>
      <w:bookmarkStart w:id="127" w:name="_Toc296944497"/>
      <w:bookmarkStart w:id="128" w:name="_Toc296503158"/>
      <w:bookmarkStart w:id="129" w:name="_Toc292559363"/>
      <w:bookmarkStart w:id="130" w:name="_Toc292559868"/>
      <w:bookmarkStart w:id="131" w:name="_Toc296346659"/>
      <w:bookmarkStart w:id="132" w:name="_Toc296890986"/>
      <w:bookmarkStart w:id="133" w:name="_Toc297048344"/>
      <w:bookmarkStart w:id="134" w:name="_Toc297120458"/>
      <w:bookmarkStart w:id="135" w:name="_Toc296891198"/>
      <w:bookmarkStart w:id="136" w:name="_Toc296347157"/>
      <w:r>
        <w:rPr>
          <w:rFonts w:ascii="Times New Roman" w:hAnsi="Times New Roman" w:eastAsia="黑体"/>
          <w:b w:val="0"/>
          <w:color w:val="000000"/>
          <w:sz w:val="24"/>
          <w:szCs w:val="24"/>
        </w:rPr>
        <w:t>. 承包人</w:t>
      </w:r>
      <w:bookmarkEnd w:id="126"/>
    </w:p>
    <w:bookmarkEnd w:id="127"/>
    <w:bookmarkEnd w:id="128"/>
    <w:bookmarkEnd w:id="129"/>
    <w:bookmarkEnd w:id="130"/>
    <w:bookmarkEnd w:id="131"/>
    <w:bookmarkEnd w:id="132"/>
    <w:bookmarkEnd w:id="133"/>
    <w:bookmarkEnd w:id="134"/>
    <w:bookmarkEnd w:id="135"/>
    <w:bookmarkEnd w:id="13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3.1 承包人的一般义务</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9</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承包人提交的竣工资料的内容：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承包人需要提交的竣工资料套数：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承包人提交的竣工资料的费用承担：</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承包人提交的竣工资料移交时间：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承包人提交的竣工资料形式要求：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10</w:t>
      </w:r>
      <w:r>
        <w:rPr>
          <w:rFonts w:ascii="Times New Roman" w:hAnsi="Times New Roman" w:eastAsia="仿宋_GB2312"/>
          <w:color w:val="000000"/>
          <w:kern w:val="0"/>
          <w:sz w:val="24"/>
          <w:szCs w:val="24"/>
        </w:rPr>
        <w:t>）承包人应履行的其他义务：</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3.2 项目经理</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 xml:space="preserve">3.2.1 </w:t>
      </w:r>
      <w:r>
        <w:rPr>
          <w:rFonts w:ascii="Times New Roman" w:hAnsi="Times New Roman" w:eastAsia="仿宋_GB2312"/>
          <w:color w:val="000000"/>
          <w:sz w:val="24"/>
          <w:szCs w:val="24"/>
        </w:rPr>
        <w:t>项目经理：</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建造师执业资格等级：</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建造师注册证书号：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建造师执业印章号：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安全生产考核合格证书号：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承包人对项目经理的授权范围如下：</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关于项目经理每月在施工现场的时间要求：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承包人未提交劳动合同，以及没有为项目经理缴纳社会保险证明的违约责任：</w:t>
      </w:r>
      <w:r>
        <w:rPr>
          <w:rFonts w:ascii="Times New Roman" w:hAnsi="Times New Roman" w:eastAsia="仿宋_GB2312"/>
          <w:color w:val="000000"/>
          <w:sz w:val="24"/>
          <w:szCs w:val="24"/>
          <w:u w:val="single"/>
        </w:rPr>
        <w:t xml:space="preserve">          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项目经理未经批准，擅自离开施工现场的违约责任：</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3.2.3 承包人擅自更换项目经理的违约责任：</w:t>
      </w:r>
      <w:r>
        <w:rPr>
          <w:rFonts w:ascii="Times New Roman" w:hAnsi="Times New Roman" w:eastAsia="仿宋_GB2312"/>
          <w:color w:val="000000"/>
          <w:sz w:val="24"/>
          <w:szCs w:val="24"/>
          <w:u w:val="single"/>
        </w:rPr>
        <w:t xml:space="preserve">     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3.2.4 承包人无正当理由拒绝更换项目经理的违约责任：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黑体"/>
          <w:color w:val="000000"/>
          <w:sz w:val="24"/>
          <w:szCs w:val="24"/>
        </w:rPr>
        <w:t>3.3 承包人人员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3.3.1 承包人提交项目管理机构及施工现场管理人员安排报告的期限：</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3.3.3 承包人无正当理由拒绝撤换主要施工管理人员的违约责任：</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3.3.4 承包人主要施工管理人员离开施工现场的批准要求：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3.3.5承包人擅自更换主要施工管理人员的违约责任：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承包人主要施工管理人员擅自离开施工现场的违约责任：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w:t>
      </w:r>
      <w:bookmarkStart w:id="137" w:name="_Toc297048345"/>
      <w:bookmarkStart w:id="138" w:name="_Toc300934945"/>
      <w:bookmarkStart w:id="139" w:name="_Toc297123492"/>
      <w:bookmarkStart w:id="140" w:name="_Toc296347158"/>
      <w:bookmarkStart w:id="141" w:name="_Toc303539102"/>
      <w:bookmarkStart w:id="142" w:name="_Toc296890987"/>
      <w:bookmarkStart w:id="143" w:name="_Toc297216151"/>
      <w:bookmarkStart w:id="144" w:name="_Toc312677988"/>
      <w:bookmarkStart w:id="145" w:name="_Toc296944498"/>
      <w:bookmarkStart w:id="146" w:name="_Toc296503159"/>
      <w:bookmarkStart w:id="147" w:name="_Toc296891199"/>
      <w:bookmarkStart w:id="148" w:name="_Toc296346660"/>
      <w:bookmarkStart w:id="149" w:name="_Toc297120459"/>
      <w:bookmarkStart w:id="150" w:name="_Toc304295523"/>
      <w:bookmarkStart w:id="151" w:name="_Toc292559364"/>
      <w:bookmarkStart w:id="152" w:name="_Toc292559869"/>
      <w:r>
        <w:rPr>
          <w:rFonts w:ascii="Times New Roman" w:hAnsi="Times New Roman" w:eastAsia="黑体"/>
          <w:color w:val="000000"/>
          <w:sz w:val="24"/>
          <w:szCs w:val="24"/>
        </w:rPr>
        <w:t>.5 分包</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w:t>
      </w:r>
      <w:bookmarkStart w:id="153" w:name="_Toc296503160"/>
      <w:bookmarkStart w:id="154" w:name="_Toc296347159"/>
      <w:bookmarkStart w:id="155" w:name="_Toc296346661"/>
      <w:bookmarkStart w:id="156" w:name="_Toc296944499"/>
      <w:bookmarkStart w:id="157" w:name="_Toc297216152"/>
      <w:bookmarkStart w:id="158" w:name="_Toc297123493"/>
      <w:bookmarkStart w:id="159" w:name="_Toc303539103"/>
      <w:bookmarkStart w:id="160" w:name="_Toc297120460"/>
      <w:bookmarkStart w:id="161" w:name="_Toc300934946"/>
      <w:bookmarkStart w:id="162" w:name="_Toc296890988"/>
      <w:bookmarkStart w:id="163" w:name="_Toc297048346"/>
      <w:bookmarkStart w:id="164" w:name="_Toc292559365"/>
      <w:bookmarkStart w:id="165" w:name="_Toc292559870"/>
      <w:bookmarkStart w:id="166" w:name="_Toc296891200"/>
      <w:bookmarkStart w:id="167" w:name="_Toc304295524"/>
      <w:bookmarkStart w:id="168" w:name="_Toc312677989"/>
      <w:bookmarkStart w:id="169" w:name="_Toc318581158"/>
      <w:r>
        <w:rPr>
          <w:rFonts w:ascii="Times New Roman" w:hAnsi="Times New Roman" w:eastAsia="仿宋_GB2312"/>
          <w:sz w:val="24"/>
          <w:szCs w:val="24"/>
        </w:rPr>
        <w:t>.5.1 分包的一般约定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禁止分包的工程包括：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主体结构、关键性工作的范围：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70" w:name="_Toc296890989"/>
      <w:bookmarkStart w:id="171" w:name="_Toc297123494"/>
      <w:bookmarkStart w:id="172" w:name="_Toc296346662"/>
      <w:bookmarkStart w:id="173" w:name="_Toc296891201"/>
      <w:bookmarkStart w:id="174" w:name="_Toc296503161"/>
      <w:bookmarkStart w:id="175" w:name="_Toc297048347"/>
      <w:bookmarkStart w:id="176" w:name="_Toc297120461"/>
      <w:bookmarkStart w:id="177" w:name="_Toc304295525"/>
      <w:bookmarkStart w:id="178" w:name="_Toc300934947"/>
      <w:bookmarkStart w:id="179" w:name="_Toc296347160"/>
      <w:bookmarkStart w:id="180" w:name="_Toc297216153"/>
      <w:bookmarkStart w:id="181" w:name="_Toc303539104"/>
      <w:bookmarkStart w:id="182" w:name="_Toc296944500"/>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sz w:val="24"/>
          <w:szCs w:val="24"/>
        </w:rPr>
        <w:t xml:space="preserve">    3</w:t>
      </w:r>
      <w:bookmarkStart w:id="183" w:name="_Toc318581159"/>
      <w:bookmarkStart w:id="184" w:name="_Toc312677990"/>
      <w:r>
        <w:rPr>
          <w:rFonts w:ascii="Times New Roman" w:hAnsi="Times New Roman" w:eastAsia="仿宋_GB2312"/>
          <w:sz w:val="24"/>
          <w:szCs w:val="24"/>
        </w:rPr>
        <w:t>.5.2分包的确定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sz w:val="24"/>
          <w:szCs w:val="24"/>
        </w:rPr>
        <w:t>允许分包的专业工程包括：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其他关于分包的约定：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3.5.4 分包合同价款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关于分包合同价款支付的约定：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183"/>
    <w:bookmarkEnd w:id="18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3.6 工程照管与成品、半成品保护</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承包人负责照管工程及工程相关的材料、工程设备的起始时间：</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3.7 履约担保</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承包人是否提供履约担保：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承包人提供履约担保的形式</w:t>
      </w:r>
      <w:r>
        <w:rPr>
          <w:rFonts w:hint="eastAsia" w:ascii="Times New Roman" w:hAnsi="Times New Roman" w:eastAsia="仿宋_GB2312"/>
          <w:color w:val="000000"/>
          <w:sz w:val="24"/>
          <w:szCs w:val="24"/>
        </w:rPr>
        <w:t>、金额及期限的</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85" w:name="_Toc351203636"/>
      <w:r>
        <w:rPr>
          <w:rFonts w:ascii="Times New Roman" w:hAnsi="Times New Roman" w:eastAsia="黑体"/>
          <w:b w:val="0"/>
          <w:color w:val="000000"/>
          <w:sz w:val="24"/>
          <w:szCs w:val="24"/>
        </w:rPr>
        <w:t>4</w:t>
      </w:r>
      <w:bookmarkStart w:id="186" w:name="_Toc296891202"/>
      <w:bookmarkStart w:id="187" w:name="_Toc292559871"/>
      <w:bookmarkStart w:id="188" w:name="_Toc297120462"/>
      <w:bookmarkStart w:id="189" w:name="_Toc296890990"/>
      <w:bookmarkStart w:id="190" w:name="_Toc292559366"/>
      <w:bookmarkStart w:id="191" w:name="_Toc267251413"/>
      <w:bookmarkStart w:id="192" w:name="_Toc296346663"/>
      <w:bookmarkStart w:id="193" w:name="_Toc296503162"/>
      <w:bookmarkStart w:id="194" w:name="_Toc296944501"/>
      <w:bookmarkStart w:id="195" w:name="_Toc297048348"/>
      <w:bookmarkStart w:id="196" w:name="_Toc296347161"/>
      <w:r>
        <w:rPr>
          <w:rFonts w:ascii="Times New Roman" w:hAnsi="Times New Roman" w:eastAsia="黑体"/>
          <w:b w:val="0"/>
          <w:color w:val="000000"/>
          <w:sz w:val="24"/>
          <w:szCs w:val="24"/>
        </w:rPr>
        <w:t>. 监</w:t>
      </w:r>
      <w:bookmarkEnd w:id="186"/>
      <w:bookmarkEnd w:id="187"/>
      <w:bookmarkEnd w:id="188"/>
      <w:bookmarkEnd w:id="189"/>
      <w:bookmarkEnd w:id="190"/>
      <w:bookmarkEnd w:id="191"/>
      <w:bookmarkEnd w:id="192"/>
      <w:bookmarkEnd w:id="193"/>
      <w:bookmarkEnd w:id="194"/>
      <w:bookmarkEnd w:id="195"/>
      <w:bookmarkEnd w:id="196"/>
      <w:r>
        <w:rPr>
          <w:rFonts w:ascii="Times New Roman" w:hAnsi="Times New Roman" w:eastAsia="黑体"/>
          <w:b w:val="0"/>
          <w:color w:val="000000"/>
          <w:sz w:val="24"/>
          <w:szCs w:val="24"/>
        </w:rPr>
        <w:t>理人</w:t>
      </w:r>
      <w:bookmarkEnd w:id="18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4.1监理人的一般规定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关于监理人的监理权限：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关于监理人在施工现场的办公场所、生活场所的提供和费用承担的约定：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4.2 监理人员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总监理工程师：</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监理工程师执业资格证书号：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关于监理人的其他约定：</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4.4 商定或确定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bookmarkStart w:id="197" w:name="_Toc267251418"/>
      <w:r>
        <w:rPr>
          <w:rFonts w:ascii="Times New Roman" w:hAnsi="Times New Roman" w:eastAsia="仿宋_GB2312"/>
          <w:color w:val="000000"/>
          <w:sz w:val="24"/>
          <w:szCs w:val="24"/>
        </w:rPr>
        <w:t>在发包人和承包人不能通过协商达成一致意见时，发包人授权监理人对以下事项进行确定：</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98" w:name="_Toc351203637"/>
      <w:r>
        <w:rPr>
          <w:rFonts w:ascii="Times New Roman" w:hAnsi="Times New Roman" w:eastAsia="黑体"/>
          <w:b w:val="0"/>
          <w:color w:val="000000"/>
          <w:sz w:val="24"/>
          <w:szCs w:val="24"/>
        </w:rPr>
        <w:t>5</w:t>
      </w:r>
      <w:bookmarkEnd w:id="197"/>
      <w:bookmarkStart w:id="199" w:name="_Toc296503163"/>
      <w:bookmarkStart w:id="200" w:name="_Toc292559367"/>
      <w:bookmarkStart w:id="201" w:name="_Toc296890991"/>
      <w:bookmarkStart w:id="202" w:name="_Toc292559872"/>
      <w:bookmarkStart w:id="203" w:name="_Toc296346664"/>
      <w:bookmarkStart w:id="204" w:name="_Toc297048349"/>
      <w:bookmarkStart w:id="205" w:name="_Toc296891203"/>
      <w:bookmarkStart w:id="206" w:name="_Toc297120463"/>
      <w:bookmarkStart w:id="207" w:name="_Toc296944502"/>
      <w:bookmarkStart w:id="208" w:name="_Toc296347162"/>
      <w:r>
        <w:rPr>
          <w:rFonts w:ascii="Times New Roman" w:hAnsi="Times New Roman" w:eastAsia="黑体"/>
          <w:b w:val="0"/>
          <w:color w:val="000000"/>
          <w:sz w:val="24"/>
          <w:szCs w:val="24"/>
        </w:rPr>
        <w:t>. 工程质量</w:t>
      </w:r>
      <w:bookmarkEnd w:id="19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5.1 质量要求</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5</w:t>
      </w:r>
      <w:bookmarkStart w:id="209" w:name="_Toc304295527"/>
      <w:bookmarkStart w:id="210" w:name="_Toc297123496"/>
      <w:bookmarkStart w:id="211" w:name="_Toc297216155"/>
      <w:bookmarkStart w:id="212" w:name="_Toc318581164"/>
      <w:bookmarkStart w:id="213" w:name="_Toc312677997"/>
      <w:bookmarkStart w:id="214" w:name="_Toc303539106"/>
      <w:bookmarkStart w:id="215" w:name="_Toc300934949"/>
      <w:r>
        <w:rPr>
          <w:rFonts w:ascii="Times New Roman" w:hAnsi="Times New Roman" w:eastAsia="仿宋_GB2312"/>
          <w:sz w:val="24"/>
          <w:szCs w:val="24"/>
        </w:rPr>
        <w:t>.1.1 特殊质量标准和要求：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关于工程奖项的约定：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黑体"/>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5.3 隐蔽工程检查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5.3.2承包人提前通知监理人隐蔽工程检查的期限的约定：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监理人不能按时进行检查时，应提前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6" w:name="_Toc351203638"/>
      <w:r>
        <w:rPr>
          <w:rFonts w:ascii="Times New Roman" w:hAnsi="Times New Roman" w:eastAsia="黑体"/>
          <w:b w:val="0"/>
          <w:color w:val="000000"/>
          <w:sz w:val="24"/>
          <w:szCs w:val="24"/>
        </w:rPr>
        <w:t>6. 安全文明施工与环境保护</w:t>
      </w:r>
      <w:bookmarkEnd w:id="21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6.1安全文明施工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6.1.1</w:t>
      </w:r>
      <w:r>
        <w:rPr>
          <w:rFonts w:ascii="Times New Roman" w:hAnsi="Times New Roman" w:eastAsia="仿宋_GB2312"/>
          <w:color w:val="000000"/>
          <w:sz w:val="24"/>
          <w:szCs w:val="24"/>
        </w:rPr>
        <w:t xml:space="preserve"> 项目安全生产的达标目标及相应事项的约定：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6.1.4 关于治安保卫的特别约定：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关于编制施工场地治安管理计划的约定：</w:t>
      </w:r>
      <w:r>
        <w:rPr>
          <w:rFonts w:ascii="Times New Roman" w:hAnsi="Times New Roman" w:eastAsia="仿宋_GB2312"/>
          <w:sz w:val="24"/>
          <w:szCs w:val="24"/>
          <w:u w:val="single"/>
        </w:rPr>
        <w:t xml:space="preserve">                  </w:t>
      </w:r>
      <w:r>
        <w:rPr>
          <w:rFonts w:ascii="Times New Roman" w:hAnsi="Times New Roman" w:eastAsia="仿宋_GB2312"/>
          <w:sz w:val="24"/>
          <w:szCs w:val="24"/>
          <w:u w:val="single"/>
        </w:rPr>
        <w:br w:type="textWrapping"/>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6.1.5 文明施工</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sz w:val="24"/>
          <w:szCs w:val="24"/>
        </w:rPr>
        <w:t>合同当事人对文明施工的要求：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6.1.6 关于安全文明施工费支付比例和支付期限的约定：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09"/>
    <w:bookmarkEnd w:id="210"/>
    <w:bookmarkEnd w:id="211"/>
    <w:bookmarkEnd w:id="212"/>
    <w:bookmarkEnd w:id="213"/>
    <w:bookmarkEnd w:id="214"/>
    <w:bookmarkEnd w:id="215"/>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7" w:name="_Toc351203639"/>
      <w:r>
        <w:rPr>
          <w:rFonts w:ascii="Times New Roman" w:hAnsi="Times New Roman" w:eastAsia="黑体"/>
          <w:b w:val="0"/>
          <w:color w:val="000000"/>
          <w:sz w:val="24"/>
          <w:szCs w:val="24"/>
        </w:rPr>
        <w:t>7. 工期和进度</w:t>
      </w:r>
      <w:bookmarkEnd w:id="21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7.1 施工组织设计</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7.1.</w:t>
      </w:r>
      <w:r>
        <w:rPr>
          <w:rFonts w:hint="eastAsia" w:ascii="Times New Roman" w:hAnsi="Times New Roman" w:eastAsia="仿宋_GB2312"/>
          <w:sz w:val="24"/>
          <w:szCs w:val="24"/>
        </w:rPr>
        <w:t xml:space="preserve">1 </w:t>
      </w:r>
      <w:r>
        <w:rPr>
          <w:rFonts w:hint="eastAsia" w:ascii="Times New Roman" w:hAnsi="Times New Roman" w:eastAsia="仿宋_GB2312"/>
          <w:color w:val="000000"/>
          <w:sz w:val="24"/>
          <w:szCs w:val="24"/>
        </w:rPr>
        <w:t>合</w:t>
      </w:r>
      <w:r>
        <w:rPr>
          <w:rFonts w:hint="eastAsia" w:ascii="Times New Roman" w:hAnsi="Times New Roman" w:eastAsia="仿宋_GB2312"/>
          <w:color w:val="000000"/>
          <w:kern w:val="0"/>
          <w:sz w:val="24"/>
          <w:szCs w:val="24"/>
        </w:rPr>
        <w:t>同当事人约定的</w:t>
      </w:r>
      <w:r>
        <w:rPr>
          <w:rFonts w:ascii="Times New Roman" w:hAnsi="Times New Roman" w:eastAsia="仿宋_GB2312"/>
          <w:color w:val="000000"/>
          <w:kern w:val="0"/>
          <w:sz w:val="24"/>
          <w:szCs w:val="24"/>
        </w:rPr>
        <w:t>施工组织设计</w:t>
      </w:r>
      <w:r>
        <w:rPr>
          <w:rFonts w:hint="eastAsia" w:ascii="Times New Roman" w:hAnsi="Times New Roman" w:eastAsia="仿宋_GB2312"/>
          <w:color w:val="000000"/>
          <w:kern w:val="0"/>
          <w:sz w:val="24"/>
          <w:szCs w:val="24"/>
        </w:rPr>
        <w:t>应包括的其他内容</w:t>
      </w:r>
      <w:r>
        <w:rPr>
          <w:rFonts w:ascii="Times New Roman" w:hAnsi="Times New Roman" w:eastAsia="仿宋_GB2312"/>
          <w:color w:val="000000"/>
          <w:kern w:val="0"/>
          <w:sz w:val="24"/>
          <w:szCs w:val="24"/>
        </w:rPr>
        <w:t>：</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sz w:val="24"/>
          <w:szCs w:val="24"/>
        </w:rPr>
        <w:t>7.1.2</w:t>
      </w:r>
      <w:r>
        <w:rPr>
          <w:rFonts w:ascii="Times New Roman" w:hAnsi="Times New Roman" w:eastAsia="仿宋_GB2312"/>
          <w:color w:val="000000"/>
          <w:sz w:val="24"/>
          <w:szCs w:val="24"/>
        </w:rPr>
        <w:t xml:space="preserve"> </w:t>
      </w:r>
      <w:r>
        <w:rPr>
          <w:rFonts w:ascii="Times New Roman" w:hAnsi="Times New Roman" w:eastAsia="仿宋_GB2312"/>
          <w:color w:val="000000"/>
          <w:kern w:val="0"/>
          <w:sz w:val="24"/>
          <w:szCs w:val="24"/>
        </w:rPr>
        <w:t>施工组织设计的提交和修改</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承包人提交详细施工组织设计的期限的约定：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w:t>
      </w:r>
      <w:r>
        <w:rPr>
          <w:rFonts w:hint="eastAsia" w:ascii="Times New Roman" w:hAnsi="Times New Roman" w:eastAsia="仿宋_GB2312"/>
          <w:color w:val="000000"/>
          <w:sz w:val="24"/>
          <w:szCs w:val="24"/>
        </w:rPr>
        <w:t>详细的施工组织设计</w:t>
      </w:r>
      <w:r>
        <w:rPr>
          <w:rFonts w:ascii="Times New Roman" w:hAnsi="Times New Roman" w:eastAsia="仿宋_GB2312"/>
          <w:color w:val="000000"/>
          <w:sz w:val="24"/>
          <w:szCs w:val="24"/>
        </w:rPr>
        <w:t>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18" w:name="_Toc300934966"/>
      <w:bookmarkStart w:id="219" w:name="_Toc303539123"/>
      <w:bookmarkStart w:id="220" w:name="_Toc297216173"/>
      <w:bookmarkStart w:id="221" w:name="_Toc297123514"/>
      <w:bookmarkStart w:id="222" w:name="_Toc304295541"/>
      <w:bookmarkStart w:id="223" w:name="_Toc312678005"/>
      <w:bookmarkStart w:id="224" w:name="_Toc312677479"/>
      <w:r>
        <w:rPr>
          <w:rFonts w:ascii="Times New Roman" w:hAnsi="Times New Roman" w:eastAsia="黑体"/>
          <w:color w:val="000000"/>
          <w:sz w:val="24"/>
          <w:szCs w:val="24"/>
        </w:rPr>
        <w:t>.2 施工进度计划</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7.2.2 施工进度计划的修订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发包人和监理人在收到修订的施工进度计划后确认或提出修改意见的期限：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7.3 开工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7.3.1 开工准备</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关于承包人提交</w:t>
      </w:r>
      <w:r>
        <w:rPr>
          <w:rFonts w:ascii="Times New Roman" w:hAnsi="Times New Roman" w:eastAsia="仿宋_GB2312"/>
          <w:color w:val="000000"/>
          <w:kern w:val="0"/>
          <w:sz w:val="24"/>
          <w:szCs w:val="24"/>
        </w:rPr>
        <w:t>工程开工报审表的期限：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关于发包人应完成的其他开工准备工作及期限：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sz w:val="24"/>
          <w:szCs w:val="24"/>
        </w:rPr>
        <w:t>关于承包人应完成的其他开工准备工作及期限：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7.3.2开工通知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因发包人原因造成监理人未能在计划开工日期之日起</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天内发出开工通知的，承包人有权提出价格调整要求，或者解除合同。</w:t>
      </w:r>
    </w:p>
    <w:bookmarkEnd w:id="218"/>
    <w:bookmarkEnd w:id="219"/>
    <w:bookmarkEnd w:id="220"/>
    <w:bookmarkEnd w:id="221"/>
    <w:bookmarkEnd w:id="222"/>
    <w:bookmarkEnd w:id="223"/>
    <w:bookmarkEnd w:id="22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7.4 测量放线</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7.4.1发包人通过监理人向承包人提供测量基准点、基准线和水准点及其书面资料的期限：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25" w:name="_Toc312677484"/>
      <w:bookmarkStart w:id="226" w:name="_Toc297216175"/>
      <w:bookmarkStart w:id="227" w:name="_Toc300934968"/>
      <w:bookmarkStart w:id="228" w:name="_Toc297123516"/>
      <w:bookmarkStart w:id="229" w:name="_Toc303539125"/>
      <w:bookmarkStart w:id="230" w:name="_Toc304295546"/>
      <w:bookmarkStart w:id="231" w:name="_Toc312678010"/>
      <w:r>
        <w:rPr>
          <w:rFonts w:ascii="Times New Roman" w:hAnsi="Times New Roman" w:eastAsia="黑体"/>
          <w:color w:val="000000"/>
          <w:sz w:val="24"/>
          <w:szCs w:val="24"/>
        </w:rPr>
        <w:t>.5 工期延误</w:t>
      </w:r>
    </w:p>
    <w:bookmarkEnd w:id="225"/>
    <w:bookmarkEnd w:id="226"/>
    <w:bookmarkEnd w:id="227"/>
    <w:bookmarkEnd w:id="228"/>
    <w:bookmarkEnd w:id="229"/>
    <w:bookmarkEnd w:id="230"/>
    <w:bookmarkEnd w:id="23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7.5.1 因发包人原因导致工期延误</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（7）因发包人原因导致工期延误的其他情形：</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w:t>
      </w:r>
      <w:bookmarkStart w:id="232" w:name="_Toc312678012"/>
      <w:bookmarkStart w:id="233" w:name="_Toc312677486"/>
      <w:bookmarkStart w:id="234" w:name="_Toc318581169"/>
      <w:bookmarkStart w:id="235" w:name="_Toc303539127"/>
      <w:bookmarkStart w:id="236" w:name="_Toc304295548"/>
      <w:bookmarkStart w:id="237" w:name="_Toc297216177"/>
      <w:bookmarkStart w:id="238" w:name="_Toc297123518"/>
      <w:bookmarkStart w:id="239" w:name="_Toc300934970"/>
      <w:r>
        <w:rPr>
          <w:rFonts w:ascii="Times New Roman" w:hAnsi="Times New Roman" w:eastAsia="仿宋_GB2312"/>
          <w:sz w:val="24"/>
          <w:szCs w:val="24"/>
        </w:rPr>
        <w:t>.5.2 因承包人原因导致工期延误</w:t>
      </w:r>
    </w:p>
    <w:bookmarkEnd w:id="232"/>
    <w:bookmarkEnd w:id="233"/>
    <w:bookmarkEnd w:id="234"/>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因</w:t>
      </w:r>
      <w:bookmarkStart w:id="240" w:name="_Toc312678013"/>
      <w:bookmarkStart w:id="241" w:name="_Toc312677487"/>
      <w:bookmarkStart w:id="242" w:name="_Toc318581170"/>
      <w:r>
        <w:rPr>
          <w:rFonts w:ascii="Times New Roman" w:hAnsi="Times New Roman" w:eastAsia="仿宋_GB2312"/>
          <w:sz w:val="24"/>
          <w:szCs w:val="24"/>
        </w:rPr>
        <w:t>承包人原因造成工期延误，逾期竣工违约金的计算方法为：</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35"/>
      <w:bookmarkEnd w:id="236"/>
      <w:bookmarkEnd w:id="237"/>
      <w:bookmarkEnd w:id="238"/>
      <w:bookmarkEnd w:id="239"/>
      <w:bookmarkEnd w:id="240"/>
      <w:bookmarkEnd w:id="241"/>
    </w:p>
    <w:bookmarkEnd w:id="24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因承包人原因造成工期延误，逾</w:t>
      </w:r>
      <w:bookmarkStart w:id="243" w:name="_Toc312678014"/>
      <w:bookmarkStart w:id="244" w:name="_Toc318581171"/>
      <w:r>
        <w:rPr>
          <w:rFonts w:ascii="Times New Roman" w:hAnsi="Times New Roman" w:eastAsia="仿宋_GB2312"/>
          <w:sz w:val="24"/>
          <w:szCs w:val="24"/>
        </w:rPr>
        <w:t>期竣工违约金的上限：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43"/>
    <w:bookmarkEnd w:id="24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45" w:name="_Toc304295549"/>
      <w:bookmarkStart w:id="246" w:name="_Toc297216178"/>
      <w:bookmarkStart w:id="247" w:name="_Toc312678015"/>
      <w:bookmarkStart w:id="248" w:name="_Toc300934971"/>
      <w:bookmarkStart w:id="249" w:name="_Toc297123519"/>
      <w:bookmarkStart w:id="250" w:name="_Toc303539128"/>
      <w:r>
        <w:rPr>
          <w:rFonts w:ascii="Times New Roman" w:hAnsi="Times New Roman" w:eastAsia="黑体"/>
          <w:color w:val="000000"/>
          <w:sz w:val="24"/>
          <w:szCs w:val="24"/>
        </w:rPr>
        <w:t>.6 不</w:t>
      </w:r>
      <w:bookmarkEnd w:id="245"/>
      <w:bookmarkEnd w:id="246"/>
      <w:bookmarkEnd w:id="247"/>
      <w:bookmarkEnd w:id="248"/>
      <w:bookmarkEnd w:id="249"/>
      <w:bookmarkEnd w:id="250"/>
      <w:r>
        <w:rPr>
          <w:rFonts w:ascii="Times New Roman" w:hAnsi="Times New Roman" w:eastAsia="黑体"/>
          <w:color w:val="000000"/>
          <w:sz w:val="24"/>
          <w:szCs w:val="24"/>
        </w:rPr>
        <w:t>利物质条件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bookmarkStart w:id="251" w:name="_Toc318581172"/>
      <w:bookmarkStart w:id="252" w:name="_Toc297123520"/>
      <w:bookmarkStart w:id="253" w:name="_Toc297216179"/>
      <w:bookmarkStart w:id="254" w:name="_Toc312678016"/>
      <w:bookmarkStart w:id="255" w:name="_Toc303539129"/>
      <w:bookmarkStart w:id="256" w:name="_Toc304295550"/>
      <w:bookmarkStart w:id="257" w:name="_Toc300934972"/>
      <w:r>
        <w:rPr>
          <w:rFonts w:ascii="Times New Roman" w:hAnsi="Times New Roman" w:eastAsia="仿宋_GB2312"/>
          <w:sz w:val="24"/>
          <w:szCs w:val="24"/>
        </w:rPr>
        <w:t>不利物质条件的其他情形和有关约定：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51"/>
    <w:bookmarkEnd w:id="252"/>
    <w:bookmarkEnd w:id="253"/>
    <w:bookmarkEnd w:id="254"/>
    <w:bookmarkEnd w:id="255"/>
    <w:bookmarkEnd w:id="256"/>
    <w:bookmarkEnd w:id="25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58" w:name="_Toc303539130"/>
      <w:bookmarkStart w:id="259" w:name="_Toc304295551"/>
      <w:bookmarkStart w:id="260" w:name="_Toc297216180"/>
      <w:bookmarkStart w:id="261" w:name="_Toc300934973"/>
      <w:bookmarkStart w:id="262" w:name="_Toc312678017"/>
      <w:bookmarkStart w:id="263" w:name="_Toc297123521"/>
      <w:r>
        <w:rPr>
          <w:rFonts w:ascii="Times New Roman" w:hAnsi="Times New Roman" w:eastAsia="黑体"/>
          <w:color w:val="000000"/>
          <w:sz w:val="24"/>
          <w:szCs w:val="24"/>
        </w:rPr>
        <w:t>.7异常恶劣的气候条件</w:t>
      </w:r>
    </w:p>
    <w:bookmarkEnd w:id="258"/>
    <w:bookmarkEnd w:id="259"/>
    <w:bookmarkEnd w:id="260"/>
    <w:bookmarkEnd w:id="261"/>
    <w:bookmarkEnd w:id="262"/>
    <w:bookmarkEnd w:id="26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发包人和承包人同意以下情形视为异常恶劣的气候条件：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（3）</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7.9 提前竣工的奖励</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7.9.2提前竣工的奖励：</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64" w:name="_Toc351203640"/>
      <w:r>
        <w:rPr>
          <w:rFonts w:ascii="Times New Roman" w:hAnsi="Times New Roman" w:eastAsia="黑体"/>
          <w:b w:val="0"/>
          <w:color w:val="000000"/>
          <w:sz w:val="24"/>
          <w:szCs w:val="24"/>
        </w:rPr>
        <w:t>8. 材料与设备</w:t>
      </w:r>
      <w:bookmarkEnd w:id="264"/>
    </w:p>
    <w:bookmarkEnd w:id="199"/>
    <w:bookmarkEnd w:id="200"/>
    <w:bookmarkEnd w:id="201"/>
    <w:bookmarkEnd w:id="202"/>
    <w:bookmarkEnd w:id="203"/>
    <w:bookmarkEnd w:id="204"/>
    <w:bookmarkEnd w:id="205"/>
    <w:bookmarkEnd w:id="206"/>
    <w:bookmarkEnd w:id="207"/>
    <w:bookmarkEnd w:id="20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8</w:t>
      </w:r>
      <w:bookmarkStart w:id="265" w:name="_Toc296503167"/>
      <w:bookmarkStart w:id="266" w:name="_Toc296890995"/>
      <w:bookmarkStart w:id="267" w:name="_Toc297216186"/>
      <w:bookmarkStart w:id="268" w:name="_Toc296891207"/>
      <w:bookmarkStart w:id="269" w:name="_Toc296944506"/>
      <w:bookmarkStart w:id="270" w:name="_Toc297123527"/>
      <w:bookmarkStart w:id="271" w:name="_Toc312678019"/>
      <w:bookmarkStart w:id="272" w:name="_Toc297048353"/>
      <w:bookmarkStart w:id="273" w:name="_Toc297120467"/>
      <w:bookmarkStart w:id="274" w:name="_Toc296347166"/>
      <w:bookmarkStart w:id="275" w:name="_Toc296346668"/>
      <w:bookmarkStart w:id="276" w:name="_Toc300934979"/>
      <w:bookmarkStart w:id="277" w:name="_Toc303539136"/>
      <w:bookmarkStart w:id="278" w:name="_Toc304295556"/>
      <w:bookmarkStart w:id="279" w:name="_Toc292559372"/>
      <w:bookmarkStart w:id="280" w:name="_Toc280868654"/>
      <w:bookmarkStart w:id="281" w:name="_Toc292559877"/>
      <w:bookmarkStart w:id="282" w:name="_Toc312677493"/>
      <w:bookmarkStart w:id="283" w:name="_Toc280868655"/>
      <w:bookmarkStart w:id="284" w:name="_Toc280868656"/>
      <w:bookmarkStart w:id="285" w:name="_Toc267251424"/>
      <w:r>
        <w:rPr>
          <w:rFonts w:ascii="Times New Roman" w:hAnsi="Times New Roman" w:eastAsia="黑体"/>
          <w:color w:val="000000"/>
          <w:sz w:val="24"/>
          <w:szCs w:val="24"/>
        </w:rPr>
        <w:t>.4材料与工程设备的保管与使用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8</w:t>
      </w:r>
      <w:bookmarkStart w:id="286" w:name="_Toc292559878"/>
      <w:bookmarkStart w:id="287" w:name="_Toc292559373"/>
      <w:bookmarkStart w:id="288" w:name="_Toc296890996"/>
      <w:bookmarkStart w:id="289" w:name="_Toc300934980"/>
      <w:bookmarkStart w:id="290" w:name="_Toc304295557"/>
      <w:bookmarkStart w:id="291" w:name="_Toc296346669"/>
      <w:bookmarkStart w:id="292" w:name="_Toc296503168"/>
      <w:bookmarkStart w:id="293" w:name="_Toc296891208"/>
      <w:bookmarkStart w:id="294" w:name="_Toc312678020"/>
      <w:bookmarkStart w:id="295" w:name="_Toc296944507"/>
      <w:bookmarkStart w:id="296" w:name="_Toc297216187"/>
      <w:bookmarkStart w:id="297" w:name="_Toc297048354"/>
      <w:bookmarkStart w:id="298" w:name="_Toc312677494"/>
      <w:bookmarkStart w:id="299" w:name="_Toc297123528"/>
      <w:bookmarkStart w:id="300" w:name="_Toc303539137"/>
      <w:bookmarkStart w:id="301" w:name="_Toc297120468"/>
      <w:bookmarkStart w:id="302" w:name="_Toc318581173"/>
      <w:bookmarkStart w:id="303" w:name="_Toc296347167"/>
      <w:r>
        <w:rPr>
          <w:rFonts w:ascii="Times New Roman" w:hAnsi="Times New Roman" w:eastAsia="仿宋_GB2312"/>
          <w:sz w:val="24"/>
          <w:szCs w:val="24"/>
        </w:rPr>
        <w:t>.4.1发包人供应的材料设备的保管费用的承担：</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86"/>
      <w:bookmarkEnd w:id="28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8.6 样品</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8.6.1</w:t>
      </w:r>
      <w:r>
        <w:rPr>
          <w:rFonts w:ascii="Times New Roman" w:hAnsi="Times New Roman" w:eastAsia="仿宋_GB2312"/>
          <w:color w:val="000000"/>
          <w:kern w:val="0"/>
          <w:sz w:val="24"/>
          <w:szCs w:val="24"/>
        </w:rPr>
        <w:tab/>
      </w:r>
      <w:r>
        <w:rPr>
          <w:rFonts w:ascii="Times New Roman" w:hAnsi="Times New Roman" w:eastAsia="仿宋_GB2312"/>
          <w:color w:val="000000"/>
          <w:kern w:val="0"/>
          <w:sz w:val="24"/>
          <w:szCs w:val="24"/>
        </w:rPr>
        <w:t>样品的报送</w:t>
      </w:r>
      <w:r>
        <w:rPr>
          <w:rFonts w:hint="eastAsia" w:ascii="Times New Roman" w:hAnsi="Times New Roman" w:eastAsia="仿宋_GB2312"/>
          <w:color w:val="000000"/>
          <w:kern w:val="0"/>
          <w:sz w:val="24"/>
          <w:szCs w:val="24"/>
        </w:rPr>
        <w:t>与封存</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需要承包人报送样品的材料或工程设备，样品的种类、名称、规格、数量要求：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8.8 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8.8.1 承包人提供的施工设备和临时设施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关于修建临时设施费用承担的约定：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04" w:name="_Toc351203641"/>
      <w:r>
        <w:rPr>
          <w:rFonts w:ascii="Times New Roman" w:hAnsi="Times New Roman" w:eastAsia="黑体"/>
          <w:b w:val="0"/>
          <w:color w:val="000000"/>
          <w:sz w:val="24"/>
          <w:szCs w:val="24"/>
        </w:rPr>
        <w:t>9</w:t>
      </w:r>
      <w:bookmarkEnd w:id="283"/>
      <w:bookmarkEnd w:id="284"/>
      <w:bookmarkEnd w:id="285"/>
      <w:bookmarkStart w:id="305" w:name="_Toc304295559"/>
      <w:bookmarkStart w:id="306" w:name="_Toc312677495"/>
      <w:bookmarkStart w:id="307" w:name="_Toc297216192"/>
      <w:bookmarkStart w:id="308" w:name="_Toc312678021"/>
      <w:bookmarkStart w:id="309" w:name="_Toc297123533"/>
      <w:bookmarkStart w:id="310" w:name="_Toc300934982"/>
      <w:bookmarkStart w:id="311" w:name="_Toc303539139"/>
      <w:bookmarkStart w:id="312" w:name="_Toc296346674"/>
      <w:bookmarkStart w:id="313" w:name="_Toc297048359"/>
      <w:bookmarkStart w:id="314" w:name="_Toc292559378"/>
      <w:bookmarkStart w:id="315" w:name="_Toc296944512"/>
      <w:bookmarkStart w:id="316" w:name="_Toc296347172"/>
      <w:bookmarkStart w:id="317" w:name="_Toc297120473"/>
      <w:bookmarkStart w:id="318" w:name="_Toc296891001"/>
      <w:bookmarkStart w:id="319" w:name="_Toc296891213"/>
      <w:bookmarkStart w:id="320" w:name="_Toc296503173"/>
      <w:bookmarkStart w:id="321" w:name="_Toc292559883"/>
      <w:bookmarkStart w:id="322" w:name="_Toc267251428"/>
      <w:bookmarkStart w:id="323" w:name="_Toc267251427"/>
      <w:r>
        <w:rPr>
          <w:rFonts w:ascii="Times New Roman" w:hAnsi="Times New Roman" w:eastAsia="黑体"/>
          <w:b w:val="0"/>
          <w:color w:val="000000"/>
          <w:sz w:val="24"/>
          <w:szCs w:val="24"/>
        </w:rPr>
        <w:t>. 试验与检验</w:t>
      </w:r>
      <w:bookmarkEnd w:id="304"/>
    </w:p>
    <w:bookmarkEnd w:id="305"/>
    <w:bookmarkEnd w:id="306"/>
    <w:bookmarkEnd w:id="307"/>
    <w:bookmarkEnd w:id="308"/>
    <w:bookmarkEnd w:id="309"/>
    <w:bookmarkEnd w:id="310"/>
    <w:bookmarkEnd w:id="31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9</w:t>
      </w:r>
      <w:bookmarkStart w:id="324" w:name="_Toc297216193"/>
      <w:bookmarkStart w:id="325" w:name="_Toc300934983"/>
      <w:bookmarkStart w:id="326" w:name="_Toc304295560"/>
      <w:bookmarkStart w:id="327" w:name="_Toc303539140"/>
      <w:bookmarkStart w:id="328" w:name="_Toc312678022"/>
      <w:bookmarkStart w:id="329" w:name="_Toc312677496"/>
      <w:bookmarkStart w:id="330" w:name="_Toc297123534"/>
      <w:r>
        <w:rPr>
          <w:rFonts w:ascii="Times New Roman" w:hAnsi="Times New Roman" w:eastAsia="黑体"/>
          <w:color w:val="000000"/>
          <w:sz w:val="24"/>
          <w:szCs w:val="24"/>
        </w:rPr>
        <w:t>.1试验设备与试验人员</w:t>
      </w:r>
    </w:p>
    <w:bookmarkEnd w:id="324"/>
    <w:bookmarkEnd w:id="325"/>
    <w:bookmarkEnd w:id="326"/>
    <w:bookmarkEnd w:id="327"/>
    <w:bookmarkEnd w:id="328"/>
    <w:bookmarkEnd w:id="329"/>
    <w:bookmarkEnd w:id="330"/>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9</w:t>
      </w:r>
      <w:bookmarkStart w:id="331" w:name="_Toc312678023"/>
      <w:bookmarkStart w:id="332" w:name="_Toc297123535"/>
      <w:bookmarkStart w:id="333" w:name="_Toc297216194"/>
      <w:bookmarkStart w:id="334" w:name="_Toc304295561"/>
      <w:bookmarkStart w:id="335" w:name="_Toc300934984"/>
      <w:bookmarkStart w:id="336" w:name="_Toc303539141"/>
      <w:bookmarkStart w:id="337" w:name="_Toc312677497"/>
      <w:bookmarkStart w:id="338" w:name="_Toc318581174"/>
      <w:r>
        <w:rPr>
          <w:rFonts w:ascii="Times New Roman" w:hAnsi="Times New Roman" w:eastAsia="仿宋_GB2312"/>
          <w:sz w:val="24"/>
          <w:szCs w:val="24"/>
        </w:rPr>
        <w:t>.1.2 试验设备</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施工现场需要配置的试验场所：</w:t>
      </w:r>
      <w:bookmarkEnd w:id="331"/>
      <w:bookmarkEnd w:id="332"/>
      <w:bookmarkEnd w:id="333"/>
      <w:bookmarkEnd w:id="334"/>
      <w:bookmarkEnd w:id="335"/>
      <w:bookmarkEnd w:id="336"/>
      <w:bookmarkEnd w:id="337"/>
      <w:bookmarkStart w:id="339" w:name="_Toc304295562"/>
      <w:bookmarkStart w:id="340" w:name="_Toc312678024"/>
      <w:bookmarkStart w:id="341" w:name="_Toc297123536"/>
      <w:bookmarkStart w:id="342" w:name="_Toc303539142"/>
      <w:bookmarkStart w:id="343" w:name="_Toc300934985"/>
      <w:bookmarkStart w:id="344" w:name="_Toc312677498"/>
      <w:bookmarkStart w:id="345" w:name="_Toc297216195"/>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施工现场需要配备的试验设备：</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施工现场需要具备的其他试验条件：</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9.4 现场工艺试验</w:t>
      </w:r>
      <w:r>
        <w:rPr>
          <w:rFonts w:hint="eastAsia" w:ascii="Times New Roman" w:hAnsi="Times New Roman" w:eastAsia="黑体"/>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现场工艺试验的有关约定：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338"/>
    <w:bookmarkEnd w:id="339"/>
    <w:bookmarkEnd w:id="340"/>
    <w:bookmarkEnd w:id="341"/>
    <w:bookmarkEnd w:id="342"/>
    <w:bookmarkEnd w:id="343"/>
    <w:bookmarkEnd w:id="344"/>
    <w:bookmarkEnd w:id="345"/>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46" w:name="_Toc351203642"/>
      <w:r>
        <w:rPr>
          <w:rFonts w:ascii="Times New Roman" w:hAnsi="Times New Roman" w:eastAsia="黑体"/>
          <w:b w:val="0"/>
          <w:color w:val="000000"/>
          <w:sz w:val="24"/>
          <w:szCs w:val="24"/>
        </w:rPr>
        <w:t>1</w:t>
      </w:r>
      <w:bookmarkEnd w:id="312"/>
      <w:bookmarkEnd w:id="313"/>
      <w:bookmarkEnd w:id="314"/>
      <w:bookmarkEnd w:id="315"/>
      <w:bookmarkEnd w:id="316"/>
      <w:bookmarkEnd w:id="317"/>
      <w:bookmarkEnd w:id="318"/>
      <w:bookmarkEnd w:id="319"/>
      <w:bookmarkEnd w:id="320"/>
      <w:bookmarkEnd w:id="321"/>
      <w:bookmarkEnd w:id="322"/>
      <w:bookmarkEnd w:id="323"/>
      <w:bookmarkStart w:id="347" w:name="_Toc292559398"/>
      <w:bookmarkStart w:id="348" w:name="_Toc297120493"/>
      <w:bookmarkStart w:id="349" w:name="_Toc296891021"/>
      <w:bookmarkStart w:id="350" w:name="_Toc296346694"/>
      <w:bookmarkStart w:id="351" w:name="_Toc292559903"/>
      <w:bookmarkStart w:id="352" w:name="_Toc300934989"/>
      <w:bookmarkStart w:id="353" w:name="_Toc297048379"/>
      <w:bookmarkStart w:id="354" w:name="_Toc296503193"/>
      <w:bookmarkStart w:id="355" w:name="_Toc304295566"/>
      <w:bookmarkStart w:id="356" w:name="_Toc296347192"/>
      <w:bookmarkStart w:id="357" w:name="_Toc296891233"/>
      <w:bookmarkStart w:id="358" w:name="_Toc303539146"/>
      <w:bookmarkStart w:id="359" w:name="_Toc297123540"/>
      <w:bookmarkStart w:id="360" w:name="_Toc297216199"/>
      <w:bookmarkStart w:id="361" w:name="_Toc296944532"/>
      <w:bookmarkStart w:id="362" w:name="_Toc312678025"/>
      <w:bookmarkStart w:id="363" w:name="_Toc312677499"/>
      <w:bookmarkStart w:id="364" w:name="_Toc267251441"/>
      <w:bookmarkStart w:id="365" w:name="_Toc267251440"/>
      <w:bookmarkStart w:id="366" w:name="_Toc267251435"/>
      <w:bookmarkStart w:id="367" w:name="_Toc267251439"/>
      <w:bookmarkStart w:id="368" w:name="_Toc267251437"/>
      <w:bookmarkStart w:id="369" w:name="_Toc267251433"/>
      <w:bookmarkStart w:id="370" w:name="_Toc267251442"/>
      <w:r>
        <w:rPr>
          <w:rFonts w:ascii="Times New Roman" w:hAnsi="Times New Roman" w:eastAsia="黑体"/>
          <w:b w:val="0"/>
          <w:color w:val="000000"/>
          <w:sz w:val="24"/>
          <w:szCs w:val="24"/>
        </w:rPr>
        <w:t>0. 变更</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bookmarkEnd w:id="362"/>
    <w:bookmarkEnd w:id="363"/>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Start w:id="371" w:name="_Toc296347193"/>
      <w:bookmarkStart w:id="372" w:name="_Toc303539147"/>
      <w:bookmarkStart w:id="373" w:name="_Toc292559904"/>
      <w:bookmarkStart w:id="374" w:name="_Toc312677500"/>
      <w:bookmarkStart w:id="375" w:name="_Toc312678026"/>
      <w:bookmarkStart w:id="376" w:name="_Toc297123541"/>
      <w:bookmarkStart w:id="377" w:name="_Toc300934990"/>
      <w:bookmarkStart w:id="378" w:name="_Toc296891022"/>
      <w:bookmarkStart w:id="379" w:name="_Toc292559399"/>
      <w:bookmarkStart w:id="380" w:name="_Toc296503194"/>
      <w:bookmarkStart w:id="381" w:name="_Toc296346695"/>
      <w:bookmarkStart w:id="382" w:name="_Toc297048380"/>
      <w:bookmarkStart w:id="383" w:name="_Toc304295567"/>
      <w:bookmarkStart w:id="384" w:name="_Toc296944533"/>
      <w:bookmarkStart w:id="385" w:name="_Toc297216200"/>
      <w:bookmarkStart w:id="386" w:name="_Toc297120494"/>
      <w:bookmarkStart w:id="387" w:name="_Toc296891234"/>
      <w:r>
        <w:rPr>
          <w:rFonts w:ascii="Times New Roman" w:hAnsi="Times New Roman" w:eastAsia="黑体"/>
          <w:color w:val="000000"/>
          <w:sz w:val="24"/>
          <w:szCs w:val="24"/>
        </w:rPr>
        <w:t>0.1变更的范围</w:t>
      </w:r>
    </w:p>
    <w:p>
      <w:pPr>
        <w:pageBreakBefore w:val="0"/>
        <w:widowControl w:val="0"/>
        <w:kinsoku/>
        <w:wordWrap/>
        <w:overflowPunct/>
        <w:topLinePunct w:val="0"/>
        <w:bidi w:val="0"/>
        <w:snapToGrid/>
        <w:spacing w:line="480" w:lineRule="exact"/>
        <w:ind w:firstLine="6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关于变更的范围的约定：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10.4 变更估价</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10.4.1 变更估价原则</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关于变更估价的约定: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88" w:name="_Toc296503197"/>
      <w:bookmarkStart w:id="389" w:name="_Toc292559402"/>
      <w:bookmarkStart w:id="390" w:name="_Toc297048383"/>
      <w:bookmarkStart w:id="391" w:name="_Toc296891025"/>
      <w:bookmarkStart w:id="392" w:name="_Toc297216203"/>
      <w:bookmarkStart w:id="393" w:name="_Toc300934993"/>
      <w:bookmarkStart w:id="394" w:name="_Toc296346698"/>
      <w:bookmarkStart w:id="395" w:name="_Toc303539150"/>
      <w:bookmarkStart w:id="396" w:name="_Toc296891237"/>
      <w:bookmarkStart w:id="397" w:name="_Toc297120497"/>
      <w:bookmarkStart w:id="398" w:name="_Toc297123544"/>
      <w:bookmarkStart w:id="399" w:name="_Toc296944536"/>
      <w:bookmarkStart w:id="400" w:name="_Toc296347196"/>
      <w:bookmarkStart w:id="401" w:name="_Toc292559907"/>
      <w:bookmarkStart w:id="402" w:name="_Toc312678029"/>
      <w:bookmarkStart w:id="403" w:name="_Toc304295570"/>
      <w:bookmarkStart w:id="404" w:name="_Toc312677503"/>
      <w:r>
        <w:rPr>
          <w:rFonts w:ascii="Times New Roman" w:hAnsi="Times New Roman" w:eastAsia="黑体"/>
          <w:color w:val="000000"/>
          <w:sz w:val="24"/>
          <w:szCs w:val="24"/>
        </w:rPr>
        <w:t>0.5承</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Start w:id="405" w:name="_Toc296346704"/>
      <w:bookmarkStart w:id="406" w:name="_Toc292559408"/>
      <w:bookmarkStart w:id="407" w:name="_Toc296347202"/>
      <w:bookmarkStart w:id="408" w:name="_Toc297216204"/>
      <w:bookmarkStart w:id="409" w:name="_Toc296944542"/>
      <w:bookmarkStart w:id="410" w:name="_Toc296891243"/>
      <w:bookmarkStart w:id="411" w:name="_Toc300934994"/>
      <w:bookmarkStart w:id="412" w:name="_Toc296891031"/>
      <w:bookmarkStart w:id="413" w:name="_Toc297048389"/>
      <w:bookmarkStart w:id="414" w:name="_Toc296503203"/>
      <w:bookmarkStart w:id="415" w:name="_Toc297123545"/>
      <w:bookmarkStart w:id="416" w:name="_Toc297120503"/>
      <w:bookmarkStart w:id="417" w:name="_Toc292559913"/>
      <w:bookmarkStart w:id="418" w:name="_Toc303539151"/>
      <w:r>
        <w:rPr>
          <w:rFonts w:ascii="Times New Roman" w:hAnsi="Times New Roman" w:eastAsia="黑体"/>
          <w:color w:val="000000"/>
          <w:sz w:val="24"/>
          <w:szCs w:val="24"/>
        </w:rPr>
        <w:t>包人的合理化建议</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监理人审查承包人合理化建议的期限：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发包人审批承包人合理化建议的期限：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承</w:t>
      </w:r>
      <w:bookmarkStart w:id="419" w:name="_Toc296944543"/>
      <w:bookmarkStart w:id="420" w:name="_Toc296891032"/>
      <w:bookmarkStart w:id="421" w:name="_Toc292559409"/>
      <w:bookmarkStart w:id="422" w:name="_Toc297120504"/>
      <w:bookmarkStart w:id="423" w:name="_Toc303539152"/>
      <w:bookmarkStart w:id="424" w:name="_Toc304295571"/>
      <w:bookmarkStart w:id="425" w:name="_Toc297216205"/>
      <w:bookmarkStart w:id="426" w:name="_Toc297123546"/>
      <w:bookmarkStart w:id="427" w:name="_Toc296503204"/>
      <w:bookmarkStart w:id="428" w:name="_Toc318581175"/>
      <w:bookmarkStart w:id="429" w:name="_Toc292559914"/>
      <w:bookmarkStart w:id="430" w:name="_Toc300934995"/>
      <w:bookmarkStart w:id="431" w:name="_Toc296346705"/>
      <w:bookmarkStart w:id="432" w:name="_Toc297048390"/>
      <w:bookmarkStart w:id="433" w:name="_Toc296891244"/>
      <w:bookmarkStart w:id="434" w:name="_Toc296347203"/>
      <w:bookmarkStart w:id="435" w:name="_Toc312678030"/>
      <w:bookmarkStart w:id="436" w:name="_Toc312677504"/>
      <w:r>
        <w:rPr>
          <w:rFonts w:ascii="Times New Roman" w:hAnsi="Times New Roman" w:eastAsia="仿宋_GB2312"/>
          <w:sz w:val="24"/>
          <w:szCs w:val="24"/>
        </w:rPr>
        <w:t>包人提出的合理化建议降低了合同价格或者提高了工程经济效益的奖励的方法和金额为：</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u w:val="single"/>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w:t>
      </w:r>
      <w:bookmarkStart w:id="437" w:name="_Toc296346700"/>
      <w:bookmarkStart w:id="438" w:name="_Toc304295574"/>
      <w:bookmarkStart w:id="439" w:name="_Toc312678033"/>
      <w:bookmarkStart w:id="440" w:name="_Toc292559404"/>
      <w:bookmarkStart w:id="441" w:name="_Toc296347198"/>
      <w:bookmarkStart w:id="442" w:name="_Toc297123548"/>
      <w:bookmarkStart w:id="443" w:name="_Toc296891027"/>
      <w:bookmarkStart w:id="444" w:name="_Toc303539154"/>
      <w:bookmarkStart w:id="445" w:name="_Toc297216207"/>
      <w:bookmarkStart w:id="446" w:name="_Toc292559909"/>
      <w:bookmarkStart w:id="447" w:name="_Toc296944538"/>
      <w:bookmarkStart w:id="448" w:name="_Toc312677507"/>
      <w:bookmarkStart w:id="449" w:name="_Toc297048385"/>
      <w:bookmarkStart w:id="450" w:name="_Toc296503199"/>
      <w:bookmarkStart w:id="451" w:name="_Toc297120499"/>
      <w:bookmarkStart w:id="452" w:name="_Toc300934997"/>
      <w:bookmarkStart w:id="453" w:name="_Toc296891239"/>
      <w:r>
        <w:rPr>
          <w:rFonts w:ascii="Times New Roman" w:hAnsi="Times New Roman" w:eastAsia="黑体"/>
          <w:color w:val="000000"/>
          <w:sz w:val="24"/>
          <w:szCs w:val="24"/>
        </w:rPr>
        <w:t>0.7 暂估价</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kern w:val="0"/>
          <w:sz w:val="24"/>
          <w:szCs w:val="24"/>
        </w:rPr>
        <w:t>暂</w:t>
      </w:r>
      <w:bookmarkStart w:id="454" w:name="_Toc312677508"/>
      <w:bookmarkStart w:id="455" w:name="_Toc318581176"/>
      <w:bookmarkStart w:id="456" w:name="_Toc312678034"/>
      <w:r>
        <w:rPr>
          <w:rFonts w:ascii="Times New Roman" w:hAnsi="Times New Roman" w:eastAsia="仿宋_GB2312"/>
          <w:kern w:val="0"/>
          <w:sz w:val="24"/>
          <w:szCs w:val="24"/>
        </w:rPr>
        <w:t>估价材料和工程设备的明细详见附件</w:t>
      </w:r>
      <w:r>
        <w:rPr>
          <w:rFonts w:hint="eastAsia" w:ascii="Times New Roman" w:hAnsi="Times New Roman" w:eastAsia="仿宋_GB2312"/>
          <w:kern w:val="0"/>
          <w:sz w:val="24"/>
          <w:szCs w:val="24"/>
        </w:rPr>
        <w:t>11：《</w:t>
      </w:r>
      <w:r>
        <w:rPr>
          <w:rFonts w:ascii="Times New Roman" w:hAnsi="Times New Roman" w:eastAsia="仿宋_GB2312"/>
          <w:color w:val="000000"/>
          <w:sz w:val="24"/>
          <w:szCs w:val="24"/>
        </w:rPr>
        <w:t>暂估价一览表</w:t>
      </w:r>
      <w:r>
        <w:rPr>
          <w:rFonts w:hint="eastAsia" w:ascii="Times New Roman" w:hAnsi="Times New Roman" w:eastAsia="仿宋_GB2312"/>
          <w:color w:val="000000"/>
          <w:sz w:val="24"/>
          <w:szCs w:val="24"/>
        </w:rPr>
        <w:t>》</w:t>
      </w:r>
      <w:r>
        <w:rPr>
          <w:rFonts w:hint="eastAsia" w:ascii="Times New Roman" w:hAnsi="Times New Roman" w:eastAsia="仿宋_GB2312"/>
          <w:kern w:val="0"/>
          <w:sz w:val="24"/>
          <w:szCs w:val="24"/>
        </w:rPr>
        <w:t>。</w:t>
      </w:r>
    </w:p>
    <w:bookmarkEnd w:id="454"/>
    <w:bookmarkEnd w:id="455"/>
    <w:bookmarkEnd w:id="45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bookmarkStart w:id="457" w:name="_Toc312677509"/>
      <w:bookmarkStart w:id="458" w:name="_Toc318581177"/>
      <w:bookmarkStart w:id="459" w:name="_Toc312678035"/>
      <w:r>
        <w:rPr>
          <w:rFonts w:ascii="Times New Roman" w:hAnsi="Times New Roman" w:eastAsia="仿宋_GB2312"/>
          <w:sz w:val="24"/>
          <w:szCs w:val="24"/>
        </w:rPr>
        <w:t>0.7.1 依法必须招标的暂估价项目</w:t>
      </w:r>
    </w:p>
    <w:bookmarkEnd w:id="457"/>
    <w:bookmarkEnd w:id="458"/>
    <w:bookmarkEnd w:id="459"/>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对于依法必须招标的暂估价项目的确认和批准采取第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10.7.2 不属于依法必须招标的暂估价项目</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对于不属于依法必须招标的暂估价项目的确认和批准采取第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第3种方式：</w:t>
      </w:r>
      <w:r>
        <w:rPr>
          <w:rFonts w:ascii="Times New Roman" w:hAnsi="Times New Roman" w:eastAsia="仿宋_GB2312"/>
          <w:color w:val="000000"/>
          <w:kern w:val="0"/>
          <w:sz w:val="24"/>
          <w:szCs w:val="24"/>
        </w:rPr>
        <w:t>承包人直接实施的暂估价项目</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承包人直接实施的暂估价项目的约定：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10.8 暂列金额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color w:val="000000"/>
          <w:kern w:val="0"/>
          <w:sz w:val="24"/>
          <w:szCs w:val="24"/>
        </w:rPr>
        <w:t>合同当事人关于暂列金额使用的约定：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60" w:name="_Toc351203643"/>
      <w:r>
        <w:rPr>
          <w:rFonts w:ascii="Times New Roman" w:hAnsi="Times New Roman" w:eastAsia="黑体"/>
          <w:b w:val="0"/>
          <w:color w:val="000000"/>
          <w:sz w:val="24"/>
          <w:szCs w:val="24"/>
        </w:rPr>
        <w:t>11. 价格调整</w:t>
      </w:r>
      <w:bookmarkEnd w:id="46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61" w:name="_Toc312678039"/>
      <w:bookmarkStart w:id="462" w:name="_Toc296503201"/>
      <w:bookmarkStart w:id="463" w:name="_Toc296346702"/>
      <w:bookmarkStart w:id="464" w:name="_Toc296944540"/>
      <w:bookmarkStart w:id="465" w:name="_Toc297120501"/>
      <w:bookmarkStart w:id="466" w:name="_Toc297123550"/>
      <w:bookmarkStart w:id="467" w:name="_Toc296347200"/>
      <w:bookmarkStart w:id="468" w:name="_Toc297216209"/>
      <w:bookmarkStart w:id="469" w:name="_Toc292559911"/>
      <w:bookmarkStart w:id="470" w:name="_Toc300935000"/>
      <w:bookmarkStart w:id="471" w:name="_Toc292559406"/>
      <w:bookmarkStart w:id="472" w:name="_Toc296891029"/>
      <w:bookmarkStart w:id="473" w:name="_Toc297048387"/>
      <w:bookmarkStart w:id="474" w:name="_Toc303539157"/>
      <w:bookmarkStart w:id="475" w:name="_Toc304295577"/>
      <w:bookmarkStart w:id="476" w:name="_Toc296891241"/>
      <w:r>
        <w:rPr>
          <w:rFonts w:ascii="Times New Roman" w:hAnsi="Times New Roman" w:eastAsia="黑体"/>
          <w:color w:val="000000"/>
          <w:sz w:val="24"/>
          <w:szCs w:val="24"/>
        </w:rPr>
        <w:t>11.1 市场价格波动引起的调整</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市场价格波动是否调整合同价格的约定：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因市场价格波动调整合同价格，采用以下</w:t>
      </w:r>
      <w:r>
        <w:rPr>
          <w:rFonts w:ascii="Times New Roman" w:hAnsi="Times New Roman" w:eastAsia="仿宋_GB2312"/>
          <w:sz w:val="24"/>
          <w:szCs w:val="24"/>
        </w:rPr>
        <w:t>第</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种方式对合同价格进行调整：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第1种方式：采用价格指数</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关于各可调因子、定值和变值权重，以及基本价格指数及其来源的约定：</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第2种方式：采用造价信息</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（2）关于基准价格的约定：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专用合同条款</w:t>
      </w:r>
      <w:r>
        <w:rPr>
          <w:rFonts w:hint="eastAsia" w:ascii="宋体" w:hAnsi="宋体" w:cs="宋体"/>
          <w:color w:val="000000"/>
          <w:sz w:val="24"/>
          <w:szCs w:val="24"/>
        </w:rPr>
        <w:t>①</w:t>
      </w:r>
      <w:r>
        <w:rPr>
          <w:rFonts w:ascii="Times New Roman" w:hAns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%时，或材料单价跌幅以已标价工程量清单或预算书中载明材料单价为基础超过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②</w:t>
      </w:r>
      <w:r>
        <w:rPr>
          <w:rFonts w:ascii="Times New Roman" w:hAns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%时，材料单价涨幅以已标价工程量清单或预算书中载明材料单价为基础超过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③</w:t>
      </w:r>
      <w:r>
        <w:rPr>
          <w:rFonts w:ascii="Times New Roman" w:hAns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第3种方式：其他价格调整方式：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64"/>
    <w:bookmarkEnd w:id="365"/>
    <w:bookmarkEnd w:id="366"/>
    <w:bookmarkEnd w:id="367"/>
    <w:bookmarkEnd w:id="368"/>
    <w:bookmarkEnd w:id="369"/>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77" w:name="_Toc297048391"/>
      <w:bookmarkStart w:id="478" w:name="_Toc296346706"/>
      <w:bookmarkStart w:id="479" w:name="_Toc292559915"/>
      <w:bookmarkStart w:id="480" w:name="_Toc292559410"/>
      <w:bookmarkStart w:id="481" w:name="_Toc296891245"/>
      <w:bookmarkStart w:id="482" w:name="_Toc296503205"/>
      <w:bookmarkStart w:id="483" w:name="_Toc296891033"/>
      <w:bookmarkStart w:id="484" w:name="_Toc296347204"/>
      <w:bookmarkStart w:id="485" w:name="_Toc297120505"/>
      <w:bookmarkStart w:id="486" w:name="_Toc296944544"/>
      <w:bookmarkStart w:id="487" w:name="_Toc351203644"/>
      <w:bookmarkStart w:id="488" w:name="_Toc312678040"/>
      <w:bookmarkStart w:id="489" w:name="_Toc303539159"/>
      <w:bookmarkStart w:id="490" w:name="_Toc300935002"/>
      <w:bookmarkStart w:id="491" w:name="_Toc297123552"/>
      <w:bookmarkStart w:id="492" w:name="_Toc304295579"/>
      <w:bookmarkStart w:id="493" w:name="_Toc297216211"/>
      <w:r>
        <w:rPr>
          <w:rFonts w:ascii="Times New Roman" w:hAnsi="Times New Roman" w:eastAsia="黑体"/>
          <w:b w:val="0"/>
          <w:color w:val="000000"/>
          <w:sz w:val="24"/>
          <w:szCs w:val="24"/>
        </w:rPr>
        <w:t xml:space="preserve">12. </w:t>
      </w:r>
      <w:bookmarkEnd w:id="477"/>
      <w:bookmarkEnd w:id="478"/>
      <w:bookmarkEnd w:id="479"/>
      <w:bookmarkEnd w:id="480"/>
      <w:bookmarkEnd w:id="481"/>
      <w:bookmarkEnd w:id="482"/>
      <w:bookmarkEnd w:id="483"/>
      <w:bookmarkEnd w:id="484"/>
      <w:bookmarkEnd w:id="485"/>
      <w:bookmarkEnd w:id="486"/>
      <w:r>
        <w:rPr>
          <w:rFonts w:ascii="Times New Roman" w:hAnsi="Times New Roman" w:eastAsia="黑体"/>
          <w:b w:val="0"/>
          <w:color w:val="000000"/>
          <w:sz w:val="24"/>
          <w:szCs w:val="24"/>
        </w:rPr>
        <w:t>合同价格、计量与支付</w:t>
      </w:r>
      <w:bookmarkEnd w:id="487"/>
    </w:p>
    <w:bookmarkEnd w:id="488"/>
    <w:bookmarkEnd w:id="489"/>
    <w:bookmarkEnd w:id="490"/>
    <w:bookmarkEnd w:id="491"/>
    <w:bookmarkEnd w:id="492"/>
    <w:bookmarkEnd w:id="493"/>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94" w:name="_Toc292559916"/>
      <w:bookmarkStart w:id="495" w:name="_Toc292559411"/>
      <w:bookmarkStart w:id="496" w:name="_Toc267251461"/>
      <w:bookmarkStart w:id="497" w:name="_Toc296891034"/>
      <w:bookmarkStart w:id="498" w:name="_Toc297120506"/>
      <w:bookmarkStart w:id="499" w:name="_Toc296891246"/>
      <w:bookmarkStart w:id="500" w:name="_Toc296346707"/>
      <w:bookmarkStart w:id="501" w:name="_Toc296503206"/>
      <w:bookmarkStart w:id="502" w:name="_Toc296347205"/>
      <w:bookmarkStart w:id="503" w:name="_Toc296944545"/>
      <w:bookmarkStart w:id="504" w:name="_Toc297048392"/>
      <w:bookmarkStart w:id="505" w:name="_Toc304295580"/>
      <w:bookmarkStart w:id="506" w:name="_Toc303539160"/>
      <w:bookmarkStart w:id="507" w:name="_Toc297123553"/>
      <w:bookmarkStart w:id="508" w:name="_Toc300935003"/>
      <w:bookmarkStart w:id="509" w:name="_Toc312678041"/>
      <w:bookmarkStart w:id="510" w:name="_Toc297216212"/>
      <w:r>
        <w:rPr>
          <w:rFonts w:ascii="Times New Roman" w:hAnsi="Times New Roman" w:eastAsia="黑体"/>
          <w:color w:val="000000"/>
          <w:sz w:val="24"/>
          <w:szCs w:val="24"/>
        </w:rPr>
        <w:t>12.1 合</w:t>
      </w:r>
      <w:bookmarkEnd w:id="494"/>
      <w:bookmarkEnd w:id="495"/>
      <w:bookmarkEnd w:id="496"/>
      <w:r>
        <w:rPr>
          <w:rFonts w:ascii="Times New Roman" w:hAnsi="Times New Roman" w:eastAsia="黑体"/>
          <w:color w:val="000000"/>
          <w:sz w:val="24"/>
          <w:szCs w:val="24"/>
        </w:rPr>
        <w:t>同价</w:t>
      </w:r>
      <w:bookmarkEnd w:id="497"/>
      <w:bookmarkEnd w:id="498"/>
      <w:bookmarkEnd w:id="499"/>
      <w:bookmarkEnd w:id="500"/>
      <w:bookmarkEnd w:id="501"/>
      <w:bookmarkEnd w:id="502"/>
      <w:bookmarkEnd w:id="503"/>
      <w:bookmarkEnd w:id="504"/>
      <w:r>
        <w:rPr>
          <w:rFonts w:ascii="Times New Roman" w:hAnsi="Times New Roman" w:eastAsia="黑体"/>
          <w:color w:val="000000"/>
          <w:sz w:val="24"/>
          <w:szCs w:val="24"/>
        </w:rPr>
        <w:t>格形式</w:t>
      </w:r>
    </w:p>
    <w:bookmarkEnd w:id="505"/>
    <w:bookmarkEnd w:id="506"/>
    <w:bookmarkEnd w:id="507"/>
    <w:bookmarkEnd w:id="508"/>
    <w:bookmarkEnd w:id="509"/>
    <w:bookmarkEnd w:id="510"/>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综合单价包含的风险范围：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总价包含的风险范围：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numPr>
          <w:ilvl w:val="0"/>
          <w:numId w:val="3"/>
        </w:numPr>
        <w:kinsoku/>
        <w:wordWrap/>
        <w:overflowPunct/>
        <w:topLinePunct w:val="0"/>
        <w:bidi w:val="0"/>
        <w:snapToGrid/>
        <w:spacing w:line="480" w:lineRule="exact"/>
        <w:ind w:left="0" w:leftChars="0" w:firstLine="481" w:firstLineChars="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其他价格方式：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11" w:name="_Toc300935004"/>
      <w:bookmarkStart w:id="512" w:name="_Toc297216213"/>
      <w:bookmarkStart w:id="513" w:name="_Toc304295581"/>
      <w:bookmarkStart w:id="514" w:name="_Toc297123554"/>
      <w:bookmarkStart w:id="515" w:name="_Toc303539161"/>
      <w:bookmarkStart w:id="516" w:name="_Toc312678042"/>
      <w:bookmarkStart w:id="517" w:name="_Toc296347206"/>
      <w:bookmarkStart w:id="518" w:name="_Toc296891035"/>
      <w:bookmarkStart w:id="519" w:name="_Toc296944546"/>
      <w:bookmarkStart w:id="520" w:name="_Toc292559917"/>
      <w:bookmarkStart w:id="521" w:name="_Toc297120507"/>
      <w:bookmarkStart w:id="522" w:name="_Toc297048393"/>
      <w:bookmarkStart w:id="523" w:name="_Toc292559412"/>
      <w:bookmarkStart w:id="524" w:name="_Toc296346708"/>
      <w:bookmarkStart w:id="525" w:name="_Toc296891247"/>
      <w:bookmarkStart w:id="526" w:name="_Toc296503207"/>
      <w:r>
        <w:rPr>
          <w:rFonts w:ascii="Times New Roman" w:hAnsi="Times New Roman" w:eastAsia="黑体"/>
          <w:color w:val="000000"/>
          <w:sz w:val="24"/>
          <w:szCs w:val="24"/>
        </w:rPr>
        <w:t>12.2 预付款</w:t>
      </w:r>
    </w:p>
    <w:bookmarkEnd w:id="511"/>
    <w:bookmarkEnd w:id="512"/>
    <w:bookmarkEnd w:id="513"/>
    <w:bookmarkEnd w:id="514"/>
    <w:bookmarkEnd w:id="515"/>
    <w:bookmarkEnd w:id="51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12.2.1 预付款的支付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预付款支付比例或金额：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预付款扣回的方式：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12.2.2 预付款担保</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承包人提交预付款担保的期限：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预付款担保的形式为：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17"/>
    <w:bookmarkEnd w:id="518"/>
    <w:bookmarkEnd w:id="519"/>
    <w:bookmarkEnd w:id="520"/>
    <w:bookmarkEnd w:id="521"/>
    <w:bookmarkEnd w:id="522"/>
    <w:bookmarkEnd w:id="523"/>
    <w:bookmarkEnd w:id="524"/>
    <w:bookmarkEnd w:id="525"/>
    <w:bookmarkEnd w:id="52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12.3 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12.3.1 计量原则</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工程量计算规则：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12.3.2 计量周期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关于计量周期的约定：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12.3.3 单价合同的计量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关于单价合同计量的约定：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12.3.4 总价合同的计量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关于总价合同计量的约定：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12.3.5总价合同采用支付分解表计量支付的，是否适用第</w:t>
      </w:r>
      <w:r>
        <w:rPr>
          <w:rFonts w:ascii="Times New Roman" w:hAnsi="Times New Roman" w:eastAsia="仿宋_GB2312"/>
          <w:color w:val="000000"/>
          <w:kern w:val="0"/>
          <w:sz w:val="24"/>
          <w:szCs w:val="24"/>
        </w:rPr>
        <w:t xml:space="preserve">12.3.4 </w:t>
      </w:r>
      <w:r>
        <w:rPr>
          <w:rFonts w:ascii="Times New Roman" w:hAnsi="Times New Roman" w:eastAsia="仿宋_GB2312"/>
          <w:color w:val="000000"/>
          <w:sz w:val="24"/>
          <w:szCs w:val="24"/>
        </w:rPr>
        <w:t>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总价合同的计量</w:t>
      </w:r>
      <w:r>
        <w:rPr>
          <w:rFonts w:hint="eastAsia" w:ascii="Times New Roman" w:hAnsi="Times New Roman" w:eastAsia="仿宋_GB2312"/>
          <w:color w:val="000000"/>
          <w:kern w:val="0"/>
          <w:sz w:val="24"/>
          <w:szCs w:val="24"/>
        </w:rPr>
        <w:t>〕</w:t>
      </w:r>
      <w:r>
        <w:rPr>
          <w:rFonts w:ascii="Times New Roman" w:hAnsi="Times New Roman" w:eastAsia="仿宋_GB2312"/>
          <w:color w:val="000000"/>
          <w:sz w:val="24"/>
          <w:szCs w:val="24"/>
        </w:rPr>
        <w:t>约定</w:t>
      </w:r>
      <w:r>
        <w:rPr>
          <w:rFonts w:hint="eastAsia" w:ascii="Times New Roman" w:hAnsi="Times New Roman" w:eastAsia="仿宋_GB2312"/>
          <w:color w:val="000000"/>
          <w:sz w:val="24"/>
          <w:szCs w:val="24"/>
        </w:rPr>
        <w:t>进行计量：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12.3.6 其他价格形式合同的计量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其他价格形式的计量方式和程序：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12.4 工程进度款支付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27" w:name="_Toc300935006"/>
      <w:bookmarkStart w:id="528" w:name="_Toc297120511"/>
      <w:bookmarkStart w:id="529" w:name="_Toc292559921"/>
      <w:bookmarkStart w:id="530" w:name="_Toc303539163"/>
      <w:bookmarkStart w:id="531" w:name="_Toc296891251"/>
      <w:bookmarkStart w:id="532" w:name="_Toc296944550"/>
      <w:bookmarkStart w:id="533" w:name="_Toc297048397"/>
      <w:bookmarkStart w:id="534" w:name="_Toc297123556"/>
      <w:bookmarkStart w:id="535" w:name="_Toc297216215"/>
      <w:bookmarkStart w:id="536" w:name="_Toc296346712"/>
      <w:bookmarkStart w:id="537" w:name="_Toc292559416"/>
      <w:bookmarkStart w:id="538" w:name="_Toc296891039"/>
      <w:bookmarkStart w:id="539" w:name="_Toc296347210"/>
      <w:bookmarkStart w:id="540" w:name="_Toc296503211"/>
      <w:r>
        <w:rPr>
          <w:rFonts w:ascii="Times New Roman" w:hAnsi="Times New Roman" w:eastAsia="仿宋_GB2312"/>
          <w:color w:val="000000"/>
          <w:sz w:val="24"/>
          <w:szCs w:val="24"/>
        </w:rPr>
        <w:t>12.4.1 付款周期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关于付款周期的约定：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12.4.2 进度付款申请单的编制</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关于进度付款申请单编制的约定：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ascii="Times New Roman" w:hAnsi="Times New Roman" w:eastAsia="仿宋_GB2312"/>
          <w:color w:val="000000"/>
          <w:sz w:val="24"/>
          <w:szCs w:val="24"/>
        </w:rPr>
        <w:t>2.4.3 进度付款申请单的提交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（3）其他价格形式合同进度付款申请单提交的约定：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12.4.4 进度款审核和支付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（1）监理人审查并报送发包人的期限：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发包人完成审批并签发进度款支付证书的期限：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（2）发包人支付进度款的期限：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发包人逾期支付进度款的违约金的计算方式：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12.4.6 支付分解表的编制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2、总价合同支付分解表的编制与审批：</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3、单价合同的总价项目支付分解表的编制与审批：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70"/>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41" w:name="_Toc351203645"/>
      <w:bookmarkStart w:id="542" w:name="_Toc296503219"/>
      <w:bookmarkStart w:id="543" w:name="_Toc296346720"/>
      <w:bookmarkStart w:id="544" w:name="_Toc297216223"/>
      <w:bookmarkStart w:id="545" w:name="_Toc296944558"/>
      <w:bookmarkStart w:id="546" w:name="_Toc304295593"/>
      <w:bookmarkStart w:id="547" w:name="_Toc296891259"/>
      <w:bookmarkStart w:id="548" w:name="_Toc297120519"/>
      <w:bookmarkStart w:id="549" w:name="_Toc296891047"/>
      <w:bookmarkStart w:id="550" w:name="_Toc297048405"/>
      <w:bookmarkStart w:id="551" w:name="_Toc300935015"/>
      <w:bookmarkStart w:id="552" w:name="_Toc292559929"/>
      <w:bookmarkStart w:id="553" w:name="_Toc312678053"/>
      <w:bookmarkStart w:id="554" w:name="_Toc296347218"/>
      <w:bookmarkStart w:id="555" w:name="_Toc297123564"/>
      <w:bookmarkStart w:id="556" w:name="_Toc303539172"/>
      <w:bookmarkStart w:id="557" w:name="_Toc292559424"/>
      <w:r>
        <w:rPr>
          <w:rFonts w:ascii="Times New Roman" w:hAnsi="Times New Roman" w:eastAsia="黑体"/>
          <w:b w:val="0"/>
          <w:color w:val="000000"/>
          <w:sz w:val="24"/>
          <w:szCs w:val="24"/>
        </w:rPr>
        <w:t>13.</w:t>
      </w:r>
      <w:r>
        <w:rPr>
          <w:rFonts w:hint="eastAsia" w:ascii="Times New Roman" w:hAnsi="Times New Roman" w:eastAsia="黑体"/>
          <w:b w:val="0"/>
          <w:color w:val="000000"/>
          <w:sz w:val="24"/>
          <w:szCs w:val="24"/>
        </w:rPr>
        <w:t xml:space="preserve"> </w:t>
      </w:r>
      <w:r>
        <w:rPr>
          <w:rFonts w:ascii="Times New Roman" w:hAnsi="Times New Roman" w:eastAsia="黑体"/>
          <w:b w:val="0"/>
          <w:color w:val="000000"/>
          <w:sz w:val="24"/>
          <w:szCs w:val="24"/>
        </w:rPr>
        <w:t>验收和工程试车</w:t>
      </w:r>
      <w:bookmarkEnd w:id="541"/>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13.1 分部分项工程验收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13.1.2监理人不能按时进行验收时，应提前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b/>
          <w:color w:val="000000"/>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58" w:name="_Toc297048409"/>
      <w:bookmarkStart w:id="559" w:name="_Toc292559933"/>
      <w:bookmarkStart w:id="560" w:name="_Toc296346724"/>
      <w:bookmarkStart w:id="561" w:name="_Toc296891051"/>
      <w:bookmarkStart w:id="562" w:name="_Toc292559428"/>
      <w:bookmarkStart w:id="563" w:name="_Toc296503223"/>
      <w:bookmarkStart w:id="564" w:name="_Toc304295596"/>
      <w:bookmarkStart w:id="565" w:name="_Toc312678056"/>
      <w:bookmarkStart w:id="566" w:name="_Toc300935016"/>
      <w:bookmarkStart w:id="567" w:name="_Toc296944562"/>
      <w:bookmarkStart w:id="568" w:name="_Toc297216224"/>
      <w:bookmarkStart w:id="569" w:name="_Toc297120523"/>
      <w:bookmarkStart w:id="570" w:name="_Toc296347222"/>
      <w:bookmarkStart w:id="571" w:name="_Toc297123565"/>
      <w:bookmarkStart w:id="572" w:name="_Toc296891263"/>
      <w:bookmarkStart w:id="573" w:name="_Toc303539173"/>
      <w:bookmarkStart w:id="574" w:name="_Toc267251471"/>
      <w:bookmarkStart w:id="575" w:name="_Toc267251470"/>
      <w:bookmarkStart w:id="576" w:name="_Toc267251476"/>
      <w:bookmarkStart w:id="577" w:name="_Toc267251474"/>
      <w:bookmarkStart w:id="578" w:name="_Toc267251472"/>
      <w:bookmarkStart w:id="579" w:name="_Toc267251475"/>
      <w:bookmarkStart w:id="580" w:name="_Toc267251473"/>
      <w:r>
        <w:rPr>
          <w:rFonts w:ascii="Times New Roman" w:hAnsi="Times New Roman" w:eastAsia="黑体"/>
          <w:color w:val="000000"/>
          <w:sz w:val="24"/>
          <w:szCs w:val="24"/>
        </w:rPr>
        <w:t>13.2 竣工验收</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81" w:name="_Toc280868704"/>
      <w:bookmarkStart w:id="582" w:name="_Toc280868705"/>
      <w:bookmarkStart w:id="583" w:name="_Toc280868706"/>
      <w:bookmarkStart w:id="584" w:name="_Toc280868707"/>
      <w:bookmarkStart w:id="585" w:name="_Toc280868708"/>
      <w:bookmarkStart w:id="586" w:name="_Toc280868709"/>
      <w:r>
        <w:rPr>
          <w:rFonts w:ascii="Times New Roman" w:hAnsi="Times New Roman" w:eastAsia="仿宋_GB2312"/>
          <w:color w:val="000000"/>
          <w:sz w:val="24"/>
          <w:szCs w:val="24"/>
        </w:rPr>
        <w:t>13.2.2竣工验收程序</w:t>
      </w:r>
    </w:p>
    <w:bookmarkEnd w:id="58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关于竣工验收程序的约定：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发包人不按照本项约定组织竣工验收、颁发工程接收证书的违约金的计算方法：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13.2.5移交、接收全部与部分工程</w:t>
      </w:r>
    </w:p>
    <w:bookmarkEnd w:id="583"/>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承包人向发包人移交工程的期限：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发包人未按本合同约定接收全部或部分工程的，违约金的计算方法为：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承包人未按时移交工程的，违约金的计算方法为：</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13.3 工程试车</w:t>
      </w:r>
    </w:p>
    <w:bookmarkEnd w:id="585"/>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13.3.1 试车程序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工程试车内容：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（1）单机无负荷试车费用由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（2）无负荷联动试车费用由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13.3.3 投料试车</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kern w:val="0"/>
          <w:sz w:val="24"/>
          <w:szCs w:val="24"/>
        </w:rPr>
        <w:t>关于投料试车相关事项的约定：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13.6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13.6.1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承包人完成竣工退场的期限：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7" w:name="_Toc351203646"/>
      <w:r>
        <w:rPr>
          <w:rFonts w:ascii="Times New Roman" w:hAnsi="Times New Roman" w:eastAsia="黑体"/>
          <w:b w:val="0"/>
          <w:color w:val="000000"/>
          <w:sz w:val="24"/>
          <w:szCs w:val="24"/>
        </w:rPr>
        <w:t>14. 竣工结算</w:t>
      </w:r>
      <w:bookmarkEnd w:id="58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14.1 竣工</w:t>
      </w:r>
      <w:r>
        <w:rPr>
          <w:rFonts w:hint="eastAsia" w:ascii="Times New Roman" w:hAnsi="Times New Roman" w:eastAsia="黑体"/>
          <w:color w:val="000000"/>
          <w:sz w:val="24"/>
          <w:szCs w:val="24"/>
        </w:rPr>
        <w:t>结算</w:t>
      </w:r>
      <w:r>
        <w:rPr>
          <w:rFonts w:ascii="Times New Roman" w:hAnsi="Times New Roman" w:eastAsia="黑体"/>
          <w:color w:val="000000"/>
          <w:sz w:val="24"/>
          <w:szCs w:val="24"/>
        </w:rPr>
        <w:t>申请</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sz w:val="24"/>
          <w:szCs w:val="24"/>
        </w:rPr>
        <w:t>承包人提交竣工</w:t>
      </w:r>
      <w:r>
        <w:rPr>
          <w:rFonts w:hint="eastAsia" w:ascii="Times New Roman" w:hAnsi="Times New Roman" w:eastAsia="仿宋_GB2312"/>
          <w:sz w:val="24"/>
          <w:szCs w:val="24"/>
        </w:rPr>
        <w:t>结算</w:t>
      </w:r>
      <w:r>
        <w:rPr>
          <w:rFonts w:ascii="Times New Roman" w:hAnsi="Times New Roman" w:eastAsia="仿宋_GB2312"/>
          <w:sz w:val="24"/>
          <w:szCs w:val="24"/>
        </w:rPr>
        <w:t>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竣工</w:t>
      </w:r>
      <w:r>
        <w:rPr>
          <w:rFonts w:hint="eastAsia" w:ascii="Times New Roman" w:hAnsi="Times New Roman" w:eastAsia="仿宋_GB2312"/>
          <w:color w:val="000000"/>
          <w:sz w:val="24"/>
          <w:szCs w:val="24"/>
        </w:rPr>
        <w:t>结算</w:t>
      </w:r>
      <w:r>
        <w:rPr>
          <w:rFonts w:ascii="Times New Roman" w:hAnsi="Times New Roman" w:eastAsia="仿宋_GB2312"/>
          <w:color w:val="000000"/>
          <w:sz w:val="24"/>
          <w:szCs w:val="24"/>
        </w:rPr>
        <w:t>申请单应包括的内容：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14.2 竣工结算审核</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w:t>
      </w:r>
      <w:r>
        <w:rPr>
          <w:rFonts w:hint="eastAsia" w:ascii="Times New Roman" w:hAnsi="Times New Roman" w:eastAsia="仿宋_GB2312"/>
          <w:sz w:val="24"/>
          <w:szCs w:val="24"/>
        </w:rPr>
        <w:t>审批</w:t>
      </w:r>
      <w:r>
        <w:rPr>
          <w:rFonts w:ascii="Times New Roman" w:hAnsi="Times New Roman" w:eastAsia="仿宋_GB2312"/>
          <w:sz w:val="24"/>
          <w:szCs w:val="24"/>
        </w:rPr>
        <w:t>竣工付款申请单的期限：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sz w:val="24"/>
          <w:szCs w:val="24"/>
        </w:rPr>
        <w:t>发包人完成竣工付款的期限：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关于竣工付款证书异议部分复核的方式和程序：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14.4 最终结清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14.4.1 最终结清申请单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承包人提交最终结清申请单的份数：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color w:val="000000"/>
          <w:kern w:val="0"/>
          <w:sz w:val="24"/>
          <w:szCs w:val="24"/>
        </w:rPr>
        <w:t>承包人提交最终结算申请单的期限：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14.4.2 最终结清证书和支付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（1）发包人完成最终结清申请单的</w:t>
      </w:r>
      <w:r>
        <w:rPr>
          <w:rFonts w:hint="eastAsia" w:ascii="Times New Roman" w:hAnsi="Times New Roman" w:eastAsia="仿宋_GB2312"/>
          <w:sz w:val="24"/>
          <w:szCs w:val="24"/>
        </w:rPr>
        <w:t>审批</w:t>
      </w:r>
      <w:r>
        <w:rPr>
          <w:rFonts w:ascii="Times New Roman" w:hAnsi="Times New Roman" w:eastAsia="仿宋_GB2312"/>
          <w:sz w:val="24"/>
          <w:szCs w:val="24"/>
        </w:rPr>
        <w:t>并颁发最终结清证书的期限：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（2）发包人完成支付的期限：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74"/>
    <w:bookmarkEnd w:id="575"/>
    <w:bookmarkEnd w:id="576"/>
    <w:bookmarkEnd w:id="577"/>
    <w:bookmarkEnd w:id="578"/>
    <w:bookmarkEnd w:id="579"/>
    <w:bookmarkEnd w:id="580"/>
    <w:bookmarkEnd w:id="58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8" w:name="_Toc351203647"/>
      <w:bookmarkStart w:id="589" w:name="_Toc267251483"/>
      <w:bookmarkStart w:id="590" w:name="_Toc267251482"/>
      <w:bookmarkStart w:id="591" w:name="_Toc267251484"/>
      <w:bookmarkStart w:id="592" w:name="_Toc267251485"/>
      <w:bookmarkStart w:id="593" w:name="_Toc267251490"/>
      <w:bookmarkStart w:id="594" w:name="_Toc267251489"/>
      <w:bookmarkStart w:id="595" w:name="_Toc267251488"/>
      <w:bookmarkStart w:id="596" w:name="_Toc267251486"/>
      <w:bookmarkStart w:id="597" w:name="_Toc267251493"/>
      <w:bookmarkStart w:id="598" w:name="_Toc267251502"/>
      <w:bookmarkStart w:id="599" w:name="_Toc267251492"/>
      <w:bookmarkStart w:id="600" w:name="_Toc267251497"/>
      <w:bookmarkStart w:id="601" w:name="_Toc267251494"/>
      <w:bookmarkStart w:id="602" w:name="_Toc267251498"/>
      <w:bookmarkStart w:id="603" w:name="_Toc267251501"/>
      <w:bookmarkStart w:id="604" w:name="_Toc267251503"/>
      <w:bookmarkStart w:id="605" w:name="_Toc267251496"/>
      <w:bookmarkStart w:id="606" w:name="_Toc267251499"/>
      <w:bookmarkStart w:id="607" w:name="_Toc267251495"/>
      <w:bookmarkStart w:id="608" w:name="_Toc267251491"/>
      <w:bookmarkStart w:id="609" w:name="_Toc267251504"/>
      <w:bookmarkStart w:id="610" w:name="_Toc267251506"/>
      <w:bookmarkStart w:id="611" w:name="_Toc267251507"/>
      <w:bookmarkStart w:id="612" w:name="_Toc267251508"/>
      <w:bookmarkStart w:id="613" w:name="_Toc267251510"/>
      <w:bookmarkStart w:id="614" w:name="_Toc267251513"/>
      <w:bookmarkStart w:id="615" w:name="_Toc267251514"/>
      <w:bookmarkStart w:id="616" w:name="_Toc267251515"/>
      <w:bookmarkStart w:id="617" w:name="_Toc267251511"/>
      <w:bookmarkStart w:id="618" w:name="_Toc267251509"/>
      <w:r>
        <w:rPr>
          <w:rFonts w:ascii="Times New Roman" w:hAnsi="Times New Roman" w:eastAsia="黑体"/>
          <w:b w:val="0"/>
          <w:color w:val="000000"/>
          <w:sz w:val="24"/>
          <w:szCs w:val="24"/>
        </w:rPr>
        <w:t>15. 缺陷责任期与保修</w:t>
      </w:r>
      <w:bookmarkEnd w:id="5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15.2缺陷责任期</w:t>
      </w:r>
      <w:bookmarkEnd w:id="589"/>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缺陷责任期的具体期限：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15.3 质量保证金</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关于是否扣留质量保证金的约定：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15.3.1 </w:t>
      </w:r>
      <w:r>
        <w:rPr>
          <w:rFonts w:hint="eastAsia" w:ascii="Times New Roman" w:hAnsi="Times New Roman" w:eastAsia="仿宋_GB2312"/>
          <w:color w:val="000000"/>
          <w:sz w:val="24"/>
          <w:szCs w:val="24"/>
        </w:rPr>
        <w:t>承包人提供</w:t>
      </w:r>
      <w:r>
        <w:rPr>
          <w:rFonts w:ascii="Times New Roman" w:hAnsi="Times New Roman" w:eastAsia="仿宋_GB2312"/>
          <w:color w:val="000000"/>
          <w:sz w:val="24"/>
          <w:szCs w:val="24"/>
        </w:rPr>
        <w:t>质量保证金的</w:t>
      </w:r>
      <w:r>
        <w:rPr>
          <w:rFonts w:hint="eastAsia" w:ascii="Times New Roman" w:hAnsi="Times New Roman" w:eastAsia="仿宋_GB2312"/>
          <w:color w:val="000000"/>
          <w:sz w:val="24"/>
          <w:szCs w:val="24"/>
        </w:rPr>
        <w:t>方</w:t>
      </w:r>
      <w:r>
        <w:rPr>
          <w:rFonts w:ascii="Times New Roman" w:hAnsi="Times New Roman" w:eastAsia="仿宋_GB2312"/>
          <w:color w:val="000000"/>
          <w:sz w:val="24"/>
          <w:szCs w:val="24"/>
        </w:rPr>
        <w:t>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质量保证金采用以下第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（1）质量保证金保函，保证金额为：</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 xml:space="preserve">；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%的工程款；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w:t>
      </w:r>
      <w:r>
        <w:rPr>
          <w:rFonts w:hint="eastAsia" w:ascii="Times New Roman" w:hAnsi="Times New Roman" w:eastAsia="仿宋_GB2312"/>
          <w:color w:val="000000"/>
          <w:kern w:val="0"/>
          <w:sz w:val="24"/>
          <w:szCs w:val="24"/>
        </w:rPr>
        <w:t>方</w:t>
      </w:r>
      <w:r>
        <w:rPr>
          <w:rFonts w:ascii="Times New Roman" w:hAnsi="Times New Roman" w:eastAsia="仿宋_GB2312"/>
          <w:color w:val="000000"/>
          <w:kern w:val="0"/>
          <w:sz w:val="24"/>
          <w:szCs w:val="24"/>
        </w:rPr>
        <w:t>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15.3.2 质量保证金的扣留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质量保证金的扣留采取以下第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（2）工程竣工结算时一次性扣留质量保证金；</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（3）其他扣留方式: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sz w:val="24"/>
          <w:szCs w:val="24"/>
        </w:rPr>
        <w:t>关于质量保证金的补充约定：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0"/>
    <w:bookmarkEnd w:id="59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15.4保修</w:t>
      </w:r>
    </w:p>
    <w:bookmarkEnd w:id="592"/>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15.4.1 保修责任</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工程保修期为：</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15.4.3 修复通知</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承包人收到保修通知并到达工程现场的合理时间：</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3"/>
    <w:bookmarkEnd w:id="594"/>
    <w:bookmarkEnd w:id="595"/>
    <w:bookmarkEnd w:id="59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19" w:name="_Toc351203648"/>
      <w:bookmarkStart w:id="620" w:name="_Toc280868717"/>
      <w:bookmarkStart w:id="621" w:name="_Toc280868718"/>
      <w:r>
        <w:rPr>
          <w:rFonts w:ascii="Times New Roman" w:hAnsi="Times New Roman" w:eastAsia="黑体"/>
          <w:b w:val="0"/>
          <w:color w:val="000000"/>
          <w:sz w:val="24"/>
          <w:szCs w:val="24"/>
        </w:rPr>
        <w:t>16. 违约</w:t>
      </w:r>
      <w:bookmarkEnd w:id="61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16.1 发包人违约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16.1.1发包人违约的情形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发包人违约的其他情形：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16.1.2 发包人违约的责任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发包人违约责任的承担方式和计算方法：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（1）因发包人原因未能在计划开工日期前7天内下达开工通知的违约责任：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（2）因发包人原因未能按合同约定支付合同价款的违约责任：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（3）发包人违反第10.1款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变更的范围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第（2）项约定，自行实施被取消的工作或转由他人实施的违约责任：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（5）因发包人违反合同约定造成暂停施工的违约责任：</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（6）发包人无正当理由没有在约定期限内发出复工指示，导致承包人无法复工的违约责任：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w:t>
      </w:r>
      <w:r>
        <w:rPr>
          <w:rFonts w:hint="eastAsia" w:ascii="Times New Roman" w:hAnsi="Times New Roman" w:eastAsia="仿宋_GB2312"/>
          <w:color w:val="000000"/>
          <w:kern w:val="0"/>
          <w:sz w:val="24"/>
          <w:szCs w:val="24"/>
        </w:rPr>
        <w:t>其他：</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16.1.3 因发包人违约解除合同</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承包人按16.1.1项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发包人违约的情形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约定暂停施工满</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天后发包人仍不纠正其违约行为并致使合同目的不能实现的，承包人有权解除合同。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16.2 承包人违约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16.2.1 承包人违约的情形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16.2.2承包人违约的责任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承包人违约责任的承担方式和计算方法：</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16.2.3 因承包人违约解除合同</w:t>
      </w:r>
    </w:p>
    <w:p>
      <w:pPr>
        <w:pageBreakBefore w:val="0"/>
        <w:widowControl w:val="0"/>
        <w:kinsoku/>
        <w:wordWrap/>
        <w:overflowPunct/>
        <w:topLinePunct w:val="0"/>
        <w:bidi w:val="0"/>
        <w:snapToGrid/>
        <w:spacing w:before="120" w:after="120" w:line="480" w:lineRule="exact"/>
        <w:ind w:firstLine="480" w:firstLineChars="200"/>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关于承包人违约解除合同的特别约定：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before="120" w:after="120" w:line="480" w:lineRule="exac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w:t>
      </w:r>
      <w:r>
        <w:rPr>
          <w:rFonts w:hint="eastAsia" w:ascii="Times New Roman" w:hAnsi="Times New Roman" w:eastAsia="仿宋_GB2312"/>
          <w:color w:val="000000"/>
          <w:kern w:val="0"/>
          <w:sz w:val="24"/>
          <w:szCs w:val="24"/>
        </w:rPr>
        <w:t>继续</w:t>
      </w:r>
      <w:r>
        <w:rPr>
          <w:rFonts w:ascii="Times New Roman" w:hAnsi="Times New Roman" w:eastAsia="仿宋_GB2312"/>
          <w:color w:val="000000"/>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000000"/>
          <w:kern w:val="0"/>
          <w:sz w:val="24"/>
          <w:szCs w:val="24"/>
        </w:rPr>
        <w:t>的费用承担方式</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2" w:name="_Toc351203649"/>
      <w:r>
        <w:rPr>
          <w:rFonts w:ascii="Times New Roman" w:hAnsi="Times New Roman" w:eastAsia="黑体"/>
          <w:b w:val="0"/>
          <w:color w:val="000000"/>
          <w:sz w:val="24"/>
          <w:szCs w:val="24"/>
        </w:rPr>
        <w:t>17. 不可抗力</w:t>
      </w:r>
      <w:bookmarkEnd w:id="622"/>
      <w:r>
        <w:rPr>
          <w:rFonts w:ascii="Times New Roman" w:hAnsi="Times New Roman" w:eastAsia="黑体"/>
          <w:b w:val="0"/>
          <w:color w:val="000000"/>
          <w:sz w:val="24"/>
          <w:szCs w:val="24"/>
        </w:rPr>
        <w:t xml:space="preserve"> </w:t>
      </w:r>
      <w:bookmarkEnd w:id="62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17.1 不可抗力的确认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 xml:space="preserve">除通用合同条款约定的不可抗力事件之外，视为不可抗力的其他情形：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17.4 因不可抗力解除合同</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合同解除后，发包人应在商定或确定发包人应支付款项后</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天内完成款项的支付。</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3" w:name="_Toc351203650"/>
      <w:r>
        <w:rPr>
          <w:rFonts w:ascii="Times New Roman" w:hAnsi="Times New Roman" w:eastAsia="黑体"/>
          <w:b w:val="0"/>
          <w:color w:val="000000"/>
          <w:sz w:val="24"/>
          <w:szCs w:val="24"/>
        </w:rPr>
        <w:t>18. 保险</w:t>
      </w:r>
      <w:bookmarkEnd w:id="623"/>
    </w:p>
    <w:bookmarkEnd w:id="62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18.1 工程保险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关于工程保险的特别约定：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18.3 其他保险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关于其他保险的约定：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承包人是否应为其施工设备等办理财产保险：</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18.7 通知义务</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关于变更保险合同时的通知义务的约定：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97"/>
    <w:bookmarkEnd w:id="598"/>
    <w:bookmarkEnd w:id="599"/>
    <w:bookmarkEnd w:id="600"/>
    <w:bookmarkEnd w:id="601"/>
    <w:bookmarkEnd w:id="602"/>
    <w:bookmarkEnd w:id="603"/>
    <w:bookmarkEnd w:id="604"/>
    <w:bookmarkEnd w:id="605"/>
    <w:bookmarkEnd w:id="606"/>
    <w:bookmarkEnd w:id="607"/>
    <w:bookmarkEnd w:id="608"/>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4" w:name="_Toc351203651"/>
      <w:r>
        <w:rPr>
          <w:rFonts w:ascii="Times New Roman" w:hAnsi="Times New Roman" w:eastAsia="黑体"/>
          <w:b w:val="0"/>
          <w:color w:val="000000"/>
          <w:sz w:val="24"/>
          <w:szCs w:val="24"/>
        </w:rPr>
        <w:t>20. 争议解决</w:t>
      </w:r>
      <w:bookmarkEnd w:id="624"/>
    </w:p>
    <w:bookmarkEnd w:id="609"/>
    <w:bookmarkEnd w:id="610"/>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20.3 争</w:t>
      </w:r>
      <w:bookmarkEnd w:id="611"/>
      <w:r>
        <w:rPr>
          <w:rFonts w:ascii="Times New Roman" w:hAnsi="Times New Roman" w:eastAsia="黑体"/>
          <w:color w:val="000000"/>
          <w:sz w:val="24"/>
          <w:szCs w:val="24"/>
        </w:rPr>
        <w:t>议评审</w:t>
      </w:r>
    </w:p>
    <w:p>
      <w:pPr>
        <w:pageBreakBefore w:val="0"/>
        <w:widowControl w:val="0"/>
        <w:kinsoku/>
        <w:wordWrap/>
        <w:overflowPunct/>
        <w:topLinePunct w:val="0"/>
        <w:bidi w:val="0"/>
        <w:snapToGrid/>
        <w:spacing w:line="480" w:lineRule="exact"/>
        <w:ind w:left="241" w:leftChars="71" w:firstLine="360" w:firstLineChars="1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合同当事人是否同意将工程争议提交争议评审小组决</w:t>
      </w:r>
      <w:r>
        <w:rPr>
          <w:rFonts w:hint="eastAsia" w:ascii="Times New Roman" w:hAnsi="Times New Roman" w:eastAsia="仿宋_GB2312"/>
          <w:color w:val="000000"/>
          <w:sz w:val="24"/>
          <w:szCs w:val="24"/>
        </w:rPr>
        <w:t>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20.3.1 争议评审小组的确定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争议评审小组成员的确定：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选定争议评审员的期限：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争议评审小组成员的报酬承担方式：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其他事项的约定：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20.3.2 争议评审小组的决定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合同当事人关于本项的约定：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hint="eastAsia" w:ascii="Times New Roman" w:hAnsi="Times New Roman" w:eastAsia="黑体"/>
          <w:color w:val="000000"/>
          <w:sz w:val="24"/>
          <w:szCs w:val="24"/>
        </w:rPr>
      </w:pPr>
      <w:r>
        <w:rPr>
          <w:rFonts w:ascii="Times New Roman" w:hAnsi="Times New Roman" w:eastAsia="黑体"/>
          <w:color w:val="000000"/>
          <w:sz w:val="24"/>
          <w:szCs w:val="24"/>
        </w:rPr>
        <w:t>20.4仲裁或诉讼</w:t>
      </w:r>
      <w:bookmarkEnd w:id="612"/>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仿宋_GB2312"/>
          <w:color w:val="000000"/>
          <w:sz w:val="24"/>
          <w:szCs w:val="24"/>
        </w:rPr>
        <w:t>因合同及合同有关事项发生的争议，按下列第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r>
        <w:rPr>
          <w:rFonts w:hint="eastAsia" w:ascii="Times New Roman" w:hAnsi="Times New Roman" w:eastAsia="仿宋_GB2312"/>
          <w:color w:val="000000"/>
          <w:sz w:val="24"/>
          <w:szCs w:val="24"/>
        </w:rPr>
        <w:t>解</w:t>
      </w:r>
      <w:r>
        <w:rPr>
          <w:rFonts w:ascii="Times New Roman" w:hAnsi="Times New Roman" w:eastAsia="仿宋_GB2312"/>
          <w:color w:val="000000"/>
          <w:sz w:val="24"/>
          <w:szCs w:val="24"/>
        </w:rPr>
        <w:t>决：</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仲裁委员会申请仲裁；</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人民法院起诉。</w:t>
      </w:r>
      <w:bookmarkEnd w:id="613"/>
      <w:bookmarkEnd w:id="614"/>
      <w:bookmarkEnd w:id="615"/>
      <w:bookmarkEnd w:id="616"/>
      <w:bookmarkEnd w:id="617"/>
      <w:bookmarkEnd w:id="618"/>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(1)本工程预算套用《工程量清单项目计量规范（2013-河南）》清单和《河南省房屋建筑及装饰工程预算定额（HA01-31-2016）》、《河南省通用安装工程预算定额（HA03-31-2016）》、《河南省市政工程预算定额》（HAA1-31-2016）定额相关部分执行。</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（2）夜间施工增加费、二次搬运费、冬雨季施工措施费及其他措施费用全额计取；</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（3）增值税税率按9%计取；</w:t>
      </w:r>
    </w:p>
    <w:p>
      <w:pPr>
        <w:spacing w:line="430" w:lineRule="exact"/>
        <w:ind w:left="1" w:firstLine="480" w:firstLineChars="200"/>
        <w:rPr>
          <w:rFonts w:hint="default" w:ascii="新宋体" w:hAnsi="新宋体" w:eastAsia="新宋体"/>
          <w:sz w:val="24"/>
          <w:szCs w:val="22"/>
          <w:lang w:val="en-US" w:eastAsia="zh-CN"/>
        </w:rPr>
      </w:pPr>
      <w:r>
        <w:rPr>
          <w:rFonts w:hint="eastAsia" w:ascii="新宋体" w:hAnsi="新宋体" w:eastAsia="新宋体"/>
          <w:sz w:val="24"/>
          <w:szCs w:val="22"/>
          <w:lang w:val="en-US" w:eastAsia="zh-CN"/>
        </w:rPr>
        <w:t>（4）材料价格参照《许昌工程造价信息》2019年第一期2月份材料价格；未包含价格参照现行市场价；</w:t>
      </w:r>
    </w:p>
    <w:p>
      <w:pPr>
        <w:spacing w:line="440" w:lineRule="exact"/>
        <w:ind w:firstLine="477" w:firstLineChars="199"/>
        <w:rPr>
          <w:rFonts w:ascii="新宋体" w:hAnsi="新宋体" w:eastAsia="新宋体"/>
          <w:sz w:val="24"/>
          <w:szCs w:val="22"/>
        </w:rPr>
      </w:pPr>
      <w:r>
        <w:rPr>
          <w:rFonts w:hint="eastAsia" w:ascii="新宋体" w:hAnsi="新宋体" w:eastAsia="新宋体"/>
          <w:sz w:val="24"/>
          <w:szCs w:val="22"/>
          <w:lang w:val="en-US" w:eastAsia="zh-CN"/>
        </w:rPr>
        <w:t>（5）其他计算依据参考现行的文件</w:t>
      </w:r>
      <w:r>
        <w:rPr>
          <w:rFonts w:hint="eastAsia" w:ascii="新宋体" w:hAnsi="新宋体" w:eastAsia="新宋体"/>
          <w:sz w:val="24"/>
          <w:szCs w:val="22"/>
        </w:rPr>
        <w:t>。</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b/>
          <w:sz w:val="24"/>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t>
      </w:r>
      <w:r>
        <w:rPr>
          <w:rFonts w:hint="eastAsia" w:ascii="新宋体" w:hAnsi="新宋体" w:eastAsia="新宋体"/>
          <w:sz w:val="24"/>
          <w:lang w:val="en-US" w:eastAsia="zh-CN"/>
        </w:rPr>
        <w:t>g</w:t>
      </w:r>
      <w:r>
        <w:rPr>
          <w:rFonts w:hint="eastAsia" w:ascii="新宋体" w:hAnsi="新宋体" w:eastAsia="新宋体"/>
          <w:sz w:val="24"/>
        </w:rPr>
        <w:fldChar w:fldCharType="end"/>
      </w:r>
      <w:r>
        <w:rPr>
          <w:rFonts w:hint="eastAsia" w:ascii="新宋体" w:hAnsi="新宋体" w:eastAsia="新宋体"/>
          <w:sz w:val="24"/>
          <w:lang w:val="en-US" w:eastAsia="zh-CN"/>
        </w:rPr>
        <w:t>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color w:val="000000" w:themeColor="text1"/>
          <w:sz w:val="28"/>
          <w:szCs w:val="28"/>
        </w:rPr>
      </w:pPr>
      <w:r>
        <w:rPr>
          <w:rFonts w:hint="eastAsia" w:hAnsi="宋体" w:cs="黑体"/>
          <w:color w:val="000000" w:themeColor="text1"/>
          <w:sz w:val="28"/>
          <w:szCs w:val="28"/>
        </w:rPr>
        <w:t>按照招标文件中第二章投标人须知前附表第2.1项所给的网址自行下载。</w:t>
      </w:r>
    </w:p>
    <w:p>
      <w:pPr>
        <w:autoSpaceDE w:val="0"/>
        <w:autoSpaceDN w:val="0"/>
        <w:adjustRightInd w:val="0"/>
        <w:jc w:val="center"/>
        <w:outlineLvl w:val="0"/>
        <w:rPr>
          <w:rFonts w:hAnsi="宋体" w:cs="黑体"/>
          <w:b/>
          <w:color w:val="0000FF"/>
          <w:sz w:val="36"/>
          <w:szCs w:val="36"/>
        </w:rPr>
      </w:pPr>
      <w:bookmarkStart w:id="625"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625"/>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6"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626"/>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85</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85</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7"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b/>
          <w:bCs/>
          <w:sz w:val="24"/>
          <w:szCs w:val="22"/>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8" w:name="_Toc250616672"/>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28"/>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lang w:val="en-US" w:eastAsia="zh-CN"/>
              </w:rPr>
              <w:t>注册</w:t>
            </w:r>
            <w:r>
              <w:rPr>
                <w:rFonts w:hint="eastAsia" w:ascii="新宋体" w:hAnsi="新宋体" w:eastAsia="新宋体"/>
                <w:sz w:val="24"/>
              </w:rPr>
              <w:t>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7"/>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29" w:name="_Toc271787731"/>
      <w:r>
        <w:rPr>
          <w:rFonts w:hint="eastAsia" w:ascii="黑体" w:hAnsi="新宋体" w:eastAsia="黑体" w:cs="黑体"/>
          <w:sz w:val="28"/>
          <w:szCs w:val="28"/>
        </w:rPr>
        <w:t>（一）法定代表人身份证明</w:t>
      </w:r>
      <w:bookmarkEnd w:id="629"/>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2"/>
      <w:r>
        <w:rPr>
          <w:rFonts w:hint="eastAsia" w:ascii="黑体" w:hAnsi="新宋体" w:eastAsia="黑体" w:cs="黑体"/>
          <w:sz w:val="28"/>
          <w:szCs w:val="28"/>
        </w:rPr>
        <w:t>（二）授权委托书</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8"/>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911"/>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719"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8795"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8"/>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int="eastAsia"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28"/>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FF"/>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85</w:t>
      </w:r>
      <w:r>
        <w:rPr>
          <w:rFonts w:hint="eastAsia" w:hAnsi="宋体" w:cs="宋体"/>
          <w:bCs/>
          <w:color w:val="000000" w:themeColor="text1"/>
          <w:sz w:val="32"/>
          <w:szCs w:val="22"/>
        </w:rPr>
        <w:t>号</w:t>
      </w:r>
    </w:p>
    <w:p>
      <w:pPr>
        <w:autoSpaceDE w:val="0"/>
        <w:autoSpaceDN w:val="0"/>
        <w:adjustRightInd w:val="0"/>
        <w:jc w:val="center"/>
        <w:rPr>
          <w:rFonts w:hAnsi="宋体" w:cs="宋体"/>
          <w:color w:val="000000" w:themeColor="text1"/>
          <w:sz w:val="44"/>
        </w:rPr>
      </w:pPr>
      <w:r>
        <w:rPr>
          <w:rFonts w:hint="eastAsia" w:hAnsi="宋体" w:cs="宋体"/>
          <w:color w:val="000000" w:themeColor="text1"/>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8" w:type="first"/>
      <w:footerReference r:id="rId7"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 xml:space="preserve">                                                ★施工招标文件★</w:t>
    </w:r>
  </w:p>
  <w:p>
    <w:pPr>
      <w:pStyle w:val="23"/>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1D123F"/>
    <w:rsid w:val="002225A8"/>
    <w:rsid w:val="00223978"/>
    <w:rsid w:val="002330D7"/>
    <w:rsid w:val="00262141"/>
    <w:rsid w:val="002838F3"/>
    <w:rsid w:val="00285179"/>
    <w:rsid w:val="00290A21"/>
    <w:rsid w:val="002941A4"/>
    <w:rsid w:val="002A38DB"/>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C6521"/>
    <w:rsid w:val="004D2B00"/>
    <w:rsid w:val="004D4388"/>
    <w:rsid w:val="004D4ACD"/>
    <w:rsid w:val="004E06CE"/>
    <w:rsid w:val="004E3A03"/>
    <w:rsid w:val="004F1948"/>
    <w:rsid w:val="005046F1"/>
    <w:rsid w:val="00505474"/>
    <w:rsid w:val="0051467F"/>
    <w:rsid w:val="005203E6"/>
    <w:rsid w:val="00521D31"/>
    <w:rsid w:val="00567406"/>
    <w:rsid w:val="005C2FC1"/>
    <w:rsid w:val="005C7B38"/>
    <w:rsid w:val="005C7D89"/>
    <w:rsid w:val="005F5DB4"/>
    <w:rsid w:val="0061138F"/>
    <w:rsid w:val="0061516E"/>
    <w:rsid w:val="00661C56"/>
    <w:rsid w:val="006A3BD6"/>
    <w:rsid w:val="006C58EE"/>
    <w:rsid w:val="006E42B1"/>
    <w:rsid w:val="006F2F1D"/>
    <w:rsid w:val="006F4946"/>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42CC3"/>
    <w:rsid w:val="00A500A7"/>
    <w:rsid w:val="00A5380D"/>
    <w:rsid w:val="00A728AE"/>
    <w:rsid w:val="00A74405"/>
    <w:rsid w:val="00A919DC"/>
    <w:rsid w:val="00A926DB"/>
    <w:rsid w:val="00A92893"/>
    <w:rsid w:val="00A976FA"/>
    <w:rsid w:val="00AA1746"/>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E66BC"/>
    <w:rsid w:val="00DF7149"/>
    <w:rsid w:val="00E44B4D"/>
    <w:rsid w:val="00E538F9"/>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0C00CA"/>
    <w:rsid w:val="01110E06"/>
    <w:rsid w:val="011B6690"/>
    <w:rsid w:val="014C4E4F"/>
    <w:rsid w:val="01C5304A"/>
    <w:rsid w:val="01D772A3"/>
    <w:rsid w:val="01F27C77"/>
    <w:rsid w:val="020F77D5"/>
    <w:rsid w:val="02201428"/>
    <w:rsid w:val="023B5027"/>
    <w:rsid w:val="02431DC0"/>
    <w:rsid w:val="0248240F"/>
    <w:rsid w:val="02675512"/>
    <w:rsid w:val="026E716C"/>
    <w:rsid w:val="029E56EB"/>
    <w:rsid w:val="02CD1577"/>
    <w:rsid w:val="032248BA"/>
    <w:rsid w:val="037039DE"/>
    <w:rsid w:val="03771167"/>
    <w:rsid w:val="038E41B6"/>
    <w:rsid w:val="04054A2B"/>
    <w:rsid w:val="041729A1"/>
    <w:rsid w:val="0438675C"/>
    <w:rsid w:val="046A0239"/>
    <w:rsid w:val="049930A5"/>
    <w:rsid w:val="049F4EFD"/>
    <w:rsid w:val="04C15BE2"/>
    <w:rsid w:val="04F61493"/>
    <w:rsid w:val="05336A3F"/>
    <w:rsid w:val="053610EC"/>
    <w:rsid w:val="053D00B6"/>
    <w:rsid w:val="056C4502"/>
    <w:rsid w:val="058A2B2E"/>
    <w:rsid w:val="05A07B6E"/>
    <w:rsid w:val="05E655CF"/>
    <w:rsid w:val="06030411"/>
    <w:rsid w:val="068446DF"/>
    <w:rsid w:val="0702214E"/>
    <w:rsid w:val="07023B66"/>
    <w:rsid w:val="072221F1"/>
    <w:rsid w:val="07391A2B"/>
    <w:rsid w:val="079E78C0"/>
    <w:rsid w:val="07D17C7C"/>
    <w:rsid w:val="082D0A9E"/>
    <w:rsid w:val="086F58A5"/>
    <w:rsid w:val="089B0FEE"/>
    <w:rsid w:val="089C4071"/>
    <w:rsid w:val="08AB7C23"/>
    <w:rsid w:val="08F93E95"/>
    <w:rsid w:val="092B3D47"/>
    <w:rsid w:val="0936582B"/>
    <w:rsid w:val="09E337AF"/>
    <w:rsid w:val="0A702524"/>
    <w:rsid w:val="0A9A5D3D"/>
    <w:rsid w:val="0A9B67F9"/>
    <w:rsid w:val="0AEC2234"/>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33EF4"/>
    <w:rsid w:val="0E3B7750"/>
    <w:rsid w:val="0E5233D4"/>
    <w:rsid w:val="0E7A66D6"/>
    <w:rsid w:val="0EA24999"/>
    <w:rsid w:val="0EA744AE"/>
    <w:rsid w:val="0EAB77A0"/>
    <w:rsid w:val="0F1C38A1"/>
    <w:rsid w:val="0F367B25"/>
    <w:rsid w:val="0F540BFC"/>
    <w:rsid w:val="0F5E1E20"/>
    <w:rsid w:val="0FCE6FEC"/>
    <w:rsid w:val="0FD357A9"/>
    <w:rsid w:val="10660739"/>
    <w:rsid w:val="106F11B4"/>
    <w:rsid w:val="10921C8C"/>
    <w:rsid w:val="10CC1D6A"/>
    <w:rsid w:val="10CF1CAA"/>
    <w:rsid w:val="10DC2540"/>
    <w:rsid w:val="10E37048"/>
    <w:rsid w:val="11596574"/>
    <w:rsid w:val="11D65CBA"/>
    <w:rsid w:val="11E70DCC"/>
    <w:rsid w:val="11FE7C66"/>
    <w:rsid w:val="123021D6"/>
    <w:rsid w:val="124B3A99"/>
    <w:rsid w:val="12A5368B"/>
    <w:rsid w:val="13020B04"/>
    <w:rsid w:val="1306646C"/>
    <w:rsid w:val="13396B15"/>
    <w:rsid w:val="13B100AE"/>
    <w:rsid w:val="13B84D96"/>
    <w:rsid w:val="14010277"/>
    <w:rsid w:val="141B4934"/>
    <w:rsid w:val="14210E76"/>
    <w:rsid w:val="14216B57"/>
    <w:rsid w:val="14772DD6"/>
    <w:rsid w:val="1487448F"/>
    <w:rsid w:val="14A7605C"/>
    <w:rsid w:val="14B450AE"/>
    <w:rsid w:val="14B67BFC"/>
    <w:rsid w:val="14BD28E4"/>
    <w:rsid w:val="14E56C94"/>
    <w:rsid w:val="151E3969"/>
    <w:rsid w:val="157B5D24"/>
    <w:rsid w:val="15993788"/>
    <w:rsid w:val="15BE121B"/>
    <w:rsid w:val="16180A85"/>
    <w:rsid w:val="161E22D2"/>
    <w:rsid w:val="162C0DEA"/>
    <w:rsid w:val="16C86244"/>
    <w:rsid w:val="16DA63EA"/>
    <w:rsid w:val="177E7E5E"/>
    <w:rsid w:val="17A72250"/>
    <w:rsid w:val="17E04FBA"/>
    <w:rsid w:val="181513AA"/>
    <w:rsid w:val="189916D9"/>
    <w:rsid w:val="18A80767"/>
    <w:rsid w:val="18FF026F"/>
    <w:rsid w:val="191A476F"/>
    <w:rsid w:val="19376D41"/>
    <w:rsid w:val="1998712F"/>
    <w:rsid w:val="19C373F7"/>
    <w:rsid w:val="1A031C47"/>
    <w:rsid w:val="1A1A15B3"/>
    <w:rsid w:val="1A4A02D3"/>
    <w:rsid w:val="1AD86972"/>
    <w:rsid w:val="1B2120AC"/>
    <w:rsid w:val="1B8A146C"/>
    <w:rsid w:val="1BAA7CD3"/>
    <w:rsid w:val="1BF51208"/>
    <w:rsid w:val="1BF9732F"/>
    <w:rsid w:val="1C6B0F54"/>
    <w:rsid w:val="1C8708CB"/>
    <w:rsid w:val="1C9D5B1D"/>
    <w:rsid w:val="1CEC79F8"/>
    <w:rsid w:val="1CF35E70"/>
    <w:rsid w:val="1D3C3646"/>
    <w:rsid w:val="1D5505BA"/>
    <w:rsid w:val="1DA97E12"/>
    <w:rsid w:val="1DC62049"/>
    <w:rsid w:val="1DD90759"/>
    <w:rsid w:val="1E524C7C"/>
    <w:rsid w:val="1F286B94"/>
    <w:rsid w:val="1FCC3593"/>
    <w:rsid w:val="202366AA"/>
    <w:rsid w:val="20497170"/>
    <w:rsid w:val="20725BF4"/>
    <w:rsid w:val="20A278EC"/>
    <w:rsid w:val="20B14A46"/>
    <w:rsid w:val="20D3484E"/>
    <w:rsid w:val="20D47DB9"/>
    <w:rsid w:val="219F1645"/>
    <w:rsid w:val="228251F5"/>
    <w:rsid w:val="22AC5A58"/>
    <w:rsid w:val="23BA6F2A"/>
    <w:rsid w:val="23ED5BF9"/>
    <w:rsid w:val="23FE4E88"/>
    <w:rsid w:val="24253A31"/>
    <w:rsid w:val="244227E4"/>
    <w:rsid w:val="244F0613"/>
    <w:rsid w:val="245453D0"/>
    <w:rsid w:val="24B17E93"/>
    <w:rsid w:val="25B810FF"/>
    <w:rsid w:val="25BA405C"/>
    <w:rsid w:val="2616403C"/>
    <w:rsid w:val="26206288"/>
    <w:rsid w:val="26243DEE"/>
    <w:rsid w:val="262B336A"/>
    <w:rsid w:val="268E0AD7"/>
    <w:rsid w:val="26FD2231"/>
    <w:rsid w:val="271D34AE"/>
    <w:rsid w:val="27F01DF4"/>
    <w:rsid w:val="281E0FE5"/>
    <w:rsid w:val="289A661F"/>
    <w:rsid w:val="292B2876"/>
    <w:rsid w:val="29345481"/>
    <w:rsid w:val="293A6D89"/>
    <w:rsid w:val="296B0A15"/>
    <w:rsid w:val="29A754D2"/>
    <w:rsid w:val="29D827B0"/>
    <w:rsid w:val="29D90988"/>
    <w:rsid w:val="29EF08CA"/>
    <w:rsid w:val="2A2D6002"/>
    <w:rsid w:val="2A3C2B26"/>
    <w:rsid w:val="2ADE189C"/>
    <w:rsid w:val="2AF730EF"/>
    <w:rsid w:val="2B0F6C2E"/>
    <w:rsid w:val="2B2926C1"/>
    <w:rsid w:val="2B351489"/>
    <w:rsid w:val="2B661A55"/>
    <w:rsid w:val="2B967A5F"/>
    <w:rsid w:val="2BE85CD5"/>
    <w:rsid w:val="2BF47537"/>
    <w:rsid w:val="2C41373D"/>
    <w:rsid w:val="2C4338B1"/>
    <w:rsid w:val="2CBD63FA"/>
    <w:rsid w:val="2CD83D08"/>
    <w:rsid w:val="2CDA5719"/>
    <w:rsid w:val="2DA53C82"/>
    <w:rsid w:val="2DE7637F"/>
    <w:rsid w:val="2E4C12F6"/>
    <w:rsid w:val="2EAD42E7"/>
    <w:rsid w:val="2ED14AA3"/>
    <w:rsid w:val="2EDF2A3C"/>
    <w:rsid w:val="2EE73914"/>
    <w:rsid w:val="2F185B2A"/>
    <w:rsid w:val="2F2E5819"/>
    <w:rsid w:val="2F8B1FAF"/>
    <w:rsid w:val="30033829"/>
    <w:rsid w:val="300A19BE"/>
    <w:rsid w:val="302D0111"/>
    <w:rsid w:val="303323D8"/>
    <w:rsid w:val="30531075"/>
    <w:rsid w:val="30721749"/>
    <w:rsid w:val="30837237"/>
    <w:rsid w:val="30BB211F"/>
    <w:rsid w:val="30F34025"/>
    <w:rsid w:val="310B6463"/>
    <w:rsid w:val="310F08BA"/>
    <w:rsid w:val="312C43CB"/>
    <w:rsid w:val="317923F6"/>
    <w:rsid w:val="31A6072E"/>
    <w:rsid w:val="31A815F8"/>
    <w:rsid w:val="31D315D8"/>
    <w:rsid w:val="320D00ED"/>
    <w:rsid w:val="32B35085"/>
    <w:rsid w:val="32DC3B5D"/>
    <w:rsid w:val="32E35C44"/>
    <w:rsid w:val="33C24013"/>
    <w:rsid w:val="33D134FA"/>
    <w:rsid w:val="33E13CB4"/>
    <w:rsid w:val="34641F0C"/>
    <w:rsid w:val="350267A3"/>
    <w:rsid w:val="350633D2"/>
    <w:rsid w:val="352A4911"/>
    <w:rsid w:val="3543129D"/>
    <w:rsid w:val="364411F3"/>
    <w:rsid w:val="36CE3186"/>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CED37B6"/>
    <w:rsid w:val="3D402A79"/>
    <w:rsid w:val="3DB27522"/>
    <w:rsid w:val="3DBA0DE7"/>
    <w:rsid w:val="3DC02C47"/>
    <w:rsid w:val="3E0811A4"/>
    <w:rsid w:val="3E9D334D"/>
    <w:rsid w:val="3ED830C1"/>
    <w:rsid w:val="3F1C5286"/>
    <w:rsid w:val="3F5F5B0A"/>
    <w:rsid w:val="3F6E75BE"/>
    <w:rsid w:val="3F6F3B4F"/>
    <w:rsid w:val="3FD225D7"/>
    <w:rsid w:val="3FED5807"/>
    <w:rsid w:val="3FF6038F"/>
    <w:rsid w:val="3FFA0F8D"/>
    <w:rsid w:val="401E51CD"/>
    <w:rsid w:val="402F2E6D"/>
    <w:rsid w:val="40697C00"/>
    <w:rsid w:val="40833C36"/>
    <w:rsid w:val="41380022"/>
    <w:rsid w:val="413A779B"/>
    <w:rsid w:val="41CC1813"/>
    <w:rsid w:val="41F91632"/>
    <w:rsid w:val="420B640A"/>
    <w:rsid w:val="42756582"/>
    <w:rsid w:val="4290234E"/>
    <w:rsid w:val="42C14F52"/>
    <w:rsid w:val="43074B6B"/>
    <w:rsid w:val="43155376"/>
    <w:rsid w:val="43515855"/>
    <w:rsid w:val="439D5CEE"/>
    <w:rsid w:val="43FC4765"/>
    <w:rsid w:val="4413719D"/>
    <w:rsid w:val="44190BF7"/>
    <w:rsid w:val="44537DBC"/>
    <w:rsid w:val="44641E1F"/>
    <w:rsid w:val="44D14757"/>
    <w:rsid w:val="44E86CB8"/>
    <w:rsid w:val="44FD16E5"/>
    <w:rsid w:val="45682A9C"/>
    <w:rsid w:val="45786BED"/>
    <w:rsid w:val="459267A0"/>
    <w:rsid w:val="45F3766A"/>
    <w:rsid w:val="46282F24"/>
    <w:rsid w:val="4634113C"/>
    <w:rsid w:val="46394029"/>
    <w:rsid w:val="465C610C"/>
    <w:rsid w:val="468C526C"/>
    <w:rsid w:val="46A20458"/>
    <w:rsid w:val="46E061F1"/>
    <w:rsid w:val="46E74935"/>
    <w:rsid w:val="46E813ED"/>
    <w:rsid w:val="47017745"/>
    <w:rsid w:val="47645B43"/>
    <w:rsid w:val="47A84DA9"/>
    <w:rsid w:val="47AA5F32"/>
    <w:rsid w:val="47C759B2"/>
    <w:rsid w:val="48651BCD"/>
    <w:rsid w:val="48745655"/>
    <w:rsid w:val="487E013D"/>
    <w:rsid w:val="48F0581F"/>
    <w:rsid w:val="49032A86"/>
    <w:rsid w:val="493F1D69"/>
    <w:rsid w:val="49594955"/>
    <w:rsid w:val="49AA59B2"/>
    <w:rsid w:val="49CF2911"/>
    <w:rsid w:val="49E50628"/>
    <w:rsid w:val="4A0F57C3"/>
    <w:rsid w:val="4A54110A"/>
    <w:rsid w:val="4A7B0D63"/>
    <w:rsid w:val="4AB11443"/>
    <w:rsid w:val="4AC8769D"/>
    <w:rsid w:val="4ADD0CFA"/>
    <w:rsid w:val="4B157C35"/>
    <w:rsid w:val="4B8D7C37"/>
    <w:rsid w:val="4B91311E"/>
    <w:rsid w:val="4BD03BF2"/>
    <w:rsid w:val="4BE46D41"/>
    <w:rsid w:val="4BEC39C9"/>
    <w:rsid w:val="4BF47C24"/>
    <w:rsid w:val="4BFF06A6"/>
    <w:rsid w:val="4C563314"/>
    <w:rsid w:val="4C9301B2"/>
    <w:rsid w:val="4D2F59D2"/>
    <w:rsid w:val="4D363C0B"/>
    <w:rsid w:val="4D3B6DAA"/>
    <w:rsid w:val="4D687814"/>
    <w:rsid w:val="4D7F5C38"/>
    <w:rsid w:val="4DBC24D9"/>
    <w:rsid w:val="4E396701"/>
    <w:rsid w:val="4E5A561B"/>
    <w:rsid w:val="4E5E1C79"/>
    <w:rsid w:val="4ECC0A63"/>
    <w:rsid w:val="4ED11A46"/>
    <w:rsid w:val="4EE52AC1"/>
    <w:rsid w:val="4F2B024A"/>
    <w:rsid w:val="4F760AE0"/>
    <w:rsid w:val="4F817B37"/>
    <w:rsid w:val="4F866065"/>
    <w:rsid w:val="4F874AB5"/>
    <w:rsid w:val="50100886"/>
    <w:rsid w:val="50583DB2"/>
    <w:rsid w:val="50673B5C"/>
    <w:rsid w:val="50760C36"/>
    <w:rsid w:val="50982913"/>
    <w:rsid w:val="50CE42A9"/>
    <w:rsid w:val="50D91C6D"/>
    <w:rsid w:val="510420F7"/>
    <w:rsid w:val="514B43E3"/>
    <w:rsid w:val="51567631"/>
    <w:rsid w:val="5162639F"/>
    <w:rsid w:val="51AA21BB"/>
    <w:rsid w:val="51AD5286"/>
    <w:rsid w:val="51E60E87"/>
    <w:rsid w:val="51E70AB2"/>
    <w:rsid w:val="51F66CD0"/>
    <w:rsid w:val="52024250"/>
    <w:rsid w:val="52967F40"/>
    <w:rsid w:val="52AC49F5"/>
    <w:rsid w:val="52AD4347"/>
    <w:rsid w:val="52CA2BF0"/>
    <w:rsid w:val="53092ED4"/>
    <w:rsid w:val="532C5BCA"/>
    <w:rsid w:val="53FC307D"/>
    <w:rsid w:val="54153A4D"/>
    <w:rsid w:val="54563723"/>
    <w:rsid w:val="54945C21"/>
    <w:rsid w:val="54A93422"/>
    <w:rsid w:val="54B70268"/>
    <w:rsid w:val="555979C7"/>
    <w:rsid w:val="557B2F88"/>
    <w:rsid w:val="55A6717A"/>
    <w:rsid w:val="55B202EF"/>
    <w:rsid w:val="55CD0C94"/>
    <w:rsid w:val="55E910B6"/>
    <w:rsid w:val="55F877EC"/>
    <w:rsid w:val="55F940B7"/>
    <w:rsid w:val="55FB3004"/>
    <w:rsid w:val="55FD470E"/>
    <w:rsid w:val="56067ED2"/>
    <w:rsid w:val="563655E8"/>
    <w:rsid w:val="56365C2E"/>
    <w:rsid w:val="56770197"/>
    <w:rsid w:val="57025219"/>
    <w:rsid w:val="570E70F2"/>
    <w:rsid w:val="571A030C"/>
    <w:rsid w:val="574040F3"/>
    <w:rsid w:val="57690E4F"/>
    <w:rsid w:val="57935A23"/>
    <w:rsid w:val="57B02BD0"/>
    <w:rsid w:val="57B45167"/>
    <w:rsid w:val="57F51D84"/>
    <w:rsid w:val="57F60E39"/>
    <w:rsid w:val="5830091C"/>
    <w:rsid w:val="583E5434"/>
    <w:rsid w:val="58642A2A"/>
    <w:rsid w:val="58F87A38"/>
    <w:rsid w:val="59214CD7"/>
    <w:rsid w:val="5948761B"/>
    <w:rsid w:val="59787BBE"/>
    <w:rsid w:val="59B53395"/>
    <w:rsid w:val="5A1A2C4A"/>
    <w:rsid w:val="5A4A12C4"/>
    <w:rsid w:val="5A5574BB"/>
    <w:rsid w:val="5A5D411C"/>
    <w:rsid w:val="5A987FB9"/>
    <w:rsid w:val="5AF01F35"/>
    <w:rsid w:val="5B06790D"/>
    <w:rsid w:val="5B565EED"/>
    <w:rsid w:val="5BB31251"/>
    <w:rsid w:val="5BC04523"/>
    <w:rsid w:val="5BC97DE9"/>
    <w:rsid w:val="5BF279CB"/>
    <w:rsid w:val="5C244811"/>
    <w:rsid w:val="5C341906"/>
    <w:rsid w:val="5C671D5D"/>
    <w:rsid w:val="5C764759"/>
    <w:rsid w:val="5C780D81"/>
    <w:rsid w:val="5C7A4359"/>
    <w:rsid w:val="5C7E21C5"/>
    <w:rsid w:val="5CB010EE"/>
    <w:rsid w:val="5D33756D"/>
    <w:rsid w:val="5D6E22AC"/>
    <w:rsid w:val="5DE01715"/>
    <w:rsid w:val="5E180A1A"/>
    <w:rsid w:val="5E3762D9"/>
    <w:rsid w:val="5E38357C"/>
    <w:rsid w:val="5E5D155E"/>
    <w:rsid w:val="5E7017F5"/>
    <w:rsid w:val="5E7205D5"/>
    <w:rsid w:val="5EE039A0"/>
    <w:rsid w:val="5EE8736A"/>
    <w:rsid w:val="5EFC3C5C"/>
    <w:rsid w:val="5F2525C8"/>
    <w:rsid w:val="5F2556F8"/>
    <w:rsid w:val="5F472817"/>
    <w:rsid w:val="5F49523D"/>
    <w:rsid w:val="5F65126D"/>
    <w:rsid w:val="5F851A81"/>
    <w:rsid w:val="5FAA7F21"/>
    <w:rsid w:val="60182510"/>
    <w:rsid w:val="60527275"/>
    <w:rsid w:val="60C50406"/>
    <w:rsid w:val="61335E3E"/>
    <w:rsid w:val="615F4317"/>
    <w:rsid w:val="6179504F"/>
    <w:rsid w:val="61E251F3"/>
    <w:rsid w:val="61E55E53"/>
    <w:rsid w:val="6209596B"/>
    <w:rsid w:val="62263F49"/>
    <w:rsid w:val="62322573"/>
    <w:rsid w:val="62664464"/>
    <w:rsid w:val="628B4A2B"/>
    <w:rsid w:val="629B426B"/>
    <w:rsid w:val="62AF39C3"/>
    <w:rsid w:val="62CA6F4A"/>
    <w:rsid w:val="62E719F2"/>
    <w:rsid w:val="63046CD6"/>
    <w:rsid w:val="631408B2"/>
    <w:rsid w:val="631471BD"/>
    <w:rsid w:val="63613B44"/>
    <w:rsid w:val="636523F1"/>
    <w:rsid w:val="636E5C0D"/>
    <w:rsid w:val="63725411"/>
    <w:rsid w:val="638C029E"/>
    <w:rsid w:val="63BF2AA4"/>
    <w:rsid w:val="63D40918"/>
    <w:rsid w:val="6452759F"/>
    <w:rsid w:val="6469515D"/>
    <w:rsid w:val="64BC309B"/>
    <w:rsid w:val="64DE29BA"/>
    <w:rsid w:val="64F8178D"/>
    <w:rsid w:val="650B4BF6"/>
    <w:rsid w:val="65727D75"/>
    <w:rsid w:val="65A15117"/>
    <w:rsid w:val="65DC2619"/>
    <w:rsid w:val="66222AF8"/>
    <w:rsid w:val="66960384"/>
    <w:rsid w:val="66D654FF"/>
    <w:rsid w:val="67363428"/>
    <w:rsid w:val="6738785E"/>
    <w:rsid w:val="67A105DD"/>
    <w:rsid w:val="67C44765"/>
    <w:rsid w:val="680E7CB8"/>
    <w:rsid w:val="68961081"/>
    <w:rsid w:val="6A3B6E9D"/>
    <w:rsid w:val="6AE65093"/>
    <w:rsid w:val="6B171F8A"/>
    <w:rsid w:val="6B5427FA"/>
    <w:rsid w:val="6B563B97"/>
    <w:rsid w:val="6BC81A9A"/>
    <w:rsid w:val="6BD95B85"/>
    <w:rsid w:val="6C7F540A"/>
    <w:rsid w:val="6CA44DB8"/>
    <w:rsid w:val="6CC62C2C"/>
    <w:rsid w:val="6CCD4A60"/>
    <w:rsid w:val="6CD23B2C"/>
    <w:rsid w:val="6CE47554"/>
    <w:rsid w:val="6CFE37CA"/>
    <w:rsid w:val="6D1C0FED"/>
    <w:rsid w:val="6D214955"/>
    <w:rsid w:val="6D3712FA"/>
    <w:rsid w:val="6D531591"/>
    <w:rsid w:val="6D612FC0"/>
    <w:rsid w:val="6D8E6DC2"/>
    <w:rsid w:val="6DC67B27"/>
    <w:rsid w:val="6E647E42"/>
    <w:rsid w:val="6ECB0CA3"/>
    <w:rsid w:val="6ED05D32"/>
    <w:rsid w:val="6EDF1AD6"/>
    <w:rsid w:val="6F0329DE"/>
    <w:rsid w:val="6F2464EF"/>
    <w:rsid w:val="6F2A63C0"/>
    <w:rsid w:val="6F2C3765"/>
    <w:rsid w:val="6F493831"/>
    <w:rsid w:val="6FEE322F"/>
    <w:rsid w:val="701F1EAD"/>
    <w:rsid w:val="703D225F"/>
    <w:rsid w:val="708D37CC"/>
    <w:rsid w:val="70A214DF"/>
    <w:rsid w:val="70AB74CF"/>
    <w:rsid w:val="70B53817"/>
    <w:rsid w:val="70D45145"/>
    <w:rsid w:val="71075620"/>
    <w:rsid w:val="715044D6"/>
    <w:rsid w:val="717B20B7"/>
    <w:rsid w:val="71863CBA"/>
    <w:rsid w:val="71C15203"/>
    <w:rsid w:val="7254789B"/>
    <w:rsid w:val="72A43286"/>
    <w:rsid w:val="730208D7"/>
    <w:rsid w:val="736B1B21"/>
    <w:rsid w:val="737F64DB"/>
    <w:rsid w:val="739A5F82"/>
    <w:rsid w:val="73CE3686"/>
    <w:rsid w:val="73D535AF"/>
    <w:rsid w:val="73D975E2"/>
    <w:rsid w:val="73DA381C"/>
    <w:rsid w:val="74351CA2"/>
    <w:rsid w:val="743D795A"/>
    <w:rsid w:val="744B3786"/>
    <w:rsid w:val="7508592C"/>
    <w:rsid w:val="75224721"/>
    <w:rsid w:val="75312BC1"/>
    <w:rsid w:val="753700FE"/>
    <w:rsid w:val="755C4181"/>
    <w:rsid w:val="75A41183"/>
    <w:rsid w:val="75DC41A0"/>
    <w:rsid w:val="76634335"/>
    <w:rsid w:val="7668193E"/>
    <w:rsid w:val="767D01C7"/>
    <w:rsid w:val="76882EFD"/>
    <w:rsid w:val="76893528"/>
    <w:rsid w:val="7689759A"/>
    <w:rsid w:val="768B52C6"/>
    <w:rsid w:val="76A907DA"/>
    <w:rsid w:val="76B10C5B"/>
    <w:rsid w:val="76B11FB5"/>
    <w:rsid w:val="76DC63F8"/>
    <w:rsid w:val="770B193F"/>
    <w:rsid w:val="77406F97"/>
    <w:rsid w:val="77486AE3"/>
    <w:rsid w:val="77705083"/>
    <w:rsid w:val="77D350C3"/>
    <w:rsid w:val="77DB7F41"/>
    <w:rsid w:val="77FF5915"/>
    <w:rsid w:val="78A109DC"/>
    <w:rsid w:val="78E024E8"/>
    <w:rsid w:val="78F25DF6"/>
    <w:rsid w:val="78FE3063"/>
    <w:rsid w:val="793A45C1"/>
    <w:rsid w:val="795311B6"/>
    <w:rsid w:val="79635FCE"/>
    <w:rsid w:val="7976632A"/>
    <w:rsid w:val="79AE34CB"/>
    <w:rsid w:val="79D544BA"/>
    <w:rsid w:val="79EF427F"/>
    <w:rsid w:val="79FB71AC"/>
    <w:rsid w:val="7A0767D5"/>
    <w:rsid w:val="7A214813"/>
    <w:rsid w:val="7A2C1A0A"/>
    <w:rsid w:val="7A5E660F"/>
    <w:rsid w:val="7AB36004"/>
    <w:rsid w:val="7AB82515"/>
    <w:rsid w:val="7ACA7F25"/>
    <w:rsid w:val="7AED79A0"/>
    <w:rsid w:val="7B070F47"/>
    <w:rsid w:val="7B291D9A"/>
    <w:rsid w:val="7B2A110A"/>
    <w:rsid w:val="7BA95364"/>
    <w:rsid w:val="7BB327A5"/>
    <w:rsid w:val="7BC80383"/>
    <w:rsid w:val="7BD357BA"/>
    <w:rsid w:val="7BD83FC3"/>
    <w:rsid w:val="7C2F3544"/>
    <w:rsid w:val="7C7F3729"/>
    <w:rsid w:val="7C852914"/>
    <w:rsid w:val="7C900473"/>
    <w:rsid w:val="7D0509A8"/>
    <w:rsid w:val="7D054521"/>
    <w:rsid w:val="7D143198"/>
    <w:rsid w:val="7D653B5D"/>
    <w:rsid w:val="7D79759A"/>
    <w:rsid w:val="7D7B4CC5"/>
    <w:rsid w:val="7DBA3498"/>
    <w:rsid w:val="7DF007AE"/>
    <w:rsid w:val="7E8D6272"/>
    <w:rsid w:val="7EA102C3"/>
    <w:rsid w:val="7EA212D2"/>
    <w:rsid w:val="7EAD5D01"/>
    <w:rsid w:val="7EDD1569"/>
    <w:rsid w:val="7F002510"/>
    <w:rsid w:val="7F125C1D"/>
    <w:rsid w:val="7F69027F"/>
    <w:rsid w:val="7F7E5012"/>
    <w:rsid w:val="7FB76741"/>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basedOn w:val="29"/>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9"/>
    <w:qFormat/>
    <w:uiPriority w:val="0"/>
  </w:style>
  <w:style w:type="character" w:customStyle="1" w:styleId="37">
    <w:name w:val="textcontents"/>
    <w:basedOn w:val="29"/>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9"/>
    <w:qFormat/>
    <w:uiPriority w:val="0"/>
  </w:style>
  <w:style w:type="character" w:customStyle="1" w:styleId="42">
    <w:name w:val="tit"/>
    <w:basedOn w:val="29"/>
    <w:qFormat/>
    <w:uiPriority w:val="0"/>
  </w:style>
  <w:style w:type="character" w:customStyle="1" w:styleId="43">
    <w:name w:val="sl"/>
    <w:basedOn w:val="29"/>
    <w:qFormat/>
    <w:uiPriority w:val="0"/>
  </w:style>
  <w:style w:type="character" w:customStyle="1" w:styleId="44">
    <w:name w:val="up"/>
    <w:basedOn w:val="29"/>
    <w:qFormat/>
    <w:uiPriority w:val="0"/>
  </w:style>
  <w:style w:type="character" w:customStyle="1" w:styleId="45">
    <w:name w:val="lsr"/>
    <w:basedOn w:val="29"/>
    <w:qFormat/>
    <w:uiPriority w:val="0"/>
  </w:style>
  <w:style w:type="character" w:customStyle="1" w:styleId="46">
    <w:name w:val="cpb"/>
    <w:qFormat/>
    <w:uiPriority w:val="0"/>
    <w:rPr>
      <w:color w:val="FFFFFF"/>
    </w:rPr>
  </w:style>
  <w:style w:type="character" w:customStyle="1" w:styleId="47">
    <w:name w:val="sr"/>
    <w:basedOn w:val="29"/>
    <w:qFormat/>
    <w:uiPriority w:val="0"/>
  </w:style>
  <w:style w:type="character" w:customStyle="1" w:styleId="48">
    <w:name w:val="apple-converted-space"/>
    <w:basedOn w:val="29"/>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9"/>
    <w:qFormat/>
    <w:uiPriority w:val="0"/>
    <w:rPr>
      <w:color w:val="0371C6"/>
      <w:sz w:val="21"/>
      <w:szCs w:val="21"/>
    </w:rPr>
  </w:style>
  <w:style w:type="character" w:customStyle="1" w:styleId="72">
    <w:name w:val="gb-jt"/>
    <w:basedOn w:val="29"/>
    <w:qFormat/>
    <w:uiPriority w:val="0"/>
  </w:style>
  <w:style w:type="character" w:customStyle="1" w:styleId="73">
    <w:name w:val="red"/>
    <w:basedOn w:val="29"/>
    <w:qFormat/>
    <w:uiPriority w:val="0"/>
    <w:rPr>
      <w:color w:val="FF0000"/>
      <w:sz w:val="18"/>
      <w:szCs w:val="18"/>
    </w:rPr>
  </w:style>
  <w:style w:type="character" w:customStyle="1" w:styleId="74">
    <w:name w:val="red1"/>
    <w:basedOn w:val="29"/>
    <w:qFormat/>
    <w:uiPriority w:val="0"/>
    <w:rPr>
      <w:color w:val="FF0000"/>
      <w:sz w:val="18"/>
      <w:szCs w:val="18"/>
    </w:rPr>
  </w:style>
  <w:style w:type="character" w:customStyle="1" w:styleId="75">
    <w:name w:val="red2"/>
    <w:basedOn w:val="29"/>
    <w:qFormat/>
    <w:uiPriority w:val="0"/>
    <w:rPr>
      <w:color w:val="FF0000"/>
    </w:rPr>
  </w:style>
  <w:style w:type="character" w:customStyle="1" w:styleId="76">
    <w:name w:val="green"/>
    <w:basedOn w:val="29"/>
    <w:qFormat/>
    <w:uiPriority w:val="0"/>
    <w:rPr>
      <w:color w:val="66AE00"/>
      <w:sz w:val="18"/>
      <w:szCs w:val="18"/>
    </w:rPr>
  </w:style>
  <w:style w:type="character" w:customStyle="1" w:styleId="77">
    <w:name w:val="green1"/>
    <w:basedOn w:val="29"/>
    <w:qFormat/>
    <w:uiPriority w:val="0"/>
    <w:rPr>
      <w:color w:val="66AE00"/>
      <w:sz w:val="18"/>
      <w:szCs w:val="18"/>
    </w:rPr>
  </w:style>
  <w:style w:type="character" w:customStyle="1" w:styleId="78">
    <w:name w:val="hover25"/>
    <w:basedOn w:val="29"/>
    <w:qFormat/>
    <w:uiPriority w:val="0"/>
  </w:style>
  <w:style w:type="character" w:customStyle="1" w:styleId="79">
    <w:name w:val="right"/>
    <w:basedOn w:val="29"/>
    <w:qFormat/>
    <w:uiPriority w:val="0"/>
    <w:rPr>
      <w:color w:val="999999"/>
      <w:sz w:val="18"/>
      <w:szCs w:val="18"/>
    </w:rPr>
  </w:style>
  <w:style w:type="character" w:customStyle="1" w:styleId="80">
    <w:name w:val="hover"/>
    <w:basedOn w:val="29"/>
    <w:qFormat/>
    <w:uiPriority w:val="0"/>
  </w:style>
  <w:style w:type="character" w:customStyle="1" w:styleId="81">
    <w:name w:val="页眉 Char"/>
    <w:basedOn w:val="29"/>
    <w:link w:val="23"/>
    <w:qFormat/>
    <w:uiPriority w:val="0"/>
    <w:rPr>
      <w:rFonts w:ascii="宋体"/>
      <w:sz w:val="18"/>
      <w:szCs w:val="18"/>
    </w:rPr>
  </w:style>
  <w:style w:type="character" w:customStyle="1" w:styleId="82">
    <w:name w:val="red3"/>
    <w:basedOn w:val="29"/>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81F6B-D6F1-4501-B97D-83CC2E2BD08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29087</Words>
  <Characters>5919</Characters>
  <Lines>49</Lines>
  <Paragraphs>69</Paragraphs>
  <TotalTime>4</TotalTime>
  <ScaleCrop>false</ScaleCrop>
  <LinksUpToDate>false</LinksUpToDate>
  <CharactersWithSpaces>34937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陌陌---麻雀</cp:lastModifiedBy>
  <cp:lastPrinted>2019-05-22T04:56:34Z</cp:lastPrinted>
  <dcterms:modified xsi:type="dcterms:W3CDTF">2019-05-22T04:58:14Z</dcterms:modified>
  <dc:title>魏武大道曹操饮马河桥工程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