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line="400" w:lineRule="exact"/>
        <w:jc w:val="center"/>
        <w:textAlignment w:val="auto"/>
        <w:outlineLvl w:val="0"/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line="400" w:lineRule="exact"/>
        <w:jc w:val="center"/>
        <w:textAlignment w:val="auto"/>
        <w:outlineLvl w:val="0"/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颍北大道枣王段绿化工程</w:t>
      </w:r>
    </w:p>
    <w:p>
      <w:pPr>
        <w:widowControl/>
        <w:shd w:val="clear" w:color="auto" w:fill="FFFFFF"/>
        <w:autoSpaceDE w:val="0"/>
        <w:spacing w:beforeLines="50" w:line="400" w:lineRule="exact"/>
        <w:jc w:val="center"/>
        <w:outlineLvl w:val="0"/>
        <w:rPr>
          <w:rFonts w:hint="eastAsia" w:ascii="Arial" w:hAnsi="Arial" w:eastAsia="宋体" w:cs="Arial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widowControl/>
        <w:shd w:val="clear" w:color="auto" w:fill="FFFFFF"/>
        <w:autoSpaceDE w:val="0"/>
        <w:spacing w:line="320" w:lineRule="exact"/>
        <w:jc w:val="left"/>
        <w:outlineLvl w:val="0"/>
        <w:rPr>
          <w:rFonts w:ascii="宋体" w:hAnsi="宋体"/>
          <w:b/>
          <w:bCs/>
          <w:color w:val="000000"/>
        </w:rPr>
      </w:pPr>
    </w:p>
    <w:p>
      <w:pPr>
        <w:widowControl/>
        <w:shd w:val="clear" w:color="auto" w:fill="FFFFFF"/>
        <w:autoSpaceDE w:val="0"/>
        <w:spacing w:line="280" w:lineRule="exact"/>
        <w:jc w:val="left"/>
        <w:outlineLvl w:val="0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一、基本情况和数据表</w:t>
      </w:r>
    </w:p>
    <w:p>
      <w:pPr>
        <w:widowControl/>
        <w:shd w:val="clear" w:color="auto" w:fill="FFFFFF"/>
        <w:autoSpaceDE w:val="0"/>
        <w:spacing w:line="280" w:lineRule="exact"/>
        <w:ind w:firstLine="440" w:firstLineChars="200"/>
        <w:jc w:val="left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(一) 项目概况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项目名称：颍北大道枣王段绿化工程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项目编号：JSGC-SZ-2019084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招标控制价：2097150.12元（含规费、税金、安全文明施工费）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计划工期：</w:t>
      </w:r>
      <w:r>
        <w:rPr>
          <w:rFonts w:hint="eastAsia" w:ascii="宋体" w:hAnsi="宋体"/>
          <w:color w:val="000000"/>
          <w:sz w:val="22"/>
          <w:szCs w:val="28"/>
        </w:rPr>
        <w:t>30日历天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质量要求：合格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评标办法：综合计分法</w:t>
      </w:r>
    </w:p>
    <w:p>
      <w:pPr>
        <w:autoSpaceDE w:val="0"/>
        <w:spacing w:line="280" w:lineRule="exact"/>
        <w:ind w:firstLine="660" w:firstLineChars="300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资格审查方式：资格后审</w:t>
      </w:r>
    </w:p>
    <w:p>
      <w:pPr>
        <w:widowControl/>
        <w:shd w:val="clear" w:color="auto" w:fill="FFFFFF"/>
        <w:autoSpaceDE w:val="0"/>
        <w:spacing w:line="280" w:lineRule="exact"/>
        <w:jc w:val="left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（二）招标过程</w:t>
      </w:r>
    </w:p>
    <w:p>
      <w:pPr>
        <w:widowControl/>
        <w:shd w:val="clear" w:color="auto" w:fill="FFFFFF"/>
        <w:autoSpaceDE w:val="0"/>
        <w:spacing w:line="280" w:lineRule="exact"/>
        <w:rPr>
          <w:rFonts w:ascii="宋体" w:hAnsi="宋体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本工程招标采用公开招标方式进行，按照法定公开招标程序和要</w:t>
      </w:r>
      <w:r>
        <w:rPr>
          <w:rFonts w:hint="eastAsia" w:ascii="宋体" w:hAnsi="宋体"/>
          <w:sz w:val="22"/>
          <w:szCs w:val="28"/>
        </w:rPr>
        <w:t>求，于2019年4月25日在《河南省电子招标投标公共服务平台》、《全国公共资源交易平台（河南省·许昌市）》网上发布招标信息，</w:t>
      </w:r>
      <w:r>
        <w:rPr>
          <w:rFonts w:hint="eastAsia" w:ascii="宋体" w:hAnsi="宋体"/>
          <w:kern w:val="0"/>
          <w:sz w:val="22"/>
          <w:szCs w:val="28"/>
        </w:rPr>
        <w:t>于投标截止时间递交投标文件并缴纳投标保证金的投标单位有</w:t>
      </w:r>
      <w:r>
        <w:rPr>
          <w:rFonts w:hint="eastAsia" w:ascii="宋体" w:hAnsi="宋体"/>
          <w:kern w:val="0"/>
          <w:sz w:val="22"/>
          <w:szCs w:val="28"/>
          <w:u w:val="single"/>
        </w:rPr>
        <w:t>　3　</w:t>
      </w:r>
      <w:r>
        <w:rPr>
          <w:rFonts w:hint="eastAsia" w:ascii="宋体" w:hAnsi="宋体"/>
          <w:kern w:val="0"/>
          <w:sz w:val="22"/>
          <w:szCs w:val="28"/>
        </w:rPr>
        <w:t>家。</w:t>
      </w:r>
    </w:p>
    <w:p>
      <w:pPr>
        <w:spacing w:line="28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（三）项目开标数据表</w:t>
      </w:r>
    </w:p>
    <w:tbl>
      <w:tblPr>
        <w:tblStyle w:val="7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199"/>
        <w:gridCol w:w="1119"/>
        <w:gridCol w:w="3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禹州市园林绿化管理局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招标代理机构名称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jc w:val="left"/>
            </w:pPr>
            <w:r>
              <w:rPr>
                <w:rFonts w:hint="eastAsia"/>
              </w:rPr>
              <w:t>颍北大道枣王段绿化工程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开标时间</w:t>
            </w:r>
          </w:p>
        </w:tc>
        <w:tc>
          <w:tcPr>
            <w:tcW w:w="21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sz w:val="20"/>
                <w:szCs w:val="20"/>
              </w:rPr>
              <w:t>2019年5月17日10:00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开标地点</w:t>
            </w:r>
          </w:p>
        </w:tc>
        <w:tc>
          <w:tcPr>
            <w:tcW w:w="3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评标时间</w:t>
            </w:r>
          </w:p>
        </w:tc>
        <w:tc>
          <w:tcPr>
            <w:tcW w:w="21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2019年5月17日12：00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评标地点</w:t>
            </w:r>
          </w:p>
        </w:tc>
        <w:tc>
          <w:tcPr>
            <w:tcW w:w="3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禹州市公共资源交易中心评标4室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开标记录</w:t>
      </w:r>
    </w:p>
    <w:tbl>
      <w:tblPr>
        <w:tblStyle w:val="7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47"/>
        <w:gridCol w:w="394"/>
        <w:gridCol w:w="1132"/>
        <w:gridCol w:w="981"/>
        <w:gridCol w:w="874"/>
        <w:gridCol w:w="401"/>
        <w:gridCol w:w="863"/>
        <w:gridCol w:w="915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投标单位</w:t>
            </w: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投标报价（元）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工期（日历天）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项目负责人　（姓名及职称）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要求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情况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2036778.02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Dialog" w:hAnsi="Dialog" w:eastAsia="Dialog" w:cs="Dialog"/>
                <w:kern w:val="0"/>
                <w:sz w:val="20"/>
                <w:szCs w:val="20"/>
              </w:rPr>
              <w:t>魏磊中级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驻马店市金乐市政工程有限公司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2055944.89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Dialog" w:hAnsi="Dialog" w:eastAsia="Dialog" w:cs="Dialog"/>
                <w:kern w:val="0"/>
                <w:sz w:val="20"/>
                <w:szCs w:val="20"/>
              </w:rPr>
              <w:t>曹名威中级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禹州市诚建园林绿化有限公司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2002267.47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Dialog" w:hAnsi="Dialog" w:eastAsia="Dialog" w:cs="Dialog"/>
                <w:kern w:val="0"/>
                <w:sz w:val="20"/>
                <w:szCs w:val="20"/>
              </w:rPr>
              <w:t>李艳中级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完好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招标控制价</w:t>
            </w:r>
          </w:p>
        </w:tc>
        <w:tc>
          <w:tcPr>
            <w:tcW w:w="432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2097150.12元（含规费、税金、安全文明施工费）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抽取的权重系数K值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目标工期</w:t>
            </w:r>
          </w:p>
        </w:tc>
        <w:tc>
          <w:tcPr>
            <w:tcW w:w="298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30日历天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质量要求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投标报价修正情况</w:t>
            </w:r>
          </w:p>
        </w:tc>
        <w:tc>
          <w:tcPr>
            <w:tcW w:w="6125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51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</w:p>
    <w:tbl>
      <w:tblPr>
        <w:tblStyle w:val="7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3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21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1"/>
                <w:szCs w:val="21"/>
              </w:rPr>
              <w:t>许昌通畅建设工程有限公司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21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1"/>
                <w:szCs w:val="21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21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1"/>
                <w:szCs w:val="21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7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tbl>
      <w:tblPr>
        <w:tblStyle w:val="7"/>
        <w:tblW w:w="88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76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</w:rPr>
              <w:t>驻马店市金乐市政工程有限公司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</w:rPr>
              <w:t>禹州市诚建园林绿化有限公司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序号</w:t>
            </w:r>
          </w:p>
        </w:tc>
        <w:tc>
          <w:tcPr>
            <w:tcW w:w="776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未通过初步评审的投标人名称及未通过原因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76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许昌通畅建设工程有限公司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投标文件所附主要人员简历表中项目负责人身份证本人未签字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五、根据招标文件的规定，评标委员会将经评审的投标人按综合得分由高到低排序如下：</w:t>
      </w:r>
    </w:p>
    <w:tbl>
      <w:tblPr>
        <w:tblStyle w:val="7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2"/>
        <w:gridCol w:w="1801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732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最终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32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</w:rPr>
              <w:t>禹州市诚建园林绿化有限公司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81.90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732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</w:rPr>
              <w:t>马店市金乐市政工程有限公司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67.96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</w:tbl>
    <w:p>
      <w:pPr>
        <w:numPr>
          <w:ilvl w:val="0"/>
          <w:numId w:val="2"/>
        </w:numPr>
        <w:ind w:firstLine="211" w:firstLineChars="100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推荐的中标候选人详细评审得分</w:t>
      </w:r>
    </w:p>
    <w:tbl>
      <w:tblPr>
        <w:tblStyle w:val="7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"/>
        <w:gridCol w:w="3932"/>
        <w:gridCol w:w="22"/>
        <w:gridCol w:w="790"/>
        <w:gridCol w:w="25"/>
        <w:gridCol w:w="785"/>
        <w:gridCol w:w="29"/>
        <w:gridCol w:w="729"/>
        <w:gridCol w:w="33"/>
        <w:gridCol w:w="20"/>
        <w:gridCol w:w="33"/>
        <w:gridCol w:w="766"/>
        <w:gridCol w:w="36"/>
        <w:gridCol w:w="738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46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024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禹州市诚建园林绿化有限公司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13.3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24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（20分）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8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17.5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17.5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63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24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16" w:hRule="exact"/>
          <w:jc w:val="center"/>
        </w:trPr>
        <w:tc>
          <w:tcPr>
            <w:tcW w:w="4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第二中标候选人</w:t>
            </w:r>
          </w:p>
        </w:tc>
        <w:tc>
          <w:tcPr>
            <w:tcW w:w="4006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18"/>
                <w:szCs w:val="18"/>
              </w:rPr>
              <w:t>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2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评委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</w:pPr>
          </w:p>
          <w:p>
            <w:pPr>
              <w:pStyle w:val="2"/>
              <w:ind w:left="113" w:right="113" w:firstLine="21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b/>
                <w:bCs/>
              </w:rPr>
              <w:t>技　术　标（20分）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Cs w:val="21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09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Cs w:val="21"/>
              </w:rPr>
              <w:t>0-1分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在节能减排、绿色施工(含扬尘治理)措施、工艺创新方面针对本工程有具体措施或企业自有创新技术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84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15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13.3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15.2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商务标（60分）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报价得分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006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分部分项综合单价得分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措施项目得分</w:t>
            </w:r>
            <w:r>
              <w:rPr>
                <w:rFonts w:hint="eastAsia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主材单价得分</w:t>
            </w:r>
            <w:r>
              <w:rPr>
                <w:rFonts w:hint="eastAsia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（20分）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项目班子配备</w:t>
            </w:r>
            <w:r>
              <w:rPr>
                <w:rFonts w:hint="eastAsia"/>
                <w:szCs w:val="21"/>
              </w:rPr>
              <w:t>（ 0-8分）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企业综合信用</w:t>
            </w:r>
            <w:r>
              <w:rPr>
                <w:rFonts w:hint="eastAsia"/>
                <w:szCs w:val="21"/>
              </w:rPr>
              <w:t>（ 0-6分）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项目负责人业绩及信用</w:t>
            </w:r>
            <w:r>
              <w:rPr>
                <w:rFonts w:hint="eastAsia"/>
                <w:szCs w:val="21"/>
              </w:rPr>
              <w:t>（ 0-2分）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0" w:hRule="exac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服务承诺</w:t>
            </w:r>
            <w:r>
              <w:rPr>
                <w:rFonts w:hint="eastAsia"/>
                <w:szCs w:val="21"/>
              </w:rPr>
              <w:t>（ 0-4分）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3.5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3.5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46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67" w:hRule="exact"/>
          <w:jc w:val="center"/>
        </w:trPr>
        <w:tc>
          <w:tcPr>
            <w:tcW w:w="461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006" w:type="dxa"/>
            <w:gridSpan w:val="1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67.96</w:t>
            </w:r>
          </w:p>
        </w:tc>
      </w:tr>
    </w:tbl>
    <w:p>
      <w:pPr>
        <w:pStyle w:val="2"/>
        <w:tabs>
          <w:tab w:val="left" w:pos="1475"/>
        </w:tabs>
        <w:ind w:firstLine="0" w:firstLineChars="0"/>
      </w:pPr>
    </w:p>
    <w:p>
      <w:pPr>
        <w:spacing w:line="280" w:lineRule="exact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七、推荐的中标候选人情况与签订合同前要处理的事宜</w:t>
      </w:r>
    </w:p>
    <w:p>
      <w:pPr>
        <w:spacing w:line="28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推荐中标候选人名单：</w:t>
      </w:r>
    </w:p>
    <w:p>
      <w:pPr>
        <w:spacing w:line="28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第一中标候选人：　</w:t>
      </w:r>
      <w:r>
        <w:rPr>
          <w:rFonts w:cs="宋体"/>
          <w:b/>
          <w:bCs/>
          <w:szCs w:val="21"/>
        </w:rPr>
        <w:t>禹州市诚建园林绿化有限公司</w:t>
      </w:r>
    </w:p>
    <w:p>
      <w:pPr>
        <w:spacing w:line="28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</w:t>
      </w:r>
      <w:r>
        <w:rPr>
          <w:szCs w:val="21"/>
        </w:rPr>
        <w:t xml:space="preserve"> 2002267.47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</w:t>
      </w:r>
      <w:r>
        <w:rPr>
          <w:rFonts w:hint="eastAsia" w:cs="宋体"/>
          <w:szCs w:val="21"/>
        </w:rPr>
        <w:t>大写：贰佰万零贰仟贰佰陆拾柒圆肆角柒分　</w:t>
      </w:r>
    </w:p>
    <w:p>
      <w:pPr>
        <w:spacing w:line="28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30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 w:cs="宋体"/>
          <w:szCs w:val="21"/>
        </w:rPr>
        <w:t>质量标准：合格</w:t>
      </w:r>
    </w:p>
    <w:p>
      <w:pPr>
        <w:spacing w:line="280" w:lineRule="exact"/>
        <w:ind w:firstLine="218" w:firstLineChars="104"/>
        <w:rPr>
          <w:szCs w:val="21"/>
        </w:rPr>
      </w:pPr>
      <w:r>
        <w:rPr>
          <w:rFonts w:hint="eastAsia" w:cs="宋体"/>
          <w:szCs w:val="21"/>
        </w:rPr>
        <w:t xml:space="preserve">项目负责人：李艳 </w:t>
      </w:r>
      <w:r>
        <w:rPr>
          <w:szCs w:val="21"/>
        </w:rPr>
        <w:t> </w:t>
      </w:r>
      <w:r>
        <w:rPr>
          <w:rFonts w:hint="eastAsia" w:cs="宋体"/>
          <w:szCs w:val="21"/>
        </w:rPr>
        <w:t>证书名称、编号：</w:t>
      </w:r>
      <w:r>
        <w:rPr>
          <w:rFonts w:hint="eastAsia"/>
          <w:szCs w:val="21"/>
        </w:rPr>
        <w:t xml:space="preserve">　中级职称 </w:t>
      </w:r>
      <w:r>
        <w:rPr>
          <w:szCs w:val="21"/>
        </w:rPr>
        <w:t>C11002100900015</w:t>
      </w:r>
    </w:p>
    <w:p>
      <w:pPr>
        <w:spacing w:line="28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</w:t>
      </w:r>
    </w:p>
    <w:p>
      <w:pPr>
        <w:spacing w:line="280" w:lineRule="exact"/>
        <w:ind w:firstLine="218" w:firstLineChars="104"/>
        <w:rPr>
          <w:szCs w:val="21"/>
        </w:rPr>
      </w:pPr>
      <w:r>
        <w:rPr>
          <w:rFonts w:hint="eastAsia"/>
          <w:szCs w:val="21"/>
        </w:rPr>
        <w:t>1、坪山太合公馆小区庭院园林工程</w:t>
      </w:r>
    </w:p>
    <w:p>
      <w:pPr>
        <w:spacing w:line="280" w:lineRule="exact"/>
        <w:ind w:firstLine="218" w:firstLineChars="104"/>
        <w:rPr>
          <w:szCs w:val="21"/>
        </w:rPr>
      </w:pPr>
      <w:r>
        <w:rPr>
          <w:rFonts w:hint="eastAsia"/>
          <w:szCs w:val="21"/>
        </w:rPr>
        <w:t>2、尚品1698小区庭院园林工程</w:t>
      </w:r>
    </w:p>
    <w:p>
      <w:pPr>
        <w:spacing w:line="280" w:lineRule="exact"/>
        <w:ind w:firstLine="219" w:firstLineChars="104"/>
        <w:rPr>
          <w:rFonts w:cs="宋体"/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投标文件中填报的单位项目负责人业绩名称：</w:t>
      </w:r>
      <w:r>
        <w:rPr>
          <w:rFonts w:hint="eastAsia" w:cs="宋体"/>
          <w:bCs/>
          <w:szCs w:val="21"/>
        </w:rPr>
        <w:t>上东国际二期庭院园林绿化工程</w:t>
      </w:r>
    </w:p>
    <w:p>
      <w:pPr>
        <w:spacing w:line="280" w:lineRule="exact"/>
        <w:ind w:firstLine="219" w:firstLineChars="104"/>
        <w:rPr>
          <w:rFonts w:cs="宋体"/>
          <w:b/>
          <w:bCs/>
          <w:szCs w:val="21"/>
        </w:rPr>
      </w:pPr>
    </w:p>
    <w:p>
      <w:pPr>
        <w:spacing w:line="28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第二中标候选人：</w:t>
      </w:r>
      <w:r>
        <w:rPr>
          <w:rFonts w:cs="宋体"/>
          <w:b/>
          <w:bCs/>
          <w:szCs w:val="21"/>
        </w:rPr>
        <w:t>马店市金乐市政工程有限公司</w:t>
      </w:r>
    </w:p>
    <w:p>
      <w:pPr>
        <w:spacing w:line="28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投标报价：</w:t>
      </w:r>
      <w:r>
        <w:rPr>
          <w:szCs w:val="21"/>
        </w:rPr>
        <w:t xml:space="preserve"> 2055944.89</w:t>
      </w:r>
      <w:r>
        <w:rPr>
          <w:rFonts w:hint="eastAsia" w:cs="宋体"/>
          <w:szCs w:val="21"/>
        </w:rPr>
        <w:t>元</w:t>
      </w:r>
      <w:r>
        <w:rPr>
          <w:szCs w:val="21"/>
        </w:rPr>
        <w:t> </w:t>
      </w:r>
      <w:r>
        <w:rPr>
          <w:rFonts w:hint="eastAsia" w:cs="宋体"/>
          <w:szCs w:val="21"/>
        </w:rPr>
        <w:t>大写：贰佰零伍万伍仟玖佰肆拾肆元捌角玖分　</w:t>
      </w:r>
    </w:p>
    <w:p>
      <w:pPr>
        <w:spacing w:line="28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工期：</w:t>
      </w:r>
      <w:r>
        <w:rPr>
          <w:rFonts w:hint="eastAsia"/>
          <w:szCs w:val="21"/>
        </w:rPr>
        <w:t>30</w:t>
      </w:r>
      <w:r>
        <w:rPr>
          <w:rFonts w:hint="eastAsia" w:cs="宋体"/>
          <w:szCs w:val="21"/>
        </w:rPr>
        <w:t>日历天</w:t>
      </w:r>
      <w:r>
        <w:rPr>
          <w:szCs w:val="21"/>
        </w:rPr>
        <w:t> </w:t>
      </w:r>
      <w:r>
        <w:rPr>
          <w:rFonts w:hint="eastAsia" w:cs="宋体"/>
          <w:szCs w:val="21"/>
        </w:rPr>
        <w:t>质量标准：合格</w:t>
      </w:r>
    </w:p>
    <w:p>
      <w:pPr>
        <w:spacing w:line="280" w:lineRule="exact"/>
        <w:ind w:firstLine="218" w:firstLineChars="104"/>
        <w:rPr>
          <w:rFonts w:cs="宋体"/>
          <w:szCs w:val="21"/>
        </w:rPr>
      </w:pPr>
      <w:r>
        <w:rPr>
          <w:rFonts w:hint="eastAsia" w:cs="宋体"/>
          <w:szCs w:val="21"/>
        </w:rPr>
        <w:t>项目负责人：曹名威</w:t>
      </w:r>
      <w:r>
        <w:rPr>
          <w:szCs w:val="21"/>
        </w:rPr>
        <w:t> </w:t>
      </w:r>
      <w:r>
        <w:rPr>
          <w:rFonts w:hint="eastAsia" w:cs="宋体"/>
          <w:szCs w:val="21"/>
        </w:rPr>
        <w:t>证书名称、编号：</w:t>
      </w:r>
      <w:r>
        <w:rPr>
          <w:rFonts w:hint="eastAsia"/>
          <w:szCs w:val="21"/>
        </w:rPr>
        <w:t>中级职称 　</w:t>
      </w:r>
      <w:r>
        <w:rPr>
          <w:szCs w:val="21"/>
        </w:rPr>
        <w:t>C16902160900004</w:t>
      </w:r>
    </w:p>
    <w:p>
      <w:pPr>
        <w:spacing w:line="280" w:lineRule="exact"/>
        <w:ind w:firstLine="219" w:firstLineChars="104"/>
        <w:rPr>
          <w:b/>
          <w:bCs/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投标文件中填报的单位项目业绩名称：无</w:t>
      </w:r>
    </w:p>
    <w:p>
      <w:pPr>
        <w:spacing w:line="280" w:lineRule="exact"/>
        <w:ind w:firstLine="219" w:firstLineChars="104"/>
        <w:rPr>
          <w:szCs w:val="21"/>
        </w:rPr>
      </w:pPr>
      <w:r>
        <w:rPr>
          <w:rFonts w:hint="eastAsia" w:cs="宋体"/>
          <w:b/>
          <w:bCs/>
          <w:szCs w:val="21"/>
        </w:rPr>
        <w:t>投标文件中填报的单位项目负责人业绩名称：无</w:t>
      </w:r>
    </w:p>
    <w:p>
      <w:pPr>
        <w:spacing w:line="360" w:lineRule="exact"/>
        <w:ind w:firstLine="219" w:firstLineChars="104"/>
        <w:rPr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八、澄清、说明、补正事项纪要</w:t>
      </w:r>
      <w:r>
        <w:rPr>
          <w:rFonts w:hint="eastAsia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23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　十、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招标人：禹州市园林绿化管理局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　址：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</w:rPr>
        <w:t>行政南路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陈女士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联系方式：0374-8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239936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-105" w:rightChars="-50"/>
        <w:textAlignment w:val="auto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　　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</w:p>
    <w:p>
      <w:pPr>
        <w:ind w:firstLine="6000" w:firstLineChars="2500"/>
        <w:rPr>
          <w:rFonts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ind w:firstLine="6000" w:firstLineChars="2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2019年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sectPr>
      <w:footerReference r:id="rId3" w:type="default"/>
      <w:pgSz w:w="11906" w:h="16838"/>
      <w:pgMar w:top="1701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261917"/>
    <w:rsid w:val="002E7CD0"/>
    <w:rsid w:val="00313CEB"/>
    <w:rsid w:val="003277D2"/>
    <w:rsid w:val="003C4039"/>
    <w:rsid w:val="004A3E38"/>
    <w:rsid w:val="005512A6"/>
    <w:rsid w:val="005B5E4A"/>
    <w:rsid w:val="005D480D"/>
    <w:rsid w:val="006241E8"/>
    <w:rsid w:val="006337EB"/>
    <w:rsid w:val="006377F2"/>
    <w:rsid w:val="00661E02"/>
    <w:rsid w:val="007740C3"/>
    <w:rsid w:val="007758B5"/>
    <w:rsid w:val="007B10D9"/>
    <w:rsid w:val="007E1367"/>
    <w:rsid w:val="007F0C22"/>
    <w:rsid w:val="00807146"/>
    <w:rsid w:val="00876EF2"/>
    <w:rsid w:val="008A1B98"/>
    <w:rsid w:val="00916AB7"/>
    <w:rsid w:val="00922D0E"/>
    <w:rsid w:val="009A536F"/>
    <w:rsid w:val="00AD696A"/>
    <w:rsid w:val="00B0226D"/>
    <w:rsid w:val="00B52591"/>
    <w:rsid w:val="00B622E5"/>
    <w:rsid w:val="00B93A8B"/>
    <w:rsid w:val="00C52CD8"/>
    <w:rsid w:val="00C61107"/>
    <w:rsid w:val="00D37CAB"/>
    <w:rsid w:val="00ED56EE"/>
    <w:rsid w:val="00FE7A55"/>
    <w:rsid w:val="01E85E58"/>
    <w:rsid w:val="023A2448"/>
    <w:rsid w:val="02911CB2"/>
    <w:rsid w:val="034D0EAF"/>
    <w:rsid w:val="03D953BF"/>
    <w:rsid w:val="044C160A"/>
    <w:rsid w:val="05A36026"/>
    <w:rsid w:val="05AE23F6"/>
    <w:rsid w:val="05C40A1E"/>
    <w:rsid w:val="064E100D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95324B"/>
    <w:rsid w:val="0BD10E6E"/>
    <w:rsid w:val="0C0B0F6E"/>
    <w:rsid w:val="0C66776A"/>
    <w:rsid w:val="0C736EAC"/>
    <w:rsid w:val="0C7F707A"/>
    <w:rsid w:val="0CC86DE4"/>
    <w:rsid w:val="0CD86024"/>
    <w:rsid w:val="0D067496"/>
    <w:rsid w:val="0D417754"/>
    <w:rsid w:val="0DBC0DB5"/>
    <w:rsid w:val="0DD20C9D"/>
    <w:rsid w:val="0E243741"/>
    <w:rsid w:val="0E361D44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0F833E8"/>
    <w:rsid w:val="112477FC"/>
    <w:rsid w:val="1196207F"/>
    <w:rsid w:val="120120EB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BE237D"/>
    <w:rsid w:val="16CF62C2"/>
    <w:rsid w:val="16F96D2E"/>
    <w:rsid w:val="17A73FBA"/>
    <w:rsid w:val="17C56DF5"/>
    <w:rsid w:val="17E929C8"/>
    <w:rsid w:val="187444EA"/>
    <w:rsid w:val="188F5B71"/>
    <w:rsid w:val="192D39B5"/>
    <w:rsid w:val="19741CBE"/>
    <w:rsid w:val="1B7857FD"/>
    <w:rsid w:val="1B873C5D"/>
    <w:rsid w:val="1BD45561"/>
    <w:rsid w:val="1C6816AD"/>
    <w:rsid w:val="1C775550"/>
    <w:rsid w:val="1CAB0F7B"/>
    <w:rsid w:val="1D1A51C8"/>
    <w:rsid w:val="1D59323B"/>
    <w:rsid w:val="1DF23CE6"/>
    <w:rsid w:val="1E147C04"/>
    <w:rsid w:val="1EC87216"/>
    <w:rsid w:val="1F2758ED"/>
    <w:rsid w:val="1F543703"/>
    <w:rsid w:val="1FDC5D65"/>
    <w:rsid w:val="1FF7113B"/>
    <w:rsid w:val="1FFF3482"/>
    <w:rsid w:val="200C14B4"/>
    <w:rsid w:val="21583DEB"/>
    <w:rsid w:val="222C2E7E"/>
    <w:rsid w:val="22331D7D"/>
    <w:rsid w:val="22D1081E"/>
    <w:rsid w:val="239202A6"/>
    <w:rsid w:val="23D419E5"/>
    <w:rsid w:val="241B7721"/>
    <w:rsid w:val="24EB3C2E"/>
    <w:rsid w:val="25372380"/>
    <w:rsid w:val="25E255E4"/>
    <w:rsid w:val="25EC2E7A"/>
    <w:rsid w:val="26AB3251"/>
    <w:rsid w:val="26BB0735"/>
    <w:rsid w:val="27DB519B"/>
    <w:rsid w:val="281869E5"/>
    <w:rsid w:val="28346275"/>
    <w:rsid w:val="2861600D"/>
    <w:rsid w:val="288732D3"/>
    <w:rsid w:val="28A46ED5"/>
    <w:rsid w:val="28A8531A"/>
    <w:rsid w:val="28DF0110"/>
    <w:rsid w:val="29126F9E"/>
    <w:rsid w:val="29EA55ED"/>
    <w:rsid w:val="2A144BC2"/>
    <w:rsid w:val="2A8D54F5"/>
    <w:rsid w:val="2A9221AA"/>
    <w:rsid w:val="2AC1787B"/>
    <w:rsid w:val="2AD9771D"/>
    <w:rsid w:val="2B3312CD"/>
    <w:rsid w:val="2B894E4D"/>
    <w:rsid w:val="2BE01F1E"/>
    <w:rsid w:val="2BE24A58"/>
    <w:rsid w:val="2C224AE3"/>
    <w:rsid w:val="2C6A068A"/>
    <w:rsid w:val="2CF22383"/>
    <w:rsid w:val="2E3E5127"/>
    <w:rsid w:val="2FE00217"/>
    <w:rsid w:val="30334C3F"/>
    <w:rsid w:val="304A4109"/>
    <w:rsid w:val="309A6676"/>
    <w:rsid w:val="30A37A8F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01CB1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9865AE7"/>
    <w:rsid w:val="398F234B"/>
    <w:rsid w:val="3A2328A2"/>
    <w:rsid w:val="3ACB6E78"/>
    <w:rsid w:val="3B350E3B"/>
    <w:rsid w:val="3B37155F"/>
    <w:rsid w:val="3B451B1E"/>
    <w:rsid w:val="3B4F0D51"/>
    <w:rsid w:val="3C5C632A"/>
    <w:rsid w:val="3CC44908"/>
    <w:rsid w:val="3D0B109D"/>
    <w:rsid w:val="3DDA2B13"/>
    <w:rsid w:val="3DEC0066"/>
    <w:rsid w:val="3EED1841"/>
    <w:rsid w:val="3EF57B92"/>
    <w:rsid w:val="3F376592"/>
    <w:rsid w:val="3F50611C"/>
    <w:rsid w:val="3F95239A"/>
    <w:rsid w:val="3F954F07"/>
    <w:rsid w:val="3FDC1495"/>
    <w:rsid w:val="3FE12B80"/>
    <w:rsid w:val="402172F3"/>
    <w:rsid w:val="404D6CC9"/>
    <w:rsid w:val="406B48BD"/>
    <w:rsid w:val="40CD48E4"/>
    <w:rsid w:val="41106477"/>
    <w:rsid w:val="41876AFC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24DBC"/>
    <w:rsid w:val="4347020C"/>
    <w:rsid w:val="43F42790"/>
    <w:rsid w:val="444F2265"/>
    <w:rsid w:val="44886102"/>
    <w:rsid w:val="45250579"/>
    <w:rsid w:val="457D578E"/>
    <w:rsid w:val="459E0F34"/>
    <w:rsid w:val="45D12C76"/>
    <w:rsid w:val="45DC248A"/>
    <w:rsid w:val="45E23031"/>
    <w:rsid w:val="460B3965"/>
    <w:rsid w:val="46172DB6"/>
    <w:rsid w:val="463B13DB"/>
    <w:rsid w:val="47347855"/>
    <w:rsid w:val="47B61834"/>
    <w:rsid w:val="495B5CF4"/>
    <w:rsid w:val="498F4D8A"/>
    <w:rsid w:val="4A170D63"/>
    <w:rsid w:val="4A334927"/>
    <w:rsid w:val="4A4739E2"/>
    <w:rsid w:val="4B193A12"/>
    <w:rsid w:val="4B717F5D"/>
    <w:rsid w:val="4B7C2FC5"/>
    <w:rsid w:val="4B9866CD"/>
    <w:rsid w:val="4BBD44F6"/>
    <w:rsid w:val="4BDD69BF"/>
    <w:rsid w:val="4C2B6F2C"/>
    <w:rsid w:val="4CD0112C"/>
    <w:rsid w:val="4D396A4C"/>
    <w:rsid w:val="4D6C2EB7"/>
    <w:rsid w:val="4D8121B5"/>
    <w:rsid w:val="4DB515F4"/>
    <w:rsid w:val="4DCE1747"/>
    <w:rsid w:val="4DF662EC"/>
    <w:rsid w:val="50495214"/>
    <w:rsid w:val="50777866"/>
    <w:rsid w:val="50901EF4"/>
    <w:rsid w:val="51096001"/>
    <w:rsid w:val="51821F62"/>
    <w:rsid w:val="51B64D85"/>
    <w:rsid w:val="51C82972"/>
    <w:rsid w:val="51EC0B2A"/>
    <w:rsid w:val="52822574"/>
    <w:rsid w:val="52B30EAB"/>
    <w:rsid w:val="546401B4"/>
    <w:rsid w:val="55445F10"/>
    <w:rsid w:val="558A3435"/>
    <w:rsid w:val="56983279"/>
    <w:rsid w:val="56C63E52"/>
    <w:rsid w:val="57C54617"/>
    <w:rsid w:val="588F0DCC"/>
    <w:rsid w:val="58C37CDE"/>
    <w:rsid w:val="58C76B24"/>
    <w:rsid w:val="598F06CB"/>
    <w:rsid w:val="599E3FFD"/>
    <w:rsid w:val="59CD6969"/>
    <w:rsid w:val="5A4362E6"/>
    <w:rsid w:val="5A6F7E2A"/>
    <w:rsid w:val="5B4C76FF"/>
    <w:rsid w:val="5BDE5051"/>
    <w:rsid w:val="5C6E5B41"/>
    <w:rsid w:val="5D0A6243"/>
    <w:rsid w:val="5E2A442D"/>
    <w:rsid w:val="5E5A2598"/>
    <w:rsid w:val="5E6010F6"/>
    <w:rsid w:val="5E8D506C"/>
    <w:rsid w:val="5EC015F4"/>
    <w:rsid w:val="5F034DD9"/>
    <w:rsid w:val="5F04013C"/>
    <w:rsid w:val="5FB1426B"/>
    <w:rsid w:val="602F59E6"/>
    <w:rsid w:val="605D032B"/>
    <w:rsid w:val="60B9048C"/>
    <w:rsid w:val="60D22FD4"/>
    <w:rsid w:val="61B41F17"/>
    <w:rsid w:val="61D35C6D"/>
    <w:rsid w:val="62710295"/>
    <w:rsid w:val="62C45229"/>
    <w:rsid w:val="62E564C8"/>
    <w:rsid w:val="64340D28"/>
    <w:rsid w:val="648E312B"/>
    <w:rsid w:val="65352B59"/>
    <w:rsid w:val="655607EC"/>
    <w:rsid w:val="667F76C2"/>
    <w:rsid w:val="671341B2"/>
    <w:rsid w:val="676D2D76"/>
    <w:rsid w:val="67724E1B"/>
    <w:rsid w:val="678346CB"/>
    <w:rsid w:val="6791593F"/>
    <w:rsid w:val="67A3416E"/>
    <w:rsid w:val="67E655D1"/>
    <w:rsid w:val="68834CBF"/>
    <w:rsid w:val="68D51BB6"/>
    <w:rsid w:val="68FD4483"/>
    <w:rsid w:val="6926729D"/>
    <w:rsid w:val="693230BC"/>
    <w:rsid w:val="6952634D"/>
    <w:rsid w:val="698E252F"/>
    <w:rsid w:val="69EC585D"/>
    <w:rsid w:val="6A215BF2"/>
    <w:rsid w:val="6A947089"/>
    <w:rsid w:val="6AA96A9E"/>
    <w:rsid w:val="6B9B4AC7"/>
    <w:rsid w:val="6BBC6F4E"/>
    <w:rsid w:val="6C1A7E58"/>
    <w:rsid w:val="6C3074BF"/>
    <w:rsid w:val="6D170B60"/>
    <w:rsid w:val="6DA254A4"/>
    <w:rsid w:val="6E393CD5"/>
    <w:rsid w:val="6E4A0477"/>
    <w:rsid w:val="6EB51DE1"/>
    <w:rsid w:val="6ECC72CE"/>
    <w:rsid w:val="6F1A7EE0"/>
    <w:rsid w:val="6FA322FB"/>
    <w:rsid w:val="6FF21A06"/>
    <w:rsid w:val="7032138F"/>
    <w:rsid w:val="704D0512"/>
    <w:rsid w:val="70551414"/>
    <w:rsid w:val="70DF645A"/>
    <w:rsid w:val="711B153D"/>
    <w:rsid w:val="716257CB"/>
    <w:rsid w:val="71B30E96"/>
    <w:rsid w:val="71C74632"/>
    <w:rsid w:val="720143FE"/>
    <w:rsid w:val="722635A6"/>
    <w:rsid w:val="72355947"/>
    <w:rsid w:val="72A5681A"/>
    <w:rsid w:val="73FF0CA4"/>
    <w:rsid w:val="74D25BE7"/>
    <w:rsid w:val="75245E86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CD2027"/>
    <w:rsid w:val="7AE90DFF"/>
    <w:rsid w:val="7B4510E1"/>
    <w:rsid w:val="7BE40692"/>
    <w:rsid w:val="7C0411E7"/>
    <w:rsid w:val="7C1F27B9"/>
    <w:rsid w:val="7C2E7630"/>
    <w:rsid w:val="7C847150"/>
    <w:rsid w:val="7CD10214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lsr"/>
    <w:basedOn w:val="9"/>
    <w:qFormat/>
    <w:uiPriority w:val="0"/>
  </w:style>
  <w:style w:type="character" w:customStyle="1" w:styleId="14">
    <w:name w:val="down1"/>
    <w:basedOn w:val="9"/>
    <w:qFormat/>
    <w:uiPriority w:val="0"/>
    <w:rPr>
      <w:shd w:val="clear" w:color="auto" w:fill="DAEEF9"/>
    </w:rPr>
  </w:style>
  <w:style w:type="character" w:customStyle="1" w:styleId="15">
    <w:name w:val="lsl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tit"/>
    <w:basedOn w:val="9"/>
    <w:qFormat/>
    <w:uiPriority w:val="0"/>
  </w:style>
  <w:style w:type="character" w:customStyle="1" w:styleId="18">
    <w:name w:val="15"/>
    <w:basedOn w:val="9"/>
    <w:qFormat/>
    <w:uiPriority w:val="0"/>
  </w:style>
  <w:style w:type="character" w:customStyle="1" w:styleId="19">
    <w:name w:val="tit1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hover"/>
    <w:basedOn w:val="9"/>
    <w:qFormat/>
    <w:uiPriority w:val="0"/>
  </w:style>
  <w:style w:type="character" w:customStyle="1" w:styleId="2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9"/>
    <w:qFormat/>
    <w:uiPriority w:val="0"/>
    <w:rPr>
      <w:color w:val="FF0000"/>
    </w:rPr>
  </w:style>
  <w:style w:type="character" w:customStyle="1" w:styleId="26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9"/>
    <w:qFormat/>
    <w:uiPriority w:val="0"/>
  </w:style>
  <w:style w:type="character" w:customStyle="1" w:styleId="3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9"/>
    <w:qFormat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1045</Words>
  <Characters>5958</Characters>
  <Lines>49</Lines>
  <Paragraphs>13</Paragraphs>
  <TotalTime>5</TotalTime>
  <ScaleCrop>false</ScaleCrop>
  <LinksUpToDate>false</LinksUpToDate>
  <CharactersWithSpaces>6990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枫景苑</cp:lastModifiedBy>
  <cp:lastPrinted>2019-05-20T00:17:16Z</cp:lastPrinted>
  <dcterms:modified xsi:type="dcterms:W3CDTF">2019-05-20T00:17:37Z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