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许昌市公安局“办公家具购置”项目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076</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采购单位：许昌市公安局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十七</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lang w:val="zh-CN" w:eastAsia="zh-CN"/>
        </w:rPr>
        <w:t>许昌市公安局</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rPr>
        <w:t>办公家具购置</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（一）项目名</w:t>
      </w:r>
      <w:r>
        <w:rPr>
          <w:rFonts w:hint="eastAsia" w:cs="仿宋_GB2312" w:asciiTheme="minorEastAsia" w:hAnsiTheme="minorEastAsia" w:eastAsiaTheme="minorEastAsia"/>
          <w:color w:val="000000"/>
          <w:sz w:val="21"/>
          <w:szCs w:val="21"/>
          <w:shd w:val="clear" w:color="auto" w:fill="FFFFFF"/>
          <w:lang w:val="zh-CN"/>
        </w:rPr>
        <w:t>称：办公家具购置</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076</w:t>
      </w:r>
      <w:r>
        <w:rPr>
          <w:rFonts w:hint="eastAsia" w:cs="仿宋_GB2312" w:asciiTheme="minorEastAsia" w:hAnsiTheme="minorEastAsia" w:eastAsiaTheme="minorEastAsia"/>
          <w:color w:val="000000"/>
          <w:sz w:val="21"/>
          <w:szCs w:val="21"/>
          <w:shd w:val="clear" w:color="auto" w:fill="FFFFFF"/>
          <w:lang w:val="zh-CN"/>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（四）项目主要内容、数量及要求：办公桌35张、会议桌19组、长条桌6张等</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（五）预算金额：215000元</w:t>
      </w:r>
      <w:r>
        <w:rPr>
          <w:rFonts w:hint="eastAsia" w:cs="仿宋_GB2312" w:asciiTheme="minorEastAsia" w:hAnsiTheme="minorEastAsia" w:eastAsiaTheme="minorEastAsia"/>
          <w:color w:val="000000"/>
          <w:sz w:val="21"/>
          <w:szCs w:val="21"/>
          <w:shd w:val="clear" w:color="auto" w:fill="FFFFFF"/>
          <w:lang w:val="zh-CN" w:eastAsia="zh-CN"/>
        </w:rPr>
        <w:t>；</w:t>
      </w:r>
      <w:r>
        <w:rPr>
          <w:rFonts w:hint="eastAsia" w:cs="仿宋_GB2312" w:asciiTheme="minorEastAsia" w:hAnsiTheme="minorEastAsia" w:eastAsiaTheme="minorEastAsia"/>
          <w:color w:val="000000"/>
          <w:sz w:val="21"/>
          <w:szCs w:val="21"/>
          <w:shd w:val="clear" w:color="auto" w:fill="FFFFFF"/>
          <w:lang w:val="zh-CN"/>
        </w:rPr>
        <w:t>最高限价：215000元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zh-CN"/>
        </w:rPr>
        <w:t>自合同生效之日起</w:t>
      </w:r>
      <w:bookmarkEnd w:id="0"/>
      <w:r>
        <w:rPr>
          <w:rFonts w:hint="eastAsia" w:cs="仿宋_GB2312" w:asciiTheme="minorEastAsia" w:hAnsiTheme="minorEastAsia" w:eastAsiaTheme="minorEastAsia"/>
          <w:color w:val="000000"/>
          <w:sz w:val="21"/>
          <w:szCs w:val="21"/>
          <w:shd w:val="clear" w:color="auto" w:fill="FFFFFF"/>
          <w:lang w:val="zh-CN"/>
        </w:rPr>
        <w:t>10日内</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（七）交付（服务、完工）地点：</w:t>
      </w:r>
      <w:r>
        <w:rPr>
          <w:rFonts w:hint="eastAsia" w:ascii="宋体" w:hAnsi="宋体" w:cs="仿宋_GB2312"/>
          <w:color w:val="000000"/>
          <w:sz w:val="21"/>
          <w:szCs w:val="21"/>
          <w:shd w:val="clear" w:color="auto" w:fill="FFFFFF"/>
          <w:lang w:val="en-US" w:eastAsia="zh-CN"/>
        </w:rPr>
        <w:t>许昌市公安局特殊警务支队</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eastAsiaTheme="minorEastAsia"/>
          <w:szCs w:val="21"/>
          <w:lang w:eastAsia="zh-CN"/>
        </w:rPr>
      </w:pPr>
      <w:r>
        <w:rPr>
          <w:rFonts w:hint="eastAsia" w:ascii="宋体" w:hAnsi="宋体"/>
          <w:b/>
          <w:szCs w:val="21"/>
        </w:rPr>
        <w:t>采购人</w:t>
      </w:r>
      <w:r>
        <w:rPr>
          <w:rFonts w:hint="eastAsia" w:ascii="宋体" w:hAnsi="宋体"/>
          <w:szCs w:val="21"/>
        </w:rPr>
        <w:t>：</w:t>
      </w:r>
      <w:r>
        <w:rPr>
          <w:rFonts w:hint="eastAsia" w:ascii="宋体" w:hAnsi="宋体"/>
          <w:szCs w:val="21"/>
          <w:lang w:eastAsia="zh-CN"/>
        </w:rPr>
        <w:t>许昌市公安局</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w:t>
      </w:r>
      <w:r>
        <w:rPr>
          <w:rFonts w:hint="eastAsia" w:cs="黑体" w:asciiTheme="minorEastAsia" w:hAnsiTheme="minorEastAsia" w:eastAsiaTheme="minorEastAsia"/>
          <w:bCs/>
          <w:shd w:val="clear" w:color="auto" w:fill="FFFFFF"/>
        </w:rPr>
        <w:t>许昌市劳动路与天宝路交叉口向北1000米（老看守所院内）</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cs="黑体" w:asciiTheme="minorEastAsia" w:hAnsiTheme="minorEastAsia" w:eastAsiaTheme="minorEastAsia"/>
          <w:bCs/>
          <w:shd w:val="clear" w:color="auto" w:fill="FFFFFF"/>
        </w:rPr>
        <w:t>苏亚培</w:t>
      </w:r>
      <w:r>
        <w:rPr>
          <w:rFonts w:hint="eastAsia" w:ascii="宋体" w:hAnsi="宋体"/>
          <w:szCs w:val="21"/>
        </w:rPr>
        <w:t xml:space="preserve">                   联系电话：</w:t>
      </w:r>
      <w:r>
        <w:rPr>
          <w:rFonts w:hint="eastAsia" w:cs="黑体" w:asciiTheme="minorEastAsia" w:hAnsiTheme="minorEastAsia" w:eastAsiaTheme="minorEastAsia"/>
          <w:bCs/>
          <w:shd w:val="clear" w:color="auto" w:fill="FFFFFF"/>
        </w:rPr>
        <w:t>18637460678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right"/>
        <w:rPr>
          <w:rFonts w:hint="eastAsia" w:ascii="宋体" w:hAnsi="宋体"/>
          <w:szCs w:val="21"/>
          <w:lang w:eastAsia="zh-CN"/>
        </w:rPr>
      </w:pPr>
    </w:p>
    <w:p>
      <w:pPr>
        <w:adjustRightInd w:val="0"/>
        <w:spacing w:line="360" w:lineRule="auto"/>
        <w:ind w:firstLine="840" w:firstLineChars="400"/>
        <w:contextualSpacing/>
        <w:jc w:val="right"/>
        <w:rPr>
          <w:rFonts w:hint="eastAsia" w:cs="黑体" w:asciiTheme="minorEastAsia" w:hAnsiTheme="minorEastAsia" w:eastAsiaTheme="minorEastAsia"/>
          <w:bCs/>
          <w:shd w:val="clear" w:color="auto" w:fill="FFFFFF"/>
        </w:rPr>
      </w:pPr>
      <w:r>
        <w:rPr>
          <w:rFonts w:hint="eastAsia" w:cs="黑体" w:asciiTheme="minorEastAsia" w:hAnsiTheme="minorEastAsia" w:eastAsiaTheme="minorEastAsia"/>
          <w:bCs/>
          <w:shd w:val="clear" w:color="auto" w:fill="FFFFFF"/>
          <w:lang w:eastAsia="zh-CN"/>
        </w:rPr>
        <w:t>许昌市公安局</w:t>
      </w:r>
    </w:p>
    <w:p>
      <w:pPr>
        <w:adjustRightInd w:val="0"/>
        <w:spacing w:line="360" w:lineRule="auto"/>
        <w:ind w:firstLine="840" w:firstLineChars="400"/>
        <w:contextualSpacing/>
        <w:jc w:val="right"/>
        <w:rPr>
          <w:rFonts w:hint="eastAsia" w:cs="黑体" w:asciiTheme="minorEastAsia" w:hAnsiTheme="minorEastAsia" w:eastAsiaTheme="minorEastAsia"/>
          <w:bCs/>
          <w:shd w:val="clear" w:color="auto" w:fill="FFFFFF"/>
          <w:lang w:eastAsia="zh-CN"/>
        </w:rPr>
      </w:pPr>
      <w:r>
        <w:rPr>
          <w:rFonts w:hint="eastAsia" w:cs="黑体" w:asciiTheme="minorEastAsia" w:hAnsiTheme="minorEastAsia" w:eastAsiaTheme="minorEastAsia"/>
          <w:bCs/>
          <w:shd w:val="clear" w:color="auto" w:fill="FFFFFF"/>
          <w:lang w:val="en-US" w:eastAsia="zh-CN"/>
        </w:rPr>
        <w:t>二〇一九年五月十七日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344"/>
        <w:gridCol w:w="4326"/>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34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32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34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办公桌</w:t>
            </w:r>
          </w:p>
        </w:tc>
        <w:tc>
          <w:tcPr>
            <w:tcW w:w="432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1400*700*760（MM）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1、▲台面：采用E1级三聚氰胺板，基材采用实木颗粒板；2、封边：采用2.0PVC材质；3、五金配件：采用优质五金配件。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34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会议桌</w:t>
            </w:r>
          </w:p>
        </w:tc>
        <w:tc>
          <w:tcPr>
            <w:tcW w:w="432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7000*2000*760（MM）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1、▲饰面：优质一级胡桃木皮饰面，木皮厚度≥0.6mm，封边用材与贴面用材种类相同或与之相搭配的实木木材；2、基材：采用AAA级环保型高密度板；3、油漆：采用优质油漆；4、五金配件：采用优质五金配件。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134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长条桌</w:t>
            </w:r>
          </w:p>
        </w:tc>
        <w:tc>
          <w:tcPr>
            <w:tcW w:w="432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1200*420*760（MM）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1、饰面：优质一级胡桃木皮饰面，木皮厚度≥0.6mm，封边用材与贴面用材种类相同或与之相搭配的实木木材；2、基材：采用AAA级环保型高密度板；3、油漆：采用优质油漆；4、五金配件：采用优质五金配件。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茶水柜</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800*420*850（MM）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1、饰面：优质一级胡桃木皮饰面，木皮厚度≥0.6mm，封边用材与贴面用材种类相同或与之相搭配的实木木材；2、基材：采用AAA级环保型高密度板；3、油漆：采用优质油漆；4、五金配件：采用优质五金配件。</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个</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四门衣柜</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1100*600*2100（MM）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1、▲饰面：优质一级胡桃木皮饰面，木皮厚度≥0.6mm，封边用材与贴面用材种类相同或与之相搭配的实木木材；2、基材：采用AAA级环保型高密度板；3、油漆：采用优质油漆；4、五金配件：采用优质五金配件。</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组</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19</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办公椅</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520*520*970（MM）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用料：优质黑色超纤维皮饰面，耐磨性强，阻燃，经防污处理，皮面光泽度好，透气性强，柔软而富有韧性；2、内材：采用高密度回弹海绵，经防氧化处理，软硬度适中，回弹性好；3、框架：优质桦木实木框架。</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35</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7</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会议椅</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650*650*1100（MM）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用料：优质黑色超纤维皮饰面，耐磨性强，阻燃，经防污处理，皮面光泽度好，透气性强，柔软而富有韧性；2、内材：采用高密度回弹海绵，经防氧化处理，软硬度适中，回弹性好；3、框架：优质桦木实木框架。</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24</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8</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会议椅</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600*500*1000（MM）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用料：优质黑色超纤维皮饰面，耐磨性强，阻燃，经防污处理，皮面光泽度好，透气性强，柔软而富有韧性；2、内材：采用高密度回弹海绵，经防氧化处理，软硬度适中，回弹性好；3、框架：优质桦木实木框架。</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12</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9</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餐椅</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650*650*1100（MM）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用料：优质黑色超纤维皮饰面，耐磨性强，阻燃，经防污处理，皮面光泽度好，透气性强，柔软而富有韧性；2、内材：采用高密度回弹海绵，经防氧化处理，软硬度适中，回弹性好；3、框架：优质桦木实木框架。</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100</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10</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会议椅</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600*550*1000（MM）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1、▲饰面用料：网面，耐磨性强，阻燃，经防污处理，透气性强，柔软而富有韧性；2、内材：采用高密度回弹海绵，经防氧化处理，软硬度适中，回弹性好；3、脚架：弓形脚。</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14</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11</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单人床</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2200*1200*1100（MM）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1、▲基材：采用E1级三聚氰胺板，基材采用实木颗粒板；2、结构：床箱落地，一端为抽屉，另一端为箱式可储物。3、封边：采用2.0PVC材质；4、五金配件：采用优质五金配件。</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25</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12</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床头柜</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500*550*500（MM）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1、▲台面：采用E1级三聚氰胺板，基材采用实木颗粒板；2、封边：采用2.0PVC材质；3、五金配件：采用优质五金配件。</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个</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25</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13</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床垫</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2000*1200*80（MM）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1、▲基材：采用厚度为80mm优质一级天然棕，2、面料：优质纯绵布；</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35</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14</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高低床</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2000*900*1800（MM）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1、床头立柱：40*40*1.5mm方钢管四根；2、床头横撑及立撑管：25*25*1.2mm方钢管；3、床框：30*50*1.5mm方钢管；4、床板：采用实木多层板，厚度不小于15mm。</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套</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15</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八门更</w:t>
            </w:r>
          </w:p>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衣柜</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1100*600*2100（MM）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1、台面：采用E1级三聚氰胺板，基材采用实木颗粒板；2、封边：采用2.0PVC材质；3、五金配件：采用优质五金配件。</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组</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16</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书柜</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850*400*1800（MM）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1、台面：采用E1级三聚氰胺板，基材采用实木颗粒板；2、封边：采用2.0PVC材质；3、五金配件：采用优质五金配件。</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组</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17</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货架</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2000*600*2000（MM）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1、▲基材：优质一级冷轧钢板，层板厚度≥0.8mm，立柱和横梁厚度≥1.5mm；2、结构：标配四层板；3、商品特性：结构系统符合GB/T13667.3-92.表面涂层坚固耐用，耐冲压，耐腐蚀，整洁美观，不易燃、防潮不变形。</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35</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18</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餐桌</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2000*2000*780（MM）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1、▲基材：采用厚度为25mm优质一级橡木实木板；2、油漆：采用优质油漆；3、五金配件：采用优质五金配件。</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10</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19</w:t>
            </w:r>
          </w:p>
        </w:tc>
        <w:tc>
          <w:tcPr>
            <w:tcW w:w="134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会议桌</w:t>
            </w:r>
          </w:p>
        </w:tc>
        <w:tc>
          <w:tcPr>
            <w:tcW w:w="4326"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3600*1200*760（MM）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1、▲台面：采用E1级三聚氰胺板，基材采用实木颗粒板；2、封边：采用2.0PVC材质；3、五金配件：采用优质一级冷轧钢板，厚度为1.5MM。</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600" w:firstLineChars="25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办公家具及辅材的有害物质定量要执行以下四项含有强制性条款的国家标准：GB18580-2017《室内装</w:t>
      </w:r>
      <w:bookmarkStart w:id="14" w:name="_GoBack"/>
      <w:bookmarkEnd w:id="14"/>
      <w:r>
        <w:rPr>
          <w:rFonts w:hint="eastAsia" w:cs="仿宋_GB2312" w:asciiTheme="minorEastAsia" w:hAnsiTheme="minorEastAsia"/>
          <w:sz w:val="24"/>
          <w:szCs w:val="24"/>
          <w:lang w:val="zh-CN"/>
        </w:rPr>
        <w:t>饰装饰资料人造板及其制品中甲醛开释量定量》、GB18581-2009《室内装饰装饰资料溶合型木器涂料中有害物质定量》、GB18583-2008《室内装饰装饰资料胶黏剂中有害物质定量》、GB18584-2015《室内装饰装饰资料木办公家具中有害物质定量》。</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三、采购标的的其他技术、服务等要求</w:t>
      </w:r>
    </w:p>
    <w:p>
      <w:pPr>
        <w:numPr>
          <w:ilvl w:val="0"/>
          <w:numId w:val="0"/>
        </w:numPr>
        <w:wordWrap w:val="0"/>
        <w:topLinePunct/>
        <w:spacing w:line="360" w:lineRule="auto"/>
        <w:ind w:firstLine="480" w:firstLineChars="200"/>
        <w:rPr>
          <w:rFonts w:hint="eastAsia" w:ascii="宋体" w:cs="宋体"/>
          <w:b/>
          <w:sz w:val="24"/>
          <w:highlight w:val="none"/>
          <w:lang w:val="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投标</w:t>
      </w:r>
      <w:r>
        <w:rPr>
          <w:rFonts w:hint="eastAsia" w:ascii="宋体" w:cs="宋体"/>
          <w:sz w:val="24"/>
          <w:highlight w:val="none"/>
          <w:lang w:val="zh-CN"/>
        </w:rPr>
        <w:t>人须明确投标产品的厂家、产地、品牌、型号、详细参数，</w:t>
      </w:r>
      <w:r>
        <w:rPr>
          <w:rFonts w:hint="eastAsia" w:ascii="宋体" w:cs="宋体"/>
          <w:b/>
          <w:sz w:val="24"/>
          <w:highlight w:val="none"/>
          <w:lang w:val="zh-CN"/>
        </w:rPr>
        <w:t>否则为无效投标。</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投标人应提供绿色环保办公家具，所使用的主辅材料应符合国家环保标准。投标人应提供办公家具材质清单。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rPr>
        <w:t xml:space="preserve">质保期壹年满后，若有零部件出现故障，则由中标人负责维修，维修费用不高于市场价格。 </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rPr>
        <w:t>中标人交货后，若设备发生故障，中标人应在采购人报修后4小时内到达。</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6、</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7、</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215000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215000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2、支付时间及条件：中标人货物安装完成交付使用并验收合格支付合同款的95%，保修期满无质量问题支付合同款的5%。</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项目名称：办公家具购置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076</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项目内容：办公桌35张、会议桌19组、长条桌6张等</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ascii="宋体" w:hAnsi="宋体" w:cs="仿宋_GB2312"/>
                <w:color w:val="000000"/>
                <w:sz w:val="21"/>
                <w:szCs w:val="21"/>
                <w:shd w:val="clear" w:color="auto" w:fill="FFFFFF"/>
                <w:lang w:val="en-US" w:eastAsia="zh-CN"/>
              </w:rPr>
              <w:t>许昌市公安局特殊警务支队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许昌市公安局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地址：许昌市劳动路与天宝路交叉口向北1000米（老看守所院内）</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联系人：苏亚培                    电话：18637460678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215000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一</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金额：肆仟元（¥ </w:t>
            </w:r>
            <w:r>
              <w:rPr>
                <w:rFonts w:hint="eastAsia" w:cs="仿宋_GB2312" w:asciiTheme="minorEastAsia" w:hAnsiTheme="minorEastAsia"/>
                <w:szCs w:val="21"/>
                <w:lang w:val="en-US" w:eastAsia="zh-CN"/>
              </w:rPr>
              <w:t>4000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33</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28</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9</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33</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24</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投标人2015年以来具有类似项目业绩，合同及验收报告齐全的，每份得4分，满分24分。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企业认证</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生产厂家具有木质类家具的中国环保产品认证证书，得2分。</w:t>
            </w:r>
          </w:p>
          <w:p>
            <w:pPr>
              <w:spacing w:line="360" w:lineRule="auto"/>
              <w:rPr>
                <w:rFonts w:hint="eastAsia" w:asciiTheme="minorEastAsia" w:hAnsiTheme="minorEastAsia"/>
                <w:szCs w:val="21"/>
              </w:rPr>
            </w:pPr>
            <w:r>
              <w:rPr>
                <w:rFonts w:hint="eastAsia" w:asciiTheme="minorEastAsia" w:hAnsiTheme="minorEastAsia"/>
                <w:szCs w:val="21"/>
              </w:rPr>
              <w:t>2. 生产厂家具有质量管理体系认证证书，得2分。</w:t>
            </w:r>
          </w:p>
          <w:p>
            <w:pPr>
              <w:spacing w:line="360" w:lineRule="auto"/>
              <w:rPr>
                <w:rFonts w:hint="eastAsia" w:asciiTheme="minorEastAsia" w:hAnsiTheme="minorEastAsia"/>
                <w:szCs w:val="21"/>
              </w:rPr>
            </w:pPr>
            <w:r>
              <w:rPr>
                <w:rFonts w:hint="eastAsia" w:asciiTheme="minorEastAsia" w:hAnsiTheme="minorEastAsia"/>
                <w:szCs w:val="21"/>
              </w:rPr>
              <w:t>3. 生产厂家具有环境管理体系认证证书，得2分。</w:t>
            </w:r>
          </w:p>
          <w:p>
            <w:pPr>
              <w:spacing w:line="360" w:lineRule="auto"/>
              <w:rPr>
                <w:rFonts w:hint="eastAsia" w:asciiTheme="minorEastAsia" w:hAnsiTheme="minorEastAsia"/>
                <w:szCs w:val="21"/>
                <w:lang w:val="zh-CN"/>
              </w:rPr>
            </w:pPr>
            <w:r>
              <w:rPr>
                <w:rFonts w:hint="eastAsia" w:asciiTheme="minorEastAsia" w:hAnsiTheme="minorEastAsia"/>
                <w:szCs w:val="21"/>
              </w:rPr>
              <w:t>【生产厂家在投标文件中提供：中国国家认证认可监督管理委员会（www.cnca.gov.cn）或中国质量认证中心（www.cqc.com.cn）网上公布的证书，截图证明或查询网址。】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Theme="minorEastAsia" w:hAnsiTheme="minorEastAsia"/>
                <w:szCs w:val="21"/>
              </w:rPr>
              <w:t>投标人提供2016年1月1日以来信用评级机构出具的有效的企业信用报告，等级为AAA级的得3分，等级为AA级的得2分，等级为A级的得1分。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Times New Roman"/>
                <w:szCs w:val="21"/>
              </w:rPr>
              <w:t>分）</w:t>
            </w:r>
          </w:p>
        </w:tc>
        <w:tc>
          <w:tcPr>
            <w:tcW w:w="6095" w:type="dxa"/>
            <w:tcBorders>
              <w:right w:val="single" w:color="auto" w:sz="4" w:space="0"/>
            </w:tcBorders>
            <w:vAlign w:val="center"/>
          </w:tcPr>
          <w:p>
            <w:pPr>
              <w:tabs>
                <w:tab w:val="left" w:pos="1260"/>
              </w:tabs>
              <w:autoSpaceDE w:val="0"/>
              <w:autoSpaceDN w:val="0"/>
              <w:spacing w:line="360" w:lineRule="auto"/>
              <w:contextualSpacing/>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不满足招标文件技术指标要求和商务条款规定的为无效投标。</w:t>
            </w:r>
          </w:p>
          <w:p>
            <w:pPr>
              <w:tabs>
                <w:tab w:val="left" w:pos="1260"/>
              </w:tabs>
              <w:autoSpaceDE w:val="0"/>
              <w:autoSpaceDN w:val="0"/>
              <w:spacing w:line="360" w:lineRule="auto"/>
              <w:contextualSpacing/>
              <w:rPr>
                <w:rFonts w:ascii="宋体" w:hAnsi="宋体" w:eastAsia="宋体" w:cs="Times New Roman"/>
                <w:szCs w:val="21"/>
              </w:rPr>
            </w:pPr>
            <w:r>
              <w:rPr>
                <w:rFonts w:hint="eastAsia" w:asciiTheme="minorEastAsia" w:hAnsiTheme="minorEastAsia"/>
                <w:szCs w:val="21"/>
                <w:lang w:val="en-US" w:eastAsia="zh-CN"/>
              </w:rPr>
              <w:t>2、</w:t>
            </w:r>
            <w:r>
              <w:rPr>
                <w:rFonts w:hint="eastAsia" w:asciiTheme="minorEastAsia" w:hAnsiTheme="minorEastAsia"/>
                <w:szCs w:val="21"/>
              </w:rPr>
              <w:t>投标人标▲参数优于招标文件货物需求中产品技术参数的，每一项加2分，满分为28分。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hint="eastAsia" w:asciiTheme="minorEastAsia" w:hAnsiTheme="minorEastAsia"/>
                <w:szCs w:val="21"/>
              </w:rPr>
            </w:pPr>
            <w:r>
              <w:rPr>
                <w:rFonts w:hint="eastAsia" w:asciiTheme="minorEastAsia" w:hAnsiTheme="minorEastAsia"/>
                <w:szCs w:val="21"/>
              </w:rPr>
              <w:t>1.解决问题时间以小时为单位，以4小时为起点，每减少1小时加1分，总分3分；</w:t>
            </w:r>
          </w:p>
          <w:p>
            <w:pPr>
              <w:tabs>
                <w:tab w:val="left" w:pos="1260"/>
              </w:tabs>
              <w:autoSpaceDE w:val="0"/>
              <w:autoSpaceDN w:val="0"/>
              <w:spacing w:line="360" w:lineRule="auto"/>
              <w:contextualSpacing/>
              <w:rPr>
                <w:rFonts w:hint="eastAsia" w:asciiTheme="minorEastAsia" w:hAnsiTheme="minorEastAsia"/>
                <w:szCs w:val="21"/>
              </w:rPr>
            </w:pPr>
            <w:r>
              <w:rPr>
                <w:rFonts w:hint="eastAsia" w:asciiTheme="minorEastAsia" w:hAnsiTheme="minorEastAsia"/>
                <w:szCs w:val="21"/>
              </w:rPr>
              <w:t>2.免费保修时间以年为单位，以1年为起点，基础分1分，每增加1年加1分，满分3分。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hint="eastAsia" w:asciiTheme="minorEastAsia" w:hAnsiTheme="minorEastAsia"/>
                <w:szCs w:val="21"/>
              </w:rPr>
            </w:pPr>
            <w:r>
              <w:rPr>
                <w:rFonts w:hint="eastAsia" w:asciiTheme="minorEastAsia" w:hAnsiTheme="minorEastAsia"/>
                <w:szCs w:val="21"/>
              </w:rPr>
              <w:t>装订规范、文字清晰、无差错得1分，所提供资料准确完整得2分。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highlight w:val="none"/>
        </w:rPr>
      </w:pPr>
      <w:r>
        <w:rPr>
          <w:rFonts w:hint="eastAsia" w:ascii="宋体" w:hAnsi="宋体" w:cs="微软雅黑"/>
          <w:b/>
          <w:bCs/>
          <w:szCs w:val="21"/>
        </w:rPr>
        <w:t>（此合同仅供</w:t>
      </w:r>
      <w:r>
        <w:rPr>
          <w:rFonts w:hint="eastAsia" w:ascii="宋体" w:hAnsi="宋体" w:cs="微软雅黑"/>
          <w:b/>
          <w:bCs/>
          <w:szCs w:val="21"/>
          <w:highlight w:val="none"/>
        </w:rPr>
        <w:t>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rPr>
          <w:rFonts w:ascii="微软雅黑" w:hAnsi="微软雅黑" w:eastAsia="微软雅黑"/>
          <w:color w:val="000000"/>
          <w:sz w:val="27"/>
          <w:szCs w:val="27"/>
          <w:highlight w:val="none"/>
        </w:rPr>
      </w:pPr>
      <w:r>
        <w:rPr>
          <w:rFonts w:ascii="宋体" w:hAnsi="宋体" w:eastAsia="微软雅黑"/>
          <w:color w:val="000000"/>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hint="eastAsia" w:asciiTheme="minorEastAsia" w:hAnsiTheme="minorEastAsia" w:eastAsiaTheme="minorEastAsia"/>
          <w:color w:val="000000"/>
          <w:sz w:val="21"/>
          <w:szCs w:val="21"/>
          <w:highlight w:val="none"/>
          <w:lang w:eastAsia="zh-CN"/>
        </w:rPr>
      </w:pPr>
      <w:r>
        <w:rPr>
          <w:rFonts w:asciiTheme="minorEastAsia" w:hAnsiTheme="minorEastAsia" w:eastAsiaTheme="minorEastAsia"/>
          <w:color w:val="000000"/>
          <w:sz w:val="21"/>
          <w:szCs w:val="21"/>
          <w:highlight w:val="none"/>
        </w:rPr>
        <w:t>15.3合同生效：自签订之日起生效</w:t>
      </w:r>
      <w:r>
        <w:rPr>
          <w:rFonts w:hint="eastAsia" w:asciiTheme="minorEastAsia" w:hAnsiTheme="minorEastAsia" w:eastAsiaTheme="minorEastAsia"/>
          <w:color w:val="000000"/>
          <w:sz w:val="21"/>
          <w:szCs w:val="21"/>
          <w:highlight w:val="none"/>
          <w:lang w:eastAsia="zh-CN"/>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单位负责人：                     单位负责人：</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84023138"/>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3"/>
      <w:bookmarkStart w:id="13" w:name="OLE_LINK14"/>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8"/>
  </w:num>
  <w:num w:numId="8">
    <w:abstractNumId w:val="4"/>
  </w:num>
  <w:num w:numId="9">
    <w:abstractNumId w:val="5"/>
  </w:num>
  <w:num w:numId="10">
    <w:abstractNumId w:val="16"/>
  </w:num>
  <w:num w:numId="11">
    <w:abstractNumId w:val="10"/>
  </w:num>
  <w:num w:numId="12">
    <w:abstractNumId w:val="15"/>
  </w:num>
  <w:num w:numId="13">
    <w:abstractNumId w:val="3"/>
  </w:num>
  <w:num w:numId="14">
    <w:abstractNumId w:val="6"/>
  </w:num>
  <w:num w:numId="15">
    <w:abstractNumId w:val="11"/>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3EA15C2"/>
    <w:rsid w:val="057B354B"/>
    <w:rsid w:val="10E64FA4"/>
    <w:rsid w:val="13464CFF"/>
    <w:rsid w:val="13F72A9C"/>
    <w:rsid w:val="1E633E2C"/>
    <w:rsid w:val="1EC1311C"/>
    <w:rsid w:val="23BE10D0"/>
    <w:rsid w:val="24B74BCD"/>
    <w:rsid w:val="279B317D"/>
    <w:rsid w:val="29897B83"/>
    <w:rsid w:val="2BA0617A"/>
    <w:rsid w:val="2F777CC9"/>
    <w:rsid w:val="33BC3DF7"/>
    <w:rsid w:val="3443785C"/>
    <w:rsid w:val="457819F8"/>
    <w:rsid w:val="4841585F"/>
    <w:rsid w:val="4FD23284"/>
    <w:rsid w:val="5B1F0BB5"/>
    <w:rsid w:val="642B11B3"/>
    <w:rsid w:val="6A5F2AA7"/>
    <w:rsid w:val="6D5F6C93"/>
    <w:rsid w:val="757D07F4"/>
    <w:rsid w:val="78735A1C"/>
    <w:rsid w:val="79A9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2</TotalTime>
  <ScaleCrop>false</ScaleCrop>
  <LinksUpToDate>false</LinksUpToDate>
  <CharactersWithSpaces>37441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许昌市公共资源交易中心:杨丹丹（备用2）</cp:lastModifiedBy>
  <cp:lastPrinted>2019-04-28T07:36:00Z</cp:lastPrinted>
  <dcterms:modified xsi:type="dcterms:W3CDTF">2019-05-17T07:46:56Z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