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9707B" w14:textId="77777777" w:rsidR="008947D7" w:rsidRDefault="008947D7" w:rsidP="008947D7">
      <w:pPr>
        <w:spacing w:line="500" w:lineRule="exact"/>
        <w:jc w:val="center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投标报价一览表</w:t>
      </w:r>
    </w:p>
    <w:p w14:paraId="49CD0616" w14:textId="77777777" w:rsidR="008947D7" w:rsidRDefault="008947D7" w:rsidP="008947D7">
      <w:pPr>
        <w:spacing w:line="500" w:lineRule="exact"/>
        <w:rPr>
          <w:rFonts w:ascii="仿宋" w:eastAsia="仿宋" w:hAnsi="仿宋" w:cs="仿宋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7082"/>
      </w:tblGrid>
      <w:tr w:rsidR="008947D7" w14:paraId="5CBD7AEB" w14:textId="77777777" w:rsidTr="00CC0078">
        <w:trPr>
          <w:cantSplit/>
          <w:trHeight w:val="653"/>
        </w:trPr>
        <w:tc>
          <w:tcPr>
            <w:tcW w:w="2102" w:type="dxa"/>
            <w:vAlign w:val="center"/>
          </w:tcPr>
          <w:p w14:paraId="596F46F1" w14:textId="77777777" w:rsidR="008947D7" w:rsidRDefault="008947D7" w:rsidP="00CC0078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项目名称</w:t>
            </w:r>
          </w:p>
        </w:tc>
        <w:tc>
          <w:tcPr>
            <w:tcW w:w="7082" w:type="dxa"/>
            <w:vAlign w:val="center"/>
          </w:tcPr>
          <w:p w14:paraId="1D017A4C" w14:textId="77777777" w:rsidR="008947D7" w:rsidRDefault="008947D7" w:rsidP="00CC0078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 w:rsidRPr="006D4755">
              <w:rPr>
                <w:rFonts w:ascii="仿宋" w:eastAsia="仿宋" w:hAnsi="仿宋" w:hint="eastAsia"/>
                <w:bCs/>
                <w:sz w:val="24"/>
                <w:szCs w:val="24"/>
              </w:rPr>
              <w:t>禹州市畜牧</w:t>
            </w:r>
            <w:proofErr w:type="gramStart"/>
            <w:r w:rsidRPr="006D4755">
              <w:rPr>
                <w:rFonts w:ascii="仿宋" w:eastAsia="仿宋" w:hAnsi="仿宋" w:hint="eastAsia"/>
                <w:bCs/>
                <w:sz w:val="24"/>
                <w:szCs w:val="24"/>
              </w:rPr>
              <w:t>局动物</w:t>
            </w:r>
            <w:proofErr w:type="gramEnd"/>
            <w:r w:rsidRPr="006D4755">
              <w:rPr>
                <w:rFonts w:ascii="仿宋" w:eastAsia="仿宋" w:hAnsi="仿宋" w:hint="eastAsia"/>
                <w:bCs/>
                <w:sz w:val="24"/>
                <w:szCs w:val="24"/>
              </w:rPr>
              <w:t>疫病检测仪器及试剂采购</w:t>
            </w:r>
            <w:r>
              <w:rPr>
                <w:rFonts w:ascii="仿宋" w:eastAsia="仿宋" w:hAnsi="仿宋" w:cs="仿宋_GB2312" w:hint="eastAsia"/>
                <w:sz w:val="24"/>
              </w:rPr>
              <w:t>项目</w:t>
            </w:r>
          </w:p>
        </w:tc>
      </w:tr>
      <w:tr w:rsidR="008947D7" w14:paraId="560E095D" w14:textId="77777777" w:rsidTr="00CC0078">
        <w:trPr>
          <w:cantSplit/>
          <w:trHeight w:val="508"/>
        </w:trPr>
        <w:tc>
          <w:tcPr>
            <w:tcW w:w="2102" w:type="dxa"/>
            <w:vAlign w:val="center"/>
          </w:tcPr>
          <w:p w14:paraId="6C2163E2" w14:textId="77777777" w:rsidR="008947D7" w:rsidRDefault="008947D7" w:rsidP="00CC0078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采购编号</w:t>
            </w:r>
          </w:p>
        </w:tc>
        <w:tc>
          <w:tcPr>
            <w:tcW w:w="7082" w:type="dxa"/>
            <w:vAlign w:val="center"/>
          </w:tcPr>
          <w:p w14:paraId="5801BF20" w14:textId="77777777" w:rsidR="008947D7" w:rsidRDefault="008947D7" w:rsidP="00CC0078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 w:rsidRPr="006D4755">
              <w:rPr>
                <w:rFonts w:ascii="仿宋" w:eastAsia="仿宋" w:hAnsi="仿宋" w:hint="eastAsia"/>
                <w:kern w:val="0"/>
                <w:sz w:val="24"/>
                <w:szCs w:val="24"/>
              </w:rPr>
              <w:t>YZCG-T20190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92</w:t>
            </w:r>
          </w:p>
        </w:tc>
      </w:tr>
      <w:tr w:rsidR="008947D7" w14:paraId="491E1126" w14:textId="77777777" w:rsidTr="00CC0078">
        <w:trPr>
          <w:cantSplit/>
          <w:trHeight w:val="878"/>
        </w:trPr>
        <w:tc>
          <w:tcPr>
            <w:tcW w:w="2102" w:type="dxa"/>
            <w:vAlign w:val="center"/>
          </w:tcPr>
          <w:p w14:paraId="738A0D59" w14:textId="77777777" w:rsidR="008947D7" w:rsidRDefault="008947D7" w:rsidP="00CC0078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谈判总报价</w:t>
            </w:r>
          </w:p>
        </w:tc>
        <w:tc>
          <w:tcPr>
            <w:tcW w:w="7082" w:type="dxa"/>
            <w:vAlign w:val="center"/>
          </w:tcPr>
          <w:p w14:paraId="122F0400" w14:textId="77777777" w:rsidR="008947D7" w:rsidRDefault="008947D7" w:rsidP="00CC0078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大写：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贰拾肆万伍仟捌佰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元整                     </w:t>
            </w:r>
          </w:p>
          <w:p w14:paraId="30B9206F" w14:textId="77777777" w:rsidR="008947D7" w:rsidRDefault="008947D7" w:rsidP="00CC0078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小写：2</w:t>
            </w:r>
            <w:r>
              <w:rPr>
                <w:rFonts w:ascii="仿宋" w:eastAsia="仿宋" w:hAnsi="仿宋" w:cs="仿宋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58</w:t>
            </w:r>
            <w:r>
              <w:rPr>
                <w:rFonts w:ascii="仿宋" w:eastAsia="仿宋" w:hAnsi="仿宋" w:cs="仿宋"/>
                <w:sz w:val="24"/>
                <w:szCs w:val="24"/>
              </w:rPr>
              <w:t>00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元                     </w:t>
            </w:r>
          </w:p>
        </w:tc>
      </w:tr>
      <w:tr w:rsidR="008947D7" w14:paraId="13908A9E" w14:textId="77777777" w:rsidTr="00CC0078">
        <w:trPr>
          <w:cantSplit/>
          <w:trHeight w:val="598"/>
        </w:trPr>
        <w:tc>
          <w:tcPr>
            <w:tcW w:w="2102" w:type="dxa"/>
            <w:vAlign w:val="center"/>
          </w:tcPr>
          <w:p w14:paraId="2184BBF1" w14:textId="77777777" w:rsidR="008947D7" w:rsidRDefault="008947D7" w:rsidP="00CC0078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供货日期</w:t>
            </w:r>
          </w:p>
        </w:tc>
        <w:tc>
          <w:tcPr>
            <w:tcW w:w="7082" w:type="dxa"/>
            <w:vAlign w:val="center"/>
          </w:tcPr>
          <w:p w14:paraId="7C2ADDEB" w14:textId="77777777" w:rsidR="008947D7" w:rsidRDefault="008947D7" w:rsidP="00CC0078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招标完成后1</w:t>
            </w:r>
            <w:r>
              <w:rPr>
                <w:rFonts w:ascii="仿宋" w:eastAsia="仿宋" w:hAnsi="仿宋" w:cs="仿宋"/>
                <w:sz w:val="24"/>
                <w:szCs w:val="24"/>
              </w:rPr>
              <w:t>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日内送到采购方指定地点</w:t>
            </w:r>
          </w:p>
        </w:tc>
      </w:tr>
      <w:tr w:rsidR="008947D7" w14:paraId="21D3FB89" w14:textId="77777777" w:rsidTr="00CC0078">
        <w:trPr>
          <w:cantSplit/>
          <w:trHeight w:val="513"/>
        </w:trPr>
        <w:tc>
          <w:tcPr>
            <w:tcW w:w="2102" w:type="dxa"/>
            <w:vAlign w:val="center"/>
          </w:tcPr>
          <w:p w14:paraId="2B2287D2" w14:textId="77777777" w:rsidR="008947D7" w:rsidRDefault="008947D7" w:rsidP="00CC0078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  <w:tc>
          <w:tcPr>
            <w:tcW w:w="7082" w:type="dxa"/>
            <w:vAlign w:val="center"/>
          </w:tcPr>
          <w:p w14:paraId="66C15482" w14:textId="77777777" w:rsidR="008947D7" w:rsidRDefault="008947D7" w:rsidP="00CC0078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14:paraId="5C65775B" w14:textId="77777777" w:rsidR="008947D7" w:rsidRDefault="008947D7" w:rsidP="008947D7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供应商名称（公章）：河南道融商贸有限公司</w:t>
      </w:r>
    </w:p>
    <w:p w14:paraId="3BA0CDED" w14:textId="77777777" w:rsidR="008947D7" w:rsidRDefault="008947D7" w:rsidP="008947D7">
      <w:pPr>
        <w:spacing w:line="500" w:lineRule="exact"/>
        <w:rPr>
          <w:rFonts w:ascii="仿宋" w:eastAsia="仿宋" w:hAnsi="仿宋" w:cs="仿宋"/>
          <w:sz w:val="24"/>
          <w:szCs w:val="24"/>
        </w:rPr>
      </w:pPr>
    </w:p>
    <w:p w14:paraId="2308DE35" w14:textId="77777777" w:rsidR="008947D7" w:rsidRDefault="008947D7" w:rsidP="008947D7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法定代表人 （或授权代表）签字：</w:t>
      </w:r>
    </w:p>
    <w:p w14:paraId="26415A51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        </w:t>
      </w:r>
    </w:p>
    <w:p w14:paraId="34329EB5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4CEE64A2" w14:textId="1F6AE825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         </w:t>
      </w:r>
      <w:r>
        <w:rPr>
          <w:rFonts w:ascii="仿宋" w:eastAsia="仿宋" w:hAnsi="仿宋" w:cs="仿宋"/>
          <w:sz w:val="24"/>
        </w:rPr>
        <w:t>2019</w:t>
      </w:r>
      <w:r>
        <w:rPr>
          <w:rFonts w:ascii="仿宋" w:eastAsia="仿宋" w:hAnsi="仿宋" w:cs="仿宋" w:hint="eastAsia"/>
          <w:sz w:val="24"/>
        </w:rPr>
        <w:t xml:space="preserve"> 年 </w:t>
      </w:r>
      <w:r>
        <w:rPr>
          <w:rFonts w:ascii="仿宋" w:eastAsia="仿宋" w:hAnsi="仿宋" w:cs="仿宋"/>
          <w:sz w:val="24"/>
        </w:rPr>
        <w:t>05</w:t>
      </w:r>
      <w:r>
        <w:rPr>
          <w:rFonts w:ascii="仿宋" w:eastAsia="仿宋" w:hAnsi="仿宋" w:cs="仿宋" w:hint="eastAsia"/>
          <w:sz w:val="24"/>
        </w:rPr>
        <w:t xml:space="preserve"> 月 </w:t>
      </w:r>
      <w:r>
        <w:rPr>
          <w:rFonts w:ascii="仿宋" w:eastAsia="仿宋" w:hAnsi="仿宋" w:cs="仿宋"/>
          <w:sz w:val="24"/>
        </w:rPr>
        <w:t>1</w:t>
      </w:r>
      <w:r>
        <w:rPr>
          <w:rFonts w:ascii="仿宋" w:eastAsia="仿宋" w:hAnsi="仿宋" w:cs="仿宋" w:hint="eastAsia"/>
          <w:sz w:val="24"/>
        </w:rPr>
        <w:t>7</w:t>
      </w:r>
      <w:r>
        <w:rPr>
          <w:rFonts w:ascii="仿宋" w:eastAsia="仿宋" w:hAnsi="仿宋" w:cs="仿宋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日</w:t>
      </w:r>
    </w:p>
    <w:p w14:paraId="7FA641F9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6D1DA3C2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5E703B4E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1FC21287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01B00E7B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512AEF28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39D7DAEC" w14:textId="7725C49E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仿宋"/>
          <w:sz w:val="24"/>
        </w:rPr>
      </w:pPr>
    </w:p>
    <w:p w14:paraId="7EF4E199" w14:textId="137FA2B2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仿宋"/>
          <w:sz w:val="24"/>
        </w:rPr>
      </w:pPr>
    </w:p>
    <w:p w14:paraId="229140BC" w14:textId="396D3D5F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仿宋"/>
          <w:sz w:val="24"/>
        </w:rPr>
      </w:pPr>
    </w:p>
    <w:p w14:paraId="2ED82D85" w14:textId="77777777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宋体" w:hint="eastAsia"/>
          <w:b/>
          <w:bCs/>
          <w:sz w:val="24"/>
          <w:szCs w:val="24"/>
          <w:lang w:val="zh-CN"/>
        </w:rPr>
      </w:pPr>
    </w:p>
    <w:p w14:paraId="0DD01A03" w14:textId="77777777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p w14:paraId="453D77AC" w14:textId="77777777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p w14:paraId="3DA5324E" w14:textId="77777777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p w14:paraId="21580753" w14:textId="6224ED01" w:rsidR="008947D7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sz w:val="24"/>
          <w:szCs w:val="24"/>
          <w:lang w:val="zh-CN"/>
        </w:rPr>
      </w:pPr>
      <w:r>
        <w:rPr>
          <w:rFonts w:ascii="仿宋" w:eastAsia="仿宋" w:hAnsi="仿宋" w:cs="宋体" w:hint="eastAsia"/>
          <w:b/>
          <w:bCs/>
          <w:sz w:val="24"/>
          <w:szCs w:val="24"/>
          <w:lang w:val="zh-CN"/>
        </w:rPr>
        <w:lastRenderedPageBreak/>
        <w:t>投标分项报价</w:t>
      </w:r>
      <w:r>
        <w:rPr>
          <w:rFonts w:ascii="仿宋" w:eastAsia="仿宋" w:hAnsi="仿宋" w:hint="eastAsia"/>
          <w:b/>
          <w:bCs/>
          <w:sz w:val="24"/>
          <w:szCs w:val="24"/>
        </w:rPr>
        <w:t>一</w:t>
      </w:r>
      <w:r>
        <w:rPr>
          <w:rFonts w:ascii="仿宋" w:eastAsia="仿宋" w:hAnsi="仿宋" w:cs="宋体" w:hint="eastAsia"/>
          <w:b/>
          <w:bCs/>
          <w:sz w:val="24"/>
          <w:szCs w:val="24"/>
          <w:lang w:val="zh-CN"/>
        </w:rPr>
        <w:t>览表</w:t>
      </w:r>
    </w:p>
    <w:tbl>
      <w:tblPr>
        <w:tblW w:w="9640" w:type="dxa"/>
        <w:tblInd w:w="-675" w:type="dxa"/>
        <w:tblLook w:val="04A0" w:firstRow="1" w:lastRow="0" w:firstColumn="1" w:lastColumn="0" w:noHBand="0" w:noVBand="1"/>
      </w:tblPr>
      <w:tblGrid>
        <w:gridCol w:w="695"/>
        <w:gridCol w:w="1385"/>
        <w:gridCol w:w="1309"/>
        <w:gridCol w:w="1089"/>
        <w:gridCol w:w="735"/>
        <w:gridCol w:w="794"/>
        <w:gridCol w:w="936"/>
        <w:gridCol w:w="936"/>
        <w:gridCol w:w="1761"/>
      </w:tblGrid>
      <w:tr w:rsidR="008947D7" w:rsidRPr="00B75DD8" w14:paraId="356FBD9F" w14:textId="77777777" w:rsidTr="00CC0078">
        <w:trPr>
          <w:trHeight w:val="612"/>
        </w:trPr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DC123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72838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名 称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EB146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品牌、规格及型号</w:t>
            </w:r>
          </w:p>
        </w:tc>
        <w:tc>
          <w:tcPr>
            <w:tcW w:w="10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3CED5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技术参数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2735B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单 位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049D1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数 量</w:t>
            </w:r>
          </w:p>
        </w:tc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CB603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单 价</w:t>
            </w:r>
          </w:p>
        </w:tc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57D3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总价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FF1D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产地及</w:t>
            </w:r>
          </w:p>
        </w:tc>
      </w:tr>
      <w:tr w:rsidR="008947D7" w:rsidRPr="00B75DD8" w14:paraId="3576B844" w14:textId="77777777" w:rsidTr="00CC0078">
        <w:trPr>
          <w:trHeight w:val="324"/>
        </w:trPr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A5E8C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9D5E8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01634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507219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6258A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AEDA9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C2DA8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067E4" w14:textId="77777777" w:rsidR="008947D7" w:rsidRPr="00B75DD8" w:rsidRDefault="008947D7" w:rsidP="00CC007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E51D8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厂家</w:t>
            </w:r>
          </w:p>
        </w:tc>
      </w:tr>
      <w:tr w:rsidR="008947D7" w:rsidRPr="00B75DD8" w14:paraId="4D76AC33" w14:textId="77777777" w:rsidTr="00CC0078">
        <w:trPr>
          <w:trHeight w:val="960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7D8A7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F513D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便携式荧光定量PCR仪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C7171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洛阳现代；M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IC qPCR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8E58D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详见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投标</w:t>
            </w: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偏离表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B2278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6440A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D0395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0</w:t>
            </w: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3DB3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0</w:t>
            </w: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EDC50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河南洛阳；洛阳现代生物技术研究院有限公司</w:t>
            </w:r>
          </w:p>
        </w:tc>
      </w:tr>
      <w:tr w:rsidR="008947D7" w:rsidRPr="00B75DD8" w14:paraId="51BC27B9" w14:textId="77777777" w:rsidTr="00CC0078">
        <w:trPr>
          <w:trHeight w:val="996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8F0C6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9CA60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非洲猪瘟病毒检测试剂盒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594AD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普生； 48反应/盒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5757B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8D836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B5200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5C7A7" w14:textId="567B5EB0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942F6" w14:textId="7BF1240F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38000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A36C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河南洛阳；洛阳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生信息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科技有限公司</w:t>
            </w:r>
          </w:p>
        </w:tc>
      </w:tr>
      <w:tr w:rsidR="008947D7" w:rsidRPr="00B75DD8" w14:paraId="644AAAC0" w14:textId="77777777" w:rsidTr="00CC0078">
        <w:trPr>
          <w:trHeight w:val="984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B49B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7454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猪瘟病毒检测试剂盒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08213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普生； 48反应/盒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AD84A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84A00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C7E8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0DAF5" w14:textId="1E82491D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D460" w14:textId="5E2A8906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19000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4BF5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河南洛阳；洛阳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生信息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科技有限公司</w:t>
            </w:r>
          </w:p>
        </w:tc>
      </w:tr>
      <w:tr w:rsidR="008947D7" w:rsidRPr="00B75DD8" w14:paraId="0D344FC3" w14:textId="77777777" w:rsidTr="00CC0078">
        <w:trPr>
          <w:trHeight w:val="960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58329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7596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高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致病性猪蓝耳病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病毒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CF673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普生； 48反应/盒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77663" w14:textId="77777777" w:rsidR="008947D7" w:rsidRPr="00B75DD8" w:rsidRDefault="008947D7" w:rsidP="00CC007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5A149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47F5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A6510" w14:textId="51C0197C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3CF3B" w14:textId="1CA47045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1940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20205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河南洛阳；洛阳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生信息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科技有限公司</w:t>
            </w:r>
          </w:p>
        </w:tc>
      </w:tr>
      <w:tr w:rsidR="008947D7" w:rsidRPr="00B75DD8" w14:paraId="3FD3FE6C" w14:textId="77777777" w:rsidTr="00CC0078">
        <w:trPr>
          <w:trHeight w:val="936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4AC6E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7C178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口蹄疫病毒通用型核酸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5D357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普生； 48反应/盒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973AB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73066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8AB9F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CC230" w14:textId="0BD60242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27398" w14:textId="551B11E3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0</w:t>
            </w: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964FD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河南洛阳；洛阳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莱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</w:t>
            </w:r>
            <w:proofErr w:type="gramStart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生信息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科技有限公司</w:t>
            </w:r>
          </w:p>
        </w:tc>
      </w:tr>
      <w:tr w:rsidR="008947D7" w:rsidRPr="00B75DD8" w14:paraId="005DCDD2" w14:textId="77777777" w:rsidTr="00CC0078">
        <w:trPr>
          <w:trHeight w:val="636"/>
        </w:trPr>
        <w:tc>
          <w:tcPr>
            <w:tcW w:w="2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5E22" w14:textId="77777777" w:rsidR="008947D7" w:rsidRPr="00B75DD8" w:rsidRDefault="008947D7" w:rsidP="00CC007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  计</w:t>
            </w:r>
          </w:p>
        </w:tc>
        <w:tc>
          <w:tcPr>
            <w:tcW w:w="75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C2394" w14:textId="43023E7F" w:rsidR="008947D7" w:rsidRPr="00B75DD8" w:rsidRDefault="008947D7" w:rsidP="00CC007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大写：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贰拾肆万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伍仟捌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佰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元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整</w:t>
            </w: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　</w:t>
            </w:r>
            <w:proofErr w:type="gramEnd"/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小写：24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58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00</w:t>
            </w:r>
            <w:r w:rsidRPr="00B75DD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元</w:t>
            </w:r>
          </w:p>
        </w:tc>
      </w:tr>
    </w:tbl>
    <w:p w14:paraId="29AD97BB" w14:textId="77777777" w:rsidR="008947D7" w:rsidRPr="00B75DD8" w:rsidRDefault="008947D7" w:rsidP="008947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sz w:val="24"/>
          <w:szCs w:val="24"/>
        </w:rPr>
      </w:pPr>
    </w:p>
    <w:p w14:paraId="03A29B62" w14:textId="77777777" w:rsidR="008947D7" w:rsidRDefault="008947D7" w:rsidP="008947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>供应商名称（公章）：河南道融商贸有限公司</w:t>
      </w:r>
    </w:p>
    <w:p w14:paraId="102FB42E" w14:textId="77777777" w:rsidR="008947D7" w:rsidRDefault="008947D7" w:rsidP="008947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</w:p>
    <w:p w14:paraId="0AE7BF85" w14:textId="3BDB4B29" w:rsidR="008947D7" w:rsidRDefault="008947D7" w:rsidP="008947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>投标人法定代表人</w:t>
      </w:r>
      <w:r>
        <w:rPr>
          <w:rFonts w:ascii="仿宋" w:eastAsia="仿宋" w:hAnsi="仿宋" w:cs="宋体"/>
          <w:sz w:val="24"/>
          <w:szCs w:val="24"/>
          <w:lang w:val="zh-CN"/>
        </w:rPr>
        <w:t xml:space="preserve"> </w:t>
      </w:r>
      <w:r>
        <w:rPr>
          <w:rFonts w:ascii="仿宋" w:eastAsia="仿宋" w:hAnsi="仿宋" w:cs="宋体" w:hint="eastAsia"/>
          <w:sz w:val="24"/>
          <w:szCs w:val="24"/>
          <w:lang w:val="zh-CN"/>
        </w:rPr>
        <w:t>（或授权代表）签字：</w:t>
      </w:r>
      <w:r>
        <w:rPr>
          <w:rFonts w:ascii="仿宋" w:eastAsia="仿宋" w:hAnsi="仿宋" w:cs="宋体"/>
          <w:sz w:val="24"/>
          <w:szCs w:val="24"/>
          <w:lang w:val="zh-CN"/>
        </w:rPr>
        <w:t xml:space="preserve"> </w:t>
      </w:r>
    </w:p>
    <w:p w14:paraId="66DF36EA" w14:textId="77777777" w:rsidR="008947D7" w:rsidRDefault="008947D7" w:rsidP="008947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</w:p>
    <w:p w14:paraId="223085C9" w14:textId="456B2E48" w:rsidR="008947D7" w:rsidRPr="008947D7" w:rsidRDefault="008947D7" w:rsidP="008947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 w:hint="eastAsia"/>
          <w:sz w:val="24"/>
          <w:szCs w:val="24"/>
          <w:lang w:val="zh-CN"/>
        </w:rPr>
      </w:pPr>
      <w:r w:rsidRPr="008947D7">
        <w:rPr>
          <w:rFonts w:ascii="仿宋" w:eastAsia="仿宋" w:hAnsi="仿宋" w:cs="宋体" w:hint="eastAsia"/>
          <w:sz w:val="28"/>
          <w:szCs w:val="28"/>
          <w:lang w:val="zh-CN"/>
        </w:rPr>
        <w:t>2019年05月17日</w:t>
      </w:r>
    </w:p>
    <w:p w14:paraId="125FB785" w14:textId="77777777" w:rsidR="008947D7" w:rsidRDefault="008947D7" w:rsidP="008947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14:paraId="4A14A4E9" w14:textId="3416F70E" w:rsidR="00BB26C7" w:rsidRDefault="00BB26C7"/>
    <w:p w14:paraId="7010B5A4" w14:textId="4C154173" w:rsidR="008947D7" w:rsidRDefault="008947D7"/>
    <w:p w14:paraId="667CAFC4" w14:textId="586FEDFC" w:rsidR="008947D7" w:rsidRDefault="008947D7"/>
    <w:p w14:paraId="5909B915" w14:textId="650E40FB" w:rsidR="008947D7" w:rsidRDefault="008947D7"/>
    <w:p w14:paraId="6EDFBBAA" w14:textId="182F6AD6" w:rsidR="008947D7" w:rsidRDefault="008947D7"/>
    <w:p w14:paraId="6E2253CE" w14:textId="35F5EB4A" w:rsidR="008947D7" w:rsidRDefault="008947D7"/>
    <w:p w14:paraId="36504DA0" w14:textId="41BEC180" w:rsidR="008947D7" w:rsidRDefault="008947D7"/>
    <w:p w14:paraId="314E95C3" w14:textId="2ED42718" w:rsidR="008947D7" w:rsidRDefault="008947D7">
      <w:pPr>
        <w:rPr>
          <w:rFonts w:hint="eastAsia"/>
        </w:rPr>
      </w:pPr>
    </w:p>
    <w:p w14:paraId="62168A73" w14:textId="15CA4FBF" w:rsidR="008947D7" w:rsidRDefault="008947D7">
      <w:pPr>
        <w:rPr>
          <w:rFonts w:hint="eastAsia"/>
        </w:rPr>
      </w:pPr>
    </w:p>
    <w:p w14:paraId="0D62106E" w14:textId="061D0EBA" w:rsidR="008947D7" w:rsidRDefault="008947D7"/>
    <w:p w14:paraId="36F28869" w14:textId="77777777" w:rsidR="008947D7" w:rsidRPr="00DB5373" w:rsidRDefault="008947D7" w:rsidP="008947D7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30"/>
          <w:szCs w:val="30"/>
        </w:rPr>
      </w:pPr>
      <w:r w:rsidRPr="00DB5373">
        <w:rPr>
          <w:rFonts w:ascii="仿宋" w:eastAsia="仿宋" w:hAnsi="仿宋" w:cs="仿宋" w:hint="eastAsia"/>
          <w:b/>
          <w:sz w:val="30"/>
          <w:szCs w:val="30"/>
        </w:rPr>
        <w:lastRenderedPageBreak/>
        <w:t>售后服务承诺</w:t>
      </w:r>
    </w:p>
    <w:p w14:paraId="1168009C" w14:textId="77777777" w:rsidR="008947D7" w:rsidRPr="00DB5373" w:rsidRDefault="008947D7" w:rsidP="008947D7">
      <w:pPr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致：禹州市政府采购中心</w:t>
      </w:r>
    </w:p>
    <w:p w14:paraId="5DEC19B1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非常荣幸能参加贵代理机构组织的禹州市畜牧</w:t>
      </w:r>
      <w:proofErr w:type="gramStart"/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局动物</w:t>
      </w:r>
      <w:proofErr w:type="gramEnd"/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疫病检测仪器及试剂采购项目的谈判，现我公司就货物质量保证及售后服务</w:t>
      </w:r>
      <w:proofErr w:type="gramStart"/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作出</w:t>
      </w:r>
      <w:proofErr w:type="gramEnd"/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如下承诺： 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br/>
        <w:t xml:space="preserve"> 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 xml:space="preserve">   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在我公司的服务工作过程中，我们将严格执行国家的有关法律法规，尊重并贯彻甲方的意见，维护甲方的利益，严把质量关，在项目服务过程中与甲方密切配合，想甲方之所想，急甲方之所急，随时随地提供全过程、全方位的服务。具体措施如下：</w:t>
      </w:r>
    </w:p>
    <w:p w14:paraId="45A27DE8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一、成立专项响应服务小组</w:t>
      </w:r>
    </w:p>
    <w:p w14:paraId="05C5089F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成立以总经理霍俊卿为组长的专项响应服务小组，明确</w:t>
      </w:r>
      <w:proofErr w:type="gramStart"/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具体响应</w:t>
      </w:r>
      <w:proofErr w:type="gramEnd"/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服务工作接头人，专人专责，全力保证本项目后续工作服务质量。</w:t>
      </w:r>
    </w:p>
    <w:p w14:paraId="72E87F58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响应服务小组组长 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 xml:space="preserve"> 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总经理霍俊卿 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 xml:space="preserve">  13513718380</w:t>
      </w:r>
    </w:p>
    <w:p w14:paraId="5C6A4D07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响应服务工程师 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 xml:space="preserve">   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岳鹏 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 xml:space="preserve">          13523559473</w:t>
      </w:r>
    </w:p>
    <w:p w14:paraId="7519DB55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响应服务工程师 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 xml:space="preserve">   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安晓鹏 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 xml:space="preserve">        17638118688</w:t>
      </w:r>
    </w:p>
    <w:p w14:paraId="7C004B41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响应服务小组工作地址：</w:t>
      </w:r>
      <w:r w:rsidRPr="00DB5373">
        <w:rPr>
          <w:rFonts w:ascii="仿宋" w:eastAsia="仿宋" w:hAnsi="仿宋" w:cs="仿宋" w:hint="eastAsia"/>
          <w:sz w:val="28"/>
          <w:szCs w:val="28"/>
        </w:rPr>
        <w:t>郑州市金水区农业路东</w:t>
      </w:r>
      <w:proofErr w:type="gramStart"/>
      <w:r w:rsidRPr="00DB5373">
        <w:rPr>
          <w:rFonts w:ascii="仿宋" w:eastAsia="仿宋" w:hAnsi="仿宋" w:cs="仿宋" w:hint="eastAsia"/>
          <w:sz w:val="28"/>
          <w:szCs w:val="28"/>
        </w:rPr>
        <w:t>2</w:t>
      </w:r>
      <w:r w:rsidRPr="00DB5373">
        <w:rPr>
          <w:rFonts w:ascii="仿宋" w:eastAsia="仿宋" w:hAnsi="仿宋" w:cs="仿宋"/>
          <w:sz w:val="28"/>
          <w:szCs w:val="28"/>
        </w:rPr>
        <w:t>3</w:t>
      </w:r>
      <w:r w:rsidRPr="00DB5373">
        <w:rPr>
          <w:rFonts w:ascii="仿宋" w:eastAsia="仿宋" w:hAnsi="仿宋" w:cs="仿宋" w:hint="eastAsia"/>
          <w:sz w:val="28"/>
          <w:szCs w:val="28"/>
        </w:rPr>
        <w:t>号豫星大厦</w:t>
      </w:r>
      <w:proofErr w:type="gramEnd"/>
      <w:r w:rsidRPr="00DB5373">
        <w:rPr>
          <w:rFonts w:ascii="仿宋" w:eastAsia="仿宋" w:hAnsi="仿宋" w:cs="仿宋" w:hint="eastAsia"/>
          <w:sz w:val="28"/>
          <w:szCs w:val="28"/>
        </w:rPr>
        <w:t>四、五楼4</w:t>
      </w:r>
      <w:r w:rsidRPr="00DB5373">
        <w:rPr>
          <w:rFonts w:ascii="仿宋" w:eastAsia="仿宋" w:hAnsi="仿宋" w:cs="仿宋"/>
          <w:sz w:val="28"/>
          <w:szCs w:val="28"/>
        </w:rPr>
        <w:t>12</w:t>
      </w:r>
      <w:r w:rsidRPr="00DB5373">
        <w:rPr>
          <w:rFonts w:ascii="仿宋" w:eastAsia="仿宋" w:hAnsi="仿宋" w:cs="仿宋" w:hint="eastAsia"/>
          <w:sz w:val="28"/>
          <w:szCs w:val="28"/>
        </w:rPr>
        <w:t>、5</w:t>
      </w:r>
      <w:r w:rsidRPr="00DB5373">
        <w:rPr>
          <w:rFonts w:ascii="仿宋" w:eastAsia="仿宋" w:hAnsi="仿宋" w:cs="仿宋"/>
          <w:sz w:val="28"/>
          <w:szCs w:val="28"/>
        </w:rPr>
        <w:t>12</w:t>
      </w:r>
      <w:r w:rsidRPr="00DB5373">
        <w:rPr>
          <w:rFonts w:ascii="仿宋" w:eastAsia="仿宋" w:hAnsi="仿宋" w:cs="仿宋" w:hint="eastAsia"/>
          <w:sz w:val="28"/>
          <w:szCs w:val="28"/>
        </w:rPr>
        <w:t>房间</w:t>
      </w:r>
    </w:p>
    <w:p w14:paraId="3253F4B9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二、维修服务</w:t>
      </w:r>
    </w:p>
    <w:p w14:paraId="59E03DA3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提供产品保修期内免费保修，同一质量问题连续两次维修仍无法正常使用，我公司免费更换同品牌、同型号的全新产品。超过保修期发生故障，甲方可自由选择维修单位，如委托给我公司，我公司无条件接受维修，并且维修费不超过市场平均价格。在出现故障时，我公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lastRenderedPageBreak/>
        <w:t>司接到通知后，服务人员6小时内响应到场。</w:t>
      </w:r>
    </w:p>
    <w:p w14:paraId="0AA98DA7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三、供货时间</w:t>
      </w:r>
    </w:p>
    <w:p w14:paraId="25AC07AD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若我公司就本项目谈判成功，与甲方签订供货合同后，1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>0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日内送货到甲方指定的送货地点，并负责完成调试及安装。</w:t>
      </w:r>
    </w:p>
    <w:p w14:paraId="53AF40AD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四、其他事项</w:t>
      </w:r>
    </w:p>
    <w:p w14:paraId="05511BF8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我公司保证甲方在使用我公司提供产品时，不受第三方提出侵犯其专利权、商标权和工业设计权的起诉。提供各项产品参数真实有效，符合谈判文件中采购规格要求。</w:t>
      </w:r>
    </w:p>
    <w:p w14:paraId="13AABAE2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</w:p>
    <w:p w14:paraId="17D03603" w14:textId="77777777" w:rsidR="008947D7" w:rsidRPr="00DB5373" w:rsidRDefault="008947D7" w:rsidP="008947D7">
      <w:pPr>
        <w:ind w:firstLineChars="200" w:firstLine="560"/>
        <w:rPr>
          <w:rFonts w:ascii="仿宋" w:eastAsia="仿宋" w:hAnsi="仿宋" w:cs="Arial"/>
          <w:color w:val="333333"/>
          <w:sz w:val="28"/>
          <w:szCs w:val="28"/>
        </w:rPr>
      </w:pPr>
    </w:p>
    <w:p w14:paraId="29B4D6A0" w14:textId="77777777" w:rsidR="008947D7" w:rsidRPr="00DB5373" w:rsidRDefault="008947D7" w:rsidP="008947D7">
      <w:pPr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承诺谈判人名称（加盖</w:t>
      </w:r>
      <w:hyperlink r:id="rId6" w:tgtFrame="_blank" w:history="1">
        <w:r w:rsidRPr="00DB5373">
          <w:rPr>
            <w:rFonts w:ascii="仿宋" w:eastAsia="仿宋" w:hAnsi="仿宋" w:cs="Arial" w:hint="eastAsia"/>
            <w:color w:val="3F88BF"/>
            <w:sz w:val="28"/>
            <w:szCs w:val="28"/>
          </w:rPr>
          <w:t>单位公章</w:t>
        </w:r>
      </w:hyperlink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）：</w:t>
      </w:r>
      <w:r>
        <w:rPr>
          <w:rFonts w:ascii="仿宋" w:eastAsia="仿宋" w:hAnsi="仿宋" w:cs="Arial" w:hint="eastAsia"/>
          <w:color w:val="333333"/>
          <w:sz w:val="28"/>
          <w:szCs w:val="28"/>
        </w:rPr>
        <w:t>河南道融商贸有限公司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 </w:t>
      </w:r>
    </w:p>
    <w:p w14:paraId="199A812F" w14:textId="77777777" w:rsidR="008947D7" w:rsidRPr="00DB5373" w:rsidRDefault="008947D7" w:rsidP="008947D7">
      <w:pPr>
        <w:rPr>
          <w:rFonts w:ascii="仿宋" w:eastAsia="仿宋" w:hAnsi="仿宋" w:cs="Arial"/>
          <w:color w:val="333333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br/>
        <w:t>承诺法定代表人或</w:t>
      </w:r>
      <w:hyperlink r:id="rId7" w:tgtFrame="_blank" w:history="1">
        <w:r w:rsidRPr="00DB5373">
          <w:rPr>
            <w:rFonts w:ascii="仿宋" w:eastAsia="仿宋" w:hAnsi="仿宋" w:cs="Arial" w:hint="eastAsia"/>
            <w:color w:val="3F88BF"/>
            <w:sz w:val="28"/>
            <w:szCs w:val="28"/>
          </w:rPr>
          <w:t>委托代理人</w:t>
        </w:r>
      </w:hyperlink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 xml:space="preserve">签名： </w:t>
      </w:r>
    </w:p>
    <w:p w14:paraId="575A9F5F" w14:textId="00CF4371" w:rsidR="008947D7" w:rsidRPr="00DB5373" w:rsidRDefault="008947D7" w:rsidP="008947D7">
      <w:pPr>
        <w:rPr>
          <w:rFonts w:ascii="仿宋" w:eastAsia="仿宋" w:hAnsi="仿宋" w:cstheme="minorBidi"/>
          <w:sz w:val="28"/>
          <w:szCs w:val="28"/>
        </w:rPr>
      </w:pP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br/>
        <w:t>谈判日期：2</w:t>
      </w:r>
      <w:r w:rsidRPr="00DB5373">
        <w:rPr>
          <w:rFonts w:ascii="仿宋" w:eastAsia="仿宋" w:hAnsi="仿宋" w:cs="Arial"/>
          <w:color w:val="333333"/>
          <w:sz w:val="28"/>
          <w:szCs w:val="28"/>
        </w:rPr>
        <w:t>019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年</w:t>
      </w:r>
      <w:r>
        <w:rPr>
          <w:rFonts w:ascii="仿宋" w:eastAsia="仿宋" w:hAnsi="仿宋" w:cs="Arial" w:hint="eastAsia"/>
          <w:color w:val="333333"/>
          <w:sz w:val="28"/>
          <w:szCs w:val="28"/>
        </w:rPr>
        <w:t>0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5月1</w:t>
      </w:r>
      <w:r>
        <w:rPr>
          <w:rFonts w:ascii="仿宋" w:eastAsia="仿宋" w:hAnsi="仿宋" w:cs="Arial" w:hint="eastAsia"/>
          <w:color w:val="333333"/>
          <w:sz w:val="28"/>
          <w:szCs w:val="28"/>
        </w:rPr>
        <w:t>6</w:t>
      </w:r>
      <w:r w:rsidRPr="00DB5373">
        <w:rPr>
          <w:rFonts w:ascii="仿宋" w:eastAsia="仿宋" w:hAnsi="仿宋" w:cs="Arial" w:hint="eastAsia"/>
          <w:color w:val="333333"/>
          <w:sz w:val="28"/>
          <w:szCs w:val="28"/>
        </w:rPr>
        <w:t>日</w:t>
      </w:r>
    </w:p>
    <w:p w14:paraId="4AA0DB4C" w14:textId="77777777" w:rsidR="008947D7" w:rsidRDefault="008947D7" w:rsidP="008947D7">
      <w:pPr>
        <w:spacing w:line="500" w:lineRule="exact"/>
        <w:outlineLvl w:val="0"/>
        <w:rPr>
          <w:rFonts w:ascii="仿宋" w:eastAsia="仿宋" w:hAnsi="仿宋" w:cs="仿宋"/>
          <w:b/>
          <w:sz w:val="24"/>
          <w:szCs w:val="24"/>
        </w:rPr>
      </w:pPr>
    </w:p>
    <w:p w14:paraId="23CAA2FB" w14:textId="2FDB2D82" w:rsidR="008947D7" w:rsidRDefault="008947D7">
      <w:bookmarkStart w:id="0" w:name="_GoBack"/>
      <w:bookmarkEnd w:id="0"/>
    </w:p>
    <w:p w14:paraId="066DA228" w14:textId="77777777" w:rsidR="008947D7" w:rsidRPr="008947D7" w:rsidRDefault="008947D7">
      <w:pPr>
        <w:rPr>
          <w:rFonts w:hint="eastAsia"/>
        </w:rPr>
      </w:pPr>
    </w:p>
    <w:sectPr w:rsidR="008947D7" w:rsidRPr="00894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558CF" w14:textId="77777777" w:rsidR="007D7827" w:rsidRDefault="007D7827" w:rsidP="008947D7">
      <w:r>
        <w:separator/>
      </w:r>
    </w:p>
  </w:endnote>
  <w:endnote w:type="continuationSeparator" w:id="0">
    <w:p w14:paraId="27455694" w14:textId="77777777" w:rsidR="007D7827" w:rsidRDefault="007D7827" w:rsidP="0089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C94D6" w14:textId="77777777" w:rsidR="007D7827" w:rsidRDefault="007D7827" w:rsidP="008947D7">
      <w:r>
        <w:separator/>
      </w:r>
    </w:p>
  </w:footnote>
  <w:footnote w:type="continuationSeparator" w:id="0">
    <w:p w14:paraId="42123425" w14:textId="77777777" w:rsidR="007D7827" w:rsidRDefault="007D7827" w:rsidP="00894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E5"/>
    <w:rsid w:val="000755E5"/>
    <w:rsid w:val="00473401"/>
    <w:rsid w:val="007D7827"/>
    <w:rsid w:val="008947D7"/>
    <w:rsid w:val="00BB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8F68A"/>
  <w15:chartTrackingRefBased/>
  <w15:docId w15:val="{3B7576C0-D5D2-4C98-9FDD-533BBBC9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7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47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47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47D7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8947D7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8947D7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idu.com/s?wd=%E5%A7%94%E6%89%98%E4%BB%A3%E7%90%86%E4%BA%BA&amp;tn=SE_PcZhidaonwhc_ngpagmjz&amp;rsv_dl=gh_pc_zhid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idu.com/s?wd=%E5%8D%95%E4%BD%8D%E5%85%AC%E7%AB%A0&amp;tn=SE_PcZhidaonwhc_ngpagmjz&amp;rsv_dl=gh_pc_zhida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hjq76</dc:creator>
  <cp:keywords/>
  <dc:description/>
  <cp:lastModifiedBy>hjq76</cp:lastModifiedBy>
  <cp:revision>2</cp:revision>
  <dcterms:created xsi:type="dcterms:W3CDTF">2019-05-17T02:15:00Z</dcterms:created>
  <dcterms:modified xsi:type="dcterms:W3CDTF">2019-05-17T02:15:00Z</dcterms:modified>
</cp:coreProperties>
</file>