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许昌市园林绿化管理处“纯电动多功能抑尘车”项目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069</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采购单位：许昌市园林绿化管理处</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（一）项目名称：纯电动多功能抑尘车</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069</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（四）项目主要内容、数量及要求：纯电动多功能抑尘车两台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300万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300万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：自合同生效后十日历天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（七）交付（服务、完工）地点：市园林处</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许昌市园林绿化管理处</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地址：许昌市劳动路1072号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联系人：毕丽华                 联系电话：0374-2775308</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许昌市园林绿化管理处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二〇一九年五月十六日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按照大气污染防治要求，采用环保除尘风送式喷雾机，定期对城市树木、绿篱叶面进行喷水冲洗，清除叶面积尘积灰，减少扬尘污染。</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p>
      <w:pPr>
        <w:pStyle w:val="3"/>
        <w:numPr>
          <w:ilvl w:val="1"/>
          <w:numId w:val="0"/>
        </w:numPr>
        <w:ind w:left="254" w:leftChars="0"/>
        <w:rPr>
          <w:rFonts w:hint="eastAsia" w:cs="仿宋_GB2312" w:asciiTheme="minorEastAsia" w:hAnsiTheme="minorEastAsia" w:eastAsiaTheme="minorEastAsia"/>
          <w:b w:val="0"/>
          <w:bCs w:val="0"/>
          <w:kern w:val="2"/>
          <w:sz w:val="24"/>
          <w:szCs w:val="24"/>
          <w:lang w:val="zh-CN" w:eastAsia="zh-CN" w:bidi="ar-SA"/>
        </w:rPr>
      </w:pPr>
      <w:bookmarkStart w:id="1" w:name="_Toc528595247"/>
      <w:r>
        <w:rPr>
          <w:rFonts w:hint="eastAsia" w:cs="仿宋_GB2312" w:asciiTheme="minorEastAsia" w:hAnsiTheme="minorEastAsia" w:eastAsiaTheme="minorEastAsia"/>
          <w:b w:val="0"/>
          <w:bCs w:val="0"/>
          <w:kern w:val="2"/>
          <w:sz w:val="24"/>
          <w:szCs w:val="24"/>
          <w:lang w:val="zh-CN" w:eastAsia="zh-CN" w:bidi="ar-SA"/>
        </w:rPr>
        <w:t>纯电动多功能抑尘车</w:t>
      </w:r>
      <w:bookmarkEnd w:id="1"/>
      <w:r>
        <w:rPr>
          <w:rFonts w:hint="eastAsia" w:cs="仿宋_GB2312" w:asciiTheme="minorEastAsia" w:hAnsiTheme="minorEastAsia" w:eastAsiaTheme="minorEastAsia"/>
          <w:b w:val="0"/>
          <w:bCs w:val="0"/>
          <w:kern w:val="2"/>
          <w:sz w:val="24"/>
          <w:szCs w:val="24"/>
          <w:lang w:val="zh-CN" w:eastAsia="zh-CN" w:bidi="ar-SA"/>
        </w:rPr>
        <w:t>2台（核心产品）</w:t>
      </w:r>
    </w:p>
    <w:tbl>
      <w:tblPr>
        <w:tblStyle w:val="22"/>
        <w:tblW w:w="8556" w:type="dxa"/>
        <w:tblInd w:w="-34" w:type="dxa"/>
        <w:tblLayout w:type="fixed"/>
        <w:tblCellMar>
          <w:top w:w="0" w:type="dxa"/>
          <w:left w:w="108" w:type="dxa"/>
          <w:bottom w:w="0" w:type="dxa"/>
          <w:right w:w="108" w:type="dxa"/>
        </w:tblCellMar>
      </w:tblPr>
      <w:tblGrid>
        <w:gridCol w:w="802"/>
        <w:gridCol w:w="1750"/>
        <w:gridCol w:w="2977"/>
        <w:gridCol w:w="3027"/>
      </w:tblGrid>
      <w:tr>
        <w:tblPrEx>
          <w:tblLayout w:type="fixed"/>
          <w:tblCellMar>
            <w:top w:w="0" w:type="dxa"/>
            <w:left w:w="108" w:type="dxa"/>
            <w:bottom w:w="0" w:type="dxa"/>
            <w:right w:w="108" w:type="dxa"/>
          </w:tblCellMar>
        </w:tblPrEx>
        <w:trPr>
          <w:trHeight w:val="48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序号</w:t>
            </w:r>
          </w:p>
        </w:tc>
        <w:tc>
          <w:tcPr>
            <w:tcW w:w="472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项目</w:t>
            </w:r>
          </w:p>
        </w:tc>
        <w:tc>
          <w:tcPr>
            <w:tcW w:w="3027" w:type="dxa"/>
            <w:tcBorders>
              <w:top w:val="single" w:color="auto" w:sz="4" w:space="0"/>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参数</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w:t>
            </w:r>
          </w:p>
        </w:tc>
        <w:tc>
          <w:tcPr>
            <w:tcW w:w="1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整车尺寸参数（mm）</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长</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≤9570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2</w:t>
            </w:r>
          </w:p>
        </w:tc>
        <w:tc>
          <w:tcPr>
            <w:tcW w:w="1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宽</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≥2500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3</w:t>
            </w:r>
          </w:p>
        </w:tc>
        <w:tc>
          <w:tcPr>
            <w:tcW w:w="1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高</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≤3750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4</w:t>
            </w:r>
          </w:p>
        </w:tc>
        <w:tc>
          <w:tcPr>
            <w:tcW w:w="1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接近角/离去角（°）</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≥14/11</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5</w:t>
            </w:r>
          </w:p>
        </w:tc>
        <w:tc>
          <w:tcPr>
            <w:tcW w:w="175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整车质量参数（kg）</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总质量</w:t>
            </w:r>
          </w:p>
        </w:tc>
        <w:tc>
          <w:tcPr>
            <w:tcW w:w="3027" w:type="dxa"/>
            <w:tcBorders>
              <w:top w:val="nil"/>
              <w:left w:val="nil"/>
              <w:bottom w:val="single" w:color="000000" w:sz="4" w:space="0"/>
              <w:right w:val="single" w:color="000000"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≥18000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6</w:t>
            </w:r>
          </w:p>
        </w:tc>
        <w:tc>
          <w:tcPr>
            <w:tcW w:w="175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整备质量</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≥10200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7</w:t>
            </w:r>
          </w:p>
        </w:tc>
        <w:tc>
          <w:tcPr>
            <w:tcW w:w="175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额定载质量▲</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≥4250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8</w:t>
            </w:r>
          </w:p>
        </w:tc>
        <w:tc>
          <w:tcPr>
            <w:tcW w:w="175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性能参数</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电池类型</w:t>
            </w:r>
          </w:p>
        </w:tc>
        <w:tc>
          <w:tcPr>
            <w:tcW w:w="3027" w:type="dxa"/>
            <w:tcBorders>
              <w:top w:val="nil"/>
              <w:left w:val="nil"/>
              <w:bottom w:val="single" w:color="000000" w:sz="4" w:space="0"/>
              <w:right w:val="single" w:color="000000"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磷酸铁锂</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9</w:t>
            </w:r>
          </w:p>
        </w:tc>
        <w:tc>
          <w:tcPr>
            <w:tcW w:w="175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续航里程（km）▲</w:t>
            </w:r>
          </w:p>
        </w:tc>
        <w:tc>
          <w:tcPr>
            <w:tcW w:w="3027" w:type="dxa"/>
            <w:tcBorders>
              <w:top w:val="nil"/>
              <w:left w:val="nil"/>
              <w:bottom w:val="single" w:color="000000" w:sz="4" w:space="0"/>
              <w:right w:val="single" w:color="000000"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≥180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10</w:t>
            </w:r>
          </w:p>
        </w:tc>
        <w:tc>
          <w:tcPr>
            <w:tcW w:w="175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最高车速（km/h）</w:t>
            </w:r>
          </w:p>
        </w:tc>
        <w:tc>
          <w:tcPr>
            <w:tcW w:w="3027" w:type="dxa"/>
            <w:tcBorders>
              <w:top w:val="nil"/>
              <w:left w:val="nil"/>
              <w:bottom w:val="single" w:color="000000" w:sz="4" w:space="0"/>
              <w:right w:val="single" w:color="000000"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≥80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11</w:t>
            </w:r>
          </w:p>
        </w:tc>
        <w:tc>
          <w:tcPr>
            <w:tcW w:w="1750" w:type="dxa"/>
            <w:vMerge w:val="restart"/>
            <w:tcBorders>
              <w:top w:val="nil"/>
              <w:left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专用装置参数</w:t>
            </w:r>
          </w:p>
        </w:tc>
        <w:tc>
          <w:tcPr>
            <w:tcW w:w="2977" w:type="dxa"/>
            <w:tcBorders>
              <w:top w:val="nil"/>
              <w:left w:val="nil"/>
              <w:bottom w:val="single" w:color="auto" w:sz="4" w:space="0"/>
              <w:right w:val="single" w:color="auto" w:sz="4" w:space="0"/>
            </w:tcBorders>
            <w:noWrap w:val="0"/>
            <w:vAlign w:val="center"/>
          </w:tcPr>
          <w:p>
            <w:pPr>
              <w:widowControl/>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水平最大射程（m）</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≥80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12</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风量（m³/min）</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≥1800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13</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俯仰角度（°）</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-10～40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14</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水平旋转角度（°）</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≥180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15</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控制方式</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手控/遥控/自动</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16</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冲洗宽度（m）</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≥20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17</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洒水宽度（m）</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≥12</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18</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水枪射程（m）</w:t>
            </w:r>
          </w:p>
        </w:tc>
        <w:tc>
          <w:tcPr>
            <w:tcW w:w="3027" w:type="dxa"/>
            <w:tcBorders>
              <w:top w:val="nil"/>
              <w:left w:val="nil"/>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≥32</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19</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电机额定功率/峰值功率（kW）▲</w:t>
            </w:r>
          </w:p>
        </w:tc>
        <w:tc>
          <w:tcPr>
            <w:tcW w:w="3027" w:type="dxa"/>
            <w:tcBorders>
              <w:top w:val="nil"/>
              <w:left w:val="nil"/>
              <w:bottom w:val="single" w:color="000000" w:sz="4" w:space="0"/>
              <w:right w:val="single" w:color="000000"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≥100/170</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20</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排放标准▲</w:t>
            </w:r>
          </w:p>
        </w:tc>
        <w:tc>
          <w:tcPr>
            <w:tcW w:w="3027" w:type="dxa"/>
            <w:tcBorders>
              <w:top w:val="nil"/>
              <w:left w:val="nil"/>
              <w:bottom w:val="single" w:color="000000" w:sz="4" w:space="0"/>
              <w:right w:val="single" w:color="000000"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纯电动、零排放</w:t>
            </w:r>
          </w:p>
        </w:tc>
      </w:tr>
      <w:tr>
        <w:tblPrEx>
          <w:tblLayout w:type="fixed"/>
          <w:tblCellMar>
            <w:top w:w="0" w:type="dxa"/>
            <w:left w:w="108" w:type="dxa"/>
            <w:bottom w:w="0" w:type="dxa"/>
            <w:right w:w="108" w:type="dxa"/>
          </w:tblCellMar>
        </w:tblPrEx>
        <w:trPr>
          <w:trHeight w:val="480" w:hRule="atLeast"/>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21</w:t>
            </w:r>
          </w:p>
        </w:tc>
        <w:tc>
          <w:tcPr>
            <w:tcW w:w="1750" w:type="dxa"/>
            <w:vMerge w:val="continue"/>
            <w:tcBorders>
              <w:left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nil"/>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驾驶室配置</w:t>
            </w:r>
          </w:p>
        </w:tc>
        <w:tc>
          <w:tcPr>
            <w:tcW w:w="3027" w:type="dxa"/>
            <w:tcBorders>
              <w:top w:val="nil"/>
              <w:left w:val="nil"/>
              <w:bottom w:val="single" w:color="auto" w:sz="4" w:space="0"/>
              <w:right w:val="single" w:color="000000"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冷暖空调</w:t>
            </w:r>
          </w:p>
        </w:tc>
      </w:tr>
      <w:tr>
        <w:tblPrEx>
          <w:tblLayout w:type="fixed"/>
          <w:tblCellMar>
            <w:top w:w="0" w:type="dxa"/>
            <w:left w:w="108" w:type="dxa"/>
            <w:bottom w:w="0" w:type="dxa"/>
            <w:right w:w="108" w:type="dxa"/>
          </w:tblCellMar>
        </w:tblPrEx>
        <w:trPr>
          <w:trHeight w:val="480"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22</w:t>
            </w:r>
          </w:p>
        </w:tc>
        <w:tc>
          <w:tcPr>
            <w:tcW w:w="1750" w:type="dxa"/>
            <w:vMerge w:val="continue"/>
            <w:tcBorders>
              <w:left w:val="single" w:color="auto" w:sz="4" w:space="0"/>
              <w:bottom w:val="single" w:color="auto" w:sz="4" w:space="0"/>
              <w:right w:val="single" w:color="auto" w:sz="4" w:space="0"/>
            </w:tcBorders>
            <w:noWrap w:val="0"/>
            <w:vAlign w:val="center"/>
          </w:tcPr>
          <w:p>
            <w:pPr>
              <w:jc w:val="center"/>
              <w:rPr>
                <w:rFonts w:hint="eastAsia" w:cs="仿宋_GB2312" w:asciiTheme="minorEastAsia" w:hAnsiTheme="minorEastAsia" w:eastAsiaTheme="minorEastAsia"/>
                <w:b w:val="0"/>
                <w:bCs w:val="0"/>
                <w:kern w:val="2"/>
                <w:sz w:val="24"/>
                <w:szCs w:val="24"/>
                <w:lang w:val="zh-CN" w:eastAsia="zh-CN" w:bidi="ar-SA"/>
              </w:rPr>
            </w:pP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配套充电桩</w:t>
            </w:r>
          </w:p>
        </w:tc>
        <w:tc>
          <w:tcPr>
            <w:tcW w:w="3027" w:type="dxa"/>
            <w:tcBorders>
              <w:top w:val="single" w:color="auto" w:sz="4" w:space="0"/>
              <w:left w:val="nil"/>
              <w:bottom w:val="single" w:color="000000" w:sz="4" w:space="0"/>
              <w:right w:val="single" w:color="000000" w:sz="4" w:space="0"/>
            </w:tcBorders>
            <w:noWrap w:val="0"/>
            <w:vAlign w:val="center"/>
          </w:tcPr>
          <w:p>
            <w:pPr>
              <w:widowControl/>
              <w:jc w:val="center"/>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直流120V</w:t>
            </w:r>
          </w:p>
        </w:tc>
      </w:tr>
    </w:tbl>
    <w:p>
      <w:pPr>
        <w:spacing w:line="360" w:lineRule="auto"/>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技术要求：</w:t>
      </w:r>
    </w:p>
    <w:p>
      <w:pPr>
        <w:numPr>
          <w:ilvl w:val="0"/>
          <w:numId w:val="6"/>
        </w:numPr>
        <w:spacing w:line="360" w:lineRule="auto"/>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采用高能量密度磷酸铁锂电池，大功率永磁同步电机，整车控制系统和制动能量回馈系统，降低作业耗电量</w:t>
      </w:r>
      <w:r>
        <w:rPr>
          <w:rFonts w:hint="eastAsia" w:cs="仿宋_GB2312" w:asciiTheme="minorEastAsia" w:hAnsiTheme="minorEastAsia"/>
          <w:b w:val="0"/>
          <w:bCs w:val="0"/>
          <w:kern w:val="2"/>
          <w:sz w:val="24"/>
          <w:szCs w:val="24"/>
          <w:lang w:val="zh-CN" w:eastAsia="zh-CN" w:bidi="ar-SA"/>
        </w:rPr>
        <w:t>。</w:t>
      </w:r>
    </w:p>
    <w:p>
      <w:pPr>
        <w:numPr>
          <w:ilvl w:val="0"/>
          <w:numId w:val="6"/>
        </w:numPr>
        <w:spacing w:line="360" w:lineRule="auto"/>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采用环保除尘风送式喷雾机，结构紧凑，射程远，雾粒细小，覆盖面积大。</w:t>
      </w:r>
    </w:p>
    <w:p>
      <w:pPr>
        <w:numPr>
          <w:ilvl w:val="0"/>
          <w:numId w:val="6"/>
        </w:numPr>
        <w:spacing w:line="360" w:lineRule="auto"/>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配置有低压清洗系统，可实现前冲、后洒作业，并配备清洗水枪。</w:t>
      </w:r>
    </w:p>
    <w:p>
      <w:pPr>
        <w:numPr>
          <w:ilvl w:val="0"/>
          <w:numId w:val="6"/>
        </w:numPr>
        <w:spacing w:line="360" w:lineRule="auto"/>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 xml:space="preserve">上装纯电驱动，分别用两个永磁同步电机驱动水泵，节能环保。 </w:t>
      </w:r>
    </w:p>
    <w:p>
      <w:pPr>
        <w:pStyle w:val="39"/>
        <w:numPr>
          <w:ilvl w:val="0"/>
          <w:numId w:val="6"/>
        </w:numPr>
        <w:spacing w:line="360" w:lineRule="auto"/>
        <w:ind w:firstLineChars="0"/>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设置有无水停机保护装置，水位较低时可自动关闭水泵、喷雾机。</w:t>
      </w:r>
    </w:p>
    <w:p>
      <w:pPr>
        <w:numPr>
          <w:ilvl w:val="0"/>
          <w:numId w:val="6"/>
        </w:numPr>
        <w:spacing w:line="360" w:lineRule="auto"/>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全车水路操控采用高可靠性、无污染的先进气动系统，操作方便灵活。</w:t>
      </w:r>
    </w:p>
    <w:p>
      <w:pPr>
        <w:numPr>
          <w:ilvl w:val="0"/>
          <w:numId w:val="6"/>
        </w:numPr>
        <w:spacing w:line="360" w:lineRule="auto"/>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驾驶空间大,配备冷暖一体化空调、液压助力转向、定速巡航，驾驶舒适。</w:t>
      </w:r>
    </w:p>
    <w:p>
      <w:pPr>
        <w:numPr>
          <w:ilvl w:val="0"/>
          <w:numId w:val="6"/>
        </w:numPr>
        <w:spacing w:line="360" w:lineRule="auto"/>
        <w:jc w:val="left"/>
        <w:rPr>
          <w:rFonts w:hint="eastAsia" w:cs="仿宋_GB2312" w:asciiTheme="minorEastAsia" w:hAnsiTheme="minorEastAsia" w:eastAsiaTheme="minorEastAsia"/>
          <w:b w:val="0"/>
          <w:bCs w:val="0"/>
          <w:kern w:val="2"/>
          <w:sz w:val="24"/>
          <w:szCs w:val="24"/>
          <w:lang w:val="zh-CN" w:eastAsia="zh-CN" w:bidi="ar-SA"/>
        </w:rPr>
      </w:pPr>
      <w:r>
        <w:rPr>
          <w:rFonts w:hint="eastAsia" w:cs="仿宋_GB2312" w:asciiTheme="minorEastAsia" w:hAnsiTheme="minorEastAsia" w:eastAsiaTheme="minorEastAsia"/>
          <w:b w:val="0"/>
          <w:bCs w:val="0"/>
          <w:kern w:val="2"/>
          <w:sz w:val="24"/>
          <w:szCs w:val="24"/>
          <w:lang w:val="zh-CN" w:eastAsia="zh-CN" w:bidi="ar-SA"/>
        </w:rPr>
        <w:t>智能通信仪表通过CAN通讯网络采集并显示车辆运行信息，可以实时显示电机、电池等的运行参数。</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四、服务标准、期限、效率等要求</w:t>
      </w:r>
    </w:p>
    <w:p>
      <w:pPr>
        <w:spacing w:line="360" w:lineRule="auto"/>
        <w:ind w:firstLine="480" w:firstLineChars="200"/>
        <w:contextualSpacing/>
        <w:rPr>
          <w:rFonts w:ascii="楷体" w:hAnsi="楷体" w:eastAsia="楷体" w:cs="宋体"/>
          <w:color w:val="000000"/>
          <w:kern w:val="0"/>
          <w:szCs w:val="21"/>
          <w:highlight w:val="none"/>
          <w:lang w:val="zh-CN"/>
        </w:rPr>
      </w:pPr>
      <w:r>
        <w:rPr>
          <w:rFonts w:hint="eastAsia" w:ascii="宋体" w:cs="宋体"/>
          <w:sz w:val="24"/>
          <w:highlight w:val="none"/>
          <w:lang w:val="zh-CN"/>
        </w:rPr>
        <w:t>质保期1年，在1小时响应，12小时到达现场，24小时内解决问题。</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五、采购标的的其他技术、服务等要求</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1、投标人须明确投标产品的厂家、产地、品牌、型号、详细参数，</w:t>
      </w:r>
      <w:r>
        <w:rPr>
          <w:rFonts w:hint="eastAsia" w:ascii="宋体" w:cs="宋体"/>
          <w:b/>
          <w:sz w:val="24"/>
          <w:highlight w:val="none"/>
          <w:lang w:val="zh-CN"/>
        </w:rPr>
        <w:t>否则为无效投标。</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zh-CN"/>
        </w:rPr>
        <w:t>2、投标人应就本项目完整投标，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4、本项目为交钥匙工程。</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、投标人须明确在接到服务要求时的响应时间。须明确维修点地址、负责人、联系人和联系电话，维修点具备何等维修能力等详细资料，</w:t>
      </w:r>
      <w:r>
        <w:rPr>
          <w:rFonts w:hint="eastAsia" w:ascii="宋体" w:cs="宋体"/>
          <w:b/>
          <w:bCs/>
          <w:sz w:val="24"/>
          <w:highlight w:val="none"/>
          <w:lang w:val="zh-CN"/>
        </w:rPr>
        <w:t>否则为无效投标。</w:t>
      </w:r>
      <w:r>
        <w:rPr>
          <w:rFonts w:hint="eastAsia" w:ascii="宋体" w:cs="宋体"/>
          <w:sz w:val="24"/>
          <w:highlight w:val="none"/>
          <w:lang w:val="zh-CN"/>
        </w:rPr>
        <w:t>保修期内提供24小时免费技术支持服务。</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6</w:t>
      </w:r>
      <w:r>
        <w:rPr>
          <w:rFonts w:hint="eastAsia" w:ascii="宋体" w:cs="宋体"/>
          <w:sz w:val="24"/>
          <w:highlight w:val="none"/>
          <w:lang w:val="zh-CN"/>
        </w:rPr>
        <w:t>、中标人应负责免费提供现场操作、运行、维护的培训方案及必需的培训资料，并对买方受训人员分批、分次进行免费操作培训，培训至所有参加培训人员可独立操作为止。</w:t>
      </w:r>
    </w:p>
    <w:p>
      <w:pPr>
        <w:wordWrap w:val="0"/>
        <w:topLinePunct/>
        <w:spacing w:line="360" w:lineRule="auto"/>
        <w:ind w:firstLine="480" w:firstLineChars="200"/>
        <w:rPr>
          <w:rFonts w:hint="eastAsia" w:ascii="仿宋" w:hAnsi="仿宋" w:eastAsia="仿宋" w:cs="宋体"/>
          <w:kern w:val="0"/>
          <w:sz w:val="30"/>
          <w:szCs w:val="30"/>
        </w:rPr>
      </w:pPr>
      <w:r>
        <w:rPr>
          <w:rFonts w:hint="eastAsia" w:ascii="宋体" w:cs="宋体"/>
          <w:sz w:val="24"/>
          <w:highlight w:val="none"/>
          <w:lang w:val="en-US" w:eastAsia="zh-CN"/>
        </w:rPr>
        <w:t>7</w:t>
      </w:r>
      <w:r>
        <w:rPr>
          <w:rFonts w:hint="eastAsia" w:ascii="宋体" w:cs="宋体"/>
          <w:sz w:val="24"/>
          <w:highlight w:val="none"/>
          <w:lang w:val="zh-CN"/>
        </w:rPr>
        <w:t>、投标人需提供采购标的的免征车辆购置税证明（需提供工信部发布的《免征车辆购置税的新能源汽车车型目录》证明）。</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六、验收标准</w:t>
      </w:r>
    </w:p>
    <w:p>
      <w:pPr>
        <w:pStyle w:val="20"/>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300万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300万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hint="eastAsia" w:ascii="宋体" w:cs="宋体" w:hAnsiTheme="minorHAnsi" w:eastAsiaTheme="minorEastAsia"/>
          <w:kern w:val="2"/>
          <w:sz w:val="24"/>
          <w:szCs w:val="22"/>
          <w:highlight w:val="none"/>
          <w:lang w:val="zh-CN" w:eastAsia="zh-CN" w:bidi="ar-SA"/>
        </w:rPr>
      </w:pPr>
      <w:r>
        <w:rPr>
          <w:rFonts w:hint="eastAsia" w:cs="宋体" w:asciiTheme="minorEastAsia" w:hAnsiTheme="minorEastAsia"/>
          <w:color w:val="000000"/>
          <w:kern w:val="0"/>
          <w:sz w:val="24"/>
          <w:szCs w:val="24"/>
          <w:lang w:val="zh-CN"/>
        </w:rPr>
        <w:t>1、支付方式</w:t>
      </w:r>
      <w:r>
        <w:rPr>
          <w:rFonts w:hint="eastAsia" w:ascii="宋体" w:cs="宋体" w:hAnsiTheme="minorHAnsi" w:eastAsiaTheme="minorEastAsia"/>
          <w:kern w:val="2"/>
          <w:sz w:val="24"/>
          <w:szCs w:val="22"/>
          <w:highlight w:val="none"/>
          <w:lang w:val="zh-CN" w:eastAsia="zh-CN" w:bidi="ar-SA"/>
        </w:rPr>
        <w:t>：银行转账</w:t>
      </w:r>
    </w:p>
    <w:p>
      <w:pPr>
        <w:widowControl/>
        <w:shd w:val="clear" w:color="auto" w:fill="FFFFFF"/>
        <w:spacing w:line="360" w:lineRule="auto"/>
        <w:ind w:firstLine="480" w:firstLineChars="20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2、支付时间及条件：验收合格后支付总货款的95%，剩余5%在一年质保期结束后无质量问题一次性支付。</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项目名称：纯电动多功能抑尘车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069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项目内容：纯电动多功能抑尘车两台</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项目地址：市园林处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名称：许昌市园林绿化管理处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许昌市劳动路1072号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联系人：毕丽华                    电话：0374－2775308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300万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金额：陆万元（¥</w:t>
            </w:r>
            <w:r>
              <w:rPr>
                <w:rFonts w:hint="eastAsia" w:cs="仿宋_GB2312" w:asciiTheme="minorEastAsia" w:hAnsiTheme="minorEastAsia"/>
                <w:szCs w:val="21"/>
                <w:lang w:val="en-US" w:eastAsia="zh-CN"/>
              </w:rPr>
              <w:t>60000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w:t>
            </w:r>
            <w:bookmarkStart w:id="14" w:name="_GoBack"/>
            <w:bookmarkEnd w:id="14"/>
            <w:r>
              <w:rPr>
                <w:rFonts w:hint="eastAsia" w:cs="仿宋_GB2312" w:asciiTheme="minorEastAsia" w:hAnsiTheme="minorEastAsia"/>
                <w:szCs w:val="21"/>
                <w:lang w:val="zh-CN"/>
              </w:rPr>
              <w:t>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19</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11</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19</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Times New Roman"/>
                <w:szCs w:val="21"/>
              </w:rPr>
              <w:t>分）</w:t>
            </w:r>
          </w:p>
        </w:tc>
        <w:tc>
          <w:tcPr>
            <w:tcW w:w="6095" w:type="dxa"/>
            <w:vAlign w:val="center"/>
          </w:tcPr>
          <w:p>
            <w:pPr>
              <w:widowControl/>
              <w:spacing w:beforeLines="50"/>
              <w:rPr>
                <w:rFonts w:hint="eastAsia" w:asciiTheme="minorEastAsia" w:hAnsiTheme="minorEastAsia"/>
                <w:szCs w:val="21"/>
                <w:lang w:val="zh-CN"/>
              </w:rPr>
            </w:pPr>
            <w:r>
              <w:rPr>
                <w:rFonts w:hint="eastAsia" w:asciiTheme="minorEastAsia" w:hAnsiTheme="minorEastAsia"/>
                <w:szCs w:val="21"/>
              </w:rPr>
              <w:t>提供投标人2016年以来类似采购项目业绩合同，每份2分，最多得10分（提供中标通知书及合同，缺一项不得分）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vAlign w:val="center"/>
          </w:tcPr>
          <w:p>
            <w:pPr>
              <w:widowControl/>
              <w:spacing w:beforeLines="50"/>
              <w:rPr>
                <w:rFonts w:hint="eastAsia" w:asciiTheme="minorEastAsia" w:hAnsiTheme="minorEastAsia"/>
                <w:szCs w:val="21"/>
              </w:rPr>
            </w:pPr>
            <w:r>
              <w:rPr>
                <w:rFonts w:hint="eastAsia" w:asciiTheme="minorEastAsia" w:hAnsiTheme="minorEastAsia"/>
                <w:szCs w:val="21"/>
                <w:lang w:eastAsia="zh-CN"/>
              </w:rPr>
              <w:t>投标人</w:t>
            </w:r>
            <w:r>
              <w:rPr>
                <w:rFonts w:hint="eastAsia" w:asciiTheme="minorEastAsia" w:hAnsiTheme="minorEastAsia"/>
                <w:szCs w:val="21"/>
              </w:rPr>
              <w:t>提供2016年1月1日以来经社会信用评估机构出具的有效的企业信用报告，等级为AAA级的得3分；AA级的得2分；A级的得1分。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企业实力</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widowControl/>
              <w:spacing w:beforeLines="50"/>
              <w:rPr>
                <w:rFonts w:hint="eastAsia" w:asciiTheme="minorEastAsia" w:hAnsiTheme="minorEastAsia"/>
                <w:szCs w:val="21"/>
                <w:lang w:val="zh-CN"/>
              </w:rPr>
            </w:pPr>
            <w:r>
              <w:rPr>
                <w:rFonts w:hint="eastAsia" w:asciiTheme="minorEastAsia" w:hAnsiTheme="minorEastAsia"/>
                <w:szCs w:val="21"/>
              </w:rPr>
              <w:t>具有有效的ISO9001质量管理体系认证证书得2分、ISO14001环境管理体系认证证书得2分、18001职业健康安全管理体系认证证书得2分。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Times New Roman"/>
                <w:szCs w:val="21"/>
              </w:rPr>
              <w:t>分）</w:t>
            </w:r>
          </w:p>
        </w:tc>
        <w:tc>
          <w:tcPr>
            <w:tcW w:w="6095" w:type="dxa"/>
            <w:tcBorders>
              <w:right w:val="single" w:color="auto" w:sz="4" w:space="0"/>
            </w:tcBorders>
            <w:vAlign w:val="center"/>
          </w:tcPr>
          <w:p>
            <w:pPr>
              <w:pStyle w:val="38"/>
              <w:widowControl/>
              <w:ind w:firstLine="0" w:firstLineChars="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1.采购清单序号7“额定载质量”优于招标要求的，得10分；</w:t>
            </w:r>
          </w:p>
          <w:p>
            <w:pPr>
              <w:pStyle w:val="38"/>
              <w:widowControl/>
              <w:ind w:firstLine="0" w:firstLineChars="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2.采购清单序号9“续航里程”优于招标要求的，得10分；</w:t>
            </w:r>
          </w:p>
          <w:p>
            <w:pPr>
              <w:pStyle w:val="38"/>
              <w:widowControl/>
              <w:ind w:firstLine="0" w:firstLineChars="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3.采购清单序号19“电机最大功率”优于招标要求的，得10分；</w:t>
            </w:r>
          </w:p>
          <w:p>
            <w:pPr>
              <w:snapToGrid w:val="0"/>
              <w:spacing w:beforeLines="5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以上正偏离须提供工信部公告参数页或网页查询参数截图证明。不提供证明不得分。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11</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pStyle w:val="38"/>
              <w:widowControl/>
              <w:ind w:firstLine="0" w:firstLineChars="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 xml:space="preserve">1.具有完善的培训计划2分；      </w:t>
            </w:r>
          </w:p>
          <w:p>
            <w:pPr>
              <w:snapToGrid w:val="0"/>
              <w:spacing w:beforeLines="5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2.</w:t>
            </w:r>
            <w:r>
              <w:rPr>
                <w:rFonts w:hint="eastAsia" w:asciiTheme="minorEastAsia" w:hAnsiTheme="minorEastAsia"/>
                <w:szCs w:val="21"/>
                <w:lang w:eastAsia="zh-CN"/>
              </w:rPr>
              <w:t>投标人</w:t>
            </w:r>
            <w:r>
              <w:rPr>
                <w:rFonts w:hint="eastAsia" w:asciiTheme="minorEastAsia" w:hAnsiTheme="minorEastAsia" w:eastAsiaTheme="minorEastAsia" w:cstheme="minorBidi"/>
                <w:kern w:val="2"/>
                <w:sz w:val="21"/>
                <w:szCs w:val="21"/>
                <w:lang w:val="en-US" w:eastAsia="zh-CN" w:bidi="ar-SA"/>
              </w:rPr>
              <w:t>提供售后服务人员社保缴纳情况记录，每提供一人加2分，最多得6分。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beforeLines="5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投标文件的编制符合招标文件的规定，根据装订整齐印刷精美的情况3分；投标文件编制无目录和页码，排序混乱和缺篇少页的不得分。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highlight w:val="none"/>
        </w:rPr>
      </w:pPr>
      <w:r>
        <w:rPr>
          <w:rFonts w:hint="eastAsia" w:ascii="宋体" w:hAnsi="宋体" w:cs="微软雅黑"/>
          <w:b/>
          <w:bCs/>
          <w:szCs w:val="21"/>
        </w:rPr>
        <w:t>（此合同仅供</w:t>
      </w:r>
      <w:r>
        <w:rPr>
          <w:rFonts w:hint="eastAsia" w:ascii="宋体" w:hAnsi="宋体" w:cs="微软雅黑"/>
          <w:b/>
          <w:bCs/>
          <w:szCs w:val="21"/>
          <w:highlight w:val="none"/>
        </w:rPr>
        <w:t>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rPr>
          <w:rFonts w:ascii="微软雅黑" w:hAnsi="微软雅黑" w:eastAsia="微软雅黑"/>
          <w:color w:val="000000"/>
          <w:sz w:val="27"/>
          <w:szCs w:val="27"/>
          <w:highlight w:val="none"/>
        </w:rPr>
      </w:pPr>
      <w:r>
        <w:rPr>
          <w:rFonts w:ascii="宋体" w:hAnsi="宋体" w:eastAsia="微软雅黑"/>
          <w:color w:val="000000"/>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hint="eastAsia" w:asciiTheme="minorEastAsia" w:hAnsiTheme="minorEastAsia" w:eastAsiaTheme="minorEastAsia"/>
          <w:color w:val="000000"/>
          <w:sz w:val="21"/>
          <w:szCs w:val="21"/>
          <w:highlight w:val="none"/>
          <w:lang w:eastAsia="zh-CN"/>
        </w:rPr>
      </w:pPr>
      <w:r>
        <w:rPr>
          <w:rFonts w:asciiTheme="minorEastAsia" w:hAnsiTheme="minorEastAsia" w:eastAsiaTheme="minorEastAsia"/>
          <w:color w:val="000000"/>
          <w:sz w:val="21"/>
          <w:szCs w:val="21"/>
          <w:highlight w:val="none"/>
        </w:rPr>
        <w:t>15.3合同生效：自签订之日起生效</w:t>
      </w:r>
      <w:r>
        <w:rPr>
          <w:rFonts w:hint="eastAsia" w:asciiTheme="minorEastAsia" w:hAnsiTheme="minorEastAsia" w:eastAsiaTheme="minorEastAsia"/>
          <w:color w:val="000000"/>
          <w:sz w:val="21"/>
          <w:szCs w:val="21"/>
          <w:highlight w:val="none"/>
          <w:lang w:eastAsia="zh-CN"/>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单位负责人：                     单位负责人：</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4023138"/>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4"/>
      <w:bookmarkStart w:id="13" w:name="OLE_LINK13"/>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584B91"/>
    <w:multiLevelType w:val="singleLevel"/>
    <w:tmpl w:val="14584B91"/>
    <w:lvl w:ilvl="0" w:tentative="0">
      <w:start w:val="1"/>
      <w:numFmt w:val="chineseCounting"/>
      <w:suff w:val="nothing"/>
      <w:lvlText w:val="%1、"/>
      <w:lvlJc w:val="left"/>
      <w:rPr>
        <w:rFonts w:hint="eastAsia"/>
      </w:r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5DF719A4"/>
    <w:multiLevelType w:val="multilevel"/>
    <w:tmpl w:val="5DF719A4"/>
    <w:lvl w:ilvl="0" w:tentative="0">
      <w:start w:val="1"/>
      <w:numFmt w:val="decimal"/>
      <w:lvlText w:val="%1."/>
      <w:lvlJc w:val="left"/>
      <w:pPr>
        <w:ind w:left="420" w:hanging="420"/>
      </w:pPr>
      <w:rPr>
        <w:rFonts w:hint="default"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3"/>
  </w:num>
  <w:num w:numId="6">
    <w:abstractNumId w:val="15"/>
  </w:num>
  <w:num w:numId="7">
    <w:abstractNumId w:val="8"/>
  </w:num>
  <w:num w:numId="8">
    <w:abstractNumId w:val="16"/>
  </w:num>
  <w:num w:numId="9">
    <w:abstractNumId w:val="9"/>
  </w:num>
  <w:num w:numId="10">
    <w:abstractNumId w:val="5"/>
  </w:num>
  <w:num w:numId="11">
    <w:abstractNumId w:val="6"/>
  </w:num>
  <w:num w:numId="12">
    <w:abstractNumId w:val="18"/>
  </w:num>
  <w:num w:numId="13">
    <w:abstractNumId w:val="11"/>
  </w:num>
  <w:num w:numId="14">
    <w:abstractNumId w:val="17"/>
  </w:num>
  <w:num w:numId="15">
    <w:abstractNumId w:val="4"/>
  </w:num>
  <w:num w:numId="16">
    <w:abstractNumId w:val="7"/>
  </w:num>
  <w:num w:numId="17">
    <w:abstractNumId w:val="12"/>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57B354B"/>
    <w:rsid w:val="08487491"/>
    <w:rsid w:val="0FEE7E50"/>
    <w:rsid w:val="10E64FA4"/>
    <w:rsid w:val="13464CFF"/>
    <w:rsid w:val="14605633"/>
    <w:rsid w:val="1EC1311C"/>
    <w:rsid w:val="23BE10D0"/>
    <w:rsid w:val="25A870B0"/>
    <w:rsid w:val="260473D1"/>
    <w:rsid w:val="277B48C8"/>
    <w:rsid w:val="279B317D"/>
    <w:rsid w:val="2F581873"/>
    <w:rsid w:val="33BC3DF7"/>
    <w:rsid w:val="43DF7AEB"/>
    <w:rsid w:val="44761038"/>
    <w:rsid w:val="4A31529B"/>
    <w:rsid w:val="5AE6128C"/>
    <w:rsid w:val="62A650B0"/>
    <w:rsid w:val="642B11B3"/>
    <w:rsid w:val="757D07F4"/>
    <w:rsid w:val="75D31975"/>
    <w:rsid w:val="76644DDA"/>
    <w:rsid w:val="78735A1C"/>
    <w:rsid w:val="7D0A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 w:type="character" w:customStyle="1" w:styleId="68">
    <w:name w:val="hover24"/>
    <w:basedOn w:val="2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3</TotalTime>
  <ScaleCrop>false</ScaleCrop>
  <LinksUpToDate>false</LinksUpToDate>
  <CharactersWithSpaces>37441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许昌市公共资源交易中心:杨丹丹（备用2）</cp:lastModifiedBy>
  <cp:lastPrinted>2019-04-28T07:36:00Z</cp:lastPrinted>
  <dcterms:modified xsi:type="dcterms:W3CDTF">2019-05-16T02:08:23Z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