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市环境卫生管理处“垃圾填埋场整形覆膜”项目</w:t>
      </w:r>
    </w:p>
    <w:p>
      <w:pPr>
        <w:jc w:val="center"/>
        <w:rPr>
          <w:rFonts w:hint="eastAsia" w:asciiTheme="majorEastAsia" w:hAnsiTheme="majorEastAsia" w:eastAsiaTheme="majorEastAsia" w:cstheme="majorEastAsia"/>
          <w:b/>
          <w:bCs/>
          <w:color w:val="000000"/>
          <w:sz w:val="44"/>
          <w:szCs w:val="44"/>
          <w:lang w:eastAsia="zh-CN"/>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070</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市环境卫生管理处</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keepNext w:val="0"/>
        <w:keepLines w:val="0"/>
        <w:widowControl/>
        <w:suppressLineNumbers w:val="0"/>
        <w:shd w:val="clear" w:fill="FFFFFF"/>
        <w:spacing w:before="226" w:beforeAutospacing="0" w:after="0" w:afterAutospacing="0" w:line="360" w:lineRule="auto"/>
        <w:ind w:left="0" w:right="0" w:firstLine="420"/>
        <w:jc w:val="left"/>
        <w:rPr>
          <w:rFonts w:ascii="仿宋_GB2312" w:hAnsi="仿宋_GB2312" w:eastAsia="仿宋_GB2312" w:cs="仿宋_GB2312"/>
          <w:color w:val="000000"/>
          <w:sz w:val="32"/>
          <w:szCs w:val="32"/>
          <w:shd w:val="clear" w:color="auto" w:fill="FFFFFF"/>
        </w:rPr>
      </w:pPr>
      <w:r>
        <w:rPr>
          <w:rFonts w:hint="eastAsia" w:ascii="宋体" w:hAnsi="宋体" w:eastAsia="宋体" w:cs="宋体"/>
          <w:color w:val="000000"/>
          <w:sz w:val="21"/>
          <w:szCs w:val="21"/>
          <w:u w:val="none"/>
          <w:shd w:val="clear" w:fill="FFFFFF"/>
        </w:rPr>
        <w:t>许昌市政府采购中心(以下简称采购中心) 受许昌</w:t>
      </w:r>
      <w:r>
        <w:rPr>
          <w:rFonts w:hint="eastAsia" w:ascii="宋体" w:hAnsi="宋体" w:eastAsia="宋体" w:cs="宋体"/>
          <w:color w:val="000000"/>
          <w:sz w:val="21"/>
          <w:szCs w:val="21"/>
          <w:u w:val="none"/>
          <w:shd w:val="clear" w:fill="FFFFFF"/>
          <w:lang w:eastAsia="zh-CN"/>
        </w:rPr>
        <w:t>市环境卫生管理处</w:t>
      </w:r>
      <w:r>
        <w:rPr>
          <w:rFonts w:hint="eastAsia" w:ascii="宋体" w:hAnsi="宋体" w:eastAsia="宋体" w:cs="宋体"/>
          <w:color w:val="000000"/>
          <w:sz w:val="21"/>
          <w:szCs w:val="21"/>
          <w:u w:val="none"/>
          <w:shd w:val="clear" w:fill="FFFFFF"/>
        </w:rPr>
        <w:t>的委托，对</w:t>
      </w:r>
      <w:r>
        <w:rPr>
          <w:rFonts w:hint="eastAsia" w:ascii="宋体" w:hAnsi="宋体" w:eastAsia="宋体" w:cs="宋体"/>
          <w:color w:val="000000"/>
          <w:sz w:val="21"/>
          <w:szCs w:val="21"/>
          <w:u w:val="none"/>
          <w:shd w:val="clear" w:fill="FFFFFF"/>
          <w:lang w:eastAsia="zh-CN"/>
        </w:rPr>
        <w:t>垃圾填埋场整形覆膜</w:t>
      </w:r>
      <w:r>
        <w:rPr>
          <w:rFonts w:hint="eastAsia" w:ascii="宋体" w:hAnsi="宋体" w:eastAsia="宋体" w:cs="宋体"/>
          <w:color w:val="000000"/>
          <w:sz w:val="21"/>
          <w:szCs w:val="21"/>
          <w:u w:val="none"/>
          <w:shd w:val="clear" w:fill="FFFFFF"/>
        </w:rPr>
        <w:t>项目进行公开招标。现邀请符合本招标文件规定条件的供应商前来投标。</w:t>
      </w:r>
    </w:p>
    <w:p>
      <w:pPr>
        <w:pStyle w:val="21"/>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lang w:eastAsia="zh-CN"/>
        </w:rPr>
        <w:t>垃圾填埋场整形覆膜</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（二）项目编号：ZFCG-G2019</w:t>
      </w:r>
      <w:r>
        <w:rPr>
          <w:rFonts w:hint="eastAsia" w:cs="仿宋_GB2312" w:asciiTheme="minorEastAsia" w:hAnsiTheme="minorEastAsia" w:eastAsiaTheme="minorEastAsia"/>
          <w:color w:val="000000"/>
          <w:sz w:val="21"/>
          <w:szCs w:val="21"/>
          <w:lang w:val="en-US" w:eastAsia="zh-CN"/>
        </w:rPr>
        <w:t>070</w:t>
      </w:r>
      <w:r>
        <w:rPr>
          <w:rFonts w:hint="eastAsia" w:cs="仿宋_GB2312" w:asciiTheme="minorEastAsia" w:hAnsiTheme="minorEastAsia" w:eastAsiaTheme="minorEastAsia"/>
          <w:color w:val="000000"/>
          <w:sz w:val="21"/>
          <w:szCs w:val="21"/>
        </w:rPr>
        <w:t xml:space="preserve">号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（三）采购方式：公开招标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（四）项目主要内容、数量及要</w:t>
      </w:r>
      <w:r>
        <w:rPr>
          <w:rFonts w:hint="eastAsia" w:cs="仿宋_GB2312" w:asciiTheme="minorEastAsia" w:hAnsiTheme="minorEastAsia" w:eastAsiaTheme="minorEastAsia"/>
          <w:color w:val="000000"/>
          <w:sz w:val="21"/>
          <w:szCs w:val="21"/>
          <w:lang w:eastAsia="zh-CN"/>
        </w:rPr>
        <w:t>求：对垃圾填埋场进行覆盖</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（五）预算金额：</w:t>
      </w:r>
      <w:r>
        <w:rPr>
          <w:rFonts w:hint="eastAsia" w:cs="仿宋_GB2312" w:asciiTheme="minorEastAsia" w:hAnsiTheme="minorEastAsia" w:eastAsiaTheme="minorEastAsia"/>
          <w:color w:val="000000"/>
          <w:sz w:val="21"/>
          <w:szCs w:val="21"/>
          <w:lang w:val="en-US" w:eastAsia="zh-CN"/>
        </w:rPr>
        <w:t>400万</w:t>
      </w:r>
      <w:r>
        <w:rPr>
          <w:rFonts w:hint="eastAsia" w:cs="仿宋_GB2312" w:asciiTheme="minorEastAsia" w:hAnsiTheme="minorEastAsia" w:eastAsiaTheme="minorEastAsia"/>
          <w:color w:val="000000"/>
          <w:sz w:val="21"/>
          <w:szCs w:val="21"/>
        </w:rPr>
        <w:t>元。最高限价：</w:t>
      </w:r>
      <w:r>
        <w:rPr>
          <w:rFonts w:hint="eastAsia" w:cs="仿宋_GB2312" w:asciiTheme="minorEastAsia" w:hAnsiTheme="minorEastAsia" w:eastAsiaTheme="minorEastAsia"/>
          <w:color w:val="000000"/>
          <w:sz w:val="21"/>
          <w:szCs w:val="21"/>
          <w:lang w:val="en-US" w:eastAsia="zh-CN"/>
        </w:rPr>
        <w:t>400万</w:t>
      </w:r>
      <w:r>
        <w:rPr>
          <w:rFonts w:hint="eastAsia" w:cs="仿宋_GB2312" w:asciiTheme="minorEastAsia" w:hAnsiTheme="minorEastAsia" w:eastAsiaTheme="minorEastAsia"/>
          <w:color w:val="000000"/>
          <w:sz w:val="21"/>
          <w:szCs w:val="21"/>
        </w:rPr>
        <w:t>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（六）交付（服务、完工）时间 ：</w:t>
      </w:r>
      <w:bookmarkStart w:id="0" w:name="交付日期"/>
      <w:r>
        <w:rPr>
          <w:rFonts w:hint="eastAsia" w:cs="仿宋_GB2312" w:asciiTheme="minorEastAsia" w:hAnsiTheme="minorEastAsia" w:eastAsiaTheme="minorEastAsia"/>
          <w:color w:val="000000"/>
          <w:sz w:val="21"/>
          <w:szCs w:val="21"/>
        </w:rPr>
        <w:t>自合同生效之日起</w:t>
      </w:r>
      <w:bookmarkEnd w:id="0"/>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天</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rPr>
        <w:t>：许昌市</w:t>
      </w:r>
      <w:r>
        <w:rPr>
          <w:rFonts w:hint="eastAsia" w:cs="仿宋_GB2312" w:asciiTheme="minorEastAsia" w:hAnsiTheme="minorEastAsia" w:eastAsiaTheme="minorEastAsia"/>
          <w:color w:val="000000"/>
          <w:sz w:val="21"/>
          <w:szCs w:val="21"/>
          <w:lang w:eastAsia="zh-CN"/>
        </w:rPr>
        <w:t>生活垃圾填埋场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三</w:t>
      </w:r>
      <w:r>
        <w:rPr>
          <w:rFonts w:hint="eastAsia" w:cs="仿宋_GB2312"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eastAsiaTheme="minorEastAsia"/>
          <w:szCs w:val="21"/>
          <w:lang w:eastAsia="zh-CN"/>
        </w:rPr>
      </w:pPr>
      <w:r>
        <w:rPr>
          <w:rFonts w:hint="eastAsia" w:ascii="宋体" w:hAnsi="宋体"/>
          <w:b/>
          <w:szCs w:val="21"/>
        </w:rPr>
        <w:t>采购人</w:t>
      </w:r>
      <w:r>
        <w:rPr>
          <w:rFonts w:hint="eastAsia" w:ascii="宋体" w:hAnsi="宋体"/>
          <w:szCs w:val="21"/>
        </w:rPr>
        <w:t>：</w:t>
      </w:r>
      <w:r>
        <w:rPr>
          <w:rFonts w:hint="eastAsia" w:ascii="宋体" w:hAnsi="宋体"/>
          <w:szCs w:val="21"/>
          <w:lang w:eastAsia="zh-CN"/>
        </w:rPr>
        <w:t>许昌市环境卫生管理处</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地址</w:t>
      </w:r>
      <w:r>
        <w:rPr>
          <w:rFonts w:hint="eastAsia" w:cs="Arial" w:asciiTheme="minorEastAsia" w:hAnsiTheme="minorEastAsia"/>
          <w:color w:val="000000"/>
          <w:szCs w:val="21"/>
        </w:rPr>
        <w:t>：魏都区车站路8号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联系人：丁艳春                   联系电话：0374-2788661</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rFonts w:hint="eastAsia" w:ascii="宋体" w:hAnsi="宋体"/>
          <w:szCs w:val="21"/>
          <w:lang w:eastAsia="zh-CN"/>
        </w:rPr>
      </w:pPr>
      <w:r>
        <w:rPr>
          <w:rFonts w:hint="eastAsia" w:ascii="宋体" w:hAnsi="宋体"/>
          <w:szCs w:val="21"/>
          <w:lang w:eastAsia="zh-CN"/>
        </w:rPr>
        <w:t>许昌市环境卫生管理处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960"/>
        <w:jc w:val="right"/>
        <w:rPr>
          <w:b w:val="0"/>
          <w:i w:val="0"/>
        </w:rPr>
      </w:pPr>
      <w:r>
        <w:rPr>
          <w:rFonts w:hint="eastAsia" w:ascii="宋体" w:hAnsi="宋体"/>
          <w:szCs w:val="21"/>
          <w:lang w:val="en-US" w:eastAsia="zh-CN"/>
        </w:rPr>
        <w:t>二〇一九年五月十六日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8"/>
          <w:rFonts w:hAnsi="宋体"/>
          <w:szCs w:val="21"/>
          <w:highlight w:val="none"/>
        </w:rPr>
        <w:t>http://221.14.6.70:8088/ggzy/</w:t>
      </w:r>
      <w:r>
        <w:rPr>
          <w:rStyle w:val="28"/>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pacing w:line="360" w:lineRule="auto"/>
        <w:ind w:firstLine="480" w:firstLineChars="200"/>
        <w:contextualSpacing/>
        <w:jc w:val="left"/>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lang w:eastAsia="zh-CN"/>
        </w:rPr>
        <w:t>对垃圾填埋场进行覆盖。</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3"/>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973"/>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011"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zh-CN"/>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双光面HDPE</w:t>
            </w:r>
            <w:r>
              <w:rPr>
                <w:rFonts w:hint="eastAsia" w:cs="Times New Roman" w:asciiTheme="minorEastAsia" w:hAnsiTheme="minorEastAsia"/>
                <w:color w:val="000000"/>
                <w:kern w:val="0"/>
                <w:szCs w:val="21"/>
                <w:lang w:val="zh-CN" w:eastAsia="zh-CN"/>
              </w:rPr>
              <w:t>土工膜</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1、厚度mm：1.0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2、密度g/m³：≥0.939</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3、拉伸屈服强度（应力）N/mm：≥15</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4、拉伸断裂强度（应力）N/mm：≥27</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5、拉伸屈服伸长率%：≥12</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6、拉伸断裂伸长率%：≥700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7、直角撕裂负荷N：≥125</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8、抗穿刺强度N：≥320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9、耐环境应力开裂h</w:t>
            </w:r>
            <w:r>
              <w:rPr>
                <w:rFonts w:hint="eastAsia" w:cs="Times New Roman" w:asciiTheme="minorEastAsia" w:hAnsiTheme="minorEastAsia"/>
                <w:color w:val="000000"/>
                <w:kern w:val="0"/>
                <w:szCs w:val="21"/>
                <w:lang w:val="en-US" w:eastAsia="zh-CN"/>
              </w:rPr>
              <w:tab/>
            </w:r>
            <w:r>
              <w:rPr>
                <w:rFonts w:hint="eastAsia" w:cs="Times New Roman" w:asciiTheme="minorEastAsia" w:hAnsiTheme="minorEastAsia"/>
                <w:color w:val="000000"/>
                <w:kern w:val="0"/>
                <w:szCs w:val="21"/>
                <w:lang w:val="en-US" w:eastAsia="zh-CN"/>
              </w:rPr>
              <w:t>：≥300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10、炭黑含量（范围）%：2.0-3.0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11、炭黑分散度：10个观察区域的9次应属于第1级或第2级，属于第3级的不应多于1次。</w:t>
            </w:r>
            <w:r>
              <w:rPr>
                <w:rFonts w:hint="eastAsia" w:cs="Times New Roman" w:asciiTheme="minorEastAsia" w:hAnsiTheme="minorEastAsia"/>
                <w:color w:val="000000"/>
                <w:kern w:val="0"/>
                <w:szCs w:val="21"/>
                <w:lang w:val="en-US" w:eastAsia="zh-CN"/>
              </w:rPr>
              <w:tab/>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12、氧化诱导时间（OIT）min：标准（OIT）min≥100，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13、氧化诱导时间（OIT）min：高压（OIT）min≥400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14、85℃烘箱老化（平均最小值）：烘烤90d后，标准OIT的保留%：≥55</w:t>
            </w:r>
          </w:p>
          <w:p>
            <w:pPr>
              <w:widowControl/>
              <w:spacing w:line="360" w:lineRule="auto"/>
              <w:contextualSpacing/>
              <w:jc w:val="left"/>
              <w:rPr>
                <w:rFonts w:hint="default"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15、85℃烘箱老化（平均最小值）：烘烤90d后，高压OIT的保留%：≥80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16、抗紫外线强度：紫外线照射1600h后，标准OIT的保留%：≥50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17、抗紫外线强度：紫外线照射1600h后，高压OIT的保留%：≥50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18、通过-70℃低温冲击催化性能测试</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19、水蒸气渗透系数</w:t>
            </w:r>
            <w:r>
              <w:rPr>
                <w:rFonts w:hint="eastAsia" w:cs="Times New Roman" w:asciiTheme="minorEastAsia" w:hAnsiTheme="minorEastAsia"/>
                <w:color w:val="000000"/>
                <w:kern w:val="0"/>
                <w:szCs w:val="21"/>
                <w:lang w:val="en-US" w:eastAsia="zh-CN"/>
              </w:rPr>
              <w:tab/>
            </w:r>
            <w:r>
              <w:rPr>
                <w:rFonts w:hint="eastAsia" w:cs="Times New Roman" w:asciiTheme="minorEastAsia" w:hAnsiTheme="minorEastAsia"/>
                <w:color w:val="000000"/>
                <w:kern w:val="0"/>
                <w:szCs w:val="21"/>
                <w:lang w:val="en-US" w:eastAsia="zh-CN"/>
              </w:rPr>
              <w:t>g.cm/(cm2.s.pa)</w:t>
            </w:r>
            <w:r>
              <w:rPr>
                <w:rFonts w:hint="eastAsia" w:cs="Times New Roman" w:asciiTheme="minorEastAsia" w:hAnsiTheme="minorEastAsia"/>
                <w:color w:val="000000"/>
                <w:kern w:val="0"/>
                <w:szCs w:val="21"/>
                <w:lang w:val="en-US" w:eastAsia="zh-CN"/>
              </w:rPr>
              <w:tab/>
            </w:r>
            <w:r>
              <w:rPr>
                <w:rFonts w:hint="eastAsia" w:cs="Times New Roman" w:asciiTheme="minorEastAsia" w:hAnsiTheme="minorEastAsia"/>
                <w:color w:val="000000"/>
                <w:kern w:val="0"/>
                <w:szCs w:val="21"/>
                <w:lang w:val="en-US" w:eastAsia="zh-CN"/>
              </w:rPr>
              <w:t>：≤1.0×10-13</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zh-CN"/>
              </w:rPr>
              <w:t>▲</w:t>
            </w:r>
            <w:r>
              <w:rPr>
                <w:rFonts w:hint="eastAsia" w:cs="Times New Roman" w:asciiTheme="minorEastAsia" w:hAnsiTheme="minorEastAsia"/>
                <w:color w:val="000000"/>
                <w:kern w:val="0"/>
                <w:szCs w:val="21"/>
                <w:lang w:val="en-US" w:eastAsia="zh-CN"/>
              </w:rPr>
              <w:t>20、尺寸稳定性%：±2</w:t>
            </w:r>
          </w:p>
          <w:p>
            <w:pPr>
              <w:widowControl/>
              <w:spacing w:line="360" w:lineRule="auto"/>
              <w:contextualSpacing/>
              <w:jc w:val="left"/>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21、HDPE性能指标应符合《垃圾填埋场用高密度聚乙烯土工膜》（CJ/T 234-2006）的要求</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平方米</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92415.04</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配套导气石笼</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1、HDPE穿孔管：规格De160，材质PE100，长度（m）：300</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2、级配碎石：规格Ø20-50</w:t>
            </w:r>
            <w:r>
              <w:rPr>
                <w:rFonts w:hint="eastAsia" w:cs="Times New Roman" w:asciiTheme="minorEastAsia" w:hAnsiTheme="minorEastAsia"/>
                <w:color w:val="000000"/>
                <w:kern w:val="0"/>
                <w:szCs w:val="21"/>
                <w:lang w:val="en-US" w:eastAsia="zh-CN"/>
              </w:rPr>
              <w:tab/>
            </w:r>
            <w:r>
              <w:rPr>
                <w:rFonts w:hint="eastAsia" w:cs="Times New Roman" w:asciiTheme="minorEastAsia" w:hAnsiTheme="minorEastAsia"/>
                <w:color w:val="000000"/>
                <w:kern w:val="0"/>
                <w:szCs w:val="21"/>
                <w:lang w:val="en-US" w:eastAsia="zh-CN"/>
              </w:rPr>
              <w:t>（mm），数量：105立方米</w:t>
            </w:r>
          </w:p>
          <w:p>
            <w:pPr>
              <w:widowControl/>
              <w:spacing w:line="360" w:lineRule="auto"/>
              <w:contextualSpacing/>
              <w:jc w:val="left"/>
              <w:rPr>
                <w:rFonts w:hint="eastAsia" w:cs="Times New Roman" w:asciiTheme="minorEastAsia" w:hAnsiTheme="minorEastAsia"/>
                <w:color w:val="000000"/>
                <w:kern w:val="0"/>
                <w:szCs w:val="21"/>
                <w:lang w:val="en-US" w:eastAsia="zh-CN"/>
              </w:rPr>
            </w:pPr>
            <w:r>
              <w:rPr>
                <w:rFonts w:hint="eastAsia" w:cs="Times New Roman" w:asciiTheme="minorEastAsia" w:hAnsiTheme="minorEastAsia"/>
                <w:color w:val="000000"/>
                <w:kern w:val="0"/>
                <w:szCs w:val="21"/>
                <w:lang w:val="en-US" w:eastAsia="zh-CN"/>
              </w:rPr>
              <w:t>3、三通</w:t>
            </w:r>
            <w:r>
              <w:rPr>
                <w:rFonts w:hint="eastAsia" w:cs="Times New Roman" w:asciiTheme="minorEastAsia" w:hAnsiTheme="minorEastAsia"/>
                <w:color w:val="000000"/>
                <w:kern w:val="0"/>
                <w:szCs w:val="21"/>
                <w:lang w:val="en-US" w:eastAsia="zh-CN"/>
              </w:rPr>
              <w:tab/>
            </w:r>
            <w:r>
              <w:rPr>
                <w:rFonts w:hint="eastAsia" w:cs="Times New Roman" w:asciiTheme="minorEastAsia" w:hAnsiTheme="minorEastAsia"/>
                <w:color w:val="000000"/>
                <w:kern w:val="0"/>
                <w:szCs w:val="21"/>
                <w:lang w:val="en-US" w:eastAsia="zh-CN"/>
              </w:rPr>
              <w:t>：规格：DN150，材质PE100，数量43个</w:t>
            </w:r>
          </w:p>
          <w:p>
            <w:pPr>
              <w:widowControl/>
              <w:spacing w:line="360" w:lineRule="auto"/>
              <w:contextualSpacing/>
              <w:jc w:val="left"/>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en-US" w:eastAsia="zh-CN"/>
              </w:rPr>
              <w:t>4、临时雨盖：2.0mm</w:t>
            </w:r>
            <w:r>
              <w:rPr>
                <w:rFonts w:hint="eastAsia" w:cs="Times New Roman" w:asciiTheme="minorEastAsia" w:hAnsiTheme="minorEastAsia"/>
                <w:color w:val="000000"/>
                <w:kern w:val="0"/>
                <w:szCs w:val="21"/>
                <w:lang w:val="en-US" w:eastAsia="zh-CN"/>
              </w:rPr>
              <w:tab/>
            </w:r>
            <w:r>
              <w:rPr>
                <w:rFonts w:hint="eastAsia" w:cs="Times New Roman" w:asciiTheme="minorEastAsia" w:hAnsiTheme="minorEastAsia"/>
                <w:color w:val="000000"/>
                <w:kern w:val="0"/>
                <w:szCs w:val="21"/>
                <w:lang w:val="en-US" w:eastAsia="zh-CN"/>
              </w:rPr>
              <w:t>HDPE膜43平方米</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eastAsia="zh-CN"/>
              </w:rPr>
            </w:pPr>
            <w:r>
              <w:rPr>
                <w:rFonts w:hint="eastAsia" w:cs="Times New Roman" w:asciiTheme="minorEastAsia" w:hAnsiTheme="minorEastAsia"/>
                <w:color w:val="000000"/>
                <w:kern w:val="0"/>
                <w:szCs w:val="21"/>
                <w:lang w:val="en-US" w:eastAsia="zh-CN"/>
              </w:rPr>
              <w:t>眼</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lang w:val="zh-CN" w:eastAsia="zh-CN"/>
              </w:rPr>
            </w:pPr>
            <w:r>
              <w:rPr>
                <w:rFonts w:hint="eastAsia" w:cs="Times New Roman" w:asciiTheme="minorEastAsia" w:hAnsiTheme="minorEastAsia"/>
                <w:color w:val="000000"/>
                <w:kern w:val="0"/>
                <w:szCs w:val="21"/>
                <w:lang w:val="en-US" w:eastAsia="zh-CN"/>
              </w:rPr>
              <w:t>43</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cs="Times New Roman" w:asciiTheme="minorEastAsia" w:hAnsiTheme="minorEastAsia"/>
                <w:color w:val="000000"/>
                <w:kern w:val="0"/>
                <w:szCs w:val="21"/>
                <w:lang w:val="zh-CN"/>
              </w:rPr>
            </w:pPr>
            <w:r>
              <w:rPr>
                <w:rFonts w:hint="eastAsia" w:cs="Times New Roman" w:asciiTheme="minorEastAsia" w:hAnsiTheme="minorEastAsia"/>
                <w:color w:val="000000"/>
                <w:kern w:val="0"/>
                <w:szCs w:val="21"/>
                <w:lang w:val="zh-CN"/>
              </w:rPr>
              <w:t>是</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w:t>
      </w:r>
      <w:r>
        <w:rPr>
          <w:rFonts w:hint="eastAsia" w:cs="宋体" w:asciiTheme="minorEastAsia" w:hAnsiTheme="minorEastAsia"/>
          <w:b/>
          <w:color w:val="000000"/>
          <w:kern w:val="0"/>
          <w:sz w:val="24"/>
          <w:szCs w:val="24"/>
          <w:highlight w:val="none"/>
          <w:lang w:val="zh-CN"/>
        </w:rPr>
        <w:t>采购标的的其他技术、服务等要求</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1、HDPE膜铺设技术要求</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1）HDPE土工膜铺设前应请勘察、设计单位共同对现场条件进行全面确认，保证堆体顶部和边坡基础表面平整，没有凹凸不平现象，无尖刺颗粒等杂物，无可能破坏HDPE膜的各种杂物。采购人有权对中标的防渗材料质量（各项性能指标、表面是否有气泡、孔洞、皱纹、破损等）进行抽样送检，送检机构为省级及以上质检部门或具有相关资质的第三方检测机构，检测费用由中标单位支付。</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（2）铺设HDPE膜时每卷材料应进行编号，并按顺序进行铺设，土工膜编号后交业主单位存档，以便检测。</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（3）现场存放的HDPE膜不得长时间暴晒，并远离火源。</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（4）在HDPE膜铺设过程中，工作人员不得穿对土工膜有损伤的鞋子，不得在铺设现场吸烟。</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（5）铺设好的HDPE膜应及时压放土袋，以防被风刮起。</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（6）HDPE膜铺设施工应在气温5℃以上，风力4级以下并无雨、无雪的天气下进行。</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（7）不允许任何车辆直接在HDPE膜和土工布上通行。</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（8）HDPE膜中间平台锚固沟及坡顶锚固沟内不得有树根及明显尖刺物。</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（9）现场应备有足够焊接设备，确保焊接施工能连续进行。</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（10）现场应设备检测实验室，并配备必要的检测设备，现场检测包括对HDPE膜焊接进行目检、压力试验、真空试验和破坏性试验。</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（11）HDPE膜焊接位置及焊接技术要求</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1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①</w:t>
      </w:r>
      <w:r>
        <w:rPr>
          <w:rFonts w:hint="eastAsia" w:ascii="宋体" w:cs="宋体"/>
          <w:sz w:val="24"/>
          <w:highlight w:val="none"/>
          <w:lang w:val="en-US" w:eastAsia="zh-CN"/>
        </w:rPr>
        <w:fldChar w:fldCharType="end"/>
      </w:r>
      <w:r>
        <w:rPr>
          <w:rFonts w:hint="eastAsia" w:ascii="宋体" w:cs="宋体"/>
          <w:sz w:val="24"/>
          <w:highlight w:val="none"/>
          <w:lang w:val="en-US" w:eastAsia="zh-CN"/>
        </w:rPr>
        <w:t>在边坡上铺设HDPE膜时，其焊缝应从上到下，基本与等高线垂直，不允许在斜坡上出现水平方向的焊接，边坡与场底和坝顶交界处不能设焊缝，焊缝应跨过交界处1.5m。</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2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②</w:t>
      </w:r>
      <w:r>
        <w:rPr>
          <w:rFonts w:hint="eastAsia" w:ascii="宋体" w:cs="宋体"/>
          <w:sz w:val="24"/>
          <w:highlight w:val="none"/>
          <w:lang w:val="en-US" w:eastAsia="zh-CN"/>
        </w:rPr>
        <w:fldChar w:fldCharType="end"/>
      </w:r>
      <w:r>
        <w:rPr>
          <w:rFonts w:hint="eastAsia" w:ascii="宋体" w:cs="宋体"/>
          <w:sz w:val="24"/>
          <w:highlight w:val="none"/>
          <w:lang w:val="en-US" w:eastAsia="zh-CN"/>
        </w:rPr>
        <w:t>应将拐角处的焊接及焊缝和不规则几何形状减至最少。</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3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③</w:t>
      </w:r>
      <w:r>
        <w:rPr>
          <w:rFonts w:hint="eastAsia" w:ascii="宋体" w:cs="宋体"/>
          <w:sz w:val="24"/>
          <w:highlight w:val="none"/>
          <w:lang w:val="en-US" w:eastAsia="zh-CN"/>
        </w:rPr>
        <w:fldChar w:fldCharType="end"/>
      </w:r>
      <w:r>
        <w:rPr>
          <w:rFonts w:hint="eastAsia" w:ascii="宋体" w:cs="宋体"/>
          <w:sz w:val="24"/>
          <w:highlight w:val="none"/>
          <w:lang w:val="en-US" w:eastAsia="zh-CN"/>
        </w:rPr>
        <w:t>在焊接设备焊接的样品没有通过检查之前不得开始进行正式焊接。</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4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④</w:t>
      </w:r>
      <w:r>
        <w:rPr>
          <w:rFonts w:hint="eastAsia" w:ascii="宋体" w:cs="宋体"/>
          <w:sz w:val="24"/>
          <w:highlight w:val="none"/>
          <w:lang w:val="en-US" w:eastAsia="zh-CN"/>
        </w:rPr>
        <w:fldChar w:fldCharType="end"/>
      </w:r>
      <w:r>
        <w:rPr>
          <w:rFonts w:hint="eastAsia" w:ascii="宋体" w:cs="宋体"/>
          <w:sz w:val="24"/>
          <w:highlight w:val="none"/>
          <w:lang w:val="en-US" w:eastAsia="zh-CN"/>
        </w:rPr>
        <w:t>HDPE膜焊接前必须保证膜面清洁，没有灰尘等污物。</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5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⑤</w:t>
      </w:r>
      <w:r>
        <w:rPr>
          <w:rFonts w:hint="eastAsia" w:ascii="宋体" w:cs="宋体"/>
          <w:sz w:val="24"/>
          <w:highlight w:val="none"/>
          <w:lang w:val="en-US" w:eastAsia="zh-CN"/>
        </w:rPr>
        <w:fldChar w:fldCharType="end"/>
      </w:r>
      <w:r>
        <w:rPr>
          <w:rFonts w:hint="eastAsia" w:ascii="宋体" w:cs="宋体"/>
          <w:sz w:val="24"/>
          <w:highlight w:val="none"/>
          <w:lang w:val="en-US" w:eastAsia="zh-CN"/>
        </w:rPr>
        <w:t>HDPE膜焊接时膜的重叠部分不得少于100mm。</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6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⑥</w:t>
      </w:r>
      <w:r>
        <w:rPr>
          <w:rFonts w:hint="eastAsia" w:ascii="宋体" w:cs="宋体"/>
          <w:sz w:val="24"/>
          <w:highlight w:val="none"/>
          <w:lang w:val="en-US" w:eastAsia="zh-CN"/>
        </w:rPr>
        <w:fldChar w:fldCharType="end"/>
      </w:r>
      <w:r>
        <w:rPr>
          <w:rFonts w:hint="eastAsia" w:ascii="宋体" w:cs="宋体"/>
          <w:sz w:val="24"/>
          <w:highlight w:val="none"/>
          <w:lang w:val="en-US" w:eastAsia="zh-CN"/>
        </w:rPr>
        <w:t>HDPE膜焊接采用双焊缝搭焊，挤压焊接仅用在修复且焊接设备达不到的地方。</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7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⑦</w:t>
      </w:r>
      <w:r>
        <w:rPr>
          <w:rFonts w:hint="eastAsia" w:ascii="宋体" w:cs="宋体"/>
          <w:sz w:val="24"/>
          <w:highlight w:val="none"/>
          <w:lang w:val="en-US" w:eastAsia="zh-CN"/>
        </w:rPr>
        <w:fldChar w:fldCharType="end"/>
      </w:r>
      <w:r>
        <w:rPr>
          <w:rFonts w:hint="eastAsia" w:ascii="宋体" w:cs="宋体"/>
          <w:sz w:val="24"/>
          <w:highlight w:val="none"/>
          <w:lang w:val="en-US" w:eastAsia="zh-CN"/>
        </w:rPr>
        <w:t>HDPE膜的焊接部位强度应大于母材强度。</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8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⑧</w:t>
      </w:r>
      <w:r>
        <w:rPr>
          <w:rFonts w:hint="eastAsia" w:ascii="宋体" w:cs="宋体"/>
          <w:sz w:val="24"/>
          <w:highlight w:val="none"/>
          <w:lang w:val="en-US" w:eastAsia="zh-CN"/>
        </w:rPr>
        <w:fldChar w:fldCharType="end"/>
      </w:r>
      <w:r>
        <w:rPr>
          <w:rFonts w:hint="eastAsia" w:ascii="宋体" w:cs="宋体"/>
          <w:sz w:val="24"/>
          <w:highlight w:val="none"/>
          <w:lang w:val="en-US" w:eastAsia="zh-CN"/>
        </w:rPr>
        <w:t>HDPE膜穿管处的焊接应满足相关焊接规范的要求。</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fldChar w:fldCharType="begin"/>
      </w:r>
      <w:r>
        <w:rPr>
          <w:rFonts w:hint="eastAsia" w:ascii="宋体" w:cs="宋体"/>
          <w:sz w:val="24"/>
          <w:highlight w:val="none"/>
          <w:lang w:val="en-US" w:eastAsia="zh-CN"/>
        </w:rPr>
        <w:instrText xml:space="preserve"> = 9 \* GB3 \* MERGEFORMAT </w:instrText>
      </w:r>
      <w:r>
        <w:rPr>
          <w:rFonts w:hint="eastAsia" w:ascii="宋体" w:cs="宋体"/>
          <w:sz w:val="24"/>
          <w:highlight w:val="none"/>
          <w:lang w:val="en-US" w:eastAsia="zh-CN"/>
        </w:rPr>
        <w:fldChar w:fldCharType="separate"/>
      </w:r>
      <w:r>
        <w:rPr>
          <w:rFonts w:hint="eastAsia" w:ascii="宋体" w:cs="宋体"/>
          <w:sz w:val="24"/>
          <w:highlight w:val="none"/>
          <w:lang w:val="zh-CN"/>
        </w:rPr>
        <w:t>⑨</w:t>
      </w:r>
      <w:r>
        <w:rPr>
          <w:rFonts w:hint="eastAsia" w:ascii="宋体" w:cs="宋体"/>
          <w:sz w:val="24"/>
          <w:highlight w:val="none"/>
          <w:lang w:val="en-US" w:eastAsia="zh-CN"/>
        </w:rPr>
        <w:fldChar w:fldCharType="end"/>
      </w:r>
      <w:r>
        <w:rPr>
          <w:rFonts w:hint="eastAsia" w:ascii="宋体" w:cs="宋体"/>
          <w:sz w:val="24"/>
          <w:highlight w:val="none"/>
          <w:lang w:val="en-US" w:eastAsia="zh-CN"/>
        </w:rPr>
        <w:t>HDPE膜铺好之后应立即焊接。</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2、导气石笼安装要求</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（1）导气石笼采用钻孔导气井进行填埋气体导排，全场共需钻孔43眼，孔径为800mm；</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（2）导气井位置可根据实际地形变化进行局部调整，但应保持石笼井纵横间距30米不变；</w:t>
      </w:r>
    </w:p>
    <w:p>
      <w:pPr>
        <w:wordWrap w:val="0"/>
        <w:topLinePunct/>
        <w:spacing w:line="360" w:lineRule="auto"/>
        <w:ind w:firstLine="480" w:firstLineChars="200"/>
        <w:rPr>
          <w:rFonts w:hint="default" w:ascii="宋体" w:cs="宋体"/>
          <w:sz w:val="24"/>
          <w:highlight w:val="none"/>
          <w:lang w:val="en-US" w:eastAsia="zh-CN"/>
        </w:rPr>
      </w:pPr>
      <w:r>
        <w:rPr>
          <w:rFonts w:hint="eastAsia" w:ascii="宋体" w:cs="宋体"/>
          <w:sz w:val="24"/>
          <w:highlight w:val="none"/>
          <w:lang w:val="en-US" w:eastAsia="zh-CN"/>
        </w:rPr>
        <w:t>（3）导气井钻孔深度不应小于所在位置填埋深度的2/3，本项目按平均5m计，具体以实际发生量为准。</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3、质保期最低3年。</w:t>
      </w:r>
    </w:p>
    <w:p>
      <w:pPr>
        <w:wordWrap w:val="0"/>
        <w:topLinePunct/>
        <w:spacing w:line="360" w:lineRule="auto"/>
        <w:ind w:firstLine="480" w:firstLineChars="200"/>
        <w:rPr>
          <w:rFonts w:hint="eastAsia" w:ascii="宋体" w:cs="宋体"/>
          <w:sz w:val="24"/>
          <w:highlight w:val="none"/>
          <w:lang w:val="en-US" w:eastAsia="zh-CN"/>
        </w:rPr>
      </w:pPr>
      <w:r>
        <w:rPr>
          <w:rFonts w:hint="eastAsia" w:ascii="宋体" w:cs="宋体"/>
          <w:sz w:val="24"/>
          <w:highlight w:val="none"/>
          <w:lang w:val="en-US" w:eastAsia="zh-CN"/>
        </w:rPr>
        <w:t>4、HDPE膜铺设前须按业主要求对垃圾堆体进行整形、道路铺设、安装导气石笼等前期工作，HDPE膜铺设完成后还需进行压固与锚固，详情如下：堆体整形941.14m2（含垃圾挖方、机械推垃圾、机械碾压、垃圾倒运）；道路铺设（含挖土方570m3、余方弃置570m3、铺设碎石1380m2）；压固系统（素土630m3、0.8m</w:t>
      </w:r>
      <w:r>
        <w:rPr>
          <w:rFonts w:hint="eastAsia" w:ascii="宋体" w:cs="宋体"/>
          <w:sz w:val="24"/>
          <w:highlight w:val="none"/>
          <w:lang w:val="zh-CN"/>
        </w:rPr>
        <w:t>×</w:t>
      </w:r>
      <w:r>
        <w:rPr>
          <w:rFonts w:hint="eastAsia" w:ascii="宋体" w:cs="宋体"/>
          <w:sz w:val="24"/>
          <w:highlight w:val="none"/>
          <w:lang w:val="en-US" w:eastAsia="zh-CN"/>
        </w:rPr>
        <w:t>0.4mHDPE素土袋990个、直径650㎜废旧轮胎1500个、碎石150m3）;锚固沟675.93m2（含挖土方540.74m3）。</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5</w:t>
      </w:r>
      <w:r>
        <w:rPr>
          <w:rFonts w:hint="eastAsia" w:ascii="宋体" w:cs="宋体"/>
          <w:sz w:val="24"/>
          <w:highlight w:val="none"/>
          <w:lang w:val="zh-CN"/>
        </w:rPr>
        <w:t>、投标人须明确投标产品的厂家、产地、品牌、型号、详细参数，</w:t>
      </w:r>
      <w:r>
        <w:rPr>
          <w:rFonts w:hint="eastAsia" w:ascii="宋体" w:cs="宋体"/>
          <w:b/>
          <w:sz w:val="24"/>
          <w:highlight w:val="none"/>
          <w:lang w:val="zh-CN"/>
        </w:rPr>
        <w:t>否则为无效投标。</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en-US" w:eastAsia="zh-CN"/>
        </w:rPr>
        <w:t>6</w:t>
      </w:r>
      <w:r>
        <w:rPr>
          <w:rFonts w:hint="eastAsia" w:ascii="宋体" w:cs="宋体"/>
          <w:sz w:val="24"/>
          <w:highlight w:val="none"/>
          <w:lang w:val="zh-CN"/>
        </w:rPr>
        <w:t>、投标人应就本项目完整投标，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en-US" w:eastAsia="zh-CN"/>
        </w:rPr>
        <w:t>7</w:t>
      </w:r>
      <w:r>
        <w:rPr>
          <w:rFonts w:hint="eastAsia" w:ascii="宋体" w:cs="宋体"/>
          <w:sz w:val="24"/>
          <w:highlight w:val="none"/>
          <w:lang w:val="zh-CN"/>
        </w:rPr>
        <w:t>、所投产品必须符合国家质量检测标准和本招标文件规定标准的全新正品现货。</w:t>
      </w:r>
    </w:p>
    <w:p>
      <w:pPr>
        <w:wordWrap w:val="0"/>
        <w:topLinePunct/>
        <w:spacing w:line="360" w:lineRule="auto"/>
        <w:ind w:firstLine="480" w:firstLineChars="200"/>
        <w:rPr>
          <w:rFonts w:ascii="宋体" w:cs="宋体"/>
          <w:b/>
          <w:sz w:val="24"/>
          <w:highlight w:val="none"/>
          <w:lang w:val="zh-CN"/>
        </w:rPr>
      </w:pPr>
      <w:r>
        <w:rPr>
          <w:rFonts w:hint="eastAsia" w:ascii="宋体" w:cs="宋体"/>
          <w:sz w:val="24"/>
          <w:highlight w:val="none"/>
          <w:lang w:val="en-US" w:eastAsia="zh-CN"/>
        </w:rPr>
        <w:t>8</w:t>
      </w:r>
      <w:r>
        <w:rPr>
          <w:rFonts w:hint="eastAsia" w:ascii="宋体" w:cs="宋体"/>
          <w:sz w:val="24"/>
          <w:highlight w:val="none"/>
          <w:lang w:val="zh-CN"/>
        </w:rPr>
        <w:t>、本项目为交钥匙工程。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pStyle w:val="21"/>
        <w:widowControl/>
        <w:shd w:val="clear" w:color="auto" w:fill="FFFFFF"/>
        <w:spacing w:line="360" w:lineRule="auto"/>
        <w:ind w:firstLine="420"/>
        <w:contextualSpacing/>
        <w:jc w:val="left"/>
        <w:rPr>
          <w:rFonts w:hint="eastAsia" w:ascii="宋体" w:cs="宋体" w:hAnsiTheme="minorHAnsi" w:eastAsiaTheme="minorEastAsia"/>
          <w:kern w:val="2"/>
          <w:sz w:val="24"/>
          <w:szCs w:val="22"/>
          <w:highlight w:val="none"/>
          <w:lang w:val="zh-CN" w:eastAsia="zh-CN" w:bidi="ar-SA"/>
        </w:rPr>
      </w:pPr>
      <w:r>
        <w:rPr>
          <w:rFonts w:hint="eastAsia" w:ascii="宋体" w:cs="宋体" w:hAnsiTheme="minorHAnsi" w:eastAsiaTheme="minorEastAsia"/>
          <w:kern w:val="2"/>
          <w:sz w:val="24"/>
          <w:szCs w:val="22"/>
          <w:highlight w:val="none"/>
          <w:lang w:val="zh-CN" w:eastAsia="zh-CN" w:bidi="ar-SA"/>
        </w:rPr>
        <w:t>由采购人成立验收小组,按照采购合同的约定对中标人履约情况进行验收。验收时,按照采购合同的约定对每一项技术、服务、安全标准的履约情况进行确认。验收结束后,出具验收书。</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400万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400万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w:t>
      </w:r>
      <w:r>
        <w:rPr>
          <w:rFonts w:hint="eastAsia" w:cs="宋体" w:asciiTheme="minorEastAsia" w:hAnsiTheme="minorEastAsia"/>
          <w:color w:val="000000"/>
          <w:kern w:val="0"/>
          <w:sz w:val="24"/>
          <w:szCs w:val="24"/>
          <w:lang w:val="zh-CN"/>
        </w:rPr>
        <w:t>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2、支付时间及条件：经验收合格后于4个月内付合同金额总价款的90%，剩余10%满一年无质量问题一次付清。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垃圾填埋场整形覆膜</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070</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对垃圾填埋场进行覆盖</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w:t>
            </w:r>
            <w:r>
              <w:rPr>
                <w:rFonts w:hint="eastAsia" w:cs="仿宋_GB2312" w:asciiTheme="minorEastAsia" w:hAnsiTheme="minorEastAsia"/>
                <w:szCs w:val="21"/>
                <w:lang w:eastAsia="zh-CN"/>
              </w:rPr>
              <w:t>生活垃圾填埋场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许昌市环境卫生管理处</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地址：魏都区车站路8号</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联系人：丁艳春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w:t>
            </w:r>
            <w:r>
              <w:rPr>
                <w:rFonts w:hint="eastAsia" w:cs="仿宋_GB2312" w:asciiTheme="minorEastAsia" w:hAnsiTheme="minorEastAsia"/>
                <w:szCs w:val="21"/>
              </w:rPr>
              <w:t>2788661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400万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金额：捌万元（¥</w:t>
            </w:r>
            <w:r>
              <w:rPr>
                <w:rFonts w:hint="eastAsia" w:cs="仿宋_GB2312" w:asciiTheme="minorEastAsia" w:hAnsiTheme="minorEastAsia"/>
                <w:szCs w:val="21"/>
                <w:lang w:val="en-US" w:eastAsia="zh-CN"/>
              </w:rPr>
              <w:t>80000</w:t>
            </w:r>
            <w:r>
              <w:rPr>
                <w:rFonts w:hint="eastAsia" w:cs="仿宋_GB2312" w:asciiTheme="minorEastAsia" w:hAnsiTheme="minorEastAsia"/>
                <w:szCs w:val="21"/>
                <w:lang w:val="zh-CN"/>
              </w:rPr>
              <w:t>元 ）</w:t>
            </w:r>
            <w:bookmarkStart w:id="14" w:name="_GoBack"/>
            <w:bookmarkEnd w:id="14"/>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cs="仿宋_GB2312" w:asciiTheme="minorEastAsia" w:hAnsiTheme="minorEastAsia"/>
                <w:szCs w:val="21"/>
                <w:u w:val="none"/>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40"/>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0"/>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0"/>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40"/>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40"/>
        <w:numPr>
          <w:ilvl w:val="0"/>
          <w:numId w:val="8"/>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8"/>
                <w:rFonts w:hint="eastAsia" w:asciiTheme="minorEastAsia" w:hAnsiTheme="minorEastAsia"/>
                <w:bCs/>
                <w:szCs w:val="21"/>
                <w:highlight w:val="none"/>
              </w:rPr>
              <w:t>www.creditchina.gov.cn</w:t>
            </w:r>
            <w:r>
              <w:rPr>
                <w:rStyle w:val="28"/>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8"/>
                <w:rFonts w:asciiTheme="minorEastAsia" w:hAnsiTheme="minorEastAsia"/>
                <w:bCs/>
                <w:szCs w:val="21"/>
                <w:highlight w:val="none"/>
              </w:rPr>
              <w:t>www.gsxt.gov.cn</w:t>
            </w:r>
            <w:r>
              <w:rPr>
                <w:rStyle w:val="28"/>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26</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21</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提供自</w:t>
            </w:r>
            <w:r>
              <w:rPr>
                <w:rFonts w:hint="eastAsia" w:asciiTheme="minorEastAsia" w:hAnsiTheme="minorEastAsia"/>
                <w:szCs w:val="21"/>
                <w:lang w:val="en-US" w:eastAsia="zh-CN"/>
              </w:rPr>
              <w:t>2017</w:t>
            </w:r>
            <w:r>
              <w:rPr>
                <w:rFonts w:hint="eastAsia" w:asciiTheme="minorEastAsia" w:hAnsiTheme="minorEastAsia"/>
                <w:szCs w:val="21"/>
              </w:rPr>
              <w:t>年以来</w:t>
            </w:r>
            <w:r>
              <w:rPr>
                <w:rFonts w:hint="eastAsia" w:asciiTheme="minorEastAsia" w:hAnsiTheme="minorEastAsia"/>
                <w:szCs w:val="21"/>
                <w:lang w:eastAsia="zh-CN"/>
              </w:rPr>
              <w:t>类似</w:t>
            </w:r>
            <w:r>
              <w:rPr>
                <w:rFonts w:hint="eastAsia" w:asciiTheme="minorEastAsia" w:hAnsiTheme="minorEastAsia"/>
                <w:szCs w:val="21"/>
              </w:rPr>
              <w:t>的</w:t>
            </w:r>
            <w:r>
              <w:rPr>
                <w:rFonts w:hint="eastAsia" w:asciiTheme="minorEastAsia" w:hAnsiTheme="minorEastAsia"/>
                <w:szCs w:val="21"/>
                <w:lang w:eastAsia="zh-CN"/>
              </w:rPr>
              <w:t>业绩</w:t>
            </w:r>
            <w:r>
              <w:rPr>
                <w:rFonts w:hint="eastAsia" w:asciiTheme="minorEastAsia" w:hAnsiTheme="minorEastAsia"/>
                <w:szCs w:val="21"/>
              </w:rPr>
              <w:t>，中标通知书</w:t>
            </w:r>
            <w:r>
              <w:rPr>
                <w:rFonts w:hint="eastAsia" w:asciiTheme="minorEastAsia" w:hAnsiTheme="minorEastAsia"/>
                <w:szCs w:val="21"/>
                <w:lang w:eastAsia="zh-CN"/>
              </w:rPr>
              <w:t>（另须提供</w:t>
            </w:r>
            <w:r>
              <w:rPr>
                <w:rFonts w:hint="eastAsia" w:asciiTheme="minorEastAsia" w:hAnsiTheme="minorEastAsia"/>
                <w:szCs w:val="21"/>
              </w:rPr>
              <w:t>中标</w:t>
            </w:r>
            <w:r>
              <w:rPr>
                <w:rFonts w:hint="eastAsia" w:asciiTheme="minorEastAsia" w:hAnsiTheme="minorEastAsia"/>
                <w:szCs w:val="21"/>
                <w:lang w:eastAsia="zh-CN"/>
              </w:rPr>
              <w:t>公告网上截屏）</w:t>
            </w:r>
            <w:r>
              <w:rPr>
                <w:rFonts w:hint="eastAsia" w:asciiTheme="minorEastAsia" w:hAnsiTheme="minorEastAsia"/>
                <w:szCs w:val="21"/>
              </w:rPr>
              <w:t>、合同</w:t>
            </w:r>
            <w:r>
              <w:rPr>
                <w:rFonts w:hint="eastAsia" w:asciiTheme="minorEastAsia" w:hAnsiTheme="minorEastAsia"/>
                <w:szCs w:val="21"/>
                <w:lang w:eastAsia="zh-CN"/>
              </w:rPr>
              <w:t>文件</w:t>
            </w:r>
            <w:r>
              <w:rPr>
                <w:rFonts w:hint="eastAsia" w:asciiTheme="minorEastAsia" w:hAnsiTheme="minorEastAsia"/>
                <w:szCs w:val="21"/>
              </w:rPr>
              <w:t>，每个</w:t>
            </w:r>
            <w:r>
              <w:rPr>
                <w:rFonts w:hint="eastAsia" w:asciiTheme="minorEastAsia" w:hAnsiTheme="minorEastAsia"/>
                <w:szCs w:val="21"/>
                <w:lang w:val="en-US" w:eastAsia="zh-CN"/>
              </w:rPr>
              <w:t>3</w:t>
            </w:r>
            <w:r>
              <w:rPr>
                <w:rFonts w:hint="eastAsia" w:asciiTheme="minorEastAsia" w:hAnsiTheme="minorEastAsia"/>
                <w:szCs w:val="21"/>
              </w:rPr>
              <w:t>分，满分</w:t>
            </w:r>
            <w:r>
              <w:rPr>
                <w:rFonts w:hint="eastAsia" w:asciiTheme="minorEastAsia" w:hAnsiTheme="minorEastAsia"/>
                <w:szCs w:val="21"/>
                <w:lang w:val="en-US" w:eastAsia="zh-CN"/>
              </w:rPr>
              <w:t>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11</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投标人</w:t>
            </w:r>
            <w:r>
              <w:rPr>
                <w:rFonts w:hint="eastAsia" w:asciiTheme="minorEastAsia" w:hAnsiTheme="minorEastAsia"/>
                <w:szCs w:val="21"/>
                <w:lang w:eastAsia="zh-CN"/>
              </w:rPr>
              <w:t>具有通过中国国家认证认可监督管理委员会批准的认证机构出具的</w:t>
            </w:r>
            <w:r>
              <w:rPr>
                <w:rFonts w:hint="eastAsia" w:asciiTheme="minorEastAsia" w:hAnsiTheme="minorEastAsia"/>
                <w:szCs w:val="21"/>
              </w:rPr>
              <w:t>并提供ISO9001质量</w:t>
            </w:r>
            <w:r>
              <w:rPr>
                <w:rFonts w:hint="eastAsia" w:asciiTheme="minorEastAsia" w:hAnsiTheme="minorEastAsia"/>
                <w:szCs w:val="21"/>
                <w:lang w:eastAsia="zh-CN"/>
              </w:rPr>
              <w:t>管理</w:t>
            </w:r>
            <w:r>
              <w:rPr>
                <w:rFonts w:hint="eastAsia" w:asciiTheme="minorEastAsia" w:hAnsiTheme="minorEastAsia"/>
                <w:szCs w:val="21"/>
              </w:rPr>
              <w:t>体系认证证书、ISO14001环境</w:t>
            </w:r>
            <w:r>
              <w:rPr>
                <w:rFonts w:hint="eastAsia" w:asciiTheme="minorEastAsia" w:hAnsiTheme="minorEastAsia"/>
                <w:szCs w:val="21"/>
                <w:lang w:eastAsia="zh-CN"/>
              </w:rPr>
              <w:t>管理</w:t>
            </w:r>
            <w:r>
              <w:rPr>
                <w:rFonts w:hint="eastAsia" w:asciiTheme="minorEastAsia" w:hAnsiTheme="minorEastAsia"/>
                <w:szCs w:val="21"/>
              </w:rPr>
              <w:t>体系认证证书、OHSAS18001</w:t>
            </w:r>
            <w:r>
              <w:rPr>
                <w:rFonts w:hint="eastAsia" w:asciiTheme="minorEastAsia" w:hAnsiTheme="minorEastAsia"/>
                <w:szCs w:val="21"/>
                <w:lang w:eastAsia="zh-CN"/>
              </w:rPr>
              <w:t>职业</w:t>
            </w:r>
            <w:r>
              <w:rPr>
                <w:rFonts w:hint="eastAsia" w:asciiTheme="minorEastAsia" w:hAnsiTheme="minorEastAsia"/>
                <w:szCs w:val="21"/>
              </w:rPr>
              <w:t>健康</w:t>
            </w:r>
            <w:r>
              <w:rPr>
                <w:rFonts w:hint="eastAsia" w:asciiTheme="minorEastAsia" w:hAnsiTheme="minorEastAsia"/>
                <w:szCs w:val="21"/>
                <w:lang w:eastAsia="zh-CN"/>
              </w:rPr>
              <w:t>安全管理</w:t>
            </w:r>
            <w:r>
              <w:rPr>
                <w:rFonts w:hint="eastAsia" w:asciiTheme="minorEastAsia" w:hAnsiTheme="minorEastAsia"/>
                <w:szCs w:val="21"/>
              </w:rPr>
              <w:t>体系认证证书，每提供一项得</w:t>
            </w:r>
            <w:r>
              <w:rPr>
                <w:rFonts w:hint="eastAsia" w:asciiTheme="minorEastAsia" w:hAnsiTheme="minorEastAsia"/>
                <w:szCs w:val="21"/>
                <w:lang w:val="en-US" w:eastAsia="zh-CN"/>
              </w:rPr>
              <w:t>2</w:t>
            </w:r>
            <w:r>
              <w:rPr>
                <w:rFonts w:hint="eastAsia" w:asciiTheme="minorEastAsia" w:hAnsiTheme="minorEastAsia"/>
                <w:szCs w:val="21"/>
              </w:rPr>
              <w:t>分,</w:t>
            </w:r>
            <w:r>
              <w:rPr>
                <w:rFonts w:hint="eastAsia" w:asciiTheme="minorEastAsia" w:hAnsiTheme="minorEastAsia"/>
                <w:szCs w:val="21"/>
                <w:lang w:eastAsia="zh-CN"/>
              </w:rPr>
              <w:t>最高得</w:t>
            </w:r>
            <w:r>
              <w:rPr>
                <w:rFonts w:hint="eastAsia" w:asciiTheme="minorEastAsia" w:hAnsiTheme="minorEastAsia"/>
                <w:szCs w:val="21"/>
                <w:lang w:val="en-US" w:eastAsia="zh-CN"/>
              </w:rPr>
              <w:t>6</w:t>
            </w:r>
            <w:r>
              <w:rPr>
                <w:rFonts w:hint="eastAsia" w:asciiTheme="minorEastAsia" w:hAnsiTheme="minorEastAsia"/>
                <w:szCs w:val="21"/>
              </w:rPr>
              <w:t>分</w:t>
            </w:r>
            <w:r>
              <w:rPr>
                <w:rFonts w:hint="eastAsia" w:asciiTheme="minorEastAsia" w:hAnsiTheme="minorEastAsia"/>
                <w:szCs w:val="21"/>
                <w:lang w:eastAsia="zh-CN"/>
              </w:rPr>
              <w:t>。</w:t>
            </w:r>
          </w:p>
          <w:p>
            <w:pPr>
              <w:spacing w:line="360" w:lineRule="auto"/>
              <w:rPr>
                <w:rFonts w:hint="eastAsia" w:asciiTheme="minorEastAsia" w:hAnsiTheme="minorEastAsia"/>
                <w:szCs w:val="21"/>
                <w:lang w:eastAsia="zh-CN"/>
              </w:rPr>
            </w:pPr>
            <w:r>
              <w:rPr>
                <w:rFonts w:hint="eastAsia" w:asciiTheme="minorEastAsia" w:hAnsiTheme="minorEastAsia"/>
                <w:szCs w:val="21"/>
                <w:lang w:val="en-US" w:eastAsia="zh-CN"/>
              </w:rPr>
              <w:t>2、</w:t>
            </w:r>
            <w:r>
              <w:rPr>
                <w:rFonts w:hint="eastAsia" w:asciiTheme="minorEastAsia" w:hAnsiTheme="minorEastAsia"/>
                <w:szCs w:val="21"/>
              </w:rPr>
              <w:t>投标人</w:t>
            </w:r>
            <w:r>
              <w:rPr>
                <w:rFonts w:hint="eastAsia" w:asciiTheme="minorEastAsia" w:hAnsiTheme="minorEastAsia"/>
                <w:szCs w:val="21"/>
                <w:lang w:val="en-US" w:eastAsia="zh-CN"/>
              </w:rPr>
              <w:t>具有市级及以上政府或各职能部门颁发的荣誉证书，</w:t>
            </w:r>
            <w:r>
              <w:rPr>
                <w:rFonts w:hint="eastAsia" w:asciiTheme="minorEastAsia" w:hAnsiTheme="minorEastAsia"/>
                <w:szCs w:val="21"/>
              </w:rPr>
              <w:t>每提供一项得</w:t>
            </w:r>
            <w:r>
              <w:rPr>
                <w:rFonts w:hint="eastAsia" w:asciiTheme="minorEastAsia" w:hAnsiTheme="minorEastAsia"/>
                <w:szCs w:val="21"/>
                <w:lang w:val="en-US" w:eastAsia="zh-CN"/>
              </w:rPr>
              <w:t>1</w:t>
            </w:r>
            <w:r>
              <w:rPr>
                <w:rFonts w:hint="eastAsia" w:asciiTheme="minorEastAsia" w:hAnsiTheme="minorEastAsia"/>
                <w:szCs w:val="21"/>
              </w:rPr>
              <w:t>分,</w:t>
            </w:r>
            <w:r>
              <w:rPr>
                <w:rFonts w:hint="eastAsia" w:asciiTheme="minorEastAsia" w:hAnsiTheme="minorEastAsia"/>
                <w:szCs w:val="21"/>
                <w:lang w:eastAsia="zh-CN"/>
              </w:rPr>
              <w:t>最高得</w:t>
            </w:r>
            <w:r>
              <w:rPr>
                <w:rFonts w:hint="eastAsia" w:asciiTheme="minorEastAsia" w:hAnsiTheme="minorEastAsia"/>
                <w:szCs w:val="21"/>
                <w:lang w:val="en-US" w:eastAsia="zh-CN"/>
              </w:rPr>
              <w:t>2</w:t>
            </w:r>
            <w:r>
              <w:rPr>
                <w:rFonts w:hint="eastAsia" w:asciiTheme="minorEastAsia" w:hAnsiTheme="minorEastAsia"/>
                <w:szCs w:val="21"/>
              </w:rPr>
              <w:t>分</w:t>
            </w:r>
            <w:r>
              <w:rPr>
                <w:rFonts w:hint="eastAsia" w:asciiTheme="minorEastAsia" w:hAnsiTheme="minorEastAsia"/>
                <w:szCs w:val="21"/>
                <w:lang w:eastAsia="zh-CN"/>
              </w:rPr>
              <w:t>。</w:t>
            </w:r>
          </w:p>
          <w:p>
            <w:pPr>
              <w:spacing w:line="360" w:lineRule="auto"/>
              <w:rPr>
                <w:rFonts w:hint="eastAsia" w:asciiTheme="minorEastAsia" w:hAnsiTheme="minorEastAsia"/>
                <w:szCs w:val="21"/>
                <w:lang w:val="zh-CN"/>
              </w:rPr>
            </w:pPr>
            <w:r>
              <w:rPr>
                <w:rFonts w:hint="eastAsia" w:asciiTheme="minorEastAsia" w:hAnsiTheme="minorEastAsia"/>
                <w:szCs w:val="21"/>
                <w:lang w:val="en-US" w:eastAsia="zh-CN"/>
              </w:rPr>
              <w:t>3、</w:t>
            </w:r>
            <w:r>
              <w:rPr>
                <w:rFonts w:hint="eastAsia" w:asciiTheme="minorEastAsia" w:hAnsiTheme="minorEastAsia"/>
                <w:szCs w:val="21"/>
                <w:lang w:eastAsia="zh-CN"/>
              </w:rPr>
              <w:t>投标人提供信用评估机构出具的信用评估报告，信用等级为AAA级得3分；信用等级为AA级得2分；信用等级为A级得1分。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投标人认证</w:t>
            </w:r>
          </w:p>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eastAsia="zh-CN"/>
              </w:rPr>
            </w:pPr>
            <w:r>
              <w:rPr>
                <w:rFonts w:hint="eastAsia" w:asciiTheme="minorEastAsia" w:hAnsiTheme="minorEastAsia"/>
                <w:szCs w:val="21"/>
                <w:lang w:val="en-US" w:eastAsia="zh-CN"/>
              </w:rPr>
              <w:t>1、</w:t>
            </w:r>
            <w:r>
              <w:rPr>
                <w:rFonts w:hint="eastAsia" w:asciiTheme="minorEastAsia" w:hAnsiTheme="minorEastAsia"/>
                <w:szCs w:val="21"/>
              </w:rPr>
              <w:t>投标人</w:t>
            </w:r>
            <w:r>
              <w:rPr>
                <w:rFonts w:hint="eastAsia" w:asciiTheme="minorEastAsia" w:hAnsiTheme="minorEastAsia"/>
                <w:szCs w:val="21"/>
                <w:lang w:eastAsia="zh-CN"/>
              </w:rPr>
              <w:t>或所投</w:t>
            </w:r>
            <w:r>
              <w:rPr>
                <w:rFonts w:hint="eastAsia" w:asciiTheme="minorEastAsia" w:hAnsiTheme="minorEastAsia"/>
                <w:szCs w:val="21"/>
                <w:lang w:val="en-US" w:eastAsia="zh-CN"/>
              </w:rPr>
              <w:t>双光面HDPE</w:t>
            </w:r>
            <w:r>
              <w:rPr>
                <w:rFonts w:hint="eastAsia" w:asciiTheme="minorEastAsia" w:hAnsiTheme="minorEastAsia"/>
                <w:szCs w:val="21"/>
                <w:lang w:eastAsia="zh-CN"/>
              </w:rPr>
              <w:t>土工膜授权生产商是土工膜国家相关标准参编单位的得</w:t>
            </w:r>
            <w:r>
              <w:rPr>
                <w:rFonts w:hint="eastAsia" w:asciiTheme="minorEastAsia" w:hAnsiTheme="minorEastAsia"/>
                <w:szCs w:val="21"/>
                <w:lang w:val="en-US" w:eastAsia="zh-CN"/>
              </w:rPr>
              <w:t>2分</w:t>
            </w:r>
            <w:r>
              <w:rPr>
                <w:rFonts w:hint="eastAsia" w:asciiTheme="minorEastAsia" w:hAnsiTheme="minorEastAsia"/>
                <w:szCs w:val="21"/>
              </w:rPr>
              <w:t>，否则不得分。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2、</w:t>
            </w:r>
            <w:r>
              <w:rPr>
                <w:rFonts w:hint="eastAsia" w:asciiTheme="minorEastAsia" w:hAnsiTheme="minorEastAsia"/>
                <w:szCs w:val="21"/>
              </w:rPr>
              <w:t>投标人</w:t>
            </w:r>
            <w:r>
              <w:rPr>
                <w:rFonts w:hint="eastAsia" w:asciiTheme="minorEastAsia" w:hAnsiTheme="minorEastAsia"/>
                <w:szCs w:val="21"/>
                <w:lang w:eastAsia="zh-CN"/>
              </w:rPr>
              <w:t>或所投</w:t>
            </w:r>
            <w:r>
              <w:rPr>
                <w:rFonts w:hint="eastAsia" w:asciiTheme="minorEastAsia" w:hAnsiTheme="minorEastAsia"/>
                <w:szCs w:val="21"/>
                <w:lang w:val="en-US" w:eastAsia="zh-CN"/>
              </w:rPr>
              <w:t>双光面HDPE</w:t>
            </w:r>
            <w:r>
              <w:rPr>
                <w:rFonts w:hint="eastAsia" w:asciiTheme="minorEastAsia" w:hAnsiTheme="minorEastAsia"/>
                <w:szCs w:val="21"/>
                <w:lang w:eastAsia="zh-CN"/>
              </w:rPr>
              <w:t>土工膜授权生产商</w:t>
            </w:r>
            <w:r>
              <w:rPr>
                <w:rFonts w:hint="eastAsia" w:asciiTheme="minorEastAsia" w:hAnsiTheme="minorEastAsia"/>
                <w:szCs w:val="21"/>
              </w:rPr>
              <w:t>具有</w:t>
            </w:r>
            <w:r>
              <w:rPr>
                <w:rFonts w:hint="eastAsia" w:asciiTheme="minorEastAsia" w:hAnsiTheme="minorEastAsia"/>
                <w:szCs w:val="21"/>
                <w:lang w:eastAsia="zh-CN"/>
              </w:rPr>
              <w:t>中国环境标志产品认证</w:t>
            </w:r>
            <w:r>
              <w:rPr>
                <w:rFonts w:hint="eastAsia" w:asciiTheme="minorEastAsia" w:hAnsiTheme="minorEastAsia"/>
                <w:szCs w:val="21"/>
              </w:rPr>
              <w:t>证书得</w:t>
            </w:r>
            <w:r>
              <w:rPr>
                <w:rFonts w:hint="eastAsia" w:asciiTheme="minorEastAsia" w:hAnsiTheme="minorEastAsia"/>
                <w:szCs w:val="21"/>
                <w:lang w:val="en-US" w:eastAsia="zh-CN"/>
              </w:rPr>
              <w:t>4</w:t>
            </w:r>
            <w:r>
              <w:rPr>
                <w:rFonts w:hint="eastAsia" w:asciiTheme="minorEastAsia" w:hAnsiTheme="minorEastAsia"/>
                <w:szCs w:val="21"/>
              </w:rPr>
              <w:t>分</w:t>
            </w:r>
            <w:r>
              <w:rPr>
                <w:rFonts w:hint="eastAsia" w:asciiTheme="minorEastAsia" w:hAnsiTheme="minorEastAsia"/>
                <w:szCs w:val="21"/>
                <w:lang w:eastAsia="zh-CN"/>
              </w:rPr>
              <w:t>，认证范围需包含高密度聚乙烯土工膜（</w:t>
            </w:r>
            <w:r>
              <w:rPr>
                <w:rFonts w:hint="eastAsia" w:asciiTheme="minorEastAsia" w:hAnsiTheme="minorEastAsia"/>
                <w:szCs w:val="21"/>
                <w:lang w:val="en-US" w:eastAsia="zh-CN"/>
              </w:rPr>
              <w:t>HDPE</w:t>
            </w:r>
            <w:r>
              <w:rPr>
                <w:rFonts w:hint="eastAsia" w:asciiTheme="minorEastAsia" w:hAnsiTheme="minorEastAsia"/>
                <w:szCs w:val="21"/>
                <w:lang w:eastAsia="zh-CN"/>
              </w:rPr>
              <w:t>土工膜），否则不得分</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26</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26</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rPr>
              <w:t>投标人</w:t>
            </w:r>
            <w:r>
              <w:rPr>
                <w:rFonts w:hint="eastAsia" w:asciiTheme="minorEastAsia" w:hAnsiTheme="minorEastAsia"/>
                <w:szCs w:val="21"/>
                <w:lang w:eastAsia="zh-CN"/>
              </w:rPr>
              <w:t>在</w:t>
            </w:r>
            <w:r>
              <w:rPr>
                <w:rFonts w:hint="eastAsia" w:asciiTheme="minorEastAsia" w:hAnsiTheme="minorEastAsia"/>
                <w:szCs w:val="21"/>
              </w:rPr>
              <w:t>完全响应招标文件技术</w:t>
            </w:r>
            <w:r>
              <w:rPr>
                <w:rFonts w:hint="eastAsia" w:asciiTheme="minorEastAsia" w:hAnsiTheme="minorEastAsia"/>
                <w:szCs w:val="21"/>
                <w:lang w:eastAsia="zh-CN"/>
              </w:rPr>
              <w:t>基础上</w:t>
            </w:r>
            <w:r>
              <w:rPr>
                <w:rFonts w:hint="eastAsia" w:asciiTheme="minorEastAsia" w:hAnsiTheme="minorEastAsia"/>
                <w:szCs w:val="21"/>
              </w:rPr>
              <w:t>，每有一项优于</w:t>
            </w:r>
            <w:r>
              <w:rPr>
                <w:rFonts w:hint="eastAsia" w:asciiTheme="minorEastAsia" w:hAnsiTheme="minorEastAsia"/>
                <w:szCs w:val="21"/>
                <w:lang w:eastAsia="zh-CN"/>
              </w:rPr>
              <w:t>带</w:t>
            </w:r>
            <w:r>
              <w:rPr>
                <w:rFonts w:hint="eastAsia" w:asciiTheme="minorEastAsia" w:hAnsiTheme="minorEastAsia"/>
                <w:szCs w:val="21"/>
              </w:rPr>
              <w:t>▲</w:t>
            </w:r>
            <w:r>
              <w:rPr>
                <w:rFonts w:hint="eastAsia" w:asciiTheme="minorEastAsia" w:hAnsiTheme="minorEastAsia"/>
                <w:szCs w:val="21"/>
                <w:lang w:eastAsia="zh-CN"/>
              </w:rPr>
              <w:t>得</w:t>
            </w:r>
            <w:r>
              <w:rPr>
                <w:rFonts w:hint="eastAsia" w:asciiTheme="minorEastAsia" w:hAnsiTheme="minorEastAsia"/>
                <w:szCs w:val="21"/>
                <w:lang w:val="en-US" w:eastAsia="zh-CN"/>
              </w:rPr>
              <w:t>2</w:t>
            </w:r>
            <w:r>
              <w:rPr>
                <w:rFonts w:hint="eastAsia" w:asciiTheme="minorEastAsia" w:hAnsiTheme="minorEastAsia"/>
                <w:szCs w:val="21"/>
              </w:rPr>
              <w:t>分</w:t>
            </w:r>
            <w:r>
              <w:rPr>
                <w:rFonts w:hint="eastAsia" w:asciiTheme="minorEastAsia" w:hAnsiTheme="minorEastAsia"/>
                <w:szCs w:val="21"/>
                <w:lang w:eastAsia="zh-CN"/>
              </w:rPr>
              <w:t>（所投</w:t>
            </w:r>
            <w:r>
              <w:rPr>
                <w:rFonts w:hint="eastAsia" w:asciiTheme="minorEastAsia" w:hAnsiTheme="minorEastAsia"/>
                <w:szCs w:val="21"/>
                <w:lang w:val="en-US" w:eastAsia="zh-CN"/>
              </w:rPr>
              <w:t>双光面HDPE</w:t>
            </w:r>
            <w:r>
              <w:rPr>
                <w:rFonts w:hint="eastAsia" w:asciiTheme="minorEastAsia" w:hAnsiTheme="minorEastAsia"/>
                <w:szCs w:val="21"/>
                <w:lang w:eastAsia="zh-CN"/>
              </w:rPr>
              <w:t>土工膜具有</w:t>
            </w:r>
            <w:r>
              <w:rPr>
                <w:rFonts w:hint="eastAsia" w:asciiTheme="minorEastAsia" w:hAnsiTheme="minorEastAsia"/>
                <w:szCs w:val="21"/>
              </w:rPr>
              <w:t>优于</w:t>
            </w:r>
            <w:r>
              <w:rPr>
                <w:rFonts w:hint="eastAsia" w:asciiTheme="minorEastAsia" w:hAnsiTheme="minorEastAsia"/>
                <w:szCs w:val="21"/>
                <w:lang w:eastAsia="zh-CN"/>
              </w:rPr>
              <w:t>带</w:t>
            </w:r>
            <w:r>
              <w:rPr>
                <w:rFonts w:hint="eastAsia" w:asciiTheme="minorEastAsia" w:hAnsiTheme="minorEastAsia"/>
                <w:szCs w:val="21"/>
              </w:rPr>
              <w:t>▲</w:t>
            </w:r>
            <w:r>
              <w:rPr>
                <w:rFonts w:hint="eastAsia" w:asciiTheme="minorEastAsia" w:hAnsiTheme="minorEastAsia"/>
                <w:szCs w:val="21"/>
                <w:lang w:eastAsia="zh-CN"/>
              </w:rPr>
              <w:t>的参数须经国家级检测机构出具的检验合格报告）</w:t>
            </w:r>
            <w:r>
              <w:rPr>
                <w:rFonts w:hint="eastAsia" w:asciiTheme="minorEastAsia" w:hAnsiTheme="minorEastAsia"/>
                <w:szCs w:val="21"/>
              </w:rPr>
              <w:t>，</w:t>
            </w:r>
            <w:r>
              <w:rPr>
                <w:rFonts w:hint="eastAsia" w:asciiTheme="minorEastAsia" w:hAnsiTheme="minorEastAsia"/>
                <w:szCs w:val="21"/>
                <w:lang w:eastAsia="zh-CN"/>
              </w:rPr>
              <w:t>否则不得分，</w:t>
            </w:r>
            <w:r>
              <w:rPr>
                <w:rFonts w:hint="eastAsia" w:asciiTheme="minorEastAsia" w:hAnsiTheme="minorEastAsia"/>
                <w:szCs w:val="21"/>
              </w:rPr>
              <w:t>最高得</w:t>
            </w:r>
            <w:r>
              <w:rPr>
                <w:rFonts w:hint="eastAsia" w:asciiTheme="minorEastAsia" w:hAnsiTheme="minorEastAsia"/>
                <w:szCs w:val="21"/>
                <w:lang w:val="en-US" w:eastAsia="zh-CN"/>
              </w:rPr>
              <w:t>26</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21</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17</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lang w:val="en-GB"/>
              </w:rPr>
            </w:pPr>
            <w:r>
              <w:rPr>
                <w:rFonts w:hint="eastAsia" w:asciiTheme="minorEastAsia" w:hAnsiTheme="minorEastAsia"/>
                <w:szCs w:val="21"/>
                <w:lang w:val="en-GB"/>
              </w:rPr>
              <w:t>有健全的售后服务规章制度、详细售后服务计划，每项得</w:t>
            </w:r>
            <w:r>
              <w:rPr>
                <w:rFonts w:hint="eastAsia" w:asciiTheme="minorEastAsia" w:hAnsiTheme="minorEastAsia"/>
                <w:szCs w:val="21"/>
                <w:lang w:val="en-US" w:eastAsia="zh-CN"/>
              </w:rPr>
              <w:t>2</w:t>
            </w:r>
            <w:r>
              <w:rPr>
                <w:rFonts w:hint="eastAsia" w:asciiTheme="minorEastAsia" w:hAnsiTheme="minorEastAsia"/>
                <w:szCs w:val="21"/>
                <w:lang w:val="en-GB"/>
              </w:rPr>
              <w:t>分，满分</w:t>
            </w:r>
            <w:r>
              <w:rPr>
                <w:rFonts w:hint="eastAsia" w:asciiTheme="minorEastAsia" w:hAnsiTheme="minorEastAsia"/>
                <w:szCs w:val="21"/>
                <w:lang w:val="en-US" w:eastAsia="zh-CN"/>
              </w:rPr>
              <w:t>4</w:t>
            </w:r>
            <w:r>
              <w:rPr>
                <w:rFonts w:hint="eastAsia" w:asciiTheme="minorEastAsia" w:hAnsiTheme="minorEastAsia"/>
                <w:szCs w:val="21"/>
                <w:lang w:val="en-GB"/>
              </w:rPr>
              <w:t>分，不提供不得分。</w:t>
            </w:r>
          </w:p>
          <w:p>
            <w:pPr>
              <w:spacing w:line="360" w:lineRule="auto"/>
              <w:rPr>
                <w:rFonts w:hint="eastAsia" w:asciiTheme="minorEastAsia" w:hAnsiTheme="minorEastAsia"/>
                <w:szCs w:val="21"/>
                <w:lang w:val="en-GB"/>
              </w:rPr>
            </w:pPr>
            <w:r>
              <w:rPr>
                <w:rFonts w:hint="eastAsia" w:asciiTheme="minorEastAsia" w:hAnsiTheme="minorEastAsia"/>
                <w:szCs w:val="21"/>
                <w:lang w:val="en-US" w:eastAsia="zh-CN"/>
              </w:rPr>
              <w:t>2</w:t>
            </w:r>
            <w:r>
              <w:rPr>
                <w:rFonts w:hint="eastAsia" w:asciiTheme="minorEastAsia" w:hAnsiTheme="minorEastAsia"/>
                <w:szCs w:val="21"/>
                <w:lang w:val="en-GB"/>
              </w:rPr>
              <w:t>、投标人免费提供技术培训服务，</w:t>
            </w:r>
            <w:r>
              <w:rPr>
                <w:rFonts w:hint="eastAsia" w:asciiTheme="minorEastAsia" w:hAnsiTheme="minorEastAsia"/>
                <w:szCs w:val="21"/>
                <w:lang w:val="en-GB" w:eastAsia="zh-CN"/>
              </w:rPr>
              <w:t>承诺</w:t>
            </w:r>
            <w:r>
              <w:rPr>
                <w:rFonts w:hint="eastAsia" w:asciiTheme="minorEastAsia" w:hAnsiTheme="minorEastAsia"/>
                <w:szCs w:val="21"/>
                <w:lang w:val="en-GB"/>
              </w:rPr>
              <w:t>为采购方培养合格的</w:t>
            </w:r>
            <w:r>
              <w:rPr>
                <w:rFonts w:hint="eastAsia" w:asciiTheme="minorEastAsia" w:hAnsiTheme="minorEastAsia"/>
                <w:szCs w:val="21"/>
                <w:lang w:val="en-GB" w:eastAsia="zh-CN"/>
              </w:rPr>
              <w:t>维护</w:t>
            </w:r>
            <w:r>
              <w:rPr>
                <w:rFonts w:hint="eastAsia" w:asciiTheme="minorEastAsia" w:hAnsiTheme="minorEastAsia"/>
                <w:szCs w:val="21"/>
                <w:lang w:val="en-GB"/>
              </w:rPr>
              <w:t>人员的得2分。</w: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t>3、质保期3年基础上每增加1年得1分，满分5分，如使用授权厂家产品，则需提供授权厂家针对本项目的质保承诺书。</w:t>
            </w:r>
          </w:p>
          <w:p>
            <w:pPr>
              <w:spacing w:line="360" w:lineRule="auto"/>
              <w:rPr>
                <w:rFonts w:hint="eastAsia"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投标企业能够提供售后服务人员</w:t>
            </w:r>
            <w:r>
              <w:rPr>
                <w:rFonts w:hint="eastAsia" w:asciiTheme="minorEastAsia" w:hAnsiTheme="minorEastAsia"/>
                <w:szCs w:val="21"/>
                <w:lang w:eastAsia="zh-CN"/>
              </w:rPr>
              <w:t>防水工中级及以上从业资格证书，</w:t>
            </w:r>
            <w:r>
              <w:rPr>
                <w:rFonts w:hint="eastAsia" w:asciiTheme="minorEastAsia" w:hAnsiTheme="minorEastAsia"/>
                <w:szCs w:val="21"/>
              </w:rPr>
              <w:t>每提供一</w:t>
            </w:r>
            <w:r>
              <w:rPr>
                <w:rFonts w:hint="eastAsia" w:asciiTheme="minorEastAsia" w:hAnsiTheme="minorEastAsia"/>
                <w:szCs w:val="21"/>
                <w:lang w:eastAsia="zh-CN"/>
              </w:rPr>
              <w:t>个</w:t>
            </w:r>
            <w:r>
              <w:rPr>
                <w:rFonts w:hint="eastAsia" w:asciiTheme="minorEastAsia" w:hAnsiTheme="minorEastAsia"/>
                <w:szCs w:val="21"/>
              </w:rPr>
              <w:t>得</w:t>
            </w:r>
            <w:r>
              <w:rPr>
                <w:rFonts w:hint="eastAsia" w:asciiTheme="minorEastAsia" w:hAnsiTheme="minorEastAsia"/>
                <w:szCs w:val="21"/>
                <w:lang w:val="en-US" w:eastAsia="zh-CN"/>
              </w:rPr>
              <w:t>3</w:t>
            </w:r>
            <w:r>
              <w:rPr>
                <w:rFonts w:hint="eastAsia" w:asciiTheme="minorEastAsia" w:hAnsiTheme="minorEastAsia"/>
                <w:szCs w:val="21"/>
              </w:rPr>
              <w:t>分,满分</w:t>
            </w:r>
            <w:r>
              <w:rPr>
                <w:rFonts w:hint="eastAsia" w:asciiTheme="minorEastAsia" w:hAnsiTheme="minorEastAsia"/>
                <w:szCs w:val="21"/>
                <w:lang w:val="en-US" w:eastAsia="zh-CN"/>
              </w:rPr>
              <w:t>6</w:t>
            </w:r>
            <w:r>
              <w:rPr>
                <w:rFonts w:hint="eastAsia" w:asciiTheme="minorEastAsia" w:hAnsiTheme="minorEastAsia"/>
                <w:szCs w:val="21"/>
              </w:rPr>
              <w:t>分。</w:t>
            </w:r>
            <w:r>
              <w:rPr>
                <w:rFonts w:hint="eastAsia" w:asciiTheme="minorEastAsia" w:hAnsiTheme="minorEastAsia"/>
                <w:szCs w:val="21"/>
                <w:lang w:eastAsia="zh-CN"/>
              </w:rPr>
              <w:t>（须提供投标人近三个月为其</w:t>
            </w:r>
            <w:r>
              <w:rPr>
                <w:rFonts w:hint="eastAsia" w:asciiTheme="minorEastAsia" w:hAnsiTheme="minorEastAsia"/>
                <w:szCs w:val="21"/>
              </w:rPr>
              <w:t>缴纳社保的证明材料复印件加盖公章</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szCs w:val="21"/>
              </w:rPr>
            </w:pPr>
            <w:r>
              <w:rPr>
                <w:rFonts w:hint="eastAsia" w:asciiTheme="minorEastAsia" w:hAnsiTheme="minorEastAsia"/>
                <w:szCs w:val="21"/>
                <w:lang w:val="en-GB"/>
              </w:rPr>
              <w:t>1、</w:t>
            </w:r>
            <w:r>
              <w:rPr>
                <w:rFonts w:hint="eastAsia" w:asciiTheme="minorEastAsia" w:hAnsiTheme="minorEastAsia"/>
                <w:szCs w:val="21"/>
              </w:rPr>
              <w:t>投标文件的编制符合招标文件的规定，装订整齐规范的，得</w:t>
            </w:r>
            <w:r>
              <w:rPr>
                <w:rFonts w:hint="eastAsia" w:asciiTheme="minorEastAsia" w:hAnsiTheme="minorEastAsia"/>
                <w:szCs w:val="21"/>
                <w:lang w:val="en-US" w:eastAsia="zh-CN"/>
              </w:rPr>
              <w:t>2</w:t>
            </w:r>
            <w:r>
              <w:rPr>
                <w:rFonts w:hint="eastAsia" w:asciiTheme="minorEastAsia" w:hAnsiTheme="minorEastAsia"/>
                <w:szCs w:val="21"/>
              </w:rPr>
              <w:t>分。</w:t>
            </w:r>
          </w:p>
          <w:p>
            <w:pPr>
              <w:spacing w:line="360" w:lineRule="auto"/>
              <w:rPr>
                <w:rFonts w:ascii="宋体" w:hAnsi="宋体" w:eastAsia="宋体" w:cs="Times New Roman"/>
                <w:szCs w:val="21"/>
              </w:rPr>
            </w:pPr>
            <w:r>
              <w:rPr>
                <w:rFonts w:hint="eastAsia" w:asciiTheme="minorEastAsia" w:hAnsiTheme="minorEastAsia"/>
                <w:szCs w:val="21"/>
                <w:lang w:val="en-GB"/>
              </w:rPr>
              <w:t>2、</w:t>
            </w:r>
            <w:r>
              <w:rPr>
                <w:rFonts w:hint="eastAsia" w:asciiTheme="minorEastAsia" w:hAnsiTheme="minorEastAsia"/>
                <w:szCs w:val="21"/>
              </w:rPr>
              <w:t>根据招标文件规定的投标文件编制要求，投标文件逻辑严紧、描述规范、无文字错误且符合编制要求的，得</w:t>
            </w:r>
            <w:r>
              <w:rPr>
                <w:rFonts w:hint="eastAsia" w:asciiTheme="minorEastAsia" w:hAnsiTheme="minorEastAsia"/>
                <w:szCs w:val="21"/>
                <w:lang w:val="en-US" w:eastAsia="zh-CN"/>
              </w:rPr>
              <w:t>2</w:t>
            </w:r>
            <w:r>
              <w:rPr>
                <w:rFonts w:hint="eastAsia" w:asciiTheme="minorEastAsia" w:hAnsiTheme="minorEastAsia"/>
                <w:szCs w:val="21"/>
              </w:rPr>
              <w:t>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highlight w:val="none"/>
        </w:rPr>
      </w:pPr>
      <w:r>
        <w:rPr>
          <w:rFonts w:hint="eastAsia" w:ascii="宋体" w:hAnsi="宋体" w:cs="微软雅黑"/>
          <w:b/>
          <w:bCs/>
          <w:szCs w:val="21"/>
        </w:rPr>
        <w:t>（此合同仅供</w:t>
      </w:r>
      <w:r>
        <w:rPr>
          <w:rFonts w:hint="eastAsia" w:ascii="宋体" w:hAnsi="宋体" w:cs="微软雅黑"/>
          <w:b/>
          <w:bCs/>
          <w:szCs w:val="21"/>
          <w:highlight w:val="none"/>
        </w:rPr>
        <w:t>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1"/>
        <w:spacing w:before="75" w:after="75"/>
        <w:rPr>
          <w:rFonts w:ascii="微软雅黑" w:hAnsi="微软雅黑" w:eastAsia="微软雅黑"/>
          <w:color w:val="000000"/>
          <w:sz w:val="27"/>
          <w:szCs w:val="27"/>
          <w:highlight w:val="none"/>
        </w:rPr>
      </w:pPr>
      <w:r>
        <w:rPr>
          <w:rFonts w:ascii="宋体" w:hAnsi="宋体" w:eastAsia="微软雅黑"/>
          <w:color w:val="000000"/>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highlight w:val="none"/>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1"/>
        <w:spacing w:before="75" w:after="75" w:line="360" w:lineRule="auto"/>
        <w:ind w:firstLine="482"/>
        <w:rPr>
          <w:rFonts w:hint="eastAsia" w:asciiTheme="minorEastAsia" w:hAnsiTheme="minorEastAsia" w:eastAsiaTheme="minorEastAsia"/>
          <w:color w:val="000000"/>
          <w:sz w:val="21"/>
          <w:szCs w:val="21"/>
          <w:highlight w:val="none"/>
          <w:lang w:eastAsia="zh-CN"/>
        </w:rPr>
      </w:pPr>
      <w:r>
        <w:rPr>
          <w:rFonts w:asciiTheme="minorEastAsia" w:hAnsiTheme="minorEastAsia" w:eastAsiaTheme="minorEastAsia"/>
          <w:color w:val="000000"/>
          <w:sz w:val="21"/>
          <w:szCs w:val="21"/>
          <w:highlight w:val="none"/>
        </w:rPr>
        <w:t>15.3合同生效：自签订之日起生效</w:t>
      </w:r>
      <w:r>
        <w:rPr>
          <w:rFonts w:hint="eastAsia" w:asciiTheme="minorEastAsia" w:hAnsiTheme="minorEastAsia" w:eastAsiaTheme="minorEastAsia"/>
          <w:color w:val="000000"/>
          <w:sz w:val="21"/>
          <w:szCs w:val="21"/>
          <w:highlight w:val="none"/>
          <w:lang w:eastAsia="zh-CN"/>
        </w:rPr>
        <w:t>。</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1"/>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单位负责人：                     单位负责人：</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1"/>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highlight w:val="none"/>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74185203"/>
      <w:bookmarkStart w:id="8" w:name="_Toc186274126"/>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4"/>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4"/>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p>
    <w:p>
      <w:pPr>
        <w:pStyle w:val="14"/>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2"/>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2"/>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firstLine="472" w:firstLineChars="225"/>
        <w:jc w:val="left"/>
        <w:rPr>
          <w:rFonts w:asciiTheme="minorEastAsia" w:hAnsiTheme="minorEastAsia"/>
          <w:color w:val="000000"/>
          <w:sz w:val="21"/>
          <w:szCs w:val="21"/>
          <w:highlight w:val="none"/>
        </w:rPr>
      </w:pPr>
    </w:p>
    <w:p>
      <w:pPr>
        <w:pStyle w:val="42"/>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4"/>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9" w:name="_资格证明文件"/>
            <w:bookmarkEnd w:id="9"/>
            <w:bookmarkStart w:id="10"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0"/>
          </w:p>
        </w:tc>
        <w:tc>
          <w:tcPr>
            <w:tcW w:w="4492" w:type="dxa"/>
            <w:gridSpan w:val="2"/>
            <w:vAlign w:val="center"/>
          </w:tcPr>
          <w:p>
            <w:pPr>
              <w:jc w:val="center"/>
              <w:rPr>
                <w:rFonts w:asciiTheme="minorEastAsia" w:hAnsiTheme="minorEastAsia"/>
                <w:szCs w:val="21"/>
                <w:highlight w:val="none"/>
              </w:rPr>
            </w:pPr>
            <w:bookmarkStart w:id="11"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1"/>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8"/>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8"/>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8"/>
              <w:spacing w:line="360" w:lineRule="auto"/>
              <w:rPr>
                <w:rFonts w:ascii="宋体" w:hAnsi="宋体" w:eastAsia="宋体" w:cs="Times New Roman"/>
                <w:sz w:val="21"/>
                <w:szCs w:val="21"/>
                <w:highlight w:val="none"/>
              </w:rPr>
            </w:pPr>
          </w:p>
        </w:tc>
        <w:tc>
          <w:tcPr>
            <w:tcW w:w="3579" w:type="dxa"/>
            <w:vAlign w:val="center"/>
          </w:tcPr>
          <w:p>
            <w:pPr>
              <w:pStyle w:val="8"/>
              <w:spacing w:line="360" w:lineRule="auto"/>
              <w:rPr>
                <w:rFonts w:ascii="宋体" w:hAnsi="宋体" w:eastAsia="宋体" w:cs="Times New Roman"/>
                <w:sz w:val="21"/>
                <w:szCs w:val="21"/>
                <w:highlight w:val="none"/>
              </w:rPr>
            </w:pPr>
          </w:p>
        </w:tc>
        <w:tc>
          <w:tcPr>
            <w:tcW w:w="1440" w:type="dxa"/>
            <w:vAlign w:val="center"/>
          </w:tcPr>
          <w:p>
            <w:pPr>
              <w:pStyle w:val="8"/>
              <w:spacing w:line="360" w:lineRule="auto"/>
              <w:rPr>
                <w:rFonts w:ascii="宋体" w:hAnsi="宋体" w:eastAsia="宋体" w:cs="Times New Roman"/>
                <w:sz w:val="21"/>
                <w:szCs w:val="21"/>
                <w:highlight w:val="none"/>
              </w:rPr>
            </w:pPr>
          </w:p>
        </w:tc>
        <w:tc>
          <w:tcPr>
            <w:tcW w:w="1706" w:type="dxa"/>
            <w:vAlign w:val="center"/>
          </w:tcPr>
          <w:p>
            <w:pPr>
              <w:pStyle w:val="8"/>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2" w:name="OLE_LINK14"/>
      <w:bookmarkStart w:id="13" w:name="OLE_LINK13"/>
      <w:r>
        <w:rPr>
          <w:rFonts w:hint="eastAsia" w:ascii="宋体" w:hAnsi="宋体"/>
          <w:b/>
          <w:bCs/>
          <w:color w:val="000000"/>
          <w:sz w:val="24"/>
          <w:szCs w:val="24"/>
          <w:highlight w:val="none"/>
        </w:rPr>
        <w:t>4.7 残疾人福利性单位声明函</w:t>
      </w:r>
    </w:p>
    <w:bookmarkEnd w:id="12"/>
    <w:bookmarkEnd w:id="13"/>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1"/>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92F2A5"/>
    <w:multiLevelType w:val="singleLevel"/>
    <w:tmpl w:val="7892F2A5"/>
    <w:lvl w:ilvl="0" w:tentative="0">
      <w:start w:val="1"/>
      <w:numFmt w:val="chineseCounting"/>
      <w:suff w:val="nothing"/>
      <w:lvlText w:val="%1、"/>
      <w:lvlJc w:val="left"/>
      <w:rPr>
        <w:rFonts w:hint="eastAsia"/>
      </w:r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6"/>
  </w:num>
  <w:num w:numId="6">
    <w:abstractNumId w:val="7"/>
  </w:num>
  <w:num w:numId="7">
    <w:abstractNumId w:val="14"/>
  </w:num>
  <w:num w:numId="8">
    <w:abstractNumId w:val="8"/>
  </w:num>
  <w:num w:numId="9">
    <w:abstractNumId w:val="4"/>
  </w:num>
  <w:num w:numId="10">
    <w:abstractNumId w:val="5"/>
  </w:num>
  <w:num w:numId="11">
    <w:abstractNumId w:val="17"/>
  </w:num>
  <w:num w:numId="12">
    <w:abstractNumId w:val="10"/>
  </w:num>
  <w:num w:numId="13">
    <w:abstractNumId w:val="15"/>
  </w:num>
  <w:num w:numId="14">
    <w:abstractNumId w:val="3"/>
  </w:num>
  <w:num w:numId="15">
    <w:abstractNumId w:val="6"/>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2C03F8A"/>
    <w:rsid w:val="02C3410A"/>
    <w:rsid w:val="057B354B"/>
    <w:rsid w:val="10E64FA4"/>
    <w:rsid w:val="13464CFF"/>
    <w:rsid w:val="1C314162"/>
    <w:rsid w:val="1EC1311C"/>
    <w:rsid w:val="23BE10D0"/>
    <w:rsid w:val="257A6AF1"/>
    <w:rsid w:val="26594BCB"/>
    <w:rsid w:val="279B317D"/>
    <w:rsid w:val="30290229"/>
    <w:rsid w:val="33BC3DF7"/>
    <w:rsid w:val="38EC27DF"/>
    <w:rsid w:val="46143EB2"/>
    <w:rsid w:val="5B1F0BB5"/>
    <w:rsid w:val="5B2D48F1"/>
    <w:rsid w:val="5FCA0F02"/>
    <w:rsid w:val="642B11B3"/>
    <w:rsid w:val="673D3CC1"/>
    <w:rsid w:val="675538D8"/>
    <w:rsid w:val="74723E08"/>
    <w:rsid w:val="757D07F4"/>
    <w:rsid w:val="76144482"/>
    <w:rsid w:val="785576BE"/>
    <w:rsid w:val="78735A1C"/>
    <w:rsid w:val="7DDF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keepLines/>
      <w:widowControl/>
      <w:overflowPunct w:val="0"/>
      <w:autoSpaceDE w:val="0"/>
      <w:autoSpaceDN w:val="0"/>
      <w:adjustRightInd w:val="0"/>
      <w:spacing w:after="240" w:afterLines="0" w:line="240" w:lineRule="auto"/>
      <w:ind w:left="1987" w:right="2880" w:hanging="1267"/>
      <w:textAlignment w:val="baseline"/>
    </w:pPr>
    <w:rPr>
      <w:rFonts w:ascii="Courier New" w:hAnsi="Courier New"/>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w:basedOn w:val="1"/>
    <w:link w:val="52"/>
    <w:semiHidden/>
    <w:unhideWhenUsed/>
    <w:qFormat/>
    <w:uiPriority w:val="99"/>
    <w:pPr>
      <w:spacing w:after="120"/>
    </w:pPr>
  </w:style>
  <w:style w:type="paragraph" w:styleId="11">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Balloon Text"/>
    <w:basedOn w:val="1"/>
    <w:link w:val="58"/>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3"/>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3"/>
    <w:qFormat/>
    <w:uiPriority w:val="0"/>
    <w:rPr>
      <w:rFonts w:ascii="Calibri" w:hAnsi="Calibri"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纯文本 Char"/>
    <w:basedOn w:val="24"/>
    <w:link w:val="14"/>
    <w:qFormat/>
    <w:uiPriority w:val="0"/>
    <w:rPr>
      <w:rFonts w:eastAsia="宋体"/>
      <w:sz w:val="24"/>
    </w:rPr>
  </w:style>
  <w:style w:type="character" w:customStyle="1" w:styleId="34">
    <w:name w:val="日期 Char"/>
    <w:basedOn w:val="24"/>
    <w:link w:val="15"/>
    <w:qFormat/>
    <w:uiPriority w:val="99"/>
  </w:style>
  <w:style w:type="character" w:customStyle="1" w:styleId="35">
    <w:name w:val="页脚 Char"/>
    <w:basedOn w:val="24"/>
    <w:link w:val="17"/>
    <w:qFormat/>
    <w:uiPriority w:val="99"/>
    <w:rPr>
      <w:sz w:val="18"/>
      <w:szCs w:val="18"/>
    </w:rPr>
  </w:style>
  <w:style w:type="character" w:customStyle="1" w:styleId="36">
    <w:name w:val="页眉 Char"/>
    <w:basedOn w:val="24"/>
    <w:link w:val="18"/>
    <w:qFormat/>
    <w:uiPriority w:val="99"/>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4"/>
    <w:link w:val="9"/>
    <w:qFormat/>
    <w:uiPriority w:val="0"/>
    <w:rPr>
      <w:rFonts w:ascii="Times New Roman" w:hAnsi="Times New Roman" w:eastAsia="宋体" w:cs="Times New Roman"/>
      <w:color w:val="FF0000"/>
      <w:sz w:val="24"/>
      <w:szCs w:val="24"/>
    </w:rPr>
  </w:style>
  <w:style w:type="character" w:customStyle="1" w:styleId="49">
    <w:name w:val="edittexttarea"/>
    <w:basedOn w:val="24"/>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4"/>
    <w:link w:val="10"/>
    <w:semiHidden/>
    <w:qFormat/>
    <w:uiPriority w:val="99"/>
  </w:style>
  <w:style w:type="character" w:customStyle="1" w:styleId="53">
    <w:name w:val="正文首行缩进 Char"/>
    <w:basedOn w:val="52"/>
    <w:link w:val="22"/>
    <w:qFormat/>
    <w:uiPriority w:val="0"/>
    <w:rPr>
      <w:rFonts w:ascii="宋体" w:hAnsi="Times New Roman" w:eastAsia="宋体" w:cs="Times New Roman"/>
      <w:kern w:val="0"/>
      <w:sz w:val="34"/>
      <w:szCs w:val="20"/>
    </w:rPr>
  </w:style>
  <w:style w:type="character" w:customStyle="1" w:styleId="54">
    <w:name w:val="HTML 预设格式 Char"/>
    <w:basedOn w:val="24"/>
    <w:link w:val="20"/>
    <w:semiHidden/>
    <w:qFormat/>
    <w:uiPriority w:val="99"/>
    <w:rPr>
      <w:rFonts w:ascii="宋体" w:hAnsi="宋体" w:eastAsia="宋体" w:cs="宋体"/>
      <w:kern w:val="0"/>
      <w:sz w:val="24"/>
      <w:szCs w:val="24"/>
    </w:rPr>
  </w:style>
  <w:style w:type="character" w:customStyle="1" w:styleId="55">
    <w:name w:val="正文文本缩进 Char"/>
    <w:link w:val="11"/>
    <w:qFormat/>
    <w:uiPriority w:val="0"/>
    <w:rPr>
      <w:sz w:val="24"/>
    </w:rPr>
  </w:style>
  <w:style w:type="character" w:customStyle="1" w:styleId="56">
    <w:name w:val="正文文本缩进 Char1"/>
    <w:basedOn w:val="24"/>
    <w:link w:val="11"/>
    <w:semiHidden/>
    <w:qFormat/>
    <w:uiPriority w:val="99"/>
  </w:style>
  <w:style w:type="character" w:styleId="57">
    <w:name w:val="Placeholder Text"/>
    <w:basedOn w:val="24"/>
    <w:semiHidden/>
    <w:qFormat/>
    <w:uiPriority w:val="99"/>
    <w:rPr>
      <w:color w:val="808080"/>
    </w:rPr>
  </w:style>
  <w:style w:type="character" w:customStyle="1" w:styleId="58">
    <w:name w:val="批注框文本 Char"/>
    <w:basedOn w:val="24"/>
    <w:link w:val="16"/>
    <w:semiHidden/>
    <w:qFormat/>
    <w:uiPriority w:val="99"/>
    <w:rPr>
      <w:sz w:val="18"/>
      <w:szCs w:val="18"/>
    </w:rPr>
  </w:style>
  <w:style w:type="character" w:customStyle="1" w:styleId="59">
    <w:name w:val="blue"/>
    <w:basedOn w:val="24"/>
    <w:qFormat/>
    <w:uiPriority w:val="0"/>
    <w:rPr>
      <w:color w:val="0371C6"/>
      <w:sz w:val="21"/>
      <w:szCs w:val="21"/>
    </w:rPr>
  </w:style>
  <w:style w:type="character" w:customStyle="1" w:styleId="60">
    <w:name w:val="green"/>
    <w:basedOn w:val="24"/>
    <w:qFormat/>
    <w:uiPriority w:val="0"/>
    <w:rPr>
      <w:color w:val="66AE00"/>
      <w:sz w:val="18"/>
      <w:szCs w:val="18"/>
    </w:rPr>
  </w:style>
  <w:style w:type="character" w:customStyle="1" w:styleId="61">
    <w:name w:val="green1"/>
    <w:basedOn w:val="24"/>
    <w:qFormat/>
    <w:uiPriority w:val="0"/>
    <w:rPr>
      <w:color w:val="66AE00"/>
      <w:sz w:val="18"/>
      <w:szCs w:val="18"/>
    </w:rPr>
  </w:style>
  <w:style w:type="character" w:customStyle="1" w:styleId="62">
    <w:name w:val="red"/>
    <w:basedOn w:val="24"/>
    <w:qFormat/>
    <w:uiPriority w:val="0"/>
    <w:rPr>
      <w:color w:val="FF0000"/>
      <w:sz w:val="18"/>
      <w:szCs w:val="18"/>
    </w:rPr>
  </w:style>
  <w:style w:type="character" w:customStyle="1" w:styleId="63">
    <w:name w:val="red1"/>
    <w:basedOn w:val="24"/>
    <w:qFormat/>
    <w:uiPriority w:val="0"/>
    <w:rPr>
      <w:color w:val="FF0000"/>
      <w:sz w:val="18"/>
      <w:szCs w:val="18"/>
    </w:rPr>
  </w:style>
  <w:style w:type="character" w:customStyle="1" w:styleId="64">
    <w:name w:val="red2"/>
    <w:basedOn w:val="24"/>
    <w:qFormat/>
    <w:uiPriority w:val="0"/>
    <w:rPr>
      <w:color w:val="CC0000"/>
    </w:rPr>
  </w:style>
  <w:style w:type="character" w:customStyle="1" w:styleId="65">
    <w:name w:val="red3"/>
    <w:basedOn w:val="24"/>
    <w:qFormat/>
    <w:uiPriority w:val="0"/>
    <w:rPr>
      <w:color w:val="FF0000"/>
    </w:rPr>
  </w:style>
  <w:style w:type="character" w:customStyle="1" w:styleId="66">
    <w:name w:val="hover25"/>
    <w:basedOn w:val="24"/>
    <w:qFormat/>
    <w:uiPriority w:val="0"/>
  </w:style>
  <w:style w:type="character" w:customStyle="1" w:styleId="67">
    <w:name w:val="gb-jt"/>
    <w:basedOn w:val="24"/>
    <w:qFormat/>
    <w:uiPriority w:val="0"/>
  </w:style>
  <w:style w:type="character" w:customStyle="1" w:styleId="68">
    <w:name w:val="right"/>
    <w:basedOn w:val="24"/>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3</TotalTime>
  <ScaleCrop>false</ScaleCrop>
  <LinksUpToDate>false</LinksUpToDate>
  <CharactersWithSpaces>37441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许昌市公共资源交易中心:杨丹丹（备用2）</cp:lastModifiedBy>
  <cp:lastPrinted>2019-04-28T07:36:00Z</cp:lastPrinted>
  <dcterms:modified xsi:type="dcterms:W3CDTF">2019-05-15T08:13:16Z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