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许昌市河湖水系水源调度中心</w:t>
      </w:r>
    </w:p>
    <w:p>
      <w:pPr>
        <w:jc w:val="center"/>
        <w:rPr>
          <w:rFonts w:ascii="微软简隶书" w:eastAsia="微软简隶书"/>
          <w:u w:val="single"/>
        </w:rPr>
      </w:pPr>
      <w:r>
        <w:rPr>
          <w:rFonts w:hint="eastAsia" w:asciiTheme="majorEastAsia" w:hAnsiTheme="majorEastAsia" w:eastAsiaTheme="majorEastAsia" w:cstheme="majorEastAsia"/>
          <w:b/>
          <w:bCs/>
          <w:color w:val="000000"/>
          <w:sz w:val="44"/>
          <w:szCs w:val="44"/>
        </w:rPr>
        <w:t>“许昌市市区河湖水系水利工程管理与保护范围调查测量工程”项目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项目编号：ZFCG-T2019</w:t>
      </w:r>
      <w:r>
        <w:rPr>
          <w:rFonts w:hint="eastAsia" w:asciiTheme="majorEastAsia" w:hAnsiTheme="majorEastAsia" w:eastAsiaTheme="majorEastAsia" w:cstheme="majorEastAsia"/>
          <w:b/>
          <w:bCs/>
          <w:sz w:val="36"/>
          <w:szCs w:val="36"/>
          <w:lang w:val="en-US" w:eastAsia="zh-CN"/>
        </w:rPr>
        <w:t>026</w:t>
      </w:r>
      <w:r>
        <w:rPr>
          <w:rFonts w:hint="eastAsia" w:asciiTheme="majorEastAsia" w:hAnsiTheme="majorEastAsia" w:eastAsiaTheme="majorEastAsia" w:cstheme="majorEastAsia"/>
          <w:b/>
          <w:bCs/>
          <w:sz w:val="36"/>
          <w:szCs w:val="36"/>
        </w:rPr>
        <w:t>号</w:t>
      </w: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采购单位：许昌市河湖水系水源调度中心</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代理机构：许昌市政府采购中心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五</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eastAsia="zh-CN"/>
        </w:rPr>
        <w:t>十五</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许昌</w:t>
      </w:r>
      <w:r>
        <w:rPr>
          <w:rFonts w:hint="eastAsia" w:ascii="宋体" w:hAnsi="宋体" w:cs="仿宋_GB2312"/>
          <w:color w:val="000000"/>
          <w:sz w:val="21"/>
          <w:szCs w:val="21"/>
          <w:shd w:val="clear" w:color="auto" w:fill="FFFFFF"/>
        </w:rPr>
        <w:t>市政府采购中心(以下简称采购中心) 受许昌市河湖水系水源调度中心的委托，对许昌市市区河湖水系水利工程管理与保护范围调查测量工程项目进行竞争性谈判</w:t>
      </w:r>
      <w:r>
        <w:rPr>
          <w:rFonts w:hint="eastAsia" w:cs="仿宋_GB2312" w:asciiTheme="minorEastAsia" w:hAnsiTheme="minorEastAsia" w:eastAsiaTheme="minorEastAsia"/>
          <w:color w:val="000000"/>
          <w:sz w:val="21"/>
          <w:szCs w:val="21"/>
          <w:shd w:val="clear" w:color="auto" w:fill="FFFFFF"/>
        </w:rPr>
        <w:t>采购</w:t>
      </w:r>
      <w:r>
        <w:rPr>
          <w:rFonts w:hint="eastAsia" w:ascii="宋体" w:hAnsi="宋体" w:cs="仿宋_GB2312"/>
          <w:color w:val="000000"/>
          <w:sz w:val="21"/>
          <w:szCs w:val="21"/>
          <w:shd w:val="clear" w:color="auto" w:fill="FFFFFF"/>
        </w:rPr>
        <w:t>。</w:t>
      </w:r>
      <w:r>
        <w:rPr>
          <w:rFonts w:hint="eastAsia" w:ascii="宋体" w:hAnsi="宋体" w:cs="微软雅黑"/>
          <w:sz w:val="21"/>
          <w:szCs w:val="21"/>
        </w:rPr>
        <w:t>现邀请符合本谈判文件规定条件的供应商前来谈判。</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（一）项目名称：许昌市市区河湖水系水利工程管理与保护范围调查测量工程</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w:t>
      </w:r>
      <w:r>
        <w:rPr>
          <w:rFonts w:hint="eastAsia" w:cs="仿宋_GB2312" w:asciiTheme="minorEastAsia" w:hAnsiTheme="minorEastAsia" w:eastAsiaTheme="minorEastAsia"/>
          <w:color w:val="000000"/>
          <w:sz w:val="21"/>
          <w:szCs w:val="21"/>
          <w:shd w:val="clear" w:color="auto" w:fill="FFFFFF"/>
          <w:lang w:val="en-US" w:eastAsia="zh-CN"/>
        </w:rPr>
        <w:t>T</w:t>
      </w:r>
      <w:r>
        <w:rPr>
          <w:rFonts w:hint="eastAsia" w:cs="仿宋_GB2312" w:asciiTheme="minorEastAsia" w:hAnsiTheme="minorEastAsia" w:eastAsiaTheme="minorEastAsia"/>
          <w:color w:val="000000"/>
          <w:sz w:val="21"/>
          <w:szCs w:val="21"/>
          <w:shd w:val="clear" w:color="auto" w:fill="FFFFFF"/>
        </w:rPr>
        <w:t>2019</w:t>
      </w:r>
      <w:r>
        <w:rPr>
          <w:rFonts w:hint="eastAsia" w:cs="仿宋_GB2312" w:asciiTheme="minorEastAsia" w:hAnsiTheme="minorEastAsia" w:eastAsiaTheme="minorEastAsia"/>
          <w:color w:val="000000"/>
          <w:sz w:val="21"/>
          <w:szCs w:val="21"/>
          <w:shd w:val="clear" w:color="auto" w:fill="FFFFFF"/>
          <w:lang w:val="en-US" w:eastAsia="zh-CN"/>
        </w:rPr>
        <w:t>026</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（三）采购方式：竞争性谈判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rPr>
        <w:t>（四）项目主要内容、数量及简要规格描述或项目基本概况介绍：</w:t>
      </w:r>
      <w:r>
        <w:rPr>
          <w:rFonts w:hint="eastAsia" w:cs="仿宋_GB2312" w:asciiTheme="minorEastAsia" w:hAnsiTheme="minorEastAsia" w:eastAsiaTheme="minorEastAsia"/>
          <w:color w:val="000000"/>
          <w:sz w:val="21"/>
          <w:szCs w:val="21"/>
          <w:shd w:val="clear" w:color="auto" w:fill="FFFFFF"/>
          <w:lang w:val="zh-CN"/>
        </w:rPr>
        <w:t>对许昌市河湖水系水源调度中心9座闸坝进行调查、确权界线测绘、界桩放样、界桩制作安装、告示牌制作安装，1:2000地形图，航片数字正射影像图,协助完成登记、办证工作。具体工作量依据有关规范执行。</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（五）预算金额：211149元。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lang w:val="zh-CN"/>
        </w:rPr>
        <w:t>自合同生效之日起</w:t>
      </w:r>
      <w:bookmarkEnd w:id="0"/>
      <w:r>
        <w:rPr>
          <w:rFonts w:hint="eastAsia" w:cs="仿宋_GB2312" w:asciiTheme="minorEastAsia" w:hAnsiTheme="minorEastAsia" w:eastAsiaTheme="minorEastAsia"/>
          <w:color w:val="000000"/>
          <w:sz w:val="21"/>
          <w:szCs w:val="21"/>
          <w:shd w:val="clear" w:color="auto" w:fill="FFFFFF"/>
          <w:lang w:val="zh-CN"/>
        </w:rPr>
        <w:t>20个日历天</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（七）交付（服务、完工）地点：关庄闸、泘沱闸、建安大道橡胶坝、前进路橡胶坝、马岗闸、永兴路橡胶坝、高营闸、王月桥闸、孙庄闸。</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（八）分包：不允许。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本项目落实中小微型企业、残疾人福利性单位扶持等相关政府采购政策。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0"/>
        <w:widowControl/>
        <w:shd w:val="clear" w:color="auto" w:fill="FFFFFF"/>
        <w:spacing w:line="360" w:lineRule="auto"/>
        <w:ind w:firstLine="420"/>
        <w:contextualSpacing/>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（二）具有测绘乙级（包含：工程测量、摄影测量与遥感、测绘航空摄影、不动产测绘、地理信息系统工程、地图编制）及以上资质。</w:t>
      </w:r>
      <w:bookmarkStart w:id="1" w:name="_GoBack"/>
      <w:bookmarkEnd w:id="1"/>
    </w:p>
    <w:p>
      <w:pPr>
        <w:pStyle w:val="20"/>
        <w:widowControl/>
        <w:shd w:val="clear" w:color="auto" w:fill="FFFFFF"/>
        <w:spacing w:line="360" w:lineRule="auto"/>
        <w:ind w:firstLine="420"/>
        <w:contextualSpacing/>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w:t>
      </w:r>
      <w:r>
        <w:rPr>
          <w:rFonts w:cs="仿宋_GB2312" w:asciiTheme="minorEastAsia" w:hAnsiTheme="minorEastAsia" w:eastAsiaTheme="minorEastAsia"/>
          <w:color w:val="000000"/>
          <w:sz w:val="21"/>
          <w:szCs w:val="21"/>
          <w:shd w:val="clear" w:color="auto" w:fill="FFFFFF"/>
        </w:rPr>
        <w:t xml:space="preserve"> 未被列入“信用中国”网站(www.creditchina.gov.cn)失信被执行人、重大税收违法案件当事人名单、政府采购严重违法失信名单的</w:t>
      </w:r>
      <w:r>
        <w:rPr>
          <w:rFonts w:hint="eastAsia" w:cs="仿宋_GB2312" w:asciiTheme="minorEastAsia" w:hAnsiTheme="minorEastAsia" w:eastAsiaTheme="minorEastAsia"/>
          <w:color w:val="000000"/>
          <w:sz w:val="21"/>
          <w:szCs w:val="21"/>
          <w:shd w:val="clear" w:color="auto" w:fill="FFFFFF"/>
        </w:rPr>
        <w:t>供应商</w:t>
      </w:r>
      <w:r>
        <w:rPr>
          <w:rFonts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000000"/>
          <w:sz w:val="21"/>
          <w:szCs w:val="21"/>
          <w:shd w:val="clear" w:color="auto" w:fill="FFFFFF"/>
        </w:rPr>
        <w:t>供应商；</w:t>
      </w:r>
      <w:r>
        <w:rPr>
          <w:rFonts w:hint="eastAsia" w:cs="仿宋_GB2312" w:asciiTheme="minorEastAsia" w:hAnsiTheme="minorEastAsia" w:eastAsiaTheme="minorEastAsia"/>
          <w:color w:val="000000"/>
          <w:sz w:val="21"/>
          <w:szCs w:val="21"/>
        </w:rPr>
        <w:t>“国家企业信用公示系统”网站（</w:t>
      </w:r>
      <w:r>
        <w:rPr>
          <w:rFonts w:cs="仿宋_GB2312" w:asciiTheme="minorEastAsia" w:hAnsiTheme="minorEastAsia" w:eastAsiaTheme="minorEastAsia"/>
          <w:color w:val="000000"/>
          <w:sz w:val="21"/>
          <w:szCs w:val="21"/>
        </w:rPr>
        <w:t>www.gsxt.gov.cn</w:t>
      </w:r>
      <w:r>
        <w:rPr>
          <w:rFonts w:hint="eastAsia" w:cs="仿宋_GB2312" w:asciiTheme="minorEastAsia" w:hAnsiTheme="minorEastAsia" w:eastAsiaTheme="minorEastAsia"/>
          <w:color w:val="000000"/>
          <w:sz w:val="21"/>
          <w:szCs w:val="21"/>
        </w:rPr>
        <w:t>）严重违法失信企业名单（黑名单）的供应商</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）严重违法失信名单的供应商。</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（四）本次采购不接受联合体响应。</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四、谈判文件的获取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响应文件提交截止时间</w:t>
      </w:r>
      <w:r>
        <w:rPr>
          <w:rFonts w:hint="eastAsia" w:cs="黑体" w:asciiTheme="minorEastAsia" w:hAnsiTheme="minorEastAsia" w:eastAsiaTheme="minorEastAsia"/>
          <w:b/>
          <w:bCs/>
          <w:color w:val="000000"/>
          <w:sz w:val="21"/>
          <w:szCs w:val="21"/>
          <w:shd w:val="clear" w:color="auto" w:fill="FFFFFF"/>
        </w:rPr>
        <w:t>及谈判响应截止时间、谈判时间</w:t>
      </w:r>
    </w:p>
    <w:p>
      <w:pPr>
        <w:pStyle w:val="20"/>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谈判响应截止时间、谈判时间：2019年</w:t>
      </w:r>
      <w:r>
        <w:rPr>
          <w:rFonts w:hint="eastAsia" w:cs="仿宋_GB2312" w:asciiTheme="minorEastAsia" w:hAnsiTheme="minorEastAsia" w:eastAsiaTheme="minorEastAsia"/>
          <w:color w:val="000000"/>
          <w:sz w:val="21"/>
          <w:szCs w:val="21"/>
          <w:u w:val="single"/>
          <w:lang w:val="en-US" w:eastAsia="zh-CN"/>
        </w:rPr>
        <w:t>5</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22</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分（北京时间），逾期送达或不符合规定的响应文件</w:t>
      </w:r>
      <w:r>
        <w:rPr>
          <w:rFonts w:hint="eastAsia" w:ascii="宋体" w:hAnsi="宋体" w:cs="微软雅黑"/>
          <w:sz w:val="21"/>
          <w:szCs w:val="21"/>
        </w:rPr>
        <w:t>恕不接受。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（二）响应文件开启时间：</w:t>
      </w:r>
      <w:r>
        <w:rPr>
          <w:rFonts w:hint="eastAsia" w:cs="仿宋_GB2312" w:asciiTheme="minorEastAsia" w:hAnsiTheme="minorEastAsia" w:eastAsiaTheme="minorEastAsia"/>
          <w:color w:val="000000"/>
          <w:sz w:val="21"/>
          <w:szCs w:val="21"/>
          <w:shd w:val="clear" w:color="auto" w:fill="FFFFFF"/>
        </w:rPr>
        <w:t>同响应文件提交截止时间。</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六、谈判响应文件递交及开启地点、谈判地点：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（一）谈判响应文件递交地点：许昌市公共资源交易中心（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eastAsia="zh-CN"/>
        </w:rPr>
        <w:t>五</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（二）谈判响应文件开启及谈判地点：许昌市公共资源交易中心（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公共资源大厦）四楼</w:t>
      </w:r>
      <w:r>
        <w:rPr>
          <w:rFonts w:hint="eastAsia" w:cs="仿宋_GB2312" w:asciiTheme="minorEastAsia" w:hAnsiTheme="minorEastAsia" w:eastAsiaTheme="minorEastAsia"/>
          <w:color w:val="000000"/>
          <w:sz w:val="21"/>
          <w:szCs w:val="21"/>
          <w:lang w:eastAsia="zh-CN"/>
        </w:rPr>
        <w:t>谈判二</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在谈判响应截止时间（谈判时间）前通过《全国公共资源交易平台(河南省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2、纸质响应文件（正本、副本各1份）和备份文件1份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在响谈判应截止时间（谈判时间）前须一并递交。</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七</w:t>
      </w:r>
      <w:r>
        <w:rPr>
          <w:rFonts w:hint="eastAsia" w:cs="黑体" w:asciiTheme="minorEastAsia" w:hAnsiTheme="minorEastAsia" w:eastAsiaTheme="minorEastAsia"/>
          <w:b/>
          <w:bCs/>
          <w:color w:val="000000"/>
          <w:sz w:val="21"/>
          <w:szCs w:val="21"/>
          <w:shd w:val="clear" w:color="auto" w:fill="FFFFFF"/>
        </w:rPr>
        <w:t>、本次采购公告同时在《中国政府采购网》、《河南省政府采购网》、《许昌市政府采购网》、《全国公共资源交易平台（河南省·许昌市）》、《中国·许昌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八</w:t>
      </w:r>
      <w:r>
        <w:rPr>
          <w:rFonts w:hint="eastAsia" w:cs="黑体" w:asciiTheme="minorEastAsia" w:hAnsiTheme="minorEastAsia" w:eastAsiaTheme="minorEastAsia"/>
          <w:b/>
          <w:bCs/>
          <w:color w:val="000000"/>
          <w:sz w:val="21"/>
          <w:szCs w:val="21"/>
          <w:shd w:val="clear" w:color="auto" w:fill="FFFFFF"/>
        </w:rPr>
        <w:t>、公告期限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lang w:eastAsia="zh-CN"/>
        </w:rPr>
        <w:t>九</w:t>
      </w:r>
      <w:r>
        <w:rPr>
          <w:rFonts w:hint="eastAsia" w:cs="黑体" w:asciiTheme="minorEastAsia" w:hAnsiTheme="minorEastAsia" w:eastAsiaTheme="minorEastAsia"/>
          <w:b/>
          <w:bCs/>
          <w:color w:val="000000"/>
          <w:sz w:val="21"/>
          <w:szCs w:val="21"/>
        </w:rPr>
        <w:t>、联系方式</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采购人：许昌市河湖水系水源调度中心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地 址：许昌市八一东路3799号水利大厦</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联系人：王 浩                  联系电话：0374-6061762</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代理机构：许昌市政府采购中心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地 址：许昌市龙兴路与竹林路交汇处公共资源大厦</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lang w:val="en-US" w:eastAsia="zh-CN"/>
        </w:rPr>
      </w:pPr>
      <w:r>
        <w:rPr>
          <w:rFonts w:hint="eastAsia" w:cs="仿宋_GB2312" w:asciiTheme="minorEastAsia" w:hAnsiTheme="minorEastAsia" w:eastAsiaTheme="minorEastAsia"/>
          <w:color w:val="000000"/>
          <w:sz w:val="21"/>
          <w:szCs w:val="21"/>
        </w:rPr>
        <w:t>联系人：</w:t>
      </w:r>
      <w:r>
        <w:rPr>
          <w:rFonts w:hint="eastAsia" w:cs="仿宋_GB2312" w:asciiTheme="minorEastAsia" w:hAnsiTheme="minorEastAsia" w:eastAsiaTheme="minorEastAsia"/>
          <w:color w:val="000000"/>
          <w:sz w:val="21"/>
          <w:szCs w:val="21"/>
          <w:lang w:eastAsia="zh-CN"/>
        </w:rPr>
        <w:t>杨</w:t>
      </w:r>
      <w:r>
        <w:rPr>
          <w:rFonts w:hint="eastAsia" w:cs="仿宋_GB2312" w:asciiTheme="minorEastAsia" w:hAnsiTheme="minorEastAsia" w:eastAsiaTheme="minorEastAsia"/>
          <w:color w:val="000000"/>
          <w:sz w:val="21"/>
          <w:szCs w:val="21"/>
        </w:rPr>
        <w:t>女士              联系电话：0374-296</w:t>
      </w:r>
      <w:r>
        <w:rPr>
          <w:rFonts w:hint="eastAsia" w:cs="仿宋_GB2312" w:asciiTheme="minorEastAsia" w:hAnsiTheme="minorEastAsia" w:eastAsiaTheme="minorEastAsia"/>
          <w:color w:val="000000"/>
          <w:sz w:val="21"/>
          <w:szCs w:val="21"/>
          <w:lang w:val="en-US" w:eastAsia="zh-CN"/>
        </w:rPr>
        <w:t>2805</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lang w:val="en-US" w:eastAsia="zh-CN"/>
        </w:rPr>
      </w:pPr>
    </w:p>
    <w:p>
      <w:pPr>
        <w:pStyle w:val="20"/>
        <w:widowControl/>
        <w:shd w:val="clear" w:color="auto" w:fill="FFFFFF"/>
        <w:spacing w:line="360" w:lineRule="auto"/>
        <w:ind w:firstLine="420"/>
        <w:contextualSpacing/>
        <w:jc w:val="left"/>
        <w:rPr>
          <w:rFonts w:hint="default" w:cs="仿宋_GB2312" w:asciiTheme="minorEastAsia" w:hAnsiTheme="minorEastAsia" w:eastAsiaTheme="minorEastAsia"/>
          <w:color w:val="000000"/>
          <w:sz w:val="21"/>
          <w:szCs w:val="21"/>
          <w:lang w:val="en-US" w:eastAsia="zh-CN"/>
        </w:rPr>
      </w:pPr>
    </w:p>
    <w:p>
      <w:pPr>
        <w:adjustRightInd w:val="0"/>
        <w:snapToGrid w:val="0"/>
        <w:spacing w:line="360" w:lineRule="auto"/>
        <w:ind w:firstLine="840" w:firstLineChars="400"/>
        <w:jc w:val="righ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许昌市河湖水系水源调度中心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jc w:val="righ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二〇一九年五月十四日</w:t>
      </w:r>
    </w:p>
    <w:p>
      <w:pPr>
        <w:adjustRightInd w:val="0"/>
        <w:snapToGrid w:val="0"/>
        <w:spacing w:line="360" w:lineRule="auto"/>
        <w:ind w:firstLine="840" w:firstLineChars="400"/>
        <w:jc w:val="left"/>
        <w:rPr>
          <w:rFonts w:hint="eastAsia" w:cs="仿宋_GB2312" w:asciiTheme="minorEastAsia" w:hAnsiTheme="minorEastAsia" w:eastAsiaTheme="minorEastAsia"/>
          <w:color w:val="000000"/>
          <w:sz w:val="21"/>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spacing w:line="360" w:lineRule="auto"/>
        <w:ind w:firstLine="482" w:firstLineChars="200"/>
        <w:contextualSpacing/>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lang w:eastAsia="zh-CN"/>
        </w:rPr>
        <w:t>一、</w:t>
      </w:r>
      <w:r>
        <w:rPr>
          <w:rFonts w:hint="eastAsia" w:cs="黑体" w:asciiTheme="minorEastAsia" w:hAnsiTheme="minorEastAsia"/>
          <w:b/>
          <w:bCs/>
          <w:color w:val="000000"/>
          <w:sz w:val="24"/>
          <w:szCs w:val="24"/>
          <w:shd w:val="clear" w:color="auto" w:fill="FFFFFF"/>
        </w:rPr>
        <w:t>本项目需实现的功能或者目标</w:t>
      </w:r>
    </w:p>
    <w:p>
      <w:pPr>
        <w:snapToGrid w:val="0"/>
        <w:spacing w:line="360" w:lineRule="auto"/>
        <w:ind w:firstLine="480" w:firstLineChars="200"/>
        <w:rPr>
          <w:rFonts w:hint="eastAsia" w:ascii="宋体" w:hAnsi="宋体" w:eastAsia="宋体" w:cs="宋体"/>
          <w:color w:val="000000"/>
          <w:kern w:val="0"/>
          <w:sz w:val="24"/>
          <w:szCs w:val="24"/>
          <w:shd w:val="clear" w:color="auto" w:fill="FFFFFF"/>
          <w:lang w:bidi="ar"/>
        </w:rPr>
      </w:pPr>
      <w:r>
        <w:rPr>
          <w:rFonts w:hint="eastAsia" w:ascii="宋体" w:hAnsi="宋体" w:eastAsia="宋体" w:cs="宋体"/>
          <w:color w:val="000000"/>
          <w:kern w:val="0"/>
          <w:sz w:val="24"/>
          <w:szCs w:val="24"/>
          <w:shd w:val="clear" w:color="auto" w:fill="FFFFFF"/>
          <w:lang w:bidi="ar"/>
        </w:rPr>
        <w:t>对关庄闸、泘沱闸、建安大道橡胶坝、前进路橡胶坝、马岗闸、永兴路橡胶坝、高营闸、王月桥闸、孙庄闸开展全面调查，开展管理范围和保护范围划定情况调查勘测，摸清现状，依据相关法规、技术标准、规划设计、水文计算等，提交技术成果，明确管理范围和保护范围划定具体任务，并提交调查报告。</w:t>
      </w:r>
    </w:p>
    <w:p>
      <w:pPr>
        <w:overflowPunct w:val="0"/>
        <w:topLinePunct/>
        <w:autoSpaceDE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1.划边定界。按照实施方案的要求，依法划定河湖及水利工程管理范围，形成规范图纸，明确边界控制点及具体坐标，并由国土部门进行确认。相应成果由所在地人民政府向社会公布。</w:t>
      </w:r>
    </w:p>
    <w:p>
      <w:pPr>
        <w:overflowPunct w:val="0"/>
        <w:topLinePunct/>
        <w:autoSpaceDE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设桩拉网。管理范围界线和权属清晰的，水利部门设立界桩等标识标牌，有条件的地方可以张拉防护网，进一步加强管理和保护力度。界桩、告示标识标牌的设立按照《河南省河湖划界确权技术参考要点》要求进行。</w:t>
      </w:r>
    </w:p>
    <w:p>
      <w:pPr>
        <w:overflowPunct w:val="0"/>
        <w:topLinePunct/>
        <w:autoSpaceDE w:val="0"/>
        <w:adjustRightInd w:val="0"/>
        <w:snapToGrid w:val="0"/>
        <w:spacing w:line="360" w:lineRule="auto"/>
        <w:ind w:firstLine="480" w:firstLineChars="200"/>
        <w:rPr>
          <w:rFonts w:hint="eastAsia" w:ascii="宋体" w:hAnsi="宋体" w:eastAsia="宋体" w:cs="宋体"/>
          <w:b/>
          <w:bCs/>
          <w:color w:val="000000"/>
          <w:sz w:val="24"/>
          <w:szCs w:val="24"/>
          <w:shd w:val="clear" w:color="auto" w:fill="FFFFFF"/>
          <w:lang w:val="zh-CN"/>
        </w:rPr>
      </w:pPr>
      <w:r>
        <w:rPr>
          <w:rFonts w:hint="eastAsia" w:ascii="宋体" w:hAnsi="宋体" w:eastAsia="宋体" w:cs="宋体"/>
          <w:sz w:val="24"/>
          <w:szCs w:val="24"/>
        </w:rPr>
        <w:t>3.登记颁证。中标人提供的成果符合《自然资源统一确权登记办法（试行）》和《不动产登记暂行条例》的，中标人需积极配合采购人申请办理登记工作。</w:t>
      </w:r>
    </w:p>
    <w:p>
      <w:pPr>
        <w:spacing w:line="360" w:lineRule="auto"/>
        <w:ind w:firstLine="482" w:firstLineChars="200"/>
        <w:contextualSpacing/>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二、采购清单</w:t>
      </w:r>
    </w:p>
    <w:tbl>
      <w:tblPr>
        <w:tblStyle w:val="2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250"/>
        <w:gridCol w:w="1390"/>
        <w:gridCol w:w="28"/>
        <w:gridCol w:w="5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6" w:type="dxa"/>
            <w:vMerge w:val="restart"/>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r>
              <w:rPr>
                <w:rFonts w:hint="eastAsia"/>
                <w:color w:val="000000"/>
              </w:rPr>
              <w:t>序号</w:t>
            </w:r>
          </w:p>
        </w:tc>
        <w:tc>
          <w:tcPr>
            <w:tcW w:w="1250" w:type="dxa"/>
            <w:vMerge w:val="restart"/>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r>
              <w:rPr>
                <w:rFonts w:hint="eastAsia"/>
                <w:color w:val="000000"/>
              </w:rPr>
              <w:t>项目名称</w:t>
            </w:r>
          </w:p>
        </w:tc>
        <w:tc>
          <w:tcPr>
            <w:tcW w:w="6656" w:type="dxa"/>
            <w:gridSpan w:val="3"/>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r>
              <w:rPr>
                <w:rFonts w:hint="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p>
        </w:tc>
        <w:tc>
          <w:tcPr>
            <w:tcW w:w="1250" w:type="dxa"/>
            <w:vMerge w:val="continue"/>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r>
              <w:rPr>
                <w:rFonts w:hint="eastAsia"/>
                <w:color w:val="000000"/>
              </w:rPr>
              <w:t>项目</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jc w:val="center"/>
        </w:trPr>
        <w:tc>
          <w:tcPr>
            <w:tcW w:w="616" w:type="dxa"/>
            <w:vMerge w:val="restart"/>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r>
              <w:rPr>
                <w:rFonts w:hint="eastAsia"/>
                <w:color w:val="000000"/>
              </w:rPr>
              <w:t>01</w:t>
            </w:r>
          </w:p>
        </w:tc>
        <w:tc>
          <w:tcPr>
            <w:tcW w:w="1250" w:type="dxa"/>
            <w:vMerge w:val="restart"/>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r>
              <w:rPr>
                <w:rFonts w:hint="eastAsia"/>
                <w:color w:val="000000"/>
              </w:rPr>
              <w:t>关庄闸</w:t>
            </w:r>
          </w:p>
        </w:tc>
        <w:tc>
          <w:tcPr>
            <w:tcW w:w="1418" w:type="dxa"/>
            <w:gridSpan w:val="2"/>
            <w:tcBorders>
              <w:top w:val="single" w:color="auto" w:sz="4" w:space="0"/>
              <w:left w:val="single" w:color="auto" w:sz="4" w:space="0"/>
              <w:right w:val="single" w:color="auto" w:sz="4" w:space="0"/>
            </w:tcBorders>
            <w:noWrap w:val="0"/>
            <w:vAlign w:val="center"/>
          </w:tcPr>
          <w:p>
            <w:pPr>
              <w:pStyle w:val="57"/>
              <w:rPr>
                <w:rFonts w:hint="eastAsia"/>
                <w:color w:val="000000"/>
              </w:rPr>
            </w:pPr>
            <w:r>
              <w:rPr>
                <w:rFonts w:hint="eastAsia"/>
                <w:color w:val="000000"/>
              </w:rPr>
              <w:t>确权界线测绘</w:t>
            </w:r>
          </w:p>
        </w:tc>
        <w:tc>
          <w:tcPr>
            <w:tcW w:w="5238" w:type="dxa"/>
            <w:tcBorders>
              <w:top w:val="single" w:color="auto" w:sz="4" w:space="0"/>
              <w:left w:val="single" w:color="auto" w:sz="4" w:space="0"/>
              <w:right w:val="single" w:color="auto" w:sz="4" w:space="0"/>
            </w:tcBorders>
            <w:noWrap w:val="0"/>
            <w:vAlign w:val="center"/>
          </w:tcPr>
          <w:p>
            <w:pPr>
              <w:pStyle w:val="57"/>
              <w:rPr>
                <w:rFonts w:hint="eastAsia"/>
                <w:color w:val="000000"/>
              </w:rPr>
            </w:pPr>
            <w:r>
              <w:rPr>
                <w:rFonts w:hint="eastAsia"/>
                <w:color w:val="000000"/>
              </w:rPr>
              <w:t xml:space="preserve">确权及绘制水闸工程及滞洪区管理范围，数据信息化，包含点位测设、测绘及成果整理，比例尺1:2000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p>
        </w:tc>
        <w:tc>
          <w:tcPr>
            <w:tcW w:w="1250" w:type="dxa"/>
            <w:vMerge w:val="continue"/>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p>
        </w:tc>
        <w:tc>
          <w:tcPr>
            <w:tcW w:w="1418" w:type="dxa"/>
            <w:gridSpan w:val="2"/>
            <w:tcBorders>
              <w:top w:val="single" w:color="auto" w:sz="4" w:space="0"/>
              <w:left w:val="single" w:color="auto" w:sz="4" w:space="0"/>
              <w:right w:val="single" w:color="auto" w:sz="4" w:space="0"/>
            </w:tcBorders>
            <w:noWrap w:val="0"/>
            <w:vAlign w:val="center"/>
          </w:tcPr>
          <w:p>
            <w:pPr>
              <w:pStyle w:val="57"/>
              <w:rPr>
                <w:rFonts w:hint="eastAsia"/>
                <w:color w:val="000000"/>
              </w:rPr>
            </w:pPr>
            <w:r>
              <w:rPr>
                <w:rFonts w:hint="eastAsia"/>
                <w:color w:val="000000"/>
              </w:rPr>
              <w:t>界桩制作安装</w:t>
            </w:r>
          </w:p>
        </w:tc>
        <w:tc>
          <w:tcPr>
            <w:tcW w:w="5238" w:type="dxa"/>
            <w:tcBorders>
              <w:top w:val="single" w:color="auto" w:sz="4" w:space="0"/>
              <w:left w:val="single" w:color="auto" w:sz="4" w:space="0"/>
              <w:right w:val="single" w:color="auto" w:sz="4" w:space="0"/>
            </w:tcBorders>
            <w:noWrap w:val="0"/>
            <w:vAlign w:val="center"/>
          </w:tcPr>
          <w:p>
            <w:pPr>
              <w:pStyle w:val="57"/>
              <w:rPr>
                <w:rFonts w:hint="eastAsia"/>
                <w:color w:val="000000"/>
              </w:rPr>
            </w:pPr>
            <w:r>
              <w:rPr>
                <w:rFonts w:hint="eastAsia"/>
                <w:color w:val="000000"/>
              </w:rPr>
              <w:t>坐标定位及配合埋设修改调整，制作、运输、埋设安装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p>
        </w:tc>
        <w:tc>
          <w:tcPr>
            <w:tcW w:w="1250" w:type="dxa"/>
            <w:vMerge w:val="continue"/>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r>
              <w:rPr>
                <w:rFonts w:hint="eastAsia"/>
                <w:color w:val="000000"/>
              </w:rPr>
              <w:t>告示牌制作安装</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r>
              <w:rPr>
                <w:rFonts w:hint="eastAsia"/>
                <w:color w:val="000000"/>
              </w:rPr>
              <w:t>坐标定位及配合埋设修改调整，制作、运输、埋设安装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jc w:val="center"/>
        </w:trPr>
        <w:tc>
          <w:tcPr>
            <w:tcW w:w="616" w:type="dxa"/>
            <w:vMerge w:val="restart"/>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r>
              <w:rPr>
                <w:rFonts w:hint="eastAsia"/>
                <w:color w:val="000000"/>
              </w:rPr>
              <w:t>02</w:t>
            </w:r>
          </w:p>
        </w:tc>
        <w:tc>
          <w:tcPr>
            <w:tcW w:w="1250" w:type="dxa"/>
            <w:vMerge w:val="restart"/>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r>
              <w:rPr>
                <w:rFonts w:hint="eastAsia"/>
                <w:color w:val="000000"/>
              </w:rPr>
              <w:t>泘沱闸</w:t>
            </w:r>
          </w:p>
        </w:tc>
        <w:tc>
          <w:tcPr>
            <w:tcW w:w="1418" w:type="dxa"/>
            <w:gridSpan w:val="2"/>
            <w:tcBorders>
              <w:top w:val="single" w:color="auto" w:sz="4" w:space="0"/>
              <w:left w:val="single" w:color="auto" w:sz="4" w:space="0"/>
              <w:right w:val="single" w:color="auto" w:sz="4" w:space="0"/>
            </w:tcBorders>
            <w:noWrap w:val="0"/>
            <w:vAlign w:val="center"/>
          </w:tcPr>
          <w:p>
            <w:pPr>
              <w:pStyle w:val="57"/>
              <w:rPr>
                <w:rFonts w:hint="eastAsia"/>
                <w:color w:val="000000"/>
              </w:rPr>
            </w:pPr>
            <w:r>
              <w:rPr>
                <w:rFonts w:hint="eastAsia"/>
                <w:color w:val="000000"/>
              </w:rPr>
              <w:t>确权界线测绘</w:t>
            </w:r>
          </w:p>
        </w:tc>
        <w:tc>
          <w:tcPr>
            <w:tcW w:w="5238" w:type="dxa"/>
            <w:tcBorders>
              <w:top w:val="single" w:color="auto" w:sz="4" w:space="0"/>
              <w:left w:val="single" w:color="auto" w:sz="4" w:space="0"/>
              <w:right w:val="single" w:color="auto" w:sz="4" w:space="0"/>
            </w:tcBorders>
            <w:noWrap w:val="0"/>
            <w:vAlign w:val="center"/>
          </w:tcPr>
          <w:p>
            <w:pPr>
              <w:pStyle w:val="57"/>
              <w:rPr>
                <w:rFonts w:hint="eastAsia"/>
                <w:color w:val="000000"/>
              </w:rPr>
            </w:pPr>
            <w:r>
              <w:rPr>
                <w:rFonts w:hint="eastAsia"/>
                <w:color w:val="000000"/>
              </w:rPr>
              <w:t xml:space="preserve">确权及绘制水闸工程及滞洪区管理范围，包含点位测设、测绘及成果整理，数据信息化，比例尺1:2000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jc w:val="center"/>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p>
        </w:tc>
        <w:tc>
          <w:tcPr>
            <w:tcW w:w="1250" w:type="dxa"/>
            <w:vMerge w:val="continue"/>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p>
        </w:tc>
        <w:tc>
          <w:tcPr>
            <w:tcW w:w="1418" w:type="dxa"/>
            <w:gridSpan w:val="2"/>
            <w:tcBorders>
              <w:top w:val="single" w:color="auto" w:sz="4" w:space="0"/>
              <w:left w:val="single" w:color="auto" w:sz="4" w:space="0"/>
              <w:right w:val="single" w:color="auto" w:sz="4" w:space="0"/>
            </w:tcBorders>
            <w:noWrap w:val="0"/>
            <w:vAlign w:val="center"/>
          </w:tcPr>
          <w:p>
            <w:pPr>
              <w:pStyle w:val="57"/>
              <w:rPr>
                <w:rFonts w:hint="eastAsia"/>
                <w:color w:val="000000"/>
              </w:rPr>
            </w:pPr>
            <w:r>
              <w:rPr>
                <w:rFonts w:hint="eastAsia"/>
                <w:color w:val="000000"/>
              </w:rPr>
              <w:t>界桩制作安装</w:t>
            </w:r>
          </w:p>
        </w:tc>
        <w:tc>
          <w:tcPr>
            <w:tcW w:w="5238" w:type="dxa"/>
            <w:tcBorders>
              <w:top w:val="single" w:color="auto" w:sz="4" w:space="0"/>
              <w:left w:val="single" w:color="auto" w:sz="4" w:space="0"/>
              <w:right w:val="single" w:color="auto" w:sz="4" w:space="0"/>
            </w:tcBorders>
            <w:noWrap w:val="0"/>
            <w:vAlign w:val="center"/>
          </w:tcPr>
          <w:p>
            <w:pPr>
              <w:pStyle w:val="57"/>
              <w:rPr>
                <w:rFonts w:hint="eastAsia"/>
                <w:color w:val="000000"/>
              </w:rPr>
            </w:pPr>
            <w:r>
              <w:rPr>
                <w:rFonts w:hint="eastAsia"/>
                <w:color w:val="000000"/>
              </w:rPr>
              <w:t>坐标定位及配合埋设修改调整，制作、运输、埋设安装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p>
        </w:tc>
        <w:tc>
          <w:tcPr>
            <w:tcW w:w="1250" w:type="dxa"/>
            <w:vMerge w:val="continue"/>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r>
              <w:rPr>
                <w:rFonts w:hint="eastAsia"/>
                <w:color w:val="000000"/>
              </w:rPr>
              <w:t>告示牌制作安装</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r>
              <w:rPr>
                <w:rFonts w:hint="eastAsia"/>
                <w:color w:val="000000"/>
              </w:rPr>
              <w:t>坐标定位及配合埋设修改调整，制作、运输、埋设安装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jc w:val="center"/>
        </w:trPr>
        <w:tc>
          <w:tcPr>
            <w:tcW w:w="616" w:type="dxa"/>
            <w:vMerge w:val="restart"/>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r>
              <w:rPr>
                <w:rFonts w:hint="eastAsia"/>
                <w:color w:val="000000"/>
              </w:rPr>
              <w:t>03</w:t>
            </w:r>
          </w:p>
        </w:tc>
        <w:tc>
          <w:tcPr>
            <w:tcW w:w="1250" w:type="dxa"/>
            <w:vMerge w:val="restart"/>
            <w:tcBorders>
              <w:top w:val="single" w:color="auto" w:sz="4" w:space="0"/>
              <w:left w:val="single" w:color="auto" w:sz="4" w:space="0"/>
              <w:bottom w:val="single" w:color="auto" w:sz="4" w:space="0"/>
              <w:right w:val="single" w:color="auto" w:sz="4" w:space="0"/>
            </w:tcBorders>
            <w:noWrap w:val="0"/>
            <w:vAlign w:val="center"/>
          </w:tcPr>
          <w:p>
            <w:pPr>
              <w:pStyle w:val="57"/>
              <w:rPr>
                <w:rFonts w:hint="eastAsia" w:eastAsia="仿宋"/>
                <w:color w:val="000000"/>
              </w:rPr>
            </w:pPr>
            <w:r>
              <w:rPr>
                <w:rFonts w:hint="eastAsia"/>
                <w:color w:val="000000"/>
              </w:rPr>
              <w:t>前进路橡胶坝</w:t>
            </w:r>
          </w:p>
        </w:tc>
        <w:tc>
          <w:tcPr>
            <w:tcW w:w="1418" w:type="dxa"/>
            <w:gridSpan w:val="2"/>
            <w:tcBorders>
              <w:top w:val="single" w:color="auto" w:sz="4" w:space="0"/>
              <w:left w:val="single" w:color="auto" w:sz="4" w:space="0"/>
              <w:right w:val="single" w:color="auto" w:sz="4" w:space="0"/>
            </w:tcBorders>
            <w:noWrap w:val="0"/>
            <w:vAlign w:val="center"/>
          </w:tcPr>
          <w:p>
            <w:pPr>
              <w:pStyle w:val="57"/>
              <w:rPr>
                <w:rFonts w:hint="eastAsia"/>
                <w:color w:val="000000"/>
              </w:rPr>
            </w:pPr>
            <w:r>
              <w:rPr>
                <w:rFonts w:hint="eastAsia"/>
                <w:color w:val="000000"/>
              </w:rPr>
              <w:t>确权界线测绘</w:t>
            </w:r>
          </w:p>
        </w:tc>
        <w:tc>
          <w:tcPr>
            <w:tcW w:w="5238" w:type="dxa"/>
            <w:tcBorders>
              <w:top w:val="single" w:color="auto" w:sz="4" w:space="0"/>
              <w:left w:val="single" w:color="auto" w:sz="4" w:space="0"/>
              <w:right w:val="single" w:color="auto" w:sz="4" w:space="0"/>
            </w:tcBorders>
            <w:noWrap w:val="0"/>
            <w:vAlign w:val="center"/>
          </w:tcPr>
          <w:p>
            <w:pPr>
              <w:pStyle w:val="57"/>
              <w:rPr>
                <w:rFonts w:hint="eastAsia"/>
                <w:color w:val="000000"/>
              </w:rPr>
            </w:pPr>
            <w:r>
              <w:rPr>
                <w:rFonts w:hint="eastAsia"/>
                <w:color w:val="000000"/>
              </w:rPr>
              <w:t>·确权及绘制水闸工程及滞洪区管理范围，数据信息化，包含点位测设、测绘及成果整理，</w:t>
            </w:r>
          </w:p>
          <w:p>
            <w:pPr>
              <w:pStyle w:val="57"/>
              <w:rPr>
                <w:rFonts w:hint="eastAsia"/>
                <w:color w:val="000000"/>
              </w:rPr>
            </w:pPr>
            <w:r>
              <w:rPr>
                <w:rFonts w:hint="eastAsia"/>
                <w:color w:val="000000"/>
              </w:rPr>
              <w:t xml:space="preserve">比例尺1:2000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p>
        </w:tc>
        <w:tc>
          <w:tcPr>
            <w:tcW w:w="1250" w:type="dxa"/>
            <w:vMerge w:val="continue"/>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p>
        </w:tc>
        <w:tc>
          <w:tcPr>
            <w:tcW w:w="1418" w:type="dxa"/>
            <w:gridSpan w:val="2"/>
            <w:tcBorders>
              <w:top w:val="single" w:color="auto" w:sz="4" w:space="0"/>
              <w:left w:val="single" w:color="auto" w:sz="4" w:space="0"/>
              <w:right w:val="single" w:color="auto" w:sz="4" w:space="0"/>
            </w:tcBorders>
            <w:noWrap w:val="0"/>
            <w:vAlign w:val="center"/>
          </w:tcPr>
          <w:p>
            <w:pPr>
              <w:pStyle w:val="57"/>
              <w:rPr>
                <w:rFonts w:hint="eastAsia"/>
                <w:color w:val="000000"/>
              </w:rPr>
            </w:pPr>
            <w:r>
              <w:rPr>
                <w:rFonts w:hint="eastAsia"/>
                <w:color w:val="000000"/>
              </w:rPr>
              <w:t>界桩制作安装</w:t>
            </w:r>
          </w:p>
        </w:tc>
        <w:tc>
          <w:tcPr>
            <w:tcW w:w="5238" w:type="dxa"/>
            <w:tcBorders>
              <w:top w:val="single" w:color="auto" w:sz="4" w:space="0"/>
              <w:left w:val="single" w:color="auto" w:sz="4" w:space="0"/>
              <w:right w:val="single" w:color="auto" w:sz="4" w:space="0"/>
            </w:tcBorders>
            <w:noWrap w:val="0"/>
            <w:vAlign w:val="center"/>
          </w:tcPr>
          <w:p>
            <w:pPr>
              <w:pStyle w:val="57"/>
              <w:rPr>
                <w:rFonts w:hint="eastAsia"/>
                <w:color w:val="000000"/>
              </w:rPr>
            </w:pPr>
            <w:r>
              <w:rPr>
                <w:rFonts w:hint="eastAsia"/>
                <w:color w:val="000000"/>
              </w:rPr>
              <w:t>坐标定位及配合埋设修改调整，制作、运输、埋设安装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p>
        </w:tc>
        <w:tc>
          <w:tcPr>
            <w:tcW w:w="1250" w:type="dxa"/>
            <w:vMerge w:val="continue"/>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r>
              <w:rPr>
                <w:rFonts w:hint="eastAsia"/>
                <w:color w:val="000000"/>
              </w:rPr>
              <w:t>告示牌制作安装</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r>
              <w:rPr>
                <w:rFonts w:hint="eastAsia"/>
                <w:color w:val="000000"/>
              </w:rPr>
              <w:t>坐标定位及配合埋设修改调整，制作、运输、埋设安装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jc w:val="center"/>
        </w:trPr>
        <w:tc>
          <w:tcPr>
            <w:tcW w:w="616" w:type="dxa"/>
            <w:vMerge w:val="restart"/>
            <w:noWrap w:val="0"/>
            <w:vAlign w:val="center"/>
          </w:tcPr>
          <w:p>
            <w:pPr>
              <w:pStyle w:val="57"/>
              <w:rPr>
                <w:color w:val="000000"/>
              </w:rPr>
            </w:pPr>
            <w:r>
              <w:rPr>
                <w:rFonts w:hint="eastAsia"/>
                <w:color w:val="000000"/>
              </w:rPr>
              <w:t>04</w:t>
            </w:r>
          </w:p>
        </w:tc>
        <w:tc>
          <w:tcPr>
            <w:tcW w:w="1250" w:type="dxa"/>
            <w:vMerge w:val="restart"/>
            <w:noWrap w:val="0"/>
            <w:vAlign w:val="center"/>
          </w:tcPr>
          <w:p>
            <w:pPr>
              <w:pStyle w:val="57"/>
              <w:rPr>
                <w:color w:val="000000"/>
              </w:rPr>
            </w:pPr>
            <w:r>
              <w:rPr>
                <w:rFonts w:hint="eastAsia"/>
                <w:color w:val="000000"/>
              </w:rPr>
              <w:t>建安大道</w:t>
            </w:r>
          </w:p>
          <w:p>
            <w:pPr>
              <w:pStyle w:val="57"/>
              <w:rPr>
                <w:color w:val="000000"/>
              </w:rPr>
            </w:pPr>
            <w:r>
              <w:rPr>
                <w:rFonts w:hint="eastAsia"/>
                <w:color w:val="000000"/>
              </w:rPr>
              <w:t>橡胶坝</w:t>
            </w:r>
          </w:p>
        </w:tc>
        <w:tc>
          <w:tcPr>
            <w:tcW w:w="1390" w:type="dxa"/>
            <w:noWrap w:val="0"/>
            <w:vAlign w:val="center"/>
          </w:tcPr>
          <w:p>
            <w:pPr>
              <w:pStyle w:val="57"/>
              <w:rPr>
                <w:color w:val="000000"/>
              </w:rPr>
            </w:pPr>
            <w:r>
              <w:rPr>
                <w:rFonts w:hint="eastAsia"/>
                <w:color w:val="000000"/>
              </w:rPr>
              <w:t>确权界线测绘</w:t>
            </w:r>
          </w:p>
        </w:tc>
        <w:tc>
          <w:tcPr>
            <w:tcW w:w="5266" w:type="dxa"/>
            <w:gridSpan w:val="2"/>
            <w:noWrap w:val="0"/>
            <w:vAlign w:val="center"/>
          </w:tcPr>
          <w:p>
            <w:pPr>
              <w:pStyle w:val="57"/>
              <w:rPr>
                <w:color w:val="000000"/>
              </w:rPr>
            </w:pPr>
            <w:r>
              <w:rPr>
                <w:rFonts w:hint="eastAsia"/>
                <w:color w:val="000000"/>
              </w:rPr>
              <w:t xml:space="preserve">确权及绘制水闸工程及滞洪区管理范围，数据信息化，包含点位测设、测绘及成果整理，比例尺1:2000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616" w:type="dxa"/>
            <w:vMerge w:val="continue"/>
            <w:noWrap w:val="0"/>
            <w:vAlign w:val="center"/>
          </w:tcPr>
          <w:p>
            <w:pPr>
              <w:pStyle w:val="57"/>
              <w:rPr>
                <w:color w:val="000000"/>
              </w:rPr>
            </w:pPr>
          </w:p>
        </w:tc>
        <w:tc>
          <w:tcPr>
            <w:tcW w:w="1250" w:type="dxa"/>
            <w:vMerge w:val="continue"/>
            <w:noWrap w:val="0"/>
            <w:vAlign w:val="center"/>
          </w:tcPr>
          <w:p>
            <w:pPr>
              <w:pStyle w:val="57"/>
              <w:rPr>
                <w:color w:val="000000"/>
              </w:rPr>
            </w:pPr>
          </w:p>
        </w:tc>
        <w:tc>
          <w:tcPr>
            <w:tcW w:w="1390" w:type="dxa"/>
            <w:noWrap w:val="0"/>
            <w:vAlign w:val="center"/>
          </w:tcPr>
          <w:p>
            <w:pPr>
              <w:pStyle w:val="57"/>
              <w:rPr>
                <w:color w:val="000000"/>
              </w:rPr>
            </w:pPr>
            <w:r>
              <w:rPr>
                <w:rFonts w:hint="eastAsia"/>
                <w:color w:val="000000"/>
              </w:rPr>
              <w:t>界桩制作安装</w:t>
            </w:r>
          </w:p>
        </w:tc>
        <w:tc>
          <w:tcPr>
            <w:tcW w:w="5266" w:type="dxa"/>
            <w:gridSpan w:val="2"/>
            <w:noWrap w:val="0"/>
            <w:vAlign w:val="center"/>
          </w:tcPr>
          <w:p>
            <w:pPr>
              <w:pStyle w:val="57"/>
              <w:rPr>
                <w:color w:val="000000"/>
              </w:rPr>
            </w:pPr>
            <w:r>
              <w:rPr>
                <w:rFonts w:hint="eastAsia"/>
                <w:color w:val="000000"/>
              </w:rPr>
              <w:t>坐标定位及配合埋设修改调整，制作、运输、埋设安装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616" w:type="dxa"/>
            <w:vMerge w:val="continue"/>
            <w:noWrap w:val="0"/>
            <w:vAlign w:val="center"/>
          </w:tcPr>
          <w:p>
            <w:pPr>
              <w:pStyle w:val="57"/>
              <w:rPr>
                <w:color w:val="000000"/>
              </w:rPr>
            </w:pPr>
          </w:p>
        </w:tc>
        <w:tc>
          <w:tcPr>
            <w:tcW w:w="1250" w:type="dxa"/>
            <w:vMerge w:val="continue"/>
            <w:noWrap w:val="0"/>
            <w:vAlign w:val="center"/>
          </w:tcPr>
          <w:p>
            <w:pPr>
              <w:pStyle w:val="57"/>
              <w:rPr>
                <w:color w:val="000000"/>
              </w:rPr>
            </w:pPr>
          </w:p>
        </w:tc>
        <w:tc>
          <w:tcPr>
            <w:tcW w:w="1390" w:type="dxa"/>
            <w:noWrap w:val="0"/>
            <w:vAlign w:val="center"/>
          </w:tcPr>
          <w:p>
            <w:pPr>
              <w:pStyle w:val="57"/>
              <w:rPr>
                <w:color w:val="000000"/>
              </w:rPr>
            </w:pPr>
            <w:r>
              <w:rPr>
                <w:rFonts w:hint="eastAsia"/>
                <w:color w:val="000000"/>
              </w:rPr>
              <w:t>告示牌制作安装</w:t>
            </w:r>
          </w:p>
        </w:tc>
        <w:tc>
          <w:tcPr>
            <w:tcW w:w="5266" w:type="dxa"/>
            <w:gridSpan w:val="2"/>
            <w:noWrap w:val="0"/>
            <w:vAlign w:val="center"/>
          </w:tcPr>
          <w:p>
            <w:pPr>
              <w:pStyle w:val="57"/>
              <w:rPr>
                <w:color w:val="000000"/>
              </w:rPr>
            </w:pPr>
            <w:r>
              <w:rPr>
                <w:rFonts w:hint="eastAsia"/>
                <w:color w:val="000000"/>
              </w:rPr>
              <w:t>坐标定位及配合埋设修改调整，制作、运输、埋设安装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jc w:val="center"/>
        </w:trPr>
        <w:tc>
          <w:tcPr>
            <w:tcW w:w="616" w:type="dxa"/>
            <w:vMerge w:val="restart"/>
            <w:noWrap w:val="0"/>
            <w:vAlign w:val="center"/>
          </w:tcPr>
          <w:p>
            <w:pPr>
              <w:pStyle w:val="57"/>
              <w:rPr>
                <w:color w:val="000000"/>
              </w:rPr>
            </w:pPr>
            <w:r>
              <w:rPr>
                <w:rFonts w:hint="eastAsia"/>
                <w:color w:val="000000"/>
              </w:rPr>
              <w:t>05</w:t>
            </w:r>
          </w:p>
        </w:tc>
        <w:tc>
          <w:tcPr>
            <w:tcW w:w="1250" w:type="dxa"/>
            <w:vMerge w:val="restart"/>
            <w:noWrap w:val="0"/>
            <w:vAlign w:val="center"/>
          </w:tcPr>
          <w:p>
            <w:pPr>
              <w:pStyle w:val="57"/>
              <w:rPr>
                <w:color w:val="000000"/>
              </w:rPr>
            </w:pPr>
            <w:r>
              <w:rPr>
                <w:rFonts w:hint="eastAsia"/>
                <w:color w:val="000000"/>
              </w:rPr>
              <w:t>永兴路</w:t>
            </w:r>
          </w:p>
          <w:p>
            <w:pPr>
              <w:pStyle w:val="57"/>
              <w:rPr>
                <w:color w:val="000000"/>
              </w:rPr>
            </w:pPr>
            <w:r>
              <w:rPr>
                <w:rFonts w:hint="eastAsia"/>
                <w:color w:val="000000"/>
              </w:rPr>
              <w:t>橡胶坝</w:t>
            </w:r>
          </w:p>
        </w:tc>
        <w:tc>
          <w:tcPr>
            <w:tcW w:w="1390" w:type="dxa"/>
            <w:noWrap w:val="0"/>
            <w:vAlign w:val="center"/>
          </w:tcPr>
          <w:p>
            <w:pPr>
              <w:pStyle w:val="57"/>
              <w:rPr>
                <w:color w:val="000000"/>
              </w:rPr>
            </w:pPr>
            <w:r>
              <w:rPr>
                <w:rFonts w:hint="eastAsia"/>
                <w:color w:val="000000"/>
              </w:rPr>
              <w:t>确权界线测绘</w:t>
            </w:r>
          </w:p>
        </w:tc>
        <w:tc>
          <w:tcPr>
            <w:tcW w:w="5266" w:type="dxa"/>
            <w:gridSpan w:val="2"/>
            <w:noWrap w:val="0"/>
            <w:vAlign w:val="center"/>
          </w:tcPr>
          <w:p>
            <w:pPr>
              <w:pStyle w:val="57"/>
              <w:rPr>
                <w:color w:val="000000"/>
              </w:rPr>
            </w:pPr>
            <w:r>
              <w:rPr>
                <w:rFonts w:hint="eastAsia"/>
                <w:color w:val="000000"/>
              </w:rPr>
              <w:t xml:space="preserve">确权及绘制水闸工程及滞洪区管理范围，数据信息化，包含点位测设、测绘及成果整理，比例尺1:2000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616" w:type="dxa"/>
            <w:vMerge w:val="continue"/>
            <w:noWrap w:val="0"/>
            <w:vAlign w:val="center"/>
          </w:tcPr>
          <w:p>
            <w:pPr>
              <w:pStyle w:val="57"/>
              <w:rPr>
                <w:color w:val="000000"/>
              </w:rPr>
            </w:pPr>
          </w:p>
        </w:tc>
        <w:tc>
          <w:tcPr>
            <w:tcW w:w="1250" w:type="dxa"/>
            <w:vMerge w:val="continue"/>
            <w:noWrap w:val="0"/>
            <w:vAlign w:val="center"/>
          </w:tcPr>
          <w:p>
            <w:pPr>
              <w:pStyle w:val="57"/>
              <w:rPr>
                <w:color w:val="000000"/>
              </w:rPr>
            </w:pPr>
          </w:p>
        </w:tc>
        <w:tc>
          <w:tcPr>
            <w:tcW w:w="1390" w:type="dxa"/>
            <w:noWrap w:val="0"/>
            <w:vAlign w:val="center"/>
          </w:tcPr>
          <w:p>
            <w:pPr>
              <w:pStyle w:val="57"/>
              <w:rPr>
                <w:color w:val="000000"/>
              </w:rPr>
            </w:pPr>
            <w:r>
              <w:rPr>
                <w:rFonts w:hint="eastAsia"/>
                <w:color w:val="000000"/>
              </w:rPr>
              <w:t>界桩制作安装</w:t>
            </w:r>
          </w:p>
        </w:tc>
        <w:tc>
          <w:tcPr>
            <w:tcW w:w="5266" w:type="dxa"/>
            <w:gridSpan w:val="2"/>
            <w:noWrap w:val="0"/>
            <w:vAlign w:val="center"/>
          </w:tcPr>
          <w:p>
            <w:pPr>
              <w:pStyle w:val="57"/>
              <w:rPr>
                <w:color w:val="000000"/>
              </w:rPr>
            </w:pPr>
            <w:r>
              <w:rPr>
                <w:rFonts w:hint="eastAsia"/>
                <w:color w:val="000000"/>
              </w:rPr>
              <w:t>坐标定位及配合埋设修改调整，制作、运输、埋设安装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16" w:type="dxa"/>
            <w:vMerge w:val="continue"/>
            <w:noWrap w:val="0"/>
            <w:vAlign w:val="center"/>
          </w:tcPr>
          <w:p>
            <w:pPr>
              <w:pStyle w:val="57"/>
              <w:rPr>
                <w:color w:val="000000"/>
              </w:rPr>
            </w:pPr>
          </w:p>
        </w:tc>
        <w:tc>
          <w:tcPr>
            <w:tcW w:w="1250" w:type="dxa"/>
            <w:vMerge w:val="continue"/>
            <w:noWrap w:val="0"/>
            <w:vAlign w:val="center"/>
          </w:tcPr>
          <w:p>
            <w:pPr>
              <w:pStyle w:val="57"/>
              <w:rPr>
                <w:color w:val="000000"/>
              </w:rPr>
            </w:pPr>
          </w:p>
        </w:tc>
        <w:tc>
          <w:tcPr>
            <w:tcW w:w="1390" w:type="dxa"/>
            <w:noWrap w:val="0"/>
            <w:vAlign w:val="center"/>
          </w:tcPr>
          <w:p>
            <w:pPr>
              <w:pStyle w:val="57"/>
              <w:rPr>
                <w:color w:val="000000"/>
              </w:rPr>
            </w:pPr>
            <w:r>
              <w:rPr>
                <w:rFonts w:hint="eastAsia"/>
                <w:color w:val="000000"/>
              </w:rPr>
              <w:t>告示牌制作安装</w:t>
            </w:r>
          </w:p>
        </w:tc>
        <w:tc>
          <w:tcPr>
            <w:tcW w:w="5266" w:type="dxa"/>
            <w:gridSpan w:val="2"/>
            <w:noWrap w:val="0"/>
            <w:vAlign w:val="center"/>
          </w:tcPr>
          <w:p>
            <w:pPr>
              <w:pStyle w:val="57"/>
              <w:rPr>
                <w:color w:val="000000"/>
              </w:rPr>
            </w:pPr>
            <w:r>
              <w:rPr>
                <w:rFonts w:hint="eastAsia"/>
                <w:color w:val="000000"/>
              </w:rPr>
              <w:t>坐标定位及配合埋设修改调整，制作、运输、埋设安装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jc w:val="center"/>
        </w:trPr>
        <w:tc>
          <w:tcPr>
            <w:tcW w:w="616" w:type="dxa"/>
            <w:vMerge w:val="restart"/>
            <w:noWrap w:val="0"/>
            <w:vAlign w:val="center"/>
          </w:tcPr>
          <w:p>
            <w:pPr>
              <w:pStyle w:val="57"/>
              <w:rPr>
                <w:color w:val="000000"/>
              </w:rPr>
            </w:pPr>
            <w:r>
              <w:rPr>
                <w:rFonts w:hint="eastAsia"/>
                <w:color w:val="000000"/>
              </w:rPr>
              <w:t>06</w:t>
            </w:r>
          </w:p>
        </w:tc>
        <w:tc>
          <w:tcPr>
            <w:tcW w:w="1250" w:type="dxa"/>
            <w:vMerge w:val="restart"/>
            <w:noWrap w:val="0"/>
            <w:vAlign w:val="center"/>
          </w:tcPr>
          <w:p>
            <w:pPr>
              <w:pStyle w:val="57"/>
              <w:rPr>
                <w:color w:val="000000"/>
              </w:rPr>
            </w:pPr>
            <w:r>
              <w:rPr>
                <w:rFonts w:hint="eastAsia"/>
                <w:color w:val="000000"/>
              </w:rPr>
              <w:t>马岗闸</w:t>
            </w:r>
          </w:p>
        </w:tc>
        <w:tc>
          <w:tcPr>
            <w:tcW w:w="1390" w:type="dxa"/>
            <w:noWrap w:val="0"/>
            <w:vAlign w:val="center"/>
          </w:tcPr>
          <w:p>
            <w:pPr>
              <w:pStyle w:val="57"/>
              <w:rPr>
                <w:color w:val="000000"/>
              </w:rPr>
            </w:pPr>
            <w:r>
              <w:rPr>
                <w:rFonts w:hint="eastAsia"/>
                <w:color w:val="000000"/>
              </w:rPr>
              <w:t>确权界线测绘</w:t>
            </w:r>
          </w:p>
        </w:tc>
        <w:tc>
          <w:tcPr>
            <w:tcW w:w="5266" w:type="dxa"/>
            <w:gridSpan w:val="2"/>
            <w:noWrap w:val="0"/>
            <w:vAlign w:val="center"/>
          </w:tcPr>
          <w:p>
            <w:pPr>
              <w:pStyle w:val="57"/>
              <w:rPr>
                <w:rFonts w:hint="eastAsia"/>
                <w:color w:val="000000"/>
              </w:rPr>
            </w:pPr>
            <w:r>
              <w:rPr>
                <w:rFonts w:hint="eastAsia"/>
                <w:color w:val="000000"/>
              </w:rPr>
              <w:t>确权及绘制水闸工程及滞洪区管理范围，数据信息化，包含点位测设、测绘及成果整理，</w:t>
            </w:r>
          </w:p>
          <w:p>
            <w:pPr>
              <w:pStyle w:val="57"/>
              <w:rPr>
                <w:color w:val="000000"/>
              </w:rPr>
            </w:pPr>
            <w:r>
              <w:rPr>
                <w:rFonts w:hint="eastAsia"/>
                <w:color w:val="000000"/>
              </w:rPr>
              <w:t xml:space="preserve">比例尺1:2000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616" w:type="dxa"/>
            <w:vMerge w:val="continue"/>
            <w:noWrap w:val="0"/>
            <w:vAlign w:val="center"/>
          </w:tcPr>
          <w:p>
            <w:pPr>
              <w:pStyle w:val="57"/>
              <w:rPr>
                <w:color w:val="000000"/>
              </w:rPr>
            </w:pPr>
          </w:p>
        </w:tc>
        <w:tc>
          <w:tcPr>
            <w:tcW w:w="1250" w:type="dxa"/>
            <w:vMerge w:val="continue"/>
            <w:noWrap w:val="0"/>
            <w:vAlign w:val="center"/>
          </w:tcPr>
          <w:p>
            <w:pPr>
              <w:pStyle w:val="57"/>
              <w:rPr>
                <w:color w:val="000000"/>
              </w:rPr>
            </w:pPr>
          </w:p>
        </w:tc>
        <w:tc>
          <w:tcPr>
            <w:tcW w:w="1390" w:type="dxa"/>
            <w:noWrap w:val="0"/>
            <w:vAlign w:val="center"/>
          </w:tcPr>
          <w:p>
            <w:pPr>
              <w:pStyle w:val="57"/>
              <w:rPr>
                <w:color w:val="000000"/>
              </w:rPr>
            </w:pPr>
            <w:r>
              <w:rPr>
                <w:rFonts w:hint="eastAsia"/>
                <w:color w:val="000000"/>
              </w:rPr>
              <w:t>界桩制作安装</w:t>
            </w:r>
          </w:p>
        </w:tc>
        <w:tc>
          <w:tcPr>
            <w:tcW w:w="5266" w:type="dxa"/>
            <w:gridSpan w:val="2"/>
            <w:noWrap w:val="0"/>
            <w:vAlign w:val="center"/>
          </w:tcPr>
          <w:p>
            <w:pPr>
              <w:pStyle w:val="57"/>
              <w:rPr>
                <w:color w:val="000000"/>
              </w:rPr>
            </w:pPr>
            <w:r>
              <w:rPr>
                <w:rFonts w:hint="eastAsia"/>
                <w:color w:val="000000"/>
              </w:rPr>
              <w:t>坐标定位及配合埋设修改调整，制作、运输、埋设安装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616" w:type="dxa"/>
            <w:vMerge w:val="continue"/>
            <w:noWrap w:val="0"/>
            <w:vAlign w:val="center"/>
          </w:tcPr>
          <w:p>
            <w:pPr>
              <w:pStyle w:val="57"/>
              <w:rPr>
                <w:color w:val="000000"/>
              </w:rPr>
            </w:pPr>
          </w:p>
        </w:tc>
        <w:tc>
          <w:tcPr>
            <w:tcW w:w="1250" w:type="dxa"/>
            <w:vMerge w:val="continue"/>
            <w:noWrap w:val="0"/>
            <w:vAlign w:val="center"/>
          </w:tcPr>
          <w:p>
            <w:pPr>
              <w:pStyle w:val="57"/>
              <w:rPr>
                <w:color w:val="000000"/>
              </w:rPr>
            </w:pPr>
          </w:p>
        </w:tc>
        <w:tc>
          <w:tcPr>
            <w:tcW w:w="1390" w:type="dxa"/>
            <w:noWrap w:val="0"/>
            <w:vAlign w:val="center"/>
          </w:tcPr>
          <w:p>
            <w:pPr>
              <w:pStyle w:val="57"/>
              <w:rPr>
                <w:color w:val="000000"/>
              </w:rPr>
            </w:pPr>
            <w:r>
              <w:rPr>
                <w:rFonts w:hint="eastAsia"/>
                <w:color w:val="000000"/>
              </w:rPr>
              <w:t>告示牌制作安装</w:t>
            </w:r>
          </w:p>
        </w:tc>
        <w:tc>
          <w:tcPr>
            <w:tcW w:w="5266" w:type="dxa"/>
            <w:gridSpan w:val="2"/>
            <w:noWrap w:val="0"/>
            <w:vAlign w:val="center"/>
          </w:tcPr>
          <w:p>
            <w:pPr>
              <w:pStyle w:val="57"/>
              <w:rPr>
                <w:color w:val="000000"/>
              </w:rPr>
            </w:pPr>
            <w:r>
              <w:rPr>
                <w:rFonts w:hint="eastAsia"/>
                <w:color w:val="000000"/>
              </w:rPr>
              <w:t>坐标定位及配合埋设修改调整，制作、运输、埋设安装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6" w:type="dxa"/>
            <w:vMerge w:val="restart"/>
            <w:noWrap w:val="0"/>
            <w:vAlign w:val="center"/>
          </w:tcPr>
          <w:p>
            <w:pPr>
              <w:pStyle w:val="57"/>
              <w:rPr>
                <w:color w:val="000000"/>
              </w:rPr>
            </w:pPr>
            <w:r>
              <w:rPr>
                <w:rFonts w:hint="eastAsia"/>
                <w:color w:val="000000"/>
              </w:rPr>
              <w:t>07</w:t>
            </w:r>
          </w:p>
        </w:tc>
        <w:tc>
          <w:tcPr>
            <w:tcW w:w="1250" w:type="dxa"/>
            <w:vMerge w:val="restart"/>
            <w:noWrap w:val="0"/>
            <w:vAlign w:val="center"/>
          </w:tcPr>
          <w:p>
            <w:pPr>
              <w:pStyle w:val="57"/>
              <w:rPr>
                <w:color w:val="000000"/>
              </w:rPr>
            </w:pPr>
            <w:r>
              <w:rPr>
                <w:rFonts w:hint="eastAsia"/>
                <w:color w:val="000000"/>
              </w:rPr>
              <w:t>高营闸</w:t>
            </w:r>
          </w:p>
        </w:tc>
        <w:tc>
          <w:tcPr>
            <w:tcW w:w="1390" w:type="dxa"/>
            <w:noWrap w:val="0"/>
            <w:vAlign w:val="center"/>
          </w:tcPr>
          <w:p>
            <w:pPr>
              <w:pStyle w:val="57"/>
              <w:rPr>
                <w:color w:val="000000"/>
              </w:rPr>
            </w:pPr>
            <w:r>
              <w:rPr>
                <w:rFonts w:hint="eastAsia"/>
                <w:color w:val="000000"/>
              </w:rPr>
              <w:t>确权界线测绘</w:t>
            </w:r>
          </w:p>
        </w:tc>
        <w:tc>
          <w:tcPr>
            <w:tcW w:w="5266" w:type="dxa"/>
            <w:gridSpan w:val="2"/>
            <w:noWrap w:val="0"/>
            <w:vAlign w:val="center"/>
          </w:tcPr>
          <w:p>
            <w:pPr>
              <w:pStyle w:val="57"/>
              <w:rPr>
                <w:rFonts w:hint="eastAsia"/>
                <w:color w:val="000000"/>
              </w:rPr>
            </w:pPr>
            <w:r>
              <w:rPr>
                <w:rFonts w:hint="eastAsia"/>
                <w:color w:val="000000"/>
              </w:rPr>
              <w:t>确权及绘制水闸工程及滞洪区管理范围，数据信息化，包含点位测设、测绘及成果整理，</w:t>
            </w:r>
          </w:p>
          <w:p>
            <w:pPr>
              <w:pStyle w:val="57"/>
              <w:rPr>
                <w:color w:val="000000"/>
              </w:rPr>
            </w:pPr>
            <w:r>
              <w:rPr>
                <w:rFonts w:hint="eastAsia"/>
                <w:color w:val="000000"/>
              </w:rPr>
              <w:t>比例尺1:2000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616" w:type="dxa"/>
            <w:vMerge w:val="continue"/>
            <w:noWrap w:val="0"/>
            <w:vAlign w:val="center"/>
          </w:tcPr>
          <w:p>
            <w:pPr>
              <w:pStyle w:val="57"/>
              <w:rPr>
                <w:color w:val="000000"/>
              </w:rPr>
            </w:pPr>
          </w:p>
        </w:tc>
        <w:tc>
          <w:tcPr>
            <w:tcW w:w="1250" w:type="dxa"/>
            <w:vMerge w:val="continue"/>
            <w:noWrap w:val="0"/>
            <w:vAlign w:val="center"/>
          </w:tcPr>
          <w:p>
            <w:pPr>
              <w:pStyle w:val="57"/>
              <w:rPr>
                <w:color w:val="000000"/>
              </w:rPr>
            </w:pPr>
          </w:p>
        </w:tc>
        <w:tc>
          <w:tcPr>
            <w:tcW w:w="1390" w:type="dxa"/>
            <w:noWrap w:val="0"/>
            <w:vAlign w:val="center"/>
          </w:tcPr>
          <w:p>
            <w:pPr>
              <w:pStyle w:val="57"/>
              <w:rPr>
                <w:color w:val="000000"/>
              </w:rPr>
            </w:pPr>
            <w:r>
              <w:rPr>
                <w:rFonts w:hint="eastAsia"/>
                <w:color w:val="000000"/>
              </w:rPr>
              <w:t>界桩制作安装</w:t>
            </w:r>
          </w:p>
        </w:tc>
        <w:tc>
          <w:tcPr>
            <w:tcW w:w="5266" w:type="dxa"/>
            <w:gridSpan w:val="2"/>
            <w:noWrap w:val="0"/>
            <w:vAlign w:val="center"/>
          </w:tcPr>
          <w:p>
            <w:pPr>
              <w:pStyle w:val="57"/>
              <w:rPr>
                <w:color w:val="000000"/>
              </w:rPr>
            </w:pPr>
            <w:r>
              <w:rPr>
                <w:rFonts w:hint="eastAsia"/>
                <w:color w:val="000000"/>
              </w:rPr>
              <w:t>坐标定位及配合埋设修改调整，制作、运输、埋设安装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616" w:type="dxa"/>
            <w:vMerge w:val="continue"/>
            <w:noWrap w:val="0"/>
            <w:vAlign w:val="center"/>
          </w:tcPr>
          <w:p>
            <w:pPr>
              <w:pStyle w:val="57"/>
              <w:rPr>
                <w:color w:val="000000"/>
              </w:rPr>
            </w:pPr>
          </w:p>
        </w:tc>
        <w:tc>
          <w:tcPr>
            <w:tcW w:w="1250" w:type="dxa"/>
            <w:vMerge w:val="continue"/>
            <w:noWrap w:val="0"/>
            <w:vAlign w:val="center"/>
          </w:tcPr>
          <w:p>
            <w:pPr>
              <w:pStyle w:val="57"/>
              <w:rPr>
                <w:color w:val="000000"/>
              </w:rPr>
            </w:pPr>
          </w:p>
        </w:tc>
        <w:tc>
          <w:tcPr>
            <w:tcW w:w="1390" w:type="dxa"/>
            <w:noWrap w:val="0"/>
            <w:vAlign w:val="center"/>
          </w:tcPr>
          <w:p>
            <w:pPr>
              <w:pStyle w:val="57"/>
              <w:rPr>
                <w:color w:val="000000"/>
              </w:rPr>
            </w:pPr>
            <w:r>
              <w:rPr>
                <w:rFonts w:hint="eastAsia"/>
                <w:color w:val="000000"/>
              </w:rPr>
              <w:t>告示牌制作安装</w:t>
            </w:r>
          </w:p>
        </w:tc>
        <w:tc>
          <w:tcPr>
            <w:tcW w:w="5266" w:type="dxa"/>
            <w:gridSpan w:val="2"/>
            <w:noWrap w:val="0"/>
            <w:vAlign w:val="center"/>
          </w:tcPr>
          <w:p>
            <w:pPr>
              <w:pStyle w:val="57"/>
              <w:rPr>
                <w:color w:val="000000"/>
              </w:rPr>
            </w:pPr>
            <w:r>
              <w:rPr>
                <w:rFonts w:hint="eastAsia"/>
                <w:color w:val="000000"/>
              </w:rPr>
              <w:t>坐标定位及配合埋设修改调整，制作、运输、埋设安装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jc w:val="center"/>
        </w:trPr>
        <w:tc>
          <w:tcPr>
            <w:tcW w:w="616" w:type="dxa"/>
            <w:vMerge w:val="restart"/>
            <w:noWrap w:val="0"/>
            <w:vAlign w:val="center"/>
          </w:tcPr>
          <w:p>
            <w:pPr>
              <w:pStyle w:val="57"/>
              <w:rPr>
                <w:color w:val="000000"/>
              </w:rPr>
            </w:pPr>
            <w:r>
              <w:rPr>
                <w:rFonts w:hint="eastAsia"/>
                <w:color w:val="000000"/>
              </w:rPr>
              <w:t>08</w:t>
            </w:r>
          </w:p>
        </w:tc>
        <w:tc>
          <w:tcPr>
            <w:tcW w:w="1250" w:type="dxa"/>
            <w:vMerge w:val="restart"/>
            <w:noWrap w:val="0"/>
            <w:vAlign w:val="center"/>
          </w:tcPr>
          <w:p>
            <w:pPr>
              <w:pStyle w:val="57"/>
              <w:rPr>
                <w:color w:val="000000"/>
              </w:rPr>
            </w:pPr>
            <w:r>
              <w:rPr>
                <w:rFonts w:hint="eastAsia"/>
                <w:color w:val="000000"/>
              </w:rPr>
              <w:t>王月桥闸</w:t>
            </w:r>
          </w:p>
        </w:tc>
        <w:tc>
          <w:tcPr>
            <w:tcW w:w="1390" w:type="dxa"/>
            <w:noWrap w:val="0"/>
            <w:vAlign w:val="center"/>
          </w:tcPr>
          <w:p>
            <w:pPr>
              <w:pStyle w:val="57"/>
              <w:rPr>
                <w:color w:val="000000"/>
              </w:rPr>
            </w:pPr>
            <w:r>
              <w:rPr>
                <w:rFonts w:hint="eastAsia"/>
                <w:color w:val="000000"/>
              </w:rPr>
              <w:t>确权界线测绘</w:t>
            </w:r>
          </w:p>
        </w:tc>
        <w:tc>
          <w:tcPr>
            <w:tcW w:w="5266" w:type="dxa"/>
            <w:gridSpan w:val="2"/>
            <w:noWrap w:val="0"/>
            <w:vAlign w:val="center"/>
          </w:tcPr>
          <w:p>
            <w:pPr>
              <w:pStyle w:val="57"/>
              <w:rPr>
                <w:color w:val="000000"/>
              </w:rPr>
            </w:pPr>
            <w:r>
              <w:rPr>
                <w:rFonts w:hint="eastAsia"/>
                <w:color w:val="000000"/>
              </w:rPr>
              <w:t>确权及绘制水闸工程及滞洪区管理范围，数据信息化，包含点位测设、测绘及成果整理，比例尺1:2000</w:t>
            </w:r>
            <w:r>
              <w:rPr>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616" w:type="dxa"/>
            <w:vMerge w:val="continue"/>
            <w:noWrap w:val="0"/>
            <w:vAlign w:val="center"/>
          </w:tcPr>
          <w:p>
            <w:pPr>
              <w:pStyle w:val="57"/>
              <w:rPr>
                <w:color w:val="000000"/>
              </w:rPr>
            </w:pPr>
          </w:p>
        </w:tc>
        <w:tc>
          <w:tcPr>
            <w:tcW w:w="1250" w:type="dxa"/>
            <w:vMerge w:val="continue"/>
            <w:noWrap w:val="0"/>
            <w:vAlign w:val="center"/>
          </w:tcPr>
          <w:p>
            <w:pPr>
              <w:pStyle w:val="57"/>
              <w:rPr>
                <w:color w:val="000000"/>
              </w:rPr>
            </w:pPr>
          </w:p>
        </w:tc>
        <w:tc>
          <w:tcPr>
            <w:tcW w:w="1390" w:type="dxa"/>
            <w:noWrap w:val="0"/>
            <w:vAlign w:val="center"/>
          </w:tcPr>
          <w:p>
            <w:pPr>
              <w:pStyle w:val="57"/>
              <w:rPr>
                <w:color w:val="000000"/>
              </w:rPr>
            </w:pPr>
            <w:r>
              <w:rPr>
                <w:rFonts w:hint="eastAsia"/>
                <w:color w:val="000000"/>
              </w:rPr>
              <w:t>界桩制作安装</w:t>
            </w:r>
          </w:p>
        </w:tc>
        <w:tc>
          <w:tcPr>
            <w:tcW w:w="5266" w:type="dxa"/>
            <w:gridSpan w:val="2"/>
            <w:noWrap w:val="0"/>
            <w:vAlign w:val="center"/>
          </w:tcPr>
          <w:p>
            <w:pPr>
              <w:pStyle w:val="57"/>
              <w:rPr>
                <w:color w:val="000000"/>
              </w:rPr>
            </w:pPr>
            <w:r>
              <w:rPr>
                <w:rFonts w:hint="eastAsia"/>
                <w:color w:val="000000"/>
              </w:rPr>
              <w:t>坐标定位及配合埋设修改调整，制作、运输、埋设安装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16" w:type="dxa"/>
            <w:vMerge w:val="continue"/>
            <w:noWrap w:val="0"/>
            <w:vAlign w:val="center"/>
          </w:tcPr>
          <w:p>
            <w:pPr>
              <w:pStyle w:val="57"/>
              <w:rPr>
                <w:color w:val="000000"/>
              </w:rPr>
            </w:pPr>
          </w:p>
        </w:tc>
        <w:tc>
          <w:tcPr>
            <w:tcW w:w="1250" w:type="dxa"/>
            <w:vMerge w:val="continue"/>
            <w:noWrap w:val="0"/>
            <w:vAlign w:val="center"/>
          </w:tcPr>
          <w:p>
            <w:pPr>
              <w:pStyle w:val="57"/>
              <w:rPr>
                <w:color w:val="000000"/>
              </w:rPr>
            </w:pPr>
          </w:p>
        </w:tc>
        <w:tc>
          <w:tcPr>
            <w:tcW w:w="1390" w:type="dxa"/>
            <w:noWrap w:val="0"/>
            <w:vAlign w:val="center"/>
          </w:tcPr>
          <w:p>
            <w:pPr>
              <w:pStyle w:val="57"/>
              <w:rPr>
                <w:color w:val="000000"/>
              </w:rPr>
            </w:pPr>
            <w:r>
              <w:rPr>
                <w:rFonts w:hint="eastAsia"/>
                <w:color w:val="000000"/>
              </w:rPr>
              <w:t>告示牌制作安装</w:t>
            </w:r>
          </w:p>
        </w:tc>
        <w:tc>
          <w:tcPr>
            <w:tcW w:w="5266" w:type="dxa"/>
            <w:gridSpan w:val="2"/>
            <w:noWrap w:val="0"/>
            <w:vAlign w:val="center"/>
          </w:tcPr>
          <w:p>
            <w:pPr>
              <w:pStyle w:val="57"/>
              <w:rPr>
                <w:color w:val="000000"/>
              </w:rPr>
            </w:pPr>
            <w:r>
              <w:rPr>
                <w:rFonts w:hint="eastAsia"/>
                <w:color w:val="000000"/>
              </w:rPr>
              <w:t>坐标定位及配合埋设修改调整，制作、运输、埋设安装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jc w:val="center"/>
        </w:trPr>
        <w:tc>
          <w:tcPr>
            <w:tcW w:w="616" w:type="dxa"/>
            <w:vMerge w:val="restart"/>
            <w:noWrap w:val="0"/>
            <w:vAlign w:val="center"/>
          </w:tcPr>
          <w:p>
            <w:pPr>
              <w:pStyle w:val="57"/>
              <w:rPr>
                <w:color w:val="000000"/>
              </w:rPr>
            </w:pPr>
            <w:r>
              <w:rPr>
                <w:rFonts w:hint="eastAsia"/>
                <w:color w:val="000000"/>
              </w:rPr>
              <w:t>09</w:t>
            </w:r>
          </w:p>
        </w:tc>
        <w:tc>
          <w:tcPr>
            <w:tcW w:w="1250" w:type="dxa"/>
            <w:vMerge w:val="restart"/>
            <w:noWrap w:val="0"/>
            <w:vAlign w:val="center"/>
          </w:tcPr>
          <w:p>
            <w:pPr>
              <w:pStyle w:val="57"/>
              <w:rPr>
                <w:color w:val="000000"/>
              </w:rPr>
            </w:pPr>
            <w:r>
              <w:rPr>
                <w:rFonts w:hint="eastAsia"/>
                <w:color w:val="000000"/>
              </w:rPr>
              <w:t>孙庄闸</w:t>
            </w:r>
          </w:p>
        </w:tc>
        <w:tc>
          <w:tcPr>
            <w:tcW w:w="1390" w:type="dxa"/>
            <w:noWrap w:val="0"/>
            <w:vAlign w:val="center"/>
          </w:tcPr>
          <w:p>
            <w:pPr>
              <w:pStyle w:val="57"/>
              <w:rPr>
                <w:color w:val="000000"/>
              </w:rPr>
            </w:pPr>
            <w:r>
              <w:rPr>
                <w:rFonts w:hint="eastAsia"/>
                <w:color w:val="000000"/>
              </w:rPr>
              <w:t>确权界线测绘</w:t>
            </w:r>
          </w:p>
        </w:tc>
        <w:tc>
          <w:tcPr>
            <w:tcW w:w="5266" w:type="dxa"/>
            <w:gridSpan w:val="2"/>
            <w:noWrap w:val="0"/>
            <w:vAlign w:val="center"/>
          </w:tcPr>
          <w:p>
            <w:pPr>
              <w:pStyle w:val="57"/>
              <w:rPr>
                <w:color w:val="000000"/>
              </w:rPr>
            </w:pPr>
            <w:r>
              <w:rPr>
                <w:rFonts w:hint="eastAsia"/>
                <w:color w:val="000000"/>
              </w:rPr>
              <w:t>确权及绘制水闸工程及滞洪区管理范围，数据信息化，包含点位测设、测绘及成果整理，比例尺1:2000</w:t>
            </w:r>
            <w:r>
              <w:rPr>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616" w:type="dxa"/>
            <w:vMerge w:val="continue"/>
            <w:noWrap w:val="0"/>
            <w:vAlign w:val="center"/>
          </w:tcPr>
          <w:p>
            <w:pPr>
              <w:pStyle w:val="57"/>
              <w:rPr>
                <w:color w:val="000000"/>
              </w:rPr>
            </w:pPr>
          </w:p>
        </w:tc>
        <w:tc>
          <w:tcPr>
            <w:tcW w:w="1250" w:type="dxa"/>
            <w:vMerge w:val="continue"/>
            <w:noWrap w:val="0"/>
            <w:vAlign w:val="center"/>
          </w:tcPr>
          <w:p>
            <w:pPr>
              <w:pStyle w:val="57"/>
              <w:rPr>
                <w:color w:val="000000"/>
              </w:rPr>
            </w:pPr>
          </w:p>
        </w:tc>
        <w:tc>
          <w:tcPr>
            <w:tcW w:w="1390" w:type="dxa"/>
            <w:noWrap w:val="0"/>
            <w:vAlign w:val="center"/>
          </w:tcPr>
          <w:p>
            <w:pPr>
              <w:pStyle w:val="57"/>
              <w:rPr>
                <w:color w:val="000000"/>
              </w:rPr>
            </w:pPr>
            <w:r>
              <w:rPr>
                <w:rFonts w:hint="eastAsia"/>
                <w:color w:val="000000"/>
              </w:rPr>
              <w:t>界桩制作安装</w:t>
            </w:r>
          </w:p>
        </w:tc>
        <w:tc>
          <w:tcPr>
            <w:tcW w:w="5266" w:type="dxa"/>
            <w:gridSpan w:val="2"/>
            <w:noWrap w:val="0"/>
            <w:vAlign w:val="center"/>
          </w:tcPr>
          <w:p>
            <w:pPr>
              <w:pStyle w:val="57"/>
              <w:rPr>
                <w:color w:val="000000"/>
              </w:rPr>
            </w:pPr>
            <w:r>
              <w:rPr>
                <w:rFonts w:hint="eastAsia"/>
                <w:color w:val="000000"/>
              </w:rPr>
              <w:t>坐标定位及配合埋设修改调整，制作、运输、埋设安装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616" w:type="dxa"/>
            <w:vMerge w:val="continue"/>
            <w:noWrap w:val="0"/>
            <w:vAlign w:val="center"/>
          </w:tcPr>
          <w:p>
            <w:pPr>
              <w:pStyle w:val="57"/>
              <w:rPr>
                <w:color w:val="000000"/>
              </w:rPr>
            </w:pPr>
          </w:p>
        </w:tc>
        <w:tc>
          <w:tcPr>
            <w:tcW w:w="1250" w:type="dxa"/>
            <w:vMerge w:val="continue"/>
            <w:noWrap w:val="0"/>
            <w:vAlign w:val="center"/>
          </w:tcPr>
          <w:p>
            <w:pPr>
              <w:pStyle w:val="57"/>
              <w:rPr>
                <w:color w:val="000000"/>
              </w:rPr>
            </w:pPr>
          </w:p>
        </w:tc>
        <w:tc>
          <w:tcPr>
            <w:tcW w:w="1390" w:type="dxa"/>
            <w:noWrap w:val="0"/>
            <w:vAlign w:val="center"/>
          </w:tcPr>
          <w:p>
            <w:pPr>
              <w:pStyle w:val="57"/>
              <w:rPr>
                <w:color w:val="000000"/>
              </w:rPr>
            </w:pPr>
            <w:r>
              <w:rPr>
                <w:rFonts w:hint="eastAsia"/>
                <w:color w:val="000000"/>
              </w:rPr>
              <w:t>告示牌制作安装</w:t>
            </w:r>
          </w:p>
        </w:tc>
        <w:tc>
          <w:tcPr>
            <w:tcW w:w="5266" w:type="dxa"/>
            <w:gridSpan w:val="2"/>
            <w:noWrap w:val="0"/>
            <w:vAlign w:val="center"/>
          </w:tcPr>
          <w:p>
            <w:pPr>
              <w:pStyle w:val="57"/>
              <w:rPr>
                <w:color w:val="000000"/>
              </w:rPr>
            </w:pPr>
            <w:r>
              <w:rPr>
                <w:rFonts w:hint="eastAsia"/>
                <w:color w:val="000000"/>
              </w:rPr>
              <w:t>坐标定位及配合埋设修改调整，制作、运输、埋设安装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616" w:type="dxa"/>
            <w:noWrap w:val="0"/>
            <w:vAlign w:val="center"/>
          </w:tcPr>
          <w:p>
            <w:pPr>
              <w:pStyle w:val="57"/>
              <w:ind w:firstLine="0" w:firstLineChars="0"/>
              <w:rPr>
                <w:color w:val="000000"/>
              </w:rPr>
            </w:pPr>
            <w:r>
              <w:rPr>
                <w:rFonts w:hint="eastAsia"/>
                <w:color w:val="000000"/>
              </w:rPr>
              <w:t>10</w:t>
            </w:r>
          </w:p>
        </w:tc>
        <w:tc>
          <w:tcPr>
            <w:tcW w:w="1250" w:type="dxa"/>
            <w:noWrap w:val="0"/>
            <w:vAlign w:val="center"/>
          </w:tcPr>
          <w:p>
            <w:pPr>
              <w:pStyle w:val="57"/>
              <w:ind w:firstLine="0" w:firstLineChars="0"/>
              <w:rPr>
                <w:color w:val="000000"/>
              </w:rPr>
            </w:pPr>
            <w:r>
              <w:rPr>
                <w:rFonts w:hint="eastAsia"/>
                <w:color w:val="000000"/>
              </w:rPr>
              <w:t>1:2000地形图</w:t>
            </w:r>
          </w:p>
        </w:tc>
        <w:tc>
          <w:tcPr>
            <w:tcW w:w="1390" w:type="dxa"/>
            <w:noWrap w:val="0"/>
            <w:vAlign w:val="center"/>
          </w:tcPr>
          <w:p>
            <w:pPr>
              <w:pStyle w:val="57"/>
              <w:ind w:firstLine="0" w:firstLineChars="0"/>
              <w:rPr>
                <w:rFonts w:hint="eastAsia"/>
                <w:color w:val="000000"/>
              </w:rPr>
            </w:pPr>
            <w:r>
              <w:rPr>
                <w:rFonts w:hint="eastAsia"/>
                <w:color w:val="000000"/>
              </w:rPr>
              <w:t>一般地形图测绘</w:t>
            </w:r>
          </w:p>
        </w:tc>
        <w:tc>
          <w:tcPr>
            <w:tcW w:w="5266" w:type="dxa"/>
            <w:gridSpan w:val="2"/>
            <w:noWrap w:val="0"/>
            <w:vAlign w:val="center"/>
          </w:tcPr>
          <w:p>
            <w:pPr>
              <w:pStyle w:val="57"/>
              <w:ind w:firstLine="0" w:firstLineChars="0"/>
              <w:rPr>
                <w:rFonts w:hint="eastAsia"/>
                <w:color w:val="000000"/>
              </w:rPr>
            </w:pPr>
            <w:r>
              <w:rPr>
                <w:rFonts w:hint="eastAsia"/>
                <w:color w:val="000000"/>
              </w:rPr>
              <w:t>作业准备，图根点控制测量，碎部测量，数据编辑，检查修改，成果资料整理，刻盘，出图。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616" w:type="dxa"/>
            <w:noWrap w:val="0"/>
            <w:vAlign w:val="center"/>
          </w:tcPr>
          <w:p>
            <w:pPr>
              <w:pStyle w:val="57"/>
              <w:ind w:firstLine="0" w:firstLineChars="0"/>
              <w:rPr>
                <w:color w:val="000000"/>
              </w:rPr>
            </w:pPr>
            <w:r>
              <w:rPr>
                <w:rFonts w:hint="eastAsia"/>
                <w:color w:val="000000"/>
              </w:rPr>
              <w:t>11</w:t>
            </w:r>
          </w:p>
        </w:tc>
        <w:tc>
          <w:tcPr>
            <w:tcW w:w="1250" w:type="dxa"/>
            <w:noWrap w:val="0"/>
            <w:vAlign w:val="center"/>
          </w:tcPr>
          <w:p>
            <w:pPr>
              <w:pStyle w:val="57"/>
              <w:ind w:firstLine="0" w:firstLineChars="0"/>
              <w:rPr>
                <w:color w:val="000000"/>
              </w:rPr>
            </w:pPr>
            <w:r>
              <w:rPr>
                <w:rFonts w:hint="eastAsia"/>
                <w:color w:val="000000"/>
              </w:rPr>
              <w:t>0.3分辨率正射影像</w:t>
            </w:r>
          </w:p>
        </w:tc>
        <w:tc>
          <w:tcPr>
            <w:tcW w:w="1390" w:type="dxa"/>
            <w:noWrap w:val="0"/>
            <w:vAlign w:val="center"/>
          </w:tcPr>
          <w:p>
            <w:pPr>
              <w:pStyle w:val="57"/>
              <w:ind w:firstLine="0" w:firstLineChars="0"/>
              <w:rPr>
                <w:rFonts w:hint="eastAsia"/>
                <w:color w:val="000000"/>
              </w:rPr>
            </w:pPr>
            <w:r>
              <w:rPr>
                <w:rFonts w:hint="eastAsia"/>
                <w:color w:val="000000"/>
              </w:rPr>
              <w:t>航空摄影，航片数字正射影像图</w:t>
            </w:r>
          </w:p>
        </w:tc>
        <w:tc>
          <w:tcPr>
            <w:tcW w:w="5266" w:type="dxa"/>
            <w:gridSpan w:val="2"/>
            <w:noWrap w:val="0"/>
            <w:vAlign w:val="center"/>
          </w:tcPr>
          <w:p>
            <w:pPr>
              <w:pStyle w:val="57"/>
              <w:ind w:firstLine="0" w:firstLineChars="0"/>
              <w:rPr>
                <w:rFonts w:hint="eastAsia"/>
                <w:color w:val="000000"/>
              </w:rPr>
            </w:pPr>
            <w:r>
              <w:rPr>
                <w:rFonts w:hint="eastAsia"/>
                <w:color w:val="auto"/>
              </w:rPr>
              <w:t>工作准备，投标方负责空域申请（近邻建安区长店机场），航空摄影实施。选点，外业观测，成果计算，检查，影像处理，检查刻盘。采用优于0.3分辨率的1:2000比例尺</w:t>
            </w:r>
          </w:p>
        </w:tc>
      </w:tr>
    </w:tbl>
    <w:p>
      <w:pPr>
        <w:spacing w:line="360" w:lineRule="auto"/>
        <w:ind w:firstLine="482" w:firstLineChars="200"/>
        <w:contextualSpacing/>
        <w:rPr>
          <w:rFonts w:cs="微软雅黑" w:asciiTheme="minorEastAsia" w:hAnsiTheme="minorEastAsia"/>
          <w:b/>
          <w:color w:val="7030A0"/>
          <w:sz w:val="24"/>
          <w:szCs w:val="24"/>
        </w:rPr>
      </w:pPr>
      <w:r>
        <w:rPr>
          <w:rFonts w:hint="eastAsia" w:cs="微软雅黑" w:asciiTheme="minorEastAsia" w:hAnsiTheme="minorEastAsia"/>
          <w:b/>
          <w:color w:val="7030A0"/>
          <w:sz w:val="24"/>
          <w:szCs w:val="24"/>
        </w:rPr>
        <w:t>本采购清单中所列技术规格或主要参数为最低要求，不允许负偏离，否则将承担其投标被视为非实质性响应投标的风险。</w:t>
      </w:r>
    </w:p>
    <w:p>
      <w:pPr>
        <w:spacing w:line="360" w:lineRule="auto"/>
        <w:ind w:firstLine="422" w:firstLineChars="200"/>
        <w:contextualSpacing/>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三、采购标的执行标准</w:t>
      </w:r>
    </w:p>
    <w:p>
      <w:pPr>
        <w:widowControl/>
        <w:shd w:val="clear" w:color="auto" w:fill="FFFFFF"/>
        <w:spacing w:line="360" w:lineRule="auto"/>
        <w:ind w:firstLine="480" w:firstLineChars="200"/>
        <w:contextualSpacing/>
        <w:jc w:val="left"/>
        <w:rPr>
          <w:rFonts w:hint="eastAsia" w:ascii="宋体" w:cs="宋体"/>
          <w:sz w:val="24"/>
          <w:highlight w:val="none"/>
          <w:lang w:val="zh-CN" w:eastAsia="zh-CN"/>
        </w:rPr>
      </w:pPr>
      <w:r>
        <w:rPr>
          <w:rFonts w:hint="eastAsia" w:ascii="宋体" w:cs="宋体"/>
          <w:sz w:val="24"/>
          <w:highlight w:val="none"/>
          <w:lang w:val="zh-CN"/>
        </w:rPr>
        <w:t>《河南省河湖划界确权技术参考要点》（附件1）、《河湖管理范围和水利工程管理与保护范围调查测量技术补充要点》（附件2）</w:t>
      </w:r>
      <w:r>
        <w:rPr>
          <w:rFonts w:hint="eastAsia" w:ascii="宋体" w:cs="宋体"/>
          <w:sz w:val="24"/>
          <w:highlight w:val="none"/>
          <w:lang w:val="zh-CN" w:eastAsia="zh-CN"/>
        </w:rPr>
        <w:t>。</w:t>
      </w:r>
    </w:p>
    <w:p>
      <w:pPr>
        <w:spacing w:line="360" w:lineRule="auto"/>
        <w:ind w:firstLine="422" w:firstLineChars="200"/>
        <w:contextualSpacing/>
        <w:rPr>
          <w:rFonts w:hint="eastAsia" w:cs="宋体" w:asciiTheme="minorEastAsia" w:hAnsiTheme="minorEastAsia"/>
          <w:b/>
          <w:color w:val="000000"/>
          <w:kern w:val="0"/>
          <w:sz w:val="24"/>
          <w:szCs w:val="24"/>
          <w:lang w:val="zh-CN"/>
        </w:rPr>
      </w:pPr>
      <w:r>
        <w:rPr>
          <w:rFonts w:hint="eastAsia" w:cs="微软雅黑" w:asciiTheme="minorEastAsia" w:hAnsiTheme="minorEastAsia"/>
          <w:b/>
          <w:color w:val="FF0000"/>
          <w:szCs w:val="21"/>
          <w:lang w:val="zh-CN"/>
        </w:rPr>
        <w:t>★</w:t>
      </w:r>
      <w:r>
        <w:rPr>
          <w:rFonts w:hint="eastAsia" w:cs="宋体" w:asciiTheme="minorEastAsia" w:hAnsiTheme="minorEastAsia"/>
          <w:b/>
          <w:color w:val="000000"/>
          <w:kern w:val="0"/>
          <w:sz w:val="24"/>
          <w:szCs w:val="24"/>
          <w:lang w:val="zh-CN"/>
        </w:rPr>
        <w:t>四、采购标的的其他技术、服务等要求</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zh-CN"/>
        </w:rPr>
        <w:t>1、投标人须明确免费保修期，同时提出故障响应时间。须明确维修点地址、负责人、联系人和联系电话，维修点具备什么样的维修能力等详细资料。</w:t>
      </w:r>
    </w:p>
    <w:p>
      <w:pPr>
        <w:wordWrap w:val="0"/>
        <w:topLinePunct/>
        <w:autoSpaceDE w:val="0"/>
        <w:autoSpaceDN w:val="0"/>
        <w:adjustRightInd w:val="0"/>
        <w:spacing w:line="360" w:lineRule="auto"/>
        <w:ind w:firstLine="482"/>
        <w:rPr>
          <w:rFonts w:ascii="宋体" w:cs="宋体"/>
          <w:b/>
          <w:sz w:val="24"/>
          <w:highlight w:val="none"/>
          <w:lang w:val="zh-CN"/>
        </w:rPr>
      </w:pPr>
      <w:r>
        <w:rPr>
          <w:rFonts w:hint="eastAsia" w:ascii="宋体" w:cs="宋体"/>
          <w:sz w:val="24"/>
          <w:highlight w:val="none"/>
          <w:lang w:val="zh-CN"/>
        </w:rPr>
        <w:t>2、投标人应就本项目完整投标，</w:t>
      </w:r>
      <w:r>
        <w:rPr>
          <w:rFonts w:hint="eastAsia" w:ascii="宋体" w:cs="宋体"/>
          <w:b/>
          <w:sz w:val="24"/>
          <w:highlight w:val="none"/>
          <w:lang w:val="zh-CN"/>
        </w:rPr>
        <w:t>否则为无效投标。</w:t>
      </w:r>
    </w:p>
    <w:p>
      <w:pPr>
        <w:wordWrap w:val="0"/>
        <w:topLinePunct/>
        <w:spacing w:line="360" w:lineRule="auto"/>
        <w:ind w:firstLine="480" w:firstLineChars="200"/>
        <w:rPr>
          <w:rFonts w:ascii="宋体" w:cs="宋体"/>
          <w:sz w:val="24"/>
          <w:highlight w:val="none"/>
          <w:lang w:val="zh-CN"/>
        </w:rPr>
      </w:pPr>
      <w:r>
        <w:rPr>
          <w:rFonts w:hint="eastAsia" w:ascii="宋体" w:cs="宋体"/>
          <w:sz w:val="24"/>
          <w:highlight w:val="none"/>
          <w:lang w:val="zh-CN"/>
        </w:rPr>
        <w:t>3、所投产品必须符合国家质量检测标准和本采购文件规定标准的全新正品现货。</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zh-CN"/>
        </w:rPr>
        <w:t>4、本项目为交钥匙工程。</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zh-CN"/>
        </w:rPr>
        <w:t>5、投标文件中须有详细的实施（技术）方案，否则为无效投标。</w:t>
      </w:r>
    </w:p>
    <w:p>
      <w:pPr>
        <w:widowControl/>
        <w:shd w:val="clear" w:color="auto" w:fill="FFFFFF"/>
        <w:spacing w:line="360" w:lineRule="auto"/>
        <w:ind w:firstLine="422" w:firstLineChars="200"/>
        <w:contextualSpacing/>
        <w:jc w:val="left"/>
        <w:rPr>
          <w:rFonts w:hint="eastAsia" w:cs="宋体" w:asciiTheme="minorEastAsia" w:hAnsiTheme="minorEastAsia"/>
          <w:b/>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kern w:val="0"/>
          <w:sz w:val="24"/>
          <w:szCs w:val="24"/>
          <w:lang w:val="zh-CN"/>
        </w:rPr>
        <w:t>五、验收标准</w:t>
      </w:r>
    </w:p>
    <w:p>
      <w:pPr>
        <w:snapToGrid w:val="0"/>
        <w:spacing w:line="360" w:lineRule="auto"/>
        <w:ind w:firstLine="600"/>
        <w:rPr>
          <w:rFonts w:hint="eastAsia" w:ascii="宋体" w:hAnsi="宋体" w:eastAsia="宋体" w:cs="宋体"/>
          <w:sz w:val="24"/>
          <w:szCs w:val="24"/>
        </w:rPr>
      </w:pPr>
      <w:r>
        <w:rPr>
          <w:rFonts w:hint="eastAsia" w:ascii="宋体" w:hAnsi="宋体" w:eastAsia="宋体" w:cs="宋体"/>
          <w:color w:val="000000"/>
          <w:kern w:val="0"/>
          <w:sz w:val="24"/>
          <w:szCs w:val="24"/>
          <w:shd w:val="clear" w:color="auto" w:fill="FFFFFF"/>
          <w:lang w:val="en-US" w:eastAsia="zh-CN" w:bidi="ar"/>
        </w:rPr>
        <w:t>1、</w:t>
      </w:r>
      <w:r>
        <w:rPr>
          <w:rFonts w:hint="eastAsia" w:ascii="宋体" w:hAnsi="宋体" w:eastAsia="宋体" w:cs="宋体"/>
          <w:color w:val="000000"/>
          <w:kern w:val="0"/>
          <w:sz w:val="24"/>
          <w:szCs w:val="24"/>
          <w:shd w:val="clear" w:color="auto" w:fill="FFFFFF"/>
          <w:lang w:bidi="ar"/>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napToGrid w:val="0"/>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shd w:val="clear" w:color="auto" w:fill="FFFFFF"/>
          <w:lang w:bidi="ar"/>
        </w:rPr>
        <w:t xml:space="preserve">    </w:t>
      </w:r>
      <w:r>
        <w:rPr>
          <w:rFonts w:hint="eastAsia" w:ascii="宋体" w:hAnsi="宋体" w:eastAsia="宋体" w:cs="宋体"/>
          <w:color w:val="000000"/>
          <w:kern w:val="0"/>
          <w:sz w:val="24"/>
          <w:szCs w:val="24"/>
          <w:shd w:val="clear" w:color="auto" w:fill="FFFFFF"/>
          <w:lang w:val="en-US" w:eastAsia="zh-CN" w:bidi="ar"/>
        </w:rPr>
        <w:t>2</w:t>
      </w:r>
      <w:r>
        <w:rPr>
          <w:rFonts w:hint="eastAsia" w:ascii="宋体" w:hAnsi="宋体" w:eastAsia="宋体" w:cs="宋体"/>
          <w:color w:val="000000"/>
          <w:kern w:val="0"/>
          <w:sz w:val="24"/>
          <w:szCs w:val="24"/>
          <w:shd w:val="clear" w:color="auto" w:fill="FFFFFF"/>
          <w:lang w:bidi="ar"/>
        </w:rPr>
        <w:t>、按照河南省河湖划界确权技术参考要点、河湖管理范围和水利工程管理与保护范围调查测量技术补充要点</w:t>
      </w:r>
      <w:r>
        <w:rPr>
          <w:rFonts w:hint="eastAsia" w:ascii="宋体" w:hAnsi="宋体" w:eastAsia="宋体" w:cs="宋体"/>
          <w:sz w:val="24"/>
          <w:szCs w:val="24"/>
        </w:rPr>
        <w:t>验收</w:t>
      </w:r>
      <w:r>
        <w:rPr>
          <w:rFonts w:hint="eastAsia" w:ascii="宋体" w:hAnsi="宋体" w:eastAsia="宋体" w:cs="宋体"/>
          <w:color w:val="000000"/>
          <w:kern w:val="0"/>
          <w:sz w:val="24"/>
          <w:szCs w:val="24"/>
          <w:shd w:val="clear" w:color="auto" w:fill="FFFFFF"/>
          <w:lang w:bidi="ar"/>
        </w:rPr>
        <w:t>；</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ascii="宋体" w:hAnsi="宋体" w:eastAsia="宋体" w:cs="宋体"/>
          <w:color w:val="000000"/>
          <w:kern w:val="0"/>
          <w:sz w:val="24"/>
          <w:szCs w:val="24"/>
          <w:shd w:val="clear" w:color="auto" w:fill="FFFFFF"/>
          <w:lang w:val="en-US" w:eastAsia="zh-CN" w:bidi="ar"/>
        </w:rPr>
        <w:t>3</w:t>
      </w:r>
      <w:r>
        <w:rPr>
          <w:rFonts w:hint="eastAsia" w:ascii="宋体" w:hAnsi="宋体" w:eastAsia="宋体" w:cs="宋体"/>
          <w:color w:val="000000"/>
          <w:kern w:val="0"/>
          <w:sz w:val="24"/>
          <w:szCs w:val="24"/>
          <w:shd w:val="clear" w:color="auto" w:fill="FFFFFF"/>
          <w:lang w:bidi="ar"/>
        </w:rPr>
        <w:t>、按照招标文件要求、投标文件响应和承诺验收。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六</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211149</w:t>
      </w:r>
      <w:r>
        <w:rPr>
          <w:rFonts w:hint="eastAsia" w:cs="黑体" w:asciiTheme="minorEastAsia" w:hAnsiTheme="minorEastAsia" w:eastAsiaTheme="minorEastAsia"/>
          <w:b/>
          <w:bCs/>
          <w:color w:val="000000"/>
          <w:shd w:val="clear" w:color="auto" w:fill="FFFFFF"/>
        </w:rPr>
        <w:t>元。</w:t>
      </w:r>
      <w:r>
        <w:rPr>
          <w:rFonts w:hint="eastAsia" w:cs="宋体" w:asciiTheme="minorEastAsia" w:hAnsiTheme="minorEastAsia" w:eastAsiaTheme="minorEastAsia"/>
          <w:b/>
          <w:color w:val="000000"/>
          <w:kern w:val="0"/>
          <w:lang w:val="zh-CN"/>
        </w:rPr>
        <w:t>超出预算金额的谈判响应无效。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七、资金支付</w:t>
      </w:r>
    </w:p>
    <w:p>
      <w:pPr>
        <w:snapToGrid w:val="0"/>
        <w:spacing w:line="360" w:lineRule="auto"/>
        <w:ind w:firstLine="480" w:firstLineChars="200"/>
        <w:rPr>
          <w:rFonts w:hint="eastAsia" w:ascii="宋体" w:hAnsi="宋体" w:eastAsia="宋体" w:cs="宋体"/>
          <w:color w:val="000000"/>
          <w:kern w:val="0"/>
          <w:sz w:val="24"/>
          <w:szCs w:val="24"/>
          <w:shd w:val="clear" w:color="auto" w:fill="FFFFFF"/>
          <w:lang w:val="zh-CN" w:bidi="ar"/>
        </w:rPr>
      </w:pPr>
      <w:r>
        <w:rPr>
          <w:rFonts w:hint="eastAsia" w:ascii="宋体" w:hAnsi="宋体" w:eastAsia="宋体" w:cs="宋体"/>
          <w:color w:val="000000"/>
          <w:kern w:val="0"/>
          <w:sz w:val="24"/>
          <w:szCs w:val="24"/>
          <w:shd w:val="clear" w:color="auto" w:fill="FFFFFF"/>
          <w:lang w:val="zh-CN" w:bidi="ar"/>
        </w:rPr>
        <w:t>1、支付方式：银行转账</w:t>
      </w:r>
    </w:p>
    <w:p>
      <w:pPr>
        <w:snapToGrid w:val="0"/>
        <w:spacing w:line="360" w:lineRule="auto"/>
        <w:ind w:firstLine="480" w:firstLineChars="200"/>
        <w:rPr>
          <w:rFonts w:hint="eastAsia" w:ascii="宋体" w:hAnsi="宋体" w:eastAsia="宋体" w:cs="宋体"/>
          <w:color w:val="000000"/>
          <w:kern w:val="0"/>
          <w:sz w:val="24"/>
          <w:szCs w:val="24"/>
          <w:shd w:val="clear" w:color="auto" w:fill="FFFFFF"/>
          <w:lang w:val="zh-CN" w:bidi="ar"/>
        </w:rPr>
      </w:pPr>
      <w:r>
        <w:rPr>
          <w:rFonts w:hint="eastAsia" w:ascii="宋体" w:hAnsi="宋体" w:eastAsia="宋体" w:cs="宋体"/>
          <w:color w:val="000000"/>
          <w:kern w:val="0"/>
          <w:sz w:val="24"/>
          <w:szCs w:val="24"/>
          <w:shd w:val="clear" w:color="auto" w:fill="FFFFFF"/>
          <w:lang w:val="zh-CN" w:bidi="ar"/>
        </w:rPr>
        <w:t>2、支付时间及条件：工程确权界线测绘成果提交、界桩标牌制作安装完成并验收通过后，支付合同价款的90%，中标人配合采购人完成确权登记及相关手续后剩余的10%一次性付清。</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vAlign w:val="top"/>
          </w:tcPr>
          <w:p>
            <w:pPr>
              <w:autoSpaceDE w:val="0"/>
              <w:autoSpaceDN w:val="0"/>
              <w:adjustRightInd w:val="0"/>
              <w:spacing w:line="360" w:lineRule="auto"/>
              <w:jc w:val="left"/>
              <w:rPr>
                <w:rFonts w:cs="仿宋_GB2312" w:asciiTheme="minorEastAsia" w:hAnsiTheme="minorEastAsia"/>
                <w:sz w:val="21"/>
                <w:szCs w:val="21"/>
              </w:rPr>
            </w:pPr>
            <w:r>
              <w:rPr>
                <w:rFonts w:hint="eastAsia" w:cs="仿宋_GB2312" w:asciiTheme="minorEastAsia" w:hAnsiTheme="minorEastAsia"/>
                <w:sz w:val="21"/>
                <w:szCs w:val="21"/>
              </w:rPr>
              <w:t>项目名称：</w:t>
            </w:r>
            <w:r>
              <w:rPr>
                <w:rFonts w:hint="eastAsia" w:cs="仿宋_GB2312" w:asciiTheme="minorEastAsia" w:hAnsiTheme="minorEastAsia" w:eastAsiaTheme="minorEastAsia"/>
                <w:sz w:val="21"/>
                <w:szCs w:val="21"/>
                <w:lang w:val="zh-CN"/>
              </w:rPr>
              <w:t>许昌市市区河湖水系水利工程管理与保护范围调查测量工程</w:t>
            </w:r>
          </w:p>
          <w:p>
            <w:pPr>
              <w:autoSpaceDE w:val="0"/>
              <w:autoSpaceDN w:val="0"/>
              <w:adjustRightInd w:val="0"/>
              <w:spacing w:line="360" w:lineRule="auto"/>
              <w:jc w:val="left"/>
              <w:rPr>
                <w:rFonts w:hint="eastAsia" w:cs="仿宋_GB2312" w:asciiTheme="minorEastAsia" w:hAnsiTheme="minorEastAsia" w:eastAsiaTheme="minorEastAsia"/>
                <w:sz w:val="21"/>
                <w:szCs w:val="21"/>
                <w:lang w:val="zh-CN"/>
              </w:rPr>
            </w:pPr>
            <w:r>
              <w:rPr>
                <w:rFonts w:hint="eastAsia" w:cs="仿宋_GB2312" w:asciiTheme="minorEastAsia" w:hAnsiTheme="minorEastAsia"/>
                <w:sz w:val="21"/>
                <w:szCs w:val="21"/>
              </w:rPr>
              <w:t>项目编</w:t>
            </w:r>
            <w:r>
              <w:rPr>
                <w:rFonts w:hint="eastAsia" w:cs="仿宋_GB2312" w:asciiTheme="minorEastAsia" w:hAnsiTheme="minorEastAsia" w:eastAsiaTheme="minorEastAsia"/>
                <w:sz w:val="21"/>
                <w:szCs w:val="21"/>
                <w:lang w:val="zh-CN"/>
              </w:rPr>
              <w:t>号：ZFCG-T2019    号</w:t>
            </w:r>
          </w:p>
          <w:p>
            <w:pPr>
              <w:autoSpaceDE w:val="0"/>
              <w:autoSpaceDN w:val="0"/>
              <w:adjustRightInd w:val="0"/>
              <w:spacing w:line="360" w:lineRule="auto"/>
              <w:jc w:val="left"/>
              <w:rPr>
                <w:rFonts w:hint="eastAsia"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项目内容：对许昌市河湖水系水源调度中心9座闸坝进行调查、确权界线测绘、界桩放样、界桩制作安装、告示牌制作安装，1:2000地形图，航片数字正射影像图,协助完成登记、办证工作。具体工作量依据有关规范执行。</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eastAsiaTheme="minorEastAsia"/>
                <w:sz w:val="21"/>
                <w:szCs w:val="21"/>
                <w:lang w:val="zh-CN"/>
              </w:rPr>
              <w:t>项目地址：关庄闸、泘沱闸、建安大道橡胶坝、前进路橡胶坝、马岗闸、永兴路橡胶坝、高营闸、王月桥闸、孙庄闸。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1"/>
                <w:szCs w:val="21"/>
              </w:rPr>
            </w:pPr>
            <w:r>
              <w:rPr>
                <w:rFonts w:hint="eastAsia" w:cs="仿宋_GB2312" w:asciiTheme="minorEastAsia" w:hAnsiTheme="minorEastAsia"/>
                <w:sz w:val="21"/>
                <w:szCs w:val="21"/>
              </w:rPr>
              <w:t>名称：</w:t>
            </w:r>
            <w:r>
              <w:rPr>
                <w:rFonts w:hint="eastAsia" w:cs="仿宋_GB2312" w:asciiTheme="minorEastAsia" w:hAnsiTheme="minorEastAsia" w:eastAsiaTheme="minorEastAsia"/>
                <w:sz w:val="21"/>
                <w:szCs w:val="21"/>
                <w:lang w:val="zh-CN"/>
              </w:rPr>
              <w:t>许昌市河湖水系水源调度中心</w:t>
            </w:r>
          </w:p>
          <w:p>
            <w:pPr>
              <w:autoSpaceDE w:val="0"/>
              <w:autoSpaceDN w:val="0"/>
              <w:adjustRightInd w:val="0"/>
              <w:spacing w:line="360" w:lineRule="auto"/>
              <w:jc w:val="left"/>
              <w:rPr>
                <w:rFonts w:cs="仿宋_GB2312" w:asciiTheme="minorEastAsia" w:hAnsiTheme="minorEastAsia"/>
                <w:sz w:val="21"/>
                <w:szCs w:val="21"/>
              </w:rPr>
            </w:pPr>
            <w:r>
              <w:rPr>
                <w:rFonts w:hint="eastAsia" w:cs="仿宋_GB2312" w:asciiTheme="minorEastAsia" w:hAnsiTheme="minorEastAsia"/>
                <w:sz w:val="21"/>
                <w:szCs w:val="21"/>
              </w:rPr>
              <w:t>地址：</w:t>
            </w:r>
            <w:r>
              <w:rPr>
                <w:rFonts w:hint="eastAsia" w:cs="仿宋_GB2312" w:asciiTheme="minorEastAsia" w:hAnsiTheme="minorEastAsia" w:eastAsiaTheme="minorEastAsia"/>
                <w:sz w:val="21"/>
                <w:szCs w:val="21"/>
                <w:lang w:val="zh-CN"/>
              </w:rPr>
              <w:t>许昌市八一东路3799号水利大厦</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 w:val="21"/>
                <w:szCs w:val="21"/>
              </w:rPr>
              <w:t>联系人：</w:t>
            </w:r>
            <w:r>
              <w:rPr>
                <w:rFonts w:hint="eastAsia" w:cs="仿宋_GB2312" w:asciiTheme="minorEastAsia" w:hAnsiTheme="minorEastAsia" w:eastAsiaTheme="minorEastAsia"/>
                <w:sz w:val="21"/>
                <w:szCs w:val="21"/>
                <w:lang w:val="zh-CN"/>
              </w:rPr>
              <w:t>王 浩</w:t>
            </w:r>
            <w:r>
              <w:rPr>
                <w:rFonts w:hint="eastAsia" w:cs="仿宋_GB2312" w:asciiTheme="minorEastAsia" w:hAnsiTheme="minorEastAsia"/>
                <w:sz w:val="21"/>
                <w:szCs w:val="21"/>
              </w:rPr>
              <w:t xml:space="preserve">               电话：</w:t>
            </w:r>
            <w:r>
              <w:rPr>
                <w:rFonts w:hint="eastAsia" w:cs="仿宋_GB2312" w:asciiTheme="minorEastAsia" w:hAnsiTheme="minorEastAsia" w:eastAsiaTheme="minorEastAsia"/>
                <w:sz w:val="21"/>
                <w:szCs w:val="21"/>
                <w:lang w:val="zh-CN"/>
              </w:rPr>
              <w:t>0374-6061762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 w:val="21"/>
                <w:szCs w:val="21"/>
              </w:rPr>
            </w:pPr>
            <w:r>
              <w:rPr>
                <w:rFonts w:hint="eastAsia" w:cs="仿宋_GB2312" w:asciiTheme="minorEastAsia" w:hAnsiTheme="minorEastAsia"/>
                <w:sz w:val="21"/>
                <w:szCs w:val="21"/>
              </w:rPr>
              <w:t>名称：许昌市政府采购中心</w:t>
            </w:r>
          </w:p>
          <w:p>
            <w:pPr>
              <w:autoSpaceDE w:val="0"/>
              <w:autoSpaceDN w:val="0"/>
              <w:adjustRightInd w:val="0"/>
              <w:spacing w:line="360" w:lineRule="auto"/>
              <w:jc w:val="left"/>
              <w:rPr>
                <w:rFonts w:cs="仿宋_GB2312" w:asciiTheme="minorEastAsia" w:hAnsiTheme="minorEastAsia"/>
                <w:sz w:val="21"/>
                <w:szCs w:val="21"/>
              </w:rPr>
            </w:pPr>
            <w:r>
              <w:rPr>
                <w:rFonts w:hint="eastAsia" w:cs="仿宋_GB2312" w:asciiTheme="minorEastAsia" w:hAnsiTheme="minorEastAsia"/>
                <w:sz w:val="21"/>
                <w:szCs w:val="21"/>
              </w:rPr>
              <w:t>地址：许昌市龙兴路与竹林路交汇处公共资源大厦</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 w:val="21"/>
                <w:szCs w:val="21"/>
              </w:rPr>
              <w:t>联系人：</w:t>
            </w:r>
            <w:r>
              <w:rPr>
                <w:rFonts w:hint="eastAsia" w:cs="仿宋_GB2312" w:asciiTheme="minorEastAsia" w:hAnsiTheme="minorEastAsia"/>
                <w:sz w:val="21"/>
                <w:szCs w:val="21"/>
                <w:lang w:eastAsia="zh-CN"/>
              </w:rPr>
              <w:t>杨</w:t>
            </w:r>
            <w:r>
              <w:rPr>
                <w:rFonts w:hint="eastAsia" w:cs="仿宋_GB2312" w:asciiTheme="minorEastAsia" w:hAnsiTheme="minorEastAsia"/>
                <w:sz w:val="21"/>
                <w:szCs w:val="21"/>
              </w:rPr>
              <w:t>女士                电话：0374-296</w:t>
            </w:r>
            <w:r>
              <w:rPr>
                <w:rFonts w:hint="eastAsia" w:cs="仿宋_GB2312" w:asciiTheme="minorEastAsia" w:hAnsiTheme="minorEastAsia"/>
                <w:sz w:val="21"/>
                <w:szCs w:val="21"/>
                <w:lang w:val="en-US" w:eastAsia="zh-CN"/>
              </w:rPr>
              <w:t>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5、供应商不良信用记录以采购人查询结果为准，采购人查询之后，网站信息发生的任何变更不再作为评审依据，供应商自行提供的与网站信息不一致的其他证明材料亦不作为评审依据。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仿宋_GB2312" w:asciiTheme="minorEastAsia" w:hAnsiTheme="minorEastAsia"/>
                <w:b/>
                <w:color w:val="000000"/>
                <w:sz w:val="21"/>
                <w:szCs w:val="21"/>
                <w:highlight w:val="none"/>
                <w:shd w:val="clear" w:color="auto" w:fill="FFFFFF"/>
              </w:rPr>
              <w:t>八、须具备测绘乙级（包含：工程测量、摄影测量与遥感、测绘航空摄影、不动产测绘、地理信息系统工程、地图编制）及以上资质。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 w:val="21"/>
                <w:szCs w:val="21"/>
                <w:lang w:val="en-US" w:eastAsia="zh-CN"/>
              </w:rPr>
              <w:t>211149</w:t>
            </w:r>
            <w:r>
              <w:rPr>
                <w:rFonts w:hint="eastAsia" w:cs="宋体" w:asciiTheme="minorEastAsia" w:hAnsiTheme="minorEastAsia"/>
                <w:bCs/>
                <w:sz w:val="21"/>
                <w:szCs w:val="21"/>
                <w:lang w:val="zh-CN"/>
              </w:rPr>
              <w:t>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 xml:space="preserve"> 年</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22</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宋体" w:asciiTheme="minorEastAsia" w:hAnsiTheme="minorEastAsia"/>
                <w:bCs/>
                <w:szCs w:val="21"/>
                <w:lang w:val="zh-CN"/>
              </w:rPr>
              <w:t>许昌市公共资源交易中心三楼开</w:t>
            </w:r>
            <w:r>
              <w:rPr>
                <w:rFonts w:hint="eastAsia" w:cs="仿宋_GB2312" w:asciiTheme="minorEastAsia" w:hAnsiTheme="minorEastAsia"/>
                <w:color w:val="000000"/>
                <w:szCs w:val="21"/>
                <w:lang w:val="zh-CN"/>
              </w:rPr>
              <w:t>标五</w:t>
            </w:r>
            <w:r>
              <w:rPr>
                <w:rFonts w:hint="eastAsia" w:cs="宋体" w:asciiTheme="minorEastAsia" w:hAnsiTheme="minorEastAsia"/>
                <w:bCs/>
                <w:szCs w:val="21"/>
                <w:lang w:val="zh-CN"/>
              </w:rPr>
              <w:t>室；</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2、开启及谈判地点：许昌市公共资源交易中心四楼</w:t>
            </w:r>
            <w:r>
              <w:rPr>
                <w:rFonts w:hint="eastAsia" w:cs="仿宋_GB2312" w:asciiTheme="minorEastAsia" w:hAnsiTheme="minorEastAsia"/>
                <w:color w:val="000000"/>
                <w:szCs w:val="21"/>
                <w:lang w:eastAsia="zh-CN"/>
              </w:rPr>
              <w:t>谈判二</w:t>
            </w:r>
            <w:r>
              <w:rPr>
                <w:rFonts w:hint="eastAsia" w:cs="仿宋_GB2312" w:asciiTheme="minorEastAsia" w:hAnsiTheme="minorEastAsia"/>
                <w:color w:val="000000"/>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缴纳截止时间：同谈判响应截止时间。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金额：</w:t>
            </w:r>
            <w:r>
              <w:rPr>
                <w:rFonts w:hint="eastAsia" w:cs="仿宋_GB2312" w:asciiTheme="minorEastAsia" w:hAnsiTheme="minorEastAsia"/>
                <w:sz w:val="21"/>
                <w:szCs w:val="21"/>
                <w:highlight w:val="none"/>
                <w:lang w:val="zh-CN"/>
              </w:rPr>
              <w:t xml:space="preserve">肆仟元（¥ </w:t>
            </w:r>
            <w:r>
              <w:rPr>
                <w:rFonts w:hint="eastAsia" w:cs="仿宋_GB2312" w:asciiTheme="minorEastAsia" w:hAnsiTheme="minorEastAsia"/>
                <w:sz w:val="21"/>
                <w:szCs w:val="21"/>
                <w:highlight w:val="none"/>
                <w:lang w:val="en-US" w:eastAsia="zh-CN"/>
              </w:rPr>
              <w:t>4000元</w:t>
            </w:r>
            <w:r>
              <w:rPr>
                <w:rFonts w:hint="eastAsia" w:cs="仿宋_GB2312" w:asciiTheme="minorEastAsia" w:hAnsiTheme="minorEastAsia"/>
                <w:sz w:val="21"/>
                <w:szCs w:val="21"/>
                <w:highlight w:val="none"/>
                <w:lang w:val="zh-CN"/>
              </w:rPr>
              <w:t>）</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一、谈判保证金的递交方式：银行转帐、银行电汇（均需从供应商注册银行账户转出），不接受以现金方式缴纳的谈判保证金。凡以现金方式缴纳谈判保证金而影响其响应结果的，由供应商自行负责。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三、谈判保证金缴纳方式：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1、供应商网上下载谈判文件后，登录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2、成功缴纳后重新登录前述系统，依次点击“会员向导”→“参与投标”→“保证金绑定”→“绑定”进行谈判保证金绑定。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5、每个供应商每个项目每个标段只有唯一缴纳账号，切勿重复缴纳或错误缴纳。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6、供应商所提交的谈判保证金仅限当次竞争性谈判项目（标段）有效，不得重复替代使用。一个竞争性谈判项目有多个标段或者有多个项目同时谈判的，供应商必须按项目、标段分别提交谈判保证金。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7、不同供应商的谈判保证金不得从同一单位或者个人的账户转出。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8、未按上述规定操作引起的无效响应，由供应商自行负责。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五、投标保证金退还咨询电话：0374-2968027（许昌市公共资源交易中心交易见证部）。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none"/>
                <w:lang w:eastAsia="zh-CN"/>
              </w:rPr>
              <w:t>一</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（5）供应商不良信用记录以采购人查询结果为准，采购人查询之后，网站信息发生的任何变更不再作为评审依据，供应商自行提供的与网站信息不一致的其他证明材料亦不作为评审依据。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经通知参加他怕的供应商，在谈判结束后还有一次最终报价的机会</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（1）供应商应按“供应商须知前附表”规定时间及金额提交谈判保证金，并作为其谈判的一部分。未按要求提交谈判保证金的响应文件为无效报价。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（2）谈判保证金用于避免和减少本次谈判由于供应商的行为而给采购人带来的损失。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谈判保证金的递交方式：银行转帐、银行电汇（均需从供应商注册银行账户转出），不接受以现金方式缴纳的谈判保证金。凡以现金方式缴纳谈判保证金而影响其响应结果的，由供应商自行负责。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（5）谈判保证金缴纳方式：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供应商网上下载谈判文件后，登录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成功缴纳后重新登录前述系统，依次点击“会员向导”→“参与投标”→“保证金绑定”→“绑定”进行谈判保证金绑定。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每个供应商每个项目每个标段只有唯一缴纳账号，切勿重复缴纳或错误缴纳。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供应商所提交的谈判保证金仅限当次谈判项目（标段）有效，不得重复替代使用。一个谈判项目有多个标段或者有多个项目同时谈判的，供应商必须按项目、标段分别提交谈判保证金。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不同供应商的谈判保证金不得从同一单位或者个人的账户转出。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未按上述规定操作引起的报价无效，由供应商自行负责。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43"/>
        <w:numPr>
          <w:ilvl w:val="1"/>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退还谈判保证金时，区别成交与否，按不同时序由银行按来款途径退还原账户。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自成交通知书发出之日起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个工作日内退还未成交供应商的谈判保证金。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个工作日内退还成交供应商的投标保证金。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供应商谈判响应过程中因账户开户银行、银行账号发生变化，不能按照来款途径原路返还谈判保证金的，供应商须提供原账户开户银行相关证明及新开账户开户许可证，到许昌市公共资源交易中心一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因供应商自身原因无法及时退还谈判保证金，滞留三年以上的，谈判保证金上缴财政。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有下列情形之一的，谈判保证金不予退还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a. </w:t>
      </w:r>
      <w:r>
        <w:rPr>
          <w:rFonts w:ascii="ˎ̥" w:hAnsi="ˎ̥"/>
        </w:rPr>
        <w:t>供应商在提交响应文件截止时间后撤回响应文件的</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供应商在谈判文件中提供虚假材料的；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除因不可抗力或谈判文件认可的情形以外，成交供应商不与采购人签订合同的；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供应商与采购人、其他供应商或者采购代理机构恶意串通的；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法律法规及谈判文件规定的其他情形。</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供应商不得在投标有效期内撤销响应文件，否则招标人将不退还其谈判保证金。</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9"/>
        </w:numPr>
        <w:autoSpaceDE w:val="0"/>
        <w:autoSpaceDN w:val="0"/>
        <w:spacing w:line="360" w:lineRule="auto"/>
        <w:ind w:firstLineChars="0"/>
        <w:contextualSpacing/>
        <w:rPr>
          <w:rFonts w:ascii="ˎ̥" w:hAnsi="ˎ̥"/>
          <w:vanish/>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9"/>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9"/>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autoSpaceDE w:val="0"/>
        <w:autoSpaceDN w:val="0"/>
        <w:spacing w:line="360" w:lineRule="auto"/>
        <w:ind w:left="964" w:firstLine="0" w:firstLineChars="0"/>
        <w:contextualSpacing/>
        <w:rPr>
          <w:rFonts w:ascii="ˎ̥" w:hAnsi="ˎ̥"/>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autoSpaceDE w:val="0"/>
        <w:autoSpaceDN w:val="0"/>
        <w:spacing w:line="360" w:lineRule="auto"/>
        <w:ind w:left="964" w:firstLine="0" w:firstLineChars="0"/>
        <w:contextualSpacing/>
        <w:rPr>
          <w:rFonts w:ascii="ˎ̥" w:hAnsi="ˎ̥"/>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采购人确认成交供应商后，采购人在公告成交结果的同时，向成交供应商发出中标通知书。</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7"/>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结果构成影响的，继续开展采购活动；认为供应商质疑成立且影响或者可能影响中标结果的，按照下列情况处理：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szCs w:val="21"/>
              </w:rPr>
              <w:t>www.gsxt.gov.cn</w:t>
            </w:r>
            <w:r>
              <w:rPr>
                <w:rStyle w:val="27"/>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cs="仿宋_GB2312" w:asciiTheme="minorEastAsia" w:hAnsiTheme="minorEastAsia"/>
                <w:szCs w:val="21"/>
                <w:lang w:val="zh-CN"/>
              </w:rPr>
              <w:t>须具备测绘乙级（包含：工程测量、摄影测量与遥感、测绘航空摄影、不动产测绘、地理信息系统工程、地图编制）及以上资质。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是否按供应商须知前附表规定成功交纳。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w:t>
      </w:r>
      <w:r>
        <w:rPr>
          <w:rFonts w:hint="eastAsia" w:asciiTheme="minorEastAsia" w:hAnsiTheme="minorEastAsia" w:eastAsiaTheme="minorEastAsia"/>
          <w:color w:val="000000"/>
          <w:sz w:val="21"/>
          <w:szCs w:val="21"/>
          <w:u w:val="single"/>
        </w:rPr>
        <w:t>成交供应商</w:t>
      </w:r>
      <w:r>
        <w:rPr>
          <w:rFonts w:asciiTheme="minorEastAsia" w:hAnsiTheme="minorEastAsia" w:eastAsiaTheme="minorEastAsia"/>
          <w:color w:val="000000"/>
          <w:sz w:val="21"/>
          <w:szCs w:val="21"/>
          <w:u w:val="single"/>
        </w:rPr>
        <w:t>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w:t>
      </w:r>
      <w:r>
        <w:rPr>
          <w:rFonts w:hint="eastAsia" w:asciiTheme="minorEastAsia" w:hAnsiTheme="minorEastAsia" w:eastAsiaTheme="minorEastAsia"/>
          <w:color w:val="000000"/>
          <w:sz w:val="21"/>
          <w:szCs w:val="21"/>
        </w:rPr>
        <w:t>成交供应商</w:t>
      </w:r>
      <w:r>
        <w:rPr>
          <w:rFonts w:asciiTheme="minorEastAsia" w:hAnsiTheme="minorEastAsia" w:eastAsiaTheme="minorEastAsia"/>
          <w:color w:val="000000"/>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谈判</w:t>
      </w:r>
      <w:r>
        <w:rPr>
          <w:rFonts w:asciiTheme="minorEastAsia" w:hAnsiTheme="minorEastAsia" w:eastAsiaTheme="minorEastAsia"/>
          <w:color w:val="000000"/>
          <w:sz w:val="21"/>
          <w:szCs w:val="21"/>
        </w:rPr>
        <w:t>文件、乙方的</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谈判</w:t>
      </w:r>
      <w:r>
        <w:rPr>
          <w:rFonts w:asciiTheme="minorEastAsia" w:hAnsiTheme="minorEastAsia" w:eastAsiaTheme="minorEastAsia"/>
          <w:color w:val="000000"/>
          <w:sz w:val="21"/>
          <w:szCs w:val="21"/>
        </w:rPr>
        <w:t>文件、乙方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谈判</w:t>
      </w:r>
      <w:r>
        <w:rPr>
          <w:rFonts w:asciiTheme="minorEastAsia" w:hAnsiTheme="minorEastAsia" w:eastAsiaTheme="minorEastAsia"/>
          <w:color w:val="000000"/>
          <w:sz w:val="21"/>
          <w:szCs w:val="21"/>
        </w:rPr>
        <w:t>文件、乙方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w:t>
      </w:r>
      <w:r>
        <w:rPr>
          <w:rFonts w:asciiTheme="minorEastAsia" w:hAnsiTheme="minorEastAsia" w:eastAsiaTheme="minorEastAsia"/>
          <w:color w:val="000000"/>
          <w:sz w:val="21"/>
          <w:szCs w:val="21"/>
          <w:u w:val="single"/>
        </w:rPr>
        <w:t>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谈判</w:t>
      </w:r>
      <w:r>
        <w:rPr>
          <w:rFonts w:asciiTheme="minorEastAsia" w:hAnsiTheme="minorEastAsia" w:eastAsiaTheme="minorEastAsia"/>
          <w:color w:val="000000"/>
          <w:sz w:val="21"/>
          <w:szCs w:val="21"/>
        </w:rPr>
        <w:t>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w:t>
      </w:r>
      <w:r>
        <w:rPr>
          <w:rFonts w:asciiTheme="minorEastAsia" w:hAnsiTheme="minorEastAsia" w:eastAsiaTheme="minorEastAsia"/>
          <w:color w:val="000000"/>
          <w:sz w:val="21"/>
          <w:szCs w:val="21"/>
          <w:u w:val="single"/>
        </w:rPr>
        <w:t>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color w:val="000000"/>
          <w:sz w:val="21"/>
          <w:szCs w:val="21"/>
        </w:rPr>
        <w:t>成交</w:t>
      </w:r>
      <w:r>
        <w:rPr>
          <w:rFonts w:asciiTheme="minorEastAsia" w:hAnsiTheme="minorEastAsia" w:eastAsiaTheme="minorEastAsia"/>
          <w:color w:val="000000"/>
          <w:sz w:val="21"/>
          <w:szCs w:val="21"/>
        </w:rPr>
        <w:t>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谈判</w:t>
      </w:r>
      <w:r>
        <w:rPr>
          <w:rFonts w:asciiTheme="minorEastAsia" w:hAnsiTheme="minorEastAsia" w:eastAsiaTheme="minorEastAsia"/>
          <w:color w:val="000000"/>
          <w:sz w:val="21"/>
          <w:szCs w:val="21"/>
          <w:u w:val="single"/>
        </w:rPr>
        <w:t>文件已有规定的，双方均不得变更或调整；</w:t>
      </w:r>
      <w:r>
        <w:rPr>
          <w:rFonts w:hint="eastAsia" w:asciiTheme="minorEastAsia" w:hAnsiTheme="minorEastAsia" w:eastAsiaTheme="minorEastAsia"/>
          <w:color w:val="000000"/>
          <w:sz w:val="21"/>
          <w:szCs w:val="21"/>
          <w:u w:val="single"/>
        </w:rPr>
        <w:t>谈判</w:t>
      </w:r>
      <w:r>
        <w:rPr>
          <w:rFonts w:asciiTheme="minorEastAsia" w:hAnsiTheme="minorEastAsia" w:eastAsiaTheme="minorEastAsia"/>
          <w:color w:val="000000"/>
          <w:sz w:val="21"/>
          <w:szCs w:val="21"/>
          <w:u w:val="single"/>
        </w:rPr>
        <w:t>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单位负责人：                     单位负责人：</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6</w:t>
      </w:r>
      <w:r>
        <w:rPr>
          <w:rFonts w:hint="eastAsia" w:ascii="楷体" w:hAnsi="楷体" w:eastAsia="楷体"/>
          <w:color w:val="000000"/>
          <w:sz w:val="24"/>
          <w:szCs w:val="24"/>
        </w:rPr>
        <w:t>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许昌公共资源交易中心保证金缴纳回执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53"/>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2E31462"/>
    <w:rsid w:val="35306958"/>
    <w:rsid w:val="391E6950"/>
    <w:rsid w:val="3A1A525E"/>
    <w:rsid w:val="3B380893"/>
    <w:rsid w:val="3C075F73"/>
    <w:rsid w:val="3D96637E"/>
    <w:rsid w:val="44EA4606"/>
    <w:rsid w:val="46366161"/>
    <w:rsid w:val="467D2F1A"/>
    <w:rsid w:val="46CE1703"/>
    <w:rsid w:val="46E35449"/>
    <w:rsid w:val="473960E8"/>
    <w:rsid w:val="485128BA"/>
    <w:rsid w:val="49574371"/>
    <w:rsid w:val="4D005CCE"/>
    <w:rsid w:val="505F0174"/>
    <w:rsid w:val="51352836"/>
    <w:rsid w:val="544C0545"/>
    <w:rsid w:val="58A31F4C"/>
    <w:rsid w:val="5CB139A0"/>
    <w:rsid w:val="614E3A65"/>
    <w:rsid w:val="61A265BB"/>
    <w:rsid w:val="643F1881"/>
    <w:rsid w:val="67341FB4"/>
    <w:rsid w:val="67627D80"/>
    <w:rsid w:val="69FB4D8B"/>
    <w:rsid w:val="6BD36501"/>
    <w:rsid w:val="6D32159C"/>
    <w:rsid w:val="755E1E93"/>
    <w:rsid w:val="75AB4839"/>
    <w:rsid w:val="762425DE"/>
    <w:rsid w:val="767C5E46"/>
    <w:rsid w:val="76B625A7"/>
    <w:rsid w:val="776A2709"/>
    <w:rsid w:val="78AF68A0"/>
    <w:rsid w:val="7A372031"/>
    <w:rsid w:val="7C7E7759"/>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00"/>
      <w:u w:val="non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 w:type="paragraph" w:customStyle="1" w:styleId="57">
    <w:name w:val="表格"/>
    <w:basedOn w:val="1"/>
    <w:next w:val="9"/>
    <w:qFormat/>
    <w:uiPriority w:val="0"/>
    <w:pPr>
      <w:ind w:firstLine="0" w:firstLineChars="0"/>
      <w:jc w:val="center"/>
    </w:pPr>
    <w:rPr>
      <w:sz w:val="24"/>
    </w:rPr>
  </w:style>
  <w:style w:type="character" w:customStyle="1" w:styleId="58">
    <w:name w:val="red"/>
    <w:basedOn w:val="23"/>
    <w:uiPriority w:val="0"/>
    <w:rPr>
      <w:color w:val="FF0000"/>
      <w:sz w:val="18"/>
      <w:szCs w:val="18"/>
    </w:rPr>
  </w:style>
  <w:style w:type="character" w:customStyle="1" w:styleId="59">
    <w:name w:val="red1"/>
    <w:basedOn w:val="23"/>
    <w:uiPriority w:val="0"/>
    <w:rPr>
      <w:color w:val="FF0000"/>
      <w:sz w:val="18"/>
      <w:szCs w:val="18"/>
    </w:rPr>
  </w:style>
  <w:style w:type="character" w:customStyle="1" w:styleId="60">
    <w:name w:val="red2"/>
    <w:basedOn w:val="23"/>
    <w:uiPriority w:val="0"/>
    <w:rPr>
      <w:color w:val="CC0000"/>
    </w:rPr>
  </w:style>
  <w:style w:type="character" w:customStyle="1" w:styleId="61">
    <w:name w:val="red3"/>
    <w:basedOn w:val="23"/>
    <w:uiPriority w:val="0"/>
    <w:rPr>
      <w:color w:val="FF0000"/>
    </w:rPr>
  </w:style>
  <w:style w:type="character" w:customStyle="1" w:styleId="62">
    <w:name w:val="hover25"/>
    <w:basedOn w:val="23"/>
    <w:uiPriority w:val="0"/>
  </w:style>
  <w:style w:type="character" w:customStyle="1" w:styleId="63">
    <w:name w:val="green"/>
    <w:basedOn w:val="23"/>
    <w:uiPriority w:val="0"/>
    <w:rPr>
      <w:color w:val="66AE00"/>
      <w:sz w:val="18"/>
      <w:szCs w:val="18"/>
    </w:rPr>
  </w:style>
  <w:style w:type="character" w:customStyle="1" w:styleId="64">
    <w:name w:val="green1"/>
    <w:basedOn w:val="23"/>
    <w:uiPriority w:val="0"/>
    <w:rPr>
      <w:color w:val="66AE00"/>
      <w:sz w:val="18"/>
      <w:szCs w:val="18"/>
    </w:rPr>
  </w:style>
  <w:style w:type="character" w:customStyle="1" w:styleId="65">
    <w:name w:val="gb-jt"/>
    <w:basedOn w:val="23"/>
    <w:uiPriority w:val="0"/>
  </w:style>
  <w:style w:type="character" w:customStyle="1" w:styleId="66">
    <w:name w:val="blue"/>
    <w:basedOn w:val="23"/>
    <w:uiPriority w:val="0"/>
    <w:rPr>
      <w:color w:val="0371C6"/>
      <w:sz w:val="21"/>
      <w:szCs w:val="21"/>
    </w:rPr>
  </w:style>
  <w:style w:type="character" w:customStyle="1" w:styleId="67">
    <w:name w:val="right"/>
    <w:basedOn w:val="23"/>
    <w:uiPriority w:val="0"/>
    <w:rPr>
      <w:color w:val="999999"/>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64</Pages>
  <Words>30354</Words>
  <Characters>31743</Characters>
  <Lines>241</Lines>
  <Paragraphs>68</Paragraphs>
  <TotalTime>3</TotalTime>
  <ScaleCrop>false</ScaleCrop>
  <LinksUpToDate>false</LinksUpToDate>
  <CharactersWithSpaces>33163</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许昌市公共资源交易中心:杨丹丹</cp:lastModifiedBy>
  <cp:lastPrinted>2018-03-20T03:26:00Z</cp:lastPrinted>
  <dcterms:modified xsi:type="dcterms:W3CDTF">2019-05-15T01:18:52Z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