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400" w:lineRule="exact"/>
        <w:rPr>
          <w:rFonts w:ascii="Times New Roman" w:hAnsi="Times New Roman"/>
          <w:color w:val="auto"/>
        </w:rPr>
      </w:pPr>
    </w:p>
    <w:p>
      <w:pPr>
        <w:autoSpaceDE w:val="0"/>
        <w:autoSpaceDN w:val="0"/>
        <w:adjustRightInd w:val="0"/>
        <w:jc w:val="center"/>
        <w:rPr>
          <w:rFonts w:hint="eastAsia" w:hAnsi="宋体" w:eastAsia="宋体"/>
          <w:b/>
          <w:color w:val="auto"/>
          <w:sz w:val="52"/>
          <w:szCs w:val="52"/>
          <w:lang w:val="en-US" w:eastAsia="zh-CN"/>
        </w:rPr>
      </w:pPr>
      <w:r>
        <w:rPr>
          <w:rFonts w:hint="eastAsia" w:hAnsi="宋体"/>
          <w:b/>
          <w:color w:val="auto"/>
          <w:sz w:val="52"/>
          <w:szCs w:val="52"/>
          <w:lang w:val="en-US" w:eastAsia="zh-CN"/>
        </w:rPr>
        <w:t>许昌市城乡一体化示范区永昌佳苑（庞庄棚户区改造）地勘工程项目</w:t>
      </w:r>
    </w:p>
    <w:p>
      <w:pPr>
        <w:autoSpaceDE w:val="0"/>
        <w:autoSpaceDN w:val="0"/>
        <w:adjustRightInd w:val="0"/>
        <w:jc w:val="center"/>
        <w:rPr>
          <w:rFonts w:hAnsi="宋体"/>
          <w:b/>
          <w:color w:val="auto"/>
          <w:sz w:val="96"/>
          <w:szCs w:val="96"/>
        </w:rPr>
      </w:pPr>
    </w:p>
    <w:p>
      <w:pPr>
        <w:pStyle w:val="2"/>
        <w:rPr>
          <w:rFonts w:hint="eastAsia" w:eastAsia="宋体"/>
          <w:color w:val="auto"/>
          <w:lang w:eastAsia="zh-CN"/>
        </w:rPr>
      </w:pPr>
    </w:p>
    <w:p>
      <w:pPr>
        <w:autoSpaceDE w:val="0"/>
        <w:autoSpaceDN w:val="0"/>
        <w:adjustRightInd w:val="0"/>
        <w:jc w:val="center"/>
        <w:rPr>
          <w:rFonts w:hint="eastAsia" w:hAnsi="宋体"/>
          <w:b/>
          <w:color w:val="auto"/>
          <w:sz w:val="96"/>
          <w:szCs w:val="96"/>
        </w:rPr>
      </w:pPr>
    </w:p>
    <w:p>
      <w:pPr>
        <w:autoSpaceDE w:val="0"/>
        <w:autoSpaceDN w:val="0"/>
        <w:adjustRightInd w:val="0"/>
        <w:jc w:val="center"/>
        <w:rPr>
          <w:rFonts w:hAnsi="宋体"/>
          <w:b/>
          <w:color w:val="auto"/>
          <w:sz w:val="96"/>
          <w:szCs w:val="96"/>
        </w:rPr>
      </w:pPr>
      <w:r>
        <w:rPr>
          <w:rFonts w:hint="eastAsia" w:hAnsi="宋体"/>
          <w:b/>
          <w:color w:val="auto"/>
          <w:sz w:val="96"/>
          <w:szCs w:val="96"/>
          <w:lang w:eastAsia="zh-CN"/>
        </w:rPr>
        <w:t>招</w:t>
      </w:r>
      <w:r>
        <w:rPr>
          <w:rFonts w:hint="eastAsia" w:hAnsi="宋体"/>
          <w:b/>
          <w:color w:val="auto"/>
          <w:sz w:val="96"/>
          <w:szCs w:val="96"/>
          <w:lang w:val="en-US" w:eastAsia="zh-CN"/>
        </w:rPr>
        <w:t xml:space="preserve"> </w:t>
      </w:r>
      <w:r>
        <w:rPr>
          <w:rFonts w:hint="eastAsia" w:hAnsi="宋体"/>
          <w:b/>
          <w:color w:val="auto"/>
          <w:sz w:val="96"/>
          <w:szCs w:val="96"/>
          <w:lang w:eastAsia="zh-CN"/>
        </w:rPr>
        <w:t>标</w:t>
      </w:r>
      <w:r>
        <w:rPr>
          <w:rFonts w:hint="eastAsia" w:hAnsi="宋体"/>
          <w:b/>
          <w:color w:val="auto"/>
          <w:sz w:val="96"/>
          <w:szCs w:val="96"/>
        </w:rPr>
        <w:t xml:space="preserve"> 文 件</w:t>
      </w:r>
    </w:p>
    <w:p>
      <w:pPr>
        <w:autoSpaceDE w:val="0"/>
        <w:autoSpaceDN w:val="0"/>
        <w:adjustRightInd w:val="0"/>
        <w:rPr>
          <w:rFonts w:hint="eastAsia" w:hAnsi="宋体"/>
          <w:b/>
          <w:color w:val="auto"/>
          <w:sz w:val="28"/>
          <w:szCs w:val="28"/>
        </w:rPr>
      </w:pPr>
      <w:r>
        <w:rPr>
          <w:rFonts w:hint="eastAsia" w:hAnsi="宋体"/>
          <w:b/>
          <w:color w:val="auto"/>
          <w:sz w:val="24"/>
          <w:szCs w:val="24"/>
        </w:rPr>
        <w:t xml:space="preserve">                       </w:t>
      </w:r>
      <w:r>
        <w:rPr>
          <w:rFonts w:hint="eastAsia" w:hAnsi="宋体"/>
          <w:b/>
          <w:color w:val="auto"/>
          <w:sz w:val="28"/>
          <w:szCs w:val="28"/>
        </w:rPr>
        <w:t xml:space="preserve">  </w:t>
      </w:r>
    </w:p>
    <w:p>
      <w:pPr>
        <w:pStyle w:val="2"/>
        <w:rPr>
          <w:rFonts w:hint="eastAsia"/>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jc w:val="center"/>
        <w:rPr>
          <w:rFonts w:hint="default"/>
          <w:b w:val="0"/>
          <w:i w:val="0"/>
          <w:lang w:val="en-US"/>
        </w:rPr>
      </w:pPr>
      <w:r>
        <w:rPr>
          <w:rFonts w:hint="eastAsia" w:hAnsi="宋体"/>
          <w:b/>
          <w:color w:val="auto"/>
          <w:sz w:val="28"/>
          <w:szCs w:val="28"/>
        </w:rPr>
        <w:t>项目编号：</w:t>
      </w:r>
      <w:r>
        <w:rPr>
          <w:rFonts w:ascii="微软雅黑" w:hAnsi="微软雅黑" w:eastAsia="微软雅黑" w:cs="微软雅黑"/>
          <w:b w:val="0"/>
          <w:bCs/>
          <w:i w:val="0"/>
          <w:color w:val="000000"/>
          <w:kern w:val="0"/>
          <w:sz w:val="32"/>
          <w:szCs w:val="32"/>
          <w:u w:val="none"/>
          <w:shd w:val="clear" w:fill="FFFFFF"/>
          <w:lang w:val="en-US" w:eastAsia="zh-CN" w:bidi="ar"/>
        </w:rPr>
        <w:t>XCGC-</w:t>
      </w:r>
      <w:r>
        <w:rPr>
          <w:rFonts w:hint="eastAsia" w:ascii="微软雅黑" w:hAnsi="微软雅黑" w:eastAsia="微软雅黑" w:cs="微软雅黑"/>
          <w:b w:val="0"/>
          <w:bCs/>
          <w:i w:val="0"/>
          <w:color w:val="000000"/>
          <w:kern w:val="0"/>
          <w:sz w:val="32"/>
          <w:szCs w:val="32"/>
          <w:u w:val="none"/>
          <w:shd w:val="clear" w:fill="FFFFFF"/>
          <w:lang w:val="en-US" w:eastAsia="zh-CN" w:bidi="ar"/>
        </w:rPr>
        <w:t>F</w:t>
      </w:r>
      <w:r>
        <w:rPr>
          <w:rFonts w:ascii="微软雅黑" w:hAnsi="微软雅黑" w:eastAsia="微软雅黑" w:cs="微软雅黑"/>
          <w:b w:val="0"/>
          <w:bCs/>
          <w:i w:val="0"/>
          <w:color w:val="000000"/>
          <w:kern w:val="0"/>
          <w:sz w:val="32"/>
          <w:szCs w:val="32"/>
          <w:u w:val="none"/>
          <w:shd w:val="clear" w:fill="FFFFFF"/>
          <w:lang w:val="en-US" w:eastAsia="zh-CN" w:bidi="ar"/>
        </w:rPr>
        <w:t>2019</w:t>
      </w:r>
      <w:r>
        <w:rPr>
          <w:rFonts w:hint="eastAsia" w:ascii="微软雅黑" w:hAnsi="微软雅黑" w:eastAsia="微软雅黑" w:cs="微软雅黑"/>
          <w:b w:val="0"/>
          <w:bCs/>
          <w:i w:val="0"/>
          <w:color w:val="000000"/>
          <w:kern w:val="0"/>
          <w:sz w:val="32"/>
          <w:szCs w:val="32"/>
          <w:u w:val="none"/>
          <w:shd w:val="clear" w:fill="FFFFFF"/>
          <w:lang w:val="en-US" w:eastAsia="zh-CN" w:bidi="ar"/>
        </w:rPr>
        <w:t>116</w:t>
      </w:r>
    </w:p>
    <w:p>
      <w:pPr>
        <w:autoSpaceDE w:val="0"/>
        <w:autoSpaceDN w:val="0"/>
        <w:adjustRightInd w:val="0"/>
        <w:ind w:firstLine="2530" w:firstLineChars="900"/>
        <w:jc w:val="both"/>
        <w:rPr>
          <w:rFonts w:hAnsi="宋体" w:cs="宋体"/>
          <w:b/>
          <w:bCs/>
          <w:color w:val="auto"/>
          <w:sz w:val="28"/>
          <w:szCs w:val="28"/>
        </w:rPr>
      </w:pPr>
    </w:p>
    <w:p>
      <w:pPr>
        <w:spacing w:line="360" w:lineRule="auto"/>
        <w:rPr>
          <w:rFonts w:hAnsi="宋体"/>
          <w:b/>
          <w:bCs/>
          <w:color w:val="auto"/>
          <w:sz w:val="24"/>
        </w:rPr>
      </w:pPr>
      <w:r>
        <w:rPr>
          <w:rFonts w:hint="eastAsia" w:hAnsi="宋体"/>
          <w:b/>
          <w:bCs/>
          <w:color w:val="auto"/>
          <w:sz w:val="24"/>
        </w:rPr>
        <w:t xml:space="preserve">                      </w:t>
      </w:r>
    </w:p>
    <w:p>
      <w:pPr>
        <w:spacing w:line="360" w:lineRule="auto"/>
        <w:rPr>
          <w:rFonts w:hAnsi="宋体"/>
          <w:b/>
          <w:bCs/>
          <w:color w:val="auto"/>
          <w:sz w:val="24"/>
        </w:rPr>
      </w:pPr>
    </w:p>
    <w:p>
      <w:pPr>
        <w:spacing w:line="360" w:lineRule="auto"/>
        <w:rPr>
          <w:rFonts w:hAnsi="宋体"/>
          <w:b/>
          <w:bCs/>
          <w:color w:val="auto"/>
          <w:sz w:val="24"/>
        </w:rPr>
      </w:pPr>
    </w:p>
    <w:p>
      <w:pPr>
        <w:spacing w:line="360" w:lineRule="auto"/>
        <w:rPr>
          <w:rFonts w:hAnsi="宋体"/>
          <w:b/>
          <w:bCs/>
          <w:color w:val="auto"/>
          <w:sz w:val="24"/>
        </w:rPr>
      </w:pPr>
    </w:p>
    <w:p>
      <w:pPr>
        <w:pStyle w:val="2"/>
        <w:rPr>
          <w:rFonts w:hAnsi="宋体"/>
          <w:b/>
          <w:bCs/>
          <w:color w:val="auto"/>
          <w:sz w:val="24"/>
        </w:rPr>
      </w:pPr>
    </w:p>
    <w:p>
      <w:pPr>
        <w:pStyle w:val="94"/>
        <w:tabs>
          <w:tab w:val="left" w:pos="1980"/>
        </w:tabs>
        <w:spacing w:line="1000" w:lineRule="exact"/>
        <w:jc w:val="center"/>
        <w:rPr>
          <w:rFonts w:hint="eastAsia" w:hAnsi="宋体" w:cs="黑体"/>
          <w:b/>
          <w:color w:val="auto"/>
          <w:sz w:val="32"/>
          <w:szCs w:val="32"/>
        </w:rPr>
      </w:pPr>
      <w:r>
        <w:rPr>
          <w:rFonts w:hint="eastAsia" w:hAnsi="宋体" w:cs="黑体"/>
          <w:b/>
          <w:color w:val="auto"/>
          <w:sz w:val="32"/>
          <w:szCs w:val="32"/>
          <w:lang w:eastAsia="zh-CN"/>
        </w:rPr>
        <w:t>招标</w:t>
      </w:r>
      <w:r>
        <w:rPr>
          <w:rFonts w:hint="eastAsia" w:hAnsi="宋体" w:cs="黑体"/>
          <w:b/>
          <w:color w:val="auto"/>
          <w:sz w:val="32"/>
          <w:szCs w:val="32"/>
        </w:rPr>
        <w:t>人：许昌市城乡一体化示范区建设环保局</w:t>
      </w:r>
    </w:p>
    <w:p>
      <w:pPr>
        <w:pStyle w:val="94"/>
        <w:tabs>
          <w:tab w:val="left" w:pos="1980"/>
        </w:tabs>
        <w:spacing w:line="1000" w:lineRule="exact"/>
        <w:jc w:val="center"/>
        <w:rPr>
          <w:rFonts w:hint="eastAsia" w:hAnsi="宋体" w:cs="黑体"/>
          <w:b/>
          <w:color w:val="auto"/>
          <w:sz w:val="32"/>
          <w:szCs w:val="32"/>
          <w:lang w:eastAsia="zh-CN"/>
        </w:rPr>
      </w:pPr>
      <w:r>
        <w:rPr>
          <w:rFonts w:hint="eastAsia" w:hAnsi="宋体" w:cs="黑体"/>
          <w:b/>
          <w:color w:val="auto"/>
          <w:sz w:val="32"/>
          <w:szCs w:val="32"/>
        </w:rPr>
        <w:t>代理机构：</w:t>
      </w:r>
      <w:r>
        <w:rPr>
          <w:rFonts w:hint="eastAsia" w:hAnsi="宋体" w:cs="黑体"/>
          <w:b/>
          <w:color w:val="auto"/>
          <w:sz w:val="32"/>
          <w:szCs w:val="32"/>
          <w:lang w:eastAsia="zh-CN"/>
        </w:rPr>
        <w:t>河南永安工程管理有限公司</w:t>
      </w:r>
    </w:p>
    <w:p>
      <w:pPr>
        <w:pStyle w:val="94"/>
        <w:tabs>
          <w:tab w:val="left" w:pos="1980"/>
        </w:tabs>
        <w:spacing w:line="1000" w:lineRule="exact"/>
        <w:jc w:val="center"/>
        <w:rPr>
          <w:rFonts w:hint="eastAsia" w:hAnsi="宋体" w:cs="黑体"/>
          <w:b/>
          <w:color w:val="auto"/>
          <w:sz w:val="32"/>
          <w:szCs w:val="32"/>
        </w:rPr>
      </w:pPr>
      <w:r>
        <w:rPr>
          <w:rFonts w:hint="eastAsia" w:hAnsi="宋体" w:cs="黑体"/>
          <w:b/>
          <w:color w:val="auto"/>
          <w:sz w:val="32"/>
          <w:szCs w:val="32"/>
        </w:rPr>
        <w:t>日    期：二〇一九年</w:t>
      </w:r>
      <w:r>
        <w:rPr>
          <w:rFonts w:hint="eastAsia" w:hAnsi="宋体" w:cs="黑体"/>
          <w:b/>
          <w:color w:val="auto"/>
          <w:sz w:val="32"/>
          <w:szCs w:val="32"/>
          <w:lang w:eastAsia="zh-CN"/>
        </w:rPr>
        <w:t>五</w:t>
      </w:r>
      <w:r>
        <w:rPr>
          <w:rFonts w:hint="eastAsia" w:hAnsi="宋体" w:cs="黑体"/>
          <w:b/>
          <w:color w:val="auto"/>
          <w:sz w:val="32"/>
          <w:szCs w:val="32"/>
        </w:rPr>
        <w:t>月</w:t>
      </w:r>
    </w:p>
    <w:p>
      <w:pPr>
        <w:spacing w:afterLines="100" w:line="540" w:lineRule="exact"/>
        <w:ind w:firstLine="4618" w:firstLineChars="1150"/>
        <w:rPr>
          <w:rFonts w:ascii="宋体" w:hAnsi="宋体" w:cs="宋体"/>
          <w:b/>
          <w:color w:val="auto"/>
          <w:sz w:val="40"/>
          <w:szCs w:val="40"/>
        </w:rPr>
      </w:pPr>
      <w:bookmarkStart w:id="0" w:name="_Toc144974479"/>
      <w:bookmarkStart w:id="1" w:name="_Toc152042287"/>
      <w:bookmarkStart w:id="2" w:name="_Toc152045511"/>
    </w:p>
    <w:p>
      <w:pPr>
        <w:spacing w:afterLines="100" w:line="540" w:lineRule="exact"/>
        <w:ind w:firstLine="0" w:firstLineChars="0"/>
        <w:jc w:val="center"/>
        <w:rPr>
          <w:rFonts w:ascii="宋体" w:hAnsi="宋体" w:cs="宋体"/>
          <w:b/>
          <w:color w:val="auto"/>
          <w:sz w:val="32"/>
          <w:szCs w:val="32"/>
        </w:rPr>
      </w:pPr>
      <w:r>
        <w:rPr>
          <w:rFonts w:hint="eastAsia" w:ascii="宋体" w:hAnsi="宋体" w:cs="宋体"/>
          <w:b/>
          <w:color w:val="auto"/>
          <w:sz w:val="32"/>
          <w:szCs w:val="32"/>
        </w:rPr>
        <w:t>目  录</w:t>
      </w:r>
    </w:p>
    <w:p>
      <w:pPr>
        <w:autoSpaceDE w:val="0"/>
        <w:autoSpaceDN w:val="0"/>
        <w:adjustRightInd w:val="0"/>
        <w:spacing w:line="600" w:lineRule="exact"/>
        <w:ind w:firstLine="562"/>
        <w:rPr>
          <w:rFonts w:ascii="宋体" w:hAnsi="宋体" w:cs="宋体"/>
          <w:b/>
          <w:color w:val="auto"/>
          <w:sz w:val="28"/>
          <w:szCs w:val="28"/>
        </w:rPr>
      </w:pPr>
      <w:r>
        <w:rPr>
          <w:rFonts w:hint="eastAsia" w:ascii="宋体" w:hAnsi="宋体" w:cs="宋体"/>
          <w:b/>
          <w:color w:val="auto"/>
          <w:sz w:val="28"/>
          <w:szCs w:val="28"/>
        </w:rPr>
        <w:t>第一章  招标公告</w:t>
      </w:r>
    </w:p>
    <w:p>
      <w:pPr>
        <w:autoSpaceDE w:val="0"/>
        <w:autoSpaceDN w:val="0"/>
        <w:adjustRightInd w:val="0"/>
        <w:spacing w:line="600" w:lineRule="exact"/>
        <w:ind w:firstLine="562"/>
        <w:rPr>
          <w:rFonts w:ascii="宋体" w:hAnsi="宋体" w:cs="宋体"/>
          <w:b/>
          <w:color w:val="auto"/>
          <w:sz w:val="28"/>
          <w:szCs w:val="28"/>
        </w:rPr>
      </w:pPr>
      <w:r>
        <w:rPr>
          <w:rFonts w:hint="eastAsia" w:ascii="宋体" w:hAnsi="宋体" w:cs="宋体"/>
          <w:b/>
          <w:color w:val="auto"/>
          <w:sz w:val="28"/>
          <w:szCs w:val="28"/>
        </w:rPr>
        <w:t>第二章  投标人须知</w:t>
      </w:r>
    </w:p>
    <w:p>
      <w:pPr>
        <w:autoSpaceDE w:val="0"/>
        <w:autoSpaceDN w:val="0"/>
        <w:adjustRightInd w:val="0"/>
        <w:spacing w:line="600" w:lineRule="exact"/>
        <w:ind w:firstLine="562"/>
        <w:rPr>
          <w:rFonts w:ascii="宋体" w:hAnsi="宋体" w:cs="宋体"/>
          <w:b/>
          <w:color w:val="auto"/>
          <w:sz w:val="28"/>
          <w:szCs w:val="28"/>
        </w:rPr>
      </w:pPr>
      <w:r>
        <w:rPr>
          <w:rFonts w:hint="eastAsia" w:ascii="宋体" w:hAnsi="宋体" w:cs="宋体"/>
          <w:b/>
          <w:color w:val="auto"/>
          <w:sz w:val="28"/>
          <w:szCs w:val="28"/>
        </w:rPr>
        <w:t>第三章  评标办法</w:t>
      </w:r>
    </w:p>
    <w:p>
      <w:pPr>
        <w:autoSpaceDE w:val="0"/>
        <w:autoSpaceDN w:val="0"/>
        <w:adjustRightInd w:val="0"/>
        <w:spacing w:line="600" w:lineRule="exact"/>
        <w:ind w:firstLine="562"/>
        <w:rPr>
          <w:rFonts w:ascii="宋体" w:hAnsi="宋体" w:cs="宋体"/>
          <w:b/>
          <w:color w:val="auto"/>
          <w:sz w:val="28"/>
          <w:szCs w:val="28"/>
        </w:rPr>
      </w:pPr>
      <w:r>
        <w:rPr>
          <w:rFonts w:hint="eastAsia" w:ascii="宋体" w:hAnsi="宋体" w:cs="宋体"/>
          <w:b/>
          <w:color w:val="auto"/>
          <w:sz w:val="28"/>
          <w:szCs w:val="28"/>
        </w:rPr>
        <w:t>第四章  合同条款及格式</w:t>
      </w:r>
    </w:p>
    <w:p>
      <w:pPr>
        <w:autoSpaceDE w:val="0"/>
        <w:autoSpaceDN w:val="0"/>
        <w:adjustRightInd w:val="0"/>
        <w:spacing w:line="600" w:lineRule="exact"/>
        <w:ind w:firstLine="562"/>
        <w:rPr>
          <w:rFonts w:ascii="宋体" w:hAnsi="宋体" w:cs="宋体"/>
          <w:b/>
          <w:color w:val="auto"/>
          <w:sz w:val="28"/>
          <w:szCs w:val="28"/>
        </w:rPr>
      </w:pPr>
      <w:r>
        <w:rPr>
          <w:rFonts w:hint="eastAsia" w:ascii="宋体" w:hAnsi="宋体" w:cs="宋体"/>
          <w:b/>
          <w:color w:val="auto"/>
          <w:sz w:val="28"/>
          <w:szCs w:val="28"/>
        </w:rPr>
        <w:t>第五章  发包人要求</w:t>
      </w:r>
    </w:p>
    <w:p>
      <w:pPr>
        <w:autoSpaceDE w:val="0"/>
        <w:autoSpaceDN w:val="0"/>
        <w:adjustRightInd w:val="0"/>
        <w:spacing w:line="600" w:lineRule="exact"/>
        <w:ind w:firstLine="562"/>
        <w:rPr>
          <w:rFonts w:ascii="宋体" w:hAnsi="宋体" w:cs="宋体"/>
          <w:b/>
          <w:color w:val="auto"/>
          <w:sz w:val="28"/>
          <w:szCs w:val="28"/>
        </w:rPr>
      </w:pPr>
      <w:r>
        <w:rPr>
          <w:rFonts w:hint="eastAsia" w:ascii="宋体" w:hAnsi="宋体" w:cs="宋体"/>
          <w:b/>
          <w:color w:val="auto"/>
          <w:sz w:val="28"/>
          <w:szCs w:val="28"/>
        </w:rPr>
        <w:t>第六章  投标文件格式</w:t>
      </w:r>
    </w:p>
    <w:p>
      <w:pPr>
        <w:pStyle w:val="4"/>
        <w:spacing w:before="120" w:after="120" w:line="400" w:lineRule="exact"/>
        <w:jc w:val="center"/>
        <w:rPr>
          <w:rFonts w:hint="eastAsia" w:ascii="宋体" w:hAnsi="宋体" w:eastAsia="宋体" w:cs="宋体"/>
          <w:b/>
          <w:color w:val="auto"/>
          <w:szCs w:val="32"/>
        </w:rPr>
      </w:pPr>
      <w:r>
        <w:rPr>
          <w:color w:val="auto"/>
        </w:rPr>
        <w:br w:type="page"/>
      </w:r>
      <w:bookmarkEnd w:id="0"/>
      <w:bookmarkEnd w:id="1"/>
      <w:bookmarkEnd w:id="2"/>
      <w:bookmarkStart w:id="3" w:name="_Toc492300757"/>
      <w:r>
        <w:rPr>
          <w:rFonts w:hint="eastAsia" w:ascii="宋体" w:hAnsi="宋体" w:eastAsia="宋体" w:cs="宋体"/>
          <w:b/>
          <w:color w:val="auto"/>
          <w:szCs w:val="32"/>
        </w:rPr>
        <w:t>第一章 招标公告</w:t>
      </w:r>
    </w:p>
    <w:p>
      <w:pPr>
        <w:autoSpaceDE w:val="0"/>
        <w:autoSpaceDN w:val="0"/>
        <w:adjustRightInd w:val="0"/>
        <w:spacing w:line="380" w:lineRule="exact"/>
        <w:ind w:firstLine="480"/>
        <w:outlineLvl w:val="0"/>
        <w:rPr>
          <w:rFonts w:hint="eastAsia" w:ascii="宋体" w:hAnsi="宋体" w:cs="宋体"/>
          <w:color w:val="auto"/>
          <w:sz w:val="24"/>
          <w:szCs w:val="24"/>
          <w:lang w:val="en-US" w:eastAsia="zh-CN"/>
        </w:rPr>
      </w:pPr>
      <w:r>
        <w:rPr>
          <w:rFonts w:hint="eastAsia" w:ascii="宋体" w:hAnsi="宋体"/>
          <w:color w:val="FF0000"/>
          <w:sz w:val="32"/>
          <w:szCs w:val="32"/>
          <w:lang w:val="en-US" w:eastAsia="zh-CN"/>
        </w:rPr>
        <w:t>XCGC-F2019116</w:t>
      </w:r>
      <w:r>
        <w:rPr>
          <w:rFonts w:hint="eastAsia" w:ascii="宋体" w:hAnsi="宋体"/>
          <w:color w:val="auto"/>
          <w:sz w:val="32"/>
          <w:szCs w:val="32"/>
          <w:lang w:val="en-US" w:eastAsia="zh-CN"/>
        </w:rPr>
        <w:t>许昌市城乡一体化示范区建设环保局“许昌市城乡一体化示范区永昌佳苑（庞庄棚户区改造）地勘工程项目”</w:t>
      </w:r>
      <w:r>
        <w:rPr>
          <w:rFonts w:hint="eastAsia" w:ascii="宋体" w:hAnsi="宋体"/>
          <w:color w:val="auto"/>
          <w:sz w:val="32"/>
          <w:szCs w:val="32"/>
        </w:rPr>
        <w:t>招标公告</w:t>
      </w:r>
    </w:p>
    <w:p/>
    <w:p>
      <w:pPr>
        <w:autoSpaceDE w:val="0"/>
        <w:autoSpaceDN w:val="0"/>
        <w:adjustRightInd w:val="0"/>
        <w:spacing w:line="380" w:lineRule="exact"/>
        <w:ind w:firstLine="0" w:firstLineChars="0"/>
        <w:outlineLvl w:val="0"/>
        <w:rPr>
          <w:rFonts w:ascii="宋体" w:hAnsi="宋体" w:cs="宋体"/>
          <w:b/>
          <w:bCs/>
          <w:color w:val="auto"/>
          <w:sz w:val="24"/>
          <w:szCs w:val="24"/>
        </w:rPr>
      </w:pPr>
      <w:r>
        <w:rPr>
          <w:rFonts w:hint="eastAsia" w:ascii="宋体" w:hAnsi="宋体" w:cs="宋体"/>
          <w:b/>
          <w:bCs/>
          <w:color w:val="auto"/>
          <w:sz w:val="24"/>
          <w:szCs w:val="24"/>
        </w:rPr>
        <w:t>一、</w:t>
      </w:r>
      <w:r>
        <w:rPr>
          <w:rFonts w:ascii="宋体" w:hAnsi="宋体" w:cs="宋体"/>
          <w:b/>
          <w:bCs/>
          <w:color w:val="auto"/>
          <w:sz w:val="24"/>
          <w:szCs w:val="24"/>
        </w:rPr>
        <w:t>项目概况</w:t>
      </w:r>
    </w:p>
    <w:p>
      <w:pPr>
        <w:autoSpaceDE w:val="0"/>
        <w:autoSpaceDN w:val="0"/>
        <w:adjustRightInd w:val="0"/>
        <w:spacing w:line="380" w:lineRule="exact"/>
        <w:ind w:firstLine="480"/>
        <w:outlineLvl w:val="0"/>
        <w:rPr>
          <w:rFonts w:hint="default" w:ascii="宋体" w:hAnsi="宋体" w:cs="宋体"/>
          <w:color w:val="auto"/>
          <w:sz w:val="24"/>
          <w:szCs w:val="24"/>
          <w:lang w:val="en-US"/>
        </w:rPr>
      </w:pPr>
      <w:r>
        <w:rPr>
          <w:rFonts w:ascii="宋体" w:hAnsi="宋体" w:cs="宋体"/>
          <w:color w:val="auto"/>
          <w:sz w:val="24"/>
          <w:szCs w:val="24"/>
        </w:rPr>
        <w:t>1、项目编号：</w:t>
      </w:r>
      <w:r>
        <w:rPr>
          <w:rFonts w:ascii="宋体" w:hAnsi="宋体" w:cs="宋体"/>
          <w:color w:val="auto"/>
          <w:sz w:val="24"/>
          <w:szCs w:val="24"/>
          <w:lang w:val="en-US" w:eastAsia="zh-CN"/>
        </w:rPr>
        <w:t>XCGC-</w:t>
      </w:r>
      <w:r>
        <w:rPr>
          <w:rFonts w:hint="eastAsia" w:ascii="宋体" w:hAnsi="宋体" w:cs="宋体"/>
          <w:color w:val="auto"/>
          <w:sz w:val="24"/>
          <w:szCs w:val="24"/>
          <w:lang w:val="en-US" w:eastAsia="zh-CN"/>
        </w:rPr>
        <w:t>F</w:t>
      </w:r>
      <w:r>
        <w:rPr>
          <w:rFonts w:ascii="宋体" w:hAnsi="宋体" w:cs="宋体"/>
          <w:color w:val="auto"/>
          <w:sz w:val="24"/>
          <w:szCs w:val="24"/>
          <w:lang w:val="en-US" w:eastAsia="zh-CN"/>
        </w:rPr>
        <w:t>2019</w:t>
      </w:r>
      <w:r>
        <w:rPr>
          <w:rFonts w:hint="eastAsia" w:ascii="宋体" w:hAnsi="宋体" w:cs="宋体"/>
          <w:color w:val="auto"/>
          <w:sz w:val="24"/>
          <w:szCs w:val="24"/>
          <w:lang w:val="en-US" w:eastAsia="zh-CN"/>
        </w:rPr>
        <w:t>116</w:t>
      </w:r>
    </w:p>
    <w:p>
      <w:pPr>
        <w:autoSpaceDE w:val="0"/>
        <w:autoSpaceDN w:val="0"/>
        <w:adjustRightInd w:val="0"/>
        <w:spacing w:line="380" w:lineRule="exact"/>
        <w:ind w:firstLine="480"/>
        <w:outlineLvl w:val="0"/>
        <w:rPr>
          <w:rFonts w:hint="eastAsia" w:ascii="宋体" w:hAnsi="宋体" w:cs="宋体"/>
          <w:color w:val="auto"/>
          <w:sz w:val="24"/>
          <w:szCs w:val="24"/>
          <w:lang w:val="en-US" w:eastAsia="zh-CN"/>
        </w:rPr>
      </w:pPr>
      <w:r>
        <w:rPr>
          <w:rFonts w:hint="eastAsia" w:ascii="宋体" w:hAnsi="宋体" w:cs="宋体"/>
          <w:color w:val="auto"/>
          <w:sz w:val="24"/>
          <w:szCs w:val="24"/>
        </w:rPr>
        <w:t>2、项目名称：</w:t>
      </w:r>
      <w:bookmarkStart w:id="803" w:name="_GoBack"/>
      <w:bookmarkEnd w:id="803"/>
      <w:r>
        <w:rPr>
          <w:rFonts w:hint="eastAsia" w:ascii="宋体" w:hAnsi="宋体" w:cs="宋体"/>
          <w:color w:val="FF0000"/>
          <w:sz w:val="24"/>
          <w:szCs w:val="24"/>
          <w:lang w:val="en-US" w:eastAsia="zh-CN"/>
        </w:rPr>
        <w:t xml:space="preserve"> </w:t>
      </w:r>
      <w:r>
        <w:rPr>
          <w:rFonts w:hint="eastAsia" w:ascii="宋体" w:hAnsi="宋体" w:cs="宋体"/>
          <w:color w:val="auto"/>
          <w:sz w:val="24"/>
          <w:szCs w:val="24"/>
          <w:lang w:val="en-US" w:eastAsia="zh-CN"/>
        </w:rPr>
        <w:t>许昌市城乡一体化示范区建设环保局“许昌市城乡一体化示范区永昌佳苑（庞庄棚户区改造）地勘工程项目”</w:t>
      </w:r>
    </w:p>
    <w:p>
      <w:pPr>
        <w:autoSpaceDE w:val="0"/>
        <w:autoSpaceDN w:val="0"/>
        <w:adjustRightInd w:val="0"/>
        <w:spacing w:line="380" w:lineRule="exact"/>
        <w:ind w:firstLine="480"/>
        <w:outlineLvl w:val="0"/>
        <w:rPr>
          <w:rFonts w:ascii="宋体" w:hAnsi="宋体" w:cs="宋体"/>
          <w:color w:val="auto"/>
          <w:sz w:val="24"/>
          <w:szCs w:val="24"/>
        </w:rPr>
      </w:pPr>
      <w:r>
        <w:rPr>
          <w:rFonts w:hint="eastAsia" w:ascii="宋体" w:hAnsi="宋体" w:cs="宋体"/>
          <w:color w:val="auto"/>
          <w:sz w:val="24"/>
          <w:szCs w:val="24"/>
        </w:rPr>
        <w:t>3、招标单位：许昌市城乡一体化示范区建设环保局</w:t>
      </w:r>
    </w:p>
    <w:p>
      <w:pPr>
        <w:autoSpaceDE w:val="0"/>
        <w:autoSpaceDN w:val="0"/>
        <w:adjustRightInd w:val="0"/>
        <w:spacing w:line="380" w:lineRule="exact"/>
        <w:ind w:firstLine="480"/>
        <w:outlineLvl w:val="0"/>
        <w:rPr>
          <w:rFonts w:hint="eastAsia" w:ascii="宋体" w:hAnsi="宋体" w:cs="宋体"/>
          <w:color w:val="auto"/>
          <w:spacing w:val="-6"/>
          <w:sz w:val="24"/>
          <w:szCs w:val="24"/>
          <w:lang w:eastAsia="zh-CN"/>
        </w:rPr>
      </w:pPr>
      <w:r>
        <w:rPr>
          <w:rFonts w:ascii="宋体" w:hAnsi="宋体" w:cs="宋体"/>
          <w:color w:val="auto"/>
          <w:sz w:val="24"/>
          <w:szCs w:val="24"/>
        </w:rPr>
        <w:t>4、项目简介</w:t>
      </w:r>
      <w:r>
        <w:rPr>
          <w:rFonts w:hint="eastAsia" w:ascii="宋体" w:hAnsi="宋体" w:cs="宋体"/>
          <w:color w:val="auto"/>
          <w:sz w:val="24"/>
          <w:szCs w:val="24"/>
        </w:rPr>
        <w:t>：</w:t>
      </w:r>
      <w:r>
        <w:rPr>
          <w:rFonts w:hint="eastAsia" w:ascii="宋体" w:hAnsi="宋体" w:cs="宋体"/>
          <w:color w:val="auto"/>
          <w:spacing w:val="-6"/>
          <w:sz w:val="24"/>
          <w:szCs w:val="24"/>
          <w:lang w:eastAsia="zh-CN"/>
        </w:rPr>
        <w:t>该项目位于绿洲路以北、永昌东路以南，许州路以西，景福路以东，规划红线内用地面积</w:t>
      </w:r>
      <w:r>
        <w:rPr>
          <w:rFonts w:hint="eastAsia" w:ascii="宋体" w:hAnsi="宋体" w:cs="宋体"/>
          <w:color w:val="auto"/>
          <w:spacing w:val="-6"/>
          <w:sz w:val="24"/>
          <w:szCs w:val="24"/>
          <w:lang w:val="en-US" w:eastAsia="zh-CN"/>
        </w:rPr>
        <w:t>112971</w:t>
      </w:r>
      <w:r>
        <w:rPr>
          <w:rFonts w:hint="eastAsia" w:ascii="宋体" w:hAnsi="宋体" w:cs="宋体"/>
          <w:color w:val="auto"/>
          <w:spacing w:val="-6"/>
          <w:sz w:val="24"/>
          <w:szCs w:val="24"/>
          <w:lang w:eastAsia="zh-CN"/>
        </w:rPr>
        <w:t>㎡，规划新建建筑面积约为</w:t>
      </w:r>
      <w:r>
        <w:rPr>
          <w:rFonts w:hint="eastAsia" w:ascii="宋体" w:hAnsi="宋体" w:cs="宋体"/>
          <w:color w:val="auto"/>
          <w:spacing w:val="-6"/>
          <w:sz w:val="24"/>
          <w:szCs w:val="24"/>
          <w:lang w:val="en-US" w:eastAsia="zh-CN"/>
        </w:rPr>
        <w:t>313094</w:t>
      </w:r>
      <w:r>
        <w:rPr>
          <w:rFonts w:hint="eastAsia" w:ascii="宋体" w:hAnsi="宋体" w:cs="宋体"/>
          <w:color w:val="auto"/>
          <w:spacing w:val="-6"/>
          <w:sz w:val="24"/>
          <w:szCs w:val="24"/>
          <w:lang w:eastAsia="zh-CN"/>
        </w:rPr>
        <w:t>㎡，其中地下建筑面积</w:t>
      </w:r>
      <w:r>
        <w:rPr>
          <w:rFonts w:hint="eastAsia" w:ascii="宋体" w:hAnsi="宋体" w:cs="宋体"/>
          <w:color w:val="auto"/>
          <w:spacing w:val="-6"/>
          <w:sz w:val="24"/>
          <w:szCs w:val="24"/>
          <w:lang w:val="en-US" w:eastAsia="zh-CN"/>
        </w:rPr>
        <w:t>75190</w:t>
      </w:r>
      <w:r>
        <w:rPr>
          <w:rFonts w:hint="eastAsia" w:ascii="宋体" w:hAnsi="宋体" w:cs="宋体"/>
          <w:color w:val="auto"/>
          <w:spacing w:val="-6"/>
          <w:sz w:val="24"/>
          <w:szCs w:val="24"/>
          <w:lang w:eastAsia="zh-CN"/>
        </w:rPr>
        <w:t>㎡。</w:t>
      </w:r>
    </w:p>
    <w:p>
      <w:pPr>
        <w:pStyle w:val="2"/>
        <w:rPr>
          <w:rFonts w:hint="eastAsia" w:ascii="宋体" w:hAnsi="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招标范围</w:t>
      </w:r>
      <w:r>
        <w:rPr>
          <w:rFonts w:hint="eastAsia" w:ascii="宋体" w:hAnsi="宋体" w:cs="宋体"/>
          <w:color w:val="000000" w:themeColor="text1"/>
          <w:sz w:val="24"/>
          <w:szCs w:val="24"/>
          <w:lang w:eastAsia="zh-CN"/>
          <w14:textFill>
            <w14:solidFill>
              <w14:schemeClr w14:val="tx1"/>
            </w14:solidFill>
          </w14:textFill>
        </w:rPr>
        <w:t>：招标文件、工程量清单、施工图纸、答疑纪要和补充文件（如有）范围内的所有建设内容。</w:t>
      </w:r>
    </w:p>
    <w:p>
      <w:pPr>
        <w:pStyle w:val="2"/>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w:t>
      </w:r>
      <w:r>
        <w:rPr>
          <w:rFonts w:ascii="宋体" w:hAnsi="宋体" w:cs="宋体"/>
          <w:color w:val="auto"/>
          <w:sz w:val="24"/>
          <w:szCs w:val="24"/>
        </w:rPr>
        <w:t>、资金预算：</w:t>
      </w:r>
      <w:r>
        <w:rPr>
          <w:rFonts w:hint="eastAsia" w:ascii="宋体" w:hAnsi="宋体" w:cs="宋体"/>
          <w:color w:val="auto"/>
          <w:sz w:val="24"/>
          <w:szCs w:val="24"/>
          <w:lang w:val="en-US" w:eastAsia="zh-CN"/>
        </w:rPr>
        <w:t>654670元</w:t>
      </w:r>
    </w:p>
    <w:p>
      <w:pPr>
        <w:autoSpaceDE w:val="0"/>
        <w:autoSpaceDN w:val="0"/>
        <w:adjustRightInd w:val="0"/>
        <w:spacing w:line="380" w:lineRule="exact"/>
        <w:ind w:firstLine="480"/>
        <w:outlineLvl w:val="0"/>
        <w:rPr>
          <w:rFonts w:ascii="宋体" w:hAnsi="宋体" w:cs="宋体"/>
          <w:color w:val="auto"/>
          <w:sz w:val="24"/>
          <w:szCs w:val="24"/>
          <w:lang w:val="en-US"/>
        </w:rPr>
      </w:pPr>
      <w:r>
        <w:rPr>
          <w:rFonts w:hint="eastAsia" w:ascii="宋体" w:hAnsi="宋体" w:cs="宋体"/>
          <w:color w:val="auto"/>
          <w:sz w:val="24"/>
          <w:szCs w:val="24"/>
          <w:lang w:val="en-US" w:eastAsia="zh-CN"/>
        </w:rPr>
        <w:t>7</w:t>
      </w:r>
      <w:r>
        <w:rPr>
          <w:rFonts w:hint="eastAsia" w:ascii="宋体" w:hAnsi="宋体" w:cs="宋体"/>
          <w:color w:val="auto"/>
          <w:sz w:val="24"/>
          <w:szCs w:val="24"/>
        </w:rPr>
        <w:t>、</w:t>
      </w:r>
      <w:r>
        <w:rPr>
          <w:rFonts w:hint="eastAsia" w:ascii="宋体" w:hAnsi="宋体" w:eastAsia="宋体"/>
          <w:color w:val="auto"/>
          <w:spacing w:val="2"/>
          <w:sz w:val="24"/>
          <w:szCs w:val="24"/>
        </w:rPr>
        <w:t>服务期限</w:t>
      </w:r>
      <w:r>
        <w:rPr>
          <w:rFonts w:hint="eastAsia" w:ascii="宋体" w:hAnsi="宋体" w:cs="宋体"/>
          <w:color w:val="auto"/>
          <w:sz w:val="24"/>
          <w:szCs w:val="24"/>
        </w:rPr>
        <w:t>：</w:t>
      </w:r>
      <w:r>
        <w:rPr>
          <w:rFonts w:hint="eastAsia" w:ascii="宋体" w:hAnsi="宋体" w:cs="宋体"/>
          <w:color w:val="auto"/>
          <w:sz w:val="24"/>
          <w:szCs w:val="24"/>
          <w:lang w:eastAsia="zh-CN"/>
        </w:rPr>
        <w:t>30日历天</w:t>
      </w:r>
    </w:p>
    <w:p>
      <w:pPr>
        <w:autoSpaceDE w:val="0"/>
        <w:autoSpaceDN w:val="0"/>
        <w:adjustRightInd w:val="0"/>
        <w:spacing w:line="380" w:lineRule="exact"/>
        <w:ind w:firstLine="480" w:firstLineChars="200"/>
        <w:outlineLvl w:val="0"/>
        <w:rPr>
          <w:rFonts w:ascii="宋体" w:hAnsi="宋体" w:cs="宋体"/>
          <w:color w:val="auto"/>
          <w:sz w:val="24"/>
          <w:szCs w:val="24"/>
        </w:rPr>
      </w:pPr>
      <w:r>
        <w:rPr>
          <w:rFonts w:hint="eastAsia" w:ascii="宋体" w:cs="宋体"/>
          <w:color w:val="auto"/>
          <w:sz w:val="24"/>
          <w:lang w:val="en-US" w:eastAsia="zh-CN"/>
        </w:rPr>
        <w:t>8</w:t>
      </w:r>
      <w:r>
        <w:rPr>
          <w:rFonts w:hint="eastAsia" w:ascii="宋体" w:cs="宋体"/>
          <w:color w:val="auto"/>
          <w:sz w:val="24"/>
        </w:rPr>
        <w:t>、</w:t>
      </w:r>
      <w:r>
        <w:rPr>
          <w:rFonts w:ascii="宋体" w:hAnsi="宋体" w:cs="宋体"/>
          <w:color w:val="auto"/>
          <w:sz w:val="24"/>
          <w:szCs w:val="24"/>
        </w:rPr>
        <w:t>质量要求：</w:t>
      </w:r>
      <w:r>
        <w:rPr>
          <w:rFonts w:hint="eastAsia" w:ascii="宋体" w:cs="宋体"/>
          <w:color w:val="auto"/>
          <w:sz w:val="24"/>
        </w:rPr>
        <w:t>符合</w:t>
      </w:r>
      <w:r>
        <w:rPr>
          <w:rFonts w:hint="eastAsia" w:ascii="宋体" w:hAnsi="宋体" w:cs="宋体"/>
          <w:color w:val="auto"/>
          <w:sz w:val="24"/>
          <w:szCs w:val="24"/>
        </w:rPr>
        <w:t>国家</w:t>
      </w:r>
      <w:r>
        <w:rPr>
          <w:rFonts w:hint="eastAsia" w:ascii="宋体" w:cs="宋体"/>
          <w:color w:val="auto"/>
          <w:sz w:val="24"/>
        </w:rPr>
        <w:t>现行</w:t>
      </w:r>
      <w:r>
        <w:rPr>
          <w:rFonts w:hint="eastAsia" w:ascii="宋体" w:cs="宋体"/>
          <w:color w:val="auto"/>
          <w:sz w:val="24"/>
          <w:lang w:eastAsia="zh-CN"/>
        </w:rPr>
        <w:t>设计</w:t>
      </w:r>
      <w:r>
        <w:rPr>
          <w:rFonts w:hint="eastAsia" w:ascii="宋体" w:cs="宋体"/>
          <w:color w:val="auto"/>
          <w:sz w:val="24"/>
        </w:rPr>
        <w:t>规范、规程、规定、标准的要求</w:t>
      </w:r>
      <w:r>
        <w:rPr>
          <w:rFonts w:hint="eastAsia" w:ascii="宋体" w:hAnsi="宋体" w:cs="宋体"/>
          <w:color w:val="auto"/>
          <w:sz w:val="24"/>
          <w:szCs w:val="24"/>
        </w:rPr>
        <w:t>(合格)。</w:t>
      </w:r>
    </w:p>
    <w:p>
      <w:pPr>
        <w:autoSpaceDE w:val="0"/>
        <w:autoSpaceDN w:val="0"/>
        <w:adjustRightInd w:val="0"/>
        <w:spacing w:line="380" w:lineRule="exact"/>
        <w:ind w:firstLine="480"/>
        <w:outlineLvl w:val="0"/>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9</w:t>
      </w:r>
      <w:r>
        <w:rPr>
          <w:rFonts w:hint="eastAsia" w:ascii="宋体" w:hAnsi="宋体" w:cs="宋体"/>
          <w:color w:val="auto"/>
          <w:sz w:val="24"/>
          <w:szCs w:val="24"/>
        </w:rPr>
        <w:t>、标段划分：本工程设</w:t>
      </w:r>
      <w:r>
        <w:rPr>
          <w:rFonts w:hint="eastAsia" w:ascii="宋体" w:hAnsi="宋体" w:cs="宋体"/>
          <w:color w:val="auto"/>
          <w:sz w:val="24"/>
          <w:szCs w:val="24"/>
          <w:lang w:val="en-US" w:eastAsia="zh-CN"/>
        </w:rPr>
        <w:t>1</w:t>
      </w:r>
      <w:r>
        <w:rPr>
          <w:rFonts w:hint="eastAsia" w:ascii="宋体" w:hAnsi="宋体" w:cs="宋体"/>
          <w:color w:val="auto"/>
          <w:sz w:val="24"/>
          <w:szCs w:val="24"/>
        </w:rPr>
        <w:t>个标段</w:t>
      </w:r>
      <w:r>
        <w:rPr>
          <w:rFonts w:hint="eastAsia" w:ascii="宋体" w:hAnsi="宋体" w:cs="宋体"/>
          <w:color w:val="auto"/>
          <w:sz w:val="24"/>
          <w:szCs w:val="24"/>
          <w:lang w:eastAsia="zh-CN"/>
        </w:rPr>
        <w:t>。</w:t>
      </w:r>
    </w:p>
    <w:p>
      <w:pPr>
        <w:autoSpaceDE w:val="0"/>
        <w:autoSpaceDN w:val="0"/>
        <w:adjustRightInd w:val="0"/>
        <w:spacing w:line="380" w:lineRule="exact"/>
        <w:ind w:firstLine="0" w:firstLineChars="0"/>
        <w:outlineLvl w:val="0"/>
        <w:rPr>
          <w:rFonts w:asciiTheme="minorEastAsia" w:hAnsiTheme="minorEastAsia" w:cstheme="minorEastAsia"/>
          <w:b/>
          <w:bCs/>
          <w:color w:val="auto"/>
          <w:sz w:val="24"/>
          <w:szCs w:val="24"/>
        </w:rPr>
      </w:pPr>
      <w:r>
        <w:rPr>
          <w:rFonts w:hint="eastAsia" w:asciiTheme="minorEastAsia" w:hAnsiTheme="minorEastAsia" w:cstheme="minorEastAsia"/>
          <w:b/>
          <w:bCs/>
          <w:color w:val="auto"/>
          <w:sz w:val="24"/>
          <w:szCs w:val="24"/>
        </w:rPr>
        <w:t>二、投标人资格要求</w:t>
      </w:r>
    </w:p>
    <w:p>
      <w:pPr>
        <w:spacing w:line="380" w:lineRule="exact"/>
        <w:ind w:firstLine="480"/>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 xml:space="preserve"> 1、资格要求：</w:t>
      </w:r>
      <w:r>
        <w:rPr>
          <w:rFonts w:hint="eastAsia" w:asciiTheme="minorEastAsia" w:hAnsiTheme="minorEastAsia" w:cstheme="minorEastAsia"/>
          <w:color w:val="auto"/>
          <w:sz w:val="24"/>
          <w:szCs w:val="24"/>
          <w:lang w:val="en-US" w:eastAsia="zh-CN"/>
        </w:rPr>
        <w:t>本工程勘查工作要求</w:t>
      </w:r>
      <w:r>
        <w:rPr>
          <w:rFonts w:hint="eastAsia" w:asciiTheme="minorEastAsia" w:hAnsiTheme="minorEastAsia" w:cstheme="minorEastAsia"/>
          <w:color w:val="auto"/>
          <w:sz w:val="24"/>
          <w:szCs w:val="24"/>
        </w:rPr>
        <w:t>投标人须具有独立法人资格，具备建设行政主管部门颁发的</w:t>
      </w:r>
      <w:r>
        <w:rPr>
          <w:rFonts w:hint="eastAsia" w:ascii="宋体" w:hAnsi="宋体"/>
          <w:color w:val="auto"/>
          <w:sz w:val="24"/>
          <w:u w:val="none"/>
        </w:rPr>
        <w:t>工程勘察综合类甲级资质或工程勘察（岩土工程）乙级及以上资质</w:t>
      </w:r>
      <w:r>
        <w:rPr>
          <w:rFonts w:hint="eastAsia" w:asciiTheme="minorEastAsia" w:hAnsiTheme="minorEastAsia" w:cstheme="minorEastAsia"/>
          <w:color w:val="auto"/>
          <w:sz w:val="24"/>
          <w:szCs w:val="24"/>
        </w:rPr>
        <w:t>，投标人拟派项目负责人须具备相关专</w:t>
      </w:r>
      <w:r>
        <w:rPr>
          <w:rFonts w:hint="eastAsia" w:asciiTheme="minorEastAsia" w:hAnsiTheme="minorEastAsia" w:cstheme="minorEastAsia"/>
          <w:color w:val="auto"/>
          <w:sz w:val="24"/>
          <w:szCs w:val="24"/>
          <w:lang w:eastAsia="zh-CN"/>
        </w:rPr>
        <w:t>业中</w:t>
      </w:r>
      <w:r>
        <w:rPr>
          <w:rFonts w:hint="eastAsia" w:asciiTheme="minorEastAsia" w:hAnsiTheme="minorEastAsia" w:cstheme="minorEastAsia"/>
          <w:color w:val="auto"/>
          <w:sz w:val="24"/>
          <w:szCs w:val="24"/>
        </w:rPr>
        <w:t>级</w:t>
      </w:r>
      <w:r>
        <w:rPr>
          <w:rFonts w:hint="eastAsia" w:ascii="宋体" w:hAnsi="宋体"/>
          <w:color w:val="auto"/>
          <w:sz w:val="24"/>
        </w:rPr>
        <w:t>及以上职称</w:t>
      </w:r>
      <w:r>
        <w:rPr>
          <w:rFonts w:hint="eastAsia" w:ascii="宋体" w:hAnsi="宋体"/>
          <w:color w:val="auto"/>
          <w:sz w:val="24"/>
          <w:lang w:eastAsia="zh-CN"/>
        </w:rPr>
        <w:t>，</w:t>
      </w:r>
      <w:r>
        <w:rPr>
          <w:rFonts w:hint="eastAsia" w:asciiTheme="minorEastAsia" w:hAnsiTheme="minorEastAsia" w:cstheme="minorEastAsia"/>
          <w:color w:val="auto"/>
          <w:sz w:val="24"/>
          <w:szCs w:val="24"/>
        </w:rPr>
        <w:t>并在人员、设备、资金等方面具有相应的设计能力。</w:t>
      </w:r>
    </w:p>
    <w:p>
      <w:pPr>
        <w:pStyle w:val="2"/>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2.未被列入“信用中国”网站(www.creditchina.gov.cn)失信被执行人名单、“国家企业信用公示系统”网站（www.gsxt.gov.cn）严重违法失信企业名单（黑名单）的投标人（招标人、代理机构或评标专家委员会于评标现场查询）；信用信息查询记录和证据留存具体方式：经评标委员会确认的查询结果截图作为查询记录和证据，与其他文件一并保存。</w:t>
      </w:r>
    </w:p>
    <w:p>
      <w:pPr>
        <w:pStyle w:val="2"/>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lang w:val="en-US" w:eastAsia="zh-CN"/>
        </w:rPr>
        <w:t>3</w:t>
      </w:r>
      <w:r>
        <w:rPr>
          <w:rFonts w:hint="eastAsia" w:asciiTheme="minorEastAsia" w:hAnsiTheme="minorEastAsia" w:cstheme="minorEastAsia"/>
          <w:color w:val="auto"/>
          <w:sz w:val="24"/>
          <w:szCs w:val="24"/>
        </w:rPr>
        <w:t>、本次招标不接受联合体投标。</w:t>
      </w:r>
    </w:p>
    <w:p>
      <w:pPr>
        <w:pStyle w:val="2"/>
        <w:rPr>
          <w:rFonts w:hint="eastAsia" w:ascii="宋体" w:hAnsi="宋体" w:eastAsia="宋体" w:cs="宋体"/>
          <w:color w:val="auto"/>
          <w:sz w:val="24"/>
          <w:szCs w:val="24"/>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、不接受失信被执行人的投标。</w:t>
      </w:r>
    </w:p>
    <w:p>
      <w:pPr>
        <w:pStyle w:val="2"/>
        <w:rPr>
          <w:rFonts w:asciiTheme="minorEastAsia" w:hAnsiTheme="minorEastAsia" w:cstheme="minorEastAsia"/>
          <w:color w:val="auto"/>
          <w:sz w:val="24"/>
          <w:szCs w:val="24"/>
        </w:rPr>
      </w:pPr>
      <w:r>
        <w:rPr>
          <w:rFonts w:hint="eastAsia" w:asciiTheme="minorEastAsia" w:hAnsiTheme="minorEastAsia" w:cstheme="minorEastAsia"/>
          <w:color w:val="auto"/>
          <w:sz w:val="24"/>
          <w:szCs w:val="24"/>
          <w:lang w:val="en-US" w:eastAsia="zh-CN"/>
        </w:rPr>
        <w:t>5</w:t>
      </w:r>
      <w:r>
        <w:rPr>
          <w:rFonts w:hint="eastAsia" w:asciiTheme="minorEastAsia" w:hAnsiTheme="minorEastAsia" w:cstheme="minorEastAsia"/>
          <w:color w:val="auto"/>
          <w:sz w:val="24"/>
          <w:szCs w:val="24"/>
        </w:rPr>
        <w:t>、不组织勘察施工现场，自行组织勘察施工现场，费用自理。</w:t>
      </w:r>
    </w:p>
    <w:p>
      <w:pPr>
        <w:autoSpaceDE w:val="0"/>
        <w:autoSpaceDN w:val="0"/>
        <w:adjustRightInd w:val="0"/>
        <w:spacing w:line="380" w:lineRule="exact"/>
        <w:ind w:firstLine="480"/>
        <w:outlineLvl w:val="0"/>
        <w:rPr>
          <w:rFonts w:asciiTheme="minorEastAsia" w:hAnsiTheme="minorEastAsia" w:cstheme="minorEastAsia"/>
          <w:color w:val="auto"/>
          <w:sz w:val="24"/>
          <w:szCs w:val="24"/>
        </w:rPr>
      </w:pP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、本次招标实行资格后审。</w:t>
      </w:r>
    </w:p>
    <w:p>
      <w:pPr>
        <w:autoSpaceDE w:val="0"/>
        <w:autoSpaceDN w:val="0"/>
        <w:adjustRightInd w:val="0"/>
        <w:spacing w:line="380" w:lineRule="exact"/>
        <w:ind w:firstLine="0" w:firstLineChars="0"/>
        <w:outlineLvl w:val="0"/>
        <w:rPr>
          <w:rFonts w:asciiTheme="minorEastAsia" w:hAnsiTheme="minorEastAsia" w:cstheme="minorEastAsia"/>
          <w:b/>
          <w:bCs/>
          <w:color w:val="auto"/>
          <w:sz w:val="24"/>
          <w:szCs w:val="24"/>
        </w:rPr>
      </w:pPr>
      <w:r>
        <w:rPr>
          <w:rFonts w:hint="eastAsia" w:asciiTheme="minorEastAsia" w:hAnsiTheme="minorEastAsia" w:cstheme="minorEastAsia"/>
          <w:b/>
          <w:bCs/>
          <w:color w:val="auto"/>
          <w:sz w:val="24"/>
          <w:szCs w:val="24"/>
        </w:rPr>
        <w:t>三、投标报名时间及方式</w:t>
      </w:r>
    </w:p>
    <w:p>
      <w:pPr>
        <w:autoSpaceDE w:val="0"/>
        <w:autoSpaceDN w:val="0"/>
        <w:adjustRightInd w:val="0"/>
        <w:spacing w:line="380" w:lineRule="exact"/>
        <w:ind w:firstLine="480"/>
        <w:jc w:val="left"/>
        <w:outlineLvl w:val="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lang w:val="en-US" w:eastAsia="zh-CN"/>
        </w:rPr>
        <w:t>1</w:t>
      </w:r>
      <w:r>
        <w:rPr>
          <w:rFonts w:hint="eastAsia" w:asciiTheme="minorEastAsia" w:hAnsiTheme="minorEastAsia" w:cstheme="minorEastAsia"/>
          <w:color w:val="auto"/>
          <w:sz w:val="24"/>
          <w:szCs w:val="24"/>
        </w:rPr>
        <w:t>、持CA数字认证证书，登录【全国公共资源交易平台（河南省·许昌市）】“系统用户注册”入</w:t>
      </w:r>
      <w:r>
        <w:rPr>
          <w:rFonts w:hint="eastAsia" w:asciiTheme="minorEastAsia" w:hAnsiTheme="minorEastAsia" w:cstheme="minorEastAsia"/>
          <w:color w:val="auto"/>
          <w:sz w:val="24"/>
          <w:szCs w:val="24"/>
          <w:lang w:eastAsia="zh-CN"/>
        </w:rPr>
        <w:t>口</w:t>
      </w:r>
      <w:r>
        <w:rPr>
          <w:rFonts w:hint="eastAsia" w:asciiTheme="minorEastAsia" w:hAnsiTheme="minorEastAsia" w:cstheme="minorEastAsia"/>
          <w:color w:val="auto"/>
          <w:sz w:val="24"/>
          <w:szCs w:val="24"/>
        </w:rPr>
        <w:t>（http://221.14.6.70:8088/ggzy/eps/public/RegistAllJcxx.html）进行免费注册登记（详见“常见问题解答-诚信库网上注册相关资料下载”）；</w:t>
      </w:r>
    </w:p>
    <w:p>
      <w:pPr>
        <w:autoSpaceDE w:val="0"/>
        <w:autoSpaceDN w:val="0"/>
        <w:adjustRightInd w:val="0"/>
        <w:spacing w:line="380" w:lineRule="exact"/>
        <w:ind w:firstLine="480"/>
        <w:outlineLvl w:val="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lang w:val="en-US" w:eastAsia="zh-CN"/>
        </w:rPr>
        <w:t>2</w:t>
      </w:r>
      <w:r>
        <w:rPr>
          <w:rFonts w:hint="eastAsia" w:asciiTheme="minorEastAsia" w:hAnsiTheme="minorEastAsia" w:cstheme="minorEastAsia"/>
          <w:color w:val="auto"/>
          <w:sz w:val="24"/>
          <w:szCs w:val="24"/>
        </w:rPr>
        <w:t>、在投标截止时间前均可登录【全国公共资源交易平台（河南省·许昌市）】“投标人/供应商登录”入口（http://221.14.6.70:8088/ggzy/）自行下载招标文件等（详见“常见问题解答-交易系统操作手册”）。</w:t>
      </w:r>
    </w:p>
    <w:p>
      <w:pPr>
        <w:autoSpaceDE w:val="0"/>
        <w:autoSpaceDN w:val="0"/>
        <w:adjustRightInd w:val="0"/>
        <w:spacing w:line="380" w:lineRule="exact"/>
        <w:ind w:firstLine="0" w:firstLineChars="0"/>
        <w:outlineLvl w:val="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四、招标文件的获取及技术成果经济补偿</w:t>
      </w:r>
    </w:p>
    <w:p>
      <w:pPr>
        <w:spacing w:line="380" w:lineRule="exact"/>
        <w:ind w:left="-105" w:leftChars="-50" w:right="-105" w:rightChars="-50" w:firstLine="480"/>
        <w:rPr>
          <w:rFonts w:ascii="宋体" w:hAnsi="宋体"/>
          <w:color w:val="auto"/>
          <w:sz w:val="24"/>
        </w:rPr>
      </w:pPr>
      <w:r>
        <w:rPr>
          <w:rFonts w:hint="eastAsia" w:asciiTheme="minorEastAsia" w:hAnsiTheme="minorEastAsia" w:cstheme="minorEastAsia"/>
          <w:color w:val="auto"/>
          <w:sz w:val="24"/>
          <w:szCs w:val="24"/>
          <w:lang w:val="en-US" w:eastAsia="zh-CN"/>
        </w:rPr>
        <w:t>3</w:t>
      </w:r>
      <w:r>
        <w:rPr>
          <w:rFonts w:hint="eastAsia" w:asciiTheme="minorEastAsia" w:hAnsiTheme="minorEastAsia" w:cstheme="minorEastAsia"/>
          <w:color w:val="auto"/>
          <w:sz w:val="24"/>
          <w:szCs w:val="24"/>
        </w:rPr>
        <w:t>、招标文件的获取：</w:t>
      </w:r>
      <w:r>
        <w:rPr>
          <w:rFonts w:hint="eastAsia" w:ascii="宋体" w:hAnsi="宋体"/>
          <w:color w:val="auto"/>
          <w:sz w:val="24"/>
        </w:rPr>
        <w:t>投标人于</w:t>
      </w:r>
      <w:r>
        <w:rPr>
          <w:rFonts w:hint="eastAsia" w:ascii="宋体" w:hAnsi="宋体"/>
          <w:color w:val="auto"/>
          <w:sz w:val="24"/>
          <w:lang w:eastAsia="zh-CN"/>
        </w:rPr>
        <w:t>投标文件递交</w:t>
      </w:r>
      <w:r>
        <w:rPr>
          <w:rFonts w:hint="eastAsia" w:ascii="宋体" w:hAnsi="宋体"/>
          <w:color w:val="auto"/>
          <w:sz w:val="24"/>
        </w:rPr>
        <w:t>截止日前均可在全国公共资源交易平台（河南省·许昌市）自行下载。</w:t>
      </w:r>
    </w:p>
    <w:p>
      <w:pPr>
        <w:spacing w:line="380" w:lineRule="exact"/>
        <w:ind w:right="-105" w:rightChars="-50" w:firstLine="240" w:firstLineChars="1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lang w:val="en-US" w:eastAsia="zh-CN"/>
        </w:rPr>
        <w:t>4</w:t>
      </w:r>
      <w:r>
        <w:rPr>
          <w:rFonts w:hint="eastAsia" w:asciiTheme="minorEastAsia" w:hAnsiTheme="minorEastAsia" w:cstheme="minorEastAsia"/>
          <w:color w:val="auto"/>
          <w:sz w:val="24"/>
          <w:szCs w:val="24"/>
        </w:rPr>
        <w:t>、招标文件每套售价300元，递交投标文件时缴纳给招标代理机构，售后不退。</w:t>
      </w:r>
    </w:p>
    <w:p>
      <w:pPr>
        <w:spacing w:line="380" w:lineRule="exact"/>
        <w:ind w:right="-105" w:rightChars="-50" w:firstLine="48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lang w:val="en-US" w:eastAsia="zh-CN"/>
        </w:rPr>
        <w:t>5</w:t>
      </w:r>
      <w:r>
        <w:rPr>
          <w:rFonts w:hint="eastAsia" w:asciiTheme="minorEastAsia" w:hAnsiTheme="minorEastAsia" w:cstheme="minorEastAsia"/>
          <w:color w:val="auto"/>
          <w:sz w:val="24"/>
          <w:szCs w:val="24"/>
        </w:rPr>
        <w:t>、技术成果经济补偿：本次招标对未中标人投标文件中的技术成果不给予经济补偿。</w:t>
      </w:r>
    </w:p>
    <w:p>
      <w:pPr>
        <w:autoSpaceDE w:val="0"/>
        <w:autoSpaceDN w:val="0"/>
        <w:adjustRightInd w:val="0"/>
        <w:spacing w:line="380" w:lineRule="exact"/>
        <w:ind w:firstLine="0" w:firstLineChars="0"/>
        <w:outlineLvl w:val="0"/>
        <w:rPr>
          <w:rFonts w:asciiTheme="minorEastAsia" w:hAnsiTheme="minorEastAsia" w:cstheme="minorEastAsia"/>
          <w:b/>
          <w:bCs/>
          <w:color w:val="auto"/>
          <w:sz w:val="24"/>
          <w:szCs w:val="24"/>
        </w:rPr>
      </w:pPr>
      <w:r>
        <w:rPr>
          <w:rFonts w:hint="eastAsia" w:asciiTheme="minorEastAsia" w:hAnsiTheme="minorEastAsia" w:cstheme="minorEastAsia"/>
          <w:b/>
          <w:bCs/>
          <w:color w:val="auto"/>
          <w:sz w:val="24"/>
          <w:szCs w:val="24"/>
        </w:rPr>
        <w:t>五、投标文件的递交</w:t>
      </w:r>
    </w:p>
    <w:p>
      <w:pPr>
        <w:spacing w:line="380" w:lineRule="exact"/>
        <w:ind w:left="-105" w:leftChars="-50" w:right="-105" w:rightChars="-50" w:firstLine="480"/>
        <w:rPr>
          <w:rFonts w:hint="eastAsia"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rPr>
        <w:t>1、投标文件递交的截止时间为</w:t>
      </w:r>
      <w:r>
        <w:rPr>
          <w:rFonts w:hint="eastAsia" w:asciiTheme="minorEastAsia" w:hAnsiTheme="minorEastAsia" w:cstheme="minorEastAsia"/>
          <w:color w:val="auto"/>
          <w:sz w:val="24"/>
          <w:szCs w:val="24"/>
          <w:lang w:eastAsia="zh-CN"/>
        </w:rPr>
        <w:t>201</w:t>
      </w:r>
      <w:r>
        <w:rPr>
          <w:rFonts w:hint="eastAsia" w:asciiTheme="minorEastAsia" w:hAnsiTheme="minorEastAsia" w:cstheme="minorEastAsia"/>
          <w:color w:val="auto"/>
          <w:sz w:val="24"/>
          <w:szCs w:val="24"/>
          <w:lang w:val="en-US" w:eastAsia="zh-CN"/>
        </w:rPr>
        <w:t>9</w:t>
      </w:r>
      <w:r>
        <w:rPr>
          <w:rFonts w:hint="eastAsia" w:asciiTheme="minorEastAsia" w:hAnsiTheme="minorEastAsia" w:cstheme="minorEastAsia"/>
          <w:color w:val="auto"/>
          <w:sz w:val="24"/>
          <w:szCs w:val="24"/>
          <w:lang w:eastAsia="zh-CN"/>
        </w:rPr>
        <w:t>年</w:t>
      </w:r>
      <w:r>
        <w:rPr>
          <w:rFonts w:hint="eastAsia" w:asciiTheme="minorEastAsia" w:hAnsiTheme="minorEastAsia" w:cstheme="minorEastAsia"/>
          <w:color w:val="auto"/>
          <w:sz w:val="24"/>
          <w:szCs w:val="24"/>
          <w:lang w:val="en-US" w:eastAsia="zh-CN"/>
        </w:rPr>
        <w:t xml:space="preserve"> 6 </w:t>
      </w:r>
      <w:r>
        <w:rPr>
          <w:rFonts w:hint="eastAsia" w:asciiTheme="minorEastAsia" w:hAnsiTheme="minorEastAsia" w:cstheme="minorEastAsia"/>
          <w:color w:val="auto"/>
          <w:sz w:val="24"/>
          <w:szCs w:val="24"/>
          <w:lang w:eastAsia="zh-CN"/>
        </w:rPr>
        <w:t>月</w:t>
      </w:r>
      <w:r>
        <w:rPr>
          <w:rFonts w:hint="eastAsia" w:asciiTheme="minorEastAsia" w:hAnsiTheme="minorEastAsia" w:cstheme="minorEastAsia"/>
          <w:color w:val="auto"/>
          <w:sz w:val="24"/>
          <w:szCs w:val="24"/>
          <w:lang w:val="en-US" w:eastAsia="zh-CN"/>
        </w:rPr>
        <w:t xml:space="preserve"> 3 </w:t>
      </w:r>
      <w:r>
        <w:rPr>
          <w:rFonts w:hint="eastAsia" w:asciiTheme="minorEastAsia" w:hAnsiTheme="minorEastAsia" w:cstheme="minorEastAsia"/>
          <w:color w:val="auto"/>
          <w:sz w:val="24"/>
          <w:szCs w:val="24"/>
          <w:lang w:eastAsia="zh-CN"/>
        </w:rPr>
        <w:t>日</w:t>
      </w:r>
      <w:r>
        <w:rPr>
          <w:rFonts w:hint="eastAsia" w:asciiTheme="minorEastAsia" w:hAnsiTheme="minorEastAsia" w:cstheme="minorEastAsia"/>
          <w:color w:val="auto"/>
          <w:sz w:val="24"/>
          <w:szCs w:val="24"/>
          <w:lang w:val="en-US" w:eastAsia="zh-CN"/>
        </w:rPr>
        <w:t xml:space="preserve"> 8 </w:t>
      </w:r>
      <w:r>
        <w:rPr>
          <w:rFonts w:hint="eastAsia" w:asciiTheme="minorEastAsia" w:hAnsiTheme="minorEastAsia" w:cstheme="minorEastAsia"/>
          <w:color w:val="auto"/>
          <w:sz w:val="24"/>
          <w:szCs w:val="24"/>
          <w:lang w:eastAsia="zh-CN"/>
        </w:rPr>
        <w:t>时</w:t>
      </w:r>
      <w:r>
        <w:rPr>
          <w:rFonts w:hint="eastAsia" w:asciiTheme="minorEastAsia" w:hAnsiTheme="minorEastAsia" w:cstheme="minorEastAsia"/>
          <w:color w:val="auto"/>
          <w:sz w:val="24"/>
          <w:szCs w:val="24"/>
          <w:lang w:val="en-US" w:eastAsia="zh-CN"/>
        </w:rPr>
        <w:t xml:space="preserve"> 30 </w:t>
      </w:r>
      <w:r>
        <w:rPr>
          <w:rFonts w:hint="eastAsia" w:asciiTheme="minorEastAsia" w:hAnsiTheme="minorEastAsia" w:cstheme="minorEastAsia"/>
          <w:color w:val="auto"/>
          <w:sz w:val="24"/>
          <w:szCs w:val="24"/>
          <w:lang w:eastAsia="zh-CN"/>
        </w:rPr>
        <w:t>分地点为（许昌市龙兴路竹林路交汇处公共资源大厦三楼）开标</w:t>
      </w:r>
      <w:r>
        <w:rPr>
          <w:rFonts w:hint="eastAsia" w:asciiTheme="minorEastAsia" w:hAnsiTheme="minorEastAsia" w:cstheme="minorEastAsia"/>
          <w:color w:val="auto"/>
          <w:sz w:val="24"/>
          <w:szCs w:val="24"/>
          <w:lang w:val="en-US" w:eastAsia="zh-CN"/>
        </w:rPr>
        <w:t>二</w:t>
      </w:r>
      <w:r>
        <w:rPr>
          <w:rFonts w:hint="eastAsia" w:asciiTheme="minorEastAsia" w:hAnsiTheme="minorEastAsia" w:cstheme="minorEastAsia"/>
          <w:color w:val="auto"/>
          <w:sz w:val="24"/>
          <w:szCs w:val="24"/>
          <w:lang w:eastAsia="zh-CN"/>
        </w:rPr>
        <w:t>室。</w:t>
      </w:r>
    </w:p>
    <w:p>
      <w:pPr>
        <w:spacing w:line="380" w:lineRule="exact"/>
        <w:ind w:left="-105" w:leftChars="-50" w:right="-105" w:rightChars="-50" w:firstLine="48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2、逾期送达的或者未送达指定地点的投标文件，招标人不予受理。</w:t>
      </w:r>
    </w:p>
    <w:p>
      <w:pPr>
        <w:spacing w:line="380" w:lineRule="exact"/>
        <w:ind w:left="-105" w:leftChars="-50" w:right="-105" w:rightChars="-50" w:firstLine="48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3、未通过全国公共资源交易平台（河南省·许昌市）下载招标文件的投标人，其投标文件不予受理。</w:t>
      </w:r>
    </w:p>
    <w:p>
      <w:pPr>
        <w:autoSpaceDE w:val="0"/>
        <w:autoSpaceDN w:val="0"/>
        <w:adjustRightInd w:val="0"/>
        <w:spacing w:line="380" w:lineRule="exact"/>
        <w:ind w:firstLine="0" w:firstLineChars="0"/>
        <w:outlineLvl w:val="0"/>
        <w:rPr>
          <w:rFonts w:asciiTheme="minorEastAsia" w:hAnsiTheme="minorEastAsia" w:cstheme="minorEastAsia"/>
          <w:b/>
          <w:bCs/>
          <w:color w:val="auto"/>
          <w:sz w:val="24"/>
          <w:szCs w:val="24"/>
        </w:rPr>
      </w:pPr>
      <w:r>
        <w:rPr>
          <w:rFonts w:hint="eastAsia" w:asciiTheme="minorEastAsia" w:hAnsiTheme="minorEastAsia" w:cstheme="minorEastAsia"/>
          <w:b/>
          <w:bCs/>
          <w:color w:val="auto"/>
          <w:sz w:val="24"/>
          <w:szCs w:val="24"/>
        </w:rPr>
        <w:t>六、发布公告的媒介</w:t>
      </w:r>
    </w:p>
    <w:p>
      <w:pPr>
        <w:autoSpaceDE w:val="0"/>
        <w:autoSpaceDN w:val="0"/>
        <w:adjustRightInd w:val="0"/>
        <w:spacing w:line="380" w:lineRule="exact"/>
        <w:ind w:firstLine="480"/>
        <w:outlineLvl w:val="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本公告同时在《全国公共资源交易平台（河南省·许昌市）》、《河南省电子招标投标公共服务平台》上发布。</w:t>
      </w:r>
    </w:p>
    <w:p>
      <w:pPr>
        <w:autoSpaceDE w:val="0"/>
        <w:autoSpaceDN w:val="0"/>
        <w:adjustRightInd w:val="0"/>
        <w:spacing w:line="380" w:lineRule="exact"/>
        <w:ind w:firstLine="0" w:firstLineChars="0"/>
        <w:outlineLvl w:val="0"/>
        <w:rPr>
          <w:rFonts w:asciiTheme="minorEastAsia" w:hAnsiTheme="minorEastAsia" w:cstheme="minorEastAsia"/>
          <w:b/>
          <w:bCs/>
          <w:color w:val="auto"/>
          <w:sz w:val="24"/>
          <w:szCs w:val="24"/>
        </w:rPr>
      </w:pPr>
      <w:r>
        <w:rPr>
          <w:rFonts w:hint="eastAsia" w:asciiTheme="minorEastAsia" w:hAnsiTheme="minorEastAsia" w:cstheme="minorEastAsia"/>
          <w:b/>
          <w:bCs/>
          <w:color w:val="auto"/>
          <w:sz w:val="24"/>
          <w:szCs w:val="24"/>
        </w:rPr>
        <w:t>七、联系方式</w:t>
      </w:r>
    </w:p>
    <w:p>
      <w:pPr>
        <w:spacing w:line="380" w:lineRule="exact"/>
        <w:ind w:firstLine="48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招  标  人：许昌市城乡一体化示范区建设环保局</w:t>
      </w:r>
    </w:p>
    <w:p>
      <w:pPr>
        <w:autoSpaceDE w:val="0"/>
        <w:autoSpaceDN w:val="0"/>
        <w:adjustRightInd w:val="0"/>
        <w:spacing w:line="380" w:lineRule="exact"/>
        <w:ind w:firstLine="480"/>
        <w:outlineLvl w:val="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cstheme="minorEastAsia"/>
          <w:color w:val="auto"/>
          <w:sz w:val="24"/>
          <w:szCs w:val="24"/>
        </w:rPr>
        <w:t>项目负责人：</w:t>
      </w:r>
      <w:r>
        <w:rPr>
          <w:rFonts w:hint="eastAsia" w:asciiTheme="minorEastAsia" w:hAnsiTheme="minorEastAsia" w:cstheme="minorEastAsia"/>
          <w:color w:val="auto"/>
          <w:sz w:val="24"/>
          <w:szCs w:val="24"/>
          <w:lang w:eastAsia="zh-CN"/>
        </w:rPr>
        <w:t>刘威洋</w:t>
      </w:r>
    </w:p>
    <w:p>
      <w:pPr>
        <w:autoSpaceDE w:val="0"/>
        <w:autoSpaceDN w:val="0"/>
        <w:adjustRightInd w:val="0"/>
        <w:spacing w:line="380" w:lineRule="exact"/>
        <w:ind w:firstLine="480"/>
        <w:outlineLvl w:val="0"/>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rPr>
        <w:t>电      话：</w:t>
      </w:r>
      <w:r>
        <w:rPr>
          <w:rFonts w:hint="eastAsia" w:asciiTheme="minorEastAsia" w:hAnsiTheme="minorEastAsia" w:cstheme="minorEastAsia"/>
          <w:color w:val="auto"/>
          <w:sz w:val="24"/>
          <w:szCs w:val="24"/>
          <w:lang w:val="en-US" w:eastAsia="zh-CN"/>
        </w:rPr>
        <w:t>0374-3377722</w:t>
      </w:r>
    </w:p>
    <w:p>
      <w:pPr>
        <w:spacing w:line="380" w:lineRule="exact"/>
        <w:ind w:firstLine="480"/>
        <w:jc w:val="both"/>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代理机构：</w:t>
      </w:r>
      <w:r>
        <w:rPr>
          <w:rFonts w:hint="eastAsia" w:asciiTheme="minorEastAsia" w:hAnsiTheme="minorEastAsia" w:cstheme="minorEastAsia"/>
          <w:color w:val="auto"/>
          <w:sz w:val="24"/>
          <w:szCs w:val="24"/>
          <w:lang w:eastAsia="zh-CN"/>
        </w:rPr>
        <w:t>河南永安工程管理有限公司</w:t>
      </w:r>
      <w:r>
        <w:rPr>
          <w:rFonts w:hint="eastAsia" w:asciiTheme="minorEastAsia" w:hAnsiTheme="minorEastAsia" w:cstheme="minorEastAsia"/>
          <w:color w:val="auto"/>
          <w:sz w:val="24"/>
          <w:szCs w:val="24"/>
        </w:rPr>
        <w:t xml:space="preserve">      </w:t>
      </w:r>
    </w:p>
    <w:p>
      <w:pPr>
        <w:widowControl/>
        <w:spacing w:line="380" w:lineRule="exact"/>
        <w:ind w:firstLine="480"/>
        <w:jc w:val="both"/>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项目负责人：</w:t>
      </w:r>
      <w:r>
        <w:rPr>
          <w:rFonts w:hint="eastAsia" w:asciiTheme="minorEastAsia" w:hAnsiTheme="minorEastAsia" w:cstheme="minorEastAsia"/>
          <w:color w:val="auto"/>
          <w:sz w:val="24"/>
          <w:szCs w:val="24"/>
          <w:lang w:eastAsia="zh-CN"/>
        </w:rPr>
        <w:t>程晓磊</w:t>
      </w:r>
      <w:r>
        <w:rPr>
          <w:rFonts w:hint="eastAsia" w:asciiTheme="minorEastAsia" w:hAnsiTheme="minorEastAsia" w:cstheme="minorEastAsia"/>
          <w:color w:val="auto"/>
          <w:sz w:val="24"/>
          <w:szCs w:val="24"/>
        </w:rPr>
        <w:t xml:space="preserve">  </w:t>
      </w:r>
    </w:p>
    <w:p>
      <w:pPr>
        <w:widowControl/>
        <w:spacing w:line="380" w:lineRule="exact"/>
        <w:ind w:firstLine="480"/>
        <w:jc w:val="both"/>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联系电话：</w:t>
      </w:r>
      <w:r>
        <w:rPr>
          <w:rFonts w:hint="eastAsia" w:asciiTheme="minorEastAsia" w:hAnsiTheme="minorEastAsia" w:cstheme="minorEastAsia"/>
          <w:color w:val="auto"/>
          <w:sz w:val="24"/>
          <w:szCs w:val="24"/>
          <w:lang w:val="en-US" w:eastAsia="zh-CN"/>
        </w:rPr>
        <w:t xml:space="preserve">  0374-8318599   </w:t>
      </w:r>
    </w:p>
    <w:p>
      <w:pPr>
        <w:widowControl/>
        <w:spacing w:line="380" w:lineRule="exact"/>
        <w:ind w:firstLine="0" w:firstLineChars="0"/>
        <w:jc w:val="right"/>
        <w:rPr>
          <w:rFonts w:asciiTheme="minorEastAsia" w:hAnsiTheme="minorEastAsia" w:cstheme="minorEastAsia"/>
          <w:color w:val="auto"/>
          <w:sz w:val="24"/>
          <w:szCs w:val="24"/>
        </w:rPr>
      </w:pPr>
    </w:p>
    <w:p>
      <w:pPr>
        <w:widowControl/>
        <w:spacing w:line="380" w:lineRule="exact"/>
        <w:ind w:firstLine="6480" w:firstLineChars="2700"/>
        <w:jc w:val="both"/>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br w:type="page"/>
      </w:r>
    </w:p>
    <w:p>
      <w:pPr>
        <w:spacing w:line="360" w:lineRule="auto"/>
        <w:ind w:firstLine="420"/>
        <w:rPr>
          <w:rFonts w:hAnsi="宋体"/>
          <w:b/>
          <w:color w:val="auto"/>
          <w:sz w:val="28"/>
          <w:szCs w:val="28"/>
        </w:rPr>
      </w:pPr>
      <w:r>
        <w:rPr>
          <w:rFonts w:hint="eastAsia" w:hAnsi="宋体"/>
          <w:b/>
          <w:color w:val="auto"/>
          <w:sz w:val="28"/>
          <w:szCs w:val="28"/>
        </w:rPr>
        <w:t>温馨提示：</w:t>
      </w:r>
    </w:p>
    <w:p>
      <w:pPr>
        <w:spacing w:line="360" w:lineRule="auto"/>
        <w:ind w:firstLine="562"/>
        <w:rPr>
          <w:rFonts w:hAnsi="宋体"/>
          <w:b/>
          <w:color w:val="auto"/>
          <w:sz w:val="28"/>
          <w:szCs w:val="28"/>
        </w:rPr>
      </w:pPr>
      <w:r>
        <w:rPr>
          <w:rFonts w:hint="eastAsia" w:hAnsi="宋体"/>
          <w:b/>
          <w:color w:val="auto"/>
          <w:sz w:val="28"/>
          <w:szCs w:val="28"/>
        </w:rPr>
        <w:t>本项目为全流程电子化交易项目，请认真阅读招标文件，并注意以下事项。</w:t>
      </w:r>
    </w:p>
    <w:p>
      <w:pPr>
        <w:spacing w:line="360" w:lineRule="auto"/>
        <w:ind w:firstLine="560"/>
        <w:rPr>
          <w:rFonts w:hAnsi="宋体"/>
          <w:color w:val="auto"/>
          <w:sz w:val="28"/>
          <w:szCs w:val="28"/>
        </w:rPr>
      </w:pPr>
    </w:p>
    <w:p>
      <w:pPr>
        <w:tabs>
          <w:tab w:val="left" w:pos="7095"/>
        </w:tabs>
        <w:spacing w:line="360" w:lineRule="auto"/>
        <w:ind w:firstLine="482"/>
        <w:contextualSpacing/>
        <w:rPr>
          <w:rFonts w:hint="eastAsia" w:hAnsi="宋体"/>
          <w:b/>
          <w:color w:val="auto"/>
          <w:sz w:val="24"/>
          <w:szCs w:val="24"/>
        </w:rPr>
      </w:pPr>
      <w:r>
        <w:rPr>
          <w:rFonts w:hint="eastAsia" w:hAnsi="宋体"/>
          <w:b/>
          <w:color w:val="auto"/>
          <w:sz w:val="24"/>
          <w:szCs w:val="24"/>
          <w:lang w:val="en-US"/>
        </w:rPr>
        <w:t>1.</w:t>
      </w:r>
      <w:r>
        <w:rPr>
          <w:rFonts w:hint="eastAsia" w:hAnsi="宋体"/>
          <w:b/>
          <w:color w:val="auto"/>
          <w:sz w:val="24"/>
          <w:szCs w:val="24"/>
        </w:rPr>
        <w:t>投标人应按招标文件规定下载、编制、提交电子承包文件。开、评标现场不接受承包人递交的电子承包文件以外的其他资料。</w:t>
      </w:r>
    </w:p>
    <w:p>
      <w:pPr>
        <w:tabs>
          <w:tab w:val="left" w:pos="7095"/>
        </w:tabs>
        <w:spacing w:line="360" w:lineRule="auto"/>
        <w:ind w:firstLine="482"/>
        <w:contextualSpacing/>
        <w:rPr>
          <w:rFonts w:hAnsi="宋体"/>
          <w:b/>
          <w:color w:val="auto"/>
          <w:sz w:val="24"/>
          <w:szCs w:val="24"/>
        </w:rPr>
      </w:pPr>
      <w:r>
        <w:rPr>
          <w:rFonts w:hint="eastAsia" w:hAnsi="宋体"/>
          <w:b/>
          <w:color w:val="auto"/>
          <w:sz w:val="24"/>
          <w:szCs w:val="24"/>
        </w:rPr>
        <w:t>2</w:t>
      </w:r>
      <w:r>
        <w:rPr>
          <w:rFonts w:hAnsi="宋体"/>
          <w:b/>
          <w:color w:val="auto"/>
          <w:sz w:val="24"/>
          <w:szCs w:val="24"/>
        </w:rPr>
        <w:t>.</w:t>
      </w:r>
      <w:r>
        <w:rPr>
          <w:rFonts w:hint="eastAsia" w:hAnsi="宋体"/>
          <w:b/>
          <w:color w:val="auto"/>
          <w:sz w:val="24"/>
          <w:szCs w:val="24"/>
        </w:rPr>
        <w:t>电子文件下载、制作、提交期间和开标（电子投标文件的解密）环节，承包人须使用CA数字证书（证书须在有效期内）。</w:t>
      </w:r>
    </w:p>
    <w:p>
      <w:pPr>
        <w:tabs>
          <w:tab w:val="left" w:pos="7095"/>
        </w:tabs>
        <w:spacing w:line="360" w:lineRule="auto"/>
        <w:ind w:firstLine="482"/>
        <w:contextualSpacing/>
        <w:rPr>
          <w:rFonts w:hAnsi="宋体"/>
          <w:b/>
          <w:color w:val="auto"/>
          <w:sz w:val="24"/>
          <w:szCs w:val="24"/>
        </w:rPr>
      </w:pPr>
      <w:r>
        <w:rPr>
          <w:rFonts w:hAnsi="宋体"/>
          <w:b/>
          <w:color w:val="auto"/>
          <w:sz w:val="24"/>
          <w:szCs w:val="24"/>
        </w:rPr>
        <w:t>3</w:t>
      </w:r>
      <w:r>
        <w:rPr>
          <w:rFonts w:hint="eastAsia" w:hAnsi="宋体"/>
          <w:b/>
          <w:color w:val="auto"/>
          <w:sz w:val="24"/>
          <w:szCs w:val="24"/>
        </w:rPr>
        <w:t>.电子投标文件的制作。</w:t>
      </w:r>
    </w:p>
    <w:p>
      <w:pPr>
        <w:tabs>
          <w:tab w:val="left" w:pos="7095"/>
        </w:tabs>
        <w:spacing w:line="360" w:lineRule="auto"/>
        <w:ind w:firstLine="480"/>
        <w:contextualSpacing/>
        <w:rPr>
          <w:rFonts w:hAnsi="宋体"/>
          <w:color w:val="auto"/>
          <w:sz w:val="24"/>
          <w:szCs w:val="24"/>
        </w:rPr>
      </w:pPr>
      <w:r>
        <w:rPr>
          <w:rFonts w:hAnsi="宋体"/>
          <w:color w:val="auto"/>
          <w:sz w:val="24"/>
          <w:szCs w:val="24"/>
        </w:rPr>
        <w:t>3</w:t>
      </w:r>
      <w:r>
        <w:rPr>
          <w:rFonts w:hint="eastAsia" w:hAnsi="宋体"/>
          <w:color w:val="auto"/>
          <w:sz w:val="24"/>
          <w:szCs w:val="24"/>
        </w:rPr>
        <w:t>.1 投标人登录《全国公共资源交易平台(河南省▪许昌市）》公共资源交易系统（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44"/>
          <w:rFonts w:hAnsi="宋体"/>
          <w:color w:val="auto"/>
          <w:sz w:val="24"/>
          <w:szCs w:val="24"/>
        </w:rPr>
        <w:t>http://221.14.6.70:8088/ggzy/</w:t>
      </w:r>
      <w:r>
        <w:rPr>
          <w:rStyle w:val="44"/>
          <w:rFonts w:hAnsi="宋体"/>
          <w:color w:val="auto"/>
          <w:sz w:val="24"/>
          <w:szCs w:val="24"/>
        </w:rPr>
        <w:fldChar w:fldCharType="end"/>
      </w:r>
      <w:r>
        <w:rPr>
          <w:rFonts w:hint="eastAsia" w:hAnsi="宋体"/>
          <w:color w:val="auto"/>
          <w:sz w:val="24"/>
          <w:szCs w:val="24"/>
        </w:rPr>
        <w:t>）下载“许昌投标文件制作系统SEARUN V1.0”，按招标文件要求制作电子投标文件。</w:t>
      </w:r>
    </w:p>
    <w:p>
      <w:pPr>
        <w:tabs>
          <w:tab w:val="left" w:pos="7095"/>
        </w:tabs>
        <w:spacing w:line="360" w:lineRule="auto"/>
        <w:ind w:firstLine="480"/>
        <w:contextualSpacing/>
        <w:rPr>
          <w:rFonts w:hAnsi="宋体"/>
          <w:color w:val="auto"/>
          <w:sz w:val="24"/>
          <w:szCs w:val="24"/>
        </w:rPr>
      </w:pPr>
      <w:r>
        <w:rPr>
          <w:rFonts w:hint="eastAsia" w:hAnsi="宋体"/>
          <w:color w:val="auto"/>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left="105" w:leftChars="50" w:firstLine="360" w:firstLineChars="150"/>
        <w:contextualSpacing/>
        <w:rPr>
          <w:rFonts w:hAnsi="宋体"/>
          <w:color w:val="auto"/>
          <w:sz w:val="24"/>
          <w:szCs w:val="24"/>
        </w:rPr>
      </w:pPr>
      <w:r>
        <w:rPr>
          <w:rFonts w:hAnsi="宋体"/>
          <w:color w:val="auto"/>
          <w:sz w:val="24"/>
          <w:szCs w:val="24"/>
        </w:rPr>
        <w:t>3</w:t>
      </w:r>
      <w:r>
        <w:rPr>
          <w:rFonts w:hint="eastAsia" w:hAnsi="宋体"/>
          <w:color w:val="auto"/>
          <w:sz w:val="24"/>
          <w:szCs w:val="24"/>
        </w:rPr>
        <w:t>.</w:t>
      </w:r>
      <w:r>
        <w:rPr>
          <w:rFonts w:hAnsi="宋体"/>
          <w:color w:val="auto"/>
          <w:sz w:val="24"/>
          <w:szCs w:val="24"/>
        </w:rPr>
        <w:t>2</w:t>
      </w:r>
      <w:r>
        <w:rPr>
          <w:rFonts w:hint="eastAsia" w:hAnsi="宋体"/>
          <w:color w:val="auto"/>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left="105" w:leftChars="50" w:firstLine="360" w:firstLineChars="150"/>
        <w:contextualSpacing/>
        <w:rPr>
          <w:rFonts w:hAnsi="宋体"/>
          <w:color w:val="auto"/>
          <w:sz w:val="24"/>
          <w:szCs w:val="24"/>
        </w:rPr>
      </w:pPr>
      <w:r>
        <w:rPr>
          <w:rFonts w:hAnsi="宋体"/>
          <w:color w:val="auto"/>
          <w:sz w:val="24"/>
          <w:szCs w:val="24"/>
        </w:rPr>
        <w:t>3.3</w:t>
      </w:r>
      <w:r>
        <w:rPr>
          <w:rFonts w:hint="eastAsia" w:hAnsi="宋体"/>
          <w:color w:val="auto"/>
          <w:sz w:val="24"/>
          <w:szCs w:val="24"/>
        </w:rPr>
        <w:t>投标人对同一项目多个标段进行投标的，应分别下载所投标段的招标文件，按标段制作电子投标文件，并</w:t>
      </w:r>
      <w:r>
        <w:rPr>
          <w:rFonts w:hAnsi="宋体"/>
          <w:color w:val="auto"/>
          <w:sz w:val="24"/>
          <w:szCs w:val="24"/>
        </w:rPr>
        <w:t>按招标文件要求在相应位置加盖</w:t>
      </w:r>
      <w:r>
        <w:rPr>
          <w:rFonts w:hint="eastAsia" w:hAnsi="宋体"/>
          <w:color w:val="auto"/>
          <w:sz w:val="24"/>
          <w:szCs w:val="24"/>
        </w:rPr>
        <w:t>投标人</w:t>
      </w:r>
      <w:r>
        <w:rPr>
          <w:rFonts w:hAnsi="宋体"/>
          <w:color w:val="auto"/>
          <w:sz w:val="24"/>
          <w:szCs w:val="24"/>
        </w:rPr>
        <w:t>电子印章</w:t>
      </w:r>
      <w:r>
        <w:rPr>
          <w:rFonts w:hint="eastAsia" w:hAnsi="宋体"/>
          <w:color w:val="auto"/>
          <w:sz w:val="24"/>
          <w:szCs w:val="24"/>
        </w:rPr>
        <w:t>和法人电子印章。</w:t>
      </w:r>
    </w:p>
    <w:p>
      <w:pPr>
        <w:tabs>
          <w:tab w:val="left" w:pos="7095"/>
        </w:tabs>
        <w:spacing w:line="360" w:lineRule="auto"/>
        <w:ind w:left="105" w:leftChars="50" w:firstLine="360" w:firstLineChars="150"/>
        <w:contextualSpacing/>
        <w:rPr>
          <w:rFonts w:hAnsi="宋体"/>
          <w:color w:val="auto"/>
          <w:sz w:val="24"/>
          <w:szCs w:val="24"/>
        </w:rPr>
      </w:pPr>
      <w:r>
        <w:rPr>
          <w:rFonts w:hint="eastAsia" w:hAnsi="宋体"/>
          <w:color w:val="auto"/>
          <w:sz w:val="24"/>
          <w:szCs w:val="24"/>
        </w:rPr>
        <w:t>一个标段对应生成一个文件夹（xxxx项目xx标段）, 其中包含2个文件和1个文件夹。后缀名为“</w:t>
      </w:r>
      <w:r>
        <w:rPr>
          <w:rFonts w:hAnsi="宋体"/>
          <w:color w:val="auto"/>
          <w:sz w:val="24"/>
          <w:szCs w:val="24"/>
        </w:rPr>
        <w:t>.file</w:t>
      </w:r>
      <w:r>
        <w:rPr>
          <w:rFonts w:hint="eastAsia" w:hAnsi="宋体"/>
          <w:color w:val="auto"/>
          <w:sz w:val="24"/>
          <w:szCs w:val="24"/>
        </w:rPr>
        <w:t>”的文件用于电子投标使用，后缀名为“.PDF”的文件用于打印纸质投标文件，“备份文件夹”使用电子介质存储，供开标现场备用。</w:t>
      </w:r>
    </w:p>
    <w:p>
      <w:pPr>
        <w:tabs>
          <w:tab w:val="left" w:pos="7095"/>
        </w:tabs>
        <w:spacing w:line="360" w:lineRule="auto"/>
        <w:ind w:firstLine="482"/>
        <w:contextualSpacing/>
        <w:rPr>
          <w:rFonts w:hAnsi="宋体"/>
          <w:b/>
          <w:color w:val="auto"/>
          <w:sz w:val="24"/>
          <w:szCs w:val="24"/>
        </w:rPr>
      </w:pPr>
      <w:r>
        <w:rPr>
          <w:rFonts w:hAnsi="宋体"/>
          <w:b/>
          <w:color w:val="auto"/>
          <w:sz w:val="24"/>
          <w:szCs w:val="24"/>
        </w:rPr>
        <w:t>4</w:t>
      </w:r>
      <w:r>
        <w:rPr>
          <w:rFonts w:hint="eastAsia" w:hAnsi="宋体"/>
          <w:b/>
          <w:color w:val="auto"/>
          <w:sz w:val="24"/>
          <w:szCs w:val="24"/>
        </w:rPr>
        <w:t>.电子投标文件的提交</w:t>
      </w:r>
    </w:p>
    <w:p>
      <w:pPr>
        <w:tabs>
          <w:tab w:val="left" w:pos="7095"/>
        </w:tabs>
        <w:spacing w:line="360" w:lineRule="auto"/>
        <w:ind w:firstLine="480"/>
        <w:contextualSpacing/>
        <w:rPr>
          <w:rFonts w:hAnsi="宋体"/>
          <w:color w:val="auto"/>
          <w:sz w:val="24"/>
          <w:szCs w:val="24"/>
        </w:rPr>
      </w:pPr>
      <w:r>
        <w:rPr>
          <w:rFonts w:hint="eastAsia" w:hAnsi="宋体"/>
          <w:color w:val="auto"/>
          <w:sz w:val="24"/>
          <w:szCs w:val="24"/>
        </w:rPr>
        <w:t xml:space="preserve">    </w:t>
      </w:r>
      <w:r>
        <w:rPr>
          <w:rFonts w:hAnsi="宋体"/>
          <w:color w:val="auto"/>
          <w:sz w:val="24"/>
          <w:szCs w:val="24"/>
        </w:rPr>
        <w:t>4</w:t>
      </w:r>
      <w:r>
        <w:rPr>
          <w:rFonts w:hint="eastAsia" w:hAnsi="宋体"/>
          <w:color w:val="auto"/>
          <w:sz w:val="24"/>
          <w:szCs w:val="24"/>
        </w:rPr>
        <w:t>.1电子投标文件应在招标文件规定的投标文件提交截止时间（开标时间）之前成功提交至《全国公共资源交易平台(河南省▪许昌市)》公共资源交易系统（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44"/>
          <w:rFonts w:hAnsi="宋体"/>
          <w:color w:val="auto"/>
          <w:sz w:val="24"/>
          <w:szCs w:val="24"/>
        </w:rPr>
        <w:t>http://221.14.6.70:8088/ggzy/</w:t>
      </w:r>
      <w:r>
        <w:rPr>
          <w:rStyle w:val="44"/>
          <w:rFonts w:hAnsi="宋体"/>
          <w:color w:val="auto"/>
          <w:sz w:val="24"/>
          <w:szCs w:val="24"/>
        </w:rPr>
        <w:fldChar w:fldCharType="end"/>
      </w:r>
      <w:r>
        <w:rPr>
          <w:rFonts w:hint="eastAsia" w:hAnsi="宋体"/>
          <w:color w:val="auto"/>
          <w:sz w:val="24"/>
          <w:szCs w:val="24"/>
        </w:rPr>
        <w:t>）。</w:t>
      </w:r>
    </w:p>
    <w:p>
      <w:pPr>
        <w:tabs>
          <w:tab w:val="left" w:pos="7095"/>
        </w:tabs>
        <w:spacing w:line="360" w:lineRule="auto"/>
        <w:ind w:firstLine="480"/>
        <w:contextualSpacing/>
        <w:rPr>
          <w:rFonts w:hAnsi="宋体"/>
          <w:color w:val="auto"/>
          <w:sz w:val="24"/>
          <w:szCs w:val="24"/>
        </w:rPr>
      </w:pPr>
      <w:r>
        <w:rPr>
          <w:rFonts w:hint="eastAsia" w:hAnsi="宋体"/>
          <w:color w:val="auto"/>
          <w:sz w:val="24"/>
          <w:szCs w:val="24"/>
        </w:rPr>
        <w:t>投标人应充分考虑并预留技术处理和上传数据所需时间。</w:t>
      </w:r>
    </w:p>
    <w:p>
      <w:pPr>
        <w:tabs>
          <w:tab w:val="left" w:pos="7095"/>
        </w:tabs>
        <w:spacing w:line="360" w:lineRule="auto"/>
        <w:ind w:firstLine="480"/>
        <w:contextualSpacing/>
        <w:rPr>
          <w:rFonts w:hAnsi="宋体"/>
          <w:color w:val="auto"/>
          <w:sz w:val="24"/>
          <w:szCs w:val="24"/>
        </w:rPr>
      </w:pPr>
      <w:r>
        <w:rPr>
          <w:rFonts w:hAnsi="宋体"/>
          <w:color w:val="auto"/>
          <w:sz w:val="24"/>
          <w:szCs w:val="24"/>
        </w:rPr>
        <w:t>4.</w:t>
      </w:r>
      <w:r>
        <w:rPr>
          <w:rFonts w:hint="eastAsia" w:hAnsi="宋体"/>
          <w:color w:val="auto"/>
          <w:sz w:val="24"/>
          <w:szCs w:val="24"/>
        </w:rPr>
        <w:t>2 投标人对同一项目多个标段进行投标的，电子投标文件应按标段分别提交。</w:t>
      </w:r>
    </w:p>
    <w:p>
      <w:pPr>
        <w:tabs>
          <w:tab w:val="left" w:pos="7095"/>
        </w:tabs>
        <w:spacing w:line="360" w:lineRule="auto"/>
        <w:ind w:firstLine="480"/>
        <w:contextualSpacing/>
        <w:rPr>
          <w:rFonts w:hAnsi="宋体"/>
          <w:color w:val="auto"/>
          <w:sz w:val="24"/>
          <w:szCs w:val="24"/>
        </w:rPr>
      </w:pPr>
      <w:r>
        <w:rPr>
          <w:rFonts w:hAnsi="宋体"/>
          <w:color w:val="auto"/>
          <w:sz w:val="24"/>
          <w:szCs w:val="24"/>
        </w:rPr>
        <w:t>4</w:t>
      </w:r>
      <w:r>
        <w:rPr>
          <w:rFonts w:hint="eastAsia" w:hAnsi="宋体"/>
          <w:color w:val="auto"/>
          <w:sz w:val="24"/>
          <w:szCs w:val="24"/>
        </w:rPr>
        <w:t>.</w:t>
      </w:r>
      <w:r>
        <w:rPr>
          <w:rFonts w:hAnsi="宋体"/>
          <w:color w:val="auto"/>
          <w:sz w:val="24"/>
          <w:szCs w:val="24"/>
        </w:rPr>
        <w:t>3</w:t>
      </w:r>
      <w:r>
        <w:rPr>
          <w:rFonts w:hint="eastAsia" w:hAnsi="宋体"/>
          <w:color w:val="auto"/>
          <w:sz w:val="24"/>
          <w:szCs w:val="24"/>
        </w:rPr>
        <w:t xml:space="preserve"> 电子投标文件成功提交后，投标人应打印“投标文件提交回执单”，供开标现场备查。</w:t>
      </w:r>
    </w:p>
    <w:p>
      <w:pPr>
        <w:tabs>
          <w:tab w:val="left" w:pos="7095"/>
        </w:tabs>
        <w:spacing w:line="360" w:lineRule="auto"/>
        <w:ind w:firstLine="482"/>
        <w:contextualSpacing/>
        <w:rPr>
          <w:rFonts w:hAnsi="宋体"/>
          <w:b/>
          <w:color w:val="auto"/>
          <w:sz w:val="24"/>
          <w:szCs w:val="24"/>
        </w:rPr>
      </w:pPr>
      <w:r>
        <w:rPr>
          <w:rFonts w:hAnsi="宋体"/>
          <w:b/>
          <w:color w:val="auto"/>
          <w:sz w:val="24"/>
          <w:szCs w:val="24"/>
        </w:rPr>
        <w:t>5</w:t>
      </w:r>
      <w:r>
        <w:rPr>
          <w:rFonts w:hint="eastAsia" w:hAnsi="宋体"/>
          <w:b/>
          <w:color w:val="auto"/>
          <w:sz w:val="24"/>
          <w:szCs w:val="24"/>
        </w:rPr>
        <w:t>.评标依据</w:t>
      </w:r>
    </w:p>
    <w:p>
      <w:pPr>
        <w:tabs>
          <w:tab w:val="left" w:pos="7095"/>
        </w:tabs>
        <w:spacing w:line="360" w:lineRule="auto"/>
        <w:ind w:firstLine="480"/>
        <w:contextualSpacing/>
        <w:rPr>
          <w:rFonts w:hAnsi="宋体"/>
          <w:color w:val="auto"/>
          <w:sz w:val="24"/>
          <w:szCs w:val="24"/>
        </w:rPr>
      </w:pPr>
      <w:r>
        <w:rPr>
          <w:rFonts w:hint="eastAsia" w:hAnsi="宋体"/>
          <w:color w:val="auto"/>
          <w:sz w:val="24"/>
          <w:szCs w:val="24"/>
        </w:rPr>
        <w:t>5.1采用全流程电子化交易评标时，评标委员会以电子投标文件为依据评标。</w:t>
      </w:r>
    </w:p>
    <w:p>
      <w:pPr>
        <w:pStyle w:val="2"/>
        <w:rPr>
          <w:color w:val="auto"/>
        </w:rPr>
      </w:pPr>
      <w:r>
        <w:rPr>
          <w:rFonts w:hint="eastAsia" w:hAnsi="宋体"/>
          <w:color w:val="auto"/>
          <w:sz w:val="24"/>
          <w:szCs w:val="24"/>
        </w:rPr>
        <w:t>5.2全流程电子化交易系统如因系统异常情况无法完成，将以人工方式进行。评标委员会以</w:t>
      </w:r>
      <w:r>
        <w:rPr>
          <w:rFonts w:hint="eastAsia" w:hAnsi="宋体"/>
          <w:color w:val="auto"/>
          <w:sz w:val="24"/>
          <w:szCs w:val="24"/>
          <w:lang w:val="en-US" w:eastAsia="zh-CN"/>
        </w:rPr>
        <w:t>电子介质储备的</w:t>
      </w:r>
      <w:r>
        <w:rPr>
          <w:rFonts w:hint="eastAsia" w:hAnsi="宋体"/>
          <w:color w:val="auto"/>
          <w:sz w:val="24"/>
          <w:szCs w:val="24"/>
        </w:rPr>
        <w:t>投标文件为依据评标。</w:t>
      </w:r>
    </w:p>
    <w:p>
      <w:pPr>
        <w:pStyle w:val="2"/>
        <w:ind w:firstLine="210"/>
        <w:rPr>
          <w:color w:val="auto"/>
        </w:rPr>
      </w:pPr>
      <w:r>
        <w:rPr>
          <w:color w:val="auto"/>
        </w:rPr>
        <w:br w:type="page"/>
      </w:r>
    </w:p>
    <w:p>
      <w:pPr>
        <w:pStyle w:val="4"/>
        <w:jc w:val="center"/>
        <w:rPr>
          <w:rFonts w:hint="eastAsia"/>
          <w:color w:val="auto"/>
        </w:rPr>
      </w:pPr>
      <w:r>
        <w:rPr>
          <w:rFonts w:hint="eastAsia"/>
          <w:color w:val="auto"/>
        </w:rPr>
        <w:t>第二章投标人须知</w:t>
      </w:r>
      <w:bookmarkEnd w:id="3"/>
      <w:bookmarkStart w:id="4" w:name="_Toc492300759"/>
    </w:p>
    <w:p>
      <w:pPr>
        <w:pStyle w:val="4"/>
        <w:jc w:val="center"/>
        <w:rPr>
          <w:rFonts w:ascii="宋体" w:hAnsi="宋体" w:eastAsia="宋体" w:cs="宋体"/>
          <w:b/>
          <w:color w:val="auto"/>
          <w:sz w:val="24"/>
          <w:szCs w:val="24"/>
        </w:rPr>
      </w:pPr>
      <w:r>
        <w:rPr>
          <w:rFonts w:hint="eastAsia" w:ascii="宋体" w:hAnsi="宋体" w:eastAsia="宋体" w:cs="宋体"/>
          <w:b/>
          <w:color w:val="auto"/>
          <w:sz w:val="24"/>
          <w:szCs w:val="24"/>
        </w:rPr>
        <w:t>投标人须知前附表</w:t>
      </w:r>
    </w:p>
    <w:tbl>
      <w:tblPr>
        <w:tblStyle w:val="38"/>
        <w:tblW w:w="10056" w:type="dxa"/>
        <w:jc w:val="center"/>
        <w:tblInd w:w="0" w:type="dxa"/>
        <w:tblLayout w:type="fixed"/>
        <w:tblCellMar>
          <w:top w:w="0" w:type="dxa"/>
          <w:left w:w="108" w:type="dxa"/>
          <w:bottom w:w="0" w:type="dxa"/>
          <w:right w:w="108" w:type="dxa"/>
        </w:tblCellMar>
      </w:tblPr>
      <w:tblGrid>
        <w:gridCol w:w="899"/>
        <w:gridCol w:w="52"/>
        <w:gridCol w:w="1964"/>
        <w:gridCol w:w="286"/>
        <w:gridCol w:w="6855"/>
      </w:tblGrid>
      <w:tr>
        <w:tblPrEx>
          <w:tblLayout w:type="fixed"/>
          <w:tblCellMar>
            <w:top w:w="0" w:type="dxa"/>
            <w:left w:w="108" w:type="dxa"/>
            <w:bottom w:w="0" w:type="dxa"/>
            <w:right w:w="108" w:type="dxa"/>
          </w:tblCellMar>
        </w:tblPrEx>
        <w:trPr>
          <w:trHeight w:val="570"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b/>
                <w:color w:val="auto"/>
                <w:sz w:val="22"/>
              </w:rPr>
            </w:pPr>
            <w:r>
              <w:rPr>
                <w:rFonts w:hint="eastAsia" w:ascii="宋体" w:hAnsi="宋体" w:cs="宋体"/>
                <w:b/>
                <w:color w:val="auto"/>
                <w:sz w:val="22"/>
              </w:rPr>
              <w:t>条款号</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b/>
                <w:color w:val="auto"/>
                <w:sz w:val="22"/>
              </w:rPr>
            </w:pPr>
            <w:r>
              <w:rPr>
                <w:rFonts w:hint="eastAsia" w:ascii="宋体" w:hAnsi="宋体" w:cs="宋体"/>
                <w:b/>
                <w:color w:val="auto"/>
                <w:sz w:val="22"/>
              </w:rPr>
              <w:t>条款名称</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42"/>
              <w:jc w:val="center"/>
              <w:rPr>
                <w:rFonts w:ascii="宋体" w:hAnsi="宋体" w:cs="宋体"/>
                <w:b/>
                <w:color w:val="auto"/>
                <w:sz w:val="22"/>
              </w:rPr>
            </w:pPr>
            <w:r>
              <w:rPr>
                <w:rFonts w:hint="eastAsia" w:ascii="宋体" w:hAnsi="宋体" w:cs="宋体"/>
                <w:b/>
                <w:color w:val="auto"/>
                <w:sz w:val="22"/>
              </w:rPr>
              <w:t>编列内容</w:t>
            </w:r>
          </w:p>
        </w:tc>
      </w:tr>
      <w:tr>
        <w:tblPrEx>
          <w:tblLayout w:type="fixed"/>
          <w:tblCellMar>
            <w:top w:w="0" w:type="dxa"/>
            <w:left w:w="108" w:type="dxa"/>
            <w:bottom w:w="0" w:type="dxa"/>
            <w:right w:w="108" w:type="dxa"/>
          </w:tblCellMar>
        </w:tblPrEx>
        <w:trPr>
          <w:trHeight w:val="1270"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1.1.1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招标人</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color w:val="auto"/>
                <w:sz w:val="24"/>
                <w:szCs w:val="24"/>
              </w:rPr>
            </w:pPr>
            <w:r>
              <w:rPr>
                <w:rFonts w:hint="eastAsia" w:ascii="宋体" w:hAnsi="宋体" w:eastAsia="宋体" w:cs="宋体"/>
                <w:color w:val="auto"/>
                <w:sz w:val="24"/>
                <w:szCs w:val="24"/>
              </w:rPr>
              <w:t>名  称:许昌市城乡一体化示范区建设环保局</w:t>
            </w:r>
          </w:p>
          <w:p>
            <w:pPr>
              <w:autoSpaceDE w:val="0"/>
              <w:autoSpaceDN w:val="0"/>
              <w:adjustRightInd w:val="0"/>
              <w:spacing w:line="400" w:lineRule="exact"/>
              <w:ind w:firstLine="0" w:firstLineChars="0"/>
              <w:outlineLvl w:val="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地  址: 许昌市</w:t>
            </w:r>
            <w:r>
              <w:rPr>
                <w:rFonts w:hint="eastAsia" w:ascii="宋体" w:hAnsi="宋体" w:cs="宋体"/>
                <w:color w:val="auto"/>
                <w:sz w:val="24"/>
                <w:szCs w:val="24"/>
                <w:lang w:eastAsia="zh-CN"/>
              </w:rPr>
              <w:t>示范区</w:t>
            </w:r>
          </w:p>
          <w:p>
            <w:pPr>
              <w:autoSpaceDE w:val="0"/>
              <w:autoSpaceDN w:val="0"/>
              <w:adjustRightInd w:val="0"/>
              <w:spacing w:line="380" w:lineRule="exact"/>
              <w:ind w:left="0" w:leftChars="0" w:firstLine="0" w:firstLineChars="0"/>
              <w:outlineLvl w:val="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cstheme="minorEastAsia"/>
                <w:color w:val="auto"/>
                <w:sz w:val="24"/>
                <w:szCs w:val="24"/>
              </w:rPr>
              <w:t>项目负责人：</w:t>
            </w:r>
            <w:r>
              <w:rPr>
                <w:rFonts w:hint="eastAsia" w:asciiTheme="minorEastAsia" w:hAnsiTheme="minorEastAsia" w:cstheme="minorEastAsia"/>
                <w:color w:val="auto"/>
                <w:sz w:val="24"/>
                <w:szCs w:val="24"/>
                <w:lang w:eastAsia="zh-CN"/>
              </w:rPr>
              <w:t>刘威洋</w:t>
            </w:r>
          </w:p>
          <w:p>
            <w:pPr>
              <w:autoSpaceDE w:val="0"/>
              <w:autoSpaceDN w:val="0"/>
              <w:adjustRightInd w:val="0"/>
              <w:spacing w:line="380" w:lineRule="exact"/>
              <w:ind w:left="0" w:leftChars="0" w:firstLine="0" w:firstLineChars="0"/>
              <w:outlineLvl w:val="0"/>
              <w:rPr>
                <w:rFonts w:ascii="宋体" w:hAnsi="宋体" w:eastAsia="宋体" w:cs="宋体"/>
                <w:color w:val="auto"/>
                <w:sz w:val="24"/>
                <w:szCs w:val="24"/>
              </w:rPr>
            </w:pPr>
            <w:r>
              <w:rPr>
                <w:rFonts w:hint="eastAsia" w:asciiTheme="minorEastAsia" w:hAnsiTheme="minorEastAsia" w:cstheme="minorEastAsia"/>
                <w:color w:val="auto"/>
                <w:sz w:val="24"/>
                <w:szCs w:val="24"/>
              </w:rPr>
              <w:t>电      话：</w:t>
            </w:r>
            <w:r>
              <w:rPr>
                <w:rFonts w:hint="eastAsia" w:asciiTheme="minorEastAsia" w:hAnsiTheme="minorEastAsia" w:cstheme="minorEastAsia"/>
                <w:color w:val="auto"/>
                <w:sz w:val="24"/>
                <w:szCs w:val="24"/>
                <w:lang w:val="en-US" w:eastAsia="zh-CN"/>
              </w:rPr>
              <w:t>0374-3377722</w:t>
            </w:r>
          </w:p>
        </w:tc>
      </w:tr>
      <w:tr>
        <w:tblPrEx>
          <w:tblLayout w:type="fixed"/>
          <w:tblCellMar>
            <w:top w:w="0" w:type="dxa"/>
            <w:left w:w="108" w:type="dxa"/>
            <w:bottom w:w="0" w:type="dxa"/>
            <w:right w:w="108" w:type="dxa"/>
          </w:tblCellMar>
        </w:tblPrEx>
        <w:trPr>
          <w:trHeight w:val="1270"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1.1.2</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ascii="宋体" w:hAnsi="宋体" w:eastAsia="宋体" w:cs="Microsoft JhengHei"/>
                <w:color w:val="auto"/>
                <w:szCs w:val="21"/>
              </w:rPr>
              <w:t>招标</w:t>
            </w:r>
            <w:r>
              <w:rPr>
                <w:rFonts w:ascii="宋体" w:hAnsi="宋体" w:eastAsia="宋体" w:cs="Microsoft JhengHei"/>
                <w:color w:val="auto"/>
                <w:spacing w:val="-3"/>
                <w:szCs w:val="21"/>
              </w:rPr>
              <w:t>代</w:t>
            </w:r>
            <w:r>
              <w:rPr>
                <w:rFonts w:ascii="宋体" w:hAnsi="宋体" w:eastAsia="宋体" w:cs="Microsoft JhengHei"/>
                <w:color w:val="auto"/>
                <w:szCs w:val="21"/>
              </w:rPr>
              <w:t>理</w:t>
            </w:r>
            <w:r>
              <w:rPr>
                <w:rFonts w:ascii="宋体" w:hAnsi="宋体" w:eastAsia="宋体" w:cs="Microsoft JhengHei"/>
                <w:color w:val="auto"/>
                <w:spacing w:val="-3"/>
                <w:szCs w:val="21"/>
              </w:rPr>
              <w:t>机</w:t>
            </w:r>
            <w:r>
              <w:rPr>
                <w:rFonts w:ascii="宋体" w:hAnsi="宋体" w:eastAsia="宋体" w:cs="Microsoft JhengHei"/>
                <w:color w:val="auto"/>
                <w:szCs w:val="21"/>
              </w:rPr>
              <w:t>构</w:t>
            </w:r>
          </w:p>
        </w:tc>
        <w:tc>
          <w:tcPr>
            <w:tcW w:w="68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firstLine="0" w:firstLineChars="0"/>
              <w:outlineLvl w:val="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cstheme="minorEastAsia"/>
                <w:color w:val="auto"/>
                <w:sz w:val="24"/>
                <w:szCs w:val="24"/>
              </w:rPr>
              <w:t>名称：</w:t>
            </w:r>
            <w:r>
              <w:rPr>
                <w:rFonts w:hint="eastAsia" w:asciiTheme="minorEastAsia" w:hAnsiTheme="minorEastAsia" w:cstheme="minorEastAsia"/>
                <w:color w:val="auto"/>
                <w:sz w:val="24"/>
                <w:szCs w:val="24"/>
                <w:lang w:eastAsia="zh-CN"/>
              </w:rPr>
              <w:t>河南永安工程管理有限公司</w:t>
            </w:r>
          </w:p>
          <w:p>
            <w:pPr>
              <w:autoSpaceDE w:val="0"/>
              <w:autoSpaceDN w:val="0"/>
              <w:adjustRightInd w:val="0"/>
              <w:spacing w:line="400" w:lineRule="exact"/>
              <w:ind w:firstLine="0" w:firstLineChars="0"/>
              <w:outlineLvl w:val="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rPr>
              <w:t>地址：许昌市城乡一体化示范区元鼎国际B座1612</w:t>
            </w:r>
          </w:p>
          <w:p>
            <w:pPr>
              <w:autoSpaceDE w:val="0"/>
              <w:autoSpaceDN w:val="0"/>
              <w:adjustRightInd w:val="0"/>
              <w:spacing w:line="400" w:lineRule="exact"/>
              <w:ind w:firstLine="0" w:firstLineChars="0"/>
              <w:outlineLvl w:val="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项目负责人：</w:t>
            </w:r>
            <w:r>
              <w:rPr>
                <w:rFonts w:hint="eastAsia" w:asciiTheme="minorEastAsia" w:hAnsiTheme="minorEastAsia" w:cstheme="minorEastAsia"/>
                <w:color w:val="auto"/>
                <w:sz w:val="24"/>
                <w:szCs w:val="24"/>
                <w:lang w:eastAsia="zh-CN"/>
              </w:rPr>
              <w:t>程女士</w:t>
            </w:r>
            <w:r>
              <w:rPr>
                <w:rFonts w:hint="eastAsia" w:asciiTheme="minorEastAsia" w:hAnsiTheme="minorEastAsia" w:cstheme="minorEastAsia"/>
                <w:color w:val="auto"/>
                <w:sz w:val="24"/>
                <w:szCs w:val="24"/>
              </w:rPr>
              <w:t xml:space="preserve">    </w:t>
            </w:r>
          </w:p>
          <w:p>
            <w:pPr>
              <w:autoSpaceDE w:val="0"/>
              <w:autoSpaceDN w:val="0"/>
              <w:adjustRightInd w:val="0"/>
              <w:spacing w:line="400" w:lineRule="exact"/>
              <w:ind w:firstLine="0" w:firstLineChars="0"/>
              <w:outlineLvl w:val="0"/>
              <w:rPr>
                <w:rFonts w:ascii="宋体" w:hAnsi="宋体" w:eastAsia="宋体" w:cs="宋体"/>
                <w:color w:val="auto"/>
                <w:sz w:val="24"/>
                <w:szCs w:val="24"/>
              </w:rPr>
            </w:pPr>
            <w:r>
              <w:rPr>
                <w:rFonts w:hint="eastAsia" w:asciiTheme="minorEastAsia" w:hAnsiTheme="minorEastAsia" w:cstheme="minorEastAsia"/>
                <w:color w:val="auto"/>
                <w:sz w:val="24"/>
                <w:szCs w:val="24"/>
              </w:rPr>
              <w:t>联系电话：</w:t>
            </w:r>
            <w:r>
              <w:rPr>
                <w:rFonts w:hint="eastAsia" w:asciiTheme="minorEastAsia" w:hAnsiTheme="minorEastAsia" w:cstheme="minorEastAsia"/>
                <w:color w:val="auto"/>
                <w:sz w:val="24"/>
                <w:szCs w:val="24"/>
                <w:lang w:val="en-US" w:eastAsia="zh-CN"/>
              </w:rPr>
              <w:t xml:space="preserve">  0374-8318599</w:t>
            </w:r>
          </w:p>
        </w:tc>
      </w:tr>
      <w:tr>
        <w:tblPrEx>
          <w:tblLayout w:type="fixed"/>
          <w:tblCellMar>
            <w:top w:w="0" w:type="dxa"/>
            <w:left w:w="108" w:type="dxa"/>
            <w:bottom w:w="0" w:type="dxa"/>
            <w:right w:w="108" w:type="dxa"/>
          </w:tblCellMar>
        </w:tblPrEx>
        <w:trPr>
          <w:trHeight w:val="930"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1.1.3</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项目名称</w:t>
            </w:r>
          </w:p>
        </w:tc>
        <w:tc>
          <w:tcPr>
            <w:tcW w:w="68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80" w:lineRule="exact"/>
              <w:outlineLvl w:val="0"/>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许昌市城乡一体化示范区永昌佳苑（庞庄棚户区改造）地勘工程项目</w:t>
            </w:r>
          </w:p>
        </w:tc>
      </w:tr>
      <w:tr>
        <w:tblPrEx>
          <w:tblLayout w:type="fixed"/>
          <w:tblCellMar>
            <w:top w:w="0" w:type="dxa"/>
            <w:left w:w="108" w:type="dxa"/>
            <w:bottom w:w="0" w:type="dxa"/>
            <w:right w:w="108" w:type="dxa"/>
          </w:tblCellMar>
        </w:tblPrEx>
        <w:trPr>
          <w:trHeight w:val="910"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1.1.4</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建设地点</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该项目位于绿洲路以北、永昌东路以南，许州路以西，景福路以东</w:t>
            </w:r>
          </w:p>
        </w:tc>
      </w:tr>
      <w:tr>
        <w:tblPrEx>
          <w:tblLayout w:type="fixed"/>
          <w:tblCellMar>
            <w:top w:w="0" w:type="dxa"/>
            <w:left w:w="108" w:type="dxa"/>
            <w:bottom w:w="0" w:type="dxa"/>
            <w:right w:w="108" w:type="dxa"/>
          </w:tblCellMar>
        </w:tblPrEx>
        <w:trPr>
          <w:trHeight w:val="66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1.2.1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资金来源</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财政资金</w:t>
            </w:r>
          </w:p>
        </w:tc>
      </w:tr>
      <w:tr>
        <w:tblPrEx>
          <w:tblLayout w:type="fixed"/>
          <w:tblCellMar>
            <w:top w:w="0" w:type="dxa"/>
            <w:left w:w="108" w:type="dxa"/>
            <w:bottom w:w="0" w:type="dxa"/>
            <w:right w:w="108" w:type="dxa"/>
          </w:tblCellMar>
        </w:tblPrEx>
        <w:trPr>
          <w:trHeight w:val="63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1.2.2</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资金落实情况</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宋体"/>
                <w:color w:val="auto"/>
                <w:sz w:val="24"/>
                <w:szCs w:val="24"/>
              </w:rPr>
            </w:pPr>
            <w:r>
              <w:rPr>
                <w:rFonts w:hint="eastAsia" w:ascii="宋体" w:hAnsi="宋体" w:eastAsia="宋体" w:cs="宋体"/>
                <w:color w:val="auto"/>
                <w:sz w:val="24"/>
                <w:szCs w:val="24"/>
              </w:rPr>
              <w:t>已落实</w:t>
            </w:r>
          </w:p>
        </w:tc>
      </w:tr>
      <w:tr>
        <w:tblPrEx>
          <w:tblLayout w:type="fixed"/>
          <w:tblCellMar>
            <w:top w:w="0" w:type="dxa"/>
            <w:left w:w="108" w:type="dxa"/>
            <w:bottom w:w="0" w:type="dxa"/>
            <w:right w:w="108" w:type="dxa"/>
          </w:tblCellMar>
        </w:tblPrEx>
        <w:trPr>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1.3.1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招标范围</w:t>
            </w:r>
          </w:p>
        </w:tc>
        <w:tc>
          <w:tcPr>
            <w:tcW w:w="685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80" w:lineRule="exact"/>
              <w:ind w:left="0" w:leftChars="0" w:firstLine="0" w:firstLineChars="0"/>
              <w:outlineLvl w:val="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招标文件、工程量清单、施工图纸、答疑纪要和补充文件（如有）范围内的所有建设内容。</w:t>
            </w:r>
          </w:p>
        </w:tc>
      </w:tr>
      <w:tr>
        <w:tblPrEx>
          <w:tblLayout w:type="fixed"/>
          <w:tblCellMar>
            <w:top w:w="0" w:type="dxa"/>
            <w:left w:w="108" w:type="dxa"/>
            <w:bottom w:w="0" w:type="dxa"/>
            <w:right w:w="108" w:type="dxa"/>
          </w:tblCellMar>
        </w:tblPrEx>
        <w:trPr>
          <w:trHeight w:val="741"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1.3.2</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标段划分</w:t>
            </w:r>
          </w:p>
        </w:tc>
        <w:tc>
          <w:tcPr>
            <w:tcW w:w="68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80" w:lineRule="exact"/>
              <w:ind w:left="0" w:leftChars="0" w:firstLine="0" w:firstLineChars="0"/>
              <w:outlineLvl w:val="0"/>
              <w:rPr>
                <w:rFonts w:ascii="宋体" w:hAnsi="宋体" w:eastAsia="宋体" w:cs="宋体"/>
                <w:color w:val="C00000"/>
                <w:sz w:val="24"/>
                <w:szCs w:val="24"/>
              </w:rPr>
            </w:pPr>
            <w:r>
              <w:rPr>
                <w:rFonts w:hint="eastAsia" w:ascii="宋体" w:cs="宋体"/>
                <w:color w:val="auto"/>
                <w:sz w:val="24"/>
                <w:lang w:eastAsia="zh-CN"/>
              </w:rPr>
              <w:t>本</w:t>
            </w:r>
            <w:r>
              <w:rPr>
                <w:rFonts w:hint="eastAsia" w:ascii="宋体" w:cs="宋体"/>
                <w:color w:val="auto"/>
                <w:sz w:val="24"/>
              </w:rPr>
              <w:t>工程</w:t>
            </w:r>
            <w:r>
              <w:rPr>
                <w:rFonts w:hint="eastAsia" w:ascii="宋体" w:cs="宋体"/>
                <w:color w:val="auto"/>
                <w:sz w:val="24"/>
                <w:lang w:eastAsia="zh-CN"/>
              </w:rPr>
              <w:t>勘察工作</w:t>
            </w:r>
          </w:p>
        </w:tc>
      </w:tr>
      <w:tr>
        <w:tblPrEx>
          <w:tblLayout w:type="fixed"/>
          <w:tblCellMar>
            <w:top w:w="0" w:type="dxa"/>
            <w:left w:w="108" w:type="dxa"/>
            <w:bottom w:w="0" w:type="dxa"/>
            <w:right w:w="108" w:type="dxa"/>
          </w:tblCellMar>
        </w:tblPrEx>
        <w:trPr>
          <w:trHeight w:val="626"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1.3.3</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rPr>
                <w:rFonts w:ascii="宋体" w:hAnsi="宋体" w:eastAsia="宋体" w:cs="宋体"/>
                <w:color w:val="auto"/>
                <w:sz w:val="24"/>
                <w:szCs w:val="24"/>
              </w:rPr>
            </w:pPr>
            <w:r>
              <w:rPr>
                <w:rFonts w:hint="eastAsia" w:ascii="宋体" w:hAnsi="宋体" w:cs="仿宋_GB2312"/>
                <w:color w:val="auto"/>
                <w:sz w:val="24"/>
              </w:rPr>
              <w:t>设计</w:t>
            </w:r>
            <w:r>
              <w:rPr>
                <w:rFonts w:hint="eastAsia"/>
                <w:color w:val="auto"/>
                <w:sz w:val="24"/>
              </w:rPr>
              <w:t>周</w:t>
            </w:r>
            <w:r>
              <w:rPr>
                <w:color w:val="auto"/>
                <w:sz w:val="24"/>
              </w:rPr>
              <w:t>期</w:t>
            </w:r>
          </w:p>
        </w:tc>
        <w:tc>
          <w:tcPr>
            <w:tcW w:w="68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ind w:firstLine="0" w:firstLineChars="0"/>
              <w:rPr>
                <w:rFonts w:ascii="宋体" w:hAnsi="宋体" w:eastAsia="宋体" w:cs="宋体"/>
                <w:color w:val="auto"/>
                <w:sz w:val="24"/>
                <w:szCs w:val="24"/>
              </w:rPr>
            </w:pPr>
            <w:r>
              <w:rPr>
                <w:rFonts w:hint="eastAsia" w:ascii="宋体" w:hAnsi="宋体" w:cs="宋体"/>
                <w:color w:val="auto"/>
                <w:sz w:val="24"/>
                <w:szCs w:val="24"/>
                <w:lang w:eastAsia="zh-CN"/>
              </w:rPr>
              <w:t>30日历天</w:t>
            </w:r>
          </w:p>
        </w:tc>
      </w:tr>
      <w:tr>
        <w:tblPrEx>
          <w:tblLayout w:type="fixed"/>
          <w:tblCellMar>
            <w:top w:w="0" w:type="dxa"/>
            <w:left w:w="108" w:type="dxa"/>
            <w:bottom w:w="0" w:type="dxa"/>
            <w:right w:w="108" w:type="dxa"/>
          </w:tblCellMar>
        </w:tblPrEx>
        <w:trPr>
          <w:trHeight w:val="670"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1.3.3</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color w:val="auto"/>
                <w:sz w:val="24"/>
              </w:rPr>
              <w:t>质量要求</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color w:val="auto"/>
                <w:sz w:val="24"/>
                <w:szCs w:val="24"/>
              </w:rPr>
            </w:pPr>
            <w:r>
              <w:rPr>
                <w:rFonts w:hint="eastAsia" w:ascii="宋体" w:cs="宋体"/>
                <w:color w:val="auto"/>
                <w:sz w:val="24"/>
              </w:rPr>
              <w:t>符合国家现行规范、规程、规定、标准的要求(合格)</w:t>
            </w:r>
          </w:p>
        </w:tc>
      </w:tr>
      <w:tr>
        <w:tblPrEx>
          <w:tblLayout w:type="fixed"/>
          <w:tblCellMar>
            <w:top w:w="0" w:type="dxa"/>
            <w:left w:w="108" w:type="dxa"/>
            <w:bottom w:w="0" w:type="dxa"/>
            <w:right w:w="108" w:type="dxa"/>
          </w:tblCellMar>
        </w:tblPrEx>
        <w:trPr>
          <w:trHeight w:val="115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1.4.1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投标人资质条件</w:t>
            </w:r>
          </w:p>
        </w:tc>
        <w:tc>
          <w:tcPr>
            <w:tcW w:w="685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80" w:lineRule="exact"/>
              <w:ind w:firstLine="480"/>
              <w:outlineLvl w:val="0"/>
              <w:rPr>
                <w:rFonts w:hint="eastAsia" w:ascii="宋体" w:hAnsi="宋体" w:eastAsia="宋体" w:cs="宋体"/>
                <w:color w:val="auto"/>
                <w:sz w:val="24"/>
                <w:szCs w:val="24"/>
              </w:rPr>
            </w:pPr>
            <w:r>
              <w:rPr>
                <w:rFonts w:hint="eastAsia" w:ascii="宋体" w:hAnsi="宋体" w:eastAsia="宋体" w:cs="宋体"/>
                <w:color w:val="auto"/>
                <w:sz w:val="24"/>
                <w:szCs w:val="24"/>
              </w:rPr>
              <w:t xml:space="preserve"> 1、资格要求：</w:t>
            </w:r>
            <w:r>
              <w:rPr>
                <w:rFonts w:hint="eastAsia" w:ascii="宋体" w:hAnsi="宋体" w:eastAsia="宋体" w:cs="宋体"/>
                <w:color w:val="auto"/>
                <w:sz w:val="24"/>
                <w:szCs w:val="24"/>
                <w:lang w:val="en-US" w:eastAsia="zh-CN"/>
              </w:rPr>
              <w:t>本工程勘查工作要求</w:t>
            </w:r>
            <w:r>
              <w:rPr>
                <w:rFonts w:hint="eastAsia" w:ascii="宋体" w:hAnsi="宋体" w:eastAsia="宋体" w:cs="宋体"/>
                <w:color w:val="auto"/>
                <w:sz w:val="24"/>
                <w:szCs w:val="24"/>
              </w:rPr>
              <w:t>投标人须具有独立法人资格，具备建设行政主管部门颁发的工程勘察综合类甲级资质或工程勘察（岩土工程）乙级及以上资质，投标人拟派项目负责人须具备相关专业</w:t>
            </w:r>
            <w:r>
              <w:rPr>
                <w:rFonts w:hint="eastAsia" w:ascii="宋体" w:hAnsi="宋体" w:cs="宋体"/>
                <w:color w:val="auto"/>
                <w:sz w:val="24"/>
                <w:szCs w:val="24"/>
                <w:lang w:eastAsia="zh-CN"/>
              </w:rPr>
              <w:t>中</w:t>
            </w:r>
            <w:r>
              <w:rPr>
                <w:rFonts w:hint="eastAsia" w:ascii="宋体" w:hAnsi="宋体" w:eastAsia="宋体" w:cs="宋体"/>
                <w:color w:val="auto"/>
                <w:sz w:val="24"/>
                <w:szCs w:val="24"/>
              </w:rPr>
              <w:t>级及以上职称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并在人员、设备、资金等方面具有相应的设计能力。</w:t>
            </w:r>
          </w:p>
          <w:p>
            <w:pPr>
              <w:autoSpaceDE w:val="0"/>
              <w:autoSpaceDN w:val="0"/>
              <w:adjustRightInd w:val="0"/>
              <w:spacing w:line="380" w:lineRule="exact"/>
              <w:ind w:firstLine="480"/>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未被列入“信用中国”网站(www.creditchina.gov.cn)失信被执行人名单、“国家企业信用公示系统”网站（www.gsxt.gov.cn）严重违法失信企业名单（黑名单）的投标人（招标人、代理机构或评标专家委员会于评标现场查询）；信用信息查询记录和证据留存具体方式：经评标委员会确认的查询结果截图作为查询记录和证据，与其他文件一并保存。</w:t>
            </w:r>
          </w:p>
          <w:p>
            <w:pPr>
              <w:autoSpaceDE w:val="0"/>
              <w:autoSpaceDN w:val="0"/>
              <w:adjustRightInd w:val="0"/>
              <w:spacing w:line="380" w:lineRule="exact"/>
              <w:ind w:firstLine="480"/>
              <w:outlineLvl w:val="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、本次招标不接受联合体投标。</w:t>
            </w:r>
          </w:p>
          <w:p>
            <w:pPr>
              <w:autoSpaceDE w:val="0"/>
              <w:autoSpaceDN w:val="0"/>
              <w:adjustRightInd w:val="0"/>
              <w:spacing w:line="380" w:lineRule="exact"/>
              <w:ind w:firstLine="480"/>
              <w:outlineLvl w:val="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、不接受失信被执行人的投标。</w:t>
            </w:r>
          </w:p>
          <w:p>
            <w:pPr>
              <w:autoSpaceDE w:val="0"/>
              <w:autoSpaceDN w:val="0"/>
              <w:adjustRightInd w:val="0"/>
              <w:spacing w:line="380" w:lineRule="exact"/>
              <w:ind w:firstLine="480"/>
              <w:outlineLvl w:val="0"/>
              <w:rPr>
                <w:rFonts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、不组织勘察施工现场，自行组织勘察施工现场，费用自理。</w:t>
            </w:r>
          </w:p>
          <w:p>
            <w:pPr>
              <w:autoSpaceDE w:val="0"/>
              <w:autoSpaceDN w:val="0"/>
              <w:adjustRightInd w:val="0"/>
              <w:spacing w:line="380" w:lineRule="exact"/>
              <w:ind w:firstLine="480"/>
              <w:outlineLvl w:val="0"/>
              <w:rPr>
                <w:rFonts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、本次招标实行资格后审。</w:t>
            </w:r>
          </w:p>
          <w:p>
            <w:pPr>
              <w:autoSpaceDE w:val="0"/>
              <w:autoSpaceDN w:val="0"/>
              <w:adjustRightInd w:val="0"/>
              <w:spacing w:line="380" w:lineRule="exact"/>
              <w:ind w:firstLine="480"/>
              <w:outlineLvl w:val="0"/>
              <w:rPr>
                <w:rFonts w:ascii="宋体" w:hAnsi="宋体" w:eastAsia="宋体" w:cs="宋体"/>
                <w:color w:val="auto"/>
                <w:sz w:val="24"/>
                <w:szCs w:val="24"/>
              </w:rPr>
            </w:pPr>
          </w:p>
        </w:tc>
      </w:tr>
      <w:tr>
        <w:tblPrEx>
          <w:tblLayout w:type="fixed"/>
          <w:tblCellMar>
            <w:top w:w="0" w:type="dxa"/>
            <w:left w:w="108" w:type="dxa"/>
            <w:bottom w:w="0" w:type="dxa"/>
            <w:right w:w="108" w:type="dxa"/>
          </w:tblCellMar>
        </w:tblPrEx>
        <w:trPr>
          <w:trHeight w:val="69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1.4.2</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是否接受</w:t>
            </w:r>
          </w:p>
          <w:p>
            <w:pPr>
              <w:spacing w:line="36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联合体投标</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不接受</w:t>
            </w:r>
          </w:p>
        </w:tc>
      </w:tr>
      <w:tr>
        <w:tblPrEx>
          <w:tblLayout w:type="fixed"/>
          <w:tblCellMar>
            <w:top w:w="0" w:type="dxa"/>
            <w:left w:w="108" w:type="dxa"/>
            <w:bottom w:w="0" w:type="dxa"/>
            <w:right w:w="108" w:type="dxa"/>
          </w:tblCellMar>
        </w:tblPrEx>
        <w:trPr>
          <w:trHeight w:val="68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1.4.3</w:t>
            </w:r>
          </w:p>
        </w:tc>
        <w:tc>
          <w:tcPr>
            <w:tcW w:w="2250" w:type="dxa"/>
            <w:gridSpan w:val="2"/>
            <w:tcBorders>
              <w:top w:val="single" w:color="auto" w:sz="4" w:space="0"/>
              <w:left w:val="single" w:color="auto" w:sz="4" w:space="0"/>
              <w:bottom w:val="single" w:color="auto" w:sz="4" w:space="0"/>
              <w:right w:val="single" w:color="auto" w:sz="4" w:space="0"/>
            </w:tcBorders>
          </w:tcPr>
          <w:p>
            <w:pPr>
              <w:spacing w:line="36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投标人不得存在的其他情形</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详见招标文件</w:t>
            </w:r>
          </w:p>
        </w:tc>
      </w:tr>
      <w:tr>
        <w:tblPrEx>
          <w:tblLayout w:type="fixed"/>
          <w:tblCellMar>
            <w:top w:w="0" w:type="dxa"/>
            <w:left w:w="108" w:type="dxa"/>
            <w:bottom w:w="0" w:type="dxa"/>
            <w:right w:w="108" w:type="dxa"/>
          </w:tblCellMar>
        </w:tblPrEx>
        <w:trPr>
          <w:trHeight w:val="550"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1.9.1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踏勘现场</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不组织</w:t>
            </w:r>
          </w:p>
        </w:tc>
      </w:tr>
      <w:tr>
        <w:tblPrEx>
          <w:tblLayout w:type="fixed"/>
          <w:tblCellMar>
            <w:top w:w="0" w:type="dxa"/>
            <w:left w:w="108" w:type="dxa"/>
            <w:bottom w:w="0" w:type="dxa"/>
            <w:right w:w="108" w:type="dxa"/>
          </w:tblCellMar>
        </w:tblPrEx>
        <w:trPr>
          <w:trHeight w:val="762"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1.10.1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投标预备会</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jc w:val="both"/>
              <w:rPr>
                <w:rFonts w:ascii="宋体" w:hAnsi="宋体" w:eastAsia="宋体" w:cs="宋体"/>
                <w:color w:val="auto"/>
                <w:sz w:val="24"/>
                <w:szCs w:val="24"/>
              </w:rPr>
            </w:pPr>
            <w:r>
              <w:rPr>
                <w:rFonts w:hint="eastAsia" w:ascii="宋体" w:hAnsi="宋体" w:cs="仿宋_GB2312"/>
                <w:color w:val="auto"/>
                <w:sz w:val="24"/>
              </w:rPr>
              <w:t>不召开</w:t>
            </w:r>
          </w:p>
        </w:tc>
      </w:tr>
      <w:tr>
        <w:tblPrEx>
          <w:tblLayout w:type="fixed"/>
          <w:tblCellMar>
            <w:top w:w="0" w:type="dxa"/>
            <w:left w:w="108" w:type="dxa"/>
            <w:bottom w:w="0" w:type="dxa"/>
            <w:right w:w="108" w:type="dxa"/>
          </w:tblCellMar>
        </w:tblPrEx>
        <w:trPr>
          <w:trHeight w:val="752"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1.10.2</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招标文件澄清</w:t>
            </w:r>
          </w:p>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发出的形式</w:t>
            </w:r>
          </w:p>
        </w:tc>
        <w:tc>
          <w:tcPr>
            <w:tcW w:w="6855" w:type="dxa"/>
            <w:tcBorders>
              <w:top w:val="single" w:color="auto" w:sz="4" w:space="0"/>
              <w:left w:val="single" w:color="auto" w:sz="4" w:space="0"/>
              <w:bottom w:val="single" w:color="auto" w:sz="4" w:space="0"/>
              <w:right w:val="single" w:color="auto" w:sz="4" w:space="0"/>
            </w:tcBorders>
          </w:tcPr>
          <w:p>
            <w:pPr>
              <w:spacing w:line="400" w:lineRule="exact"/>
              <w:ind w:firstLine="0" w:firstLineChars="0"/>
              <w:rPr>
                <w:rFonts w:ascii="宋体" w:hAnsi="宋体" w:eastAsia="宋体" w:cs="宋体"/>
                <w:color w:val="auto"/>
                <w:sz w:val="24"/>
                <w:szCs w:val="24"/>
              </w:rPr>
            </w:pPr>
            <w:r>
              <w:rPr>
                <w:rFonts w:hint="eastAsia" w:ascii="宋体" w:hAnsi="宋体" w:eastAsia="宋体" w:cs="宋体"/>
                <w:color w:val="auto"/>
                <w:sz w:val="24"/>
                <w:szCs w:val="24"/>
              </w:rPr>
              <w:t>以全国公共资源交易平台（河南省·许昌市）（http://www.xcggzy.gov.cn/）电子平台发出的为准，不再接受书面形式的递交。</w:t>
            </w:r>
          </w:p>
        </w:tc>
      </w:tr>
      <w:tr>
        <w:tblPrEx>
          <w:tblLayout w:type="fixed"/>
          <w:tblCellMar>
            <w:top w:w="0" w:type="dxa"/>
            <w:left w:w="108" w:type="dxa"/>
            <w:bottom w:w="0" w:type="dxa"/>
            <w:right w:w="108" w:type="dxa"/>
          </w:tblCellMar>
        </w:tblPrEx>
        <w:trPr>
          <w:trHeight w:val="53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1.11.1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分     包</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不允许</w:t>
            </w:r>
          </w:p>
        </w:tc>
      </w:tr>
      <w:tr>
        <w:tblPrEx>
          <w:tblLayout w:type="fixed"/>
          <w:tblCellMar>
            <w:top w:w="0" w:type="dxa"/>
            <w:left w:w="108" w:type="dxa"/>
            <w:bottom w:w="0" w:type="dxa"/>
            <w:right w:w="108" w:type="dxa"/>
          </w:tblCellMar>
        </w:tblPrEx>
        <w:trPr>
          <w:trHeight w:val="572"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1.12.1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实质性要求和条件</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详见招标文件</w:t>
            </w:r>
          </w:p>
        </w:tc>
      </w:tr>
      <w:tr>
        <w:tblPrEx>
          <w:tblLayout w:type="fixed"/>
          <w:tblCellMar>
            <w:top w:w="0" w:type="dxa"/>
            <w:left w:w="108" w:type="dxa"/>
            <w:bottom w:w="0" w:type="dxa"/>
            <w:right w:w="108" w:type="dxa"/>
          </w:tblCellMar>
        </w:tblPrEx>
        <w:trPr>
          <w:trHeight w:val="557"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1.12.3</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偏     差</w:t>
            </w:r>
          </w:p>
        </w:tc>
        <w:tc>
          <w:tcPr>
            <w:tcW w:w="6855"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ind w:firstLine="480" w:firstLineChars="200"/>
              <w:jc w:val="both"/>
              <w:rPr>
                <w:rFonts w:hAnsi="宋体" w:eastAsia="宋体" w:cs="宋体"/>
                <w:color w:val="auto"/>
                <w:szCs w:val="24"/>
              </w:rPr>
            </w:pPr>
            <w:r>
              <w:rPr>
                <w:rFonts w:hint="eastAsia" w:hAnsi="宋体" w:eastAsia="宋体" w:cs="宋体"/>
                <w:color w:val="auto"/>
                <w:szCs w:val="24"/>
              </w:rPr>
              <w:t>不允许</w:t>
            </w:r>
          </w:p>
        </w:tc>
      </w:tr>
      <w:tr>
        <w:tblPrEx>
          <w:tblLayout w:type="fixed"/>
          <w:tblCellMar>
            <w:top w:w="0" w:type="dxa"/>
            <w:left w:w="108" w:type="dxa"/>
            <w:bottom w:w="0" w:type="dxa"/>
            <w:right w:w="108" w:type="dxa"/>
          </w:tblCellMar>
        </w:tblPrEx>
        <w:trPr>
          <w:trHeight w:val="72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2.1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构成招标文件</w:t>
            </w:r>
          </w:p>
          <w:p>
            <w:pPr>
              <w:spacing w:line="36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的其他材料</w:t>
            </w:r>
          </w:p>
        </w:tc>
        <w:tc>
          <w:tcPr>
            <w:tcW w:w="685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宋体"/>
                <w:color w:val="auto"/>
                <w:sz w:val="24"/>
                <w:szCs w:val="24"/>
              </w:rPr>
            </w:pPr>
            <w:r>
              <w:rPr>
                <w:rFonts w:hint="eastAsia" w:ascii="宋体" w:hAnsi="宋体" w:eastAsia="宋体" w:cs="宋体"/>
                <w:color w:val="auto"/>
                <w:sz w:val="24"/>
                <w:szCs w:val="24"/>
              </w:rPr>
              <w:t>经备案的答疑纪要、招标文件的补充和修改文件（如有）。</w:t>
            </w:r>
          </w:p>
        </w:tc>
      </w:tr>
      <w:tr>
        <w:tblPrEx>
          <w:tblLayout w:type="fixed"/>
          <w:tblCellMar>
            <w:top w:w="0" w:type="dxa"/>
            <w:left w:w="108" w:type="dxa"/>
            <w:bottom w:w="0" w:type="dxa"/>
            <w:right w:w="108" w:type="dxa"/>
          </w:tblCellMar>
        </w:tblPrEx>
        <w:trPr>
          <w:trHeight w:val="72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2.2</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招标文件的获取</w:t>
            </w:r>
          </w:p>
        </w:tc>
        <w:tc>
          <w:tcPr>
            <w:tcW w:w="685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rFonts w:ascii="宋体" w:hAnsi="宋体" w:eastAsia="宋体" w:cs="宋体"/>
                <w:color w:val="auto"/>
                <w:sz w:val="24"/>
                <w:szCs w:val="24"/>
              </w:rPr>
            </w:pPr>
            <w:r>
              <w:rPr>
                <w:rFonts w:hint="eastAsia" w:ascii="宋体" w:hAnsi="宋体" w:eastAsia="宋体" w:cs="宋体"/>
                <w:color w:val="auto"/>
                <w:sz w:val="24"/>
                <w:szCs w:val="24"/>
              </w:rPr>
              <w:t>1、招标文件获取方式：报名截止日前均可在全国公共资源交易平台（河南省·许昌市）自行下载。</w:t>
            </w:r>
          </w:p>
          <w:p>
            <w:pPr>
              <w:spacing w:line="360" w:lineRule="exact"/>
              <w:ind w:firstLine="0" w:firstLineChars="0"/>
              <w:rPr>
                <w:rFonts w:ascii="宋体" w:hAnsi="宋体" w:eastAsia="宋体" w:cs="宋体"/>
                <w:color w:val="auto"/>
                <w:sz w:val="24"/>
                <w:szCs w:val="24"/>
              </w:rPr>
            </w:pPr>
            <w:r>
              <w:rPr>
                <w:rFonts w:hint="eastAsia" w:ascii="宋体" w:hAnsi="宋体" w:eastAsia="宋体" w:cs="宋体"/>
                <w:color w:val="auto"/>
                <w:sz w:val="24"/>
                <w:szCs w:val="24"/>
              </w:rPr>
              <w:t>2、售  价：300元/套，由投标人在递交投标文件时现场缴纳。</w:t>
            </w:r>
          </w:p>
        </w:tc>
      </w:tr>
      <w:tr>
        <w:tblPrEx>
          <w:tblLayout w:type="fixed"/>
          <w:tblCellMar>
            <w:top w:w="0" w:type="dxa"/>
            <w:left w:w="108" w:type="dxa"/>
            <w:bottom w:w="0" w:type="dxa"/>
            <w:right w:w="108" w:type="dxa"/>
          </w:tblCellMar>
        </w:tblPrEx>
        <w:trPr>
          <w:trHeight w:val="770"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2.2.1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投标人要求澄清</w:t>
            </w:r>
          </w:p>
          <w:p>
            <w:pPr>
              <w:spacing w:line="36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招标文件</w:t>
            </w:r>
          </w:p>
        </w:tc>
        <w:tc>
          <w:tcPr>
            <w:tcW w:w="685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rFonts w:ascii="宋体" w:hAnsi="宋体" w:eastAsia="宋体" w:cs="宋体"/>
                <w:color w:val="auto"/>
                <w:sz w:val="24"/>
                <w:szCs w:val="24"/>
              </w:rPr>
            </w:pPr>
            <w:r>
              <w:rPr>
                <w:rFonts w:hint="eastAsia" w:ascii="宋体" w:hAnsi="宋体" w:eastAsia="宋体" w:cs="宋体"/>
                <w:color w:val="auto"/>
                <w:sz w:val="24"/>
                <w:szCs w:val="24"/>
              </w:rPr>
              <w:t>时间：投标截止时间10日前</w:t>
            </w:r>
          </w:p>
          <w:p>
            <w:pPr>
              <w:spacing w:line="360" w:lineRule="exact"/>
              <w:ind w:firstLine="0" w:firstLineChars="0"/>
              <w:rPr>
                <w:rFonts w:ascii="宋体" w:hAnsi="宋体" w:eastAsia="宋体" w:cs="宋体"/>
                <w:color w:val="auto"/>
                <w:sz w:val="24"/>
                <w:szCs w:val="24"/>
              </w:rPr>
            </w:pPr>
            <w:r>
              <w:rPr>
                <w:rFonts w:hint="eastAsia" w:ascii="宋体" w:hAnsi="宋体" w:eastAsia="宋体" w:cs="宋体"/>
                <w:color w:val="auto"/>
                <w:sz w:val="24"/>
                <w:szCs w:val="24"/>
              </w:rPr>
              <w:t>形式：将疑问通过全国公共资源交易平台（河南省·许昌市）（http://www.xcggzy.gov.cn/）提交。</w:t>
            </w:r>
          </w:p>
        </w:tc>
      </w:tr>
      <w:tr>
        <w:tblPrEx>
          <w:tblLayout w:type="fixed"/>
          <w:tblCellMar>
            <w:top w:w="0" w:type="dxa"/>
            <w:left w:w="108" w:type="dxa"/>
            <w:bottom w:w="0" w:type="dxa"/>
            <w:right w:w="108" w:type="dxa"/>
          </w:tblCellMar>
        </w:tblPrEx>
        <w:trPr>
          <w:trHeight w:val="672"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2.2.2</w:t>
            </w:r>
          </w:p>
        </w:tc>
        <w:tc>
          <w:tcPr>
            <w:tcW w:w="2250" w:type="dxa"/>
            <w:gridSpan w:val="2"/>
            <w:tcBorders>
              <w:top w:val="single" w:color="auto" w:sz="4" w:space="0"/>
              <w:left w:val="single" w:color="auto" w:sz="4" w:space="0"/>
              <w:bottom w:val="single" w:color="auto" w:sz="4" w:space="0"/>
              <w:right w:val="single" w:color="auto" w:sz="4" w:space="0"/>
            </w:tcBorders>
          </w:tcPr>
          <w:p>
            <w:pPr>
              <w:spacing w:line="36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招标文件澄清</w:t>
            </w:r>
          </w:p>
          <w:p>
            <w:pPr>
              <w:spacing w:line="36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发出的形式</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color w:val="auto"/>
                <w:sz w:val="24"/>
              </w:rPr>
              <w:t>递交投标文件截止之日15日</w:t>
            </w:r>
            <w:r>
              <w:rPr>
                <w:color w:val="auto"/>
                <w:sz w:val="24"/>
              </w:rPr>
              <w:t>前</w:t>
            </w:r>
            <w:r>
              <w:rPr>
                <w:rFonts w:hint="eastAsia"/>
                <w:color w:val="auto"/>
                <w:sz w:val="24"/>
              </w:rPr>
              <w:t>通过公共资源交易系统电子平台发出</w:t>
            </w:r>
          </w:p>
        </w:tc>
      </w:tr>
      <w:tr>
        <w:tblPrEx>
          <w:tblLayout w:type="fixed"/>
          <w:tblCellMar>
            <w:top w:w="0" w:type="dxa"/>
            <w:left w:w="108" w:type="dxa"/>
            <w:bottom w:w="0" w:type="dxa"/>
            <w:right w:w="108" w:type="dxa"/>
          </w:tblCellMar>
        </w:tblPrEx>
        <w:trPr>
          <w:trHeight w:val="75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2.2.3</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投标人确认收到</w:t>
            </w:r>
          </w:p>
          <w:p>
            <w:pPr>
              <w:spacing w:line="36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招标文件澄清</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w:t>
            </w:r>
          </w:p>
        </w:tc>
      </w:tr>
      <w:tr>
        <w:tblPrEx>
          <w:tblLayout w:type="fixed"/>
          <w:tblCellMar>
            <w:top w:w="0" w:type="dxa"/>
            <w:left w:w="108" w:type="dxa"/>
            <w:bottom w:w="0" w:type="dxa"/>
            <w:right w:w="108" w:type="dxa"/>
          </w:tblCellMar>
        </w:tblPrEx>
        <w:trPr>
          <w:trHeight w:val="78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2.3.1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招标文件修改</w:t>
            </w:r>
          </w:p>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发出的形式</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color w:val="auto"/>
                <w:sz w:val="24"/>
                <w:szCs w:val="24"/>
              </w:rPr>
            </w:pPr>
            <w:r>
              <w:rPr>
                <w:rFonts w:hint="eastAsia" w:ascii="宋体" w:hAnsi="宋体" w:eastAsia="宋体" w:cs="宋体"/>
                <w:color w:val="auto"/>
                <w:sz w:val="24"/>
                <w:szCs w:val="24"/>
              </w:rPr>
              <w:t>发布在《全国公共资源交易平台（河南省·许昌市）》网站。</w:t>
            </w:r>
          </w:p>
        </w:tc>
      </w:tr>
      <w:tr>
        <w:tblPrEx>
          <w:tblLayout w:type="fixed"/>
          <w:tblCellMar>
            <w:top w:w="0" w:type="dxa"/>
            <w:left w:w="108" w:type="dxa"/>
            <w:bottom w:w="0" w:type="dxa"/>
            <w:right w:w="108" w:type="dxa"/>
          </w:tblCellMar>
        </w:tblPrEx>
        <w:trPr>
          <w:trHeight w:val="78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2.3.2</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投标人确认收到</w:t>
            </w:r>
          </w:p>
          <w:p>
            <w:pPr>
              <w:spacing w:line="36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招标文件修改</w:t>
            </w:r>
          </w:p>
        </w:tc>
        <w:tc>
          <w:tcPr>
            <w:tcW w:w="685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w:t>
            </w:r>
          </w:p>
        </w:tc>
      </w:tr>
      <w:tr>
        <w:tblPrEx>
          <w:tblLayout w:type="fixed"/>
          <w:tblCellMar>
            <w:top w:w="0" w:type="dxa"/>
            <w:left w:w="108" w:type="dxa"/>
            <w:bottom w:w="0" w:type="dxa"/>
            <w:right w:w="108" w:type="dxa"/>
          </w:tblCellMar>
        </w:tblPrEx>
        <w:trPr>
          <w:trHeight w:val="728"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3.1.1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构成投标文件</w:t>
            </w:r>
          </w:p>
          <w:p>
            <w:pPr>
              <w:spacing w:line="36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的其他材料</w:t>
            </w:r>
          </w:p>
        </w:tc>
        <w:tc>
          <w:tcPr>
            <w:tcW w:w="685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详见招标文件</w:t>
            </w:r>
          </w:p>
        </w:tc>
      </w:tr>
      <w:tr>
        <w:tblPrEx>
          <w:tblLayout w:type="fixed"/>
          <w:tblCellMar>
            <w:top w:w="0" w:type="dxa"/>
            <w:left w:w="108" w:type="dxa"/>
            <w:bottom w:w="0" w:type="dxa"/>
            <w:right w:w="108" w:type="dxa"/>
          </w:tblCellMar>
        </w:tblPrEx>
        <w:trPr>
          <w:trHeight w:val="58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3.2.3</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最高投标限价</w:t>
            </w:r>
          </w:p>
        </w:tc>
        <w:tc>
          <w:tcPr>
            <w:tcW w:w="685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有，最高投标限价：不得高于“招标控制价”。</w:t>
            </w:r>
          </w:p>
        </w:tc>
      </w:tr>
      <w:tr>
        <w:tblPrEx>
          <w:tblLayout w:type="fixed"/>
          <w:tblCellMar>
            <w:top w:w="0" w:type="dxa"/>
            <w:left w:w="108" w:type="dxa"/>
            <w:bottom w:w="0" w:type="dxa"/>
            <w:right w:w="108" w:type="dxa"/>
          </w:tblCellMar>
        </w:tblPrEx>
        <w:trPr>
          <w:trHeight w:val="620"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3.2.4</w:t>
            </w:r>
          </w:p>
        </w:tc>
        <w:tc>
          <w:tcPr>
            <w:tcW w:w="2250" w:type="dxa"/>
            <w:gridSpan w:val="2"/>
            <w:tcBorders>
              <w:top w:val="single" w:color="auto" w:sz="4" w:space="0"/>
              <w:left w:val="single" w:color="auto" w:sz="4" w:space="0"/>
              <w:bottom w:val="single" w:color="auto" w:sz="4" w:space="0"/>
              <w:right w:val="single" w:color="auto" w:sz="4" w:space="0"/>
            </w:tcBorders>
          </w:tcPr>
          <w:p>
            <w:pPr>
              <w:spacing w:line="36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投标报价的</w:t>
            </w:r>
          </w:p>
          <w:p>
            <w:pPr>
              <w:spacing w:line="36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其他要求</w:t>
            </w:r>
          </w:p>
        </w:tc>
        <w:tc>
          <w:tcPr>
            <w:tcW w:w="685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详见招标文件</w:t>
            </w:r>
          </w:p>
        </w:tc>
      </w:tr>
      <w:tr>
        <w:tblPrEx>
          <w:tblLayout w:type="fixed"/>
          <w:tblCellMar>
            <w:top w:w="0" w:type="dxa"/>
            <w:left w:w="108" w:type="dxa"/>
            <w:bottom w:w="0" w:type="dxa"/>
            <w:right w:w="108" w:type="dxa"/>
          </w:tblCellMar>
        </w:tblPrEx>
        <w:trPr>
          <w:trHeight w:val="620"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3.3.1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投标有效期</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投标文件递交截止时间结束后60天内。</w:t>
            </w:r>
          </w:p>
        </w:tc>
      </w:tr>
      <w:tr>
        <w:tblPrEx>
          <w:tblLayout w:type="fixed"/>
          <w:tblCellMar>
            <w:top w:w="0" w:type="dxa"/>
            <w:left w:w="108" w:type="dxa"/>
            <w:bottom w:w="0" w:type="dxa"/>
            <w:right w:w="108" w:type="dxa"/>
          </w:tblCellMar>
        </w:tblPrEx>
        <w:trPr>
          <w:trHeight w:val="668"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3.4.1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C00000"/>
                <w:sz w:val="24"/>
                <w:szCs w:val="24"/>
              </w:rPr>
            </w:pPr>
            <w:r>
              <w:rPr>
                <w:rFonts w:hint="eastAsia" w:ascii="宋体" w:hAnsi="宋体" w:eastAsia="宋体" w:cs="宋体"/>
                <w:color w:val="auto"/>
                <w:sz w:val="24"/>
                <w:szCs w:val="24"/>
              </w:rPr>
              <w:t>投标保证金</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jc w:val="both"/>
              <w:rPr>
                <w:rFonts w:ascii="宋体" w:hAnsi="宋体" w:eastAsia="宋体" w:cs="宋体"/>
                <w:b/>
                <w:bCs/>
                <w:color w:val="auto"/>
                <w:sz w:val="24"/>
                <w:szCs w:val="24"/>
              </w:rPr>
            </w:pPr>
            <w:r>
              <w:rPr>
                <w:rFonts w:hint="eastAsia" w:ascii="宋体" w:hAnsi="宋体" w:eastAsia="宋体" w:cs="宋体"/>
                <w:b/>
                <w:bCs/>
                <w:color w:val="auto"/>
                <w:sz w:val="24"/>
                <w:szCs w:val="24"/>
              </w:rPr>
              <w:t>投标保证金：</w:t>
            </w:r>
          </w:p>
          <w:p>
            <w:pPr>
              <w:spacing w:line="400" w:lineRule="exact"/>
              <w:ind w:firstLine="480"/>
              <w:jc w:val="both"/>
              <w:rPr>
                <w:rFonts w:ascii="宋体" w:hAnsi="宋体" w:eastAsia="宋体" w:cs="宋体"/>
                <w:b/>
                <w:bCs/>
                <w:color w:val="auto"/>
                <w:sz w:val="24"/>
                <w:szCs w:val="24"/>
              </w:rPr>
            </w:pPr>
            <w:r>
              <w:rPr>
                <w:rFonts w:hint="eastAsia" w:ascii="宋体" w:hAnsi="宋体" w:eastAsia="宋体" w:cs="宋体"/>
                <w:b/>
                <w:bCs/>
                <w:color w:val="auto"/>
                <w:sz w:val="24"/>
                <w:szCs w:val="24"/>
              </w:rPr>
              <w:t>投标保证金递交截止时间：同投标截止时间。</w:t>
            </w:r>
          </w:p>
          <w:p>
            <w:pPr>
              <w:spacing w:line="400" w:lineRule="exact"/>
              <w:ind w:firstLine="480"/>
              <w:jc w:val="both"/>
              <w:rPr>
                <w:rFonts w:ascii="宋体" w:hAnsi="宋体" w:eastAsia="宋体" w:cs="宋体"/>
                <w:b/>
                <w:bCs/>
                <w:color w:val="auto"/>
                <w:sz w:val="24"/>
                <w:szCs w:val="24"/>
              </w:rPr>
            </w:pPr>
            <w:r>
              <w:rPr>
                <w:rFonts w:hint="eastAsia" w:ascii="宋体" w:hAnsi="宋体" w:eastAsia="宋体" w:cs="宋体"/>
                <w:b/>
                <w:bCs/>
                <w:color w:val="auto"/>
                <w:sz w:val="24"/>
                <w:szCs w:val="24"/>
              </w:rPr>
              <w:t>金额：</w:t>
            </w:r>
            <w:r>
              <w:rPr>
                <w:rFonts w:hint="eastAsia" w:ascii="宋体" w:hAnsi="宋体" w:cs="宋体"/>
                <w:b/>
                <w:bCs/>
                <w:color w:val="auto"/>
                <w:sz w:val="24"/>
                <w:szCs w:val="24"/>
                <w:lang w:eastAsia="zh-CN"/>
              </w:rPr>
              <w:t>壹万叁仟圆整</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13000</w:t>
            </w:r>
            <w:r>
              <w:rPr>
                <w:rFonts w:hint="eastAsia" w:ascii="宋体" w:hAnsi="宋体" w:eastAsia="宋体" w:cs="宋体"/>
                <w:b/>
                <w:bCs/>
                <w:color w:val="auto"/>
                <w:sz w:val="24"/>
                <w:szCs w:val="24"/>
              </w:rPr>
              <w:t>.00元）</w:t>
            </w:r>
          </w:p>
          <w:p>
            <w:pPr>
              <w:spacing w:line="400" w:lineRule="exact"/>
              <w:ind w:firstLine="480"/>
              <w:jc w:val="both"/>
              <w:rPr>
                <w:rFonts w:ascii="宋体" w:hAnsi="宋体" w:eastAsia="宋体" w:cs="宋体"/>
                <w:color w:val="auto"/>
                <w:sz w:val="24"/>
                <w:szCs w:val="24"/>
              </w:rPr>
            </w:pPr>
            <w:r>
              <w:rPr>
                <w:rFonts w:hint="eastAsia" w:ascii="宋体" w:hAnsi="宋体" w:eastAsia="宋体" w:cs="宋体"/>
                <w:color w:val="auto"/>
                <w:sz w:val="24"/>
                <w:szCs w:val="24"/>
              </w:rPr>
              <w:t>1、投标保证金的递交方式：银行转帐、银行电汇（均需从投标人的基本账户汇出），不接受以现金方式缴纳的投标保证金。凡以现金方式缴纳投标保证金而影响其投标结果的，由投标人自行负责。 </w:t>
            </w:r>
          </w:p>
          <w:p>
            <w:pPr>
              <w:spacing w:line="400" w:lineRule="exact"/>
              <w:ind w:firstLine="480"/>
              <w:jc w:val="both"/>
              <w:rPr>
                <w:rFonts w:ascii="宋体" w:hAnsi="宋体" w:eastAsia="宋体" w:cs="宋体"/>
                <w:color w:val="auto"/>
                <w:sz w:val="24"/>
                <w:szCs w:val="24"/>
              </w:rPr>
            </w:pPr>
            <w:r>
              <w:rPr>
                <w:rFonts w:hint="eastAsia" w:ascii="宋体" w:hAnsi="宋体" w:eastAsia="宋体" w:cs="宋体"/>
                <w:color w:val="auto"/>
                <w:sz w:val="24"/>
                <w:szCs w:val="24"/>
              </w:rPr>
              <w:t>2、使用银行转帐形式的，于截止时间前通过投标人基本账户将款项一次足额递交、成功绑定，以收款人到账时间为准，在途资金无效，视为未按时交纳。同时投标人应承担节假日银行系统不能支付的风险。</w:t>
            </w:r>
          </w:p>
          <w:p>
            <w:pPr>
              <w:spacing w:line="400" w:lineRule="exact"/>
              <w:ind w:firstLine="480"/>
              <w:jc w:val="both"/>
              <w:rPr>
                <w:rFonts w:ascii="宋体" w:hAnsi="宋体" w:eastAsia="宋体" w:cs="宋体"/>
                <w:color w:val="auto"/>
                <w:sz w:val="24"/>
                <w:szCs w:val="24"/>
              </w:rPr>
            </w:pPr>
            <w:r>
              <w:rPr>
                <w:rFonts w:hint="eastAsia" w:ascii="宋体" w:hAnsi="宋体" w:eastAsia="宋体" w:cs="宋体"/>
                <w:color w:val="auto"/>
                <w:sz w:val="24"/>
                <w:szCs w:val="24"/>
              </w:rPr>
              <w:t>3、投标保证金缴纳方式：</w:t>
            </w:r>
          </w:p>
          <w:p>
            <w:pPr>
              <w:spacing w:line="400" w:lineRule="exact"/>
              <w:ind w:firstLine="480"/>
              <w:jc w:val="both"/>
              <w:rPr>
                <w:rFonts w:ascii="宋体" w:hAnsi="宋体" w:eastAsia="宋体" w:cs="宋体"/>
                <w:color w:val="auto"/>
                <w:sz w:val="24"/>
                <w:szCs w:val="24"/>
              </w:rPr>
            </w:pPr>
            <w:r>
              <w:rPr>
                <w:rFonts w:hint="eastAsia" w:ascii="宋体" w:hAnsi="宋体" w:eastAsia="宋体" w:cs="宋体"/>
                <w:color w:val="auto"/>
                <w:sz w:val="24"/>
                <w:szCs w:val="24"/>
              </w:rPr>
              <w:t>3.1投标人网上报名后，登录http://221.14.6.70:8088/ggzy </w:t>
            </w:r>
          </w:p>
          <w:p>
            <w:pPr>
              <w:spacing w:line="400" w:lineRule="exact"/>
              <w:ind w:firstLine="480"/>
              <w:jc w:val="both"/>
              <w:rPr>
                <w:rFonts w:ascii="宋体" w:hAnsi="宋体" w:eastAsia="宋体" w:cs="宋体"/>
                <w:color w:val="auto"/>
                <w:sz w:val="24"/>
                <w:szCs w:val="24"/>
              </w:rPr>
            </w:pPr>
            <w:r>
              <w:rPr>
                <w:rFonts w:hint="eastAsia" w:ascii="宋体" w:hAnsi="宋体" w:eastAsia="宋体" w:cs="宋体"/>
                <w:color w:val="auto"/>
                <w:sz w:val="24"/>
                <w:szCs w:val="24"/>
              </w:rPr>
              <w:t>系统，依次点击“会员向导”→“参与投标”→“费用缴纳说明”→“保证金缴纳说明单”，获取缴费说明单，根据每个标段的缴纳说明单在缴纳截止时间前缴纳；</w:t>
            </w:r>
          </w:p>
          <w:p>
            <w:pPr>
              <w:spacing w:line="400" w:lineRule="exact"/>
              <w:ind w:firstLine="480"/>
              <w:jc w:val="both"/>
              <w:rPr>
                <w:rFonts w:ascii="宋体" w:hAnsi="宋体" w:eastAsia="宋体" w:cs="宋体"/>
                <w:color w:val="auto"/>
                <w:sz w:val="24"/>
                <w:szCs w:val="24"/>
              </w:rPr>
            </w:pPr>
            <w:r>
              <w:rPr>
                <w:rFonts w:hint="eastAsia" w:ascii="宋体" w:hAnsi="宋体" w:eastAsia="宋体" w:cs="宋体"/>
                <w:color w:val="auto"/>
                <w:sz w:val="24"/>
                <w:szCs w:val="24"/>
              </w:rPr>
              <w:t>3.2成功缴纳后重新登录前述系统，依次点击“会员向导”→“参与投标”→“保证金绑定”→“绑定”进行投标保证金绑定。</w:t>
            </w:r>
          </w:p>
          <w:p>
            <w:pPr>
              <w:spacing w:line="400" w:lineRule="exact"/>
              <w:ind w:firstLine="480"/>
              <w:jc w:val="both"/>
              <w:rPr>
                <w:rFonts w:ascii="宋体" w:hAnsi="宋体" w:eastAsia="宋体" w:cs="宋体"/>
                <w:color w:val="auto"/>
                <w:sz w:val="24"/>
                <w:szCs w:val="24"/>
              </w:rPr>
            </w:pPr>
            <w:r>
              <w:rPr>
                <w:rFonts w:hint="eastAsia" w:ascii="宋体" w:hAnsi="宋体" w:eastAsia="宋体" w:cs="宋体"/>
                <w:color w:val="auto"/>
                <w:sz w:val="24"/>
                <w:szCs w:val="24"/>
              </w:rPr>
              <w:t>3.3 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spacing w:line="400" w:lineRule="exact"/>
              <w:ind w:firstLine="480"/>
              <w:jc w:val="both"/>
              <w:rPr>
                <w:rFonts w:ascii="宋体" w:hAnsi="宋体" w:eastAsia="宋体" w:cs="宋体"/>
                <w:color w:val="auto"/>
                <w:sz w:val="24"/>
                <w:szCs w:val="24"/>
              </w:rPr>
            </w:pPr>
            <w:r>
              <w:rPr>
                <w:rFonts w:hint="eastAsia" w:ascii="宋体" w:hAnsi="宋体" w:eastAsia="宋体" w:cs="宋体"/>
                <w:color w:val="auto"/>
                <w:sz w:val="24"/>
                <w:szCs w:val="24"/>
              </w:rPr>
              <w:t>3.4 每个投标人每个项目每个标段只有唯一缴纳账号，切勿重复缴纳或错误缴纳。(由于每个项目每个标段每个投标人系统会生成唯一的 缴纳账号，请投标企业严格按照“保证金缴纳说明单”进行交纳)。</w:t>
            </w:r>
          </w:p>
          <w:p>
            <w:pPr>
              <w:spacing w:line="400" w:lineRule="exact"/>
              <w:ind w:firstLine="480"/>
              <w:jc w:val="both"/>
              <w:rPr>
                <w:rFonts w:ascii="宋体" w:hAnsi="宋体" w:eastAsia="宋体" w:cs="宋体"/>
                <w:color w:val="auto"/>
                <w:sz w:val="24"/>
                <w:szCs w:val="24"/>
              </w:rPr>
            </w:pPr>
            <w:r>
              <w:rPr>
                <w:rFonts w:hint="eastAsia" w:ascii="宋体" w:hAnsi="宋体" w:eastAsia="宋体" w:cs="宋体"/>
                <w:color w:val="auto"/>
                <w:sz w:val="24"/>
                <w:szCs w:val="24"/>
              </w:rPr>
              <w:t>4、未按上述规定操作引起的无效投标，由投标人自行负责。</w:t>
            </w:r>
          </w:p>
          <w:p>
            <w:pPr>
              <w:spacing w:line="400" w:lineRule="exact"/>
              <w:ind w:firstLine="480"/>
              <w:jc w:val="both"/>
              <w:rPr>
                <w:rFonts w:ascii="宋体" w:hAnsi="宋体" w:eastAsia="宋体" w:cs="宋体"/>
                <w:color w:val="auto"/>
                <w:sz w:val="24"/>
                <w:szCs w:val="24"/>
              </w:rPr>
            </w:pPr>
            <w:r>
              <w:rPr>
                <w:rFonts w:hint="eastAsia" w:ascii="宋体" w:hAnsi="宋体" w:eastAsia="宋体" w:cs="宋体"/>
                <w:color w:val="auto"/>
                <w:sz w:val="24"/>
                <w:szCs w:val="24"/>
              </w:rPr>
              <w:t>5、汇款凭证无须备注项目编号和项目名称。</w:t>
            </w:r>
          </w:p>
          <w:p>
            <w:pPr>
              <w:spacing w:line="400" w:lineRule="exact"/>
              <w:ind w:firstLine="480"/>
              <w:jc w:val="both"/>
              <w:rPr>
                <w:rFonts w:ascii="宋体" w:hAnsi="宋体" w:eastAsia="宋体" w:cs="宋体"/>
                <w:color w:val="auto"/>
                <w:sz w:val="24"/>
                <w:szCs w:val="24"/>
              </w:rPr>
            </w:pPr>
            <w:r>
              <w:rPr>
                <w:rFonts w:hint="eastAsia" w:ascii="宋体" w:hAnsi="宋体" w:eastAsia="宋体" w:cs="宋体"/>
                <w:color w:val="auto"/>
                <w:sz w:val="24"/>
                <w:szCs w:val="24"/>
              </w:rPr>
              <w:t>6、出现以下情形造成的投标保证金无效，由投标人自行负责。</w:t>
            </w:r>
          </w:p>
          <w:p>
            <w:pPr>
              <w:spacing w:line="400" w:lineRule="exact"/>
              <w:ind w:firstLine="480"/>
              <w:jc w:val="both"/>
              <w:rPr>
                <w:rFonts w:ascii="宋体" w:hAnsi="宋体" w:eastAsia="宋体" w:cs="宋体"/>
                <w:color w:val="auto"/>
                <w:sz w:val="24"/>
                <w:szCs w:val="24"/>
              </w:rPr>
            </w:pPr>
            <w:r>
              <w:rPr>
                <w:rFonts w:hint="eastAsia" w:ascii="宋体" w:hAnsi="宋体" w:eastAsia="宋体" w:cs="宋体"/>
                <w:color w:val="auto"/>
                <w:sz w:val="24"/>
                <w:szCs w:val="24"/>
              </w:rPr>
              <w:t>(1)投标保证金未从投标人的基本账户转出；</w:t>
            </w:r>
          </w:p>
          <w:p>
            <w:pPr>
              <w:spacing w:line="400" w:lineRule="exact"/>
              <w:ind w:firstLine="480"/>
              <w:jc w:val="both"/>
              <w:rPr>
                <w:rFonts w:ascii="宋体" w:hAnsi="宋体" w:eastAsia="宋体" w:cs="宋体"/>
                <w:color w:val="auto"/>
                <w:sz w:val="24"/>
                <w:szCs w:val="24"/>
              </w:rPr>
            </w:pPr>
            <w:r>
              <w:rPr>
                <w:rFonts w:hint="eastAsia" w:ascii="宋体" w:hAnsi="宋体" w:eastAsia="宋体" w:cs="宋体"/>
                <w:color w:val="auto"/>
                <w:sz w:val="24"/>
                <w:szCs w:val="24"/>
              </w:rPr>
              <w:t>(2)投标保证金未按照招标文件划分的标段依次转账。</w:t>
            </w:r>
          </w:p>
          <w:p>
            <w:pPr>
              <w:spacing w:line="400" w:lineRule="exact"/>
              <w:ind w:firstLine="480"/>
              <w:jc w:val="both"/>
              <w:rPr>
                <w:rFonts w:ascii="宋体" w:hAnsi="宋体" w:eastAsia="宋体" w:cs="宋体"/>
                <w:color w:val="auto"/>
                <w:sz w:val="24"/>
                <w:szCs w:val="24"/>
              </w:rPr>
            </w:pPr>
            <w:r>
              <w:rPr>
                <w:rFonts w:hint="eastAsia" w:ascii="宋体" w:hAnsi="宋体" w:eastAsia="宋体" w:cs="宋体"/>
                <w:color w:val="auto"/>
                <w:sz w:val="24"/>
                <w:szCs w:val="24"/>
              </w:rPr>
              <w:t>7、《保证金缴纳绑定操作指南》获取方法：</w:t>
            </w:r>
          </w:p>
          <w:p>
            <w:pPr>
              <w:spacing w:line="400" w:lineRule="exact"/>
              <w:ind w:firstLine="480"/>
              <w:jc w:val="both"/>
              <w:rPr>
                <w:rFonts w:ascii="宋体" w:hAnsi="宋体" w:eastAsia="宋体" w:cs="宋体"/>
                <w:color w:val="auto"/>
                <w:sz w:val="24"/>
                <w:szCs w:val="24"/>
              </w:rPr>
            </w:pPr>
            <w:r>
              <w:rPr>
                <w:rFonts w:hint="eastAsia" w:ascii="宋体" w:hAnsi="宋体" w:eastAsia="宋体" w:cs="宋体"/>
                <w:color w:val="auto"/>
                <w:sz w:val="24"/>
                <w:szCs w:val="24"/>
              </w:rPr>
              <w:t>登录许昌公共资源交易系统-组件下载-《保证金缴纳绑定操作指南》</w:t>
            </w:r>
          </w:p>
          <w:p>
            <w:pPr>
              <w:spacing w:line="400" w:lineRule="exact"/>
              <w:ind w:firstLine="480"/>
              <w:jc w:val="both"/>
              <w:rPr>
                <w:rFonts w:ascii="宋体" w:hAnsi="宋体" w:eastAsia="宋体" w:cs="宋体"/>
                <w:color w:val="auto"/>
                <w:sz w:val="24"/>
                <w:szCs w:val="24"/>
              </w:rPr>
            </w:pPr>
            <w:r>
              <w:rPr>
                <w:rFonts w:hint="eastAsia" w:ascii="宋体" w:hAnsi="宋体" w:eastAsia="宋体" w:cs="宋体"/>
                <w:color w:val="auto"/>
                <w:sz w:val="24"/>
                <w:szCs w:val="24"/>
              </w:rPr>
              <w:t>自2017年10月16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spacing w:line="400" w:lineRule="exact"/>
              <w:ind w:firstLine="480"/>
              <w:jc w:val="both"/>
              <w:rPr>
                <w:rFonts w:ascii="宋体" w:hAnsi="宋体" w:eastAsia="宋体" w:cs="宋体"/>
                <w:color w:val="auto"/>
                <w:sz w:val="24"/>
                <w:szCs w:val="24"/>
              </w:rPr>
            </w:pPr>
            <w:r>
              <w:rPr>
                <w:rFonts w:hint="eastAsia" w:ascii="宋体" w:hAnsi="宋体" w:eastAsia="宋体" w:cs="宋体"/>
                <w:color w:val="auto"/>
                <w:sz w:val="24"/>
                <w:szCs w:val="24"/>
              </w:rPr>
              <w:t>9、投标保证金的退还：</w:t>
            </w:r>
          </w:p>
          <w:p>
            <w:pPr>
              <w:spacing w:line="400" w:lineRule="exact"/>
              <w:ind w:firstLine="480"/>
              <w:jc w:val="both"/>
              <w:rPr>
                <w:rFonts w:ascii="宋体" w:hAnsi="宋体" w:eastAsia="宋体" w:cs="宋体"/>
                <w:color w:val="auto"/>
                <w:sz w:val="24"/>
                <w:szCs w:val="24"/>
              </w:rPr>
            </w:pPr>
            <w:r>
              <w:rPr>
                <w:rFonts w:hint="eastAsia" w:ascii="宋体" w:hAnsi="宋体" w:eastAsia="宋体" w:cs="宋体"/>
                <w:color w:val="auto"/>
                <w:sz w:val="24"/>
                <w:szCs w:val="24"/>
              </w:rPr>
              <w:t>（1）在书面合同签订5日内（向业务四部提交合同原件备案，联系电话：0374—7363617）向中标人和其他中未标人退还投标保证金及银行同期活期存款利息；法定期限内未签订书面合同的，按照有关规定退还其投标保证金。及银行同期活期存款利息。</w:t>
            </w:r>
          </w:p>
          <w:p>
            <w:pPr>
              <w:spacing w:line="400" w:lineRule="exact"/>
              <w:ind w:firstLine="480"/>
              <w:jc w:val="both"/>
              <w:rPr>
                <w:rFonts w:ascii="宋体" w:hAnsi="宋体" w:eastAsia="宋体" w:cs="宋体"/>
                <w:color w:val="auto"/>
                <w:sz w:val="24"/>
                <w:szCs w:val="24"/>
              </w:rPr>
            </w:pPr>
            <w:r>
              <w:rPr>
                <w:rFonts w:hint="eastAsia" w:ascii="宋体" w:hAnsi="宋体" w:eastAsia="宋体" w:cs="宋体"/>
                <w:color w:val="auto"/>
                <w:sz w:val="24"/>
                <w:szCs w:val="24"/>
              </w:rPr>
              <w:t>（2）项目废标或招标人终止招标的，在此后5个工作日内退还投标保证金及银行同期活期存利息。</w:t>
            </w:r>
          </w:p>
          <w:p>
            <w:pPr>
              <w:spacing w:line="400" w:lineRule="exact"/>
              <w:ind w:firstLine="480"/>
              <w:jc w:val="both"/>
              <w:rPr>
                <w:rFonts w:ascii="宋体" w:hAnsi="宋体" w:eastAsia="宋体" w:cs="宋体"/>
                <w:color w:val="auto"/>
                <w:sz w:val="24"/>
                <w:szCs w:val="24"/>
              </w:rPr>
            </w:pPr>
            <w:r>
              <w:rPr>
                <w:rFonts w:hint="eastAsia" w:ascii="宋体" w:hAnsi="宋体" w:eastAsia="宋体" w:cs="宋体"/>
                <w:color w:val="auto"/>
                <w:sz w:val="24"/>
                <w:szCs w:val="24"/>
              </w:rPr>
              <w:t>（3）投标活动中出现质疑、投诉的，中标候选人、质疑人和被质疑人、投诉人和被投诉人的投标保证金暂停退还。</w:t>
            </w:r>
          </w:p>
          <w:p>
            <w:pPr>
              <w:spacing w:line="400" w:lineRule="exact"/>
              <w:ind w:firstLine="480"/>
              <w:jc w:val="both"/>
              <w:rPr>
                <w:rFonts w:ascii="宋体" w:hAnsi="宋体" w:eastAsia="宋体" w:cs="宋体"/>
                <w:color w:val="auto"/>
                <w:sz w:val="24"/>
                <w:szCs w:val="24"/>
              </w:rPr>
            </w:pPr>
            <w:r>
              <w:rPr>
                <w:rFonts w:hint="eastAsia" w:ascii="宋体" w:hAnsi="宋体" w:eastAsia="宋体" w:cs="宋体"/>
                <w:color w:val="auto"/>
                <w:sz w:val="24"/>
                <w:szCs w:val="24"/>
              </w:rPr>
              <w:t>（4）相关投标人有违法违规行为的项目，其投标保证金暂不退还，待行政监督部门对相关情况处置后，按照有关规定办理。</w:t>
            </w:r>
          </w:p>
          <w:p>
            <w:pPr>
              <w:spacing w:line="400" w:lineRule="exact"/>
              <w:ind w:firstLine="480"/>
              <w:jc w:val="both"/>
              <w:rPr>
                <w:rFonts w:ascii="宋体" w:hAnsi="宋体" w:eastAsia="宋体" w:cs="宋体"/>
                <w:color w:val="C00000"/>
                <w:sz w:val="24"/>
                <w:szCs w:val="24"/>
              </w:rPr>
            </w:pPr>
            <w:r>
              <w:rPr>
                <w:rFonts w:hint="eastAsia" w:ascii="宋体" w:hAnsi="宋体" w:eastAsia="宋体" w:cs="宋体"/>
                <w:color w:val="auto"/>
                <w:sz w:val="24"/>
                <w:szCs w:val="24"/>
              </w:rPr>
              <w:t>（5）退还投标保证金，除另有规定外，一般以转账方式一次性退还至投标保证金的原提交账户。</w:t>
            </w:r>
          </w:p>
        </w:tc>
      </w:tr>
      <w:tr>
        <w:tblPrEx>
          <w:tblLayout w:type="fixed"/>
          <w:tblCellMar>
            <w:top w:w="0" w:type="dxa"/>
            <w:left w:w="108" w:type="dxa"/>
            <w:bottom w:w="0" w:type="dxa"/>
            <w:right w:w="108" w:type="dxa"/>
          </w:tblCellMar>
        </w:tblPrEx>
        <w:trPr>
          <w:trHeight w:val="75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3.4.4</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其他可以不予退还投标保证金的情形</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jc w:val="both"/>
              <w:rPr>
                <w:rFonts w:ascii="宋体" w:hAnsi="宋体" w:eastAsia="宋体" w:cs="宋体"/>
                <w:color w:val="auto"/>
                <w:sz w:val="24"/>
                <w:szCs w:val="24"/>
              </w:rPr>
            </w:pPr>
            <w:r>
              <w:rPr>
                <w:rFonts w:hint="eastAsia" w:ascii="宋体" w:hAnsi="宋体" w:eastAsia="宋体" w:cs="宋体"/>
                <w:color w:val="auto"/>
                <w:sz w:val="24"/>
                <w:szCs w:val="24"/>
              </w:rPr>
              <w:t>详见招标文件</w:t>
            </w:r>
          </w:p>
        </w:tc>
      </w:tr>
      <w:tr>
        <w:tblPrEx>
          <w:tblLayout w:type="fixed"/>
          <w:tblCellMar>
            <w:top w:w="0" w:type="dxa"/>
            <w:left w:w="108" w:type="dxa"/>
            <w:bottom w:w="0" w:type="dxa"/>
            <w:right w:w="108" w:type="dxa"/>
          </w:tblCellMar>
        </w:tblPrEx>
        <w:trPr>
          <w:trHeight w:val="80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3.5</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资格审查资料</w:t>
            </w:r>
          </w:p>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的特殊要求</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jc w:val="both"/>
              <w:rPr>
                <w:rFonts w:ascii="宋体" w:hAnsi="宋体" w:eastAsia="宋体" w:cs="宋体"/>
                <w:color w:val="auto"/>
                <w:sz w:val="24"/>
                <w:szCs w:val="24"/>
              </w:rPr>
            </w:pPr>
            <w:r>
              <w:rPr>
                <w:rFonts w:hint="eastAsia" w:ascii="宋体" w:hAnsi="宋体" w:eastAsia="宋体" w:cs="宋体"/>
                <w:color w:val="auto"/>
                <w:sz w:val="24"/>
                <w:szCs w:val="24"/>
              </w:rPr>
              <w:t>无</w:t>
            </w:r>
          </w:p>
        </w:tc>
      </w:tr>
      <w:tr>
        <w:tblPrEx>
          <w:tblLayout w:type="fixed"/>
          <w:tblCellMar>
            <w:top w:w="0" w:type="dxa"/>
            <w:left w:w="108" w:type="dxa"/>
            <w:bottom w:w="0" w:type="dxa"/>
            <w:right w:w="108" w:type="dxa"/>
          </w:tblCellMar>
        </w:tblPrEx>
        <w:trPr>
          <w:trHeight w:val="80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3.5.2</w:t>
            </w:r>
          </w:p>
        </w:tc>
        <w:tc>
          <w:tcPr>
            <w:tcW w:w="2250" w:type="dxa"/>
            <w:gridSpan w:val="2"/>
            <w:tcBorders>
              <w:top w:val="single" w:color="auto" w:sz="4" w:space="0"/>
              <w:left w:val="single" w:color="auto" w:sz="4" w:space="0"/>
              <w:bottom w:val="single" w:color="auto" w:sz="4" w:space="0"/>
              <w:right w:val="single" w:color="auto" w:sz="4" w:space="0"/>
            </w:tcBorders>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近年财务状况</w:t>
            </w:r>
          </w:p>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的年份要求</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近年，指201</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年，201</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年，201</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年</w:t>
            </w:r>
          </w:p>
        </w:tc>
      </w:tr>
      <w:tr>
        <w:tblPrEx>
          <w:tblLayout w:type="fixed"/>
          <w:tblCellMar>
            <w:top w:w="0" w:type="dxa"/>
            <w:left w:w="108" w:type="dxa"/>
            <w:bottom w:w="0" w:type="dxa"/>
            <w:right w:w="108" w:type="dxa"/>
          </w:tblCellMar>
        </w:tblPrEx>
        <w:trPr>
          <w:trHeight w:val="80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3.5.3</w:t>
            </w:r>
          </w:p>
        </w:tc>
        <w:tc>
          <w:tcPr>
            <w:tcW w:w="2250" w:type="dxa"/>
            <w:gridSpan w:val="2"/>
            <w:tcBorders>
              <w:top w:val="single" w:color="auto" w:sz="4" w:space="0"/>
              <w:left w:val="single" w:color="auto" w:sz="4" w:space="0"/>
              <w:bottom w:val="single" w:color="auto" w:sz="4" w:space="0"/>
              <w:right w:val="single" w:color="auto" w:sz="4" w:space="0"/>
            </w:tcBorders>
          </w:tcPr>
          <w:p>
            <w:pPr>
              <w:spacing w:line="400" w:lineRule="exact"/>
              <w:ind w:firstLine="0" w:firstLineChars="0"/>
              <w:jc w:val="both"/>
              <w:rPr>
                <w:rFonts w:ascii="宋体" w:hAnsi="宋体" w:eastAsia="宋体" w:cs="宋体"/>
                <w:color w:val="auto"/>
                <w:sz w:val="24"/>
                <w:szCs w:val="24"/>
              </w:rPr>
            </w:pPr>
            <w:r>
              <w:rPr>
                <w:rFonts w:hint="eastAsia" w:ascii="宋体" w:hAnsi="宋体" w:eastAsia="宋体" w:cs="宋体"/>
                <w:color w:val="auto"/>
                <w:sz w:val="24"/>
                <w:szCs w:val="24"/>
              </w:rPr>
              <w:t>近年完成的类似项目情况的时间要求</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201</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年1月1日至201</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年1月1日</w:t>
            </w:r>
          </w:p>
        </w:tc>
      </w:tr>
      <w:tr>
        <w:tblPrEx>
          <w:tblLayout w:type="fixed"/>
          <w:tblCellMar>
            <w:top w:w="0" w:type="dxa"/>
            <w:left w:w="108" w:type="dxa"/>
            <w:bottom w:w="0" w:type="dxa"/>
            <w:right w:w="108" w:type="dxa"/>
          </w:tblCellMar>
        </w:tblPrEx>
        <w:trPr>
          <w:trHeight w:val="80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3.5.4</w:t>
            </w:r>
          </w:p>
        </w:tc>
        <w:tc>
          <w:tcPr>
            <w:tcW w:w="2250" w:type="dxa"/>
            <w:gridSpan w:val="2"/>
            <w:tcBorders>
              <w:top w:val="single" w:color="auto" w:sz="4" w:space="0"/>
              <w:left w:val="single" w:color="auto" w:sz="4" w:space="0"/>
              <w:bottom w:val="single" w:color="auto" w:sz="4" w:space="0"/>
              <w:right w:val="single" w:color="auto" w:sz="4" w:space="0"/>
            </w:tcBorders>
          </w:tcPr>
          <w:p>
            <w:pPr>
              <w:spacing w:line="400" w:lineRule="exact"/>
              <w:ind w:firstLine="0" w:firstLineChars="0"/>
              <w:jc w:val="center"/>
              <w:rPr>
                <w:rFonts w:ascii="宋体" w:hAnsi="宋体" w:eastAsia="宋体" w:cs="宋体"/>
                <w:color w:val="auto"/>
                <w:spacing w:val="-11"/>
                <w:sz w:val="24"/>
                <w:szCs w:val="24"/>
              </w:rPr>
            </w:pPr>
            <w:r>
              <w:rPr>
                <w:rFonts w:hint="eastAsia" w:ascii="宋体" w:hAnsi="宋体" w:eastAsia="宋体" w:cs="宋体"/>
                <w:color w:val="auto"/>
                <w:spacing w:val="-11"/>
                <w:sz w:val="24"/>
                <w:szCs w:val="24"/>
              </w:rPr>
              <w:t>近年发生的诉讼及</w:t>
            </w:r>
          </w:p>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pacing w:val="-11"/>
                <w:sz w:val="24"/>
                <w:szCs w:val="24"/>
              </w:rPr>
              <w:t>仲裁情况的时间要求</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jc w:val="both"/>
              <w:rPr>
                <w:rFonts w:ascii="宋体" w:hAnsi="宋体" w:eastAsia="宋体" w:cs="宋体"/>
                <w:color w:val="auto"/>
                <w:sz w:val="24"/>
                <w:szCs w:val="24"/>
              </w:rPr>
            </w:pPr>
            <w:r>
              <w:rPr>
                <w:rFonts w:hint="eastAsia" w:ascii="宋体" w:hAnsi="宋体" w:eastAsia="宋体" w:cs="宋体"/>
                <w:color w:val="auto"/>
                <w:sz w:val="24"/>
                <w:szCs w:val="24"/>
              </w:rPr>
              <w:t>201</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年1月1日至201</w:t>
            </w: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年1月1日</w:t>
            </w:r>
          </w:p>
        </w:tc>
      </w:tr>
      <w:tr>
        <w:tblPrEx>
          <w:tblLayout w:type="fixed"/>
          <w:tblCellMar>
            <w:top w:w="0" w:type="dxa"/>
            <w:left w:w="108" w:type="dxa"/>
            <w:bottom w:w="0" w:type="dxa"/>
            <w:right w:w="108" w:type="dxa"/>
          </w:tblCellMar>
        </w:tblPrEx>
        <w:trPr>
          <w:trHeight w:val="68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3.6.1</w:t>
            </w:r>
          </w:p>
        </w:tc>
        <w:tc>
          <w:tcPr>
            <w:tcW w:w="2250" w:type="dxa"/>
            <w:gridSpan w:val="2"/>
            <w:tcBorders>
              <w:top w:val="single" w:color="auto" w:sz="4" w:space="0"/>
              <w:left w:val="single" w:color="auto" w:sz="4" w:space="0"/>
              <w:bottom w:val="single" w:color="auto" w:sz="4" w:space="0"/>
              <w:right w:val="single" w:color="auto" w:sz="4" w:space="0"/>
            </w:tcBorders>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是否允许递交</w:t>
            </w:r>
          </w:p>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备选投标方案</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jc w:val="both"/>
              <w:rPr>
                <w:rFonts w:ascii="宋体" w:hAnsi="宋体" w:eastAsia="宋体" w:cs="宋体"/>
                <w:color w:val="auto"/>
                <w:sz w:val="24"/>
                <w:szCs w:val="24"/>
              </w:rPr>
            </w:pPr>
            <w:r>
              <w:rPr>
                <w:rFonts w:hint="eastAsia" w:ascii="宋体" w:hAnsi="宋体" w:eastAsia="宋体" w:cs="宋体"/>
                <w:color w:val="auto"/>
                <w:sz w:val="24"/>
                <w:szCs w:val="24"/>
              </w:rPr>
              <w:t>不允许</w:t>
            </w:r>
          </w:p>
        </w:tc>
      </w:tr>
      <w:tr>
        <w:tblPrEx>
          <w:tblLayout w:type="fixed"/>
          <w:tblCellMar>
            <w:top w:w="0" w:type="dxa"/>
            <w:left w:w="108" w:type="dxa"/>
            <w:bottom w:w="0" w:type="dxa"/>
            <w:right w:w="108" w:type="dxa"/>
          </w:tblCellMar>
        </w:tblPrEx>
        <w:trPr>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3.7.3</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投标文件份数</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1、电子投标文件</w:t>
            </w:r>
          </w:p>
          <w:p>
            <w:pPr>
              <w:spacing w:line="400" w:lineRule="exact"/>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（1）成功上传至【全国公共资源交易平台（河南省·许昌市）】公共资源交易系统电子投标文件1份（文件格式为：XX公司XXX项目编号.file）。</w:t>
            </w:r>
          </w:p>
          <w:p>
            <w:pPr>
              <w:spacing w:line="400" w:lineRule="exact"/>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（2）使用电子介质存储的投标文件1份文件格式为：xxx公司XXX（项目编号）.bin）。</w:t>
            </w:r>
          </w:p>
          <w:p>
            <w:pPr>
              <w:spacing w:line="400" w:lineRule="exact"/>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注:投标人提交的电子投标文件，必须是通过“许昌投标文件制作系统SEARUN V1.0”制作，并经过签章和加密后生成的电子投标文件。</w:t>
            </w:r>
          </w:p>
        </w:tc>
      </w:tr>
      <w:tr>
        <w:tblPrEx>
          <w:tblLayout w:type="fixed"/>
          <w:tblCellMar>
            <w:top w:w="0" w:type="dxa"/>
            <w:left w:w="108" w:type="dxa"/>
            <w:bottom w:w="0" w:type="dxa"/>
            <w:right w:w="108" w:type="dxa"/>
          </w:tblCellMar>
        </w:tblPrEx>
        <w:trPr>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3.7.4</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投标文件是否需</w:t>
            </w:r>
          </w:p>
          <w:p>
            <w:pPr>
              <w:spacing w:line="40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分册装订</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left"/>
              <w:rPr>
                <w:rFonts w:hint="eastAsia" w:ascii="宋体" w:hAnsi="宋体" w:eastAsia="宋体" w:cs="宋体"/>
                <w:color w:val="auto"/>
                <w:sz w:val="24"/>
                <w:szCs w:val="24"/>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、使用电子介质存储的投标文件单独密封、盖章提交。</w:t>
            </w:r>
          </w:p>
        </w:tc>
      </w:tr>
      <w:tr>
        <w:tblPrEx>
          <w:tblLayout w:type="fixed"/>
          <w:tblCellMar>
            <w:top w:w="0" w:type="dxa"/>
            <w:left w:w="108" w:type="dxa"/>
            <w:bottom w:w="0" w:type="dxa"/>
            <w:right w:w="108" w:type="dxa"/>
          </w:tblCellMar>
        </w:tblPrEx>
        <w:trPr>
          <w:trHeight w:val="78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3.7.5</w:t>
            </w:r>
          </w:p>
        </w:tc>
        <w:tc>
          <w:tcPr>
            <w:tcW w:w="2250" w:type="dxa"/>
            <w:gridSpan w:val="2"/>
            <w:tcBorders>
              <w:top w:val="single" w:color="auto" w:sz="4" w:space="0"/>
              <w:left w:val="single" w:color="auto" w:sz="4" w:space="0"/>
              <w:bottom w:val="single" w:color="auto" w:sz="4" w:space="0"/>
              <w:right w:val="single" w:color="auto" w:sz="4" w:space="0"/>
            </w:tcBorders>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投标文件所附证书证件要求</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jc w:val="both"/>
              <w:rPr>
                <w:rFonts w:ascii="宋体" w:hAnsi="宋体" w:eastAsia="宋体" w:cs="宋体"/>
                <w:color w:val="auto"/>
                <w:sz w:val="24"/>
                <w:szCs w:val="24"/>
              </w:rPr>
            </w:pPr>
            <w:r>
              <w:rPr>
                <w:rFonts w:hint="eastAsia" w:ascii="宋体" w:hAnsi="宋体" w:eastAsia="宋体" w:cs="宋体"/>
                <w:color w:val="auto"/>
                <w:sz w:val="24"/>
                <w:szCs w:val="24"/>
              </w:rPr>
              <w:t>与原件一致，并加盖公章。</w:t>
            </w:r>
          </w:p>
        </w:tc>
      </w:tr>
      <w:tr>
        <w:tblPrEx>
          <w:tblLayout w:type="fixed"/>
          <w:tblCellMar>
            <w:top w:w="0" w:type="dxa"/>
            <w:left w:w="108" w:type="dxa"/>
            <w:bottom w:w="0" w:type="dxa"/>
            <w:right w:w="108" w:type="dxa"/>
          </w:tblCellMar>
        </w:tblPrEx>
        <w:trPr>
          <w:trHeight w:val="78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3.7.6</w:t>
            </w:r>
          </w:p>
        </w:tc>
        <w:tc>
          <w:tcPr>
            <w:tcW w:w="2250" w:type="dxa"/>
            <w:gridSpan w:val="2"/>
            <w:tcBorders>
              <w:top w:val="single" w:color="auto" w:sz="4" w:space="0"/>
              <w:left w:val="single" w:color="auto" w:sz="4" w:space="0"/>
              <w:bottom w:val="single" w:color="auto" w:sz="4" w:space="0"/>
              <w:right w:val="single" w:color="auto" w:sz="4" w:space="0"/>
            </w:tcBorders>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投标文件</w:t>
            </w:r>
          </w:p>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签字或盖章要求</w:t>
            </w:r>
          </w:p>
        </w:tc>
        <w:tc>
          <w:tcPr>
            <w:tcW w:w="6855" w:type="dxa"/>
            <w:tcBorders>
              <w:top w:val="single" w:color="auto" w:sz="4" w:space="0"/>
              <w:left w:val="single" w:color="auto" w:sz="4" w:space="0"/>
              <w:bottom w:val="single" w:color="auto" w:sz="4" w:space="0"/>
              <w:right w:val="single" w:color="auto" w:sz="4" w:space="0"/>
            </w:tcBorders>
          </w:tcPr>
          <w:p>
            <w:pPr>
              <w:spacing w:line="400" w:lineRule="exact"/>
              <w:ind w:firstLine="0" w:firstLineChars="0"/>
              <w:jc w:val="center"/>
              <w:rPr>
                <w:rFonts w:ascii="宋体" w:hAnsi="宋体" w:eastAsia="宋体" w:cs="宋体"/>
                <w:color w:val="auto"/>
                <w:sz w:val="24"/>
                <w:szCs w:val="24"/>
              </w:rPr>
            </w:pPr>
            <w:r>
              <w:rPr>
                <w:rFonts w:hint="eastAsia" w:hAnsi="宋体" w:cs="TimesNewRomanPSMT"/>
                <w:b/>
                <w:bCs/>
                <w:color w:val="auto"/>
                <w:sz w:val="24"/>
              </w:rPr>
              <w:t>电子投标文件：按招标文件要求加盖</w:t>
            </w:r>
            <w:r>
              <w:rPr>
                <w:rFonts w:hint="eastAsia" w:hAnsi="宋体" w:cs="TimesNewRomanPSMT"/>
                <w:b/>
                <w:bCs/>
                <w:color w:val="auto"/>
                <w:sz w:val="24"/>
                <w:lang w:val="zh-CN"/>
              </w:rPr>
              <w:t>电子印章和法人电子印章</w:t>
            </w:r>
            <w:r>
              <w:rPr>
                <w:rFonts w:hint="eastAsia" w:hAnsi="宋体" w:cs="TimesNewRomanPSMT"/>
                <w:b/>
                <w:bCs/>
                <w:color w:val="auto"/>
                <w:sz w:val="24"/>
              </w:rPr>
              <w:t>。</w:t>
            </w:r>
          </w:p>
        </w:tc>
      </w:tr>
      <w:tr>
        <w:tblPrEx>
          <w:tblLayout w:type="fixed"/>
          <w:tblCellMar>
            <w:top w:w="0" w:type="dxa"/>
            <w:left w:w="108" w:type="dxa"/>
            <w:bottom w:w="0" w:type="dxa"/>
            <w:right w:w="108" w:type="dxa"/>
          </w:tblCellMar>
        </w:tblPrEx>
        <w:trPr>
          <w:trHeight w:val="638"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4.1.1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投标文件加密要求</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jc w:val="both"/>
              <w:rPr>
                <w:rFonts w:ascii="宋体" w:hAnsi="宋体" w:eastAsia="宋体" w:cs="宋体"/>
                <w:color w:val="auto"/>
                <w:sz w:val="24"/>
                <w:szCs w:val="24"/>
              </w:rPr>
            </w:pPr>
            <w:r>
              <w:rPr>
                <w:rFonts w:hint="eastAsia" w:ascii="宋体" w:hAnsi="宋体" w:eastAsia="宋体" w:cs="宋体"/>
                <w:color w:val="auto"/>
                <w:sz w:val="24"/>
                <w:szCs w:val="24"/>
              </w:rPr>
              <w:t>密封包装，并加盖</w:t>
            </w:r>
            <w:r>
              <w:rPr>
                <w:rFonts w:hint="eastAsia" w:ascii="宋体" w:hAnsi="宋体" w:cs="宋体"/>
                <w:color w:val="auto"/>
                <w:sz w:val="24"/>
                <w:szCs w:val="24"/>
                <w:lang w:eastAsia="zh-CN"/>
              </w:rPr>
              <w:t>公</w:t>
            </w:r>
            <w:r>
              <w:rPr>
                <w:rFonts w:hint="eastAsia" w:ascii="宋体" w:hAnsi="宋体" w:eastAsia="宋体" w:cs="宋体"/>
                <w:color w:val="auto"/>
                <w:sz w:val="24"/>
                <w:szCs w:val="24"/>
              </w:rPr>
              <w:t>章。</w:t>
            </w:r>
          </w:p>
        </w:tc>
      </w:tr>
      <w:tr>
        <w:tblPrEx>
          <w:tblLayout w:type="fixed"/>
          <w:tblCellMar>
            <w:top w:w="0" w:type="dxa"/>
            <w:left w:w="108" w:type="dxa"/>
            <w:bottom w:w="0" w:type="dxa"/>
            <w:right w:w="108" w:type="dxa"/>
          </w:tblCellMar>
        </w:tblPrEx>
        <w:trPr>
          <w:trHeight w:val="168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4.1.2</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封套上写明</w:t>
            </w:r>
          </w:p>
        </w:tc>
        <w:tc>
          <w:tcPr>
            <w:tcW w:w="6855" w:type="dxa"/>
            <w:tcBorders>
              <w:top w:val="single" w:color="auto" w:sz="4" w:space="0"/>
              <w:left w:val="single" w:color="auto" w:sz="4" w:space="0"/>
              <w:bottom w:val="single" w:color="auto" w:sz="4" w:space="0"/>
              <w:right w:val="single" w:color="auto" w:sz="4" w:space="0"/>
            </w:tcBorders>
            <w:vAlign w:val="center"/>
          </w:tcPr>
          <w:p>
            <w:pPr>
              <w:pStyle w:val="93"/>
              <w:spacing w:before="10" w:line="264" w:lineRule="auto"/>
              <w:ind w:right="2874" w:firstLine="0" w:firstLineChars="0"/>
              <w:rPr>
                <w:rFonts w:ascii="宋体" w:hAnsi="宋体" w:eastAsia="宋体" w:cs="Microsoft JhengHei"/>
                <w:color w:val="auto"/>
                <w:sz w:val="24"/>
                <w:szCs w:val="24"/>
              </w:rPr>
            </w:pPr>
            <w:r>
              <w:rPr>
                <w:rFonts w:ascii="宋体" w:hAnsi="宋体" w:eastAsia="宋体" w:cs="Microsoft JhengHei"/>
                <w:color w:val="auto"/>
                <w:sz w:val="24"/>
                <w:szCs w:val="24"/>
              </w:rPr>
              <w:t>招标</w:t>
            </w:r>
            <w:r>
              <w:rPr>
                <w:rFonts w:ascii="宋体" w:hAnsi="宋体" w:eastAsia="宋体" w:cs="Microsoft JhengHei"/>
                <w:color w:val="auto"/>
                <w:spacing w:val="-3"/>
                <w:sz w:val="24"/>
                <w:szCs w:val="24"/>
              </w:rPr>
              <w:t>人</w:t>
            </w:r>
            <w:r>
              <w:rPr>
                <w:rFonts w:ascii="宋体" w:hAnsi="宋体" w:eastAsia="宋体" w:cs="Microsoft JhengHei"/>
                <w:color w:val="auto"/>
                <w:sz w:val="24"/>
                <w:szCs w:val="24"/>
              </w:rPr>
              <w:t>名</w:t>
            </w:r>
            <w:r>
              <w:rPr>
                <w:rFonts w:ascii="宋体" w:hAnsi="宋体" w:eastAsia="宋体" w:cs="Microsoft JhengHei"/>
                <w:color w:val="auto"/>
                <w:spacing w:val="-3"/>
                <w:sz w:val="24"/>
                <w:szCs w:val="24"/>
              </w:rPr>
              <w:t>称</w:t>
            </w:r>
            <w:r>
              <w:rPr>
                <w:rFonts w:ascii="宋体" w:hAnsi="宋体" w:eastAsia="宋体" w:cs="Microsoft JhengHei"/>
                <w:color w:val="auto"/>
                <w:sz w:val="24"/>
                <w:szCs w:val="24"/>
              </w:rPr>
              <w:t xml:space="preserve">： </w:t>
            </w:r>
          </w:p>
          <w:p>
            <w:pPr>
              <w:pStyle w:val="93"/>
              <w:spacing w:before="10" w:line="264" w:lineRule="auto"/>
              <w:ind w:right="2874" w:firstLine="0" w:firstLineChars="0"/>
              <w:rPr>
                <w:rFonts w:ascii="宋体" w:hAnsi="宋体" w:eastAsia="宋体" w:cs="Microsoft JhengHei"/>
                <w:color w:val="auto"/>
                <w:sz w:val="24"/>
                <w:szCs w:val="24"/>
              </w:rPr>
            </w:pPr>
            <w:r>
              <w:rPr>
                <w:rFonts w:ascii="宋体" w:hAnsi="宋体" w:eastAsia="宋体" w:cs="Microsoft JhengHei"/>
                <w:color w:val="auto"/>
                <w:sz w:val="24"/>
                <w:szCs w:val="24"/>
              </w:rPr>
              <w:t>招标</w:t>
            </w:r>
            <w:r>
              <w:rPr>
                <w:rFonts w:ascii="宋体" w:hAnsi="宋体" w:eastAsia="宋体" w:cs="Microsoft JhengHei"/>
                <w:color w:val="auto"/>
                <w:spacing w:val="-3"/>
                <w:sz w:val="24"/>
                <w:szCs w:val="24"/>
              </w:rPr>
              <w:t>人</w:t>
            </w:r>
            <w:r>
              <w:rPr>
                <w:rFonts w:ascii="宋体" w:hAnsi="宋体" w:eastAsia="宋体" w:cs="Microsoft JhengHei"/>
                <w:color w:val="auto"/>
                <w:sz w:val="24"/>
                <w:szCs w:val="24"/>
              </w:rPr>
              <w:t>地</w:t>
            </w:r>
            <w:r>
              <w:rPr>
                <w:rFonts w:ascii="宋体" w:hAnsi="宋体" w:eastAsia="宋体" w:cs="Microsoft JhengHei"/>
                <w:color w:val="auto"/>
                <w:spacing w:val="-3"/>
                <w:sz w:val="24"/>
                <w:szCs w:val="24"/>
              </w:rPr>
              <w:t>址</w:t>
            </w:r>
            <w:r>
              <w:rPr>
                <w:rFonts w:ascii="宋体" w:hAnsi="宋体" w:eastAsia="宋体" w:cs="Microsoft JhengHei"/>
                <w:color w:val="auto"/>
                <w:sz w:val="24"/>
                <w:szCs w:val="24"/>
              </w:rPr>
              <w:t>：</w:t>
            </w:r>
          </w:p>
          <w:p>
            <w:pPr>
              <w:pStyle w:val="93"/>
              <w:tabs>
                <w:tab w:val="left" w:pos="1156"/>
              </w:tabs>
              <w:spacing w:before="11" w:line="266" w:lineRule="auto"/>
              <w:ind w:right="103" w:firstLine="0" w:firstLineChars="0"/>
              <w:rPr>
                <w:rFonts w:ascii="宋体" w:hAnsi="宋体" w:eastAsia="宋体" w:cs="Microsoft JhengHei"/>
                <w:color w:val="auto"/>
                <w:sz w:val="24"/>
                <w:szCs w:val="24"/>
              </w:rPr>
            </w:pPr>
            <w:r>
              <w:rPr>
                <w:rFonts w:ascii="宋体" w:hAnsi="宋体" w:eastAsia="宋体" w:cs="Microsoft JhengHei"/>
                <w:color w:val="auto"/>
                <w:w w:val="201"/>
                <w:sz w:val="24"/>
                <w:szCs w:val="24"/>
                <w:u w:val="single" w:color="000000"/>
              </w:rPr>
              <w:t xml:space="preserve"> </w:t>
            </w:r>
            <w:r>
              <w:rPr>
                <w:rFonts w:hint="eastAsia" w:ascii="宋体" w:hAnsi="宋体" w:eastAsia="宋体" w:cs="Microsoft JhengHei"/>
                <w:color w:val="auto"/>
                <w:w w:val="201"/>
                <w:sz w:val="24"/>
                <w:szCs w:val="24"/>
                <w:u w:val="single" w:color="000000"/>
              </w:rPr>
              <w:t xml:space="preserve">     </w:t>
            </w:r>
            <w:r>
              <w:rPr>
                <w:rFonts w:ascii="宋体" w:hAnsi="宋体" w:eastAsia="宋体" w:cs="Microsoft JhengHei"/>
                <w:color w:val="auto"/>
                <w:sz w:val="24"/>
                <w:szCs w:val="24"/>
                <w:u w:val="single" w:color="000000"/>
              </w:rPr>
              <w:tab/>
            </w:r>
            <w:r>
              <w:rPr>
                <w:rFonts w:ascii="宋体" w:hAnsi="宋体" w:eastAsia="宋体" w:cs="Microsoft JhengHei"/>
                <w:color w:val="auto"/>
                <w:sz w:val="24"/>
                <w:szCs w:val="24"/>
              </w:rPr>
              <w:t>（</w:t>
            </w:r>
            <w:r>
              <w:rPr>
                <w:rFonts w:ascii="宋体" w:hAnsi="宋体" w:eastAsia="宋体" w:cs="Microsoft JhengHei"/>
                <w:color w:val="auto"/>
                <w:spacing w:val="2"/>
                <w:sz w:val="24"/>
                <w:szCs w:val="24"/>
              </w:rPr>
              <w:t>项目名称</w:t>
            </w:r>
            <w:r>
              <w:rPr>
                <w:rFonts w:ascii="宋体" w:hAnsi="宋体" w:eastAsia="宋体" w:cs="Microsoft JhengHei"/>
                <w:color w:val="auto"/>
                <w:sz w:val="24"/>
                <w:szCs w:val="24"/>
              </w:rPr>
              <w:t>）</w:t>
            </w:r>
            <w:r>
              <w:rPr>
                <w:rFonts w:ascii="宋体" w:hAnsi="宋体" w:eastAsia="宋体" w:cs="Microsoft JhengHei"/>
                <w:color w:val="auto"/>
                <w:spacing w:val="2"/>
                <w:sz w:val="24"/>
                <w:szCs w:val="24"/>
              </w:rPr>
              <w:t>招标项</w:t>
            </w:r>
            <w:r>
              <w:rPr>
                <w:rFonts w:ascii="宋体" w:hAnsi="宋体" w:eastAsia="宋体" w:cs="Microsoft JhengHei"/>
                <w:color w:val="auto"/>
                <w:sz w:val="24"/>
                <w:szCs w:val="24"/>
              </w:rPr>
              <w:t>目 投标</w:t>
            </w:r>
            <w:r>
              <w:rPr>
                <w:rFonts w:ascii="宋体" w:hAnsi="宋体" w:eastAsia="宋体" w:cs="Microsoft JhengHei"/>
                <w:color w:val="auto"/>
                <w:spacing w:val="-3"/>
                <w:sz w:val="24"/>
                <w:szCs w:val="24"/>
              </w:rPr>
              <w:t>文</w:t>
            </w:r>
            <w:r>
              <w:rPr>
                <w:rFonts w:ascii="宋体" w:hAnsi="宋体" w:eastAsia="宋体" w:cs="Microsoft JhengHei"/>
                <w:color w:val="auto"/>
                <w:sz w:val="24"/>
                <w:szCs w:val="24"/>
              </w:rPr>
              <w:t>件</w:t>
            </w:r>
          </w:p>
          <w:p>
            <w:pPr>
              <w:pStyle w:val="93"/>
              <w:spacing w:before="6"/>
              <w:ind w:firstLine="0" w:firstLineChars="0"/>
              <w:rPr>
                <w:rFonts w:ascii="宋体" w:hAnsi="宋体" w:eastAsia="宋体" w:cs="Microsoft JhengHei"/>
                <w:color w:val="auto"/>
                <w:sz w:val="24"/>
                <w:szCs w:val="24"/>
              </w:rPr>
            </w:pPr>
            <w:r>
              <w:rPr>
                <w:rFonts w:ascii="宋体" w:hAnsi="宋体" w:eastAsia="宋体" w:cs="Microsoft JhengHei"/>
                <w:color w:val="auto"/>
                <w:sz w:val="24"/>
                <w:szCs w:val="24"/>
              </w:rPr>
              <w:t>招标</w:t>
            </w:r>
            <w:r>
              <w:rPr>
                <w:rFonts w:ascii="宋体" w:hAnsi="宋体" w:eastAsia="宋体" w:cs="Microsoft JhengHei"/>
                <w:color w:val="auto"/>
                <w:spacing w:val="-3"/>
                <w:sz w:val="24"/>
                <w:szCs w:val="24"/>
              </w:rPr>
              <w:t>项</w:t>
            </w:r>
            <w:r>
              <w:rPr>
                <w:rFonts w:ascii="宋体" w:hAnsi="宋体" w:eastAsia="宋体" w:cs="Microsoft JhengHei"/>
                <w:color w:val="auto"/>
                <w:sz w:val="24"/>
                <w:szCs w:val="24"/>
              </w:rPr>
              <w:t>目</w:t>
            </w:r>
            <w:r>
              <w:rPr>
                <w:rFonts w:ascii="宋体" w:hAnsi="宋体" w:eastAsia="宋体" w:cs="Microsoft JhengHei"/>
                <w:color w:val="auto"/>
                <w:spacing w:val="-3"/>
                <w:sz w:val="24"/>
                <w:szCs w:val="24"/>
              </w:rPr>
              <w:t>编</w:t>
            </w:r>
            <w:r>
              <w:rPr>
                <w:rFonts w:ascii="宋体" w:hAnsi="宋体" w:eastAsia="宋体" w:cs="Microsoft JhengHei"/>
                <w:color w:val="auto"/>
                <w:sz w:val="24"/>
                <w:szCs w:val="24"/>
              </w:rPr>
              <w:t>号：</w:t>
            </w:r>
          </w:p>
          <w:p>
            <w:pPr>
              <w:spacing w:line="400" w:lineRule="exact"/>
              <w:ind w:firstLine="0" w:firstLineChars="0"/>
              <w:rPr>
                <w:rFonts w:ascii="宋体" w:hAnsi="宋体" w:eastAsia="宋体" w:cs="宋体"/>
                <w:color w:val="auto"/>
                <w:sz w:val="24"/>
                <w:szCs w:val="24"/>
                <w:u w:val="single"/>
              </w:rPr>
            </w:pPr>
            <w:r>
              <w:rPr>
                <w:rFonts w:hint="eastAsia" w:ascii="宋体" w:hAnsi="宋体" w:eastAsia="宋体" w:cs="宋体"/>
                <w:color w:val="auto"/>
                <w:sz w:val="24"/>
                <w:szCs w:val="24"/>
              </w:rPr>
              <w:t>在</w:t>
            </w:r>
            <w:r>
              <w:rPr>
                <w:rFonts w:hint="eastAsia" w:ascii="宋体" w:hAnsi="宋体" w:eastAsia="宋体" w:cs="宋体"/>
                <w:color w:val="auto"/>
                <w:sz w:val="24"/>
                <w:szCs w:val="24"/>
                <w:lang w:eastAsia="zh-CN"/>
              </w:rPr>
              <w:t>201</w:t>
            </w:r>
            <w:r>
              <w:rPr>
                <w:rFonts w:hint="eastAsia" w:ascii="宋体" w:hAnsi="宋体" w:cs="宋体"/>
                <w:color w:val="auto"/>
                <w:sz w:val="24"/>
                <w:szCs w:val="24"/>
                <w:lang w:val="en-US" w:eastAsia="zh-CN"/>
              </w:rPr>
              <w:t>9</w:t>
            </w:r>
            <w:r>
              <w:rPr>
                <w:rFonts w:hint="eastAsia" w:ascii="宋体" w:hAnsi="宋体" w:eastAsia="宋体" w:cs="宋体"/>
                <w:color w:val="auto"/>
                <w:sz w:val="24"/>
                <w:szCs w:val="24"/>
                <w:lang w:eastAsia="zh-CN"/>
              </w:rPr>
              <w:t>年</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eastAsia="zh-CN"/>
              </w:rPr>
              <w:t>月</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eastAsia="zh-CN"/>
              </w:rPr>
              <w:t>日</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eastAsia="zh-CN"/>
              </w:rPr>
              <w:t>时</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eastAsia="zh-CN"/>
              </w:rPr>
              <w:t>分</w:t>
            </w:r>
            <w:r>
              <w:rPr>
                <w:rFonts w:hint="eastAsia" w:ascii="宋体" w:hAnsi="宋体" w:eastAsia="宋体" w:cs="宋体"/>
                <w:color w:val="auto"/>
                <w:sz w:val="24"/>
                <w:szCs w:val="24"/>
              </w:rPr>
              <w:t xml:space="preserve">前不得开启。               </w:t>
            </w:r>
          </w:p>
        </w:tc>
      </w:tr>
      <w:tr>
        <w:tblPrEx>
          <w:tblLayout w:type="fixed"/>
          <w:tblCellMar>
            <w:top w:w="0" w:type="dxa"/>
            <w:left w:w="108" w:type="dxa"/>
            <w:bottom w:w="0" w:type="dxa"/>
            <w:right w:w="108" w:type="dxa"/>
          </w:tblCellMar>
        </w:tblPrEx>
        <w:trPr>
          <w:trHeight w:val="618"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4.2.1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投标截止时间</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0"/>
              <w:rPr>
                <w:rFonts w:ascii="宋体" w:hAnsi="宋体" w:eastAsia="宋体" w:cs="宋体"/>
                <w:color w:val="auto"/>
                <w:sz w:val="24"/>
                <w:szCs w:val="24"/>
              </w:rPr>
            </w:pPr>
            <w:r>
              <w:rPr>
                <w:rFonts w:hint="eastAsia" w:ascii="宋体" w:hAnsi="宋体" w:eastAsia="宋体" w:cs="宋体"/>
                <w:color w:val="000000" w:themeColor="text1"/>
                <w:sz w:val="24"/>
                <w:szCs w:val="24"/>
                <w:lang w:eastAsia="zh-CN"/>
                <w14:textFill>
                  <w14:solidFill>
                    <w14:schemeClr w14:val="tx1"/>
                  </w14:solidFill>
                </w14:textFill>
              </w:rPr>
              <w:t>201</w:t>
            </w:r>
            <w:r>
              <w:rPr>
                <w:rFonts w:hint="eastAsia" w:ascii="宋体" w:hAnsi="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lang w:eastAsia="zh-CN"/>
                <w14:textFill>
                  <w14:solidFill>
                    <w14:schemeClr w14:val="tx1"/>
                  </w14:solidFill>
                </w14:textFill>
              </w:rPr>
              <w:t>年</w:t>
            </w:r>
            <w:r>
              <w:rPr>
                <w:rFonts w:hint="eastAsia" w:ascii="宋体" w:hAnsi="宋体" w:cs="宋体"/>
                <w:color w:val="000000" w:themeColor="text1"/>
                <w:sz w:val="24"/>
                <w:szCs w:val="24"/>
                <w:lang w:val="en-US" w:eastAsia="zh-CN"/>
                <w14:textFill>
                  <w14:solidFill>
                    <w14:schemeClr w14:val="tx1"/>
                  </w14:solidFill>
                </w14:textFill>
              </w:rPr>
              <w:t xml:space="preserve">6 </w:t>
            </w:r>
            <w:r>
              <w:rPr>
                <w:rFonts w:hint="eastAsia" w:ascii="宋体" w:hAnsi="宋体" w:eastAsia="宋体" w:cs="宋体"/>
                <w:color w:val="000000" w:themeColor="text1"/>
                <w:sz w:val="24"/>
                <w:szCs w:val="24"/>
                <w:lang w:eastAsia="zh-CN"/>
                <w14:textFill>
                  <w14:solidFill>
                    <w14:schemeClr w14:val="tx1"/>
                  </w14:solidFill>
                </w14:textFill>
              </w:rPr>
              <w:t>月</w:t>
            </w:r>
            <w:r>
              <w:rPr>
                <w:rFonts w:hint="eastAsia" w:ascii="宋体" w:hAnsi="宋体" w:cs="宋体"/>
                <w:color w:val="000000" w:themeColor="text1"/>
                <w:sz w:val="24"/>
                <w:szCs w:val="24"/>
                <w:lang w:val="en-US" w:eastAsia="zh-CN"/>
                <w14:textFill>
                  <w14:solidFill>
                    <w14:schemeClr w14:val="tx1"/>
                  </w14:solidFill>
                </w14:textFill>
              </w:rPr>
              <w:t xml:space="preserve">3 </w:t>
            </w:r>
            <w:r>
              <w:rPr>
                <w:rFonts w:hint="eastAsia" w:ascii="宋体" w:hAnsi="宋体" w:eastAsia="宋体" w:cs="宋体"/>
                <w:color w:val="000000" w:themeColor="text1"/>
                <w:sz w:val="24"/>
                <w:szCs w:val="24"/>
                <w:lang w:eastAsia="zh-CN"/>
                <w14:textFill>
                  <w14:solidFill>
                    <w14:schemeClr w14:val="tx1"/>
                  </w14:solidFill>
                </w14:textFill>
              </w:rPr>
              <w:t>日</w:t>
            </w:r>
            <w:r>
              <w:rPr>
                <w:rFonts w:hint="eastAsia" w:ascii="宋体" w:hAnsi="宋体" w:cs="宋体"/>
                <w:color w:val="000000" w:themeColor="text1"/>
                <w:sz w:val="24"/>
                <w:szCs w:val="24"/>
                <w:lang w:val="en-US" w:eastAsia="zh-CN"/>
                <w14:textFill>
                  <w14:solidFill>
                    <w14:schemeClr w14:val="tx1"/>
                  </w14:solidFill>
                </w14:textFill>
              </w:rPr>
              <w:t xml:space="preserve"> 8 </w:t>
            </w:r>
            <w:r>
              <w:rPr>
                <w:rFonts w:hint="eastAsia" w:ascii="宋体" w:hAnsi="宋体" w:eastAsia="宋体" w:cs="宋体"/>
                <w:color w:val="000000" w:themeColor="text1"/>
                <w:sz w:val="24"/>
                <w:szCs w:val="24"/>
                <w:lang w:eastAsia="zh-CN"/>
                <w14:textFill>
                  <w14:solidFill>
                    <w14:schemeClr w14:val="tx1"/>
                  </w14:solidFill>
                </w14:textFill>
              </w:rPr>
              <w:t>时</w:t>
            </w:r>
            <w:r>
              <w:rPr>
                <w:rFonts w:hint="eastAsia" w:ascii="宋体" w:hAnsi="宋体" w:cs="宋体"/>
                <w:color w:val="000000" w:themeColor="text1"/>
                <w:sz w:val="24"/>
                <w:szCs w:val="24"/>
                <w:lang w:val="en-US" w:eastAsia="zh-CN"/>
                <w14:textFill>
                  <w14:solidFill>
                    <w14:schemeClr w14:val="tx1"/>
                  </w14:solidFill>
                </w14:textFill>
              </w:rPr>
              <w:t xml:space="preserve"> 30</w:t>
            </w:r>
            <w:r>
              <w:rPr>
                <w:rFonts w:hint="eastAsia" w:ascii="宋体" w:hAnsi="宋体" w:eastAsia="宋体" w:cs="宋体"/>
                <w:color w:val="000000" w:themeColor="text1"/>
                <w:sz w:val="24"/>
                <w:szCs w:val="24"/>
                <w:lang w:eastAsia="zh-CN"/>
                <w14:textFill>
                  <w14:solidFill>
                    <w14:schemeClr w14:val="tx1"/>
                  </w14:solidFill>
                </w14:textFill>
              </w:rPr>
              <w:t>分</w:t>
            </w:r>
            <w:r>
              <w:rPr>
                <w:rFonts w:hint="eastAsia" w:ascii="宋体" w:hAnsi="宋体" w:eastAsia="宋体" w:cs="宋体"/>
                <w:color w:val="000000" w:themeColor="text1"/>
                <w:sz w:val="24"/>
                <w:szCs w:val="24"/>
                <w14:textFill>
                  <w14:solidFill>
                    <w14:schemeClr w14:val="tx1"/>
                  </w14:solidFill>
                </w14:textFill>
              </w:rPr>
              <w:t>（北京时间）</w:t>
            </w:r>
          </w:p>
        </w:tc>
      </w:tr>
      <w:tr>
        <w:tblPrEx>
          <w:tblLayout w:type="fixed"/>
          <w:tblCellMar>
            <w:top w:w="0" w:type="dxa"/>
            <w:left w:w="108" w:type="dxa"/>
            <w:bottom w:w="0" w:type="dxa"/>
            <w:right w:w="108" w:type="dxa"/>
          </w:tblCellMar>
        </w:tblPrEx>
        <w:trPr>
          <w:trHeight w:val="640"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4.2.2</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递交投标文件地点</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jc w:val="both"/>
              <w:rPr>
                <w:rFonts w:ascii="宋体" w:hAnsi="宋体" w:eastAsia="宋体" w:cs="宋体"/>
                <w:color w:val="auto"/>
                <w:sz w:val="24"/>
                <w:szCs w:val="24"/>
              </w:rPr>
            </w:pPr>
            <w:r>
              <w:rPr>
                <w:rFonts w:hint="eastAsia" w:ascii="宋体" w:hAnsi="宋体" w:eastAsia="宋体" w:cs="宋体"/>
                <w:color w:val="auto"/>
                <w:sz w:val="24"/>
                <w:szCs w:val="24"/>
                <w:lang w:eastAsia="zh-CN"/>
              </w:rPr>
              <w:t>（许昌市龙兴路竹林路交汇处公共资源大厦三楼）开标</w:t>
            </w:r>
            <w:r>
              <w:rPr>
                <w:rFonts w:hint="eastAsia" w:ascii="宋体" w:hAnsi="宋体" w:cs="宋体"/>
                <w:color w:val="auto"/>
                <w:sz w:val="24"/>
                <w:szCs w:val="24"/>
                <w:lang w:val="en-US" w:eastAsia="zh-CN"/>
              </w:rPr>
              <w:t>二</w:t>
            </w:r>
            <w:r>
              <w:rPr>
                <w:rFonts w:hint="eastAsia" w:ascii="宋体" w:hAnsi="宋体" w:eastAsia="宋体" w:cs="宋体"/>
                <w:color w:val="auto"/>
                <w:sz w:val="24"/>
                <w:szCs w:val="24"/>
                <w:lang w:eastAsia="zh-CN"/>
              </w:rPr>
              <w:t>室。</w:t>
            </w:r>
          </w:p>
        </w:tc>
      </w:tr>
      <w:tr>
        <w:tblPrEx>
          <w:tblLayout w:type="fixed"/>
          <w:tblCellMar>
            <w:top w:w="0" w:type="dxa"/>
            <w:left w:w="108" w:type="dxa"/>
            <w:bottom w:w="0" w:type="dxa"/>
            <w:right w:w="108" w:type="dxa"/>
          </w:tblCellMar>
        </w:tblPrEx>
        <w:trPr>
          <w:trHeight w:val="680"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4.2.3</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投标文件是否退还</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否</w:t>
            </w:r>
          </w:p>
        </w:tc>
      </w:tr>
      <w:tr>
        <w:tblPrEx>
          <w:tblLayout w:type="fixed"/>
          <w:tblCellMar>
            <w:top w:w="0" w:type="dxa"/>
            <w:left w:w="108" w:type="dxa"/>
            <w:bottom w:w="0" w:type="dxa"/>
            <w:right w:w="108" w:type="dxa"/>
          </w:tblCellMar>
        </w:tblPrEx>
        <w:trPr>
          <w:trHeight w:val="78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5.1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开标时间和地点</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both"/>
              <w:rPr>
                <w:rFonts w:ascii="宋体" w:hAnsi="宋体" w:eastAsia="宋体" w:cs="宋体"/>
                <w:color w:val="auto"/>
                <w:sz w:val="24"/>
                <w:szCs w:val="24"/>
              </w:rPr>
            </w:pPr>
            <w:r>
              <w:rPr>
                <w:rFonts w:hint="eastAsia" w:ascii="宋体" w:hAnsi="宋体" w:eastAsia="宋体" w:cs="宋体"/>
                <w:color w:val="auto"/>
                <w:sz w:val="24"/>
                <w:szCs w:val="24"/>
              </w:rPr>
              <w:t>开标时间：同投标截止时间</w:t>
            </w:r>
          </w:p>
          <w:p>
            <w:pPr>
              <w:spacing w:line="400" w:lineRule="exact"/>
              <w:ind w:firstLine="0" w:firstLineChars="0"/>
              <w:jc w:val="both"/>
              <w:rPr>
                <w:rFonts w:ascii="宋体" w:hAnsi="宋体" w:eastAsia="宋体" w:cs="宋体"/>
                <w:color w:val="auto"/>
                <w:sz w:val="24"/>
                <w:szCs w:val="24"/>
              </w:rPr>
            </w:pPr>
            <w:r>
              <w:rPr>
                <w:rFonts w:hint="eastAsia" w:ascii="宋体" w:hAnsi="宋体" w:eastAsia="宋体" w:cs="宋体"/>
                <w:color w:val="auto"/>
                <w:sz w:val="24"/>
                <w:szCs w:val="24"/>
              </w:rPr>
              <w:t>开标地点：</w:t>
            </w:r>
            <w:r>
              <w:rPr>
                <w:rFonts w:hint="eastAsia" w:ascii="宋体" w:hAnsi="宋体" w:eastAsia="宋体" w:cs="宋体"/>
                <w:color w:val="auto"/>
                <w:sz w:val="24"/>
                <w:szCs w:val="24"/>
                <w:lang w:eastAsia="zh-CN"/>
              </w:rPr>
              <w:t>（许昌市龙兴路竹林路交汇处公共资源大厦三楼）开标</w:t>
            </w:r>
            <w:r>
              <w:rPr>
                <w:rFonts w:hint="eastAsia" w:ascii="宋体" w:hAnsi="宋体" w:cs="宋体"/>
                <w:color w:val="auto"/>
                <w:sz w:val="24"/>
                <w:szCs w:val="24"/>
                <w:lang w:val="en-US" w:eastAsia="zh-CN"/>
              </w:rPr>
              <w:t>二</w:t>
            </w:r>
            <w:r>
              <w:rPr>
                <w:rFonts w:hint="eastAsia" w:ascii="宋体" w:hAnsi="宋体" w:eastAsia="宋体" w:cs="宋体"/>
                <w:color w:val="auto"/>
                <w:sz w:val="24"/>
                <w:szCs w:val="24"/>
                <w:lang w:eastAsia="zh-CN"/>
              </w:rPr>
              <w:t>室。</w:t>
            </w:r>
          </w:p>
        </w:tc>
      </w:tr>
      <w:tr>
        <w:tblPrEx>
          <w:tblLayout w:type="fixed"/>
          <w:tblCellMar>
            <w:top w:w="0" w:type="dxa"/>
            <w:left w:w="108" w:type="dxa"/>
            <w:bottom w:w="0" w:type="dxa"/>
            <w:right w:w="108" w:type="dxa"/>
          </w:tblCellMar>
        </w:tblPrEx>
        <w:trPr>
          <w:trHeight w:val="777"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5.2</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开标程序</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color w:val="auto"/>
                <w:sz w:val="24"/>
                <w:szCs w:val="24"/>
              </w:rPr>
            </w:pPr>
            <w:r>
              <w:rPr>
                <w:rFonts w:hint="eastAsia" w:ascii="宋体" w:hAnsi="宋体" w:eastAsia="宋体" w:cs="宋体"/>
                <w:color w:val="auto"/>
                <w:sz w:val="24"/>
                <w:szCs w:val="24"/>
              </w:rPr>
              <w:t>密封情况检查：由投标人代表检查其投标文件是否密封完好。</w:t>
            </w:r>
          </w:p>
          <w:p>
            <w:pPr>
              <w:spacing w:line="400" w:lineRule="exact"/>
              <w:ind w:firstLine="0" w:firstLineChars="0"/>
              <w:rPr>
                <w:rFonts w:ascii="宋体" w:hAnsi="宋体" w:eastAsia="宋体" w:cs="宋体"/>
                <w:color w:val="auto"/>
                <w:sz w:val="24"/>
                <w:szCs w:val="24"/>
              </w:rPr>
            </w:pPr>
            <w:r>
              <w:rPr>
                <w:rFonts w:hint="eastAsia" w:ascii="宋体" w:hAnsi="宋体" w:eastAsia="宋体" w:cs="宋体"/>
                <w:color w:val="auto"/>
                <w:sz w:val="24"/>
                <w:szCs w:val="24"/>
              </w:rPr>
              <w:t>开标顺序：按送达投标文件的逆顺序开标。</w:t>
            </w:r>
          </w:p>
        </w:tc>
      </w:tr>
      <w:tr>
        <w:tblPrEx>
          <w:tblLayout w:type="fixed"/>
          <w:tblCellMar>
            <w:top w:w="0" w:type="dxa"/>
            <w:left w:w="108" w:type="dxa"/>
            <w:bottom w:w="0" w:type="dxa"/>
            <w:right w:w="108" w:type="dxa"/>
          </w:tblCellMar>
        </w:tblPrEx>
        <w:trPr>
          <w:trHeight w:val="840" w:hRule="atLeast"/>
          <w:jc w:val="center"/>
        </w:trPr>
        <w:tc>
          <w:tcPr>
            <w:tcW w:w="951" w:type="dxa"/>
            <w:gridSpan w:val="2"/>
            <w:tcBorders>
              <w:top w:val="single" w:color="auto" w:sz="4" w:space="0"/>
              <w:left w:val="single" w:color="auto" w:sz="4" w:space="0"/>
              <w:bottom w:val="nil"/>
              <w:right w:val="single" w:color="auto" w:sz="4" w:space="0"/>
            </w:tcBorders>
            <w:vAlign w:val="center"/>
          </w:tcPr>
          <w:p>
            <w:pPr>
              <w:spacing w:line="400" w:lineRule="exact"/>
              <w:ind w:firstLine="0" w:firstLineChars="0"/>
              <w:jc w:val="center"/>
              <w:rPr>
                <w:rFonts w:ascii="宋体" w:hAnsi="宋体" w:eastAsia="宋体" w:cs="宋体"/>
                <w:b/>
                <w:color w:val="auto"/>
                <w:sz w:val="24"/>
                <w:szCs w:val="24"/>
              </w:rPr>
            </w:pPr>
            <w:r>
              <w:rPr>
                <w:rFonts w:hint="eastAsia" w:ascii="宋体" w:hAnsi="宋体" w:eastAsia="宋体" w:cs="宋体"/>
                <w:color w:val="auto"/>
                <w:sz w:val="24"/>
                <w:szCs w:val="24"/>
              </w:rPr>
              <w:t>6.1.1</w:t>
            </w:r>
          </w:p>
        </w:tc>
        <w:tc>
          <w:tcPr>
            <w:tcW w:w="2250" w:type="dxa"/>
            <w:gridSpan w:val="2"/>
            <w:tcBorders>
              <w:top w:val="single" w:color="auto" w:sz="4" w:space="0"/>
              <w:left w:val="single" w:color="auto" w:sz="4" w:space="0"/>
              <w:bottom w:val="nil"/>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评标委员会的组建</w:t>
            </w:r>
          </w:p>
        </w:tc>
        <w:tc>
          <w:tcPr>
            <w:tcW w:w="6855" w:type="dxa"/>
            <w:tcBorders>
              <w:top w:val="single" w:color="auto" w:sz="4" w:space="0"/>
              <w:left w:val="single" w:color="auto" w:sz="4" w:space="0"/>
              <w:bottom w:val="nil"/>
              <w:right w:val="single" w:color="auto" w:sz="4" w:space="0"/>
            </w:tcBorders>
            <w:vAlign w:val="center"/>
          </w:tcPr>
          <w:p>
            <w:pPr>
              <w:spacing w:line="400" w:lineRule="exact"/>
              <w:ind w:firstLine="0" w:firstLineChars="0"/>
              <w:rPr>
                <w:rFonts w:ascii="宋体" w:hAnsi="宋体" w:eastAsia="宋体" w:cs="宋体"/>
                <w:color w:val="auto"/>
                <w:sz w:val="24"/>
                <w:szCs w:val="24"/>
              </w:rPr>
            </w:pPr>
            <w:r>
              <w:rPr>
                <w:rFonts w:hint="eastAsia" w:ascii="宋体" w:hAnsi="宋体" w:eastAsia="宋体" w:cs="宋体"/>
                <w:color w:val="auto"/>
                <w:sz w:val="24"/>
                <w:szCs w:val="24"/>
              </w:rPr>
              <w:t>评标委员会构成：</w:t>
            </w:r>
            <w:r>
              <w:rPr>
                <w:rFonts w:hint="eastAsia" w:ascii="宋体" w:hAnsi="宋体" w:eastAsia="宋体" w:cs="宋体"/>
                <w:color w:val="auto"/>
                <w:sz w:val="24"/>
                <w:szCs w:val="24"/>
                <w:u w:val="single"/>
              </w:rPr>
              <w:t xml:space="preserve"> 5 </w:t>
            </w:r>
            <w:r>
              <w:rPr>
                <w:rFonts w:hint="eastAsia" w:ascii="宋体" w:hAnsi="宋体" w:eastAsia="宋体" w:cs="宋体"/>
                <w:color w:val="auto"/>
                <w:sz w:val="24"/>
                <w:szCs w:val="24"/>
              </w:rPr>
              <w:t>人，其中招标人代表</w:t>
            </w:r>
            <w:r>
              <w:rPr>
                <w:rFonts w:hint="eastAsia" w:ascii="宋体" w:hAnsi="宋体" w:eastAsia="宋体" w:cs="宋体"/>
                <w:color w:val="auto"/>
                <w:sz w:val="24"/>
                <w:szCs w:val="24"/>
                <w:u w:val="single"/>
              </w:rPr>
              <w:t xml:space="preserve"> 1 </w:t>
            </w:r>
            <w:r>
              <w:rPr>
                <w:rFonts w:hint="eastAsia" w:ascii="宋体" w:hAnsi="宋体" w:eastAsia="宋体" w:cs="宋体"/>
                <w:color w:val="auto"/>
                <w:sz w:val="24"/>
                <w:szCs w:val="24"/>
              </w:rPr>
              <w:t>人，评委专家</w:t>
            </w:r>
            <w:r>
              <w:rPr>
                <w:rFonts w:hint="eastAsia" w:ascii="宋体" w:hAnsi="宋体" w:eastAsia="宋体" w:cs="宋体"/>
                <w:color w:val="auto"/>
                <w:sz w:val="24"/>
                <w:szCs w:val="24"/>
                <w:u w:val="single"/>
              </w:rPr>
              <w:t xml:space="preserve"> 4 </w:t>
            </w:r>
            <w:r>
              <w:rPr>
                <w:rFonts w:hint="eastAsia" w:ascii="宋体" w:hAnsi="宋体" w:eastAsia="宋体" w:cs="宋体"/>
                <w:color w:val="auto"/>
                <w:sz w:val="24"/>
                <w:szCs w:val="24"/>
              </w:rPr>
              <w:t>人。</w:t>
            </w:r>
          </w:p>
          <w:p>
            <w:pPr>
              <w:spacing w:line="400" w:lineRule="exact"/>
              <w:ind w:firstLine="0" w:firstLineChars="0"/>
              <w:rPr>
                <w:rFonts w:ascii="宋体" w:hAnsi="宋体" w:eastAsia="宋体" w:cs="宋体"/>
                <w:color w:val="auto"/>
                <w:sz w:val="24"/>
                <w:szCs w:val="24"/>
              </w:rPr>
            </w:pPr>
            <w:r>
              <w:rPr>
                <w:rFonts w:hint="eastAsia" w:ascii="宋体" w:hAnsi="宋体" w:eastAsia="宋体" w:cs="宋体"/>
                <w:color w:val="auto"/>
                <w:sz w:val="24"/>
                <w:szCs w:val="24"/>
              </w:rPr>
              <w:t>评标专家确定方式：从河南省综合评标专家库中随机抽取。</w:t>
            </w:r>
          </w:p>
        </w:tc>
      </w:tr>
      <w:tr>
        <w:tblPrEx>
          <w:tblLayout w:type="fixed"/>
          <w:tblCellMar>
            <w:top w:w="0" w:type="dxa"/>
            <w:left w:w="108" w:type="dxa"/>
            <w:bottom w:w="0" w:type="dxa"/>
            <w:right w:w="108" w:type="dxa"/>
          </w:tblCellMar>
        </w:tblPrEx>
        <w:trPr>
          <w:trHeight w:val="775" w:hRule="atLeast"/>
          <w:jc w:val="center"/>
        </w:trPr>
        <w:tc>
          <w:tcPr>
            <w:tcW w:w="951" w:type="dxa"/>
            <w:gridSpan w:val="2"/>
            <w:tcBorders>
              <w:top w:val="single" w:color="auto" w:sz="4" w:space="0"/>
              <w:left w:val="single" w:color="auto" w:sz="4" w:space="0"/>
              <w:bottom w:val="single" w:color="auto" w:sz="2"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6.3.2</w:t>
            </w:r>
          </w:p>
        </w:tc>
        <w:tc>
          <w:tcPr>
            <w:tcW w:w="2250" w:type="dxa"/>
            <w:gridSpan w:val="2"/>
            <w:tcBorders>
              <w:top w:val="single" w:color="auto" w:sz="4" w:space="0"/>
              <w:left w:val="single" w:color="auto" w:sz="4" w:space="0"/>
              <w:bottom w:val="single" w:color="auto" w:sz="2"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评标委员会推荐</w:t>
            </w:r>
          </w:p>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中标候选人的人数</w:t>
            </w:r>
          </w:p>
        </w:tc>
        <w:tc>
          <w:tcPr>
            <w:tcW w:w="6855" w:type="dxa"/>
            <w:tcBorders>
              <w:top w:val="single" w:color="auto" w:sz="4" w:space="0"/>
              <w:left w:val="single" w:color="auto" w:sz="4" w:space="0"/>
              <w:bottom w:val="single" w:color="auto" w:sz="2" w:space="0"/>
              <w:right w:val="single" w:color="auto" w:sz="4" w:space="0"/>
            </w:tcBorders>
            <w:vAlign w:val="center"/>
          </w:tcPr>
          <w:p>
            <w:pPr>
              <w:spacing w:line="400" w:lineRule="exact"/>
              <w:ind w:firstLine="480"/>
              <w:rPr>
                <w:rFonts w:ascii="宋体" w:hAnsi="宋体" w:eastAsia="宋体" w:cs="宋体"/>
                <w:color w:val="auto"/>
                <w:sz w:val="24"/>
                <w:szCs w:val="24"/>
              </w:rPr>
            </w:pPr>
            <w:r>
              <w:rPr>
                <w:rFonts w:hint="eastAsia" w:ascii="宋体" w:hAnsi="宋体" w:eastAsia="宋体" w:cs="宋体"/>
                <w:color w:val="auto"/>
                <w:sz w:val="24"/>
                <w:szCs w:val="24"/>
              </w:rPr>
              <w:t>推荐的中标候选人数：1-3名</w:t>
            </w:r>
          </w:p>
        </w:tc>
      </w:tr>
      <w:tr>
        <w:tblPrEx>
          <w:tblLayout w:type="fixed"/>
          <w:tblCellMar>
            <w:top w:w="0" w:type="dxa"/>
            <w:left w:w="108" w:type="dxa"/>
            <w:bottom w:w="0" w:type="dxa"/>
            <w:right w:w="108" w:type="dxa"/>
          </w:tblCellMar>
        </w:tblPrEx>
        <w:trPr>
          <w:trHeight w:val="775" w:hRule="atLeast"/>
          <w:jc w:val="center"/>
        </w:trPr>
        <w:tc>
          <w:tcPr>
            <w:tcW w:w="951" w:type="dxa"/>
            <w:gridSpan w:val="2"/>
            <w:tcBorders>
              <w:top w:val="single" w:color="auto" w:sz="4" w:space="0"/>
              <w:left w:val="single" w:color="auto" w:sz="4" w:space="0"/>
              <w:bottom w:val="single" w:color="auto" w:sz="2"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7.1</w:t>
            </w:r>
          </w:p>
        </w:tc>
        <w:tc>
          <w:tcPr>
            <w:tcW w:w="2250" w:type="dxa"/>
            <w:gridSpan w:val="2"/>
            <w:tcBorders>
              <w:top w:val="single" w:color="auto" w:sz="4" w:space="0"/>
              <w:left w:val="single" w:color="auto" w:sz="4" w:space="0"/>
              <w:bottom w:val="single" w:color="auto" w:sz="2" w:space="0"/>
              <w:right w:val="single" w:color="auto" w:sz="4" w:space="0"/>
            </w:tcBorders>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中标候选人</w:t>
            </w:r>
          </w:p>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公示媒介及期限</w:t>
            </w:r>
          </w:p>
        </w:tc>
        <w:tc>
          <w:tcPr>
            <w:tcW w:w="6855" w:type="dxa"/>
            <w:tcBorders>
              <w:top w:val="single" w:color="auto" w:sz="4" w:space="0"/>
              <w:left w:val="single" w:color="auto" w:sz="4" w:space="0"/>
              <w:bottom w:val="single" w:color="auto" w:sz="2" w:space="0"/>
              <w:right w:val="single" w:color="auto" w:sz="4" w:space="0"/>
            </w:tcBorders>
          </w:tcPr>
          <w:p>
            <w:pPr>
              <w:spacing w:line="400" w:lineRule="exact"/>
              <w:ind w:firstLine="0" w:firstLineChars="0"/>
              <w:jc w:val="both"/>
              <w:rPr>
                <w:rFonts w:ascii="宋体" w:hAnsi="宋体" w:eastAsia="宋体" w:cs="宋体"/>
                <w:color w:val="auto"/>
                <w:sz w:val="24"/>
                <w:szCs w:val="24"/>
              </w:rPr>
            </w:pPr>
            <w:r>
              <w:rPr>
                <w:rFonts w:hint="eastAsia" w:ascii="宋体" w:hAnsi="宋体" w:eastAsia="宋体" w:cs="宋体"/>
                <w:color w:val="auto"/>
                <w:sz w:val="24"/>
                <w:szCs w:val="24"/>
              </w:rPr>
              <w:t>公示媒介：与本招标项目招标公告发布的同一媒介。</w:t>
            </w:r>
          </w:p>
          <w:p>
            <w:pPr>
              <w:spacing w:line="400" w:lineRule="exact"/>
              <w:ind w:firstLine="0" w:firstLineChars="0"/>
              <w:jc w:val="both"/>
              <w:rPr>
                <w:rFonts w:ascii="宋体" w:hAnsi="宋体" w:eastAsia="宋体" w:cs="宋体"/>
                <w:color w:val="auto"/>
                <w:sz w:val="24"/>
                <w:szCs w:val="24"/>
              </w:rPr>
            </w:pPr>
            <w:r>
              <w:rPr>
                <w:rFonts w:hint="eastAsia" w:ascii="宋体" w:hAnsi="宋体" w:eastAsia="宋体" w:cs="宋体"/>
                <w:color w:val="auto"/>
                <w:sz w:val="24"/>
                <w:szCs w:val="24"/>
              </w:rPr>
              <w:t>公示期限：3个工作日</w:t>
            </w:r>
          </w:p>
        </w:tc>
      </w:tr>
      <w:tr>
        <w:tblPrEx>
          <w:tblLayout w:type="fixed"/>
          <w:tblCellMar>
            <w:top w:w="0" w:type="dxa"/>
            <w:left w:w="108" w:type="dxa"/>
            <w:bottom w:w="0" w:type="dxa"/>
            <w:right w:w="108" w:type="dxa"/>
          </w:tblCellMar>
        </w:tblPrEx>
        <w:trPr>
          <w:trHeight w:val="775" w:hRule="atLeast"/>
          <w:jc w:val="center"/>
        </w:trPr>
        <w:tc>
          <w:tcPr>
            <w:tcW w:w="951" w:type="dxa"/>
            <w:gridSpan w:val="2"/>
            <w:tcBorders>
              <w:top w:val="single" w:color="auto" w:sz="4" w:space="0"/>
              <w:left w:val="single" w:color="auto" w:sz="4" w:space="0"/>
              <w:bottom w:val="single" w:color="auto" w:sz="2"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7.6</w:t>
            </w:r>
          </w:p>
        </w:tc>
        <w:tc>
          <w:tcPr>
            <w:tcW w:w="2250" w:type="dxa"/>
            <w:gridSpan w:val="2"/>
            <w:tcBorders>
              <w:top w:val="single" w:color="auto" w:sz="4" w:space="0"/>
              <w:left w:val="single" w:color="auto" w:sz="4" w:space="0"/>
              <w:bottom w:val="single" w:color="auto" w:sz="2"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技术成果经济补偿</w:t>
            </w:r>
          </w:p>
        </w:tc>
        <w:tc>
          <w:tcPr>
            <w:tcW w:w="6855" w:type="dxa"/>
            <w:tcBorders>
              <w:top w:val="single" w:color="auto" w:sz="4" w:space="0"/>
              <w:left w:val="single" w:color="auto" w:sz="4" w:space="0"/>
              <w:bottom w:val="single" w:color="auto" w:sz="2"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不补偿</w:t>
            </w:r>
          </w:p>
        </w:tc>
      </w:tr>
      <w:tr>
        <w:tblPrEx>
          <w:tblLayout w:type="fixed"/>
          <w:tblCellMar>
            <w:top w:w="0" w:type="dxa"/>
            <w:left w:w="108" w:type="dxa"/>
            <w:bottom w:w="0" w:type="dxa"/>
            <w:right w:w="108" w:type="dxa"/>
          </w:tblCellMar>
        </w:tblPrEx>
        <w:trPr>
          <w:trHeight w:val="775" w:hRule="atLeast"/>
          <w:jc w:val="center"/>
        </w:trPr>
        <w:tc>
          <w:tcPr>
            <w:tcW w:w="951" w:type="dxa"/>
            <w:gridSpan w:val="2"/>
            <w:tcBorders>
              <w:top w:val="single" w:color="auto" w:sz="4" w:space="0"/>
              <w:left w:val="single" w:color="auto" w:sz="4" w:space="0"/>
              <w:bottom w:val="single" w:color="auto" w:sz="2"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7.7.1</w:t>
            </w:r>
          </w:p>
        </w:tc>
        <w:tc>
          <w:tcPr>
            <w:tcW w:w="2250" w:type="dxa"/>
            <w:gridSpan w:val="2"/>
            <w:tcBorders>
              <w:top w:val="single" w:color="auto" w:sz="4" w:space="0"/>
              <w:left w:val="single" w:color="auto" w:sz="4" w:space="0"/>
              <w:bottom w:val="single" w:color="auto" w:sz="2" w:space="0"/>
              <w:right w:val="single" w:color="auto" w:sz="4" w:space="0"/>
            </w:tcBorders>
            <w:vAlign w:val="center"/>
          </w:tcPr>
          <w:p>
            <w:pPr>
              <w:spacing w:line="36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履约保证金</w:t>
            </w:r>
          </w:p>
        </w:tc>
        <w:tc>
          <w:tcPr>
            <w:tcW w:w="6855" w:type="dxa"/>
            <w:tcBorders>
              <w:top w:val="single" w:color="auto" w:sz="4" w:space="0"/>
              <w:left w:val="single" w:color="auto" w:sz="4" w:space="0"/>
              <w:bottom w:val="single" w:color="auto" w:sz="2" w:space="0"/>
              <w:right w:val="single" w:color="auto" w:sz="4" w:space="0"/>
            </w:tcBorders>
            <w:vAlign w:val="center"/>
          </w:tcPr>
          <w:p>
            <w:pPr>
              <w:spacing w:line="400" w:lineRule="exact"/>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无</w:t>
            </w:r>
          </w:p>
        </w:tc>
      </w:tr>
      <w:tr>
        <w:tblPrEx>
          <w:tblLayout w:type="fixed"/>
          <w:tblCellMar>
            <w:top w:w="0" w:type="dxa"/>
            <w:left w:w="108" w:type="dxa"/>
            <w:bottom w:w="0" w:type="dxa"/>
            <w:right w:w="108" w:type="dxa"/>
          </w:tblCellMar>
        </w:tblPrEx>
        <w:trPr>
          <w:trHeight w:val="775" w:hRule="atLeast"/>
          <w:jc w:val="center"/>
        </w:trPr>
        <w:tc>
          <w:tcPr>
            <w:tcW w:w="951" w:type="dxa"/>
            <w:gridSpan w:val="2"/>
            <w:tcBorders>
              <w:top w:val="single" w:color="auto" w:sz="4" w:space="0"/>
              <w:left w:val="single" w:color="auto" w:sz="4" w:space="0"/>
              <w:bottom w:val="single" w:color="auto" w:sz="2"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9</w:t>
            </w:r>
          </w:p>
        </w:tc>
        <w:tc>
          <w:tcPr>
            <w:tcW w:w="2250" w:type="dxa"/>
            <w:gridSpan w:val="2"/>
            <w:tcBorders>
              <w:top w:val="single" w:color="auto" w:sz="4" w:space="0"/>
              <w:left w:val="single" w:color="auto" w:sz="4" w:space="0"/>
              <w:bottom w:val="single" w:color="auto" w:sz="2" w:space="0"/>
              <w:right w:val="single" w:color="auto" w:sz="4" w:space="0"/>
            </w:tcBorders>
            <w:vAlign w:val="center"/>
          </w:tcPr>
          <w:p>
            <w:pPr>
              <w:spacing w:line="36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是否采用</w:t>
            </w:r>
          </w:p>
          <w:p>
            <w:pPr>
              <w:spacing w:line="36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电子招标投标</w:t>
            </w:r>
          </w:p>
        </w:tc>
        <w:tc>
          <w:tcPr>
            <w:tcW w:w="6855" w:type="dxa"/>
            <w:tcBorders>
              <w:top w:val="single" w:color="auto" w:sz="4" w:space="0"/>
              <w:left w:val="single" w:color="auto" w:sz="4" w:space="0"/>
              <w:bottom w:val="single" w:color="auto" w:sz="2" w:space="0"/>
              <w:right w:val="single" w:color="auto" w:sz="4" w:space="0"/>
            </w:tcBorders>
            <w:vAlign w:val="center"/>
          </w:tcPr>
          <w:p>
            <w:pPr>
              <w:spacing w:line="400" w:lineRule="exact"/>
              <w:ind w:firstLine="480" w:firstLineChars="200"/>
              <w:jc w:val="both"/>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是</w:t>
            </w:r>
          </w:p>
        </w:tc>
      </w:tr>
      <w:tr>
        <w:tblPrEx>
          <w:tblLayout w:type="fixed"/>
          <w:tblCellMar>
            <w:top w:w="0" w:type="dxa"/>
            <w:left w:w="108" w:type="dxa"/>
            <w:bottom w:w="0" w:type="dxa"/>
            <w:right w:w="108" w:type="dxa"/>
          </w:tblCellMar>
        </w:tblPrEx>
        <w:trPr>
          <w:trHeight w:val="680" w:hRule="atLeast"/>
          <w:jc w:val="center"/>
        </w:trPr>
        <w:tc>
          <w:tcPr>
            <w:tcW w:w="10056" w:type="dxa"/>
            <w:gridSpan w:val="5"/>
            <w:tcBorders>
              <w:top w:val="single" w:color="auto" w:sz="2" w:space="0"/>
              <w:left w:val="single" w:color="auto" w:sz="2" w:space="0"/>
              <w:bottom w:val="single" w:color="auto" w:sz="2" w:space="0"/>
              <w:right w:val="single" w:color="auto" w:sz="2" w:space="0"/>
            </w:tcBorders>
            <w:vAlign w:val="center"/>
          </w:tcPr>
          <w:p>
            <w:pPr>
              <w:spacing w:line="400" w:lineRule="exact"/>
              <w:ind w:firstLine="0" w:firstLineChars="0"/>
              <w:rPr>
                <w:rFonts w:ascii="宋体" w:hAnsi="宋体" w:eastAsia="宋体" w:cs="宋体"/>
                <w:color w:val="auto"/>
                <w:sz w:val="24"/>
                <w:szCs w:val="24"/>
              </w:rPr>
            </w:pPr>
            <w:r>
              <w:rPr>
                <w:rFonts w:hint="eastAsia" w:ascii="宋体" w:hAnsi="宋体" w:eastAsia="宋体" w:cs="宋体"/>
                <w:color w:val="auto"/>
                <w:sz w:val="24"/>
                <w:szCs w:val="24"/>
              </w:rPr>
              <w:t>10.招标人补充的其他内容</w:t>
            </w:r>
          </w:p>
        </w:tc>
      </w:tr>
      <w:tr>
        <w:tblPrEx>
          <w:tblLayout w:type="fixed"/>
          <w:tblCellMar>
            <w:top w:w="0" w:type="dxa"/>
            <w:left w:w="108" w:type="dxa"/>
            <w:bottom w:w="0" w:type="dxa"/>
            <w:right w:w="108" w:type="dxa"/>
          </w:tblCellMar>
        </w:tblPrEx>
        <w:trPr>
          <w:trHeight w:val="1550"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10.1</w:t>
            </w:r>
          </w:p>
        </w:tc>
        <w:tc>
          <w:tcPr>
            <w:tcW w:w="201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投标人代表</w:t>
            </w:r>
          </w:p>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出席开标会</w:t>
            </w:r>
          </w:p>
        </w:tc>
        <w:tc>
          <w:tcPr>
            <w:tcW w:w="7141" w:type="dxa"/>
            <w:gridSpan w:val="2"/>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rPr>
                <w:rFonts w:ascii="宋体" w:hAnsi="宋体" w:eastAsia="宋体" w:cs="宋体"/>
                <w:color w:val="auto"/>
                <w:sz w:val="24"/>
                <w:szCs w:val="24"/>
              </w:rPr>
            </w:pPr>
            <w:r>
              <w:rPr>
                <w:rFonts w:hint="eastAsia" w:ascii="宋体" w:hAnsi="宋体" w:eastAsia="宋体" w:cs="宋体"/>
                <w:color w:val="auto"/>
                <w:sz w:val="24"/>
                <w:szCs w:val="24"/>
              </w:rPr>
              <w:t>按照本须知第5.1款的规定，招标人邀请所有投标人的法定代表人（或其委托代理人）参加开标会，并在招标人按开标程序进行点名时，向招标人提交法定代表人（或法定代表人授权委托书）身份证，以证明其出席，否则，其投标文件按废标处理。</w:t>
            </w:r>
          </w:p>
        </w:tc>
      </w:tr>
      <w:tr>
        <w:tblPrEx>
          <w:tblLayout w:type="fixed"/>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10.2</w:t>
            </w:r>
          </w:p>
        </w:tc>
        <w:tc>
          <w:tcPr>
            <w:tcW w:w="201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中标公示</w:t>
            </w:r>
          </w:p>
        </w:tc>
        <w:tc>
          <w:tcPr>
            <w:tcW w:w="7141" w:type="dxa"/>
            <w:gridSpan w:val="2"/>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rPr>
                <w:rFonts w:ascii="宋体" w:hAnsi="宋体" w:eastAsia="宋体" w:cs="宋体"/>
                <w:color w:val="auto"/>
                <w:sz w:val="24"/>
                <w:szCs w:val="24"/>
              </w:rPr>
            </w:pPr>
            <w:r>
              <w:rPr>
                <w:rFonts w:hint="eastAsia" w:ascii="宋体" w:hAnsi="宋体" w:eastAsia="宋体" w:cs="宋体"/>
                <w:color w:val="auto"/>
                <w:sz w:val="24"/>
                <w:szCs w:val="24"/>
              </w:rPr>
              <w:t>1、在中标通知书发出前，招标人将中标候选人的情况在《全国公共资源交易平台（河南省·许昌市）》、《河南省电子招标投标公共服务平台》予以公示，公示期不少于3个工作日。</w:t>
            </w:r>
          </w:p>
        </w:tc>
      </w:tr>
      <w:tr>
        <w:tblPrEx>
          <w:tblLayout w:type="fixed"/>
          <w:tblCellMar>
            <w:top w:w="0" w:type="dxa"/>
            <w:left w:w="108" w:type="dxa"/>
            <w:bottom w:w="0" w:type="dxa"/>
            <w:right w:w="108" w:type="dxa"/>
          </w:tblCellMar>
        </w:tblPrEx>
        <w:trPr>
          <w:trHeight w:val="1255"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10.3</w:t>
            </w:r>
          </w:p>
        </w:tc>
        <w:tc>
          <w:tcPr>
            <w:tcW w:w="201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签      到</w:t>
            </w:r>
          </w:p>
        </w:tc>
        <w:tc>
          <w:tcPr>
            <w:tcW w:w="7141" w:type="dxa"/>
            <w:gridSpan w:val="2"/>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rPr>
                <w:rFonts w:ascii="宋体" w:hAnsi="宋体" w:eastAsia="宋体" w:cs="宋体"/>
                <w:color w:val="auto"/>
                <w:sz w:val="24"/>
                <w:szCs w:val="24"/>
              </w:rPr>
            </w:pPr>
            <w:r>
              <w:rPr>
                <w:rFonts w:hint="eastAsia" w:ascii="宋体" w:hAnsi="宋体" w:eastAsia="宋体" w:cs="宋体"/>
                <w:color w:val="auto"/>
                <w:sz w:val="24"/>
                <w:szCs w:val="24"/>
              </w:rPr>
              <w:t>开标时各投标人的法定代表人或委托代理人（持有效的授权委托书和身份证明原件参加开标会并签到，如未参加所投标书为无效标书。各投标单位参加会议人数不得多于2人。</w:t>
            </w:r>
          </w:p>
        </w:tc>
      </w:tr>
      <w:tr>
        <w:tblPrEx>
          <w:tblLayout w:type="fixed"/>
          <w:tblCellMar>
            <w:top w:w="0" w:type="dxa"/>
            <w:left w:w="108" w:type="dxa"/>
            <w:bottom w:w="0" w:type="dxa"/>
            <w:right w:w="108" w:type="dxa"/>
          </w:tblCellMar>
        </w:tblPrEx>
        <w:trPr>
          <w:trHeight w:val="430"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10.4</w:t>
            </w:r>
          </w:p>
        </w:tc>
        <w:tc>
          <w:tcPr>
            <w:tcW w:w="201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投标文件的拒收</w:t>
            </w:r>
          </w:p>
        </w:tc>
        <w:tc>
          <w:tcPr>
            <w:tcW w:w="7141" w:type="dxa"/>
            <w:gridSpan w:val="2"/>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1、逾期送达的或者未送达指定地点的</w:t>
            </w:r>
            <w:r>
              <w:rPr>
                <w:rFonts w:hint="eastAsia" w:ascii="宋体" w:hAnsi="宋体" w:cs="宋体"/>
                <w:color w:val="auto"/>
                <w:sz w:val="24"/>
                <w:szCs w:val="24"/>
                <w:lang w:val="en-US" w:eastAsia="zh-CN"/>
              </w:rPr>
              <w:t>电子</w:t>
            </w:r>
            <w:r>
              <w:rPr>
                <w:rFonts w:hint="eastAsia" w:ascii="宋体" w:hAnsi="宋体" w:eastAsia="宋体" w:cs="宋体"/>
                <w:color w:val="auto"/>
                <w:sz w:val="24"/>
                <w:szCs w:val="24"/>
              </w:rPr>
              <w:t>投标文件；</w:t>
            </w:r>
          </w:p>
          <w:p>
            <w:pPr>
              <w:spacing w:line="360" w:lineRule="atLeas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2、电子介质存储的投标文件未按招标文件要求密封的；</w:t>
            </w:r>
          </w:p>
          <w:p>
            <w:pPr>
              <w:spacing w:line="360" w:lineRule="atLeas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3、未按招标文件要求缴纳投标保证金的；</w:t>
            </w:r>
          </w:p>
          <w:p>
            <w:pPr>
              <w:spacing w:line="360" w:lineRule="atLeas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4、开标时法人或授权委托人（持有效的授权委托书）未携带本人身份证到开标现场并签到的；</w:t>
            </w:r>
          </w:p>
          <w:p>
            <w:pPr>
              <w:spacing w:line="360" w:lineRule="atLeast"/>
              <w:ind w:firstLine="0" w:firstLineChars="0"/>
              <w:rPr>
                <w:rFonts w:ascii="宋体" w:hAnsi="宋体" w:eastAsia="宋体" w:cs="宋体"/>
                <w:color w:val="auto"/>
                <w:sz w:val="24"/>
                <w:szCs w:val="24"/>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、未通过全国公共资源交易平台（河南省·许昌市）上下载招标文件的，视为自动放弃投标。</w:t>
            </w:r>
          </w:p>
        </w:tc>
      </w:tr>
      <w:tr>
        <w:tblPrEx>
          <w:tblLayout w:type="fixed"/>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10.5</w:t>
            </w:r>
          </w:p>
        </w:tc>
        <w:tc>
          <w:tcPr>
            <w:tcW w:w="201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相关费用</w:t>
            </w:r>
          </w:p>
        </w:tc>
        <w:tc>
          <w:tcPr>
            <w:tcW w:w="7141"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rFonts w:ascii="宋体" w:hAnsi="宋体" w:eastAsia="宋体" w:cs="宋体"/>
                <w:color w:val="auto"/>
                <w:sz w:val="24"/>
                <w:szCs w:val="24"/>
              </w:rPr>
            </w:pPr>
            <w:r>
              <w:rPr>
                <w:rFonts w:hint="eastAsia" w:ascii="宋体" w:hAnsi="宋体" w:eastAsia="宋体" w:cs="宋体"/>
                <w:color w:val="auto"/>
                <w:sz w:val="24"/>
                <w:szCs w:val="24"/>
              </w:rPr>
              <w:t>本项目招标代理费由中标人支付，收费标准参照国家计委《招标代理服务收费管理暂行办法》（计价格[2002]1980号文）、国家发展和改革委员会《关于招标代理服务收费有关问题的通知》（发改办价格[2003]857号文）及国家发展和改革委员会《国家发展改革委关于降低部分建设项目收费标准规范收费行为等有关问题的通知》（发改价格[2011]534号文）的规定。</w:t>
            </w:r>
          </w:p>
        </w:tc>
      </w:tr>
      <w:tr>
        <w:tblPrEx>
          <w:tblLayout w:type="fixed"/>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10.6</w:t>
            </w:r>
          </w:p>
        </w:tc>
        <w:tc>
          <w:tcPr>
            <w:tcW w:w="201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特别提示</w:t>
            </w:r>
          </w:p>
        </w:tc>
        <w:tc>
          <w:tcPr>
            <w:tcW w:w="714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440" w:lineRule="exact"/>
              <w:jc w:val="left"/>
              <w:outlineLvl w:val="0"/>
              <w:rPr>
                <w:rFonts w:hAnsi="宋体" w:cs="宋体"/>
                <w:color w:val="auto"/>
                <w:sz w:val="24"/>
              </w:rPr>
            </w:pPr>
            <w:r>
              <w:rPr>
                <w:rFonts w:hint="eastAsia" w:hAnsi="宋体" w:cs="宋体"/>
                <w:color w:val="auto"/>
                <w:sz w:val="24"/>
                <w:lang w:val="en-US" w:eastAsia="zh-CN"/>
              </w:rPr>
              <w:t>1</w:t>
            </w:r>
            <w:r>
              <w:rPr>
                <w:rFonts w:hint="eastAsia" w:hAnsi="宋体" w:cs="宋体"/>
                <w:color w:val="auto"/>
                <w:sz w:val="24"/>
              </w:rPr>
              <w:t>、潜在投标人如对招标文件有异议，请在规定时间内在《全国公共资源交易平台（河南省·许昌市）》公共资源交易系统中提出，以其他方式递交的异议不予接受。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outlineLvl w:val="0"/>
              <w:rPr>
                <w:rFonts w:hAnsi="宋体" w:cs="宋体"/>
                <w:color w:val="auto"/>
                <w:sz w:val="24"/>
              </w:rPr>
            </w:pPr>
            <w:r>
              <w:rPr>
                <w:rFonts w:hint="eastAsia" w:hAnsi="宋体" w:cs="宋体"/>
                <w:color w:val="auto"/>
                <w:sz w:val="24"/>
                <w:lang w:val="en-US" w:eastAsia="zh-CN"/>
              </w:rPr>
              <w:t>2</w:t>
            </w:r>
            <w:r>
              <w:rPr>
                <w:rFonts w:hint="eastAsia" w:hAnsi="宋体" w:cs="宋体"/>
                <w:color w:val="auto"/>
                <w:sz w:val="24"/>
              </w:rPr>
              <w:t>、投标人在投标截止时间前应随时关注《全国公共资源交易平台（河南省·许昌市）》公共资源交易系统发出的有关本项目的答疑、修改等相关内容。</w:t>
            </w:r>
          </w:p>
          <w:p>
            <w:pPr>
              <w:autoSpaceDE w:val="0"/>
              <w:autoSpaceDN w:val="0"/>
              <w:spacing w:line="440" w:lineRule="exact"/>
              <w:jc w:val="left"/>
              <w:outlineLvl w:val="0"/>
              <w:rPr>
                <w:rFonts w:ascii="新宋体" w:hAnsi="新宋体" w:eastAsia="新宋体"/>
                <w:color w:val="auto"/>
                <w:sz w:val="24"/>
              </w:rPr>
            </w:pPr>
            <w:r>
              <w:rPr>
                <w:rFonts w:hint="eastAsia" w:hAnsi="宋体" w:cs="宋体"/>
                <w:color w:val="auto"/>
                <w:sz w:val="24"/>
                <w:lang w:val="en-US" w:eastAsia="zh-CN"/>
              </w:rPr>
              <w:t>3</w:t>
            </w:r>
            <w:r>
              <w:rPr>
                <w:rFonts w:hint="eastAsia" w:hAnsi="宋体" w:cs="宋体"/>
                <w:color w:val="auto"/>
                <w:sz w:val="24"/>
              </w:rPr>
              <w:t>、</w:t>
            </w:r>
            <w:r>
              <w:rPr>
                <w:rFonts w:hint="eastAsia" w:ascii="新宋体" w:hAnsi="新宋体" w:eastAsia="新宋体"/>
                <w:color w:val="auto"/>
                <w:sz w:val="24"/>
              </w:rPr>
              <w:t>本项目试行全流程电子化交易，如因交易系统异常情况无法完成，将以人工方式进行。</w:t>
            </w:r>
          </w:p>
          <w:p>
            <w:pPr>
              <w:autoSpaceDE w:val="0"/>
              <w:autoSpaceDN w:val="0"/>
              <w:spacing w:line="440" w:lineRule="exact"/>
              <w:jc w:val="left"/>
              <w:outlineLvl w:val="0"/>
              <w:rPr>
                <w:rFonts w:hAnsi="宋体" w:cs="宋体"/>
                <w:color w:val="auto"/>
                <w:sz w:val="24"/>
              </w:rPr>
            </w:pPr>
            <w:r>
              <w:rPr>
                <w:rFonts w:hint="eastAsia" w:hAnsi="宋体" w:cs="宋体"/>
                <w:color w:val="auto"/>
                <w:sz w:val="24"/>
                <w:lang w:val="en-US" w:eastAsia="zh-CN"/>
              </w:rPr>
              <w:t>4</w:t>
            </w:r>
            <w:r>
              <w:rPr>
                <w:rFonts w:hint="eastAsia" w:hAnsi="宋体" w:cs="宋体"/>
                <w:color w:val="auto"/>
                <w:sz w:val="24"/>
              </w:rPr>
              <w:t>、投标文件依据最终的招标文件进行编制。如果招标文件发生变更，投标人应以招标人最终发出的电子招标文件为准，编制投标文件，务请投标人随时关注项目变更信息。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int="eastAsia" w:ascii="宋体" w:hAnsi="宋体" w:eastAsia="宋体" w:cs="宋体"/>
                <w:color w:val="auto"/>
                <w:sz w:val="24"/>
                <w:szCs w:val="24"/>
              </w:rPr>
            </w:pPr>
            <w:r>
              <w:rPr>
                <w:rFonts w:hint="eastAsia" w:hAnsi="宋体" w:cs="宋体"/>
                <w:color w:val="auto"/>
                <w:sz w:val="24"/>
                <w:lang w:val="en-US" w:eastAsia="zh-CN"/>
              </w:rPr>
              <w:t>5</w:t>
            </w:r>
            <w:r>
              <w:rPr>
                <w:rFonts w:hint="eastAsia" w:hAnsi="宋体" w:cs="宋体"/>
                <w:color w:val="auto"/>
                <w:sz w:val="24"/>
              </w:rPr>
              <w:t>、投标人电子投标文件成功提交后，应打印“投标文件提交回执单”，供开标现场备查。</w:t>
            </w:r>
          </w:p>
        </w:tc>
      </w:tr>
    </w:tbl>
    <w:p>
      <w:pPr>
        <w:pStyle w:val="5"/>
        <w:rPr>
          <w:rFonts w:ascii="Times New Roman" w:hAnsi="Times New Roman"/>
          <w:color w:val="auto"/>
        </w:rPr>
      </w:pPr>
      <w:r>
        <w:rPr>
          <w:rFonts w:ascii="Times New Roman" w:hAnsi="Times New Roman"/>
          <w:color w:val="auto"/>
        </w:rPr>
        <w:br w:type="page"/>
      </w:r>
    </w:p>
    <w:bookmarkEnd w:id="4"/>
    <w:p>
      <w:pPr>
        <w:spacing w:beforeLines="50" w:line="400" w:lineRule="exact"/>
        <w:ind w:firstLine="0" w:firstLineChars="0"/>
        <w:jc w:val="both"/>
        <w:rPr>
          <w:rFonts w:ascii="宋体" w:hAnsi="宋体" w:eastAsia="宋体" w:cs="宋体"/>
          <w:b/>
          <w:color w:val="auto"/>
          <w:sz w:val="24"/>
          <w:szCs w:val="24"/>
        </w:rPr>
      </w:pPr>
      <w:bookmarkStart w:id="5" w:name="_Toc492300815"/>
      <w:r>
        <w:rPr>
          <w:rFonts w:hint="eastAsia" w:ascii="宋体" w:hAnsi="宋体" w:eastAsia="宋体" w:cs="宋体"/>
          <w:b/>
          <w:color w:val="auto"/>
          <w:sz w:val="24"/>
          <w:szCs w:val="24"/>
        </w:rPr>
        <w:t>1.总则</w:t>
      </w:r>
    </w:p>
    <w:p>
      <w:pPr>
        <w:autoSpaceDE w:val="0"/>
        <w:autoSpaceDN w:val="0"/>
        <w:spacing w:line="400" w:lineRule="exact"/>
        <w:ind w:firstLine="0" w:firstLineChars="0"/>
        <w:outlineLvl w:val="0"/>
        <w:rPr>
          <w:rFonts w:ascii="宋体" w:hAnsi="宋体" w:eastAsia="宋体" w:cs="宋体"/>
          <w:b/>
          <w:color w:val="auto"/>
          <w:sz w:val="24"/>
          <w:szCs w:val="24"/>
        </w:rPr>
      </w:pPr>
      <w:r>
        <w:rPr>
          <w:rFonts w:hint="eastAsia" w:ascii="宋体" w:hAnsi="宋体" w:eastAsia="宋体" w:cs="宋体"/>
          <w:b/>
          <w:color w:val="auto"/>
          <w:sz w:val="24"/>
          <w:szCs w:val="24"/>
        </w:rPr>
        <w:t>1.1 招标项目概况</w:t>
      </w:r>
      <w:r>
        <w:rPr>
          <w:rFonts w:hint="eastAsia" w:ascii="宋体" w:hAnsi="宋体" w:eastAsia="宋体" w:cs="宋体"/>
          <w:b/>
          <w:color w:val="auto"/>
          <w:sz w:val="24"/>
          <w:szCs w:val="24"/>
        </w:rPr>
        <w:tab/>
      </w:r>
    </w:p>
    <w:p>
      <w:pPr>
        <w:autoSpaceDE w:val="0"/>
        <w:autoSpaceDN w:val="0"/>
        <w:adjustRightInd w:val="0"/>
        <w:spacing w:line="400" w:lineRule="exact"/>
        <w:ind w:firstLine="480"/>
        <w:rPr>
          <w:rFonts w:ascii="宋体" w:hAnsi="宋体" w:eastAsia="宋体" w:cs="宋体"/>
          <w:color w:val="auto"/>
          <w:sz w:val="24"/>
          <w:szCs w:val="24"/>
        </w:rPr>
      </w:pPr>
      <w:r>
        <w:rPr>
          <w:rFonts w:hint="eastAsia" w:ascii="宋体" w:hAnsi="宋体" w:eastAsia="宋体" w:cs="宋体"/>
          <w:color w:val="auto"/>
          <w:sz w:val="24"/>
          <w:szCs w:val="24"/>
        </w:rPr>
        <w:t>1.1.1 根据《中华人民共和国招标投标法》、《中华人民共和国招标投标法实施条例》等有关法律、法规和规章的规定，本招标项目已具备招标条件，现对</w:t>
      </w:r>
      <w:r>
        <w:rPr>
          <w:rFonts w:hint="eastAsia" w:ascii="宋体" w:hAnsi="宋体" w:cs="宋体"/>
          <w:color w:val="auto"/>
          <w:sz w:val="24"/>
          <w:szCs w:val="24"/>
          <w:lang w:eastAsia="zh-CN"/>
        </w:rPr>
        <w:t>勘察</w:t>
      </w:r>
      <w:r>
        <w:rPr>
          <w:rFonts w:hint="eastAsia" w:ascii="宋体" w:hAnsi="宋体" w:eastAsia="宋体" w:cs="宋体"/>
          <w:color w:val="auto"/>
          <w:sz w:val="24"/>
          <w:szCs w:val="24"/>
        </w:rPr>
        <w:t>进行招标。</w:t>
      </w:r>
    </w:p>
    <w:p>
      <w:pPr>
        <w:autoSpaceDE w:val="0"/>
        <w:autoSpaceDN w:val="0"/>
        <w:adjustRightInd w:val="0"/>
        <w:spacing w:line="400" w:lineRule="exact"/>
        <w:ind w:firstLine="480"/>
        <w:rPr>
          <w:rFonts w:ascii="宋体" w:hAnsi="宋体" w:eastAsia="宋体" w:cs="宋体"/>
          <w:color w:val="auto"/>
          <w:sz w:val="24"/>
          <w:szCs w:val="24"/>
        </w:rPr>
      </w:pPr>
      <w:r>
        <w:rPr>
          <w:rFonts w:hint="eastAsia" w:ascii="宋体" w:hAnsi="宋体" w:eastAsia="宋体" w:cs="宋体"/>
          <w:color w:val="auto"/>
          <w:sz w:val="24"/>
          <w:szCs w:val="24"/>
        </w:rPr>
        <w:t>1.1.2 招标人：见投标人须知前附表。</w:t>
      </w:r>
    </w:p>
    <w:p>
      <w:pPr>
        <w:autoSpaceDE w:val="0"/>
        <w:autoSpaceDN w:val="0"/>
        <w:adjustRightInd w:val="0"/>
        <w:spacing w:line="400" w:lineRule="exact"/>
        <w:ind w:firstLine="480"/>
        <w:rPr>
          <w:rFonts w:ascii="宋体" w:hAnsi="宋体" w:eastAsia="宋体" w:cs="宋体"/>
          <w:color w:val="auto"/>
          <w:sz w:val="24"/>
          <w:szCs w:val="24"/>
        </w:rPr>
      </w:pPr>
      <w:r>
        <w:rPr>
          <w:rFonts w:hint="eastAsia" w:ascii="宋体" w:hAnsi="宋体" w:eastAsia="宋体" w:cs="宋体"/>
          <w:color w:val="auto"/>
          <w:sz w:val="24"/>
          <w:szCs w:val="24"/>
        </w:rPr>
        <w:t>1.1.3 招标代理机构：见投标人须知前附表。</w:t>
      </w:r>
    </w:p>
    <w:p>
      <w:pPr>
        <w:autoSpaceDE w:val="0"/>
        <w:autoSpaceDN w:val="0"/>
        <w:adjustRightInd w:val="0"/>
        <w:spacing w:line="400" w:lineRule="exact"/>
        <w:ind w:firstLine="480"/>
        <w:rPr>
          <w:rFonts w:ascii="宋体" w:hAnsi="宋体" w:eastAsia="宋体" w:cs="宋体"/>
          <w:color w:val="auto"/>
          <w:sz w:val="24"/>
          <w:szCs w:val="24"/>
        </w:rPr>
      </w:pPr>
      <w:r>
        <w:rPr>
          <w:rFonts w:hint="eastAsia" w:ascii="宋体" w:hAnsi="宋体" w:eastAsia="宋体" w:cs="宋体"/>
          <w:color w:val="auto"/>
          <w:sz w:val="24"/>
          <w:szCs w:val="24"/>
        </w:rPr>
        <w:t>1.1.4 招标项目名称：见投标人须知前附表。</w:t>
      </w:r>
    </w:p>
    <w:p>
      <w:pPr>
        <w:autoSpaceDE w:val="0"/>
        <w:autoSpaceDN w:val="0"/>
        <w:adjustRightInd w:val="0"/>
        <w:spacing w:line="400" w:lineRule="exact"/>
        <w:ind w:firstLine="480"/>
        <w:rPr>
          <w:rFonts w:ascii="宋体" w:hAnsi="宋体" w:eastAsia="宋体" w:cs="宋体"/>
          <w:color w:val="auto"/>
          <w:sz w:val="24"/>
          <w:szCs w:val="24"/>
        </w:rPr>
      </w:pPr>
      <w:r>
        <w:rPr>
          <w:rFonts w:hint="eastAsia" w:ascii="宋体" w:hAnsi="宋体" w:eastAsia="宋体" w:cs="宋体"/>
          <w:color w:val="auto"/>
          <w:sz w:val="24"/>
          <w:szCs w:val="24"/>
        </w:rPr>
        <w:t>1.1.5 项目建设地点：见投标人须知前附表。</w:t>
      </w:r>
    </w:p>
    <w:p>
      <w:pPr>
        <w:autoSpaceDE w:val="0"/>
        <w:autoSpaceDN w:val="0"/>
        <w:adjustRightInd w:val="0"/>
        <w:spacing w:line="400" w:lineRule="exact"/>
        <w:ind w:firstLine="480"/>
        <w:rPr>
          <w:rFonts w:ascii="宋体" w:hAnsi="宋体" w:eastAsia="宋体" w:cs="宋体"/>
          <w:color w:val="auto"/>
          <w:sz w:val="24"/>
          <w:szCs w:val="24"/>
        </w:rPr>
      </w:pPr>
      <w:r>
        <w:rPr>
          <w:rFonts w:hint="eastAsia" w:ascii="宋体" w:hAnsi="宋体" w:eastAsia="宋体" w:cs="宋体"/>
          <w:color w:val="auto"/>
          <w:sz w:val="24"/>
          <w:szCs w:val="24"/>
        </w:rPr>
        <w:t>1.1.6 项目建设规模：见投标人须知前附表。</w:t>
      </w:r>
    </w:p>
    <w:p>
      <w:pPr>
        <w:autoSpaceDE w:val="0"/>
        <w:autoSpaceDN w:val="0"/>
        <w:adjustRightInd w:val="0"/>
        <w:spacing w:line="400" w:lineRule="exact"/>
        <w:ind w:firstLine="480"/>
        <w:rPr>
          <w:rFonts w:ascii="宋体" w:hAnsi="宋体" w:eastAsia="宋体" w:cs="宋体"/>
          <w:color w:val="auto"/>
          <w:sz w:val="24"/>
          <w:szCs w:val="24"/>
        </w:rPr>
      </w:pPr>
      <w:r>
        <w:rPr>
          <w:rFonts w:hint="eastAsia" w:ascii="宋体" w:hAnsi="宋体" w:eastAsia="宋体" w:cs="宋体"/>
          <w:color w:val="auto"/>
          <w:sz w:val="24"/>
          <w:szCs w:val="24"/>
        </w:rPr>
        <w:t>1.1.7 项目投资估算：见投标人须知前附表。</w:t>
      </w:r>
    </w:p>
    <w:p>
      <w:pPr>
        <w:autoSpaceDE w:val="0"/>
        <w:autoSpaceDN w:val="0"/>
        <w:spacing w:line="400" w:lineRule="exact"/>
        <w:ind w:firstLine="0" w:firstLineChars="0"/>
        <w:outlineLvl w:val="0"/>
        <w:rPr>
          <w:rFonts w:ascii="宋体" w:hAnsi="宋体" w:eastAsia="宋体" w:cs="宋体"/>
          <w:b/>
          <w:color w:val="auto"/>
          <w:sz w:val="24"/>
          <w:szCs w:val="24"/>
        </w:rPr>
      </w:pPr>
      <w:r>
        <w:rPr>
          <w:rFonts w:hint="eastAsia" w:ascii="宋体" w:hAnsi="宋体" w:eastAsia="宋体" w:cs="宋体"/>
          <w:b/>
          <w:color w:val="auto"/>
          <w:sz w:val="24"/>
          <w:szCs w:val="24"/>
        </w:rPr>
        <w:t>1.2 招标项目的资金来源和落实情况</w:t>
      </w:r>
    </w:p>
    <w:p>
      <w:pPr>
        <w:autoSpaceDE w:val="0"/>
        <w:autoSpaceDN w:val="0"/>
        <w:adjustRightInd w:val="0"/>
        <w:spacing w:line="400" w:lineRule="exact"/>
        <w:ind w:firstLine="480"/>
        <w:rPr>
          <w:rFonts w:ascii="宋体" w:hAnsi="宋体" w:eastAsia="宋体" w:cs="宋体"/>
          <w:color w:val="auto"/>
          <w:sz w:val="24"/>
          <w:szCs w:val="24"/>
        </w:rPr>
      </w:pPr>
      <w:r>
        <w:rPr>
          <w:rFonts w:hint="eastAsia" w:ascii="宋体" w:hAnsi="宋体" w:eastAsia="宋体" w:cs="宋体"/>
          <w:color w:val="auto"/>
          <w:sz w:val="24"/>
          <w:szCs w:val="24"/>
        </w:rPr>
        <w:t>1.2.1 资金来源及比例：见投标人须知前附表。</w:t>
      </w:r>
    </w:p>
    <w:p>
      <w:pPr>
        <w:autoSpaceDE w:val="0"/>
        <w:autoSpaceDN w:val="0"/>
        <w:adjustRightInd w:val="0"/>
        <w:spacing w:line="400" w:lineRule="exact"/>
        <w:ind w:firstLine="480"/>
        <w:rPr>
          <w:rFonts w:ascii="宋体" w:hAnsi="宋体" w:eastAsia="宋体" w:cs="宋体"/>
          <w:color w:val="auto"/>
          <w:sz w:val="24"/>
          <w:szCs w:val="24"/>
        </w:rPr>
      </w:pPr>
      <w:r>
        <w:rPr>
          <w:rFonts w:hint="eastAsia" w:ascii="宋体" w:hAnsi="宋体" w:eastAsia="宋体" w:cs="宋体"/>
          <w:color w:val="auto"/>
          <w:sz w:val="24"/>
          <w:szCs w:val="24"/>
        </w:rPr>
        <w:t>1.2.2 资金落实情况：见投标人须知前附表。</w:t>
      </w:r>
    </w:p>
    <w:p>
      <w:pPr>
        <w:autoSpaceDE w:val="0"/>
        <w:autoSpaceDN w:val="0"/>
        <w:spacing w:line="400" w:lineRule="exact"/>
        <w:ind w:firstLine="0" w:firstLineChars="0"/>
        <w:outlineLvl w:val="0"/>
        <w:rPr>
          <w:rFonts w:ascii="宋体" w:hAnsi="宋体" w:eastAsia="宋体" w:cs="宋体"/>
          <w:b/>
          <w:color w:val="auto"/>
          <w:sz w:val="24"/>
          <w:szCs w:val="24"/>
        </w:rPr>
      </w:pPr>
      <w:r>
        <w:rPr>
          <w:rFonts w:hint="eastAsia" w:ascii="宋体" w:hAnsi="宋体" w:eastAsia="宋体" w:cs="宋体"/>
          <w:b/>
          <w:color w:val="auto"/>
          <w:sz w:val="24"/>
          <w:szCs w:val="24"/>
        </w:rPr>
        <w:t>1.3 招标范围、交货期、交货地点和技术性能指标</w:t>
      </w:r>
    </w:p>
    <w:p>
      <w:pPr>
        <w:autoSpaceDE w:val="0"/>
        <w:autoSpaceDN w:val="0"/>
        <w:adjustRightInd w:val="0"/>
        <w:spacing w:line="400" w:lineRule="exact"/>
        <w:ind w:firstLine="480"/>
        <w:rPr>
          <w:rFonts w:ascii="宋体" w:hAnsi="宋体" w:eastAsia="宋体" w:cs="宋体"/>
          <w:color w:val="auto"/>
          <w:sz w:val="24"/>
          <w:szCs w:val="24"/>
        </w:rPr>
      </w:pPr>
      <w:r>
        <w:rPr>
          <w:rFonts w:hint="eastAsia" w:ascii="宋体" w:hAnsi="宋体" w:eastAsia="宋体" w:cs="宋体"/>
          <w:color w:val="auto"/>
          <w:sz w:val="24"/>
          <w:szCs w:val="24"/>
        </w:rPr>
        <w:t>1.3.1 招标范围：见投标人须知前附表。</w:t>
      </w:r>
    </w:p>
    <w:p>
      <w:pPr>
        <w:autoSpaceDE w:val="0"/>
        <w:autoSpaceDN w:val="0"/>
        <w:adjustRightInd w:val="0"/>
        <w:spacing w:line="400" w:lineRule="exact"/>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1.3.2 </w:t>
      </w:r>
      <w:r>
        <w:rPr>
          <w:rFonts w:hint="eastAsia" w:ascii="宋体" w:hAnsi="宋体" w:cs="宋体"/>
          <w:color w:val="auto"/>
          <w:sz w:val="24"/>
          <w:szCs w:val="24"/>
          <w:lang w:eastAsia="zh-CN"/>
        </w:rPr>
        <w:t>勘察</w:t>
      </w:r>
      <w:r>
        <w:rPr>
          <w:rFonts w:hint="eastAsia" w:ascii="宋体" w:hAnsi="宋体" w:eastAsia="宋体" w:cs="宋体"/>
          <w:color w:val="auto"/>
          <w:sz w:val="24"/>
          <w:szCs w:val="24"/>
        </w:rPr>
        <w:t>服务期限：见投标人须知前附表。</w:t>
      </w:r>
    </w:p>
    <w:p>
      <w:pPr>
        <w:autoSpaceDE w:val="0"/>
        <w:autoSpaceDN w:val="0"/>
        <w:adjustRightInd w:val="0"/>
        <w:spacing w:line="400" w:lineRule="exact"/>
        <w:ind w:firstLine="480"/>
        <w:rPr>
          <w:rFonts w:ascii="宋体" w:hAnsi="宋体" w:eastAsia="宋体" w:cs="宋体"/>
          <w:color w:val="auto"/>
          <w:sz w:val="24"/>
          <w:szCs w:val="24"/>
        </w:rPr>
      </w:pPr>
      <w:r>
        <w:rPr>
          <w:rFonts w:hint="eastAsia" w:ascii="宋体" w:hAnsi="宋体" w:eastAsia="宋体" w:cs="宋体"/>
          <w:color w:val="auto"/>
          <w:sz w:val="24"/>
          <w:szCs w:val="24"/>
        </w:rPr>
        <w:t>1.3.3 质量标准：见投标人须知前附表。</w:t>
      </w:r>
    </w:p>
    <w:p>
      <w:pPr>
        <w:autoSpaceDE w:val="0"/>
        <w:autoSpaceDN w:val="0"/>
        <w:spacing w:line="400" w:lineRule="exact"/>
        <w:ind w:firstLine="0" w:firstLineChars="0"/>
        <w:outlineLvl w:val="0"/>
        <w:rPr>
          <w:rFonts w:ascii="宋体" w:hAnsi="宋体" w:eastAsia="宋体" w:cs="宋体"/>
          <w:b/>
          <w:color w:val="auto"/>
          <w:sz w:val="24"/>
          <w:szCs w:val="24"/>
        </w:rPr>
      </w:pPr>
      <w:r>
        <w:rPr>
          <w:rFonts w:hint="eastAsia" w:ascii="宋体" w:hAnsi="宋体" w:eastAsia="宋体" w:cs="宋体"/>
          <w:b/>
          <w:color w:val="auto"/>
          <w:sz w:val="24"/>
          <w:szCs w:val="24"/>
        </w:rPr>
        <w:t>1.4 投标人资格要求</w:t>
      </w:r>
    </w:p>
    <w:p>
      <w:pPr>
        <w:autoSpaceDE w:val="0"/>
        <w:autoSpaceDN w:val="0"/>
        <w:adjustRightInd w:val="0"/>
        <w:spacing w:line="400" w:lineRule="exact"/>
        <w:ind w:firstLine="480"/>
        <w:rPr>
          <w:rFonts w:ascii="宋体" w:hAnsi="宋体" w:eastAsia="宋体" w:cs="宋体"/>
          <w:color w:val="auto"/>
          <w:sz w:val="24"/>
          <w:szCs w:val="24"/>
        </w:rPr>
      </w:pPr>
      <w:r>
        <w:rPr>
          <w:rFonts w:hint="eastAsia" w:ascii="宋体" w:hAnsi="宋体" w:eastAsia="宋体" w:cs="宋体"/>
          <w:color w:val="auto"/>
          <w:sz w:val="24"/>
          <w:szCs w:val="24"/>
        </w:rPr>
        <w:t>1.4.1 投标人应具备承担本招标项目资质条件、能力和信誉。</w:t>
      </w:r>
    </w:p>
    <w:p>
      <w:pPr>
        <w:autoSpaceDE w:val="0"/>
        <w:autoSpaceDN w:val="0"/>
        <w:spacing w:line="400" w:lineRule="exact"/>
        <w:ind w:firstLine="480"/>
        <w:outlineLvl w:val="0"/>
        <w:rPr>
          <w:rFonts w:ascii="宋体" w:hAnsi="宋体" w:eastAsia="宋体" w:cs="宋体"/>
          <w:color w:val="auto"/>
          <w:sz w:val="24"/>
          <w:szCs w:val="24"/>
        </w:rPr>
      </w:pPr>
      <w:r>
        <w:rPr>
          <w:rFonts w:hint="eastAsia" w:ascii="宋体" w:hAnsi="宋体" w:eastAsia="宋体" w:cs="宋体"/>
          <w:color w:val="auto"/>
          <w:sz w:val="24"/>
          <w:szCs w:val="24"/>
        </w:rPr>
        <w:t>（1）资质要求：见投标人须知前附表；</w:t>
      </w:r>
    </w:p>
    <w:p>
      <w:pPr>
        <w:autoSpaceDE w:val="0"/>
        <w:autoSpaceDN w:val="0"/>
        <w:spacing w:line="400" w:lineRule="exact"/>
        <w:ind w:firstLine="480"/>
        <w:outlineLvl w:val="0"/>
        <w:rPr>
          <w:rFonts w:ascii="宋体" w:hAnsi="宋体" w:eastAsia="宋体" w:cs="宋体"/>
          <w:color w:val="auto"/>
          <w:sz w:val="24"/>
          <w:szCs w:val="24"/>
        </w:rPr>
      </w:pPr>
      <w:r>
        <w:rPr>
          <w:rFonts w:hint="eastAsia" w:ascii="宋体" w:hAnsi="宋体" w:eastAsia="宋体" w:cs="宋体"/>
          <w:color w:val="auto"/>
          <w:sz w:val="24"/>
          <w:szCs w:val="24"/>
        </w:rPr>
        <w:t>（2）财务要求：见投标人须知前附表；</w:t>
      </w:r>
    </w:p>
    <w:p>
      <w:pPr>
        <w:autoSpaceDE w:val="0"/>
        <w:autoSpaceDN w:val="0"/>
        <w:spacing w:line="400" w:lineRule="exact"/>
        <w:ind w:firstLine="480"/>
        <w:outlineLvl w:val="0"/>
        <w:rPr>
          <w:rFonts w:ascii="宋体" w:hAnsi="宋体" w:eastAsia="宋体" w:cs="宋体"/>
          <w:color w:val="auto"/>
          <w:sz w:val="24"/>
          <w:szCs w:val="24"/>
        </w:rPr>
      </w:pPr>
      <w:r>
        <w:rPr>
          <w:rFonts w:hint="eastAsia" w:ascii="宋体" w:hAnsi="宋体" w:eastAsia="宋体" w:cs="宋体"/>
          <w:color w:val="auto"/>
          <w:sz w:val="24"/>
          <w:szCs w:val="24"/>
        </w:rPr>
        <w:t>（3）业绩要求：见投标人须知前附表；</w:t>
      </w:r>
    </w:p>
    <w:p>
      <w:pPr>
        <w:autoSpaceDE w:val="0"/>
        <w:autoSpaceDN w:val="0"/>
        <w:spacing w:line="400" w:lineRule="exact"/>
        <w:ind w:firstLine="480"/>
        <w:outlineLvl w:val="0"/>
        <w:rPr>
          <w:rFonts w:ascii="宋体" w:hAnsi="宋体" w:eastAsia="宋体" w:cs="宋体"/>
          <w:color w:val="auto"/>
          <w:sz w:val="24"/>
          <w:szCs w:val="24"/>
        </w:rPr>
      </w:pPr>
      <w:r>
        <w:rPr>
          <w:rFonts w:hint="eastAsia" w:ascii="宋体" w:hAnsi="宋体" w:eastAsia="宋体" w:cs="宋体"/>
          <w:color w:val="auto"/>
          <w:sz w:val="24"/>
          <w:szCs w:val="24"/>
        </w:rPr>
        <w:t>（4）信誉要求：见投标人须知前附表；</w:t>
      </w:r>
    </w:p>
    <w:p>
      <w:pPr>
        <w:autoSpaceDE w:val="0"/>
        <w:autoSpaceDN w:val="0"/>
        <w:spacing w:line="400" w:lineRule="exact"/>
        <w:ind w:firstLine="480"/>
        <w:outlineLvl w:val="0"/>
        <w:rPr>
          <w:rFonts w:ascii="宋体" w:hAnsi="宋体" w:eastAsia="宋体" w:cs="宋体"/>
          <w:color w:val="auto"/>
          <w:sz w:val="24"/>
          <w:szCs w:val="24"/>
        </w:rPr>
      </w:pPr>
      <w:r>
        <w:rPr>
          <w:rFonts w:hint="eastAsia" w:ascii="宋体" w:hAnsi="宋体" w:eastAsia="宋体" w:cs="宋体"/>
          <w:color w:val="auto"/>
          <w:sz w:val="24"/>
          <w:szCs w:val="24"/>
        </w:rPr>
        <w:t>（5）项目负责人的资格要求：具体要求见投标人须知前附表；</w:t>
      </w:r>
    </w:p>
    <w:p>
      <w:pPr>
        <w:autoSpaceDE w:val="0"/>
        <w:autoSpaceDN w:val="0"/>
        <w:spacing w:line="400" w:lineRule="exact"/>
        <w:ind w:firstLine="480"/>
        <w:outlineLvl w:val="0"/>
        <w:rPr>
          <w:rFonts w:ascii="宋体" w:hAnsi="宋体" w:eastAsia="宋体" w:cs="宋体"/>
          <w:color w:val="auto"/>
          <w:sz w:val="24"/>
          <w:szCs w:val="24"/>
        </w:rPr>
      </w:pPr>
      <w:r>
        <w:rPr>
          <w:rFonts w:hint="eastAsia" w:ascii="宋体" w:hAnsi="宋体" w:eastAsia="宋体" w:cs="宋体"/>
          <w:color w:val="auto"/>
          <w:sz w:val="24"/>
          <w:szCs w:val="24"/>
        </w:rPr>
        <w:t>（6）其他主要人员要求：见投标人须知前附表。</w:t>
      </w:r>
    </w:p>
    <w:p>
      <w:pPr>
        <w:autoSpaceDE w:val="0"/>
        <w:autoSpaceDN w:val="0"/>
        <w:spacing w:line="400" w:lineRule="exact"/>
        <w:ind w:firstLine="480"/>
        <w:outlineLvl w:val="0"/>
        <w:rPr>
          <w:rFonts w:ascii="宋体" w:hAnsi="宋体" w:eastAsia="宋体" w:cs="宋体"/>
          <w:color w:val="auto"/>
          <w:sz w:val="24"/>
          <w:szCs w:val="24"/>
        </w:rPr>
      </w:pPr>
      <w:r>
        <w:rPr>
          <w:rFonts w:ascii="宋体" w:hAnsi="宋体" w:eastAsia="宋体" w:cs="宋体"/>
          <w:color w:val="auto"/>
          <w:sz w:val="24"/>
          <w:szCs w:val="24"/>
        </w:rPr>
        <mc:AlternateContent>
          <mc:Choice Requires="wps">
            <w:drawing>
              <wp:anchor distT="0" distB="0" distL="114300" distR="114300" simplePos="0" relativeHeight="251676672" behindDoc="1" locked="0" layoutInCell="1" allowOverlap="1">
                <wp:simplePos x="0" y="0"/>
                <wp:positionH relativeFrom="page">
                  <wp:posOffset>0</wp:posOffset>
                </wp:positionH>
                <wp:positionV relativeFrom="page">
                  <wp:posOffset>0</wp:posOffset>
                </wp:positionV>
                <wp:extent cx="7773670" cy="10059670"/>
                <wp:effectExtent l="0" t="0" r="17780" b="17780"/>
                <wp:wrapNone/>
                <wp:docPr id="1" name="WS_polygon1"/>
                <wp:cNvGraphicFramePr/>
                <a:graphic xmlns:a="http://schemas.openxmlformats.org/drawingml/2006/main">
                  <a:graphicData uri="http://schemas.microsoft.com/office/word/2010/wordprocessingShape">
                    <wps:wsp>
                      <wps:cNvSpPr/>
                      <wps:spPr>
                        <a:xfrm>
                          <a:off x="0" y="0"/>
                          <a:ext cx="7773670" cy="10059670"/>
                        </a:xfrm>
                        <a:prstGeom prst="star5">
                          <a:avLst/>
                        </a:prstGeom>
                        <a:solidFill>
                          <a:srgbClr val="FFFFFF"/>
                        </a:solidFill>
                        <a:ln w="9525">
                          <a:noFill/>
                        </a:ln>
                        <a:effectLst/>
                      </wps:spPr>
                      <wps:bodyPr upright="1"/>
                    </wps:wsp>
                  </a:graphicData>
                </a:graphic>
              </wp:anchor>
            </w:drawing>
          </mc:Choice>
          <mc:Fallback>
            <w:pict>
              <v:shape id="WS_polygon1" o:spid="_x0000_s1026" style="position:absolute;left:0pt;margin-left:0pt;margin-top:0pt;height:792.1pt;width:612.1pt;mso-position-horizontal-relative:page;mso-position-vertical-relative:page;z-index:-251639808;mso-width-relative:page;mso-height-relative:page;" fillcolor="#FFFFFF" filled="t" stroked="f" coordsize="7773670,10059670" o:gfxdata="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JLtHN3UAAAABwEAAA8AAAAAAAAAAQAgAAAAIgAA&#10;AGRycy9kb3ducmV2LnhtbFBLAQIUABQAAAAIAIdO4kDipJdomgEAAC4DAAAOAAAAAAAAAAEAIAAA&#10;ACMBAABkcnMvZTJvRG9jLnhtbFBLBQYAAAAABgAGAFkBAAAvBQAAAAA=&#10;" path="m8,3842442l2969294,3842469,3886835,0,4804375,3842469,7773661,3842442,5371447,6217191,6289026,10059644,3886835,7684851,1484643,10059644,2402222,6217191xe">
                <v:path o:connectlocs="3886835,0;8,3842442;1484643,10059644;6289026,10059644;7773661,3842442" o:connectangles="247,164,82,82,0"/>
                <v:fill on="t" focussize="0,0"/>
                <v:stroke on="f"/>
                <v:imagedata o:title=""/>
                <o:lock v:ext="edit" aspectratio="f"/>
              </v:shape>
            </w:pict>
          </mc:Fallback>
        </mc:AlternateContent>
      </w:r>
      <w:r>
        <w:rPr>
          <w:rFonts w:hint="eastAsia" w:ascii="宋体" w:hAnsi="宋体" w:eastAsia="宋体" w:cs="宋体"/>
          <w:color w:val="auto"/>
          <w:sz w:val="24"/>
          <w:szCs w:val="24"/>
        </w:rPr>
        <w:t>（7）其他要求：见投标人须知前附表。</w:t>
      </w:r>
    </w:p>
    <w:p>
      <w:pPr>
        <w:autoSpaceDE w:val="0"/>
        <w:autoSpaceDN w:val="0"/>
        <w:spacing w:line="400" w:lineRule="exact"/>
        <w:ind w:firstLine="480"/>
        <w:outlineLvl w:val="0"/>
        <w:rPr>
          <w:rFonts w:ascii="宋体" w:hAnsi="宋体" w:eastAsia="宋体" w:cs="宋体"/>
          <w:color w:val="auto"/>
          <w:sz w:val="24"/>
          <w:szCs w:val="24"/>
        </w:rPr>
      </w:pPr>
      <w:r>
        <w:rPr>
          <w:rFonts w:hint="eastAsia" w:ascii="宋体" w:hAnsi="宋体" w:eastAsia="宋体" w:cs="宋体"/>
          <w:color w:val="auto"/>
          <w:sz w:val="24"/>
          <w:szCs w:val="24"/>
        </w:rPr>
        <w:t xml:space="preserve">需要提交的相关证明材料见本章第3.5款的规定。 </w:t>
      </w:r>
    </w:p>
    <w:p>
      <w:pPr>
        <w:autoSpaceDE w:val="0"/>
        <w:autoSpaceDN w:val="0"/>
        <w:spacing w:line="400" w:lineRule="exact"/>
        <w:ind w:firstLine="480"/>
        <w:outlineLvl w:val="0"/>
        <w:rPr>
          <w:rFonts w:ascii="宋体" w:hAnsi="宋体" w:eastAsia="宋体" w:cs="宋体"/>
          <w:color w:val="auto"/>
          <w:sz w:val="24"/>
          <w:szCs w:val="24"/>
        </w:rPr>
      </w:pPr>
      <w:bookmarkStart w:id="6" w:name="_Toc152045535"/>
      <w:bookmarkStart w:id="7" w:name="_Toc179632552"/>
      <w:bookmarkStart w:id="8" w:name="_Toc152042311"/>
      <w:bookmarkStart w:id="9" w:name="_Toc144974503"/>
      <w:r>
        <w:rPr>
          <w:rFonts w:hint="eastAsia" w:ascii="宋体" w:hAnsi="宋体" w:eastAsia="宋体" w:cs="宋体"/>
          <w:color w:val="auto"/>
          <w:sz w:val="24"/>
          <w:szCs w:val="24"/>
        </w:rPr>
        <w:t>1.4.2 投标人须知前附表规定接受联合体投标的，联合体除应符合本章第1.4.1项和投标人须知前附表的要求外，还应遵守以下规定：</w:t>
      </w:r>
    </w:p>
    <w:p>
      <w:pPr>
        <w:autoSpaceDE w:val="0"/>
        <w:autoSpaceDN w:val="0"/>
        <w:spacing w:line="400" w:lineRule="exact"/>
        <w:ind w:firstLine="480"/>
        <w:outlineLvl w:val="0"/>
        <w:rPr>
          <w:rFonts w:ascii="宋体" w:hAnsi="宋体" w:eastAsia="宋体" w:cs="宋体"/>
          <w:color w:val="auto"/>
          <w:sz w:val="24"/>
          <w:szCs w:val="24"/>
        </w:rPr>
      </w:pPr>
      <w:r>
        <w:rPr>
          <w:rFonts w:hint="eastAsia" w:ascii="宋体" w:hAnsi="宋体" w:eastAsia="宋体" w:cs="宋体"/>
          <w:color w:val="auto"/>
          <w:sz w:val="24"/>
          <w:szCs w:val="24"/>
        </w:rPr>
        <w:t>（1）联合体各方应按招标文件提供的格式签订联合体协议书，明确联合体牵头人和各方权利义务，并承诺就中标项目向招标人承担连带责任；</w:t>
      </w:r>
    </w:p>
    <w:p>
      <w:pPr>
        <w:autoSpaceDE w:val="0"/>
        <w:autoSpaceDN w:val="0"/>
        <w:spacing w:line="400" w:lineRule="exact"/>
        <w:ind w:firstLine="480"/>
        <w:outlineLvl w:val="0"/>
        <w:rPr>
          <w:rFonts w:ascii="宋体" w:hAnsi="宋体" w:eastAsia="宋体" w:cs="宋体"/>
          <w:color w:val="auto"/>
          <w:sz w:val="24"/>
          <w:szCs w:val="24"/>
        </w:rPr>
      </w:pPr>
      <w:r>
        <w:rPr>
          <w:rFonts w:hint="eastAsia" w:ascii="宋体" w:hAnsi="宋体" w:eastAsia="宋体" w:cs="宋体"/>
          <w:color w:val="auto"/>
          <w:sz w:val="24"/>
          <w:szCs w:val="24"/>
        </w:rPr>
        <w:t>（2）由同一专业的单位组成的联合体，按照资质等级较低的单位确定资质等级；</w:t>
      </w:r>
    </w:p>
    <w:p>
      <w:pPr>
        <w:autoSpaceDE w:val="0"/>
        <w:autoSpaceDN w:val="0"/>
        <w:spacing w:line="400" w:lineRule="exact"/>
        <w:ind w:firstLine="480"/>
        <w:outlineLvl w:val="0"/>
        <w:rPr>
          <w:rFonts w:ascii="宋体" w:hAnsi="宋体" w:eastAsia="宋体" w:cs="宋体"/>
          <w:color w:val="auto"/>
          <w:sz w:val="24"/>
          <w:szCs w:val="24"/>
        </w:rPr>
      </w:pPr>
      <w:r>
        <w:rPr>
          <w:rFonts w:hint="eastAsia" w:ascii="宋体" w:hAnsi="宋体" w:eastAsia="宋体" w:cs="宋体"/>
          <w:color w:val="auto"/>
          <w:sz w:val="24"/>
          <w:szCs w:val="24"/>
        </w:rPr>
        <w:t>（3）联合体各方不得再以自己名义单独或参加其他联合体在本招标项目中投标，否则各相关投标均无效。</w:t>
      </w:r>
    </w:p>
    <w:p>
      <w:pPr>
        <w:autoSpaceDE w:val="0"/>
        <w:autoSpaceDN w:val="0"/>
        <w:spacing w:line="400" w:lineRule="exact"/>
        <w:ind w:firstLine="480"/>
        <w:outlineLvl w:val="0"/>
        <w:rPr>
          <w:rFonts w:ascii="宋体" w:hAnsi="宋体" w:eastAsia="宋体" w:cs="宋体"/>
          <w:color w:val="auto"/>
          <w:sz w:val="24"/>
          <w:szCs w:val="24"/>
        </w:rPr>
      </w:pPr>
      <w:r>
        <w:rPr>
          <w:rFonts w:hint="eastAsia" w:ascii="宋体" w:hAnsi="宋体" w:eastAsia="宋体" w:cs="宋体"/>
          <w:color w:val="auto"/>
          <w:sz w:val="24"/>
          <w:szCs w:val="24"/>
        </w:rPr>
        <w:t>1.4.3 投标人不得存在下列情形之一：</w:t>
      </w:r>
    </w:p>
    <w:p>
      <w:pPr>
        <w:autoSpaceDE w:val="0"/>
        <w:autoSpaceDN w:val="0"/>
        <w:spacing w:line="400" w:lineRule="exact"/>
        <w:ind w:firstLine="480"/>
        <w:outlineLvl w:val="0"/>
        <w:rPr>
          <w:rFonts w:ascii="宋体" w:hAnsi="宋体" w:eastAsia="宋体" w:cs="宋体"/>
          <w:color w:val="auto"/>
          <w:sz w:val="24"/>
          <w:szCs w:val="24"/>
        </w:rPr>
      </w:pPr>
      <w:r>
        <w:rPr>
          <w:rFonts w:hint="eastAsia" w:ascii="宋体" w:hAnsi="宋体" w:eastAsia="宋体" w:cs="宋体"/>
          <w:color w:val="auto"/>
          <w:sz w:val="24"/>
          <w:szCs w:val="24"/>
        </w:rPr>
        <w:t>（1）为招标人不具有独立法人资格的附属机构（单位）；</w:t>
      </w:r>
    </w:p>
    <w:p>
      <w:pPr>
        <w:autoSpaceDE w:val="0"/>
        <w:autoSpaceDN w:val="0"/>
        <w:spacing w:line="400" w:lineRule="exact"/>
        <w:ind w:firstLine="480"/>
        <w:outlineLvl w:val="0"/>
        <w:rPr>
          <w:rFonts w:ascii="宋体" w:hAnsi="宋体" w:eastAsia="宋体" w:cs="宋体"/>
          <w:color w:val="auto"/>
          <w:sz w:val="24"/>
          <w:szCs w:val="24"/>
        </w:rPr>
      </w:pPr>
      <w:r>
        <w:rPr>
          <w:rFonts w:hint="eastAsia" w:ascii="宋体" w:hAnsi="宋体" w:eastAsia="宋体" w:cs="宋体"/>
          <w:color w:val="auto"/>
          <w:sz w:val="24"/>
          <w:szCs w:val="24"/>
        </w:rPr>
        <w:t>（2）与招标人存在利害关系且可能影响招标公正性；</w:t>
      </w:r>
    </w:p>
    <w:p>
      <w:pPr>
        <w:autoSpaceDE w:val="0"/>
        <w:autoSpaceDN w:val="0"/>
        <w:spacing w:line="400" w:lineRule="exact"/>
        <w:ind w:firstLine="480"/>
        <w:outlineLvl w:val="0"/>
        <w:rPr>
          <w:rFonts w:ascii="宋体" w:hAnsi="宋体" w:eastAsia="宋体" w:cs="宋体"/>
          <w:color w:val="auto"/>
          <w:sz w:val="24"/>
          <w:szCs w:val="24"/>
        </w:rPr>
      </w:pPr>
      <w:r>
        <w:rPr>
          <w:rFonts w:hint="eastAsia" w:ascii="宋体" w:hAnsi="宋体" w:eastAsia="宋体" w:cs="宋体"/>
          <w:color w:val="auto"/>
          <w:sz w:val="24"/>
          <w:szCs w:val="24"/>
        </w:rPr>
        <w:t>（3）与本招标项目的其他投标人为同一个单位负责人；</w:t>
      </w:r>
    </w:p>
    <w:p>
      <w:pPr>
        <w:autoSpaceDE w:val="0"/>
        <w:autoSpaceDN w:val="0"/>
        <w:spacing w:line="400" w:lineRule="exact"/>
        <w:ind w:firstLine="480"/>
        <w:outlineLvl w:val="0"/>
        <w:rPr>
          <w:rFonts w:ascii="宋体" w:hAnsi="宋体" w:eastAsia="宋体" w:cs="宋体"/>
          <w:color w:val="auto"/>
          <w:sz w:val="24"/>
          <w:szCs w:val="24"/>
        </w:rPr>
      </w:pPr>
      <w:r>
        <w:rPr>
          <w:rFonts w:hint="eastAsia" w:ascii="宋体" w:hAnsi="宋体" w:eastAsia="宋体" w:cs="宋体"/>
          <w:color w:val="auto"/>
          <w:sz w:val="24"/>
          <w:szCs w:val="24"/>
        </w:rPr>
        <w:t>（4）与本招标项目的其他投标人存在控股、管理关系；</w:t>
      </w:r>
    </w:p>
    <w:p>
      <w:pPr>
        <w:autoSpaceDE w:val="0"/>
        <w:autoSpaceDN w:val="0"/>
        <w:spacing w:line="400" w:lineRule="exact"/>
        <w:ind w:firstLine="480"/>
        <w:outlineLvl w:val="0"/>
        <w:rPr>
          <w:rFonts w:ascii="宋体" w:hAnsi="宋体" w:eastAsia="宋体" w:cs="宋体"/>
          <w:color w:val="auto"/>
          <w:sz w:val="24"/>
          <w:szCs w:val="24"/>
        </w:rPr>
      </w:pPr>
      <w:r>
        <w:rPr>
          <w:rFonts w:hint="eastAsia" w:ascii="宋体" w:hAnsi="宋体" w:eastAsia="宋体" w:cs="宋体"/>
          <w:color w:val="auto"/>
          <w:sz w:val="24"/>
          <w:szCs w:val="24"/>
        </w:rPr>
        <w:t>（5）为本招标项目的代建人；</w:t>
      </w:r>
    </w:p>
    <w:p>
      <w:pPr>
        <w:autoSpaceDE w:val="0"/>
        <w:autoSpaceDN w:val="0"/>
        <w:spacing w:line="400" w:lineRule="exact"/>
        <w:ind w:firstLine="480"/>
        <w:outlineLvl w:val="0"/>
        <w:rPr>
          <w:rFonts w:ascii="宋体" w:hAnsi="宋体" w:eastAsia="宋体" w:cs="宋体"/>
          <w:color w:val="auto"/>
          <w:sz w:val="24"/>
          <w:szCs w:val="24"/>
        </w:rPr>
      </w:pPr>
      <w:r>
        <w:rPr>
          <w:rFonts w:hint="eastAsia" w:ascii="宋体" w:hAnsi="宋体" w:eastAsia="宋体" w:cs="宋体"/>
          <w:color w:val="auto"/>
          <w:sz w:val="24"/>
          <w:szCs w:val="24"/>
        </w:rPr>
        <w:t>（6）为本招标项目的招标代理机构；</w:t>
      </w:r>
    </w:p>
    <w:p>
      <w:pPr>
        <w:autoSpaceDE w:val="0"/>
        <w:autoSpaceDN w:val="0"/>
        <w:spacing w:line="400" w:lineRule="exact"/>
        <w:ind w:firstLine="480"/>
        <w:outlineLvl w:val="0"/>
        <w:rPr>
          <w:rFonts w:ascii="宋体" w:hAnsi="宋体" w:eastAsia="宋体" w:cs="宋体"/>
          <w:color w:val="auto"/>
          <w:sz w:val="24"/>
          <w:szCs w:val="24"/>
        </w:rPr>
      </w:pPr>
      <w:r>
        <w:rPr>
          <w:rFonts w:hint="eastAsia" w:ascii="宋体" w:hAnsi="宋体" w:eastAsia="宋体" w:cs="宋体"/>
          <w:color w:val="auto"/>
          <w:sz w:val="24"/>
          <w:szCs w:val="24"/>
        </w:rPr>
        <w:t>（7）与本招标项目的代建人或招标代理机构同为一个法定代表人；</w:t>
      </w:r>
    </w:p>
    <w:p>
      <w:pPr>
        <w:autoSpaceDE w:val="0"/>
        <w:autoSpaceDN w:val="0"/>
        <w:spacing w:line="400" w:lineRule="exact"/>
        <w:ind w:firstLine="480"/>
        <w:outlineLvl w:val="0"/>
        <w:rPr>
          <w:rFonts w:ascii="宋体" w:hAnsi="宋体" w:eastAsia="宋体" w:cs="宋体"/>
          <w:color w:val="auto"/>
          <w:sz w:val="24"/>
          <w:szCs w:val="24"/>
        </w:rPr>
      </w:pPr>
      <w:r>
        <w:rPr>
          <w:rFonts w:hint="eastAsia" w:ascii="宋体" w:hAnsi="宋体" w:eastAsia="宋体" w:cs="宋体"/>
          <w:color w:val="auto"/>
          <w:sz w:val="24"/>
          <w:szCs w:val="24"/>
        </w:rPr>
        <w:t>（8）与本招标项目的代建人或招标代理机构存在控股或参股关系；</w:t>
      </w:r>
    </w:p>
    <w:p>
      <w:pPr>
        <w:autoSpaceDE w:val="0"/>
        <w:autoSpaceDN w:val="0"/>
        <w:spacing w:line="400" w:lineRule="exact"/>
        <w:ind w:firstLine="480"/>
        <w:outlineLvl w:val="0"/>
        <w:rPr>
          <w:rFonts w:ascii="宋体" w:hAnsi="宋体" w:eastAsia="宋体" w:cs="宋体"/>
          <w:color w:val="auto"/>
          <w:sz w:val="24"/>
          <w:szCs w:val="24"/>
        </w:rPr>
      </w:pPr>
      <w:r>
        <w:rPr>
          <w:rFonts w:hint="eastAsia" w:ascii="宋体" w:hAnsi="宋体" w:eastAsia="宋体" w:cs="宋体"/>
          <w:color w:val="auto"/>
          <w:sz w:val="24"/>
          <w:szCs w:val="24"/>
        </w:rPr>
        <w:t>（9）被依法暂停或者取消投标资格；</w:t>
      </w:r>
    </w:p>
    <w:p>
      <w:pPr>
        <w:autoSpaceDE w:val="0"/>
        <w:autoSpaceDN w:val="0"/>
        <w:spacing w:line="400" w:lineRule="exact"/>
        <w:ind w:firstLine="480"/>
        <w:outlineLvl w:val="0"/>
        <w:rPr>
          <w:rFonts w:ascii="宋体" w:hAnsi="宋体" w:eastAsia="宋体" w:cs="宋体"/>
          <w:color w:val="auto"/>
          <w:sz w:val="24"/>
          <w:szCs w:val="24"/>
        </w:rPr>
      </w:pPr>
      <w:r>
        <w:rPr>
          <w:rFonts w:hint="eastAsia" w:ascii="宋体" w:hAnsi="宋体" w:eastAsia="宋体" w:cs="宋体"/>
          <w:color w:val="auto"/>
          <w:sz w:val="24"/>
          <w:szCs w:val="24"/>
        </w:rPr>
        <w:t>（10）被责令停产停业、暂扣或者吊销许可证、暂扣或者吊销执照；</w:t>
      </w:r>
    </w:p>
    <w:p>
      <w:pPr>
        <w:autoSpaceDE w:val="0"/>
        <w:autoSpaceDN w:val="0"/>
        <w:spacing w:line="400" w:lineRule="exact"/>
        <w:ind w:firstLine="480"/>
        <w:outlineLvl w:val="0"/>
        <w:rPr>
          <w:rFonts w:ascii="宋体" w:hAnsi="宋体" w:eastAsia="宋体" w:cs="宋体"/>
          <w:color w:val="auto"/>
          <w:sz w:val="24"/>
          <w:szCs w:val="24"/>
        </w:rPr>
      </w:pPr>
      <w:r>
        <w:rPr>
          <w:rFonts w:hint="eastAsia" w:ascii="宋体" w:hAnsi="宋体" w:eastAsia="宋体" w:cs="宋体"/>
          <w:color w:val="auto"/>
          <w:sz w:val="24"/>
          <w:szCs w:val="24"/>
        </w:rPr>
        <w:t>（11）进入清算程序，或被宣告破产，或其他丧失履约能力的情形；</w:t>
      </w:r>
    </w:p>
    <w:p>
      <w:pPr>
        <w:autoSpaceDE w:val="0"/>
        <w:autoSpaceDN w:val="0"/>
        <w:spacing w:line="400" w:lineRule="exact"/>
        <w:ind w:firstLine="480"/>
        <w:outlineLvl w:val="0"/>
        <w:rPr>
          <w:rFonts w:ascii="宋体" w:hAnsi="宋体" w:eastAsia="宋体" w:cs="宋体"/>
          <w:color w:val="auto"/>
          <w:sz w:val="24"/>
          <w:szCs w:val="24"/>
        </w:rPr>
      </w:pPr>
      <w:r>
        <w:rPr>
          <w:rFonts w:hint="eastAsia" w:ascii="宋体" w:hAnsi="宋体" w:eastAsia="宋体" w:cs="宋体"/>
          <w:color w:val="auto"/>
          <w:sz w:val="24"/>
          <w:szCs w:val="24"/>
        </w:rPr>
        <w:t>（12）在最近三年内发生重大</w:t>
      </w:r>
      <w:r>
        <w:rPr>
          <w:rFonts w:hint="eastAsia" w:ascii="宋体" w:hAnsi="宋体" w:cs="宋体"/>
          <w:color w:val="auto"/>
          <w:sz w:val="24"/>
          <w:szCs w:val="24"/>
          <w:lang w:eastAsia="zh-CN"/>
        </w:rPr>
        <w:t>勘察</w:t>
      </w:r>
      <w:r>
        <w:rPr>
          <w:rFonts w:hint="eastAsia" w:ascii="宋体" w:hAnsi="宋体" w:eastAsia="宋体" w:cs="宋体"/>
          <w:color w:val="auto"/>
          <w:sz w:val="24"/>
          <w:szCs w:val="24"/>
        </w:rPr>
        <w:t>质量问题（以相关行业主管部门的行政处罚决定或司法机关出具的有关法律文书为准）；</w:t>
      </w:r>
    </w:p>
    <w:p>
      <w:pPr>
        <w:autoSpaceDE w:val="0"/>
        <w:autoSpaceDN w:val="0"/>
        <w:spacing w:line="400" w:lineRule="exact"/>
        <w:ind w:firstLine="480"/>
        <w:outlineLvl w:val="0"/>
        <w:rPr>
          <w:rFonts w:ascii="宋体" w:hAnsi="宋体" w:eastAsia="宋体" w:cs="宋体"/>
          <w:color w:val="auto"/>
          <w:sz w:val="24"/>
          <w:szCs w:val="24"/>
        </w:rPr>
      </w:pPr>
      <w:r>
        <w:rPr>
          <w:rFonts w:hint="eastAsia" w:ascii="宋体" w:hAnsi="宋体" w:eastAsia="宋体" w:cs="宋体"/>
          <w:color w:val="auto"/>
          <w:sz w:val="24"/>
          <w:szCs w:val="24"/>
        </w:rPr>
        <w:t>（13）被工商行政管理机关在全国企业信用信息公示系统中列入严重违法失信企业名单；</w:t>
      </w:r>
    </w:p>
    <w:p>
      <w:pPr>
        <w:autoSpaceDE w:val="0"/>
        <w:autoSpaceDN w:val="0"/>
        <w:spacing w:line="400" w:lineRule="exact"/>
        <w:ind w:firstLine="480"/>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（14）</w:t>
      </w:r>
      <w:r>
        <w:rPr>
          <w:rFonts w:hint="eastAsia" w:ascii="宋体" w:hAnsi="宋体" w:eastAsia="宋体" w:cs="宋体"/>
          <w:color w:val="auto"/>
          <w:sz w:val="24"/>
          <w:szCs w:val="24"/>
          <w:lang w:val="en-US" w:eastAsia="zh-CN"/>
        </w:rPr>
        <w:t>被列入“信用中国”网站(www.creditchina.gov.cn)失信被执行人名单、“国家企业信用公示系统”网站（www.gsxt.gov.cn）严重违法失信企业名单（黑名单）的投标人</w:t>
      </w:r>
    </w:p>
    <w:p>
      <w:pPr>
        <w:autoSpaceDE w:val="0"/>
        <w:autoSpaceDN w:val="0"/>
        <w:spacing w:line="400" w:lineRule="exact"/>
        <w:ind w:firstLine="480" w:firstLineChars="200"/>
        <w:outlineLvl w:val="0"/>
        <w:rPr>
          <w:rFonts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15</w:t>
      </w:r>
      <w:r>
        <w:rPr>
          <w:rFonts w:hint="eastAsia" w:ascii="宋体" w:hAnsi="宋体" w:eastAsia="宋体" w:cs="宋体"/>
          <w:color w:val="auto"/>
          <w:sz w:val="24"/>
          <w:szCs w:val="24"/>
        </w:rPr>
        <w:t>）法律法规或投标人须知前附表规定的其他情形。</w:t>
      </w:r>
    </w:p>
    <w:p>
      <w:pPr>
        <w:autoSpaceDE w:val="0"/>
        <w:autoSpaceDN w:val="0"/>
        <w:spacing w:line="400" w:lineRule="exact"/>
        <w:ind w:firstLine="0" w:firstLineChars="0"/>
        <w:outlineLvl w:val="0"/>
        <w:rPr>
          <w:rFonts w:ascii="宋体" w:hAnsi="宋体" w:eastAsia="宋体" w:cs="宋体"/>
          <w:b/>
          <w:color w:val="auto"/>
          <w:sz w:val="24"/>
          <w:szCs w:val="24"/>
        </w:rPr>
      </w:pPr>
      <w:r>
        <w:rPr>
          <w:rFonts w:hint="eastAsia" w:ascii="宋体" w:hAnsi="宋体" w:eastAsia="宋体" w:cs="宋体"/>
          <w:b/>
          <w:color w:val="auto"/>
          <w:sz w:val="24"/>
          <w:szCs w:val="24"/>
        </w:rPr>
        <w:t>1.5 费用承担</w:t>
      </w:r>
      <w:bookmarkEnd w:id="6"/>
      <w:bookmarkEnd w:id="7"/>
      <w:bookmarkEnd w:id="8"/>
      <w:bookmarkEnd w:id="9"/>
    </w:p>
    <w:p>
      <w:pPr>
        <w:autoSpaceDE w:val="0"/>
        <w:autoSpaceDN w:val="0"/>
        <w:spacing w:line="400" w:lineRule="exact"/>
        <w:ind w:firstLine="480"/>
        <w:outlineLvl w:val="0"/>
        <w:rPr>
          <w:rFonts w:ascii="宋体" w:hAnsi="宋体" w:eastAsia="宋体" w:cs="宋体"/>
          <w:color w:val="auto"/>
          <w:sz w:val="24"/>
          <w:szCs w:val="24"/>
        </w:rPr>
      </w:pPr>
      <w:r>
        <w:rPr>
          <w:rFonts w:hint="eastAsia" w:ascii="宋体" w:hAnsi="宋体" w:eastAsia="宋体" w:cs="宋体"/>
          <w:color w:val="auto"/>
          <w:sz w:val="24"/>
          <w:szCs w:val="24"/>
        </w:rPr>
        <w:t>投标人准备和参加投标活动发生的费用自理。</w:t>
      </w:r>
    </w:p>
    <w:p>
      <w:pPr>
        <w:autoSpaceDE w:val="0"/>
        <w:autoSpaceDN w:val="0"/>
        <w:spacing w:line="400" w:lineRule="exact"/>
        <w:ind w:firstLine="0" w:firstLineChars="0"/>
        <w:outlineLvl w:val="0"/>
        <w:rPr>
          <w:rFonts w:ascii="宋体" w:hAnsi="宋体" w:eastAsia="宋体" w:cs="宋体"/>
          <w:b/>
          <w:color w:val="auto"/>
          <w:sz w:val="24"/>
          <w:szCs w:val="24"/>
        </w:rPr>
      </w:pPr>
      <w:bookmarkStart w:id="10" w:name="_Toc144974504"/>
      <w:bookmarkStart w:id="11" w:name="_Toc152045536"/>
      <w:bookmarkStart w:id="12" w:name="_Toc152042312"/>
      <w:bookmarkStart w:id="13" w:name="_Toc179632553"/>
      <w:r>
        <w:rPr>
          <w:rFonts w:hint="eastAsia" w:ascii="宋体" w:hAnsi="宋体" w:eastAsia="宋体" w:cs="宋体"/>
          <w:b/>
          <w:color w:val="auto"/>
          <w:sz w:val="24"/>
          <w:szCs w:val="24"/>
        </w:rPr>
        <w:t>1.6 保密</w:t>
      </w:r>
      <w:bookmarkEnd w:id="10"/>
      <w:bookmarkEnd w:id="11"/>
      <w:bookmarkEnd w:id="12"/>
      <w:bookmarkEnd w:id="13"/>
    </w:p>
    <w:p>
      <w:pPr>
        <w:autoSpaceDE w:val="0"/>
        <w:autoSpaceDN w:val="0"/>
        <w:spacing w:line="400" w:lineRule="exact"/>
        <w:ind w:firstLine="480"/>
        <w:outlineLvl w:val="0"/>
        <w:rPr>
          <w:rFonts w:ascii="宋体" w:hAnsi="宋体" w:eastAsia="宋体" w:cs="宋体"/>
          <w:color w:val="auto"/>
          <w:sz w:val="24"/>
          <w:szCs w:val="24"/>
        </w:rPr>
      </w:pPr>
      <w:r>
        <w:rPr>
          <w:rFonts w:hint="eastAsia" w:ascii="宋体" w:hAnsi="宋体" w:eastAsia="宋体" w:cs="宋体"/>
          <w:color w:val="auto"/>
          <w:sz w:val="24"/>
          <w:szCs w:val="24"/>
        </w:rPr>
        <w:t xml:space="preserve">参与招标投标活动的各方应对招标文件和投标文件中的商业和技术等秘密保密，违者应对由此造成的后果承担法律责任。 </w:t>
      </w:r>
    </w:p>
    <w:p>
      <w:pPr>
        <w:autoSpaceDE w:val="0"/>
        <w:autoSpaceDN w:val="0"/>
        <w:spacing w:line="400" w:lineRule="exact"/>
        <w:ind w:firstLine="0" w:firstLineChars="0"/>
        <w:outlineLvl w:val="0"/>
        <w:rPr>
          <w:rFonts w:ascii="宋体" w:hAnsi="宋体" w:eastAsia="宋体" w:cs="宋体"/>
          <w:b/>
          <w:color w:val="auto"/>
          <w:sz w:val="24"/>
          <w:szCs w:val="24"/>
        </w:rPr>
      </w:pPr>
      <w:bookmarkStart w:id="14" w:name="_Toc144974505"/>
      <w:bookmarkStart w:id="15" w:name="_Toc152045537"/>
      <w:bookmarkStart w:id="16" w:name="_Toc152042313"/>
      <w:bookmarkStart w:id="17" w:name="_Toc179632554"/>
      <w:r>
        <w:rPr>
          <w:rFonts w:hint="eastAsia" w:ascii="宋体" w:hAnsi="宋体" w:eastAsia="宋体" w:cs="宋体"/>
          <w:b/>
          <w:color w:val="auto"/>
          <w:sz w:val="24"/>
          <w:szCs w:val="24"/>
        </w:rPr>
        <w:t>1.7 语言</w:t>
      </w:r>
      <w:bookmarkEnd w:id="14"/>
      <w:r>
        <w:rPr>
          <w:rFonts w:hint="eastAsia" w:ascii="宋体" w:hAnsi="宋体" w:eastAsia="宋体" w:cs="宋体"/>
          <w:b/>
          <w:color w:val="auto"/>
          <w:sz w:val="24"/>
          <w:szCs w:val="24"/>
        </w:rPr>
        <w:t>文字</w:t>
      </w:r>
      <w:bookmarkEnd w:id="15"/>
      <w:bookmarkEnd w:id="16"/>
      <w:bookmarkEnd w:id="17"/>
    </w:p>
    <w:p>
      <w:pPr>
        <w:autoSpaceDE w:val="0"/>
        <w:autoSpaceDN w:val="0"/>
        <w:spacing w:line="400" w:lineRule="exact"/>
        <w:ind w:firstLine="480"/>
        <w:outlineLvl w:val="0"/>
        <w:rPr>
          <w:rFonts w:ascii="宋体" w:hAnsi="宋体" w:eastAsia="宋体" w:cs="宋体"/>
          <w:color w:val="auto"/>
          <w:sz w:val="24"/>
          <w:szCs w:val="24"/>
        </w:rPr>
      </w:pPr>
      <w:r>
        <w:rPr>
          <w:rFonts w:hint="eastAsia" w:ascii="宋体" w:hAnsi="宋体" w:eastAsia="宋体" w:cs="宋体"/>
          <w:color w:val="auto"/>
          <w:sz w:val="24"/>
          <w:szCs w:val="24"/>
        </w:rPr>
        <w:t>除专用术语外，与招标投标有关的语言均使用中文。必要时专用术语应附有中文注释。</w:t>
      </w:r>
    </w:p>
    <w:p>
      <w:pPr>
        <w:autoSpaceDE w:val="0"/>
        <w:autoSpaceDN w:val="0"/>
        <w:spacing w:line="400" w:lineRule="exact"/>
        <w:ind w:firstLine="0" w:firstLineChars="0"/>
        <w:outlineLvl w:val="0"/>
        <w:rPr>
          <w:rFonts w:ascii="宋体" w:hAnsi="宋体" w:eastAsia="宋体" w:cs="宋体"/>
          <w:b/>
          <w:color w:val="auto"/>
          <w:sz w:val="24"/>
          <w:szCs w:val="24"/>
        </w:rPr>
      </w:pPr>
      <w:bookmarkStart w:id="18" w:name="_Toc144974506"/>
      <w:bookmarkStart w:id="19" w:name="_Toc179632555"/>
      <w:bookmarkStart w:id="20" w:name="_Toc152045538"/>
      <w:bookmarkStart w:id="21" w:name="_Toc152042314"/>
      <w:r>
        <w:rPr>
          <w:rFonts w:hint="eastAsia" w:ascii="宋体" w:hAnsi="宋体" w:eastAsia="宋体" w:cs="宋体"/>
          <w:b/>
          <w:color w:val="auto"/>
          <w:sz w:val="24"/>
          <w:szCs w:val="24"/>
        </w:rPr>
        <w:t>1.8 计量单位</w:t>
      </w:r>
      <w:bookmarkEnd w:id="18"/>
      <w:bookmarkEnd w:id="19"/>
      <w:bookmarkEnd w:id="20"/>
      <w:bookmarkEnd w:id="21"/>
    </w:p>
    <w:p>
      <w:pPr>
        <w:autoSpaceDE w:val="0"/>
        <w:autoSpaceDN w:val="0"/>
        <w:spacing w:line="400" w:lineRule="exact"/>
        <w:ind w:firstLine="480"/>
        <w:outlineLvl w:val="0"/>
        <w:rPr>
          <w:rFonts w:ascii="宋体" w:hAnsi="宋体" w:eastAsia="宋体" w:cs="宋体"/>
          <w:color w:val="auto"/>
          <w:sz w:val="24"/>
          <w:szCs w:val="24"/>
        </w:rPr>
      </w:pPr>
      <w:r>
        <w:rPr>
          <w:rFonts w:hint="eastAsia" w:ascii="宋体" w:hAnsi="宋体" w:eastAsia="宋体" w:cs="宋体"/>
          <w:color w:val="auto"/>
          <w:sz w:val="24"/>
          <w:szCs w:val="24"/>
        </w:rPr>
        <w:t>所有计量均采用中华人民共和国法定计量单位。</w:t>
      </w:r>
    </w:p>
    <w:p>
      <w:pPr>
        <w:autoSpaceDE w:val="0"/>
        <w:autoSpaceDN w:val="0"/>
        <w:spacing w:line="400" w:lineRule="exact"/>
        <w:ind w:firstLine="0" w:firstLineChars="0"/>
        <w:outlineLvl w:val="0"/>
        <w:rPr>
          <w:rFonts w:ascii="宋体" w:hAnsi="宋体" w:eastAsia="宋体" w:cs="宋体"/>
          <w:b/>
          <w:color w:val="auto"/>
          <w:sz w:val="24"/>
          <w:szCs w:val="24"/>
        </w:rPr>
      </w:pPr>
      <w:r>
        <w:rPr>
          <w:rFonts w:hint="eastAsia" w:ascii="宋体" w:hAnsi="宋体" w:eastAsia="宋体" w:cs="宋体"/>
          <w:b/>
          <w:color w:val="auto"/>
          <w:sz w:val="24"/>
          <w:szCs w:val="24"/>
        </w:rPr>
        <w:t>1.9 踏勘现场</w:t>
      </w:r>
    </w:p>
    <w:p>
      <w:pPr>
        <w:autoSpaceDE w:val="0"/>
        <w:autoSpaceDN w:val="0"/>
        <w:spacing w:line="400" w:lineRule="exact"/>
        <w:ind w:firstLine="470" w:firstLineChars="196"/>
        <w:outlineLvl w:val="0"/>
        <w:rPr>
          <w:rFonts w:ascii="宋体" w:hAnsi="宋体" w:eastAsia="宋体" w:cs="宋体"/>
          <w:color w:val="auto"/>
          <w:sz w:val="24"/>
          <w:szCs w:val="24"/>
        </w:rPr>
      </w:pPr>
      <w:bookmarkStart w:id="22" w:name="_Toc283559948"/>
      <w:r>
        <w:rPr>
          <w:rFonts w:hint="eastAsia" w:ascii="宋体" w:hAnsi="宋体" w:eastAsia="宋体" w:cs="宋体"/>
          <w:color w:val="auto"/>
          <w:sz w:val="24"/>
          <w:szCs w:val="24"/>
        </w:rPr>
        <w:t>1.9.1 本项目不组织踏勘现场，投标人可自行踏勘现场。</w:t>
      </w:r>
    </w:p>
    <w:p>
      <w:pPr>
        <w:autoSpaceDE w:val="0"/>
        <w:autoSpaceDN w:val="0"/>
        <w:spacing w:line="400" w:lineRule="exact"/>
        <w:ind w:firstLine="470" w:firstLineChars="196"/>
        <w:outlineLvl w:val="0"/>
        <w:rPr>
          <w:rFonts w:ascii="宋体" w:hAnsi="宋体" w:eastAsia="宋体" w:cs="宋体"/>
          <w:color w:val="auto"/>
          <w:sz w:val="24"/>
          <w:szCs w:val="24"/>
        </w:rPr>
      </w:pPr>
      <w:r>
        <w:rPr>
          <w:rFonts w:hint="eastAsia" w:ascii="宋体" w:hAnsi="宋体" w:eastAsia="宋体" w:cs="宋体"/>
          <w:color w:val="auto"/>
          <w:sz w:val="24"/>
          <w:szCs w:val="24"/>
        </w:rPr>
        <w:t>1.9.2 投标人踏勘现场发生的费用自理。</w:t>
      </w:r>
    </w:p>
    <w:p>
      <w:pPr>
        <w:autoSpaceDE w:val="0"/>
        <w:autoSpaceDN w:val="0"/>
        <w:spacing w:line="400" w:lineRule="exact"/>
        <w:ind w:firstLine="470" w:firstLineChars="196"/>
        <w:outlineLvl w:val="0"/>
        <w:rPr>
          <w:rFonts w:ascii="宋体" w:hAnsi="宋体" w:eastAsia="宋体" w:cs="宋体"/>
          <w:color w:val="auto"/>
          <w:sz w:val="24"/>
          <w:szCs w:val="24"/>
        </w:rPr>
      </w:pPr>
      <w:r>
        <w:rPr>
          <w:rFonts w:hint="eastAsia" w:ascii="宋体" w:hAnsi="宋体" w:eastAsia="宋体" w:cs="宋体"/>
          <w:color w:val="auto"/>
          <w:sz w:val="24"/>
          <w:szCs w:val="24"/>
        </w:rPr>
        <w:t>1.9.3 除招标人的原因外，投标人自行负责在踏勘现场中所发生的人员伤亡和财产损失。</w:t>
      </w:r>
    </w:p>
    <w:p>
      <w:pPr>
        <w:autoSpaceDE w:val="0"/>
        <w:autoSpaceDN w:val="0"/>
        <w:spacing w:line="400" w:lineRule="exact"/>
        <w:ind w:firstLine="470" w:firstLineChars="196"/>
        <w:outlineLvl w:val="0"/>
        <w:rPr>
          <w:rFonts w:ascii="宋体" w:hAnsi="宋体" w:eastAsia="宋体" w:cs="宋体"/>
          <w:color w:val="auto"/>
          <w:sz w:val="24"/>
          <w:szCs w:val="24"/>
        </w:rPr>
      </w:pPr>
      <w:r>
        <w:rPr>
          <w:rFonts w:hint="eastAsia" w:ascii="宋体" w:hAnsi="宋体" w:eastAsia="宋体" w:cs="宋体"/>
          <w:color w:val="auto"/>
          <w:sz w:val="24"/>
          <w:szCs w:val="24"/>
        </w:rPr>
        <w:t>1.9.4 招标人在踏勘现场中介绍的工程场地和相关的周边环境情况，供投标人在编制投标文件时参考，招标人不对投标人据此作出的判断和决策负责。</w:t>
      </w:r>
    </w:p>
    <w:p>
      <w:pPr>
        <w:autoSpaceDE w:val="0"/>
        <w:autoSpaceDN w:val="0"/>
        <w:spacing w:line="400" w:lineRule="exact"/>
        <w:ind w:firstLine="0" w:firstLineChars="0"/>
        <w:outlineLvl w:val="0"/>
        <w:rPr>
          <w:rFonts w:ascii="宋体" w:hAnsi="宋体" w:eastAsia="宋体" w:cs="宋体"/>
          <w:b/>
          <w:color w:val="auto"/>
          <w:sz w:val="24"/>
          <w:szCs w:val="24"/>
        </w:rPr>
      </w:pPr>
      <w:r>
        <w:rPr>
          <w:rFonts w:hint="eastAsia" w:ascii="宋体" w:hAnsi="宋体" w:eastAsia="宋体" w:cs="宋体"/>
          <w:b/>
          <w:color w:val="auto"/>
          <w:sz w:val="24"/>
          <w:szCs w:val="24"/>
        </w:rPr>
        <w:t>1.10 投标预备会</w:t>
      </w:r>
      <w:bookmarkEnd w:id="22"/>
    </w:p>
    <w:p>
      <w:pPr>
        <w:autoSpaceDE w:val="0"/>
        <w:autoSpaceDN w:val="0"/>
        <w:spacing w:line="400" w:lineRule="exact"/>
        <w:ind w:firstLine="470" w:firstLineChars="196"/>
        <w:outlineLvl w:val="0"/>
        <w:rPr>
          <w:rFonts w:ascii="宋体" w:hAnsi="宋体" w:eastAsia="宋体" w:cs="宋体"/>
          <w:b/>
          <w:color w:val="auto"/>
          <w:sz w:val="24"/>
          <w:szCs w:val="24"/>
        </w:rPr>
      </w:pPr>
      <w:r>
        <w:rPr>
          <w:rFonts w:hint="eastAsia" w:ascii="宋体" w:hAnsi="宋体" w:eastAsia="宋体" w:cs="宋体"/>
          <w:color w:val="auto"/>
          <w:sz w:val="24"/>
          <w:szCs w:val="24"/>
        </w:rPr>
        <w:t>1.10.1 招标人不召开投标预备会。</w:t>
      </w:r>
    </w:p>
    <w:p>
      <w:pPr>
        <w:autoSpaceDE w:val="0"/>
        <w:autoSpaceDN w:val="0"/>
        <w:spacing w:line="400" w:lineRule="exact"/>
        <w:ind w:firstLine="480"/>
        <w:outlineLvl w:val="0"/>
        <w:rPr>
          <w:rFonts w:ascii="宋体" w:hAnsi="宋体" w:eastAsia="宋体" w:cs="宋体"/>
          <w:color w:val="auto"/>
          <w:sz w:val="24"/>
          <w:szCs w:val="24"/>
        </w:rPr>
      </w:pPr>
      <w:r>
        <w:rPr>
          <w:rFonts w:hint="eastAsia" w:ascii="宋体" w:hAnsi="宋体" w:eastAsia="宋体" w:cs="宋体"/>
          <w:color w:val="auto"/>
          <w:sz w:val="24"/>
          <w:szCs w:val="24"/>
        </w:rPr>
        <w:t>1.10.2 投标人应在投标人须知前附表规定的时间前，将问题在公共资源交易系统电子平台上提出。</w:t>
      </w:r>
    </w:p>
    <w:p>
      <w:pPr>
        <w:autoSpaceDE w:val="0"/>
        <w:autoSpaceDN w:val="0"/>
        <w:spacing w:line="400" w:lineRule="exact"/>
        <w:ind w:firstLine="480"/>
        <w:outlineLvl w:val="0"/>
        <w:rPr>
          <w:rFonts w:ascii="宋体" w:hAnsi="宋体" w:eastAsia="宋体" w:cs="宋体"/>
          <w:color w:val="auto"/>
          <w:szCs w:val="21"/>
        </w:rPr>
      </w:pPr>
      <w:r>
        <w:rPr>
          <w:rFonts w:hint="eastAsia" w:ascii="宋体" w:hAnsi="宋体" w:eastAsia="宋体" w:cs="宋体"/>
          <w:color w:val="auto"/>
          <w:sz w:val="24"/>
          <w:szCs w:val="24"/>
        </w:rPr>
        <w:t>1.10.3 招标人在投标人须知前附表规定的时间内，将对投标人所提问题的</w:t>
      </w:r>
      <w:r>
        <w:rPr>
          <w:rFonts w:hint="eastAsia" w:ascii="宋体" w:hAnsi="宋体" w:eastAsia="宋体" w:cs="宋体"/>
          <w:color w:val="auto"/>
          <w:szCs w:val="21"/>
        </w:rPr>
        <w:t>澄清，在公共资源交易系统电子平台上予以澄清。该澄清内容为招标文件的组成部分。</w:t>
      </w:r>
    </w:p>
    <w:p>
      <w:pPr>
        <w:autoSpaceDE w:val="0"/>
        <w:autoSpaceDN w:val="0"/>
        <w:spacing w:line="400" w:lineRule="exact"/>
        <w:ind w:firstLine="0" w:firstLineChars="0"/>
        <w:outlineLvl w:val="0"/>
        <w:rPr>
          <w:rFonts w:ascii="宋体" w:hAnsi="宋体" w:eastAsia="宋体" w:cs="宋体"/>
          <w:b/>
          <w:color w:val="auto"/>
          <w:szCs w:val="21"/>
        </w:rPr>
      </w:pPr>
      <w:bookmarkStart w:id="23" w:name="_Toc283559949"/>
      <w:r>
        <w:rPr>
          <w:rFonts w:hint="eastAsia" w:ascii="宋体" w:hAnsi="宋体" w:eastAsia="宋体" w:cs="宋体"/>
          <w:b/>
          <w:color w:val="auto"/>
          <w:szCs w:val="21"/>
        </w:rPr>
        <w:t>1.11 分包</w:t>
      </w:r>
      <w:bookmarkEnd w:id="23"/>
    </w:p>
    <w:p>
      <w:pPr>
        <w:autoSpaceDE w:val="0"/>
        <w:autoSpaceDN w:val="0"/>
        <w:adjustRightInd w:val="0"/>
        <w:spacing w:line="400" w:lineRule="exact"/>
        <w:ind w:firstLine="420"/>
        <w:outlineLvl w:val="0"/>
        <w:rPr>
          <w:rFonts w:ascii="宋体" w:hAnsi="宋体" w:eastAsia="宋体" w:cs="宋体"/>
          <w:color w:val="auto"/>
          <w:szCs w:val="21"/>
        </w:rPr>
      </w:pPr>
      <w:bookmarkStart w:id="24" w:name="_Toc283559950"/>
      <w:r>
        <w:rPr>
          <w:rFonts w:hint="eastAsia" w:ascii="宋体" w:hAnsi="宋体" w:eastAsia="宋体" w:cs="宋体"/>
          <w:color w:val="auto"/>
          <w:szCs w:val="21"/>
        </w:rPr>
        <w:t>本项目不允许分包。</w:t>
      </w:r>
    </w:p>
    <w:p>
      <w:pPr>
        <w:autoSpaceDE w:val="0"/>
        <w:autoSpaceDN w:val="0"/>
        <w:adjustRightInd w:val="0"/>
        <w:spacing w:line="400" w:lineRule="exact"/>
        <w:ind w:firstLine="0" w:firstLineChars="0"/>
        <w:outlineLvl w:val="0"/>
        <w:rPr>
          <w:rFonts w:ascii="宋体" w:hAnsi="宋体" w:eastAsia="宋体" w:cs="宋体"/>
          <w:b/>
          <w:color w:val="auto"/>
          <w:szCs w:val="21"/>
        </w:rPr>
      </w:pPr>
      <w:r>
        <w:rPr>
          <w:rFonts w:hint="eastAsia" w:ascii="宋体" w:hAnsi="宋体" w:eastAsia="宋体" w:cs="宋体"/>
          <w:b/>
          <w:color w:val="auto"/>
          <w:szCs w:val="21"/>
        </w:rPr>
        <w:t xml:space="preserve">1.12 </w:t>
      </w:r>
      <w:bookmarkEnd w:id="24"/>
      <w:r>
        <w:rPr>
          <w:rFonts w:hint="eastAsia" w:ascii="宋体" w:hAnsi="宋体" w:eastAsia="宋体" w:cs="宋体"/>
          <w:b/>
          <w:color w:val="auto"/>
          <w:szCs w:val="21"/>
        </w:rPr>
        <w:t>响应和偏差</w:t>
      </w:r>
    </w:p>
    <w:p>
      <w:pPr>
        <w:autoSpaceDE w:val="0"/>
        <w:autoSpaceDN w:val="0"/>
        <w:spacing w:line="400" w:lineRule="exact"/>
        <w:ind w:firstLine="420"/>
        <w:jc w:val="both"/>
        <w:outlineLvl w:val="0"/>
        <w:rPr>
          <w:rFonts w:ascii="宋体" w:hAnsi="宋体" w:eastAsia="宋体" w:cs="宋体"/>
          <w:color w:val="auto"/>
          <w:szCs w:val="21"/>
        </w:rPr>
      </w:pPr>
      <w:r>
        <w:rPr>
          <w:rFonts w:hint="eastAsia" w:ascii="宋体" w:hAnsi="宋体" w:eastAsia="宋体" w:cs="宋体"/>
          <w:color w:val="auto"/>
          <w:szCs w:val="21"/>
        </w:rPr>
        <w:t>1.12.1 投标文件应当对招标文件的实质性要求和条件作出满足性或更有利于招标人的响应，否则，投标人的投标将被否决。实质性要求和条件见投标人须知前附表。</w:t>
      </w:r>
    </w:p>
    <w:p>
      <w:pPr>
        <w:autoSpaceDE w:val="0"/>
        <w:autoSpaceDN w:val="0"/>
        <w:spacing w:line="400" w:lineRule="exact"/>
        <w:ind w:firstLine="480"/>
        <w:jc w:val="both"/>
        <w:outlineLvl w:val="0"/>
        <w:rPr>
          <w:rFonts w:ascii="宋体" w:hAnsi="宋体" w:eastAsia="宋体" w:cs="宋体"/>
          <w:color w:val="auto"/>
          <w:sz w:val="24"/>
          <w:szCs w:val="24"/>
        </w:rPr>
      </w:pPr>
      <w:r>
        <w:rPr>
          <w:rFonts w:hint="eastAsia" w:ascii="宋体" w:hAnsi="宋体" w:eastAsia="宋体" w:cs="宋体"/>
          <w:color w:val="auto"/>
          <w:sz w:val="24"/>
          <w:szCs w:val="24"/>
        </w:rPr>
        <w:t>1.12.2 投标人应根据招标文件的要求提供投标方案等内容以对招标文件作出响应。</w:t>
      </w:r>
    </w:p>
    <w:p>
      <w:pPr>
        <w:autoSpaceDE w:val="0"/>
        <w:autoSpaceDN w:val="0"/>
        <w:spacing w:line="400" w:lineRule="exact"/>
        <w:ind w:firstLine="480"/>
        <w:jc w:val="both"/>
        <w:outlineLvl w:val="0"/>
        <w:rPr>
          <w:rFonts w:ascii="宋体" w:hAnsi="宋体" w:eastAsia="宋体" w:cs="宋体"/>
          <w:color w:val="auto"/>
          <w:sz w:val="24"/>
          <w:szCs w:val="24"/>
        </w:rPr>
      </w:pPr>
      <w:r>
        <w:rPr>
          <w:rFonts w:hint="eastAsia" w:ascii="宋体" w:hAnsi="宋体" w:eastAsia="宋体" w:cs="宋体"/>
          <w:color w:val="auto"/>
          <w:sz w:val="24"/>
          <w:szCs w:val="24"/>
        </w:rPr>
        <w:t>1.12.3 投标人须知前附表允许投标文件偏离招标文件某些要求的，偏差应当符合招标文件规定的偏差范围和幅度。</w:t>
      </w:r>
    </w:p>
    <w:p>
      <w:pPr>
        <w:pStyle w:val="94"/>
        <w:spacing w:line="400" w:lineRule="exact"/>
        <w:jc w:val="both"/>
        <w:outlineLvl w:val="0"/>
        <w:rPr>
          <w:b/>
          <w:color w:val="auto"/>
        </w:rPr>
      </w:pPr>
      <w:bookmarkStart w:id="25" w:name="_Toc283559951"/>
      <w:r>
        <w:rPr>
          <w:rFonts w:hint="eastAsia"/>
          <w:b/>
          <w:color w:val="auto"/>
        </w:rPr>
        <w:t>2. 招标文件</w:t>
      </w:r>
      <w:bookmarkEnd w:id="25"/>
    </w:p>
    <w:p>
      <w:pPr>
        <w:autoSpaceDE w:val="0"/>
        <w:autoSpaceDN w:val="0"/>
        <w:spacing w:line="400" w:lineRule="exact"/>
        <w:ind w:firstLine="0" w:firstLineChars="0"/>
        <w:outlineLvl w:val="0"/>
        <w:rPr>
          <w:rFonts w:ascii="宋体" w:hAnsi="宋体" w:eastAsia="宋体" w:cs="宋体"/>
          <w:b/>
          <w:color w:val="auto"/>
          <w:sz w:val="24"/>
          <w:szCs w:val="24"/>
        </w:rPr>
      </w:pPr>
      <w:bookmarkStart w:id="26" w:name="_Toc283559952"/>
      <w:r>
        <w:rPr>
          <w:rFonts w:hint="eastAsia" w:ascii="宋体" w:hAnsi="宋体" w:eastAsia="宋体" w:cs="宋体"/>
          <w:b/>
          <w:color w:val="auto"/>
          <w:sz w:val="24"/>
          <w:szCs w:val="24"/>
        </w:rPr>
        <w:t>2.1 招标文件的组成</w:t>
      </w:r>
      <w:bookmarkEnd w:id="26"/>
    </w:p>
    <w:p>
      <w:pPr>
        <w:autoSpaceDE w:val="0"/>
        <w:autoSpaceDN w:val="0"/>
        <w:spacing w:line="400" w:lineRule="exact"/>
        <w:ind w:firstLine="480"/>
        <w:jc w:val="both"/>
        <w:outlineLvl w:val="0"/>
        <w:rPr>
          <w:rFonts w:ascii="宋体" w:hAnsi="宋体" w:eastAsia="宋体" w:cs="宋体"/>
          <w:color w:val="auto"/>
          <w:sz w:val="24"/>
          <w:szCs w:val="24"/>
        </w:rPr>
      </w:pPr>
      <w:bookmarkStart w:id="27" w:name="_Toc179632564"/>
      <w:bookmarkStart w:id="28" w:name="_Toc152045546"/>
      <w:bookmarkStart w:id="29" w:name="_Toc144974514"/>
      <w:bookmarkStart w:id="30" w:name="_Toc152042322"/>
      <w:r>
        <w:rPr>
          <w:rFonts w:hint="eastAsia" w:ascii="宋体" w:hAnsi="宋体" w:eastAsia="宋体" w:cs="宋体"/>
          <w:color w:val="auto"/>
          <w:sz w:val="24"/>
          <w:szCs w:val="24"/>
        </w:rPr>
        <w:t>本招标文件包括：</w:t>
      </w:r>
    </w:p>
    <w:p>
      <w:pPr>
        <w:autoSpaceDE w:val="0"/>
        <w:autoSpaceDN w:val="0"/>
        <w:spacing w:line="400" w:lineRule="exact"/>
        <w:ind w:firstLine="480"/>
        <w:jc w:val="both"/>
        <w:outlineLvl w:val="0"/>
        <w:rPr>
          <w:rFonts w:ascii="宋体" w:hAnsi="宋体" w:eastAsia="宋体" w:cs="宋体"/>
          <w:color w:val="auto"/>
          <w:sz w:val="24"/>
          <w:szCs w:val="24"/>
        </w:rPr>
      </w:pPr>
      <w:r>
        <w:rPr>
          <w:rFonts w:hint="eastAsia" w:ascii="宋体" w:hAnsi="宋体" w:eastAsia="宋体" w:cs="宋体"/>
          <w:color w:val="auto"/>
          <w:sz w:val="24"/>
          <w:szCs w:val="24"/>
        </w:rPr>
        <w:t>（1）招标公告；</w:t>
      </w:r>
    </w:p>
    <w:p>
      <w:pPr>
        <w:autoSpaceDE w:val="0"/>
        <w:autoSpaceDN w:val="0"/>
        <w:spacing w:line="400" w:lineRule="exact"/>
        <w:ind w:firstLine="480"/>
        <w:jc w:val="both"/>
        <w:outlineLvl w:val="0"/>
        <w:rPr>
          <w:rFonts w:ascii="宋体" w:hAnsi="宋体" w:eastAsia="宋体" w:cs="宋体"/>
          <w:color w:val="auto"/>
          <w:sz w:val="24"/>
          <w:szCs w:val="24"/>
        </w:rPr>
      </w:pPr>
      <w:r>
        <w:rPr>
          <w:rFonts w:hint="eastAsia" w:ascii="宋体" w:hAnsi="宋体" w:eastAsia="宋体" w:cs="宋体"/>
          <w:color w:val="auto"/>
          <w:sz w:val="24"/>
          <w:szCs w:val="24"/>
        </w:rPr>
        <w:t>（2）投标人须知；</w:t>
      </w:r>
    </w:p>
    <w:p>
      <w:pPr>
        <w:autoSpaceDE w:val="0"/>
        <w:autoSpaceDN w:val="0"/>
        <w:spacing w:line="400" w:lineRule="exact"/>
        <w:ind w:firstLine="480"/>
        <w:jc w:val="both"/>
        <w:outlineLvl w:val="0"/>
        <w:rPr>
          <w:rFonts w:ascii="宋体" w:hAnsi="宋体" w:eastAsia="宋体" w:cs="宋体"/>
          <w:color w:val="auto"/>
          <w:sz w:val="24"/>
          <w:szCs w:val="24"/>
        </w:rPr>
      </w:pPr>
      <w:r>
        <w:rPr>
          <w:rFonts w:hint="eastAsia" w:ascii="宋体" w:hAnsi="宋体" w:eastAsia="宋体" w:cs="宋体"/>
          <w:color w:val="auto"/>
          <w:sz w:val="24"/>
          <w:szCs w:val="24"/>
        </w:rPr>
        <w:t>（3）评标办法；</w:t>
      </w:r>
    </w:p>
    <w:p>
      <w:pPr>
        <w:autoSpaceDE w:val="0"/>
        <w:autoSpaceDN w:val="0"/>
        <w:spacing w:line="400" w:lineRule="exact"/>
        <w:ind w:firstLine="480"/>
        <w:jc w:val="both"/>
        <w:outlineLvl w:val="0"/>
        <w:rPr>
          <w:rFonts w:ascii="宋体" w:hAnsi="宋体" w:eastAsia="宋体" w:cs="宋体"/>
          <w:color w:val="auto"/>
          <w:sz w:val="24"/>
          <w:szCs w:val="24"/>
        </w:rPr>
      </w:pPr>
      <w:r>
        <w:rPr>
          <w:rFonts w:hint="eastAsia" w:ascii="宋体" w:hAnsi="宋体" w:eastAsia="宋体" w:cs="宋体"/>
          <w:color w:val="auto"/>
          <w:sz w:val="24"/>
          <w:szCs w:val="24"/>
        </w:rPr>
        <w:t>（4）合同条款及格式；</w:t>
      </w:r>
    </w:p>
    <w:p>
      <w:pPr>
        <w:autoSpaceDE w:val="0"/>
        <w:autoSpaceDN w:val="0"/>
        <w:spacing w:line="400" w:lineRule="exact"/>
        <w:ind w:firstLine="480"/>
        <w:jc w:val="both"/>
        <w:outlineLvl w:val="0"/>
        <w:rPr>
          <w:rFonts w:ascii="宋体" w:hAnsi="宋体" w:eastAsia="宋体" w:cs="宋体"/>
          <w:color w:val="auto"/>
          <w:sz w:val="24"/>
          <w:szCs w:val="24"/>
        </w:rPr>
      </w:pPr>
      <w:r>
        <w:rPr>
          <w:rFonts w:hint="eastAsia" w:ascii="宋体" w:hAnsi="宋体" w:eastAsia="宋体" w:cs="宋体"/>
          <w:color w:val="auto"/>
          <w:sz w:val="24"/>
          <w:szCs w:val="24"/>
        </w:rPr>
        <w:t>（5）发包人要求；</w:t>
      </w:r>
    </w:p>
    <w:p>
      <w:pPr>
        <w:autoSpaceDE w:val="0"/>
        <w:autoSpaceDN w:val="0"/>
        <w:spacing w:line="400" w:lineRule="exact"/>
        <w:ind w:firstLine="480"/>
        <w:jc w:val="both"/>
        <w:outlineLvl w:val="0"/>
        <w:rPr>
          <w:rFonts w:ascii="宋体" w:hAnsi="宋体" w:eastAsia="宋体" w:cs="宋体"/>
          <w:color w:val="auto"/>
          <w:sz w:val="24"/>
          <w:szCs w:val="24"/>
        </w:rPr>
      </w:pPr>
      <w:r>
        <w:rPr>
          <w:rFonts w:hint="eastAsia" w:ascii="宋体" w:hAnsi="宋体" w:eastAsia="宋体" w:cs="宋体"/>
          <w:color w:val="auto"/>
          <w:sz w:val="24"/>
          <w:szCs w:val="24"/>
        </w:rPr>
        <w:t>（6）投标文件格式；</w:t>
      </w:r>
    </w:p>
    <w:p>
      <w:pPr>
        <w:autoSpaceDE w:val="0"/>
        <w:autoSpaceDN w:val="0"/>
        <w:spacing w:line="400" w:lineRule="exact"/>
        <w:ind w:firstLine="480"/>
        <w:jc w:val="both"/>
        <w:outlineLvl w:val="0"/>
        <w:rPr>
          <w:rFonts w:ascii="宋体" w:hAnsi="宋体" w:eastAsia="宋体" w:cs="宋体"/>
          <w:color w:val="auto"/>
          <w:sz w:val="24"/>
          <w:szCs w:val="24"/>
        </w:rPr>
      </w:pPr>
      <w:r>
        <w:rPr>
          <w:rFonts w:hint="eastAsia" w:ascii="宋体" w:hAnsi="宋体" w:eastAsia="宋体" w:cs="宋体"/>
          <w:color w:val="auto"/>
          <w:sz w:val="24"/>
          <w:szCs w:val="24"/>
        </w:rPr>
        <w:t>（7）投标人须知前附表规定的其他资料。</w:t>
      </w:r>
    </w:p>
    <w:p>
      <w:pPr>
        <w:autoSpaceDE w:val="0"/>
        <w:autoSpaceDN w:val="0"/>
        <w:spacing w:line="400" w:lineRule="exact"/>
        <w:ind w:firstLine="480"/>
        <w:jc w:val="both"/>
        <w:outlineLvl w:val="0"/>
        <w:rPr>
          <w:rFonts w:ascii="宋体" w:hAnsi="宋体" w:eastAsia="宋体" w:cs="宋体"/>
          <w:color w:val="auto"/>
          <w:sz w:val="24"/>
        </w:rPr>
      </w:pPr>
      <w:r>
        <w:rPr>
          <w:rFonts w:hint="eastAsia" w:ascii="宋体" w:hAnsi="宋体" w:eastAsia="宋体" w:cs="宋体"/>
          <w:color w:val="auto"/>
          <w:sz w:val="24"/>
          <w:szCs w:val="24"/>
        </w:rPr>
        <w:t>根据本章第1.10款、第2.2款和第2.</w:t>
      </w:r>
      <w:r>
        <w:rPr>
          <w:rFonts w:hint="eastAsia" w:ascii="宋体" w:hAnsi="宋体" w:eastAsia="宋体" w:cs="宋体"/>
          <w:color w:val="auto"/>
          <w:sz w:val="24"/>
        </w:rPr>
        <w:t>3款对招标文件所作的澄清、修改，构成招标文件的组成部分。</w:t>
      </w:r>
    </w:p>
    <w:p>
      <w:pPr>
        <w:pStyle w:val="7"/>
        <w:spacing w:line="400" w:lineRule="exact"/>
        <w:ind w:firstLine="0" w:firstLineChars="0"/>
        <w:rPr>
          <w:rFonts w:ascii="宋体" w:hAnsi="宋体" w:eastAsia="宋体" w:cs="宋体"/>
          <w:color w:val="auto"/>
          <w:sz w:val="24"/>
          <w:szCs w:val="24"/>
        </w:rPr>
      </w:pPr>
      <w:r>
        <w:rPr>
          <w:rFonts w:hint="eastAsia" w:ascii="宋体" w:hAnsi="宋体" w:eastAsia="宋体" w:cs="宋体"/>
          <w:color w:val="auto"/>
          <w:sz w:val="24"/>
          <w:szCs w:val="24"/>
        </w:rPr>
        <w:t>2.2 招标文件的澄清</w:t>
      </w:r>
    </w:p>
    <w:p>
      <w:pPr>
        <w:autoSpaceDE w:val="0"/>
        <w:autoSpaceDN w:val="0"/>
        <w:adjustRightInd w:val="0"/>
        <w:spacing w:line="400" w:lineRule="exact"/>
        <w:ind w:firstLine="480"/>
        <w:jc w:val="both"/>
        <w:rPr>
          <w:rFonts w:ascii="宋体" w:hAnsi="宋体" w:eastAsia="宋体" w:cs="宋体"/>
          <w:color w:val="auto"/>
          <w:sz w:val="24"/>
        </w:rPr>
      </w:pPr>
      <w:bookmarkStart w:id="31" w:name="_Toc215282144"/>
      <w:r>
        <w:rPr>
          <w:rFonts w:hint="eastAsia" w:ascii="宋体" w:hAnsi="宋体" w:eastAsia="宋体" w:cs="宋体"/>
          <w:color w:val="auto"/>
          <w:sz w:val="24"/>
        </w:rPr>
        <w:t>2.2.1 投标人应仔细阅读和检查招标文件的全部内容。如发现缺页或附件不全，应及时向招 标人提出，以便补齐。如有疑问，应按投标人须知前附表规定的时间和形式将提出的问题送达 招标人，要求招标人对招标文件予以澄清。</w:t>
      </w:r>
    </w:p>
    <w:p>
      <w:pPr>
        <w:autoSpaceDE w:val="0"/>
        <w:autoSpaceDN w:val="0"/>
        <w:adjustRightInd w:val="0"/>
        <w:spacing w:line="400" w:lineRule="exact"/>
        <w:ind w:firstLine="480"/>
        <w:jc w:val="both"/>
        <w:rPr>
          <w:rFonts w:ascii="宋体" w:hAnsi="宋体" w:eastAsia="宋体" w:cs="宋体"/>
          <w:color w:val="auto"/>
          <w:sz w:val="24"/>
        </w:rPr>
      </w:pPr>
      <w:r>
        <w:rPr>
          <w:rFonts w:hint="eastAsia" w:ascii="宋体" w:hAnsi="宋体" w:eastAsia="宋体" w:cs="宋体"/>
          <w:color w:val="auto"/>
          <w:sz w:val="24"/>
        </w:rPr>
        <w:t>2.2.2 招标文件的澄清以投标人须知前附表规定的形式发给所有购买招标文件的投标人，但不指明澄清问题的来源。澄清发出的时间距本章第4.2.1项规定的投标截止时间不足 15日的，并且澄清内容可能影响投标文件编制的，将相应延长投标截止时间。</w:t>
      </w:r>
    </w:p>
    <w:p>
      <w:pPr>
        <w:autoSpaceDE w:val="0"/>
        <w:autoSpaceDN w:val="0"/>
        <w:adjustRightInd w:val="0"/>
        <w:spacing w:line="400" w:lineRule="exact"/>
        <w:ind w:firstLine="480"/>
        <w:jc w:val="both"/>
        <w:rPr>
          <w:rFonts w:ascii="宋体" w:hAnsi="宋体" w:eastAsia="宋体" w:cs="宋体"/>
          <w:color w:val="auto"/>
          <w:sz w:val="24"/>
        </w:rPr>
      </w:pPr>
      <w:r>
        <w:rPr>
          <w:rFonts w:hint="eastAsia" w:ascii="宋体" w:hAnsi="宋体" w:eastAsia="宋体" w:cs="宋体"/>
          <w:color w:val="auto"/>
          <w:sz w:val="24"/>
        </w:rPr>
        <w:t>2.2.3 投标人在收到澄清后，应按投标人须知前附表规定的时间和形式通知招标人，确认已收到该澄清。</w:t>
      </w:r>
    </w:p>
    <w:p>
      <w:pPr>
        <w:autoSpaceDE w:val="0"/>
        <w:autoSpaceDN w:val="0"/>
        <w:adjustRightInd w:val="0"/>
        <w:spacing w:line="400" w:lineRule="exact"/>
        <w:ind w:firstLine="480"/>
        <w:jc w:val="both"/>
        <w:rPr>
          <w:rFonts w:ascii="宋体" w:hAnsi="宋体" w:eastAsia="宋体" w:cs="宋体"/>
          <w:color w:val="auto"/>
          <w:sz w:val="24"/>
        </w:rPr>
      </w:pPr>
      <w:r>
        <w:rPr>
          <w:rFonts w:hint="eastAsia" w:ascii="宋体" w:hAnsi="宋体" w:eastAsia="宋体" w:cs="宋体"/>
          <w:color w:val="auto"/>
          <w:sz w:val="24"/>
        </w:rPr>
        <w:t>2.2.4 除非招标人认为确有必要答复，否则，招标人有权拒绝回复投标人在本章第2.2.1项规定的时间后的任何澄清要求。</w:t>
      </w:r>
    </w:p>
    <w:p>
      <w:pPr>
        <w:autoSpaceDE w:val="0"/>
        <w:autoSpaceDN w:val="0"/>
        <w:adjustRightInd w:val="0"/>
        <w:spacing w:line="400" w:lineRule="exact"/>
        <w:ind w:firstLine="480"/>
        <w:jc w:val="both"/>
        <w:rPr>
          <w:rFonts w:ascii="宋体" w:hAnsi="宋体" w:eastAsia="宋体" w:cs="宋体"/>
          <w:color w:val="auto"/>
          <w:sz w:val="24"/>
        </w:rPr>
      </w:pPr>
      <w:r>
        <w:rPr>
          <w:rFonts w:hint="eastAsia" w:ascii="宋体" w:hAnsi="宋体" w:eastAsia="宋体" w:cs="宋体"/>
          <w:color w:val="auto"/>
          <w:sz w:val="24"/>
        </w:rPr>
        <w:t>2.2.5 所有澄清、答疑全部以全国公共资源交易平台（河南省·许昌市）发出的为准，不再接受书面形式的递交。</w:t>
      </w:r>
    </w:p>
    <w:p>
      <w:pPr>
        <w:pStyle w:val="7"/>
        <w:spacing w:line="400" w:lineRule="exact"/>
        <w:ind w:firstLine="0" w:firstLineChars="0"/>
        <w:jc w:val="both"/>
        <w:rPr>
          <w:rFonts w:ascii="宋体" w:hAnsi="宋体" w:eastAsia="宋体" w:cs="宋体"/>
          <w:color w:val="auto"/>
          <w:sz w:val="24"/>
          <w:szCs w:val="24"/>
        </w:rPr>
      </w:pPr>
      <w:r>
        <w:rPr>
          <w:rFonts w:hint="eastAsia" w:ascii="宋体" w:hAnsi="宋体" w:eastAsia="宋体" w:cs="宋体"/>
          <w:color w:val="auto"/>
          <w:sz w:val="24"/>
          <w:szCs w:val="24"/>
        </w:rPr>
        <w:t>2.3 招标文件的修改</w:t>
      </w:r>
      <w:bookmarkEnd w:id="31"/>
    </w:p>
    <w:p>
      <w:pPr>
        <w:autoSpaceDE w:val="0"/>
        <w:autoSpaceDN w:val="0"/>
        <w:adjustRightInd w:val="0"/>
        <w:spacing w:line="400" w:lineRule="exact"/>
        <w:ind w:firstLine="616" w:firstLineChars="257"/>
        <w:jc w:val="both"/>
        <w:rPr>
          <w:rFonts w:ascii="宋体" w:hAnsi="宋体" w:eastAsia="宋体" w:cs="宋体"/>
          <w:color w:val="auto"/>
          <w:sz w:val="24"/>
          <w:szCs w:val="24"/>
        </w:rPr>
      </w:pPr>
      <w:r>
        <w:rPr>
          <w:rFonts w:hint="eastAsia" w:ascii="宋体" w:hAnsi="宋体" w:eastAsia="宋体" w:cs="宋体"/>
          <w:color w:val="auto"/>
          <w:sz w:val="24"/>
          <w:szCs w:val="24"/>
        </w:rPr>
        <w:t>2.3.1 招标人以投标人须知前附表规定的形式修改招标文件，并通知所有已购买招标文件的投标人。修改招标文件的时间距本章第4.2.1项规定的投标截止时间不足 15 日的，并且修改内容可能影响投标文件编制的，将相应延长投标截止时间。</w:t>
      </w:r>
    </w:p>
    <w:p>
      <w:pPr>
        <w:autoSpaceDE w:val="0"/>
        <w:autoSpaceDN w:val="0"/>
        <w:adjustRightInd w:val="0"/>
        <w:spacing w:line="400" w:lineRule="exact"/>
        <w:ind w:firstLine="616" w:firstLineChars="257"/>
        <w:jc w:val="both"/>
        <w:rPr>
          <w:rFonts w:ascii="宋体" w:hAnsi="宋体" w:eastAsia="宋体" w:cs="宋体"/>
          <w:color w:val="auto"/>
          <w:sz w:val="24"/>
          <w:szCs w:val="24"/>
        </w:rPr>
      </w:pPr>
      <w:r>
        <w:rPr>
          <w:rFonts w:hint="eastAsia" w:ascii="宋体" w:hAnsi="宋体" w:eastAsia="宋体" w:cs="宋体"/>
          <w:color w:val="auto"/>
          <w:sz w:val="24"/>
          <w:szCs w:val="24"/>
        </w:rPr>
        <w:t>2.3.2 投标人收到修改内容后，应按投标人须知前附表规定的时间和形式通知招标人，确认已收到该修改。</w:t>
      </w:r>
    </w:p>
    <w:p>
      <w:pPr>
        <w:autoSpaceDE w:val="0"/>
        <w:autoSpaceDN w:val="0"/>
        <w:adjustRightInd w:val="0"/>
        <w:spacing w:line="400" w:lineRule="exact"/>
        <w:ind w:firstLine="616" w:firstLineChars="257"/>
        <w:jc w:val="both"/>
        <w:rPr>
          <w:rFonts w:ascii="宋体" w:hAnsi="宋体" w:eastAsia="宋体" w:cs="宋体"/>
          <w:color w:val="auto"/>
          <w:sz w:val="24"/>
          <w:szCs w:val="24"/>
        </w:rPr>
      </w:pPr>
      <w:r>
        <w:rPr>
          <w:rFonts w:hint="eastAsia" w:ascii="宋体" w:hAnsi="宋体" w:eastAsia="宋体" w:cs="宋体"/>
          <w:color w:val="auto"/>
          <w:sz w:val="24"/>
          <w:szCs w:val="24"/>
        </w:rPr>
        <w:t>2.3.3 当招标文件（含评标、定标办法）、补充通知、答疑纪要，内容相互矛盾时，以最后发出的通知（或纪要）为准。</w:t>
      </w:r>
    </w:p>
    <w:p>
      <w:pPr>
        <w:pStyle w:val="7"/>
        <w:spacing w:line="400" w:lineRule="exact"/>
        <w:ind w:firstLine="0" w:firstLineChars="0"/>
        <w:jc w:val="both"/>
        <w:rPr>
          <w:rFonts w:ascii="宋体" w:hAnsi="宋体" w:eastAsia="宋体" w:cs="宋体"/>
          <w:color w:val="auto"/>
          <w:sz w:val="24"/>
          <w:szCs w:val="24"/>
        </w:rPr>
      </w:pPr>
      <w:r>
        <w:rPr>
          <w:rFonts w:ascii="宋体" w:hAnsi="宋体" w:eastAsia="宋体" w:cs="宋体"/>
          <w:color w:val="auto"/>
          <w:sz w:val="24"/>
          <w:szCs w:val="24"/>
        </w:rPr>
        <mc:AlternateContent>
          <mc:Choice Requires="wps">
            <w:drawing>
              <wp:anchor distT="0" distB="0" distL="114300" distR="114300" simplePos="0" relativeHeight="251714560" behindDoc="1" locked="0" layoutInCell="1" allowOverlap="1">
                <wp:simplePos x="0" y="0"/>
                <wp:positionH relativeFrom="page">
                  <wp:posOffset>-47625</wp:posOffset>
                </wp:positionH>
                <wp:positionV relativeFrom="page">
                  <wp:posOffset>0</wp:posOffset>
                </wp:positionV>
                <wp:extent cx="7773670" cy="10059670"/>
                <wp:effectExtent l="0" t="0" r="17780" b="17780"/>
                <wp:wrapNone/>
                <wp:docPr id="2" name="自选图形 8"/>
                <wp:cNvGraphicFramePr/>
                <a:graphic xmlns:a="http://schemas.openxmlformats.org/drawingml/2006/main">
                  <a:graphicData uri="http://schemas.microsoft.com/office/word/2010/wordprocessingShape">
                    <wps:wsp>
                      <wps:cNvSpPr/>
                      <wps:spPr>
                        <a:xfrm>
                          <a:off x="0" y="0"/>
                          <a:ext cx="7773670" cy="10059670"/>
                        </a:xfrm>
                        <a:prstGeom prst="star5">
                          <a:avLst/>
                        </a:prstGeom>
                        <a:solidFill>
                          <a:srgbClr val="FFFFFF"/>
                        </a:solidFill>
                        <a:ln w="9525">
                          <a:noFill/>
                        </a:ln>
                        <a:effectLst/>
                      </wps:spPr>
                      <wps:bodyPr upright="1"/>
                    </wps:wsp>
                  </a:graphicData>
                </a:graphic>
              </wp:anchor>
            </w:drawing>
          </mc:Choice>
          <mc:Fallback>
            <w:pict>
              <v:shape id="自选图形 8" o:spid="_x0000_s1026" style="position:absolute;left:0pt;margin-left:-3.75pt;margin-top:0pt;height:792.1pt;width:612.1pt;mso-position-horizontal-relative:page;mso-position-vertical-relative:page;z-index:-251601920;mso-width-relative:page;mso-height-relative:page;" fillcolor="#FFFFFF" filled="t" stroked="f" coordsize="7773670,10059670" o:gfxdata="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QdyPNcA&#10;AAAJAQAADwAAAAAAAAABACAAAAAiAAAAZHJzL2Rvd25yZXYueG1sUEsBAhQAFAAAAAgAh07iQO3W&#10;4JGuAQAAMQMAAA4AAAAAAAAAAQAgAAAAJgEAAGRycy9lMm9Eb2MueG1sUEsFBgAAAAAGAAYAWQEA&#10;AEYFAAAAAA==&#10;" path="m8,3842442l2969294,3842469,3886835,0,4804375,3842469,7773661,3842442,5371447,6217191,6289026,10059644,3886835,7684851,1484643,10059644,2402222,6217191xe">
                <v:path o:connectlocs="3886835,0;8,3842442;1484643,10059644;6289026,10059644;7773661,3842442" o:connectangles="247,164,82,82,0"/>
                <v:fill on="t" focussize="0,0"/>
                <v:stroke on="f"/>
                <v:imagedata o:title=""/>
                <o:lock v:ext="edit" aspectratio="f"/>
              </v:shape>
            </w:pict>
          </mc:Fallback>
        </mc:AlternateContent>
      </w:r>
      <w:r>
        <w:rPr>
          <w:rFonts w:hint="eastAsia" w:ascii="宋体" w:hAnsi="宋体" w:eastAsia="宋体" w:cs="宋体"/>
          <w:color w:val="auto"/>
          <w:sz w:val="24"/>
          <w:szCs w:val="24"/>
        </w:rPr>
        <w:t>2.4 招标文件的异议</w:t>
      </w:r>
    </w:p>
    <w:p>
      <w:pPr>
        <w:autoSpaceDE w:val="0"/>
        <w:autoSpaceDN w:val="0"/>
        <w:adjustRightInd w:val="0"/>
        <w:spacing w:line="400" w:lineRule="exact"/>
        <w:ind w:firstLine="480"/>
        <w:jc w:val="both"/>
        <w:rPr>
          <w:rFonts w:ascii="宋体" w:hAnsi="宋体" w:eastAsia="宋体" w:cs="宋体"/>
          <w:color w:val="auto"/>
          <w:sz w:val="24"/>
          <w:szCs w:val="24"/>
        </w:rPr>
      </w:pPr>
      <w:r>
        <w:rPr>
          <w:rFonts w:hint="eastAsia" w:ascii="宋体" w:hAnsi="宋体" w:eastAsia="宋体" w:cs="宋体"/>
          <w:color w:val="auto"/>
          <w:sz w:val="24"/>
          <w:szCs w:val="24"/>
        </w:rPr>
        <w:t>投标人或者其他利害关系人对招标文件有异议的，应当在投标截止时间10日前以书面形式提出。招标人将在收到异议之日起3日内作出答复；作出答复前，将暂停招标投标活动。</w:t>
      </w:r>
    </w:p>
    <w:p>
      <w:pPr>
        <w:autoSpaceDE w:val="0"/>
        <w:autoSpaceDN w:val="0"/>
        <w:spacing w:line="400" w:lineRule="exact"/>
        <w:ind w:firstLine="0" w:firstLineChars="0"/>
        <w:outlineLvl w:val="0"/>
        <w:rPr>
          <w:rFonts w:ascii="宋体" w:hAnsi="宋体" w:eastAsia="宋体" w:cs="宋体"/>
          <w:b/>
          <w:color w:val="auto"/>
          <w:sz w:val="24"/>
          <w:szCs w:val="24"/>
        </w:rPr>
      </w:pPr>
      <w:r>
        <w:rPr>
          <w:rFonts w:hint="eastAsia" w:ascii="宋体" w:hAnsi="宋体" w:eastAsia="宋体" w:cs="宋体"/>
          <w:b/>
          <w:color w:val="auto"/>
          <w:sz w:val="24"/>
          <w:szCs w:val="24"/>
        </w:rPr>
        <w:t>3. 投标文件</w:t>
      </w:r>
      <w:bookmarkEnd w:id="27"/>
      <w:bookmarkEnd w:id="28"/>
      <w:bookmarkEnd w:id="29"/>
      <w:bookmarkEnd w:id="30"/>
    </w:p>
    <w:p>
      <w:pPr>
        <w:autoSpaceDE w:val="0"/>
        <w:autoSpaceDN w:val="0"/>
        <w:spacing w:line="400" w:lineRule="exact"/>
        <w:ind w:firstLine="0" w:firstLineChars="0"/>
        <w:outlineLvl w:val="0"/>
        <w:rPr>
          <w:rFonts w:ascii="宋体" w:hAnsi="宋体" w:eastAsia="宋体" w:cs="宋体"/>
          <w:b/>
          <w:color w:val="auto"/>
          <w:sz w:val="24"/>
          <w:szCs w:val="24"/>
        </w:rPr>
      </w:pPr>
      <w:bookmarkStart w:id="32" w:name="_Toc278443453"/>
      <w:r>
        <w:rPr>
          <w:rFonts w:hint="eastAsia" w:ascii="宋体" w:hAnsi="宋体" w:eastAsia="宋体" w:cs="宋体"/>
          <w:b/>
          <w:color w:val="auto"/>
          <w:sz w:val="24"/>
          <w:szCs w:val="24"/>
        </w:rPr>
        <w:t>3.1 投标文件的组成。</w:t>
      </w:r>
    </w:p>
    <w:p>
      <w:pPr>
        <w:autoSpaceDE w:val="0"/>
        <w:autoSpaceDN w:val="0"/>
        <w:adjustRightInd w:val="0"/>
        <w:spacing w:line="400" w:lineRule="exact"/>
        <w:ind w:firstLine="480"/>
        <w:rPr>
          <w:rFonts w:ascii="宋体" w:hAnsi="宋体" w:eastAsia="宋体" w:cs="宋体"/>
          <w:color w:val="auto"/>
          <w:sz w:val="24"/>
        </w:rPr>
      </w:pPr>
      <w:r>
        <w:rPr>
          <w:rFonts w:hint="eastAsia" w:ascii="宋体" w:hAnsi="宋体" w:eastAsia="宋体" w:cs="宋体"/>
          <w:color w:val="auto"/>
          <w:sz w:val="24"/>
        </w:rPr>
        <w:t>3.1.1 投标文件应包括下列内容：</w:t>
      </w:r>
    </w:p>
    <w:p>
      <w:pPr>
        <w:autoSpaceDE w:val="0"/>
        <w:autoSpaceDN w:val="0"/>
        <w:adjustRightInd w:val="0"/>
        <w:spacing w:line="400" w:lineRule="exact"/>
        <w:ind w:firstLine="480"/>
        <w:rPr>
          <w:rFonts w:ascii="宋体" w:hAnsi="宋体" w:eastAsia="宋体" w:cs="宋体"/>
          <w:color w:val="auto"/>
          <w:sz w:val="24"/>
        </w:rPr>
      </w:pPr>
      <w:r>
        <w:rPr>
          <w:rFonts w:hint="eastAsia" w:ascii="宋体" w:hAnsi="宋体" w:eastAsia="宋体" w:cs="宋体"/>
          <w:color w:val="auto"/>
          <w:sz w:val="24"/>
        </w:rPr>
        <w:t>一、投标函及投标函附录；</w:t>
      </w:r>
    </w:p>
    <w:p>
      <w:pPr>
        <w:autoSpaceDE w:val="0"/>
        <w:autoSpaceDN w:val="0"/>
        <w:adjustRightInd w:val="0"/>
        <w:spacing w:line="400" w:lineRule="exact"/>
        <w:ind w:firstLine="480"/>
        <w:rPr>
          <w:rFonts w:ascii="宋体" w:hAnsi="宋体" w:eastAsia="宋体" w:cs="宋体"/>
          <w:color w:val="auto"/>
          <w:sz w:val="24"/>
        </w:rPr>
      </w:pPr>
      <w:r>
        <w:rPr>
          <w:rFonts w:hint="eastAsia" w:ascii="宋体" w:hAnsi="宋体" w:eastAsia="宋体" w:cs="宋体"/>
          <w:color w:val="auto"/>
          <w:sz w:val="24"/>
        </w:rPr>
        <w:t>二、法定代表人（单位负责人）身份证明或授权委托书；</w:t>
      </w:r>
    </w:p>
    <w:p>
      <w:pPr>
        <w:autoSpaceDE w:val="0"/>
        <w:autoSpaceDN w:val="0"/>
        <w:adjustRightInd w:val="0"/>
        <w:spacing w:line="400" w:lineRule="exact"/>
        <w:ind w:firstLine="480"/>
        <w:rPr>
          <w:rFonts w:ascii="宋体" w:hAnsi="宋体" w:eastAsia="宋体" w:cs="宋体"/>
          <w:color w:val="auto"/>
          <w:sz w:val="24"/>
        </w:rPr>
      </w:pPr>
      <w:r>
        <w:rPr>
          <w:rFonts w:hint="eastAsia" w:ascii="宋体" w:hAnsi="宋体" w:eastAsia="宋体" w:cs="宋体"/>
          <w:color w:val="auto"/>
          <w:sz w:val="24"/>
        </w:rPr>
        <w:t>三、投标保证金；</w:t>
      </w:r>
    </w:p>
    <w:p>
      <w:pPr>
        <w:autoSpaceDE w:val="0"/>
        <w:autoSpaceDN w:val="0"/>
        <w:adjustRightInd w:val="0"/>
        <w:spacing w:line="400" w:lineRule="exact"/>
        <w:ind w:firstLine="480"/>
        <w:rPr>
          <w:rFonts w:ascii="宋体" w:hAnsi="宋体" w:eastAsia="宋体" w:cs="宋体"/>
          <w:color w:val="auto"/>
          <w:sz w:val="24"/>
        </w:rPr>
      </w:pPr>
      <w:r>
        <w:rPr>
          <w:rFonts w:hint="eastAsia" w:ascii="宋体" w:hAnsi="宋体" w:eastAsia="宋体" w:cs="宋体"/>
          <w:color w:val="auto"/>
          <w:sz w:val="24"/>
        </w:rPr>
        <w:t>四、</w:t>
      </w:r>
      <w:r>
        <w:rPr>
          <w:rFonts w:hint="eastAsia" w:ascii="宋体" w:hAnsi="宋体" w:cs="宋体"/>
          <w:color w:val="auto"/>
          <w:sz w:val="24"/>
          <w:lang w:eastAsia="zh-CN"/>
        </w:rPr>
        <w:t>勘察</w:t>
      </w:r>
      <w:r>
        <w:rPr>
          <w:rFonts w:hint="eastAsia" w:ascii="宋体" w:hAnsi="宋体" w:eastAsia="宋体" w:cs="宋体"/>
          <w:color w:val="auto"/>
          <w:sz w:val="24"/>
        </w:rPr>
        <w:t>费用清单；</w:t>
      </w:r>
    </w:p>
    <w:p>
      <w:pPr>
        <w:autoSpaceDE w:val="0"/>
        <w:autoSpaceDN w:val="0"/>
        <w:adjustRightInd w:val="0"/>
        <w:spacing w:line="400" w:lineRule="exact"/>
        <w:ind w:firstLine="480"/>
        <w:rPr>
          <w:rFonts w:ascii="宋体" w:hAnsi="宋体" w:eastAsia="宋体" w:cs="宋体"/>
          <w:color w:val="auto"/>
          <w:sz w:val="24"/>
        </w:rPr>
      </w:pPr>
      <w:r>
        <w:rPr>
          <w:rFonts w:hint="eastAsia" w:ascii="宋体" w:hAnsi="宋体" w:eastAsia="宋体" w:cs="宋体"/>
          <w:color w:val="auto"/>
          <w:sz w:val="24"/>
        </w:rPr>
        <w:t>五、资格审查资料；</w:t>
      </w:r>
    </w:p>
    <w:p>
      <w:pPr>
        <w:autoSpaceDE w:val="0"/>
        <w:autoSpaceDN w:val="0"/>
        <w:adjustRightInd w:val="0"/>
        <w:spacing w:line="400" w:lineRule="exact"/>
        <w:ind w:firstLine="480"/>
        <w:rPr>
          <w:rFonts w:ascii="宋体" w:hAnsi="宋体" w:eastAsia="宋体" w:cs="宋体"/>
          <w:color w:val="auto"/>
          <w:sz w:val="24"/>
        </w:rPr>
      </w:pPr>
      <w:r>
        <w:rPr>
          <w:rFonts w:hint="eastAsia" w:ascii="宋体" w:hAnsi="宋体" w:eastAsia="宋体" w:cs="宋体"/>
          <w:color w:val="auto"/>
          <w:sz w:val="24"/>
        </w:rPr>
        <w:t>六、</w:t>
      </w:r>
      <w:r>
        <w:rPr>
          <w:rFonts w:hint="eastAsia" w:ascii="宋体" w:hAnsi="宋体" w:cs="宋体"/>
          <w:color w:val="auto"/>
          <w:sz w:val="24"/>
          <w:lang w:eastAsia="zh-CN"/>
        </w:rPr>
        <w:t>勘察</w:t>
      </w:r>
      <w:r>
        <w:rPr>
          <w:rFonts w:hint="eastAsia" w:ascii="宋体" w:hAnsi="宋体" w:eastAsia="宋体" w:cs="宋体"/>
          <w:color w:val="auto"/>
          <w:sz w:val="24"/>
        </w:rPr>
        <w:t>方案；</w:t>
      </w:r>
    </w:p>
    <w:p>
      <w:pPr>
        <w:autoSpaceDE w:val="0"/>
        <w:autoSpaceDN w:val="0"/>
        <w:adjustRightInd w:val="0"/>
        <w:spacing w:line="400" w:lineRule="exact"/>
        <w:ind w:firstLine="480"/>
        <w:rPr>
          <w:rFonts w:ascii="宋体" w:hAnsi="宋体" w:eastAsia="宋体" w:cs="宋体"/>
          <w:color w:val="auto"/>
          <w:sz w:val="24"/>
        </w:rPr>
      </w:pPr>
      <w:r>
        <w:rPr>
          <w:rFonts w:hint="eastAsia" w:ascii="宋体" w:hAnsi="宋体" w:eastAsia="宋体" w:cs="宋体"/>
          <w:color w:val="auto"/>
          <w:sz w:val="24"/>
        </w:rPr>
        <w:t>七、投标人须知前附表规定的其他资料。</w:t>
      </w:r>
    </w:p>
    <w:p>
      <w:pPr>
        <w:tabs>
          <w:tab w:val="left" w:pos="1260"/>
        </w:tabs>
        <w:autoSpaceDE w:val="0"/>
        <w:autoSpaceDN w:val="0"/>
        <w:adjustRightInd w:val="0"/>
        <w:spacing w:line="400" w:lineRule="exact"/>
        <w:ind w:firstLine="480"/>
        <w:jc w:val="both"/>
        <w:rPr>
          <w:rFonts w:ascii="宋体" w:hAnsi="宋体" w:eastAsia="宋体" w:cs="宋体"/>
          <w:color w:val="auto"/>
          <w:sz w:val="24"/>
          <w:szCs w:val="24"/>
        </w:rPr>
      </w:pPr>
      <w:r>
        <w:rPr>
          <w:rFonts w:hint="eastAsia" w:ascii="宋体" w:hAnsi="宋体" w:eastAsia="宋体" w:cs="宋体"/>
          <w:color w:val="auto"/>
          <w:sz w:val="24"/>
          <w:szCs w:val="24"/>
        </w:rPr>
        <w:t>投标人在评标过程中作出的符合法律法规和招标文件规定的澄清确认，构成投标文件的组成部分。</w:t>
      </w:r>
    </w:p>
    <w:p>
      <w:pPr>
        <w:tabs>
          <w:tab w:val="left" w:pos="1260"/>
        </w:tabs>
        <w:autoSpaceDE w:val="0"/>
        <w:autoSpaceDN w:val="0"/>
        <w:adjustRightInd w:val="0"/>
        <w:spacing w:line="400" w:lineRule="exact"/>
        <w:ind w:firstLine="480"/>
        <w:jc w:val="both"/>
        <w:rPr>
          <w:rFonts w:ascii="宋体" w:hAnsi="宋体" w:eastAsia="宋体" w:cs="宋体"/>
          <w:color w:val="auto"/>
          <w:sz w:val="24"/>
          <w:szCs w:val="24"/>
        </w:rPr>
      </w:pPr>
      <w:r>
        <w:rPr>
          <w:rFonts w:hint="eastAsia" w:ascii="宋体" w:hAnsi="宋体" w:eastAsia="宋体" w:cs="宋体"/>
          <w:color w:val="auto"/>
          <w:sz w:val="24"/>
          <w:szCs w:val="24"/>
        </w:rPr>
        <w:t>3.1.2 投标人须知前附表规定不接受联合体投标的，或投标人没有组成联合体的，投标文件不包括本章第3.1.1（3）目所指的联合体协议书。</w:t>
      </w:r>
    </w:p>
    <w:p>
      <w:pPr>
        <w:tabs>
          <w:tab w:val="left" w:pos="1260"/>
        </w:tabs>
        <w:autoSpaceDE w:val="0"/>
        <w:autoSpaceDN w:val="0"/>
        <w:adjustRightInd w:val="0"/>
        <w:spacing w:line="400" w:lineRule="exact"/>
        <w:ind w:left="479" w:leftChars="228" w:firstLine="0" w:firstLineChars="0"/>
        <w:jc w:val="both"/>
        <w:rPr>
          <w:color w:val="auto"/>
        </w:rPr>
      </w:pPr>
      <w:r>
        <w:rPr>
          <w:rFonts w:hint="eastAsia" w:ascii="宋体" w:hAnsi="宋体" w:eastAsia="宋体" w:cs="宋体"/>
          <w:color w:val="auto"/>
          <w:sz w:val="24"/>
          <w:szCs w:val="24"/>
        </w:rPr>
        <w:t xml:space="preserve">3.1.3 投标人须知前附表未要求提交投标保证金的，投标文件不包括本章第 </w:t>
      </w:r>
    </w:p>
    <w:p>
      <w:pPr>
        <w:tabs>
          <w:tab w:val="left" w:pos="1260"/>
        </w:tabs>
        <w:autoSpaceDE w:val="0"/>
        <w:autoSpaceDN w:val="0"/>
        <w:adjustRightInd w:val="0"/>
        <w:spacing w:line="400" w:lineRule="exact"/>
        <w:ind w:firstLine="0" w:firstLineChars="0"/>
        <w:jc w:val="both"/>
        <w:rPr>
          <w:rFonts w:ascii="宋体" w:hAnsi="宋体" w:eastAsia="宋体" w:cs="宋体"/>
          <w:color w:val="auto"/>
          <w:sz w:val="24"/>
          <w:szCs w:val="24"/>
        </w:rPr>
      </w:pPr>
      <w:r>
        <w:rPr>
          <w:rFonts w:hint="eastAsia" w:ascii="宋体" w:hAnsi="宋体" w:eastAsia="宋体" w:cs="宋体"/>
          <w:color w:val="auto"/>
          <w:sz w:val="24"/>
          <w:szCs w:val="24"/>
        </w:rPr>
        <w:t>3.1.1（4）目所指的投标保证金。</w:t>
      </w:r>
    </w:p>
    <w:p>
      <w:pPr>
        <w:autoSpaceDE w:val="0"/>
        <w:autoSpaceDN w:val="0"/>
        <w:spacing w:line="400" w:lineRule="exact"/>
        <w:ind w:firstLine="0" w:firstLineChars="0"/>
        <w:outlineLvl w:val="0"/>
        <w:rPr>
          <w:rFonts w:ascii="宋体" w:hAnsi="宋体" w:eastAsia="宋体" w:cs="宋体"/>
          <w:b/>
          <w:bCs/>
          <w:color w:val="auto"/>
          <w:sz w:val="24"/>
          <w:szCs w:val="24"/>
        </w:rPr>
      </w:pPr>
      <w:r>
        <w:rPr>
          <w:rFonts w:hint="eastAsia" w:ascii="宋体" w:hAnsi="宋体" w:eastAsia="宋体" w:cs="宋体"/>
          <w:b/>
          <w:bCs/>
          <w:color w:val="auto"/>
          <w:sz w:val="24"/>
          <w:szCs w:val="24"/>
        </w:rPr>
        <w:t>3.2 投标报价</w:t>
      </w:r>
    </w:p>
    <w:p>
      <w:pPr>
        <w:pStyle w:val="3"/>
        <w:spacing w:line="400" w:lineRule="exact"/>
        <w:ind w:left="0" w:firstLine="480"/>
        <w:jc w:val="both"/>
        <w:rPr>
          <w:rFonts w:ascii="宋体" w:hAnsi="宋体" w:eastAsia="宋体" w:cs="宋体"/>
          <w:color w:val="auto"/>
          <w:sz w:val="24"/>
          <w:szCs w:val="24"/>
        </w:rPr>
      </w:pPr>
      <w:r>
        <w:rPr>
          <w:rFonts w:hint="eastAsia" w:ascii="宋体" w:hAnsi="宋体" w:eastAsia="宋体" w:cs="宋体"/>
          <w:color w:val="auto"/>
          <w:sz w:val="24"/>
          <w:szCs w:val="24"/>
        </w:rPr>
        <w:t>3.2.1 投标报价应包括国家规定的增值税税金，除投标人须知前附表另有规定外，增值税税金按一般计税方法计算。投标人应按第六章“投标文件格式”的要求在投标函中进行报价并填写费用清单。</w:t>
      </w:r>
    </w:p>
    <w:p>
      <w:pPr>
        <w:pStyle w:val="3"/>
        <w:spacing w:line="400" w:lineRule="exact"/>
        <w:ind w:left="0" w:firstLine="480"/>
        <w:jc w:val="both"/>
        <w:rPr>
          <w:rFonts w:ascii="宋体" w:hAnsi="宋体" w:eastAsia="宋体" w:cs="宋体"/>
          <w:color w:val="auto"/>
          <w:sz w:val="24"/>
          <w:szCs w:val="24"/>
        </w:rPr>
      </w:pPr>
      <w:r>
        <w:rPr>
          <w:rFonts w:hint="eastAsia" w:ascii="宋体" w:hAnsi="宋体" w:eastAsia="宋体" w:cs="宋体"/>
          <w:color w:val="auto"/>
          <w:sz w:val="24"/>
          <w:szCs w:val="24"/>
        </w:rPr>
        <w:t>3.2.2 投标人应充分了解该项目的总体情况以及影响投标报价的其他要素。</w:t>
      </w:r>
    </w:p>
    <w:p>
      <w:pPr>
        <w:pStyle w:val="3"/>
        <w:spacing w:line="400" w:lineRule="exact"/>
        <w:ind w:left="0" w:firstLine="480"/>
        <w:jc w:val="both"/>
        <w:rPr>
          <w:rFonts w:ascii="宋体" w:hAnsi="宋体" w:eastAsia="宋体" w:cs="宋体"/>
          <w:color w:val="auto"/>
          <w:sz w:val="24"/>
          <w:szCs w:val="24"/>
        </w:rPr>
      </w:pPr>
      <w:r>
        <w:rPr>
          <w:rFonts w:hint="eastAsia" w:ascii="宋体" w:hAnsi="宋体" w:eastAsia="宋体" w:cs="宋体"/>
          <w:color w:val="auto"/>
          <w:sz w:val="24"/>
          <w:szCs w:val="24"/>
        </w:rPr>
        <w:t>3.2.3 本项目的报价方式见投标人须知前附表。投标人在投标截止时间前修改投标函中的投标报价总额，应同时修改投标文件“费用清单”中的相应报价。此修改须符合本章第4.3款的有关要求。</w:t>
      </w:r>
    </w:p>
    <w:p>
      <w:pPr>
        <w:pStyle w:val="3"/>
        <w:spacing w:line="400" w:lineRule="exact"/>
        <w:ind w:left="0" w:firstLine="480"/>
        <w:jc w:val="both"/>
        <w:rPr>
          <w:rFonts w:ascii="宋体" w:hAnsi="宋体" w:eastAsia="宋体" w:cs="宋体"/>
          <w:color w:val="auto"/>
          <w:sz w:val="24"/>
          <w:szCs w:val="24"/>
        </w:rPr>
      </w:pPr>
      <w:r>
        <w:rPr>
          <w:rFonts w:hint="eastAsia" w:ascii="宋体" w:hAnsi="宋体" w:eastAsia="宋体" w:cs="宋体"/>
          <w:color w:val="auto"/>
          <w:sz w:val="24"/>
          <w:szCs w:val="24"/>
        </w:rPr>
        <w:t>3.2.4 招标人设有最高投标限价的，投标人的投标报价不得超过最高投标限价，最高投标限价在投标人须知前附表中载明。</w:t>
      </w:r>
    </w:p>
    <w:p>
      <w:pPr>
        <w:pStyle w:val="3"/>
        <w:spacing w:line="400" w:lineRule="exact"/>
        <w:ind w:left="0" w:firstLine="480"/>
        <w:jc w:val="both"/>
        <w:rPr>
          <w:rFonts w:ascii="宋体" w:hAnsi="宋体" w:eastAsia="宋体" w:cs="宋体"/>
          <w:color w:val="auto"/>
          <w:sz w:val="24"/>
          <w:szCs w:val="24"/>
        </w:rPr>
      </w:pPr>
      <w:r>
        <w:rPr>
          <w:rFonts w:hint="eastAsia" w:ascii="宋体" w:hAnsi="宋体" w:eastAsia="宋体" w:cs="宋体"/>
          <w:color w:val="auto"/>
          <w:sz w:val="24"/>
          <w:szCs w:val="24"/>
        </w:rPr>
        <w:t>3.2.5 投标报价的其他要求见投标人须知前附表。</w:t>
      </w:r>
    </w:p>
    <w:p>
      <w:pPr>
        <w:autoSpaceDE w:val="0"/>
        <w:autoSpaceDN w:val="0"/>
        <w:spacing w:line="400" w:lineRule="exact"/>
        <w:ind w:firstLine="0" w:firstLineChars="0"/>
        <w:outlineLvl w:val="0"/>
        <w:rPr>
          <w:rFonts w:ascii="宋体" w:hAnsi="宋体" w:eastAsia="宋体" w:cs="宋体"/>
          <w:b/>
          <w:bCs/>
          <w:color w:val="auto"/>
          <w:sz w:val="24"/>
          <w:szCs w:val="24"/>
        </w:rPr>
      </w:pPr>
      <w:r>
        <w:rPr>
          <w:rFonts w:hint="eastAsia" w:ascii="宋体" w:hAnsi="宋体" w:eastAsia="宋体" w:cs="宋体"/>
          <w:b/>
          <w:bCs/>
          <w:color w:val="auto"/>
          <w:sz w:val="24"/>
          <w:szCs w:val="24"/>
        </w:rPr>
        <w:t>3.3 投标有效期</w:t>
      </w:r>
      <w:bookmarkEnd w:id="32"/>
    </w:p>
    <w:p>
      <w:pPr>
        <w:pStyle w:val="3"/>
        <w:spacing w:line="400" w:lineRule="exact"/>
        <w:ind w:left="0" w:firstLine="480"/>
        <w:jc w:val="both"/>
        <w:rPr>
          <w:rFonts w:ascii="宋体" w:hAnsi="宋体" w:eastAsia="宋体" w:cs="宋体"/>
          <w:color w:val="auto"/>
          <w:sz w:val="24"/>
          <w:szCs w:val="24"/>
        </w:rPr>
      </w:pPr>
      <w:r>
        <w:rPr>
          <w:rFonts w:hint="eastAsia" w:ascii="宋体" w:hAnsi="宋体" w:eastAsia="宋体" w:cs="宋体"/>
          <w:color w:val="auto"/>
          <w:sz w:val="24"/>
          <w:szCs w:val="24"/>
        </w:rPr>
        <w:t>3.3.1见投标人须知前附表。</w:t>
      </w:r>
    </w:p>
    <w:p>
      <w:pPr>
        <w:pStyle w:val="3"/>
        <w:spacing w:before="39" w:line="400" w:lineRule="exact"/>
        <w:ind w:left="0" w:firstLine="480"/>
        <w:jc w:val="both"/>
        <w:rPr>
          <w:rFonts w:ascii="宋体" w:hAnsi="宋体" w:eastAsia="宋体" w:cs="宋体"/>
          <w:color w:val="auto"/>
          <w:sz w:val="24"/>
          <w:szCs w:val="24"/>
        </w:rPr>
      </w:pPr>
      <w:r>
        <w:rPr>
          <w:rFonts w:hint="eastAsia" w:ascii="宋体" w:hAnsi="宋体" w:eastAsia="宋体" w:cs="宋体"/>
          <w:color w:val="auto"/>
          <w:sz w:val="24"/>
          <w:szCs w:val="24"/>
        </w:rPr>
        <w:t>3.3.2 在投标有效期内，投标人撤销投标文件的，应承担招标文件和法律规定的责任。</w:t>
      </w:r>
    </w:p>
    <w:p>
      <w:pPr>
        <w:tabs>
          <w:tab w:val="left" w:pos="1260"/>
        </w:tabs>
        <w:autoSpaceDE w:val="0"/>
        <w:autoSpaceDN w:val="0"/>
        <w:adjustRightInd w:val="0"/>
        <w:spacing w:line="400" w:lineRule="exact"/>
        <w:ind w:firstLine="480"/>
        <w:jc w:val="both"/>
        <w:rPr>
          <w:rFonts w:ascii="宋体" w:hAnsi="宋体" w:eastAsia="宋体" w:cs="宋体"/>
          <w:color w:val="auto"/>
          <w:sz w:val="24"/>
          <w:szCs w:val="24"/>
        </w:rPr>
      </w:pPr>
      <w:r>
        <w:rPr>
          <w:rFonts w:hint="eastAsia" w:ascii="宋体" w:hAnsi="宋体" w:eastAsia="宋体" w:cs="宋体"/>
          <w:color w:val="auto"/>
          <w:sz w:val="24"/>
          <w:szCs w:val="24"/>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pPr>
        <w:tabs>
          <w:tab w:val="left" w:pos="1260"/>
        </w:tabs>
        <w:autoSpaceDE w:val="0"/>
        <w:autoSpaceDN w:val="0"/>
        <w:adjustRightInd w:val="0"/>
        <w:spacing w:line="400" w:lineRule="exact"/>
        <w:ind w:firstLine="0" w:firstLineChars="0"/>
        <w:jc w:val="both"/>
        <w:rPr>
          <w:rFonts w:ascii="宋体" w:hAnsi="宋体" w:eastAsia="宋体" w:cs="宋体"/>
          <w:b/>
          <w:bCs/>
          <w:color w:val="auto"/>
          <w:sz w:val="24"/>
          <w:szCs w:val="24"/>
        </w:rPr>
      </w:pPr>
      <w:bookmarkStart w:id="33" w:name="_Toc283559960"/>
      <w:r>
        <w:rPr>
          <w:rFonts w:hint="eastAsia" w:ascii="宋体" w:hAnsi="宋体" w:eastAsia="宋体" w:cs="宋体"/>
          <w:b/>
          <w:bCs/>
          <w:color w:val="auto"/>
          <w:sz w:val="24"/>
          <w:szCs w:val="24"/>
        </w:rPr>
        <w:t>3.4 投标保证金</w:t>
      </w:r>
    </w:p>
    <w:p>
      <w:pPr>
        <w:autoSpaceDE w:val="0"/>
        <w:autoSpaceDN w:val="0"/>
        <w:spacing w:line="400" w:lineRule="exact"/>
        <w:ind w:firstLine="480"/>
        <w:outlineLvl w:val="0"/>
        <w:rPr>
          <w:rFonts w:ascii="宋体" w:hAnsi="宋体" w:eastAsia="宋体" w:cs="宋体"/>
          <w:color w:val="auto"/>
          <w:sz w:val="24"/>
          <w:szCs w:val="24"/>
        </w:rPr>
      </w:pPr>
      <w:r>
        <w:rPr>
          <w:rFonts w:hint="eastAsia" w:ascii="宋体" w:hAnsi="宋体" w:eastAsia="宋体" w:cs="宋体"/>
          <w:color w:val="auto"/>
          <w:sz w:val="24"/>
          <w:szCs w:val="24"/>
        </w:rPr>
        <w:t>3.4.1投标人应按投标人须知前附表后规定缴纳投标保证金。</w:t>
      </w:r>
    </w:p>
    <w:p>
      <w:pPr>
        <w:autoSpaceDE w:val="0"/>
        <w:autoSpaceDN w:val="0"/>
        <w:spacing w:line="400" w:lineRule="exact"/>
        <w:ind w:firstLine="480"/>
        <w:outlineLvl w:val="0"/>
        <w:rPr>
          <w:rFonts w:ascii="宋体" w:hAnsi="宋体" w:eastAsia="宋体" w:cs="宋体"/>
          <w:color w:val="auto"/>
          <w:sz w:val="24"/>
          <w:szCs w:val="24"/>
        </w:rPr>
      </w:pPr>
      <w:r>
        <w:rPr>
          <w:rFonts w:hint="eastAsia" w:ascii="宋体" w:hAnsi="宋体" w:eastAsia="宋体" w:cs="宋体"/>
          <w:color w:val="auto"/>
          <w:sz w:val="24"/>
          <w:szCs w:val="24"/>
        </w:rPr>
        <w:t>3.4.2投标保证金的退还：</w:t>
      </w:r>
    </w:p>
    <w:p>
      <w:pPr>
        <w:autoSpaceDE w:val="0"/>
        <w:autoSpaceDN w:val="0"/>
        <w:spacing w:line="400" w:lineRule="exact"/>
        <w:ind w:firstLine="480"/>
        <w:outlineLvl w:val="0"/>
        <w:rPr>
          <w:rFonts w:ascii="宋体" w:hAnsi="宋体" w:eastAsia="宋体" w:cs="宋体"/>
          <w:color w:val="auto"/>
          <w:sz w:val="24"/>
          <w:szCs w:val="24"/>
        </w:rPr>
      </w:pPr>
      <w:r>
        <w:rPr>
          <w:rFonts w:hint="eastAsia" w:ascii="宋体" w:hAnsi="宋体" w:eastAsia="宋体" w:cs="宋体"/>
          <w:color w:val="auto"/>
          <w:sz w:val="24"/>
          <w:szCs w:val="24"/>
        </w:rPr>
        <w:t>（1）中标公告发出后，5个工作日内退还非中标候选人投标保证金及银行同期活期存款利息。（政府采购项目：中标人公告发出后，5个工作日内退还非中标人投标保证金及银行同期活期存款利息。）</w:t>
      </w:r>
    </w:p>
    <w:p>
      <w:pPr>
        <w:autoSpaceDE w:val="0"/>
        <w:autoSpaceDN w:val="0"/>
        <w:spacing w:line="400" w:lineRule="exact"/>
        <w:ind w:firstLine="480"/>
        <w:outlineLvl w:val="0"/>
        <w:rPr>
          <w:rFonts w:ascii="宋体" w:hAnsi="宋体" w:eastAsia="宋体" w:cs="宋体"/>
          <w:color w:val="auto"/>
          <w:sz w:val="24"/>
          <w:szCs w:val="24"/>
        </w:rPr>
      </w:pPr>
      <w:r>
        <w:rPr>
          <w:rFonts w:hint="eastAsia" w:ascii="宋体" w:hAnsi="宋体" w:eastAsia="宋体" w:cs="宋体"/>
          <w:color w:val="auto"/>
          <w:sz w:val="24"/>
          <w:szCs w:val="24"/>
        </w:rPr>
        <w:t>（2）在法定期限内签订书面合同，中标人执投标保证金退还申请表（单位加盖行政公章）及合同原件到中心业务部室办理退款手续，中心在5个工作日内向中标人和其他中标候选人退还投标保证金及银行同期活期存款利息。（政府采购项目：在法定期限内签订书面合同，中标人执投标保证金退还申请表（单位加盖行政公章）及合同原件到中心业务部室办理退款手续，中心在5个工作日内向中标人退还投标保证金及银行同期活期存款利息。）</w:t>
      </w:r>
    </w:p>
    <w:p>
      <w:pPr>
        <w:autoSpaceDE w:val="0"/>
        <w:autoSpaceDN w:val="0"/>
        <w:spacing w:line="400" w:lineRule="exact"/>
        <w:ind w:firstLine="480"/>
        <w:outlineLvl w:val="0"/>
        <w:rPr>
          <w:rFonts w:ascii="宋体" w:hAnsi="宋体" w:eastAsia="宋体" w:cs="宋体"/>
          <w:color w:val="auto"/>
          <w:sz w:val="24"/>
          <w:szCs w:val="24"/>
        </w:rPr>
      </w:pPr>
      <w:r>
        <w:rPr>
          <w:rFonts w:hint="eastAsia" w:ascii="宋体" w:hAnsi="宋体" w:eastAsia="宋体" w:cs="宋体"/>
          <w:color w:val="auto"/>
          <w:sz w:val="24"/>
          <w:szCs w:val="24"/>
        </w:rPr>
        <w:t>（3）项目废标或招标人终止招标的，在此后5个工作日内退还投标保证金及银行同期活期存利息。</w:t>
      </w:r>
    </w:p>
    <w:p>
      <w:pPr>
        <w:autoSpaceDE w:val="0"/>
        <w:autoSpaceDN w:val="0"/>
        <w:spacing w:line="400" w:lineRule="exact"/>
        <w:ind w:firstLine="480"/>
        <w:outlineLvl w:val="0"/>
        <w:rPr>
          <w:rFonts w:ascii="宋体" w:hAnsi="宋体" w:eastAsia="宋体" w:cs="宋体"/>
          <w:color w:val="auto"/>
          <w:sz w:val="24"/>
          <w:szCs w:val="24"/>
        </w:rPr>
      </w:pPr>
      <w:r>
        <w:rPr>
          <w:rFonts w:hint="eastAsia" w:ascii="宋体" w:hAnsi="宋体" w:eastAsia="宋体" w:cs="宋体"/>
          <w:color w:val="auto"/>
          <w:sz w:val="24"/>
          <w:szCs w:val="24"/>
        </w:rPr>
        <w:t>（4）投标活动中出现质疑、投诉的，中标候选人、质疑人和被质疑人、投诉人和被投诉人的投标保证金暂停退还。</w:t>
      </w:r>
    </w:p>
    <w:p>
      <w:pPr>
        <w:autoSpaceDE w:val="0"/>
        <w:autoSpaceDN w:val="0"/>
        <w:spacing w:line="400" w:lineRule="exact"/>
        <w:ind w:firstLine="480"/>
        <w:outlineLvl w:val="0"/>
        <w:rPr>
          <w:rFonts w:ascii="宋体" w:hAnsi="宋体" w:eastAsia="宋体" w:cs="宋体"/>
          <w:color w:val="auto"/>
          <w:sz w:val="24"/>
          <w:szCs w:val="24"/>
        </w:rPr>
      </w:pPr>
      <w:r>
        <w:rPr>
          <w:rFonts w:hint="eastAsia" w:ascii="宋体" w:hAnsi="宋体" w:eastAsia="宋体" w:cs="宋体"/>
          <w:color w:val="auto"/>
          <w:sz w:val="24"/>
          <w:szCs w:val="24"/>
        </w:rPr>
        <w:t>（5）相关投标人有违法违规行为的项目，其投标保证金暂不退还，待行政监督部门对相关情况处置后，按照有关规定办理。</w:t>
      </w:r>
    </w:p>
    <w:p>
      <w:pPr>
        <w:autoSpaceDE w:val="0"/>
        <w:autoSpaceDN w:val="0"/>
        <w:spacing w:line="400" w:lineRule="exact"/>
        <w:ind w:firstLine="480"/>
        <w:outlineLvl w:val="0"/>
        <w:rPr>
          <w:rFonts w:ascii="宋体" w:hAnsi="宋体" w:eastAsia="宋体" w:cs="宋体"/>
          <w:color w:val="auto"/>
          <w:sz w:val="24"/>
          <w:szCs w:val="24"/>
        </w:rPr>
      </w:pPr>
      <w:r>
        <w:rPr>
          <w:rFonts w:hint="eastAsia" w:ascii="宋体" w:hAnsi="宋体" w:eastAsia="宋体" w:cs="宋体"/>
          <w:color w:val="auto"/>
          <w:sz w:val="24"/>
          <w:szCs w:val="24"/>
        </w:rPr>
        <w:t>（6）退还投标保证金，除另有规定外，一般以转账方式一次性退还至投标保证金的原提交账户。</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 xml:space="preserve">    3.4.3投标人有下列情形之一的，不予退还投标保证金：</w:t>
      </w:r>
    </w:p>
    <w:p>
      <w:pPr>
        <w:autoSpaceDE w:val="0"/>
        <w:autoSpaceDN w:val="0"/>
        <w:spacing w:line="400" w:lineRule="exact"/>
        <w:ind w:firstLine="480"/>
        <w:outlineLvl w:val="0"/>
        <w:rPr>
          <w:rFonts w:ascii="宋体" w:hAnsi="宋体" w:eastAsia="宋体" w:cs="宋体"/>
          <w:color w:val="auto"/>
          <w:sz w:val="24"/>
          <w:szCs w:val="24"/>
        </w:rPr>
      </w:pPr>
      <w:r>
        <w:rPr>
          <w:rFonts w:hint="eastAsia" w:ascii="宋体" w:hAnsi="宋体" w:eastAsia="宋体" w:cs="宋体"/>
          <w:color w:val="auto"/>
          <w:sz w:val="24"/>
          <w:szCs w:val="24"/>
        </w:rPr>
        <w:t xml:space="preserve">（一）在招标文件要求提交投标文件的截止时间后至投标文件有效期满前撤回投标的； </w:t>
      </w:r>
    </w:p>
    <w:p>
      <w:pPr>
        <w:autoSpaceDE w:val="0"/>
        <w:autoSpaceDN w:val="0"/>
        <w:spacing w:line="400" w:lineRule="exact"/>
        <w:ind w:firstLine="480"/>
        <w:outlineLvl w:val="0"/>
        <w:rPr>
          <w:rFonts w:ascii="宋体" w:hAnsi="宋体" w:eastAsia="宋体" w:cs="宋体"/>
          <w:color w:val="auto"/>
          <w:sz w:val="24"/>
          <w:szCs w:val="24"/>
        </w:rPr>
      </w:pPr>
      <w:r>
        <w:rPr>
          <w:rFonts w:hint="eastAsia" w:ascii="宋体" w:hAnsi="宋体" w:eastAsia="宋体" w:cs="宋体"/>
          <w:color w:val="auto"/>
          <w:sz w:val="24"/>
          <w:szCs w:val="24"/>
        </w:rPr>
        <w:t xml:space="preserve">（二）中标通知书发出后，中标人无故放弃中标项目或无正当理由在规定时间内不与招标人签订合同或未按招标文件规定提交履约担保的； </w:t>
      </w:r>
    </w:p>
    <w:p>
      <w:pPr>
        <w:autoSpaceDE w:val="0"/>
        <w:autoSpaceDN w:val="0"/>
        <w:spacing w:line="400" w:lineRule="exact"/>
        <w:ind w:firstLine="480"/>
        <w:outlineLvl w:val="0"/>
        <w:rPr>
          <w:rFonts w:ascii="宋体" w:hAnsi="宋体" w:eastAsia="宋体" w:cs="宋体"/>
          <w:color w:val="auto"/>
          <w:sz w:val="24"/>
          <w:szCs w:val="24"/>
        </w:rPr>
      </w:pPr>
      <w:r>
        <w:rPr>
          <w:rFonts w:hint="eastAsia" w:ascii="宋体" w:hAnsi="宋体" w:eastAsia="宋体" w:cs="宋体"/>
          <w:color w:val="auto"/>
          <w:sz w:val="24"/>
          <w:szCs w:val="24"/>
        </w:rPr>
        <w:t xml:space="preserve">（三）将中标项目转让给他人，或者在投标文件中未说明，且未经招标人同意，将中标项目分包给他人的； </w:t>
      </w:r>
    </w:p>
    <w:p>
      <w:pPr>
        <w:autoSpaceDE w:val="0"/>
        <w:autoSpaceDN w:val="0"/>
        <w:spacing w:line="400" w:lineRule="exact"/>
        <w:ind w:firstLine="480"/>
        <w:outlineLvl w:val="0"/>
        <w:rPr>
          <w:rFonts w:ascii="宋体" w:hAnsi="宋体" w:eastAsia="宋体" w:cs="宋体"/>
          <w:color w:val="auto"/>
          <w:sz w:val="24"/>
          <w:szCs w:val="24"/>
        </w:rPr>
      </w:pPr>
      <w:r>
        <w:rPr>
          <w:rFonts w:hint="eastAsia" w:ascii="宋体" w:hAnsi="宋体" w:eastAsia="宋体" w:cs="宋体"/>
          <w:color w:val="auto"/>
          <w:sz w:val="24"/>
          <w:szCs w:val="24"/>
        </w:rPr>
        <w:t xml:space="preserve">（四）投标人在招投标活动中弄虚作假、围标串标，骗取中标并经招投标行政监督部门调查核实的； </w:t>
      </w:r>
    </w:p>
    <w:p>
      <w:pPr>
        <w:autoSpaceDE w:val="0"/>
        <w:autoSpaceDN w:val="0"/>
        <w:spacing w:line="400" w:lineRule="exact"/>
        <w:ind w:firstLine="480"/>
        <w:outlineLvl w:val="0"/>
        <w:rPr>
          <w:rFonts w:ascii="宋体" w:hAnsi="宋体" w:eastAsia="宋体" w:cs="宋体"/>
          <w:color w:val="auto"/>
          <w:sz w:val="24"/>
          <w:szCs w:val="24"/>
        </w:rPr>
      </w:pPr>
      <w:r>
        <w:rPr>
          <w:rFonts w:hint="eastAsia" w:ascii="宋体" w:hAnsi="宋体" w:eastAsia="宋体" w:cs="宋体"/>
          <w:color w:val="auto"/>
          <w:sz w:val="24"/>
          <w:szCs w:val="24"/>
        </w:rPr>
        <w:t>（五）拒绝履行合同义务的；</w:t>
      </w:r>
    </w:p>
    <w:p>
      <w:pPr>
        <w:autoSpaceDE w:val="0"/>
        <w:autoSpaceDN w:val="0"/>
        <w:spacing w:line="400" w:lineRule="exact"/>
        <w:ind w:firstLine="480"/>
        <w:outlineLvl w:val="0"/>
        <w:rPr>
          <w:rFonts w:ascii="宋体" w:hAnsi="宋体" w:eastAsia="宋体" w:cs="宋体"/>
          <w:color w:val="auto"/>
          <w:sz w:val="24"/>
          <w:szCs w:val="24"/>
        </w:rPr>
      </w:pPr>
      <w:r>
        <w:rPr>
          <w:rFonts w:hint="eastAsia" w:ascii="宋体" w:hAnsi="宋体" w:eastAsia="宋体" w:cs="宋体"/>
          <w:color w:val="auto"/>
          <w:sz w:val="24"/>
          <w:szCs w:val="24"/>
        </w:rPr>
        <w:t>（六）相关法律、法规规定不予退还的其它情形。</w:t>
      </w:r>
    </w:p>
    <w:p>
      <w:pPr>
        <w:autoSpaceDE w:val="0"/>
        <w:autoSpaceDN w:val="0"/>
        <w:spacing w:line="400" w:lineRule="exact"/>
        <w:ind w:firstLine="480"/>
        <w:outlineLvl w:val="0"/>
        <w:rPr>
          <w:rFonts w:ascii="宋体" w:hAnsi="宋体" w:eastAsia="宋体" w:cs="宋体"/>
          <w:color w:val="auto"/>
          <w:sz w:val="24"/>
          <w:szCs w:val="24"/>
        </w:rPr>
      </w:pPr>
      <w:r>
        <w:rPr>
          <w:rFonts w:hint="eastAsia" w:ascii="宋体" w:hAnsi="宋体" w:eastAsia="宋体" w:cs="宋体"/>
          <w:color w:val="auto"/>
          <w:sz w:val="24"/>
          <w:szCs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autoSpaceDE w:val="0"/>
        <w:autoSpaceDN w:val="0"/>
        <w:spacing w:line="400" w:lineRule="exact"/>
        <w:ind w:firstLine="0" w:firstLineChars="0"/>
        <w:outlineLvl w:val="0"/>
        <w:rPr>
          <w:rFonts w:ascii="宋体" w:hAnsi="宋体" w:eastAsia="宋体" w:cs="宋体"/>
          <w:b/>
          <w:bCs/>
          <w:color w:val="auto"/>
          <w:sz w:val="24"/>
          <w:szCs w:val="24"/>
        </w:rPr>
      </w:pPr>
      <w:r>
        <w:rPr>
          <w:rFonts w:hint="eastAsia" w:ascii="宋体" w:hAnsi="宋体" w:eastAsia="宋体" w:cs="宋体"/>
          <w:b/>
          <w:bCs/>
          <w:color w:val="auto"/>
          <w:sz w:val="24"/>
          <w:szCs w:val="24"/>
        </w:rPr>
        <w:t>3.5 资格审查资料</w:t>
      </w:r>
    </w:p>
    <w:p>
      <w:pPr>
        <w:autoSpaceDE w:val="0"/>
        <w:autoSpaceDN w:val="0"/>
        <w:spacing w:line="400" w:lineRule="exact"/>
        <w:ind w:firstLine="480"/>
        <w:jc w:val="both"/>
        <w:outlineLvl w:val="0"/>
        <w:rPr>
          <w:rFonts w:ascii="宋体" w:hAnsi="宋体" w:eastAsia="宋体" w:cs="宋体"/>
          <w:color w:val="auto"/>
          <w:sz w:val="24"/>
        </w:rPr>
      </w:pPr>
      <w:r>
        <w:rPr>
          <w:rFonts w:hint="eastAsia" w:ascii="宋体" w:hAnsi="宋体" w:eastAsia="宋体" w:cs="宋体"/>
          <w:color w:val="auto"/>
          <w:sz w:val="24"/>
        </w:rPr>
        <w:t>除投标人须知前附表另有规定外，投标人应按下列规定提供资格审查资料，以证明其满足本章第1.4款规定的资质、财务、业绩、信誉等要求。</w:t>
      </w:r>
    </w:p>
    <w:p>
      <w:pPr>
        <w:autoSpaceDE w:val="0"/>
        <w:autoSpaceDN w:val="0"/>
        <w:spacing w:line="400" w:lineRule="exact"/>
        <w:ind w:firstLine="480"/>
        <w:jc w:val="both"/>
        <w:outlineLvl w:val="0"/>
        <w:rPr>
          <w:rFonts w:ascii="宋体" w:hAnsi="宋体" w:eastAsia="宋体" w:cs="宋体"/>
          <w:color w:val="auto"/>
          <w:sz w:val="24"/>
        </w:rPr>
      </w:pPr>
      <w:r>
        <w:rPr>
          <w:rFonts w:hint="eastAsia" w:ascii="宋体" w:hAnsi="宋体" w:eastAsia="宋体" w:cs="宋体"/>
          <w:color w:val="auto"/>
          <w:sz w:val="24"/>
        </w:rPr>
        <w:t>3.5.1 “投标人基本情况表”应附投标人营业执照和组织机构代码证的复印件（按照“三证合一”或“五证合一”登记制度进行登记的，可仅提供营业执照复印件）、投标人资质证书副本等材料的复印件。</w:t>
      </w:r>
    </w:p>
    <w:p>
      <w:pPr>
        <w:autoSpaceDE w:val="0"/>
        <w:autoSpaceDN w:val="0"/>
        <w:spacing w:line="400" w:lineRule="exact"/>
        <w:ind w:firstLine="480"/>
        <w:jc w:val="both"/>
        <w:outlineLvl w:val="0"/>
        <w:rPr>
          <w:rFonts w:ascii="宋体" w:hAnsi="宋体" w:eastAsia="宋体" w:cs="宋体"/>
          <w:color w:val="auto"/>
          <w:sz w:val="24"/>
        </w:rPr>
      </w:pPr>
      <w:r>
        <w:rPr>
          <w:rFonts w:hint="eastAsia" w:ascii="宋体" w:hAnsi="宋体" w:eastAsia="宋体" w:cs="宋体"/>
          <w:color w:val="auto"/>
          <w:sz w:val="24"/>
        </w:rPr>
        <w:t>3.5.2 “近年财务状况表”应附经会计师事务所或审计机构审计的财务会计报表，包括资产负债表、现金流量表、利润表和财务情况说明书的复印件，具体年份要求见投标人须知前附表。</w:t>
      </w:r>
    </w:p>
    <w:p>
      <w:pPr>
        <w:autoSpaceDE w:val="0"/>
        <w:autoSpaceDN w:val="0"/>
        <w:spacing w:line="400" w:lineRule="exact"/>
        <w:ind w:firstLine="480"/>
        <w:jc w:val="both"/>
        <w:outlineLvl w:val="0"/>
        <w:rPr>
          <w:rFonts w:ascii="宋体" w:hAnsi="宋体" w:eastAsia="宋体" w:cs="宋体"/>
          <w:color w:val="auto"/>
          <w:sz w:val="24"/>
        </w:rPr>
      </w:pPr>
      <w:r>
        <w:rPr>
          <w:rFonts w:hint="eastAsia" w:ascii="宋体" w:hAnsi="宋体" w:eastAsia="宋体" w:cs="宋体"/>
          <w:color w:val="auto"/>
          <w:sz w:val="24"/>
        </w:rPr>
        <w:t>投标人的成立时间少于投标人须知前附表规定年份的，应提供成立以来的财务状况表。</w:t>
      </w:r>
    </w:p>
    <w:p>
      <w:pPr>
        <w:autoSpaceDE w:val="0"/>
        <w:autoSpaceDN w:val="0"/>
        <w:spacing w:line="400" w:lineRule="exact"/>
        <w:ind w:firstLine="480"/>
        <w:jc w:val="both"/>
        <w:outlineLvl w:val="0"/>
        <w:rPr>
          <w:rFonts w:ascii="宋体" w:hAnsi="宋体" w:eastAsia="宋体" w:cs="宋体"/>
          <w:color w:val="auto"/>
          <w:sz w:val="24"/>
        </w:rPr>
      </w:pPr>
      <w:r>
        <w:rPr>
          <w:rFonts w:hint="eastAsia" w:ascii="宋体" w:hAnsi="宋体" w:eastAsia="宋体" w:cs="宋体"/>
          <w:color w:val="auto"/>
          <w:sz w:val="24"/>
        </w:rPr>
        <w:t>3.5.3 “近年完成的类似项目情况表”应附中标通知书和（或）合同协议书、发包人出具的证明文件；具体时间要求见投标人须知前附表，每张表格只填写一个项目，并标明序号。</w:t>
      </w:r>
    </w:p>
    <w:p>
      <w:pPr>
        <w:autoSpaceDE w:val="0"/>
        <w:autoSpaceDN w:val="0"/>
        <w:spacing w:line="400" w:lineRule="exact"/>
        <w:ind w:firstLine="480"/>
        <w:jc w:val="both"/>
        <w:outlineLvl w:val="0"/>
        <w:rPr>
          <w:rFonts w:ascii="宋体" w:hAnsi="宋体" w:eastAsia="宋体" w:cs="宋体"/>
          <w:color w:val="auto"/>
          <w:sz w:val="24"/>
        </w:rPr>
      </w:pPr>
      <w:r>
        <w:rPr>
          <w:rFonts w:hint="eastAsia" w:ascii="宋体" w:hAnsi="宋体" w:eastAsia="宋体" w:cs="宋体"/>
          <w:color w:val="auto"/>
          <w:sz w:val="24"/>
        </w:rPr>
        <w:t>3.5.4 “正在和新承接的项目情况表”应附中标通知书和（或）合同协议书复印件。每张表格只填写一个项目，并标明序号。</w:t>
      </w:r>
    </w:p>
    <w:p>
      <w:pPr>
        <w:autoSpaceDE w:val="0"/>
        <w:autoSpaceDN w:val="0"/>
        <w:spacing w:line="400" w:lineRule="exact"/>
        <w:ind w:firstLine="480"/>
        <w:jc w:val="both"/>
        <w:outlineLvl w:val="0"/>
        <w:rPr>
          <w:rFonts w:ascii="宋体" w:hAnsi="宋体" w:eastAsia="宋体" w:cs="宋体"/>
          <w:color w:val="auto"/>
          <w:sz w:val="24"/>
        </w:rPr>
      </w:pPr>
      <w:r>
        <w:rPr>
          <w:rFonts w:hint="eastAsia" w:ascii="宋体" w:hAnsi="宋体" w:eastAsia="宋体" w:cs="宋体"/>
          <w:color w:val="auto"/>
          <w:sz w:val="24"/>
        </w:rPr>
        <w:t>3.5.5 “近年发生的诉讼及仲裁情况”应说明投标人败诉的合同的相关情况，并附法院或仲裁机构作出的判决、裁决等有关法律文书复印件，具体时间要求见投标人须知前附表。</w:t>
      </w:r>
    </w:p>
    <w:p>
      <w:pPr>
        <w:spacing w:line="400" w:lineRule="exact"/>
        <w:ind w:firstLine="480"/>
        <w:rPr>
          <w:rFonts w:ascii="宋体" w:hAnsi="宋体" w:eastAsia="宋体" w:cs="宋体"/>
          <w:color w:val="auto"/>
          <w:sz w:val="24"/>
        </w:rPr>
      </w:pPr>
      <w:r>
        <w:rPr>
          <w:rFonts w:hint="eastAsia" w:ascii="宋体" w:hAnsi="宋体" w:eastAsia="宋体" w:cs="宋体"/>
          <w:color w:val="auto"/>
          <w:sz w:val="24"/>
        </w:rPr>
        <w:t>3.5.6 “拟委任的主要人员汇总表”应填报满足本章第1.4.1项规定的项目负责人和其他主要人员的相关信息。“主要人员简历表”中项目负责人应附身份证、职称证或执业资格证书复印件；其他主要人员应附身份证、职称证、有关证书复印件。</w:t>
      </w:r>
    </w:p>
    <w:p>
      <w:pPr>
        <w:spacing w:line="400" w:lineRule="exact"/>
        <w:ind w:left="479" w:leftChars="228" w:firstLine="0" w:firstLineChars="0"/>
        <w:rPr>
          <w:rFonts w:ascii="宋体" w:hAnsi="宋体" w:eastAsia="宋体" w:cs="宋体"/>
          <w:color w:val="auto"/>
          <w:sz w:val="24"/>
        </w:rPr>
      </w:pPr>
      <w:r>
        <w:rPr>
          <w:rFonts w:hint="eastAsia" w:ascii="宋体" w:hAnsi="宋体" w:eastAsia="宋体" w:cs="宋体"/>
          <w:color w:val="auto"/>
          <w:sz w:val="24"/>
        </w:rPr>
        <w:t>3.5.7 投标人须知前附表规定接受联合体投标的，本章第3.5.1项至3.5.6</w:t>
      </w:r>
    </w:p>
    <w:p>
      <w:pPr>
        <w:spacing w:line="400" w:lineRule="exact"/>
        <w:ind w:firstLine="0" w:firstLineChars="0"/>
        <w:rPr>
          <w:rFonts w:ascii="宋体" w:hAnsi="宋体" w:eastAsia="宋体" w:cs="宋体"/>
          <w:color w:val="auto"/>
          <w:sz w:val="24"/>
        </w:rPr>
      </w:pPr>
      <w:r>
        <w:rPr>
          <w:rFonts w:hint="eastAsia" w:ascii="宋体" w:hAnsi="宋体" w:eastAsia="宋体" w:cs="宋体"/>
          <w:color w:val="auto"/>
          <w:sz w:val="24"/>
        </w:rPr>
        <w:t>项规定的表格和资料应包括联合体各方相关情况。</w:t>
      </w:r>
    </w:p>
    <w:p>
      <w:pPr>
        <w:autoSpaceDE w:val="0"/>
        <w:autoSpaceDN w:val="0"/>
        <w:spacing w:line="400" w:lineRule="exact"/>
        <w:ind w:firstLine="0" w:firstLineChars="0"/>
        <w:rPr>
          <w:rFonts w:ascii="宋体" w:hAnsi="宋体" w:eastAsia="宋体" w:cs="宋体"/>
          <w:b/>
          <w:color w:val="auto"/>
          <w:sz w:val="24"/>
          <w:szCs w:val="24"/>
        </w:rPr>
      </w:pPr>
      <w:r>
        <w:rPr>
          <w:rFonts w:hint="eastAsia" w:ascii="宋体" w:hAnsi="宋体" w:eastAsia="宋体" w:cs="宋体"/>
          <w:b/>
          <w:color w:val="auto"/>
          <w:sz w:val="24"/>
          <w:szCs w:val="24"/>
        </w:rPr>
        <w:t xml:space="preserve">3.6 </w:t>
      </w:r>
      <w:bookmarkStart w:id="34" w:name="_Toc152045553"/>
      <w:bookmarkStart w:id="35" w:name="_Toc144974521"/>
      <w:bookmarkStart w:id="36" w:name="_Toc179632571"/>
      <w:bookmarkStart w:id="37" w:name="_Toc152042329"/>
      <w:r>
        <w:rPr>
          <w:rFonts w:hint="eastAsia" w:ascii="宋体" w:hAnsi="宋体" w:eastAsia="宋体" w:cs="宋体"/>
          <w:b/>
          <w:color w:val="auto"/>
          <w:sz w:val="24"/>
          <w:szCs w:val="24"/>
        </w:rPr>
        <w:t>备选投标方案（不允许）</w:t>
      </w:r>
    </w:p>
    <w:bookmarkEnd w:id="34"/>
    <w:bookmarkEnd w:id="35"/>
    <w:bookmarkEnd w:id="36"/>
    <w:bookmarkEnd w:id="37"/>
    <w:p>
      <w:pPr>
        <w:autoSpaceDE w:val="0"/>
        <w:autoSpaceDN w:val="0"/>
        <w:spacing w:line="400" w:lineRule="exact"/>
        <w:ind w:firstLine="480"/>
        <w:jc w:val="both"/>
        <w:outlineLvl w:val="0"/>
        <w:rPr>
          <w:rFonts w:ascii="宋体" w:hAnsi="宋体" w:eastAsia="宋体" w:cs="宋体"/>
          <w:color w:val="auto"/>
          <w:sz w:val="24"/>
        </w:rPr>
      </w:pPr>
      <w:r>
        <w:rPr>
          <w:rFonts w:hint="eastAsia" w:ascii="宋体" w:hAnsi="宋体" w:eastAsia="宋体" w:cs="宋体"/>
          <w:color w:val="auto"/>
          <w:sz w:val="24"/>
        </w:rPr>
        <w:t>3.6.1 除投标人须知前附表规定允许外，投标人不得递交备选投标方案，否则其投标将被否决。</w:t>
      </w:r>
    </w:p>
    <w:p>
      <w:pPr>
        <w:autoSpaceDE w:val="0"/>
        <w:autoSpaceDN w:val="0"/>
        <w:spacing w:line="400" w:lineRule="exact"/>
        <w:ind w:firstLine="480"/>
        <w:jc w:val="both"/>
        <w:outlineLvl w:val="0"/>
        <w:rPr>
          <w:rFonts w:ascii="宋体" w:hAnsi="宋体" w:eastAsia="宋体" w:cs="宋体"/>
          <w:color w:val="auto"/>
          <w:sz w:val="24"/>
        </w:rPr>
      </w:pPr>
      <w:r>
        <w:rPr>
          <w:rFonts w:hint="eastAsia" w:ascii="宋体" w:hAnsi="宋体" w:eastAsia="宋体" w:cs="宋体"/>
          <w:color w:val="auto"/>
          <w:sz w:val="24"/>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pPr>
        <w:autoSpaceDE w:val="0"/>
        <w:autoSpaceDN w:val="0"/>
        <w:spacing w:line="400" w:lineRule="exact"/>
        <w:ind w:firstLine="480"/>
        <w:jc w:val="both"/>
        <w:outlineLvl w:val="0"/>
        <w:rPr>
          <w:rFonts w:ascii="宋体" w:hAnsi="宋体" w:eastAsia="宋体" w:cs="宋体"/>
          <w:color w:val="auto"/>
          <w:sz w:val="24"/>
        </w:rPr>
      </w:pPr>
      <w:r>
        <w:rPr>
          <w:rFonts w:hint="eastAsia" w:ascii="宋体" w:hAnsi="宋体" w:eastAsia="宋体" w:cs="宋体"/>
          <w:color w:val="auto"/>
          <w:sz w:val="24"/>
        </w:rPr>
        <w:t>3.6.3 投标人提供两个或两个以上投标报价，或者在投标文件中提供一个报价，但同时提供两个或两个以上供货方案的，视为提供备选方案。</w:t>
      </w:r>
    </w:p>
    <w:p>
      <w:pPr>
        <w:autoSpaceDE w:val="0"/>
        <w:autoSpaceDN w:val="0"/>
        <w:spacing w:line="400" w:lineRule="exact"/>
        <w:ind w:firstLine="0" w:firstLineChars="0"/>
        <w:outlineLvl w:val="0"/>
        <w:rPr>
          <w:rFonts w:ascii="宋体" w:hAnsi="宋体" w:eastAsia="宋体" w:cs="宋体"/>
          <w:b/>
          <w:color w:val="auto"/>
          <w:sz w:val="24"/>
          <w:szCs w:val="24"/>
        </w:rPr>
      </w:pPr>
      <w:r>
        <w:rPr>
          <w:rFonts w:hint="eastAsia" w:ascii="宋体" w:hAnsi="宋体" w:eastAsia="宋体" w:cs="宋体"/>
          <w:b/>
          <w:color w:val="auto"/>
          <w:sz w:val="24"/>
          <w:szCs w:val="24"/>
        </w:rPr>
        <w:t>3.7 投标文件的编制</w:t>
      </w:r>
      <w:bookmarkEnd w:id="33"/>
    </w:p>
    <w:p>
      <w:pPr>
        <w:widowControl/>
        <w:autoSpaceDE w:val="0"/>
        <w:autoSpaceDN w:val="0"/>
        <w:adjustRightInd w:val="0"/>
        <w:spacing w:line="400" w:lineRule="exact"/>
        <w:ind w:firstLine="480"/>
        <w:jc w:val="both"/>
        <w:rPr>
          <w:rFonts w:ascii="宋体" w:hAnsi="宋体" w:eastAsia="宋体" w:cs="宋体"/>
          <w:bCs/>
          <w:color w:val="auto"/>
          <w:sz w:val="24"/>
        </w:rPr>
      </w:pPr>
      <w:bookmarkStart w:id="38" w:name="_Toc283559961"/>
      <w:r>
        <w:rPr>
          <w:rFonts w:hint="eastAsia" w:ascii="宋体" w:hAnsi="宋体" w:eastAsia="宋体" w:cs="宋体"/>
          <w:bCs/>
          <w:color w:val="auto"/>
          <w:sz w:val="24"/>
        </w:rPr>
        <w:t>3.7.1 投标文件应按第六章“投标文件格式”进行编写，如有必要，可以增加附页，作为投标文件的组成部分。</w:t>
      </w:r>
    </w:p>
    <w:p>
      <w:pPr>
        <w:widowControl/>
        <w:autoSpaceDE w:val="0"/>
        <w:autoSpaceDN w:val="0"/>
        <w:adjustRightInd w:val="0"/>
        <w:spacing w:line="400" w:lineRule="exact"/>
        <w:ind w:firstLine="480"/>
        <w:jc w:val="both"/>
        <w:rPr>
          <w:rFonts w:ascii="宋体" w:hAnsi="宋体" w:eastAsia="宋体" w:cs="宋体"/>
          <w:bCs/>
          <w:color w:val="auto"/>
          <w:sz w:val="24"/>
        </w:rPr>
      </w:pPr>
      <w:r>
        <w:rPr>
          <w:rFonts w:hint="eastAsia" w:ascii="宋体" w:hAnsi="宋体" w:eastAsia="宋体" w:cs="宋体"/>
          <w:bCs/>
          <w:color w:val="auto"/>
          <w:sz w:val="24"/>
        </w:rPr>
        <w:t>3.7.2 投标文件应当对招标文件有关服务期限、投标有效期、发包人要求、招标范围等实质性内容作出响应。投标文件在满足招标文件实质性要求的基础上，可以提出比招标文件要求更有利于招标人的承诺。</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w:t>
      </w:r>
      <w:r>
        <w:rPr>
          <w:rFonts w:hint="eastAsia" w:hAnsi="宋体" w:cs="宋体"/>
          <w:sz w:val="24"/>
          <w:lang w:val="en-US" w:eastAsia="zh-CN"/>
        </w:rPr>
        <w:t>3</w:t>
      </w:r>
      <w:r>
        <w:rPr>
          <w:rFonts w:hint="eastAsia" w:hAnsi="宋体" w:cs="宋体"/>
          <w:sz w:val="24"/>
        </w:rPr>
        <w:t xml:space="preserve"> 投标人登录许昌公共资源交易系统下载“许昌投标文件制作系统SEARUN V1.0”，按招标文件要求制作电子投标文件（包括含工程量清单的商务标投标文件）。</w:t>
      </w:r>
    </w:p>
    <w:p>
      <w:pPr>
        <w:pStyle w:val="94"/>
        <w:spacing w:line="400" w:lineRule="exact"/>
        <w:ind w:firstLine="480" w:firstLineChars="200"/>
        <w:jc w:val="both"/>
        <w:outlineLvl w:val="0"/>
        <w:rPr>
          <w:rFonts w:hint="eastAsia"/>
          <w:b w:val="0"/>
          <w:bCs/>
          <w:color w:val="auto"/>
        </w:rPr>
      </w:pPr>
      <w:r>
        <w:rPr>
          <w:rFonts w:hint="eastAsia"/>
          <w:b w:val="0"/>
          <w:bCs/>
          <w:color w:val="auto"/>
        </w:rPr>
        <w:t>3.7.</w:t>
      </w:r>
      <w:r>
        <w:rPr>
          <w:rFonts w:hint="eastAsia"/>
          <w:b w:val="0"/>
          <w:bCs/>
          <w:color w:val="auto"/>
          <w:lang w:val="en-US" w:eastAsia="zh-CN"/>
        </w:rPr>
        <w:t>4</w:t>
      </w:r>
      <w:r>
        <w:rPr>
          <w:rFonts w:hint="eastAsia"/>
          <w:b w:val="0"/>
          <w:bCs/>
          <w:color w:val="auto"/>
        </w:rPr>
        <w:t>使用电子介质存储的备份文件1份。</w:t>
      </w:r>
    </w:p>
    <w:p>
      <w:pPr>
        <w:autoSpaceDE w:val="0"/>
        <w:autoSpaceDN w:val="0"/>
        <w:spacing w:line="440" w:lineRule="exact"/>
        <w:jc w:val="left"/>
        <w:rPr>
          <w:rFonts w:hAnsi="宋体" w:cs="宋体"/>
          <w:b/>
          <w:sz w:val="24"/>
        </w:rPr>
      </w:pPr>
      <w:r>
        <w:rPr>
          <w:rFonts w:hint="eastAsia" w:hAnsi="宋体" w:cs="宋体"/>
          <w:b/>
          <w:sz w:val="24"/>
        </w:rPr>
        <w:t>3.7.</w:t>
      </w:r>
      <w:r>
        <w:rPr>
          <w:rFonts w:hint="eastAsia" w:hAnsi="宋体" w:cs="宋体"/>
          <w:b/>
          <w:sz w:val="24"/>
          <w:lang w:val="en-US" w:eastAsia="zh-CN"/>
        </w:rPr>
        <w:t>5</w:t>
      </w:r>
      <w:r>
        <w:rPr>
          <w:rFonts w:hint="eastAsia" w:hAnsi="宋体" w:cs="宋体"/>
          <w:b/>
          <w:sz w:val="24"/>
        </w:rPr>
        <w:t xml:space="preserve"> 商务标投标文件制作注意事项：</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w:t>
      </w:r>
      <w:r>
        <w:rPr>
          <w:rFonts w:hint="eastAsia" w:hAnsi="宋体" w:cs="宋体"/>
          <w:sz w:val="24"/>
          <w:lang w:val="en-US" w:eastAsia="zh-CN"/>
        </w:rPr>
        <w:t>5</w:t>
      </w:r>
      <w:r>
        <w:rPr>
          <w:rFonts w:hint="eastAsia" w:hAnsi="宋体" w:cs="宋体"/>
          <w:sz w:val="24"/>
        </w:rPr>
        <w:t>.1 投标人登录【全国公共资源交易平台（河南省·许昌市）】公共资源交易系统下载“许昌投标文件制作系统SEARUN V1.0” 和操作手册（工程项目），按招标文件要求制作商务标投标文件。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w:t>
      </w:r>
      <w:r>
        <w:rPr>
          <w:rFonts w:hint="eastAsia" w:hAnsi="宋体" w:cs="宋体"/>
          <w:sz w:val="24"/>
          <w:lang w:val="en-US" w:eastAsia="zh-CN"/>
        </w:rPr>
        <w:t>5</w:t>
      </w:r>
      <w:r>
        <w:rPr>
          <w:rFonts w:hint="eastAsia" w:hAnsi="宋体" w:cs="宋体"/>
          <w:sz w:val="24"/>
        </w:rPr>
        <w:t>.2 商务标投标文件制作技术咨询：0374-2961598。</w:t>
      </w:r>
    </w:p>
    <w:p>
      <w:pPr>
        <w:autoSpaceDE w:val="0"/>
        <w:autoSpaceDN w:val="0"/>
        <w:spacing w:line="400" w:lineRule="exact"/>
        <w:outlineLvl w:val="0"/>
        <w:rPr>
          <w:rFonts w:hint="eastAsia"/>
          <w:b/>
          <w:color w:val="auto"/>
        </w:rPr>
      </w:pPr>
      <w:r>
        <w:rPr>
          <w:rFonts w:hint="eastAsia"/>
          <w:b/>
          <w:color w:val="auto"/>
        </w:rPr>
        <w:t>4</w:t>
      </w:r>
      <w:bookmarkEnd w:id="38"/>
      <w:bookmarkStart w:id="39" w:name="_Toc283559963"/>
      <w:r>
        <w:rPr>
          <w:rFonts w:hint="eastAsia"/>
          <w:b/>
          <w:color w:val="auto"/>
        </w:rPr>
        <w:t>. 投标</w:t>
      </w:r>
    </w:p>
    <w:p>
      <w:pPr>
        <w:autoSpaceDE w:val="0"/>
        <w:autoSpaceDN w:val="0"/>
        <w:spacing w:line="400" w:lineRule="exact"/>
        <w:ind w:firstLine="480"/>
        <w:outlineLvl w:val="0"/>
        <w:rPr>
          <w:rFonts w:hint="eastAsia"/>
          <w:b/>
          <w:color w:val="auto"/>
        </w:rPr>
      </w:pPr>
      <w:bookmarkStart w:id="40" w:name="_Toc283559962"/>
      <w:r>
        <w:rPr>
          <w:rFonts w:hint="eastAsia"/>
          <w:b/>
          <w:color w:val="auto"/>
        </w:rPr>
        <w:t>4.1 投标文件的密封和标记</w:t>
      </w:r>
      <w:bookmarkEnd w:id="40"/>
    </w:p>
    <w:p>
      <w:pPr>
        <w:autoSpaceDE w:val="0"/>
        <w:autoSpaceDN w:val="0"/>
        <w:spacing w:line="400" w:lineRule="exact"/>
        <w:ind w:firstLine="480"/>
        <w:outlineLvl w:val="0"/>
        <w:rPr>
          <w:rFonts w:hint="eastAsia"/>
          <w:b/>
          <w:color w:val="auto"/>
        </w:rPr>
      </w:pPr>
      <w:r>
        <w:rPr>
          <w:rFonts w:hint="eastAsia"/>
          <w:b/>
          <w:color w:val="auto"/>
        </w:rPr>
        <w:t>4.1.1 使用电子介质存储的投标文件应单独密封，并加盖单位公章。</w:t>
      </w:r>
    </w:p>
    <w:p>
      <w:pPr>
        <w:autoSpaceDE w:val="0"/>
        <w:autoSpaceDN w:val="0"/>
        <w:spacing w:line="400" w:lineRule="exact"/>
        <w:ind w:firstLine="480"/>
        <w:outlineLvl w:val="0"/>
        <w:rPr>
          <w:rFonts w:hint="eastAsia"/>
          <w:b/>
          <w:color w:val="auto"/>
        </w:rPr>
      </w:pPr>
      <w:r>
        <w:rPr>
          <w:rFonts w:hint="eastAsia"/>
          <w:b/>
          <w:color w:val="auto"/>
        </w:rPr>
        <w:t>4.1.2 未按本章第4.1.1项要求密封和加写标记的电子介质存储的投标文件，招标人不予受理。</w:t>
      </w:r>
    </w:p>
    <w:bookmarkEnd w:id="39"/>
    <w:p>
      <w:pPr>
        <w:autoSpaceDE w:val="0"/>
        <w:autoSpaceDN w:val="0"/>
        <w:spacing w:line="440" w:lineRule="exact"/>
        <w:jc w:val="left"/>
        <w:outlineLvl w:val="0"/>
        <w:rPr>
          <w:rFonts w:hAnsi="宋体" w:cs="宋体"/>
          <w:b/>
          <w:sz w:val="24"/>
        </w:rPr>
      </w:pPr>
      <w:r>
        <w:rPr>
          <w:rFonts w:hAnsi="宋体" w:cs="宋体"/>
          <w:b/>
          <w:sz w:val="24"/>
        </w:rPr>
        <w:t xml:space="preserve">4.2 </w:t>
      </w:r>
      <w:r>
        <w:rPr>
          <w:rFonts w:hint="eastAsia" w:hAnsi="宋体" w:cs="宋体"/>
          <w:b/>
          <w:sz w:val="24"/>
        </w:rPr>
        <w:t>投标文件的提交</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4.2.1 投标人应在投标人须知前附表中规定的投标截止时间前成功上传电子投标文件和现场提交电子介质存储的投标文件。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投标人提交电子介质存储的投标文件地点：见投标人须知前附表。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除投标人须知前附表另有规定外，投标人所提交的电子投标文件、电子介质存储的投标文件不予退还。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逾期送达的或者未送达指定地点的电子介质存储的投标文件，招标人不予受理。</w:t>
      </w:r>
    </w:p>
    <w:p>
      <w:pPr>
        <w:spacing w:line="400" w:lineRule="exact"/>
        <w:ind w:firstLine="482"/>
        <w:rPr>
          <w:rFonts w:ascii="宋体" w:hAnsi="宋体" w:eastAsia="宋体" w:cs="宋体"/>
          <w:b/>
          <w:color w:val="auto"/>
          <w:sz w:val="24"/>
          <w:szCs w:val="24"/>
        </w:rPr>
      </w:pPr>
      <w:r>
        <w:rPr>
          <w:rFonts w:hint="eastAsia" w:ascii="宋体" w:hAnsi="宋体" w:eastAsia="宋体" w:cs="宋体"/>
          <w:b/>
          <w:color w:val="auto"/>
          <w:sz w:val="24"/>
          <w:szCs w:val="24"/>
        </w:rPr>
        <w:t>4.2.4 出现以下情况，招标人不予受理：</w:t>
      </w:r>
    </w:p>
    <w:p>
      <w:pPr>
        <w:autoSpaceDE w:val="0"/>
        <w:autoSpaceDN w:val="0"/>
        <w:spacing w:line="400" w:lineRule="exact"/>
        <w:ind w:firstLine="480"/>
        <w:outlineLvl w:val="0"/>
        <w:rPr>
          <w:rFonts w:ascii="宋体" w:hAnsi="宋体" w:eastAsia="宋体" w:cs="宋体"/>
          <w:color w:val="auto"/>
          <w:sz w:val="24"/>
          <w:szCs w:val="24"/>
        </w:rPr>
      </w:pPr>
      <w:r>
        <w:rPr>
          <w:rFonts w:hint="eastAsia" w:ascii="宋体" w:hAnsi="宋体" w:eastAsia="宋体" w:cs="宋体"/>
          <w:color w:val="auto"/>
          <w:sz w:val="24"/>
          <w:szCs w:val="24"/>
        </w:rPr>
        <w:t>4.2.4.1 法定代表人未携带身份证明原件或委托代理人未携带委托书原件和身份证明原件在规定的时间出席开标现场的，其投标文件将被拒收。</w:t>
      </w:r>
    </w:p>
    <w:p>
      <w:pPr>
        <w:autoSpaceDE w:val="0"/>
        <w:autoSpaceDN w:val="0"/>
        <w:spacing w:line="400" w:lineRule="exact"/>
        <w:ind w:firstLine="480"/>
        <w:outlineLvl w:val="0"/>
        <w:rPr>
          <w:rFonts w:ascii="宋体" w:hAnsi="宋体" w:eastAsia="宋体" w:cs="宋体"/>
          <w:color w:val="auto"/>
          <w:sz w:val="24"/>
          <w:szCs w:val="24"/>
        </w:rPr>
      </w:pPr>
      <w:r>
        <w:rPr>
          <w:rFonts w:hint="eastAsia" w:ascii="宋体" w:hAnsi="宋体" w:eastAsia="宋体" w:cs="宋体"/>
          <w:color w:val="auto"/>
          <w:sz w:val="24"/>
          <w:szCs w:val="24"/>
        </w:rPr>
        <w:t>4.2.4.2 投标文件未按要求密封的，其投标文件将被拒收。</w:t>
      </w:r>
    </w:p>
    <w:p>
      <w:pPr>
        <w:autoSpaceDE w:val="0"/>
        <w:autoSpaceDN w:val="0"/>
        <w:spacing w:line="400" w:lineRule="exact"/>
        <w:ind w:firstLine="480"/>
        <w:outlineLvl w:val="0"/>
        <w:rPr>
          <w:rFonts w:ascii="宋体" w:hAnsi="宋体" w:eastAsia="宋体" w:cs="宋体"/>
          <w:color w:val="auto"/>
          <w:sz w:val="24"/>
          <w:szCs w:val="24"/>
        </w:rPr>
      </w:pPr>
      <w:r>
        <w:rPr>
          <w:rFonts w:hint="eastAsia" w:ascii="宋体" w:hAnsi="宋体" w:eastAsia="宋体" w:cs="宋体"/>
          <w:color w:val="auto"/>
          <w:sz w:val="24"/>
          <w:szCs w:val="24"/>
        </w:rPr>
        <w:t>4.2.4.3 逾期送达的或者未送达指定地点的投标文件将被拒收。</w:t>
      </w:r>
    </w:p>
    <w:p>
      <w:pPr>
        <w:autoSpaceDE w:val="0"/>
        <w:autoSpaceDN w:val="0"/>
        <w:spacing w:line="400" w:lineRule="exact"/>
        <w:ind w:firstLine="0" w:firstLineChars="0"/>
        <w:outlineLvl w:val="0"/>
        <w:rPr>
          <w:rFonts w:ascii="宋体" w:hAnsi="宋体" w:eastAsia="宋体" w:cs="宋体"/>
          <w:b/>
          <w:color w:val="auto"/>
          <w:sz w:val="24"/>
          <w:szCs w:val="24"/>
        </w:rPr>
      </w:pPr>
      <w:bookmarkStart w:id="41" w:name="_Toc283559964"/>
      <w:r>
        <w:rPr>
          <w:rFonts w:hint="eastAsia" w:ascii="宋体" w:hAnsi="宋体" w:eastAsia="宋体" w:cs="宋体"/>
          <w:b/>
          <w:color w:val="auto"/>
          <w:sz w:val="24"/>
          <w:szCs w:val="24"/>
        </w:rPr>
        <w:t>4.3 投标文件的修改与撤回</w:t>
      </w:r>
      <w:bookmarkEnd w:id="41"/>
    </w:p>
    <w:p>
      <w:pPr>
        <w:autoSpaceDE w:val="0"/>
        <w:autoSpaceDN w:val="0"/>
        <w:spacing w:line="400" w:lineRule="exact"/>
        <w:ind w:firstLine="480"/>
        <w:jc w:val="both"/>
        <w:outlineLvl w:val="0"/>
        <w:rPr>
          <w:rFonts w:ascii="宋体" w:hAnsi="宋体" w:eastAsia="宋体" w:cs="宋体"/>
          <w:color w:val="auto"/>
          <w:sz w:val="24"/>
          <w:szCs w:val="24"/>
        </w:rPr>
      </w:pPr>
      <w:r>
        <w:rPr>
          <w:rFonts w:hint="eastAsia" w:ascii="宋体" w:hAnsi="宋体" w:eastAsia="宋体" w:cs="宋体"/>
          <w:color w:val="auto"/>
          <w:sz w:val="24"/>
          <w:szCs w:val="24"/>
        </w:rPr>
        <w:t>4.3.1 在本章第 4.2.1 项规定的投标截止时间前，投标人可以修改或撤回已递交的投标文件，但应以书面形式通知招标人。</w:t>
      </w:r>
    </w:p>
    <w:p>
      <w:pPr>
        <w:autoSpaceDE w:val="0"/>
        <w:autoSpaceDN w:val="0"/>
        <w:spacing w:line="400" w:lineRule="exact"/>
        <w:ind w:firstLine="480"/>
        <w:jc w:val="both"/>
        <w:outlineLvl w:val="0"/>
        <w:rPr>
          <w:rFonts w:ascii="宋体" w:hAnsi="宋体" w:eastAsia="宋体" w:cs="宋体"/>
          <w:color w:val="auto"/>
          <w:sz w:val="24"/>
          <w:szCs w:val="24"/>
        </w:rPr>
      </w:pPr>
      <w:r>
        <w:rPr>
          <w:rFonts w:hint="eastAsia" w:ascii="宋体" w:hAnsi="宋体" w:eastAsia="宋体" w:cs="宋体"/>
          <w:color w:val="auto"/>
          <w:sz w:val="24"/>
          <w:szCs w:val="24"/>
        </w:rPr>
        <w:t>4.3.2 投标人修改或撤回已递交投标文件的书面通知应按照本章第 3.7.3项的要求签字或盖章。招标人收到书面通知后，向投标人出具签收凭证。</w:t>
      </w:r>
    </w:p>
    <w:p>
      <w:pPr>
        <w:autoSpaceDE w:val="0"/>
        <w:autoSpaceDN w:val="0"/>
        <w:spacing w:line="400" w:lineRule="exact"/>
        <w:ind w:firstLine="480"/>
        <w:jc w:val="both"/>
        <w:outlineLvl w:val="0"/>
        <w:rPr>
          <w:rFonts w:ascii="宋体" w:hAnsi="宋体" w:eastAsia="宋体" w:cs="宋体"/>
          <w:color w:val="auto"/>
          <w:sz w:val="24"/>
          <w:szCs w:val="24"/>
        </w:rPr>
      </w:pPr>
      <w:r>
        <w:rPr>
          <w:rFonts w:hint="eastAsia" w:ascii="宋体" w:hAnsi="宋体" w:eastAsia="宋体" w:cs="宋体"/>
          <w:color w:val="auto"/>
          <w:sz w:val="24"/>
          <w:szCs w:val="24"/>
        </w:rPr>
        <w:t>4.3.3 投标人撤回投标文件的，招标人自收到投标人书面撤回通知之日起 5 日内退还已收取的投标保证金。</w:t>
      </w:r>
    </w:p>
    <w:p>
      <w:pPr>
        <w:autoSpaceDE w:val="0"/>
        <w:autoSpaceDN w:val="0"/>
        <w:spacing w:line="400" w:lineRule="exact"/>
        <w:ind w:firstLine="480"/>
        <w:jc w:val="both"/>
        <w:outlineLvl w:val="0"/>
        <w:rPr>
          <w:rFonts w:ascii="宋体" w:hAnsi="宋体" w:eastAsia="宋体" w:cs="宋体"/>
          <w:color w:val="auto"/>
          <w:sz w:val="24"/>
          <w:szCs w:val="24"/>
        </w:rPr>
      </w:pPr>
      <w:r>
        <w:rPr>
          <w:rFonts w:hint="eastAsia" w:ascii="宋体" w:hAnsi="宋体" w:eastAsia="宋体" w:cs="宋体"/>
          <w:color w:val="auto"/>
          <w:sz w:val="24"/>
          <w:szCs w:val="24"/>
        </w:rPr>
        <w:t>4.3.4 修改的内容为投标文件的组成部分。修改的投标文件应按照本章第 3 条、第 4 条的规 定进行编制、密封、标记和递交，并标明“修改”字样。</w:t>
      </w:r>
    </w:p>
    <w:p>
      <w:pPr>
        <w:pStyle w:val="94"/>
        <w:spacing w:line="400" w:lineRule="exact"/>
        <w:jc w:val="both"/>
        <w:outlineLvl w:val="0"/>
        <w:rPr>
          <w:b/>
          <w:color w:val="auto"/>
        </w:rPr>
      </w:pPr>
      <w:bookmarkStart w:id="42" w:name="_Toc283559967"/>
      <w:r>
        <w:rPr>
          <w:rFonts w:hint="eastAsia"/>
          <w:b/>
          <w:color w:val="auto"/>
        </w:rPr>
        <w:t>5. 开标</w:t>
      </w:r>
      <w:bookmarkEnd w:id="42"/>
    </w:p>
    <w:p>
      <w:pPr>
        <w:autoSpaceDE w:val="0"/>
        <w:autoSpaceDN w:val="0"/>
        <w:adjustRightInd w:val="0"/>
        <w:spacing w:line="400" w:lineRule="exact"/>
        <w:ind w:firstLine="0" w:firstLineChars="0"/>
        <w:outlineLvl w:val="0"/>
        <w:rPr>
          <w:rFonts w:ascii="宋体" w:hAnsi="宋体" w:eastAsia="宋体" w:cs="宋体"/>
          <w:b/>
          <w:color w:val="auto"/>
          <w:sz w:val="24"/>
          <w:szCs w:val="24"/>
        </w:rPr>
      </w:pPr>
      <w:bookmarkStart w:id="43" w:name="_Toc283559968"/>
      <w:r>
        <w:rPr>
          <w:rFonts w:hint="eastAsia" w:ascii="宋体" w:hAnsi="宋体" w:eastAsia="宋体" w:cs="宋体"/>
          <w:b/>
          <w:color w:val="auto"/>
          <w:sz w:val="24"/>
          <w:szCs w:val="24"/>
        </w:rPr>
        <w:t>5.1 开标时间和地点</w:t>
      </w:r>
      <w:bookmarkEnd w:id="43"/>
    </w:p>
    <w:p>
      <w:pPr>
        <w:spacing w:line="400" w:lineRule="exact"/>
        <w:ind w:firstLine="480"/>
        <w:jc w:val="both"/>
        <w:rPr>
          <w:rFonts w:ascii="宋体" w:hAnsi="宋体" w:eastAsia="宋体" w:cs="宋体"/>
          <w:color w:val="auto"/>
          <w:sz w:val="24"/>
          <w:szCs w:val="24"/>
        </w:rPr>
      </w:pPr>
      <w:r>
        <w:rPr>
          <w:rFonts w:hint="eastAsia" w:ascii="宋体" w:hAnsi="宋体" w:eastAsia="宋体" w:cs="宋体"/>
          <w:color w:val="auto"/>
          <w:sz w:val="24"/>
          <w:szCs w:val="24"/>
        </w:rPr>
        <w:t>招标人在本章第 4.2.1 项规定的投标截止时间（开标时间）和投标人须知前附表规定的地点公开开标，并邀请所有投标人的法定代表人（单位负责人）或其委托代理人准时参加。</w:t>
      </w:r>
    </w:p>
    <w:p>
      <w:pPr>
        <w:autoSpaceDE w:val="0"/>
        <w:autoSpaceDN w:val="0"/>
        <w:adjustRightInd w:val="0"/>
        <w:spacing w:line="400" w:lineRule="exact"/>
        <w:ind w:firstLine="0" w:firstLineChars="0"/>
        <w:rPr>
          <w:rFonts w:ascii="宋体" w:hAnsi="宋体" w:eastAsia="宋体" w:cs="宋体"/>
          <w:b/>
          <w:color w:val="auto"/>
          <w:sz w:val="24"/>
          <w:szCs w:val="24"/>
        </w:rPr>
      </w:pPr>
      <w:r>
        <w:rPr>
          <w:rFonts w:hint="eastAsia" w:ascii="宋体" w:hAnsi="宋体" w:eastAsia="宋体" w:cs="宋体"/>
          <w:b/>
          <w:color w:val="auto"/>
          <w:sz w:val="24"/>
          <w:szCs w:val="24"/>
        </w:rPr>
        <w:t>5.2 开标程序</w:t>
      </w:r>
    </w:p>
    <w:p>
      <w:pPr>
        <w:spacing w:line="400" w:lineRule="exact"/>
        <w:ind w:firstLine="480"/>
        <w:rPr>
          <w:rFonts w:ascii="宋体" w:hAnsi="宋体" w:eastAsia="宋体" w:cs="宋体"/>
          <w:color w:val="auto"/>
          <w:sz w:val="24"/>
          <w:szCs w:val="24"/>
        </w:rPr>
      </w:pPr>
      <w:bookmarkStart w:id="44" w:name="_Toc283559970"/>
      <w:r>
        <w:rPr>
          <w:rFonts w:hint="eastAsia" w:ascii="宋体" w:hAnsi="宋体" w:eastAsia="宋体" w:cs="宋体"/>
          <w:color w:val="auto"/>
          <w:sz w:val="24"/>
          <w:szCs w:val="24"/>
        </w:rPr>
        <w:t>主持人按下列程序进行开标：</w:t>
      </w:r>
    </w:p>
    <w:p>
      <w:pPr>
        <w:widowControl/>
        <w:autoSpaceDE w:val="0"/>
        <w:autoSpaceDN w:val="0"/>
        <w:adjustRightInd w:val="0"/>
        <w:spacing w:line="400" w:lineRule="exact"/>
        <w:ind w:firstLine="410" w:firstLineChars="171"/>
        <w:rPr>
          <w:rFonts w:ascii="宋体" w:hAnsi="宋体" w:eastAsia="宋体" w:cs="宋体"/>
          <w:color w:val="auto"/>
          <w:sz w:val="24"/>
        </w:rPr>
      </w:pPr>
      <w:r>
        <w:rPr>
          <w:rFonts w:hint="eastAsia" w:ascii="宋体" w:hAnsi="宋体" w:eastAsia="宋体" w:cs="宋体"/>
          <w:color w:val="auto"/>
          <w:sz w:val="24"/>
        </w:rPr>
        <w:t>（1）宣布开标纪律；</w:t>
      </w:r>
    </w:p>
    <w:p>
      <w:pPr>
        <w:widowControl/>
        <w:autoSpaceDE w:val="0"/>
        <w:autoSpaceDN w:val="0"/>
        <w:adjustRightInd w:val="0"/>
        <w:spacing w:line="400" w:lineRule="exact"/>
        <w:ind w:firstLine="360" w:firstLineChars="150"/>
        <w:rPr>
          <w:rFonts w:ascii="宋体" w:hAnsi="宋体" w:eastAsia="宋体" w:cs="宋体"/>
          <w:color w:val="auto"/>
          <w:sz w:val="24"/>
        </w:rPr>
      </w:pPr>
      <w:r>
        <w:rPr>
          <w:rFonts w:hint="eastAsia" w:ascii="宋体" w:hAnsi="宋体" w:eastAsia="宋体" w:cs="宋体"/>
          <w:color w:val="auto"/>
          <w:sz w:val="24"/>
        </w:rPr>
        <w:t>（2）公布在投标截止时间前递交投标文件的投标人名称，并点名确认投标人是否派人到场；</w:t>
      </w:r>
    </w:p>
    <w:p>
      <w:pPr>
        <w:widowControl/>
        <w:autoSpaceDE w:val="0"/>
        <w:autoSpaceDN w:val="0"/>
        <w:adjustRightInd w:val="0"/>
        <w:spacing w:line="400" w:lineRule="exact"/>
        <w:ind w:firstLine="410" w:firstLineChars="171"/>
        <w:rPr>
          <w:rFonts w:ascii="宋体" w:hAnsi="宋体" w:eastAsia="宋体" w:cs="宋体"/>
          <w:color w:val="auto"/>
          <w:sz w:val="24"/>
        </w:rPr>
      </w:pPr>
      <w:r>
        <w:rPr>
          <w:rFonts w:hint="eastAsia" w:ascii="宋体" w:hAnsi="宋体" w:eastAsia="宋体" w:cs="宋体"/>
          <w:color w:val="auto"/>
          <w:sz w:val="24"/>
        </w:rPr>
        <w:t>（3）宣读经备案的招标文件的补充和修改文件的份数；</w:t>
      </w:r>
    </w:p>
    <w:p>
      <w:pPr>
        <w:widowControl/>
        <w:autoSpaceDE w:val="0"/>
        <w:autoSpaceDN w:val="0"/>
        <w:adjustRightInd w:val="0"/>
        <w:spacing w:line="400" w:lineRule="exact"/>
        <w:ind w:firstLine="410" w:firstLineChars="171"/>
        <w:rPr>
          <w:rFonts w:ascii="宋体" w:hAnsi="宋体" w:eastAsia="宋体" w:cs="宋体"/>
          <w:color w:val="auto"/>
          <w:sz w:val="24"/>
        </w:rPr>
      </w:pPr>
      <w:r>
        <w:rPr>
          <w:rFonts w:hint="eastAsia" w:ascii="宋体" w:hAnsi="宋体" w:eastAsia="宋体" w:cs="宋体"/>
          <w:color w:val="auto"/>
          <w:sz w:val="24"/>
        </w:rPr>
        <w:t>（4）宣布开标人、唱标人、记录人、监标人等有关人员姓名；</w:t>
      </w:r>
    </w:p>
    <w:p>
      <w:pPr>
        <w:widowControl/>
        <w:autoSpaceDE w:val="0"/>
        <w:autoSpaceDN w:val="0"/>
        <w:adjustRightInd w:val="0"/>
        <w:spacing w:line="400" w:lineRule="exact"/>
        <w:ind w:firstLine="410" w:firstLineChars="171"/>
        <w:rPr>
          <w:rFonts w:ascii="宋体" w:hAnsi="宋体" w:eastAsia="宋体" w:cs="宋体"/>
          <w:color w:val="auto"/>
          <w:sz w:val="24"/>
        </w:rPr>
      </w:pPr>
      <w:r>
        <w:rPr>
          <w:rFonts w:hint="eastAsia" w:ascii="宋体" w:hAnsi="宋体" w:eastAsia="宋体" w:cs="宋体"/>
          <w:color w:val="auto"/>
          <w:sz w:val="24"/>
        </w:rPr>
        <w:t>（5）按照投标人须知前附表规定检查投标文件的密封情况；</w:t>
      </w:r>
    </w:p>
    <w:p>
      <w:pPr>
        <w:widowControl/>
        <w:autoSpaceDE w:val="0"/>
        <w:autoSpaceDN w:val="0"/>
        <w:adjustRightInd w:val="0"/>
        <w:spacing w:line="400" w:lineRule="exact"/>
        <w:ind w:firstLine="410" w:firstLineChars="171"/>
        <w:rPr>
          <w:rFonts w:ascii="宋体" w:hAnsi="宋体" w:eastAsia="宋体" w:cs="宋体"/>
          <w:color w:val="auto"/>
          <w:sz w:val="24"/>
        </w:rPr>
      </w:pPr>
      <w:r>
        <w:rPr>
          <w:rFonts w:hint="eastAsia" w:ascii="宋体" w:hAnsi="宋体" w:eastAsia="宋体" w:cs="宋体"/>
          <w:color w:val="auto"/>
          <w:sz w:val="24"/>
        </w:rPr>
        <w:t>（6）按照投标人须知前附表的规定确定并宣布投标文件开标顺序；</w:t>
      </w:r>
    </w:p>
    <w:p>
      <w:pPr>
        <w:widowControl/>
        <w:autoSpaceDE w:val="0"/>
        <w:autoSpaceDN w:val="0"/>
        <w:adjustRightInd w:val="0"/>
        <w:spacing w:line="400" w:lineRule="exact"/>
        <w:ind w:firstLine="410" w:firstLineChars="171"/>
        <w:rPr>
          <w:rFonts w:ascii="宋体" w:hAnsi="宋体" w:eastAsia="宋体" w:cs="宋体"/>
          <w:color w:val="auto"/>
          <w:sz w:val="24"/>
        </w:rPr>
      </w:pPr>
      <w:r>
        <w:rPr>
          <w:rFonts w:hint="eastAsia" w:ascii="宋体" w:hAnsi="宋体" w:eastAsia="宋体" w:cs="宋体"/>
          <w:color w:val="auto"/>
          <w:sz w:val="24"/>
        </w:rPr>
        <w:t>（7）检查投标文件的密封情况，按照投标人须知前附表规定的开标顺序当众开标， 公布招标项目名称、投标人名称、投标保证金的递交情况、投标报价、服务周期及其他内容，并记录在案；</w:t>
      </w:r>
    </w:p>
    <w:p>
      <w:pPr>
        <w:widowControl/>
        <w:autoSpaceDE w:val="0"/>
        <w:autoSpaceDN w:val="0"/>
        <w:adjustRightInd w:val="0"/>
        <w:spacing w:line="400" w:lineRule="exact"/>
        <w:ind w:firstLine="410" w:firstLineChars="171"/>
        <w:rPr>
          <w:rFonts w:ascii="宋体" w:hAnsi="宋体" w:eastAsia="宋体" w:cs="宋体"/>
          <w:color w:val="auto"/>
          <w:sz w:val="24"/>
        </w:rPr>
      </w:pPr>
      <w:r>
        <w:rPr>
          <w:rFonts w:hint="eastAsia" w:ascii="宋体" w:hAnsi="宋体" w:eastAsia="宋体" w:cs="宋体"/>
          <w:color w:val="auto"/>
          <w:sz w:val="24"/>
        </w:rPr>
        <w:t>（8）宣布招标控制价；</w:t>
      </w:r>
    </w:p>
    <w:p>
      <w:pPr>
        <w:widowControl/>
        <w:autoSpaceDE w:val="0"/>
        <w:autoSpaceDN w:val="0"/>
        <w:adjustRightInd w:val="0"/>
        <w:spacing w:line="400" w:lineRule="exact"/>
        <w:ind w:firstLine="410" w:firstLineChars="171"/>
        <w:rPr>
          <w:rFonts w:ascii="宋体" w:hAnsi="宋体" w:eastAsia="宋体" w:cs="宋体"/>
          <w:color w:val="auto"/>
          <w:sz w:val="24"/>
        </w:rPr>
      </w:pPr>
      <w:r>
        <w:rPr>
          <w:rFonts w:hint="eastAsia" w:ascii="宋体" w:hAnsi="宋体" w:eastAsia="宋体" w:cs="宋体"/>
          <w:color w:val="auto"/>
          <w:sz w:val="24"/>
        </w:rPr>
        <w:t>（9）投标人代表、招标人代表、监标人、记录人等有关人员在开标记录上签字确认；</w:t>
      </w:r>
    </w:p>
    <w:p>
      <w:pPr>
        <w:widowControl/>
        <w:autoSpaceDE w:val="0"/>
        <w:autoSpaceDN w:val="0"/>
        <w:adjustRightInd w:val="0"/>
        <w:spacing w:line="400" w:lineRule="exact"/>
        <w:ind w:firstLine="410" w:firstLineChars="171"/>
        <w:rPr>
          <w:rFonts w:ascii="宋体" w:hAnsi="宋体" w:eastAsia="宋体" w:cs="宋体"/>
          <w:color w:val="auto"/>
          <w:sz w:val="24"/>
        </w:rPr>
      </w:pPr>
      <w:r>
        <w:rPr>
          <w:rFonts w:hint="eastAsia" w:ascii="宋体" w:hAnsi="宋体" w:eastAsia="宋体" w:cs="宋体"/>
          <w:color w:val="auto"/>
          <w:sz w:val="24"/>
        </w:rPr>
        <w:t>（10）开标结束。</w:t>
      </w:r>
    </w:p>
    <w:p>
      <w:pPr>
        <w:autoSpaceDE w:val="0"/>
        <w:autoSpaceDN w:val="0"/>
        <w:adjustRightInd w:val="0"/>
        <w:spacing w:line="400" w:lineRule="exact"/>
        <w:ind w:firstLine="0" w:firstLineChars="0"/>
        <w:rPr>
          <w:rFonts w:ascii="宋体" w:hAnsi="宋体" w:eastAsia="宋体" w:cs="宋体"/>
          <w:b/>
          <w:color w:val="auto"/>
          <w:sz w:val="24"/>
          <w:szCs w:val="24"/>
        </w:rPr>
      </w:pPr>
      <w:r>
        <w:rPr>
          <w:rFonts w:hint="eastAsia" w:ascii="宋体" w:hAnsi="宋体" w:eastAsia="宋体" w:cs="宋体"/>
          <w:b/>
          <w:color w:val="auto"/>
          <w:sz w:val="24"/>
          <w:szCs w:val="24"/>
        </w:rPr>
        <w:t>5.3 开标异议</w:t>
      </w:r>
    </w:p>
    <w:p>
      <w:pPr>
        <w:widowControl/>
        <w:autoSpaceDE w:val="0"/>
        <w:autoSpaceDN w:val="0"/>
        <w:adjustRightInd w:val="0"/>
        <w:spacing w:line="400" w:lineRule="exact"/>
        <w:ind w:firstLine="410" w:firstLineChars="171"/>
        <w:rPr>
          <w:rFonts w:ascii="宋体" w:hAnsi="宋体" w:eastAsia="宋体" w:cs="宋体"/>
          <w:color w:val="auto"/>
          <w:sz w:val="24"/>
        </w:rPr>
      </w:pPr>
      <w:r>
        <w:rPr>
          <w:rFonts w:hint="eastAsia" w:ascii="宋体" w:hAnsi="宋体" w:eastAsia="宋体" w:cs="宋体"/>
          <w:color w:val="auto"/>
          <w:sz w:val="24"/>
        </w:rPr>
        <w:t>投标人对开标有异议的，应当在开标现场提出，招标人当场作出答复，并制作记录。</w:t>
      </w:r>
    </w:p>
    <w:p>
      <w:pPr>
        <w:pStyle w:val="94"/>
        <w:spacing w:line="400" w:lineRule="exact"/>
        <w:jc w:val="both"/>
        <w:outlineLvl w:val="0"/>
        <w:rPr>
          <w:b/>
          <w:color w:val="auto"/>
        </w:rPr>
      </w:pPr>
      <w:r>
        <w:rPr>
          <w:rFonts w:hint="eastAsia"/>
          <w:b/>
          <w:color w:val="auto"/>
        </w:rPr>
        <w:t>6. 评标</w:t>
      </w:r>
      <w:bookmarkEnd w:id="44"/>
    </w:p>
    <w:p>
      <w:pPr>
        <w:autoSpaceDE w:val="0"/>
        <w:autoSpaceDN w:val="0"/>
        <w:adjustRightInd w:val="0"/>
        <w:spacing w:line="400" w:lineRule="exact"/>
        <w:ind w:firstLine="0" w:firstLineChars="0"/>
        <w:outlineLvl w:val="0"/>
        <w:rPr>
          <w:rFonts w:ascii="宋体" w:hAnsi="宋体" w:eastAsia="宋体" w:cs="宋体"/>
          <w:b/>
          <w:color w:val="auto"/>
          <w:sz w:val="24"/>
          <w:szCs w:val="24"/>
        </w:rPr>
      </w:pPr>
      <w:bookmarkStart w:id="45" w:name="_Toc283559971"/>
      <w:r>
        <w:rPr>
          <w:rFonts w:hint="eastAsia" w:ascii="宋体" w:hAnsi="宋体" w:eastAsia="宋体" w:cs="宋体"/>
          <w:b/>
          <w:color w:val="auto"/>
          <w:sz w:val="24"/>
          <w:szCs w:val="24"/>
        </w:rPr>
        <w:t>6.1 评标委员会</w:t>
      </w:r>
      <w:bookmarkEnd w:id="45"/>
    </w:p>
    <w:p>
      <w:pPr>
        <w:autoSpaceDE w:val="0"/>
        <w:autoSpaceDN w:val="0"/>
        <w:spacing w:line="400" w:lineRule="exact"/>
        <w:ind w:firstLine="480"/>
        <w:jc w:val="both"/>
        <w:outlineLvl w:val="0"/>
        <w:rPr>
          <w:rFonts w:ascii="宋体" w:hAnsi="宋体" w:eastAsia="宋体" w:cs="宋体"/>
          <w:color w:val="auto"/>
          <w:sz w:val="24"/>
          <w:szCs w:val="24"/>
        </w:rPr>
      </w:pPr>
      <w:r>
        <w:rPr>
          <w:rFonts w:hint="eastAsia" w:ascii="宋体" w:hAnsi="宋体" w:eastAsia="宋体" w:cs="宋体"/>
          <w:color w:val="auto"/>
          <w:sz w:val="24"/>
          <w:szCs w:val="24"/>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autoSpaceDE w:val="0"/>
        <w:autoSpaceDN w:val="0"/>
        <w:spacing w:line="400" w:lineRule="exact"/>
        <w:ind w:firstLine="480"/>
        <w:jc w:val="both"/>
        <w:outlineLvl w:val="0"/>
        <w:rPr>
          <w:rFonts w:ascii="宋体" w:hAnsi="宋体" w:eastAsia="宋体" w:cs="宋体"/>
          <w:color w:val="auto"/>
          <w:sz w:val="24"/>
          <w:szCs w:val="24"/>
        </w:rPr>
      </w:pPr>
      <w:r>
        <w:rPr>
          <w:rFonts w:hint="eastAsia" w:ascii="宋体" w:hAnsi="宋体" w:eastAsia="宋体" w:cs="宋体"/>
          <w:color w:val="auto"/>
          <w:sz w:val="24"/>
          <w:szCs w:val="24"/>
        </w:rPr>
        <w:t>6.1.2 评标委员会成员有下列情形之一的，应当回避：</w:t>
      </w:r>
    </w:p>
    <w:p>
      <w:pPr>
        <w:autoSpaceDE w:val="0"/>
        <w:autoSpaceDN w:val="0"/>
        <w:spacing w:line="400" w:lineRule="exact"/>
        <w:ind w:firstLine="480"/>
        <w:jc w:val="both"/>
        <w:outlineLvl w:val="0"/>
        <w:rPr>
          <w:rFonts w:ascii="宋体" w:hAnsi="宋体" w:eastAsia="宋体" w:cs="宋体"/>
          <w:color w:val="auto"/>
          <w:sz w:val="24"/>
          <w:szCs w:val="24"/>
        </w:rPr>
      </w:pPr>
      <w:r>
        <w:rPr>
          <w:rFonts w:hint="eastAsia" w:ascii="宋体" w:hAnsi="宋体" w:eastAsia="宋体" w:cs="宋体"/>
          <w:color w:val="auto"/>
          <w:sz w:val="24"/>
          <w:szCs w:val="24"/>
        </w:rPr>
        <w:t>（1）投标人或投标人主要负责人的近亲属；</w:t>
      </w:r>
    </w:p>
    <w:p>
      <w:pPr>
        <w:autoSpaceDE w:val="0"/>
        <w:autoSpaceDN w:val="0"/>
        <w:spacing w:line="400" w:lineRule="exact"/>
        <w:ind w:firstLine="480"/>
        <w:jc w:val="both"/>
        <w:outlineLvl w:val="0"/>
        <w:rPr>
          <w:rFonts w:ascii="宋体" w:hAnsi="宋体" w:eastAsia="宋体" w:cs="宋体"/>
          <w:color w:val="auto"/>
          <w:sz w:val="24"/>
          <w:szCs w:val="24"/>
        </w:rPr>
      </w:pPr>
      <w:r>
        <w:rPr>
          <w:rFonts w:hint="eastAsia" w:ascii="宋体" w:hAnsi="宋体" w:eastAsia="宋体" w:cs="宋体"/>
          <w:color w:val="auto"/>
          <w:sz w:val="24"/>
          <w:szCs w:val="24"/>
        </w:rPr>
        <w:t>（2）项目主管部门或者行政监督部门的人员；</w:t>
      </w:r>
    </w:p>
    <w:p>
      <w:pPr>
        <w:autoSpaceDE w:val="0"/>
        <w:autoSpaceDN w:val="0"/>
        <w:spacing w:line="400" w:lineRule="exact"/>
        <w:ind w:firstLine="480"/>
        <w:jc w:val="both"/>
        <w:outlineLvl w:val="0"/>
        <w:rPr>
          <w:rFonts w:ascii="宋体" w:hAnsi="宋体" w:eastAsia="宋体" w:cs="宋体"/>
          <w:color w:val="auto"/>
          <w:sz w:val="24"/>
          <w:szCs w:val="24"/>
        </w:rPr>
      </w:pPr>
      <w:r>
        <w:rPr>
          <w:rFonts w:hint="eastAsia" w:ascii="宋体" w:hAnsi="宋体" w:eastAsia="宋体" w:cs="宋体"/>
          <w:color w:val="auto"/>
          <w:sz w:val="24"/>
          <w:szCs w:val="24"/>
        </w:rPr>
        <w:t>（3）与投标人有经济利益关系，可能影响对投标公正评审的；</w:t>
      </w:r>
    </w:p>
    <w:p>
      <w:pPr>
        <w:autoSpaceDE w:val="0"/>
        <w:autoSpaceDN w:val="0"/>
        <w:spacing w:line="400" w:lineRule="exact"/>
        <w:ind w:firstLine="480"/>
        <w:jc w:val="both"/>
        <w:outlineLvl w:val="0"/>
        <w:rPr>
          <w:rFonts w:ascii="宋体" w:hAnsi="宋体" w:eastAsia="宋体" w:cs="宋体"/>
          <w:color w:val="auto"/>
          <w:sz w:val="24"/>
          <w:szCs w:val="24"/>
        </w:rPr>
      </w:pPr>
      <w:r>
        <w:rPr>
          <w:rFonts w:hint="eastAsia" w:ascii="宋体" w:hAnsi="宋体" w:eastAsia="宋体" w:cs="宋体"/>
          <w:color w:val="auto"/>
          <w:sz w:val="24"/>
          <w:szCs w:val="24"/>
        </w:rPr>
        <w:t>（4）曾因在招标、评标以及其他与招标投标有关活动中从事违法行为而受过行政处罚 或刑事处罚的；</w:t>
      </w:r>
    </w:p>
    <w:p>
      <w:pPr>
        <w:autoSpaceDE w:val="0"/>
        <w:autoSpaceDN w:val="0"/>
        <w:spacing w:line="400" w:lineRule="exact"/>
        <w:ind w:firstLine="480"/>
        <w:jc w:val="both"/>
        <w:outlineLvl w:val="0"/>
        <w:rPr>
          <w:rFonts w:ascii="宋体" w:hAnsi="宋体" w:eastAsia="宋体" w:cs="宋体"/>
          <w:color w:val="auto"/>
          <w:sz w:val="24"/>
          <w:szCs w:val="24"/>
        </w:rPr>
      </w:pPr>
      <w:r>
        <w:rPr>
          <w:rFonts w:hint="eastAsia" w:ascii="宋体" w:hAnsi="宋体" w:eastAsia="宋体" w:cs="宋体"/>
          <w:color w:val="auto"/>
          <w:sz w:val="24"/>
          <w:szCs w:val="24"/>
        </w:rPr>
        <w:t>（5）与投标人有其他利害关系。</w:t>
      </w:r>
    </w:p>
    <w:p>
      <w:pPr>
        <w:autoSpaceDE w:val="0"/>
        <w:autoSpaceDN w:val="0"/>
        <w:spacing w:line="400" w:lineRule="exact"/>
        <w:ind w:firstLine="480"/>
        <w:jc w:val="both"/>
        <w:outlineLvl w:val="0"/>
        <w:rPr>
          <w:rFonts w:ascii="宋体" w:hAnsi="宋体" w:eastAsia="宋体" w:cs="宋体"/>
          <w:color w:val="auto"/>
          <w:sz w:val="24"/>
          <w:szCs w:val="24"/>
        </w:rPr>
      </w:pPr>
      <w:r>
        <w:rPr>
          <w:rFonts w:hint="eastAsia" w:ascii="宋体" w:hAnsi="宋体" w:eastAsia="宋体" w:cs="宋体"/>
          <w:color w:val="auto"/>
          <w:sz w:val="24"/>
          <w:szCs w:val="24"/>
        </w:rPr>
        <w:t>6.1.3 评标过程中，评标委员会成员有回避事由、擅离职守或者因健康等原因不能继续评标的，招标人有权更换。被更换的评标委员会成员作出的评审结论无效，由更换后的评标委员会成员重新进行评审。</w:t>
      </w:r>
    </w:p>
    <w:p>
      <w:pPr>
        <w:autoSpaceDE w:val="0"/>
        <w:autoSpaceDN w:val="0"/>
        <w:spacing w:line="400" w:lineRule="exact"/>
        <w:ind w:firstLine="0" w:firstLineChars="0"/>
        <w:outlineLvl w:val="0"/>
        <w:rPr>
          <w:rFonts w:ascii="宋体" w:hAnsi="宋体" w:eastAsia="宋体" w:cs="宋体"/>
          <w:b/>
          <w:color w:val="auto"/>
          <w:sz w:val="24"/>
          <w:szCs w:val="24"/>
        </w:rPr>
      </w:pPr>
      <w:bookmarkStart w:id="46" w:name="_Toc283559972"/>
      <w:r>
        <w:rPr>
          <w:rFonts w:hint="eastAsia" w:ascii="宋体" w:hAnsi="宋体" w:eastAsia="宋体" w:cs="宋体"/>
          <w:b/>
          <w:color w:val="auto"/>
          <w:sz w:val="24"/>
          <w:szCs w:val="24"/>
        </w:rPr>
        <w:t>6.2 评标原则</w:t>
      </w:r>
      <w:bookmarkEnd w:id="46"/>
    </w:p>
    <w:p>
      <w:pPr>
        <w:autoSpaceDE w:val="0"/>
        <w:autoSpaceDN w:val="0"/>
        <w:spacing w:line="400" w:lineRule="exact"/>
        <w:ind w:firstLine="480"/>
        <w:outlineLvl w:val="0"/>
        <w:rPr>
          <w:rFonts w:ascii="宋体" w:hAnsi="宋体" w:eastAsia="宋体" w:cs="宋体"/>
          <w:color w:val="auto"/>
          <w:sz w:val="24"/>
          <w:szCs w:val="24"/>
        </w:rPr>
      </w:pPr>
      <w:r>
        <w:rPr>
          <w:rFonts w:hint="eastAsia" w:ascii="宋体" w:hAnsi="宋体" w:eastAsia="宋体" w:cs="宋体"/>
          <w:color w:val="auto"/>
          <w:sz w:val="24"/>
          <w:szCs w:val="24"/>
        </w:rPr>
        <w:t>评标活动遵循公平、公正、科学和择优的原则。</w:t>
      </w:r>
    </w:p>
    <w:p>
      <w:pPr>
        <w:autoSpaceDE w:val="0"/>
        <w:autoSpaceDN w:val="0"/>
        <w:spacing w:line="400" w:lineRule="exact"/>
        <w:ind w:firstLine="0" w:firstLineChars="0"/>
        <w:outlineLvl w:val="0"/>
        <w:rPr>
          <w:rFonts w:ascii="宋体" w:hAnsi="宋体" w:eastAsia="宋体" w:cs="宋体"/>
          <w:b/>
          <w:color w:val="auto"/>
          <w:sz w:val="24"/>
          <w:szCs w:val="24"/>
        </w:rPr>
      </w:pPr>
      <w:bookmarkStart w:id="47" w:name="_Toc283559973"/>
      <w:r>
        <w:rPr>
          <w:rFonts w:hint="eastAsia" w:ascii="宋体" w:hAnsi="宋体" w:eastAsia="宋体" w:cs="宋体"/>
          <w:b/>
          <w:color w:val="auto"/>
          <w:sz w:val="24"/>
          <w:szCs w:val="24"/>
        </w:rPr>
        <w:t>6.3 评标</w:t>
      </w:r>
      <w:bookmarkEnd w:id="47"/>
    </w:p>
    <w:p>
      <w:pPr>
        <w:widowControl/>
        <w:autoSpaceDE w:val="0"/>
        <w:autoSpaceDN w:val="0"/>
        <w:adjustRightInd w:val="0"/>
        <w:spacing w:line="400" w:lineRule="exact"/>
        <w:ind w:firstLine="480"/>
        <w:rPr>
          <w:rFonts w:ascii="宋体" w:hAnsi="宋体" w:eastAsia="宋体" w:cs="宋体"/>
          <w:color w:val="auto"/>
          <w:sz w:val="24"/>
        </w:rPr>
      </w:pPr>
      <w:r>
        <w:rPr>
          <w:rFonts w:hint="eastAsia" w:ascii="宋体" w:hAnsi="宋体" w:eastAsia="宋体" w:cs="宋体"/>
          <w:color w:val="auto"/>
          <w:sz w:val="24"/>
        </w:rPr>
        <w:t>6.3.1 评标委员会按照第三章“评标办法”规定的方法、评审因素、标准和程序对投标文件进行评审。“评标办法”没有规定的方法、评审因素和标准，不作为评标依据。</w:t>
      </w:r>
    </w:p>
    <w:p>
      <w:pPr>
        <w:widowControl/>
        <w:autoSpaceDE w:val="0"/>
        <w:autoSpaceDN w:val="0"/>
        <w:adjustRightInd w:val="0"/>
        <w:spacing w:line="400" w:lineRule="exact"/>
        <w:ind w:firstLine="480"/>
        <w:rPr>
          <w:rFonts w:ascii="宋体" w:hAnsi="宋体" w:eastAsia="宋体" w:cs="宋体"/>
          <w:color w:val="auto"/>
          <w:sz w:val="24"/>
        </w:rPr>
      </w:pPr>
      <w:r>
        <w:rPr>
          <w:rFonts w:hint="eastAsia" w:ascii="宋体" w:hAnsi="宋体" w:eastAsia="宋体" w:cs="宋体"/>
          <w:color w:val="auto"/>
          <w:sz w:val="24"/>
        </w:rPr>
        <w:t>6.3.2 评标完成后，评标委员会应当向招标人提交书面评标报告和中标候选人名单。评标委员会推荐中标候选人的人数见投标人须知前附表。</w:t>
      </w:r>
    </w:p>
    <w:p>
      <w:pPr>
        <w:pStyle w:val="94"/>
        <w:spacing w:line="400" w:lineRule="exact"/>
        <w:jc w:val="both"/>
        <w:outlineLvl w:val="0"/>
        <w:rPr>
          <w:b/>
          <w:color w:val="auto"/>
        </w:rPr>
      </w:pPr>
      <w:bookmarkStart w:id="48" w:name="_Toc283559974"/>
      <w:r>
        <w:rPr>
          <w:rFonts w:hint="eastAsia"/>
          <w:b/>
          <w:color w:val="auto"/>
        </w:rPr>
        <w:t>7. 合同授予</w:t>
      </w:r>
      <w:bookmarkEnd w:id="48"/>
    </w:p>
    <w:p>
      <w:pPr>
        <w:autoSpaceDE w:val="0"/>
        <w:autoSpaceDN w:val="0"/>
        <w:spacing w:line="400" w:lineRule="exact"/>
        <w:ind w:firstLine="0" w:firstLineChars="0"/>
        <w:outlineLvl w:val="0"/>
        <w:rPr>
          <w:rFonts w:ascii="宋体" w:hAnsi="宋体" w:eastAsia="宋体" w:cs="宋体"/>
          <w:b/>
          <w:color w:val="auto"/>
          <w:sz w:val="24"/>
          <w:szCs w:val="24"/>
        </w:rPr>
      </w:pPr>
      <w:bookmarkStart w:id="49" w:name="_Toc283559975"/>
      <w:r>
        <w:rPr>
          <w:rFonts w:hint="eastAsia" w:ascii="宋体" w:hAnsi="宋体" w:eastAsia="宋体" w:cs="宋体"/>
          <w:b/>
          <w:color w:val="auto"/>
          <w:sz w:val="24"/>
          <w:szCs w:val="24"/>
        </w:rPr>
        <w:t xml:space="preserve">7.1 </w:t>
      </w:r>
      <w:bookmarkEnd w:id="49"/>
      <w:r>
        <w:rPr>
          <w:rFonts w:hint="eastAsia" w:ascii="宋体" w:hAnsi="宋体" w:eastAsia="宋体" w:cs="宋体"/>
          <w:b/>
          <w:color w:val="auto"/>
          <w:sz w:val="24"/>
          <w:szCs w:val="24"/>
        </w:rPr>
        <w:t>中标候选人公示</w:t>
      </w:r>
    </w:p>
    <w:p>
      <w:pPr>
        <w:widowControl/>
        <w:autoSpaceDE w:val="0"/>
        <w:autoSpaceDN w:val="0"/>
        <w:adjustRightInd w:val="0"/>
        <w:spacing w:line="400" w:lineRule="exact"/>
        <w:ind w:firstLine="480"/>
        <w:jc w:val="both"/>
        <w:rPr>
          <w:rFonts w:ascii="宋体" w:hAnsi="宋体" w:eastAsia="宋体" w:cs="宋体"/>
          <w:color w:val="auto"/>
          <w:sz w:val="24"/>
        </w:rPr>
      </w:pPr>
      <w:bookmarkStart w:id="50" w:name="_Toc283559976"/>
      <w:r>
        <w:rPr>
          <w:rFonts w:hint="eastAsia" w:ascii="宋体" w:hAnsi="宋体" w:eastAsia="宋体" w:cs="宋体"/>
          <w:color w:val="auto"/>
          <w:sz w:val="24"/>
        </w:rPr>
        <w:t>招标人在收到评标报告之日起3日内，按照投标人须知前附表规定的公示媒介和期限公示中标候选人，公示期不得少于3天。</w:t>
      </w:r>
    </w:p>
    <w:p>
      <w:pPr>
        <w:autoSpaceDE w:val="0"/>
        <w:autoSpaceDN w:val="0"/>
        <w:spacing w:line="400" w:lineRule="exact"/>
        <w:ind w:firstLine="0" w:firstLineChars="0"/>
        <w:outlineLvl w:val="0"/>
        <w:rPr>
          <w:rFonts w:ascii="宋体" w:hAnsi="宋体" w:eastAsia="宋体" w:cs="宋体"/>
          <w:b/>
          <w:color w:val="auto"/>
          <w:sz w:val="24"/>
          <w:szCs w:val="24"/>
        </w:rPr>
      </w:pPr>
      <w:r>
        <w:rPr>
          <w:rFonts w:hint="eastAsia" w:ascii="宋体" w:hAnsi="宋体" w:eastAsia="宋体" w:cs="宋体"/>
          <w:b/>
          <w:color w:val="auto"/>
          <w:sz w:val="24"/>
          <w:szCs w:val="24"/>
        </w:rPr>
        <w:t>7.2 评标结果异议</w:t>
      </w:r>
    </w:p>
    <w:p>
      <w:pPr>
        <w:widowControl/>
        <w:autoSpaceDE w:val="0"/>
        <w:autoSpaceDN w:val="0"/>
        <w:adjustRightInd w:val="0"/>
        <w:spacing w:line="400" w:lineRule="exact"/>
        <w:ind w:firstLine="480"/>
        <w:jc w:val="both"/>
        <w:rPr>
          <w:rFonts w:ascii="宋体" w:hAnsi="宋体" w:eastAsia="宋体" w:cs="宋体"/>
          <w:color w:val="auto"/>
          <w:sz w:val="24"/>
        </w:rPr>
      </w:pPr>
      <w:r>
        <w:rPr>
          <w:rFonts w:hint="eastAsia" w:ascii="宋体" w:hAnsi="宋体" w:eastAsia="宋体" w:cs="宋体"/>
          <w:color w:val="auto"/>
          <w:sz w:val="24"/>
        </w:rPr>
        <w:t>投标人或者其他利害关系人对评标结果有异议的，应当在中标候选人公示期间提出。招标人将在收到异议之日起3日内作出答复；作出答复前，将暂停招标投标活动。</w:t>
      </w:r>
    </w:p>
    <w:p>
      <w:pPr>
        <w:widowControl/>
        <w:autoSpaceDE w:val="0"/>
        <w:autoSpaceDN w:val="0"/>
        <w:adjustRightInd w:val="0"/>
        <w:spacing w:line="400" w:lineRule="exact"/>
        <w:ind w:firstLine="0" w:firstLineChars="0"/>
        <w:rPr>
          <w:rFonts w:ascii="宋体" w:hAnsi="宋体" w:eastAsia="宋体" w:cs="宋体"/>
          <w:b/>
          <w:color w:val="auto"/>
          <w:sz w:val="24"/>
          <w:szCs w:val="24"/>
        </w:rPr>
      </w:pPr>
      <w:r>
        <w:rPr>
          <w:rFonts w:hint="eastAsia" w:ascii="宋体" w:hAnsi="宋体" w:eastAsia="宋体" w:cs="宋体"/>
          <w:b/>
          <w:color w:val="auto"/>
          <w:sz w:val="24"/>
          <w:szCs w:val="24"/>
        </w:rPr>
        <w:t>7.3 中标候选人履约能力审查</w:t>
      </w:r>
    </w:p>
    <w:p>
      <w:pPr>
        <w:pStyle w:val="3"/>
        <w:spacing w:line="400" w:lineRule="exact"/>
        <w:ind w:left="0" w:right="113" w:firstLine="480"/>
        <w:jc w:val="both"/>
        <w:rPr>
          <w:rFonts w:ascii="宋体" w:hAnsi="宋体" w:eastAsia="宋体"/>
          <w:color w:val="auto"/>
          <w:sz w:val="24"/>
          <w:szCs w:val="24"/>
        </w:rPr>
      </w:pPr>
      <w:r>
        <w:rPr>
          <w:rFonts w:ascii="宋体" w:hAnsi="宋体" w:eastAsia="宋体"/>
          <w:color w:val="auto"/>
          <w:sz w:val="24"/>
          <w:szCs w:val="24"/>
        </w:rPr>
        <w:t>中标候选人的经营</w:t>
      </w:r>
      <w:r>
        <w:rPr>
          <w:rFonts w:ascii="宋体" w:hAnsi="宋体" w:eastAsia="宋体"/>
          <w:color w:val="auto"/>
          <w:spacing w:val="-3"/>
          <w:sz w:val="24"/>
          <w:szCs w:val="24"/>
        </w:rPr>
        <w:t>、</w:t>
      </w:r>
      <w:r>
        <w:rPr>
          <w:rFonts w:ascii="宋体" w:hAnsi="宋体" w:eastAsia="宋体"/>
          <w:color w:val="auto"/>
          <w:sz w:val="24"/>
          <w:szCs w:val="24"/>
        </w:rPr>
        <w:t>财</w:t>
      </w:r>
      <w:r>
        <w:rPr>
          <w:rFonts w:ascii="宋体" w:hAnsi="宋体" w:eastAsia="宋体"/>
          <w:color w:val="auto"/>
          <w:spacing w:val="-3"/>
          <w:sz w:val="24"/>
          <w:szCs w:val="24"/>
        </w:rPr>
        <w:t>务</w:t>
      </w:r>
      <w:r>
        <w:rPr>
          <w:rFonts w:ascii="宋体" w:hAnsi="宋体" w:eastAsia="宋体"/>
          <w:color w:val="auto"/>
          <w:sz w:val="24"/>
          <w:szCs w:val="24"/>
        </w:rPr>
        <w:t>状况发生较大变化</w:t>
      </w:r>
      <w:r>
        <w:rPr>
          <w:rFonts w:ascii="宋体" w:hAnsi="宋体" w:eastAsia="宋体"/>
          <w:color w:val="auto"/>
          <w:spacing w:val="-3"/>
          <w:sz w:val="24"/>
          <w:szCs w:val="24"/>
        </w:rPr>
        <w:t>或</w:t>
      </w:r>
      <w:r>
        <w:rPr>
          <w:rFonts w:ascii="宋体" w:hAnsi="宋体" w:eastAsia="宋体"/>
          <w:color w:val="auto"/>
          <w:sz w:val="24"/>
          <w:szCs w:val="24"/>
        </w:rPr>
        <w:t>存</w:t>
      </w:r>
      <w:r>
        <w:rPr>
          <w:rFonts w:ascii="宋体" w:hAnsi="宋体" w:eastAsia="宋体"/>
          <w:color w:val="auto"/>
          <w:spacing w:val="-3"/>
          <w:sz w:val="24"/>
          <w:szCs w:val="24"/>
        </w:rPr>
        <w:t>在</w:t>
      </w:r>
      <w:r>
        <w:rPr>
          <w:rFonts w:ascii="宋体" w:hAnsi="宋体" w:eastAsia="宋体"/>
          <w:color w:val="auto"/>
          <w:sz w:val="24"/>
          <w:szCs w:val="24"/>
        </w:rPr>
        <w:t>违法行为，招标人</w:t>
      </w:r>
      <w:r>
        <w:rPr>
          <w:rFonts w:ascii="宋体" w:hAnsi="宋体" w:eastAsia="宋体"/>
          <w:color w:val="auto"/>
          <w:spacing w:val="-3"/>
          <w:sz w:val="24"/>
          <w:szCs w:val="24"/>
        </w:rPr>
        <w:t>认</w:t>
      </w:r>
      <w:r>
        <w:rPr>
          <w:rFonts w:ascii="宋体" w:hAnsi="宋体" w:eastAsia="宋体"/>
          <w:color w:val="auto"/>
          <w:sz w:val="24"/>
          <w:szCs w:val="24"/>
        </w:rPr>
        <w:t>为</w:t>
      </w:r>
      <w:r>
        <w:rPr>
          <w:rFonts w:ascii="宋体" w:hAnsi="宋体" w:eastAsia="宋体"/>
          <w:color w:val="auto"/>
          <w:spacing w:val="-3"/>
          <w:sz w:val="24"/>
          <w:szCs w:val="24"/>
        </w:rPr>
        <w:t>可</w:t>
      </w:r>
      <w:r>
        <w:rPr>
          <w:rFonts w:ascii="宋体" w:hAnsi="宋体" w:eastAsia="宋体"/>
          <w:color w:val="auto"/>
          <w:sz w:val="24"/>
          <w:szCs w:val="24"/>
        </w:rPr>
        <w:t>能影响其履约能力的，</w:t>
      </w:r>
      <w:r>
        <w:rPr>
          <w:rFonts w:hint="eastAsia" w:ascii="宋体" w:hAnsi="宋体" w:eastAsia="宋体"/>
          <w:color w:val="auto"/>
          <w:sz w:val="24"/>
          <w:szCs w:val="24"/>
        </w:rPr>
        <w:t>将</w:t>
      </w:r>
      <w:r>
        <w:rPr>
          <w:rFonts w:ascii="宋体" w:hAnsi="宋体" w:eastAsia="宋体"/>
          <w:color w:val="auto"/>
          <w:sz w:val="24"/>
          <w:szCs w:val="24"/>
        </w:rPr>
        <w:t>在发</w:t>
      </w:r>
      <w:r>
        <w:rPr>
          <w:rFonts w:ascii="宋体" w:hAnsi="宋体" w:eastAsia="宋体"/>
          <w:color w:val="auto"/>
          <w:spacing w:val="-3"/>
          <w:sz w:val="24"/>
          <w:szCs w:val="24"/>
        </w:rPr>
        <w:t>出</w:t>
      </w:r>
      <w:r>
        <w:rPr>
          <w:rFonts w:ascii="宋体" w:hAnsi="宋体" w:eastAsia="宋体"/>
          <w:color w:val="auto"/>
          <w:sz w:val="24"/>
          <w:szCs w:val="24"/>
        </w:rPr>
        <w:t>中标</w:t>
      </w:r>
      <w:r>
        <w:rPr>
          <w:rFonts w:ascii="宋体" w:hAnsi="宋体" w:eastAsia="宋体"/>
          <w:color w:val="auto"/>
          <w:spacing w:val="-3"/>
          <w:sz w:val="24"/>
          <w:szCs w:val="24"/>
        </w:rPr>
        <w:t>通</w:t>
      </w:r>
      <w:r>
        <w:rPr>
          <w:rFonts w:ascii="宋体" w:hAnsi="宋体" w:eastAsia="宋体"/>
          <w:color w:val="auto"/>
          <w:sz w:val="24"/>
          <w:szCs w:val="24"/>
        </w:rPr>
        <w:t>知书前提请原评</w:t>
      </w:r>
      <w:r>
        <w:rPr>
          <w:rFonts w:ascii="宋体" w:hAnsi="宋体" w:eastAsia="宋体"/>
          <w:color w:val="auto"/>
          <w:spacing w:val="-3"/>
          <w:sz w:val="24"/>
          <w:szCs w:val="24"/>
        </w:rPr>
        <w:t>标</w:t>
      </w:r>
      <w:r>
        <w:rPr>
          <w:rFonts w:ascii="宋体" w:hAnsi="宋体" w:eastAsia="宋体"/>
          <w:color w:val="auto"/>
          <w:sz w:val="24"/>
          <w:szCs w:val="24"/>
        </w:rPr>
        <w:t>委员</w:t>
      </w:r>
      <w:r>
        <w:rPr>
          <w:rFonts w:ascii="宋体" w:hAnsi="宋体" w:eastAsia="宋体"/>
          <w:color w:val="auto"/>
          <w:spacing w:val="-3"/>
          <w:sz w:val="24"/>
          <w:szCs w:val="24"/>
        </w:rPr>
        <w:t>会</w:t>
      </w:r>
      <w:r>
        <w:rPr>
          <w:rFonts w:ascii="宋体" w:hAnsi="宋体" w:eastAsia="宋体"/>
          <w:color w:val="auto"/>
          <w:sz w:val="24"/>
          <w:szCs w:val="24"/>
        </w:rPr>
        <w:t>按照招标文件规</w:t>
      </w:r>
      <w:r>
        <w:rPr>
          <w:rFonts w:ascii="宋体" w:hAnsi="宋体" w:eastAsia="宋体"/>
          <w:color w:val="auto"/>
          <w:spacing w:val="-3"/>
          <w:sz w:val="24"/>
          <w:szCs w:val="24"/>
        </w:rPr>
        <w:t>定</w:t>
      </w:r>
      <w:r>
        <w:rPr>
          <w:rFonts w:ascii="宋体" w:hAnsi="宋体" w:eastAsia="宋体"/>
          <w:color w:val="auto"/>
          <w:sz w:val="24"/>
          <w:szCs w:val="24"/>
        </w:rPr>
        <w:t>的标</w:t>
      </w:r>
      <w:r>
        <w:rPr>
          <w:rFonts w:ascii="宋体" w:hAnsi="宋体" w:eastAsia="宋体"/>
          <w:color w:val="auto"/>
          <w:spacing w:val="-3"/>
          <w:sz w:val="24"/>
          <w:szCs w:val="24"/>
        </w:rPr>
        <w:t>准</w:t>
      </w:r>
      <w:r>
        <w:rPr>
          <w:rFonts w:ascii="宋体" w:hAnsi="宋体" w:eastAsia="宋体"/>
          <w:color w:val="auto"/>
          <w:sz w:val="24"/>
          <w:szCs w:val="24"/>
        </w:rPr>
        <w:t>和方法进行审</w:t>
      </w:r>
      <w:r>
        <w:rPr>
          <w:rFonts w:ascii="宋体" w:hAnsi="宋体" w:eastAsia="宋体"/>
          <w:color w:val="auto"/>
          <w:spacing w:val="-3"/>
          <w:sz w:val="24"/>
          <w:szCs w:val="24"/>
        </w:rPr>
        <w:t>查</w:t>
      </w:r>
      <w:r>
        <w:rPr>
          <w:rFonts w:ascii="宋体" w:hAnsi="宋体" w:eastAsia="宋体"/>
          <w:color w:val="auto"/>
          <w:sz w:val="24"/>
          <w:szCs w:val="24"/>
        </w:rPr>
        <w:t>确认。</w:t>
      </w:r>
    </w:p>
    <w:p>
      <w:pPr>
        <w:widowControl/>
        <w:autoSpaceDE w:val="0"/>
        <w:autoSpaceDN w:val="0"/>
        <w:adjustRightInd w:val="0"/>
        <w:spacing w:line="400" w:lineRule="exact"/>
        <w:ind w:firstLine="0" w:firstLineChars="0"/>
        <w:rPr>
          <w:rFonts w:ascii="宋体" w:hAnsi="宋体" w:eastAsia="宋体" w:cs="宋体"/>
          <w:b/>
          <w:color w:val="auto"/>
          <w:sz w:val="24"/>
          <w:szCs w:val="24"/>
        </w:rPr>
      </w:pPr>
      <w:r>
        <w:rPr>
          <w:rFonts w:hint="eastAsia" w:ascii="宋体" w:hAnsi="宋体" w:eastAsia="宋体" w:cs="宋体"/>
          <w:b/>
          <w:color w:val="auto"/>
          <w:sz w:val="24"/>
          <w:szCs w:val="24"/>
        </w:rPr>
        <w:t>7.4 定标</w:t>
      </w:r>
    </w:p>
    <w:p>
      <w:pPr>
        <w:widowControl/>
        <w:autoSpaceDE w:val="0"/>
        <w:autoSpaceDN w:val="0"/>
        <w:adjustRightInd w:val="0"/>
        <w:spacing w:line="400" w:lineRule="exact"/>
        <w:ind w:firstLine="480"/>
        <w:rPr>
          <w:rFonts w:ascii="宋体" w:hAnsi="宋体" w:eastAsia="宋体" w:cs="宋体"/>
          <w:color w:val="auto"/>
          <w:sz w:val="24"/>
        </w:rPr>
      </w:pPr>
      <w:r>
        <w:rPr>
          <w:rFonts w:hint="eastAsia" w:ascii="宋体" w:hAnsi="宋体" w:eastAsia="宋体" w:cs="宋体"/>
          <w:color w:val="auto"/>
          <w:sz w:val="24"/>
        </w:rPr>
        <w:t>按照投标人须知前附表的规定，招标人或招标人授权的评标委员会依法确定中标人。</w:t>
      </w:r>
    </w:p>
    <w:p>
      <w:pPr>
        <w:autoSpaceDE w:val="0"/>
        <w:autoSpaceDN w:val="0"/>
        <w:spacing w:line="400" w:lineRule="exact"/>
        <w:ind w:firstLine="0" w:firstLineChars="0"/>
        <w:outlineLvl w:val="0"/>
        <w:rPr>
          <w:rFonts w:ascii="宋体" w:hAnsi="宋体" w:eastAsia="宋体" w:cs="宋体"/>
          <w:b/>
          <w:color w:val="auto"/>
          <w:sz w:val="24"/>
          <w:szCs w:val="24"/>
        </w:rPr>
      </w:pPr>
      <w:r>
        <w:rPr>
          <w:rFonts w:hint="eastAsia" w:ascii="宋体" w:hAnsi="宋体" w:eastAsia="宋体" w:cs="宋体"/>
          <w:b/>
          <w:color w:val="auto"/>
          <w:sz w:val="24"/>
          <w:szCs w:val="24"/>
        </w:rPr>
        <w:t>7.5 中标通知</w:t>
      </w:r>
      <w:bookmarkEnd w:id="50"/>
    </w:p>
    <w:p>
      <w:pPr>
        <w:autoSpaceDE w:val="0"/>
        <w:autoSpaceDN w:val="0"/>
        <w:spacing w:line="400" w:lineRule="exact"/>
        <w:ind w:firstLine="480"/>
        <w:outlineLvl w:val="0"/>
        <w:rPr>
          <w:rFonts w:ascii="宋体" w:hAnsi="宋体" w:eastAsia="宋体" w:cs="宋体"/>
          <w:color w:val="auto"/>
          <w:sz w:val="24"/>
          <w:szCs w:val="24"/>
        </w:rPr>
      </w:pPr>
      <w:r>
        <w:rPr>
          <w:rFonts w:hint="eastAsia" w:ascii="宋体" w:hAnsi="宋体" w:eastAsia="宋体" w:cs="宋体"/>
          <w:color w:val="auto"/>
          <w:sz w:val="24"/>
          <w:szCs w:val="24"/>
        </w:rPr>
        <w:t>在本章第3.3 款规定的投标有效期内，招标人以书面形式向中标人发出中标通知书，同时将中标结果通知未中标的投标人。</w:t>
      </w:r>
      <w:bookmarkStart w:id="51" w:name="_Toc152042345"/>
      <w:bookmarkStart w:id="52" w:name="_Toc144974537"/>
      <w:bookmarkStart w:id="53" w:name="_Toc152045569"/>
      <w:bookmarkStart w:id="54" w:name="_Toc179632587"/>
    </w:p>
    <w:bookmarkEnd w:id="51"/>
    <w:bookmarkEnd w:id="52"/>
    <w:bookmarkEnd w:id="53"/>
    <w:bookmarkEnd w:id="54"/>
    <w:p>
      <w:pPr>
        <w:autoSpaceDE w:val="0"/>
        <w:autoSpaceDN w:val="0"/>
        <w:spacing w:line="400" w:lineRule="exact"/>
        <w:ind w:firstLine="0" w:firstLineChars="0"/>
        <w:outlineLvl w:val="0"/>
        <w:rPr>
          <w:rFonts w:ascii="宋体" w:hAnsi="宋体" w:eastAsia="宋体" w:cs="宋体"/>
          <w:b/>
          <w:color w:val="auto"/>
          <w:sz w:val="24"/>
          <w:szCs w:val="24"/>
        </w:rPr>
      </w:pPr>
      <w:bookmarkStart w:id="55" w:name="_Toc283559978"/>
      <w:r>
        <w:rPr>
          <w:rFonts w:hint="eastAsia" w:ascii="宋体" w:hAnsi="宋体" w:eastAsia="宋体" w:cs="宋体"/>
          <w:b/>
          <w:color w:val="auto"/>
          <w:sz w:val="24"/>
          <w:szCs w:val="24"/>
        </w:rPr>
        <w:t>7.6 技术成果经济补偿</w:t>
      </w:r>
    </w:p>
    <w:p>
      <w:pPr>
        <w:autoSpaceDE w:val="0"/>
        <w:autoSpaceDN w:val="0"/>
        <w:spacing w:line="400" w:lineRule="exact"/>
        <w:ind w:firstLine="480"/>
        <w:jc w:val="both"/>
        <w:outlineLvl w:val="0"/>
        <w:rPr>
          <w:rFonts w:ascii="宋体" w:hAnsi="宋体" w:eastAsia="宋体" w:cs="宋体"/>
          <w:color w:val="auto"/>
          <w:sz w:val="24"/>
          <w:szCs w:val="24"/>
        </w:rPr>
      </w:pPr>
      <w:r>
        <w:rPr>
          <w:rFonts w:hint="eastAsia" w:ascii="宋体" w:hAnsi="宋体" w:eastAsia="宋体" w:cs="宋体"/>
          <w:color w:val="auto"/>
          <w:sz w:val="24"/>
          <w:szCs w:val="24"/>
        </w:rPr>
        <w:t>招标人对符合招标文件规定的未中标人的技术成果进行补偿的，招标人将按投标人须知前附表规定的标准给予经济补偿，未中标人在投标文件中声明放弃技术成果经济补偿费的除外。招标人将于中标通知书发出后30日内向未中标人支付技术成果经济补偿费。</w:t>
      </w:r>
    </w:p>
    <w:p>
      <w:pPr>
        <w:autoSpaceDE w:val="0"/>
        <w:autoSpaceDN w:val="0"/>
        <w:spacing w:line="400" w:lineRule="exact"/>
        <w:ind w:firstLine="0" w:firstLineChars="0"/>
        <w:outlineLvl w:val="0"/>
        <w:rPr>
          <w:rFonts w:ascii="宋体" w:hAnsi="宋体" w:eastAsia="宋体" w:cs="宋体"/>
          <w:b/>
          <w:color w:val="auto"/>
          <w:sz w:val="24"/>
          <w:szCs w:val="24"/>
        </w:rPr>
      </w:pPr>
      <w:r>
        <w:rPr>
          <w:rFonts w:hint="eastAsia" w:ascii="宋体" w:hAnsi="宋体" w:eastAsia="宋体" w:cs="宋体"/>
          <w:b/>
          <w:color w:val="auto"/>
          <w:sz w:val="24"/>
          <w:szCs w:val="24"/>
        </w:rPr>
        <w:t>7.7 履约保证金</w:t>
      </w:r>
    </w:p>
    <w:p>
      <w:pPr>
        <w:autoSpaceDE w:val="0"/>
        <w:autoSpaceDN w:val="0"/>
        <w:spacing w:line="400" w:lineRule="exact"/>
        <w:ind w:firstLine="480"/>
        <w:jc w:val="both"/>
        <w:outlineLvl w:val="0"/>
        <w:rPr>
          <w:rFonts w:ascii="宋体" w:hAnsi="宋体" w:eastAsia="宋体" w:cs="宋体"/>
          <w:color w:val="auto"/>
          <w:sz w:val="24"/>
          <w:szCs w:val="24"/>
        </w:rPr>
      </w:pPr>
      <w:r>
        <w:rPr>
          <w:rFonts w:hint="eastAsia" w:ascii="宋体" w:hAnsi="宋体" w:eastAsia="宋体" w:cs="宋体"/>
          <w:color w:val="auto"/>
          <w:sz w:val="24"/>
          <w:szCs w:val="24"/>
        </w:rPr>
        <w:t>7.7.1 无</w:t>
      </w:r>
    </w:p>
    <w:p>
      <w:pPr>
        <w:autoSpaceDE w:val="0"/>
        <w:autoSpaceDN w:val="0"/>
        <w:spacing w:line="400" w:lineRule="exact"/>
        <w:ind w:firstLine="0" w:firstLineChars="0"/>
        <w:outlineLvl w:val="0"/>
        <w:rPr>
          <w:rFonts w:ascii="宋体" w:hAnsi="宋体" w:eastAsia="宋体" w:cs="宋体"/>
          <w:b/>
          <w:color w:val="auto"/>
          <w:sz w:val="24"/>
          <w:szCs w:val="24"/>
        </w:rPr>
      </w:pPr>
      <w:r>
        <w:rPr>
          <w:rFonts w:hint="eastAsia" w:ascii="宋体" w:hAnsi="宋体" w:eastAsia="宋体" w:cs="宋体"/>
          <w:b/>
          <w:color w:val="auto"/>
          <w:sz w:val="24"/>
          <w:szCs w:val="24"/>
        </w:rPr>
        <w:t>7.</w:t>
      </w:r>
      <w:bookmarkStart w:id="56" w:name="_Toc283559977"/>
      <w:r>
        <w:rPr>
          <w:rFonts w:hint="eastAsia" w:ascii="宋体" w:hAnsi="宋体" w:eastAsia="宋体" w:cs="宋体"/>
          <w:b/>
          <w:color w:val="auto"/>
          <w:sz w:val="24"/>
          <w:szCs w:val="24"/>
        </w:rPr>
        <w:t>8 签订合同</w:t>
      </w:r>
      <w:bookmarkEnd w:id="56"/>
    </w:p>
    <w:p>
      <w:pPr>
        <w:autoSpaceDE w:val="0"/>
        <w:autoSpaceDN w:val="0"/>
        <w:spacing w:line="400" w:lineRule="exact"/>
        <w:ind w:firstLine="480"/>
        <w:jc w:val="both"/>
        <w:outlineLvl w:val="0"/>
        <w:rPr>
          <w:rFonts w:ascii="宋体" w:hAnsi="宋体" w:eastAsia="宋体" w:cs="宋体"/>
          <w:color w:val="auto"/>
          <w:sz w:val="24"/>
          <w:szCs w:val="24"/>
        </w:rPr>
      </w:pPr>
      <w:r>
        <w:rPr>
          <w:rFonts w:hint="eastAsia" w:ascii="宋体" w:hAnsi="宋体" w:eastAsia="宋体" w:cs="宋体"/>
          <w:color w:val="auto"/>
          <w:sz w:val="24"/>
          <w:szCs w:val="24"/>
        </w:rPr>
        <w:t>7.8.1 招标人和中标人应当在中标通知书发出之日起 30 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autoSpaceDE w:val="0"/>
        <w:autoSpaceDN w:val="0"/>
        <w:spacing w:line="400" w:lineRule="exact"/>
        <w:ind w:firstLine="480"/>
        <w:jc w:val="both"/>
        <w:outlineLvl w:val="0"/>
        <w:rPr>
          <w:rFonts w:ascii="宋体" w:hAnsi="宋体" w:eastAsia="宋体" w:cs="宋体"/>
          <w:color w:val="auto"/>
          <w:sz w:val="24"/>
          <w:szCs w:val="24"/>
        </w:rPr>
      </w:pPr>
      <w:r>
        <w:rPr>
          <w:rFonts w:hint="eastAsia" w:ascii="宋体" w:hAnsi="宋体" w:eastAsia="宋体" w:cs="宋体"/>
          <w:color w:val="auto"/>
          <w:sz w:val="24"/>
          <w:szCs w:val="24"/>
        </w:rPr>
        <w:t>7.8.2 发出中标通知书后，招标人无正当理由拒签合同，或者在签订合同时向中标人提出附加条件的，招标人向中标人退还投标保证金；给中标人造成损失的，还应当赔偿损失。</w:t>
      </w:r>
    </w:p>
    <w:p>
      <w:pPr>
        <w:autoSpaceDE w:val="0"/>
        <w:autoSpaceDN w:val="0"/>
        <w:spacing w:line="400" w:lineRule="exact"/>
        <w:ind w:firstLine="480"/>
        <w:jc w:val="both"/>
        <w:outlineLvl w:val="0"/>
        <w:rPr>
          <w:rFonts w:ascii="宋体" w:hAnsi="宋体" w:eastAsia="宋体" w:cs="宋体"/>
          <w:b/>
          <w:color w:val="auto"/>
          <w:sz w:val="24"/>
          <w:szCs w:val="24"/>
        </w:rPr>
      </w:pPr>
      <w:r>
        <w:rPr>
          <w:rFonts w:hint="eastAsia" w:ascii="宋体" w:hAnsi="宋体" w:eastAsia="宋体" w:cs="宋体"/>
          <w:color w:val="auto"/>
          <w:sz w:val="24"/>
          <w:szCs w:val="24"/>
        </w:rPr>
        <w:t>7.8.3 联合体中标的，联合体各方应当共同与招标人签订合同，就中标项目向招标人承担连带责任。</w:t>
      </w:r>
    </w:p>
    <w:bookmarkEnd w:id="55"/>
    <w:p>
      <w:pPr>
        <w:pStyle w:val="94"/>
        <w:spacing w:line="400" w:lineRule="exact"/>
        <w:jc w:val="both"/>
        <w:outlineLvl w:val="0"/>
        <w:rPr>
          <w:b/>
          <w:color w:val="auto"/>
        </w:rPr>
      </w:pPr>
      <w:bookmarkStart w:id="57" w:name="_Toc283559981"/>
      <w:r>
        <w:rPr>
          <w:rFonts w:hint="eastAsia"/>
          <w:b/>
          <w:color w:val="auto"/>
        </w:rPr>
        <w:t>8. 纪律和监督</w:t>
      </w:r>
      <w:bookmarkEnd w:id="57"/>
    </w:p>
    <w:p>
      <w:pPr>
        <w:autoSpaceDE w:val="0"/>
        <w:autoSpaceDN w:val="0"/>
        <w:adjustRightInd w:val="0"/>
        <w:spacing w:line="400" w:lineRule="exact"/>
        <w:ind w:firstLine="0" w:firstLineChars="0"/>
        <w:outlineLvl w:val="0"/>
        <w:rPr>
          <w:rFonts w:ascii="宋体" w:hAnsi="宋体" w:eastAsia="宋体" w:cs="宋体"/>
          <w:b/>
          <w:color w:val="auto"/>
          <w:sz w:val="24"/>
          <w:szCs w:val="24"/>
        </w:rPr>
      </w:pPr>
      <w:bookmarkStart w:id="58" w:name="_Toc283559982"/>
      <w:r>
        <w:rPr>
          <w:rFonts w:hint="eastAsia" w:ascii="宋体" w:hAnsi="宋体" w:eastAsia="宋体" w:cs="宋体"/>
          <w:b/>
          <w:color w:val="auto"/>
          <w:sz w:val="24"/>
          <w:szCs w:val="24"/>
        </w:rPr>
        <w:t>8.1 对招标人的纪律要求</w:t>
      </w:r>
      <w:bookmarkEnd w:id="58"/>
    </w:p>
    <w:p>
      <w:pPr>
        <w:autoSpaceDE w:val="0"/>
        <w:autoSpaceDN w:val="0"/>
        <w:adjustRightInd w:val="0"/>
        <w:spacing w:line="400" w:lineRule="exact"/>
        <w:ind w:firstLine="480"/>
        <w:rPr>
          <w:rFonts w:ascii="宋体" w:hAnsi="宋体" w:eastAsia="宋体" w:cs="宋体"/>
          <w:color w:val="auto"/>
          <w:sz w:val="24"/>
          <w:szCs w:val="24"/>
        </w:rPr>
      </w:pPr>
      <w:r>
        <w:rPr>
          <w:rFonts w:hint="eastAsia" w:ascii="宋体" w:hAnsi="宋体" w:eastAsia="宋体" w:cs="宋体"/>
          <w:color w:val="auto"/>
          <w:sz w:val="24"/>
          <w:szCs w:val="24"/>
        </w:rPr>
        <w:t>招标人不得泄漏招标投标活动中应当保密的情况和资料，不得与投标人串通损害国家利益、社会公共利益或者他人合法权益。</w:t>
      </w:r>
    </w:p>
    <w:p>
      <w:pPr>
        <w:autoSpaceDE w:val="0"/>
        <w:autoSpaceDN w:val="0"/>
        <w:adjustRightInd w:val="0"/>
        <w:spacing w:line="400" w:lineRule="exact"/>
        <w:ind w:firstLine="0" w:firstLineChars="0"/>
        <w:outlineLvl w:val="0"/>
        <w:rPr>
          <w:rFonts w:ascii="宋体" w:hAnsi="宋体" w:eastAsia="宋体" w:cs="宋体"/>
          <w:b/>
          <w:color w:val="auto"/>
          <w:sz w:val="24"/>
          <w:szCs w:val="24"/>
        </w:rPr>
      </w:pPr>
      <w:bookmarkStart w:id="59" w:name="_Toc283559983"/>
      <w:r>
        <w:rPr>
          <w:rFonts w:hint="eastAsia" w:ascii="宋体" w:hAnsi="宋体" w:eastAsia="宋体" w:cs="宋体"/>
          <w:b/>
          <w:color w:val="auto"/>
          <w:sz w:val="24"/>
          <w:szCs w:val="24"/>
        </w:rPr>
        <w:t>8.2 对投标人的纪律要求</w:t>
      </w:r>
      <w:bookmarkEnd w:id="59"/>
    </w:p>
    <w:p>
      <w:pPr>
        <w:autoSpaceDE w:val="0"/>
        <w:autoSpaceDN w:val="0"/>
        <w:adjustRightInd w:val="0"/>
        <w:spacing w:line="400" w:lineRule="exact"/>
        <w:ind w:firstLine="480"/>
        <w:rPr>
          <w:rFonts w:ascii="宋体" w:hAnsi="宋体" w:eastAsia="宋体" w:cs="宋体"/>
          <w:color w:val="auto"/>
          <w:sz w:val="24"/>
          <w:szCs w:val="24"/>
        </w:rPr>
      </w:pPr>
      <w:r>
        <w:rPr>
          <w:rFonts w:hint="eastAsia" w:ascii="宋体" w:hAnsi="宋体" w:eastAsia="宋体" w:cs="宋体"/>
          <w:color w:val="auto"/>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00" w:lineRule="exact"/>
        <w:ind w:firstLine="0" w:firstLineChars="0"/>
        <w:outlineLvl w:val="0"/>
        <w:rPr>
          <w:rFonts w:ascii="宋体" w:hAnsi="宋体" w:eastAsia="宋体" w:cs="宋体"/>
          <w:b/>
          <w:color w:val="auto"/>
          <w:sz w:val="24"/>
          <w:szCs w:val="24"/>
        </w:rPr>
      </w:pPr>
      <w:bookmarkStart w:id="60" w:name="_Toc283559984"/>
      <w:r>
        <w:rPr>
          <w:rFonts w:hint="eastAsia" w:ascii="宋体" w:hAnsi="宋体" w:eastAsia="宋体" w:cs="宋体"/>
          <w:b/>
          <w:color w:val="auto"/>
          <w:sz w:val="24"/>
          <w:szCs w:val="24"/>
        </w:rPr>
        <w:t>8.3 对评标委员会成员的纪律要求</w:t>
      </w:r>
      <w:bookmarkEnd w:id="60"/>
    </w:p>
    <w:p>
      <w:pPr>
        <w:autoSpaceDE w:val="0"/>
        <w:autoSpaceDN w:val="0"/>
        <w:adjustRightInd w:val="0"/>
        <w:spacing w:line="400" w:lineRule="exact"/>
        <w:ind w:firstLine="480"/>
        <w:rPr>
          <w:rFonts w:ascii="宋体" w:hAnsi="宋体" w:eastAsia="宋体" w:cs="宋体"/>
          <w:color w:val="auto"/>
          <w:sz w:val="24"/>
          <w:szCs w:val="24"/>
        </w:rPr>
      </w:pPr>
      <w:r>
        <w:rPr>
          <w:rFonts w:hint="eastAsia" w:ascii="宋体" w:hAnsi="宋体" w:eastAsia="宋体" w:cs="宋体"/>
          <w:color w:val="auto"/>
          <w:sz w:val="24"/>
          <w:szCs w:val="24"/>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autoSpaceDE w:val="0"/>
        <w:autoSpaceDN w:val="0"/>
        <w:adjustRightInd w:val="0"/>
        <w:spacing w:line="400" w:lineRule="exact"/>
        <w:ind w:firstLine="0" w:firstLineChars="0"/>
        <w:outlineLvl w:val="0"/>
        <w:rPr>
          <w:rFonts w:ascii="宋体" w:hAnsi="宋体" w:eastAsia="宋体" w:cs="宋体"/>
          <w:b/>
          <w:color w:val="auto"/>
          <w:sz w:val="24"/>
          <w:szCs w:val="24"/>
        </w:rPr>
      </w:pPr>
      <w:bookmarkStart w:id="61" w:name="_Toc283559985"/>
      <w:r>
        <w:rPr>
          <w:rFonts w:hint="eastAsia" w:ascii="宋体" w:hAnsi="宋体" w:eastAsia="宋体" w:cs="宋体"/>
          <w:b/>
          <w:color w:val="auto"/>
          <w:sz w:val="24"/>
          <w:szCs w:val="24"/>
        </w:rPr>
        <w:t>8.4 对与评标活动有关的工作人员的纪律要求</w:t>
      </w:r>
      <w:bookmarkEnd w:id="61"/>
    </w:p>
    <w:p>
      <w:pPr>
        <w:autoSpaceDE w:val="0"/>
        <w:autoSpaceDN w:val="0"/>
        <w:adjustRightInd w:val="0"/>
        <w:spacing w:line="400" w:lineRule="exact"/>
        <w:ind w:firstLine="480"/>
        <w:rPr>
          <w:rFonts w:ascii="宋体" w:hAnsi="宋体" w:eastAsia="宋体" w:cs="宋体"/>
          <w:color w:val="auto"/>
          <w:sz w:val="24"/>
          <w:szCs w:val="24"/>
        </w:rPr>
      </w:pPr>
      <w:r>
        <w:rPr>
          <w:rFonts w:hint="eastAsia" w:ascii="宋体" w:hAnsi="宋体" w:eastAsia="宋体" w:cs="宋体"/>
          <w:color w:val="auto"/>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00" w:lineRule="exact"/>
        <w:ind w:firstLine="0" w:firstLineChars="0"/>
        <w:outlineLvl w:val="0"/>
        <w:rPr>
          <w:rFonts w:ascii="宋体" w:hAnsi="宋体" w:eastAsia="宋体" w:cs="宋体"/>
          <w:b/>
          <w:color w:val="auto"/>
          <w:sz w:val="24"/>
          <w:szCs w:val="24"/>
        </w:rPr>
      </w:pPr>
      <w:bookmarkStart w:id="62" w:name="_Toc283559986"/>
      <w:r>
        <w:rPr>
          <w:rFonts w:hint="eastAsia" w:ascii="宋体" w:hAnsi="宋体" w:eastAsia="宋体" w:cs="宋体"/>
          <w:b/>
          <w:color w:val="auto"/>
          <w:sz w:val="24"/>
          <w:szCs w:val="24"/>
        </w:rPr>
        <w:t>8.5 投诉</w:t>
      </w:r>
      <w:bookmarkEnd w:id="62"/>
    </w:p>
    <w:p>
      <w:pPr>
        <w:autoSpaceDE w:val="0"/>
        <w:autoSpaceDN w:val="0"/>
        <w:adjustRightInd w:val="0"/>
        <w:spacing w:line="400" w:lineRule="exact"/>
        <w:ind w:firstLine="480"/>
        <w:jc w:val="both"/>
        <w:rPr>
          <w:rFonts w:ascii="宋体" w:hAnsi="宋体" w:eastAsia="宋体" w:cs="宋体"/>
          <w:color w:val="auto"/>
          <w:sz w:val="24"/>
          <w:szCs w:val="24"/>
        </w:rPr>
      </w:pPr>
      <w:r>
        <w:rPr>
          <w:rFonts w:hint="eastAsia" w:ascii="宋体" w:hAnsi="宋体" w:eastAsia="宋体" w:cs="宋体"/>
          <w:color w:val="auto"/>
          <w:sz w:val="24"/>
          <w:szCs w:val="24"/>
        </w:rPr>
        <w:t>8.5.1 投标人或者其他利害关系人认为招标投标活动不符合法律、行政法规规定的，可以自知道或者应当知道之日起10日内向有关行政监督部门投诉。投诉应当有明确的请求和必要的证明材料。</w:t>
      </w:r>
    </w:p>
    <w:p>
      <w:pPr>
        <w:autoSpaceDE w:val="0"/>
        <w:autoSpaceDN w:val="0"/>
        <w:adjustRightInd w:val="0"/>
        <w:spacing w:line="400" w:lineRule="exact"/>
        <w:ind w:firstLine="480"/>
        <w:jc w:val="both"/>
        <w:rPr>
          <w:rFonts w:ascii="宋体" w:hAnsi="宋体" w:eastAsia="宋体" w:cs="宋体"/>
          <w:color w:val="auto"/>
          <w:sz w:val="24"/>
          <w:szCs w:val="24"/>
        </w:rPr>
      </w:pPr>
      <w:r>
        <w:rPr>
          <w:rFonts w:hint="eastAsia" w:ascii="宋体" w:hAnsi="宋体" w:eastAsia="宋体" w:cs="宋体"/>
          <w:color w:val="auto"/>
          <w:sz w:val="24"/>
          <w:szCs w:val="24"/>
        </w:rPr>
        <w:t>8.5.2 投标人或者其他利害关系人对招标文件、开标和评标结果提出投诉的，应当按照投标人须知第2.4款、第5.3款和第7.2款的规定先向招标人提出异议。异议答复期间不计算在第8.5.1项规定的期限内。</w:t>
      </w:r>
    </w:p>
    <w:p>
      <w:pPr>
        <w:pStyle w:val="94"/>
        <w:spacing w:line="400" w:lineRule="exact"/>
        <w:jc w:val="both"/>
        <w:outlineLvl w:val="0"/>
        <w:rPr>
          <w:b/>
          <w:color w:val="auto"/>
        </w:rPr>
      </w:pPr>
      <w:bookmarkStart w:id="63" w:name="_Toc283559987"/>
      <w:r>
        <w:rPr>
          <w:rFonts w:hint="eastAsia"/>
          <w:b/>
          <w:color w:val="auto"/>
        </w:rPr>
        <w:t>9. 是否采用电子招标投标</w:t>
      </w:r>
    </w:p>
    <w:p>
      <w:pPr>
        <w:autoSpaceDE w:val="0"/>
        <w:autoSpaceDN w:val="0"/>
        <w:adjustRightInd w:val="0"/>
        <w:spacing w:line="400" w:lineRule="exact"/>
        <w:ind w:firstLine="480"/>
        <w:jc w:val="both"/>
        <w:rPr>
          <w:rFonts w:ascii="宋体" w:hAnsi="宋体" w:eastAsia="宋体" w:cs="宋体"/>
          <w:color w:val="auto"/>
          <w:sz w:val="24"/>
          <w:szCs w:val="24"/>
        </w:rPr>
      </w:pPr>
      <w:r>
        <w:rPr>
          <w:rFonts w:hint="eastAsia" w:ascii="宋体" w:hAnsi="宋体" w:eastAsia="宋体" w:cs="宋体"/>
          <w:color w:val="auto"/>
          <w:sz w:val="24"/>
          <w:szCs w:val="24"/>
        </w:rPr>
        <w:t>本招标项目是否采用电子招标投标方式，见投标人须知前附表。</w:t>
      </w:r>
    </w:p>
    <w:bookmarkEnd w:id="63"/>
    <w:p>
      <w:pPr>
        <w:pStyle w:val="94"/>
        <w:spacing w:line="400" w:lineRule="exact"/>
        <w:jc w:val="both"/>
        <w:outlineLvl w:val="0"/>
        <w:rPr>
          <w:b/>
          <w:color w:val="auto"/>
        </w:rPr>
      </w:pPr>
      <w:r>
        <w:rPr>
          <w:rFonts w:hint="eastAsia"/>
          <w:b/>
          <w:color w:val="auto"/>
        </w:rPr>
        <w:t>10.需要补充的其他内容</w:t>
      </w:r>
    </w:p>
    <w:p>
      <w:pPr>
        <w:autoSpaceDE w:val="0"/>
        <w:autoSpaceDN w:val="0"/>
        <w:adjustRightInd w:val="0"/>
        <w:spacing w:line="400" w:lineRule="exact"/>
        <w:ind w:firstLine="480"/>
        <w:jc w:val="both"/>
        <w:rPr>
          <w:rFonts w:ascii="宋体" w:hAnsi="宋体" w:eastAsia="宋体" w:cs="宋体"/>
          <w:color w:val="auto"/>
          <w:sz w:val="24"/>
          <w:szCs w:val="24"/>
        </w:rPr>
      </w:pPr>
      <w:r>
        <w:rPr>
          <w:rFonts w:hint="eastAsia" w:ascii="宋体" w:hAnsi="宋体" w:eastAsia="宋体" w:cs="宋体"/>
          <w:color w:val="auto"/>
          <w:sz w:val="24"/>
          <w:szCs w:val="24"/>
        </w:rPr>
        <w:t>需要补充的其他内容：见投标人须知前附表。</w:t>
      </w:r>
    </w:p>
    <w:p>
      <w:pPr>
        <w:pStyle w:val="6"/>
        <w:ind w:firstLine="137"/>
        <w:rPr>
          <w:rFonts w:hint="eastAsia" w:ascii="Times New Roman" w:hAnsi="Times New Roman"/>
          <w:color w:val="auto"/>
        </w:rPr>
      </w:pPr>
      <w:r>
        <w:rPr>
          <w:rFonts w:hint="eastAsia" w:ascii="Times New Roman" w:hAnsi="Times New Roman"/>
          <w:color w:val="auto"/>
        </w:rPr>
        <w:br w:type="page"/>
      </w:r>
    </w:p>
    <w:p>
      <w:pPr>
        <w:pStyle w:val="6"/>
        <w:ind w:firstLine="137"/>
        <w:rPr>
          <w:rFonts w:ascii="Times New Roman" w:hAnsi="Times New Roman"/>
          <w:color w:val="auto"/>
        </w:rPr>
      </w:pPr>
      <w:r>
        <w:rPr>
          <w:rFonts w:hint="eastAsia" w:ascii="Times New Roman" w:hAnsi="Times New Roman"/>
          <w:color w:val="auto"/>
        </w:rPr>
        <w:t>附件一：开标记录表</w:t>
      </w:r>
      <w:bookmarkEnd w:id="5"/>
    </w:p>
    <w:p>
      <w:pPr>
        <w:spacing w:line="440" w:lineRule="exact"/>
        <w:jc w:val="center"/>
        <w:rPr>
          <w:rFonts w:ascii="Times New Roman" w:hAnsi="Times New Roman" w:eastAsia="黑体"/>
          <w:color w:val="auto"/>
          <w:sz w:val="28"/>
        </w:rPr>
      </w:pPr>
      <w:r>
        <w:rPr>
          <w:rFonts w:ascii="Times New Roman" w:hAnsi="Times New Roman" w:eastAsia="黑体"/>
          <w:color w:val="auto"/>
          <w:sz w:val="28"/>
        </w:rPr>
        <w:t>开标记录表</w:t>
      </w:r>
    </w:p>
    <w:p>
      <w:pPr>
        <w:spacing w:beforeLines="50" w:afterLines="50" w:line="400" w:lineRule="exact"/>
        <w:ind w:right="420"/>
        <w:jc w:val="right"/>
        <w:rPr>
          <w:rFonts w:ascii="Times New Roman" w:hAnsi="Times New Roman"/>
          <w:color w:val="auto"/>
        </w:rPr>
      </w:pPr>
      <w:r>
        <w:rPr>
          <w:rFonts w:ascii="Times New Roman" w:hAnsi="Times New Roman"/>
          <w:color w:val="auto"/>
        </w:rPr>
        <w:t>开标时间：</w:t>
      </w:r>
      <w:r>
        <w:rPr>
          <w:rFonts w:ascii="Times New Roman" w:hAnsi="Times New Roman"/>
          <w:color w:val="auto"/>
          <w:u w:val="single"/>
        </w:rPr>
        <w:t xml:space="preserve">         </w:t>
      </w:r>
      <w:r>
        <w:rPr>
          <w:rFonts w:ascii="Times New Roman" w:hAnsi="Times New Roman"/>
          <w:color w:val="auto"/>
        </w:rPr>
        <w:t>年</w:t>
      </w:r>
      <w:r>
        <w:rPr>
          <w:rFonts w:ascii="Times New Roman" w:hAnsi="Times New Roman"/>
          <w:color w:val="auto"/>
          <w:u w:val="single"/>
        </w:rPr>
        <w:t xml:space="preserve">         </w:t>
      </w:r>
      <w:r>
        <w:rPr>
          <w:rFonts w:ascii="Times New Roman" w:hAnsi="Times New Roman"/>
          <w:color w:val="auto"/>
        </w:rPr>
        <w:t>月</w:t>
      </w:r>
      <w:r>
        <w:rPr>
          <w:rFonts w:ascii="Times New Roman" w:hAnsi="Times New Roman"/>
          <w:color w:val="auto"/>
          <w:u w:val="single"/>
        </w:rPr>
        <w:t xml:space="preserve">         </w:t>
      </w:r>
      <w:r>
        <w:rPr>
          <w:rFonts w:ascii="Times New Roman" w:hAnsi="Times New Roman"/>
          <w:color w:val="auto"/>
        </w:rPr>
        <w:t>日</w:t>
      </w:r>
      <w:r>
        <w:rPr>
          <w:rFonts w:ascii="Times New Roman" w:hAnsi="Times New Roman"/>
          <w:color w:val="auto"/>
          <w:u w:val="single"/>
        </w:rPr>
        <w:t xml:space="preserve">         </w:t>
      </w:r>
      <w:r>
        <w:rPr>
          <w:rFonts w:ascii="Times New Roman" w:hAnsi="Times New Roman"/>
          <w:color w:val="auto"/>
        </w:rPr>
        <w:t>时</w:t>
      </w:r>
      <w:r>
        <w:rPr>
          <w:rFonts w:ascii="Times New Roman" w:hAnsi="Times New Roman"/>
          <w:color w:val="auto"/>
          <w:u w:val="single"/>
        </w:rPr>
        <w:t xml:space="preserve">         </w:t>
      </w:r>
      <w:r>
        <w:rPr>
          <w:rFonts w:ascii="Times New Roman" w:hAnsi="Times New Roman"/>
          <w:color w:val="auto"/>
        </w:rPr>
        <w:t>分</w:t>
      </w:r>
    </w:p>
    <w:tbl>
      <w:tblPr>
        <w:tblStyle w:val="38"/>
        <w:tblW w:w="8330" w:type="dxa"/>
        <w:tblInd w:w="0" w:type="dxa"/>
        <w:tblLayout w:type="fixed"/>
        <w:tblCellMar>
          <w:top w:w="0" w:type="dxa"/>
          <w:left w:w="108" w:type="dxa"/>
          <w:bottom w:w="0" w:type="dxa"/>
          <w:right w:w="108" w:type="dxa"/>
        </w:tblCellMar>
      </w:tblPr>
      <w:tblGrid>
        <w:gridCol w:w="649"/>
        <w:gridCol w:w="1019"/>
        <w:gridCol w:w="992"/>
        <w:gridCol w:w="992"/>
        <w:gridCol w:w="1134"/>
        <w:gridCol w:w="851"/>
        <w:gridCol w:w="992"/>
        <w:gridCol w:w="709"/>
        <w:gridCol w:w="992"/>
      </w:tblGrid>
      <w:tr>
        <w:tblPrEx>
          <w:tblLayout w:type="fixed"/>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olor w:val="auto"/>
                <w:sz w:val="18"/>
              </w:rPr>
            </w:pPr>
            <w:r>
              <w:rPr>
                <w:rFonts w:ascii="Times New Roman" w:hAnsi="Times New Roman"/>
                <w:color w:val="auto"/>
                <w:sz w:val="18"/>
              </w:rPr>
              <w:t>序号</w:t>
            </w:r>
          </w:p>
        </w:tc>
        <w:tc>
          <w:tcPr>
            <w:tcW w:w="101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olor w:val="auto"/>
                <w:sz w:val="18"/>
              </w:rPr>
            </w:pPr>
            <w:r>
              <w:rPr>
                <w:rFonts w:ascii="Times New Roman" w:hAnsi="Times New Roman"/>
                <w:color w:val="auto"/>
                <w:sz w:val="18"/>
              </w:rPr>
              <w:t>投标人</w:t>
            </w:r>
          </w:p>
        </w:tc>
        <w:tc>
          <w:tcPr>
            <w:tcW w:w="992"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Times New Roman" w:hAnsi="Times New Roman"/>
                <w:color w:val="auto"/>
                <w:sz w:val="18"/>
              </w:rPr>
            </w:pPr>
            <w:r>
              <w:rPr>
                <w:rFonts w:ascii="Times New Roman" w:hAnsi="Times New Roman"/>
                <w:color w:val="auto"/>
                <w:sz w:val="18"/>
              </w:rPr>
              <w:t>密封情况</w:t>
            </w:r>
          </w:p>
        </w:tc>
        <w:tc>
          <w:tcPr>
            <w:tcW w:w="99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olor w:val="auto"/>
                <w:sz w:val="18"/>
              </w:rPr>
            </w:pPr>
            <w:r>
              <w:rPr>
                <w:rFonts w:ascii="Times New Roman" w:hAnsi="Times New Roman"/>
                <w:color w:val="auto"/>
                <w:sz w:val="18"/>
              </w:rPr>
              <w:t>投标保证金</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olor w:val="auto"/>
                <w:sz w:val="18"/>
              </w:rPr>
            </w:pPr>
            <w:r>
              <w:rPr>
                <w:rFonts w:ascii="Times New Roman" w:hAnsi="Times New Roman"/>
                <w:color w:val="auto"/>
                <w:sz w:val="18"/>
              </w:rPr>
              <w:t>投标报价</w:t>
            </w:r>
          </w:p>
          <w:p>
            <w:pPr>
              <w:spacing w:line="500" w:lineRule="exact"/>
              <w:jc w:val="center"/>
              <w:rPr>
                <w:rFonts w:ascii="Times New Roman" w:hAnsi="Times New Roman"/>
                <w:color w:val="auto"/>
                <w:sz w:val="18"/>
              </w:rPr>
            </w:pPr>
            <w:r>
              <w:rPr>
                <w:rFonts w:ascii="Times New Roman" w:hAnsi="Times New Roman"/>
                <w:color w:val="auto"/>
                <w:sz w:val="18"/>
              </w:rPr>
              <w:t>（万元）</w:t>
            </w: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olor w:val="auto"/>
                <w:sz w:val="18"/>
              </w:rPr>
            </w:pPr>
            <w:r>
              <w:rPr>
                <w:rFonts w:ascii="Times New Roman" w:hAnsi="Times New Roman"/>
                <w:color w:val="auto"/>
                <w:sz w:val="18"/>
              </w:rPr>
              <w:t>项目负责人</w:t>
            </w:r>
          </w:p>
        </w:tc>
        <w:tc>
          <w:tcPr>
            <w:tcW w:w="99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olor w:val="auto"/>
                <w:sz w:val="18"/>
              </w:rPr>
            </w:pPr>
            <w:r>
              <w:rPr>
                <w:rFonts w:ascii="Times New Roman" w:hAnsi="Times New Roman"/>
                <w:color w:val="auto"/>
                <w:sz w:val="18"/>
              </w:rPr>
              <w:t>勘察服务期限</w:t>
            </w:r>
          </w:p>
        </w:tc>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olor w:val="auto"/>
                <w:sz w:val="18"/>
              </w:rPr>
            </w:pPr>
            <w:r>
              <w:rPr>
                <w:rFonts w:ascii="Times New Roman" w:hAnsi="Times New Roman"/>
                <w:color w:val="auto"/>
                <w:sz w:val="18"/>
              </w:rPr>
              <w:t>备注</w:t>
            </w:r>
          </w:p>
        </w:tc>
        <w:tc>
          <w:tcPr>
            <w:tcW w:w="99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olor w:val="auto"/>
                <w:sz w:val="18"/>
              </w:rPr>
            </w:pPr>
            <w:r>
              <w:rPr>
                <w:rFonts w:ascii="Times New Roman" w:hAnsi="Times New Roman"/>
                <w:color w:val="auto"/>
                <w:sz w:val="18"/>
              </w:rPr>
              <w:t>投标人代表签名</w:t>
            </w:r>
          </w:p>
        </w:tc>
      </w:tr>
      <w:tr>
        <w:tblPrEx>
          <w:tblLayout w:type="fixed"/>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101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1134"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851"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70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r>
      <w:tr>
        <w:tblPrEx>
          <w:tblLayout w:type="fixed"/>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101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1134"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851"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70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r>
      <w:tr>
        <w:tblPrEx>
          <w:tblLayout w:type="fixed"/>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101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1134"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851"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70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r>
      <w:tr>
        <w:tblPrEx>
          <w:tblLayout w:type="fixed"/>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101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1134"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851"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70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r>
      <w:tr>
        <w:tblPrEx>
          <w:tblLayout w:type="fixed"/>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101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1134"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851"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70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r>
      <w:tr>
        <w:tblPrEx>
          <w:tblLayout w:type="fixed"/>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101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1134"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851"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70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r>
      <w:tr>
        <w:tblPrEx>
          <w:tblLayout w:type="fixed"/>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101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1134"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851"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70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r>
      <w:tr>
        <w:tblPrEx>
          <w:tblLayout w:type="fixed"/>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101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1134"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851"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70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r>
      <w:tr>
        <w:tblPrEx>
          <w:tblLayout w:type="fixed"/>
          <w:tblCellMar>
            <w:top w:w="0" w:type="dxa"/>
            <w:left w:w="108" w:type="dxa"/>
            <w:bottom w:w="0" w:type="dxa"/>
            <w:right w:w="108" w:type="dxa"/>
          </w:tblCellMar>
        </w:tblPrEx>
        <w:trPr>
          <w:trHeight w:val="502" w:hRule="atLeast"/>
        </w:trPr>
        <w:tc>
          <w:tcPr>
            <w:tcW w:w="64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101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1134"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851"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70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r>
      <w:tr>
        <w:tblPrEx>
          <w:tblLayout w:type="fixed"/>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101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1134"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851"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70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bookmarkStart w:id="64" w:name="_Toc17638"/>
          </w:p>
        </w:tc>
      </w:tr>
      <w:tr>
        <w:tblPrEx>
          <w:tblLayout w:type="fixed"/>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101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1134"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851"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70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r>
      <w:bookmarkEnd w:id="64"/>
      <w:tr>
        <w:tblPrEx>
          <w:tblLayout w:type="fixed"/>
          <w:tblCellMar>
            <w:top w:w="0" w:type="dxa"/>
            <w:left w:w="108" w:type="dxa"/>
            <w:bottom w:w="0" w:type="dxa"/>
            <w:right w:w="108" w:type="dxa"/>
          </w:tblCellMar>
        </w:tblPrEx>
        <w:tc>
          <w:tcPr>
            <w:tcW w:w="2660" w:type="dxa"/>
            <w:gridSpan w:val="3"/>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r>
              <w:rPr>
                <w:rFonts w:ascii="Times New Roman" w:hAnsi="Times New Roman"/>
                <w:color w:val="auto"/>
              </w:rPr>
              <w:t>最高投标限价：</w:t>
            </w:r>
          </w:p>
        </w:tc>
        <w:tc>
          <w:tcPr>
            <w:tcW w:w="5670" w:type="dxa"/>
            <w:gridSpan w:val="6"/>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r>
    </w:tbl>
    <w:p>
      <w:pPr>
        <w:spacing w:line="440" w:lineRule="exact"/>
        <w:rPr>
          <w:rFonts w:ascii="Times New Roman" w:hAnsi="Times New Roman"/>
          <w:color w:val="auto"/>
        </w:rPr>
      </w:pPr>
      <w:r>
        <w:rPr>
          <w:rFonts w:ascii="Times New Roman" w:hAnsi="Times New Roman"/>
          <w:color w:val="auto"/>
        </w:rPr>
        <w:t>　　　</w:t>
      </w:r>
    </w:p>
    <w:p>
      <w:pPr>
        <w:spacing w:line="620" w:lineRule="exact"/>
        <w:rPr>
          <w:rFonts w:ascii="Times New Roman" w:hAnsi="Times New Roman"/>
          <w:color w:val="auto"/>
        </w:rPr>
      </w:pPr>
      <w:r>
        <w:rPr>
          <w:rFonts w:ascii="Times New Roman" w:hAnsi="Times New Roman"/>
          <w:color w:val="auto"/>
        </w:rPr>
        <w:t>招标人代表：</w:t>
      </w:r>
      <w:r>
        <w:rPr>
          <w:rFonts w:ascii="Times New Roman" w:hAnsi="Times New Roman"/>
          <w:color w:val="auto"/>
          <w:u w:val="single"/>
        </w:rPr>
        <w:t xml:space="preserve">       </w:t>
      </w:r>
      <w:r>
        <w:rPr>
          <w:rFonts w:ascii="Times New Roman" w:hAnsi="Times New Roman"/>
          <w:color w:val="auto"/>
        </w:rPr>
        <w:t xml:space="preserve">        记录人：</w:t>
      </w:r>
      <w:r>
        <w:rPr>
          <w:rFonts w:ascii="Times New Roman" w:hAnsi="Times New Roman"/>
          <w:color w:val="auto"/>
          <w:u w:val="single"/>
        </w:rPr>
        <w:t xml:space="preserve">       </w:t>
      </w:r>
      <w:r>
        <w:rPr>
          <w:rFonts w:ascii="Times New Roman" w:hAnsi="Times New Roman"/>
          <w:color w:val="auto"/>
        </w:rPr>
        <w:t xml:space="preserve">       监标人：</w:t>
      </w:r>
      <w:r>
        <w:rPr>
          <w:rFonts w:ascii="Times New Roman" w:hAnsi="Times New Roman"/>
          <w:color w:val="auto"/>
          <w:u w:val="single"/>
        </w:rPr>
        <w:t xml:space="preserve">       </w:t>
      </w:r>
    </w:p>
    <w:p>
      <w:pPr>
        <w:spacing w:line="620" w:lineRule="exact"/>
        <w:jc w:val="right"/>
        <w:rPr>
          <w:rFonts w:ascii="Times New Roman" w:hAnsi="Times New Roman"/>
          <w:color w:val="auto"/>
          <w:sz w:val="20"/>
        </w:rPr>
      </w:pPr>
      <w:r>
        <w:rPr>
          <w:rFonts w:ascii="Times New Roman" w:hAnsi="Times New Roman"/>
          <w:color w:val="auto"/>
          <w:u w:val="single"/>
        </w:rPr>
        <w:t xml:space="preserve">       </w:t>
      </w:r>
      <w:r>
        <w:rPr>
          <w:rFonts w:ascii="Times New Roman" w:hAnsi="Times New Roman"/>
          <w:color w:val="auto"/>
        </w:rPr>
        <w:t>年</w:t>
      </w:r>
      <w:r>
        <w:rPr>
          <w:rFonts w:ascii="Times New Roman" w:hAnsi="Times New Roman"/>
          <w:color w:val="auto"/>
          <w:u w:val="single"/>
        </w:rPr>
        <w:t xml:space="preserve">       </w:t>
      </w:r>
      <w:r>
        <w:rPr>
          <w:rFonts w:ascii="Times New Roman" w:hAnsi="Times New Roman"/>
          <w:color w:val="auto"/>
        </w:rPr>
        <w:t>月</w:t>
      </w:r>
      <w:r>
        <w:rPr>
          <w:rFonts w:ascii="Times New Roman" w:hAnsi="Times New Roman"/>
          <w:color w:val="auto"/>
          <w:u w:val="single"/>
        </w:rPr>
        <w:t xml:space="preserve">       </w:t>
      </w:r>
      <w:r>
        <w:rPr>
          <w:rFonts w:ascii="Times New Roman" w:hAnsi="Times New Roman"/>
          <w:color w:val="auto"/>
        </w:rPr>
        <w:t>日</w:t>
      </w:r>
    </w:p>
    <w:p>
      <w:pPr>
        <w:spacing w:line="440" w:lineRule="exact"/>
        <w:rPr>
          <w:rFonts w:ascii="Times New Roman" w:hAnsi="Times New Roman"/>
          <w:color w:val="auto"/>
        </w:rPr>
      </w:pPr>
      <w:r>
        <w:rPr>
          <w:rFonts w:ascii="Times New Roman" w:hAnsi="Times New Roman"/>
          <w:color w:val="auto"/>
        </w:rPr>
        <w:br w:type="page"/>
      </w:r>
    </w:p>
    <w:p>
      <w:pPr>
        <w:pStyle w:val="6"/>
        <w:ind w:firstLine="137"/>
        <w:rPr>
          <w:rFonts w:ascii="Times New Roman" w:hAnsi="Times New Roman"/>
          <w:color w:val="auto"/>
        </w:rPr>
      </w:pPr>
      <w:bookmarkStart w:id="65" w:name="_Toc492300816"/>
      <w:r>
        <w:rPr>
          <w:rFonts w:hint="eastAsia" w:ascii="Times New Roman" w:hAnsi="Times New Roman"/>
          <w:color w:val="auto"/>
        </w:rPr>
        <w:t>附件二：问题澄清通知</w:t>
      </w:r>
      <w:bookmarkEnd w:id="65"/>
    </w:p>
    <w:p>
      <w:pPr>
        <w:spacing w:line="440" w:lineRule="exact"/>
        <w:jc w:val="center"/>
        <w:rPr>
          <w:rFonts w:ascii="Times New Roman" w:hAnsi="Times New Roman"/>
          <w:color w:val="auto"/>
        </w:rPr>
      </w:pPr>
    </w:p>
    <w:p>
      <w:pPr>
        <w:spacing w:line="440" w:lineRule="exact"/>
        <w:jc w:val="center"/>
        <w:rPr>
          <w:rFonts w:ascii="Times New Roman" w:hAnsi="Times New Roman" w:eastAsia="黑体"/>
          <w:color w:val="auto"/>
          <w:sz w:val="28"/>
        </w:rPr>
      </w:pPr>
      <w:r>
        <w:rPr>
          <w:rFonts w:ascii="Times New Roman" w:hAnsi="Times New Roman" w:eastAsia="黑体"/>
          <w:color w:val="auto"/>
          <w:sz w:val="28"/>
        </w:rPr>
        <w:t>问题澄清通知</w:t>
      </w:r>
    </w:p>
    <w:p>
      <w:pPr>
        <w:spacing w:line="440" w:lineRule="exact"/>
        <w:jc w:val="center"/>
        <w:rPr>
          <w:rFonts w:ascii="Times New Roman" w:hAnsi="Times New Roman"/>
          <w:color w:val="auto"/>
        </w:rPr>
      </w:pPr>
      <w:r>
        <w:rPr>
          <w:rFonts w:ascii="Times New Roman" w:hAnsi="Times New Roman"/>
          <w:color w:val="auto"/>
        </w:rPr>
        <w:t>（编号：</w:t>
      </w:r>
      <w:r>
        <w:rPr>
          <w:rFonts w:ascii="Times New Roman" w:hAnsi="Times New Roman" w:eastAsia="黑体"/>
          <w:color w:val="auto"/>
          <w:sz w:val="28"/>
          <w:u w:val="single"/>
        </w:rPr>
        <w:t xml:space="preserve">               </w:t>
      </w:r>
      <w:r>
        <w:rPr>
          <w:rFonts w:ascii="Times New Roman" w:hAnsi="Times New Roman"/>
          <w:color w:val="auto"/>
        </w:rPr>
        <w:t>）</w:t>
      </w:r>
    </w:p>
    <w:p>
      <w:pPr>
        <w:spacing w:line="440" w:lineRule="exact"/>
        <w:rPr>
          <w:rFonts w:ascii="Times New Roman" w:hAnsi="Times New Roman"/>
          <w:color w:val="auto"/>
        </w:rPr>
      </w:pPr>
    </w:p>
    <w:p>
      <w:pPr>
        <w:spacing w:line="440" w:lineRule="exact"/>
        <w:rPr>
          <w:rFonts w:ascii="Times New Roman" w:hAnsi="Times New Roman"/>
          <w:color w:val="auto"/>
        </w:rPr>
      </w:pPr>
      <w:r>
        <w:rPr>
          <w:rFonts w:ascii="Times New Roman" w:hAnsi="Times New Roman"/>
          <w:color w:val="auto"/>
          <w:u w:val="single"/>
        </w:rPr>
        <w:t xml:space="preserve">                     </w:t>
      </w:r>
      <w:r>
        <w:rPr>
          <w:rFonts w:ascii="Times New Roman" w:hAnsi="Times New Roman"/>
          <w:color w:val="auto"/>
        </w:rPr>
        <w:t>（投标人名称）：</w:t>
      </w:r>
    </w:p>
    <w:p>
      <w:pPr>
        <w:spacing w:line="440" w:lineRule="exact"/>
        <w:rPr>
          <w:rFonts w:ascii="Times New Roman" w:hAnsi="Times New Roman"/>
          <w:color w:val="auto"/>
        </w:rPr>
      </w:pPr>
    </w:p>
    <w:p>
      <w:pPr>
        <w:spacing w:line="440" w:lineRule="exact"/>
        <w:rPr>
          <w:rFonts w:ascii="Times New Roman" w:hAnsi="Times New Roman"/>
          <w:color w:val="auto"/>
        </w:rPr>
      </w:pPr>
      <w:r>
        <w:rPr>
          <w:rFonts w:ascii="Times New Roman" w:hAnsi="Times New Roman"/>
          <w:color w:val="auto"/>
        </w:rPr>
        <w:t>　　评标委员会对你方的投标文件进行了仔细的审查，现需你方对下列问题以书</w:t>
      </w:r>
      <w:bookmarkStart w:id="66" w:name="_Toc152042352"/>
      <w:bookmarkStart w:id="67" w:name="_Toc247527601"/>
      <w:bookmarkStart w:id="68" w:name="_Toc384308260"/>
      <w:bookmarkStart w:id="69" w:name="_Toc361508634"/>
      <w:bookmarkStart w:id="70" w:name="_Toc23050"/>
      <w:bookmarkStart w:id="71" w:name="_Toc152045576"/>
      <w:bookmarkStart w:id="72" w:name="_Toc369531565"/>
      <w:bookmarkStart w:id="73" w:name="_Toc144974544"/>
      <w:bookmarkStart w:id="74" w:name="_Toc352691521"/>
      <w:bookmarkStart w:id="75" w:name="_Toc300834996"/>
      <w:bookmarkStart w:id="76" w:name="_Toc247514000"/>
      <w:r>
        <w:rPr>
          <w:rFonts w:ascii="Times New Roman" w:hAnsi="Times New Roman"/>
          <w:color w:val="auto"/>
        </w:rPr>
        <w:t>面形式予以澄清、说明或补正：</w:t>
      </w:r>
    </w:p>
    <w:p>
      <w:pPr>
        <w:spacing w:line="440" w:lineRule="exact"/>
        <w:rPr>
          <w:rFonts w:ascii="Times New Roman" w:hAnsi="Times New Roman"/>
          <w:color w:val="auto"/>
        </w:rPr>
      </w:pPr>
      <w:r>
        <w:rPr>
          <w:rFonts w:ascii="Times New Roman" w:hAnsi="Times New Roman"/>
          <w:color w:val="auto"/>
        </w:rPr>
        <w:t>　　</w:t>
      </w:r>
    </w:p>
    <w:bookmarkEnd w:id="66"/>
    <w:bookmarkEnd w:id="67"/>
    <w:bookmarkEnd w:id="68"/>
    <w:bookmarkEnd w:id="69"/>
    <w:bookmarkEnd w:id="70"/>
    <w:bookmarkEnd w:id="71"/>
    <w:bookmarkEnd w:id="72"/>
    <w:bookmarkEnd w:id="73"/>
    <w:bookmarkEnd w:id="74"/>
    <w:bookmarkEnd w:id="75"/>
    <w:bookmarkEnd w:id="76"/>
    <w:p>
      <w:pPr>
        <w:spacing w:line="440" w:lineRule="exact"/>
        <w:rPr>
          <w:rFonts w:ascii="Times New Roman" w:hAnsi="Times New Roman"/>
          <w:color w:val="auto"/>
        </w:rPr>
      </w:pPr>
      <w:r>
        <w:rPr>
          <w:rFonts w:ascii="Times New Roman" w:hAnsi="Times New Roman"/>
          <w:color w:val="auto"/>
        </w:rPr>
        <w:t xml:space="preserve">    1.</w:t>
      </w:r>
    </w:p>
    <w:p>
      <w:pPr>
        <w:spacing w:line="440" w:lineRule="exact"/>
        <w:rPr>
          <w:rFonts w:ascii="Times New Roman" w:hAnsi="Times New Roman"/>
          <w:color w:val="auto"/>
        </w:rPr>
      </w:pPr>
      <w:r>
        <w:rPr>
          <w:rFonts w:ascii="Times New Roman" w:hAnsi="Times New Roman"/>
          <w:color w:val="auto"/>
        </w:rPr>
        <w:t xml:space="preserve">    2.</w:t>
      </w:r>
    </w:p>
    <w:p>
      <w:pPr>
        <w:spacing w:line="440" w:lineRule="exact"/>
        <w:rPr>
          <w:rFonts w:ascii="Times New Roman" w:hAnsi="Times New Roman"/>
          <w:color w:val="auto"/>
        </w:rPr>
      </w:pPr>
      <w:r>
        <w:rPr>
          <w:rFonts w:ascii="Times New Roman" w:hAnsi="Times New Roman"/>
          <w:color w:val="auto"/>
        </w:rPr>
        <w:t xml:space="preserve">     ......   </w:t>
      </w:r>
    </w:p>
    <w:p>
      <w:pPr>
        <w:spacing w:line="440" w:lineRule="exact"/>
        <w:rPr>
          <w:rFonts w:ascii="Times New Roman" w:hAnsi="Times New Roman"/>
          <w:color w:val="auto"/>
        </w:rPr>
      </w:pPr>
      <w:r>
        <w:rPr>
          <w:rFonts w:ascii="Times New Roman" w:hAnsi="Times New Roman"/>
          <w:color w:val="auto"/>
        </w:rPr>
        <w:t>　　　</w:t>
      </w:r>
    </w:p>
    <w:p>
      <w:pPr>
        <w:spacing w:line="440" w:lineRule="exact"/>
        <w:ind w:firstLine="405"/>
        <w:rPr>
          <w:rFonts w:ascii="Times New Roman" w:hAnsi="Times New Roman"/>
          <w:color w:val="auto"/>
        </w:rPr>
      </w:pPr>
      <w:r>
        <w:rPr>
          <w:rFonts w:ascii="Times New Roman" w:hAnsi="Times New Roman"/>
          <w:color w:val="auto"/>
        </w:rPr>
        <w:t>请将上述问题的澄清、说明或补正于</w:t>
      </w:r>
      <w:r>
        <w:rPr>
          <w:rFonts w:ascii="Times New Roman" w:hAnsi="Times New Roman"/>
          <w:color w:val="auto"/>
          <w:u w:val="single"/>
        </w:rPr>
        <w:t xml:space="preserve">       </w:t>
      </w:r>
      <w:r>
        <w:rPr>
          <w:rFonts w:ascii="Times New Roman" w:hAnsi="Times New Roman"/>
          <w:color w:val="auto"/>
        </w:rPr>
        <w:t>年</w:t>
      </w:r>
      <w:r>
        <w:rPr>
          <w:rFonts w:ascii="Times New Roman" w:hAnsi="Times New Roman"/>
          <w:color w:val="auto"/>
          <w:u w:val="single"/>
        </w:rPr>
        <w:t xml:space="preserve">       </w:t>
      </w:r>
      <w:r>
        <w:rPr>
          <w:rFonts w:ascii="Times New Roman" w:hAnsi="Times New Roman"/>
          <w:color w:val="auto"/>
        </w:rPr>
        <w:t>月</w:t>
      </w:r>
      <w:r>
        <w:rPr>
          <w:rFonts w:ascii="Times New Roman" w:hAnsi="Times New Roman"/>
          <w:color w:val="auto"/>
          <w:u w:val="single"/>
        </w:rPr>
        <w:t xml:space="preserve">       </w:t>
      </w:r>
      <w:r>
        <w:rPr>
          <w:rFonts w:ascii="Times New Roman" w:hAnsi="Times New Roman"/>
          <w:color w:val="auto"/>
        </w:rPr>
        <w:t>日</w:t>
      </w:r>
      <w:r>
        <w:rPr>
          <w:rFonts w:ascii="Times New Roman" w:hAnsi="Times New Roman"/>
          <w:color w:val="auto"/>
          <w:u w:val="single"/>
        </w:rPr>
        <w:t xml:space="preserve">       </w:t>
      </w:r>
      <w:r>
        <w:rPr>
          <w:rFonts w:ascii="Times New Roman" w:hAnsi="Times New Roman"/>
          <w:color w:val="auto"/>
        </w:rPr>
        <w:t>时前递交至</w:t>
      </w:r>
      <w:bookmarkStart w:id="77" w:name="_Toc369531566"/>
      <w:bookmarkStart w:id="78" w:name="_Toc247514001"/>
      <w:bookmarkStart w:id="79" w:name="_Toc352691522"/>
      <w:bookmarkStart w:id="80" w:name="_Toc152042353"/>
      <w:bookmarkStart w:id="81" w:name="_Toc144974545"/>
      <w:bookmarkStart w:id="82" w:name="_Toc28385"/>
      <w:bookmarkStart w:id="83" w:name="_Toc152045577"/>
      <w:bookmarkStart w:id="84" w:name="_Toc384308261"/>
      <w:bookmarkStart w:id="85" w:name="_Toc300834997"/>
      <w:bookmarkStart w:id="86" w:name="_Toc361508635"/>
      <w:bookmarkStart w:id="87" w:name="_Toc247527602"/>
    </w:p>
    <w:p>
      <w:pPr>
        <w:spacing w:line="440" w:lineRule="exact"/>
        <w:rPr>
          <w:rFonts w:ascii="Times New Roman" w:hAnsi="Times New Roman"/>
          <w:color w:val="auto"/>
        </w:rPr>
      </w:pPr>
      <w:r>
        <w:rPr>
          <w:rFonts w:ascii="Times New Roman" w:hAnsi="Times New Roman"/>
          <w:color w:val="auto"/>
          <w:u w:val="single"/>
        </w:rPr>
        <w:t xml:space="preserve">                            </w:t>
      </w:r>
      <w:r>
        <w:rPr>
          <w:rFonts w:ascii="Times New Roman" w:hAnsi="Times New Roman"/>
          <w:color w:val="auto"/>
        </w:rPr>
        <w:t>（详细地址）或传真至</w:t>
      </w:r>
      <w:bookmarkEnd w:id="77"/>
      <w:bookmarkEnd w:id="78"/>
      <w:bookmarkEnd w:id="79"/>
      <w:bookmarkEnd w:id="80"/>
      <w:bookmarkEnd w:id="81"/>
      <w:bookmarkEnd w:id="82"/>
      <w:bookmarkEnd w:id="83"/>
      <w:bookmarkEnd w:id="84"/>
      <w:bookmarkEnd w:id="85"/>
      <w:bookmarkEnd w:id="86"/>
      <w:bookmarkEnd w:id="87"/>
      <w:r>
        <w:rPr>
          <w:rFonts w:ascii="Times New Roman" w:hAnsi="Times New Roman"/>
          <w:color w:val="auto"/>
          <w:u w:val="single"/>
        </w:rPr>
        <w:t xml:space="preserve">                     </w:t>
      </w:r>
      <w:r>
        <w:rPr>
          <w:rFonts w:ascii="Times New Roman" w:hAnsi="Times New Roman"/>
          <w:color w:val="auto"/>
        </w:rPr>
        <w:t>（传真号码）或通过下载招标</w:t>
      </w:r>
      <w:r>
        <w:rPr>
          <w:rFonts w:hint="eastAsia" w:ascii="Times New Roman" w:hAnsi="Times New Roman"/>
          <w:color w:val="auto"/>
        </w:rPr>
        <w:t>文</w:t>
      </w:r>
      <w:r>
        <w:rPr>
          <w:rFonts w:ascii="Times New Roman" w:hAnsi="Times New Roman"/>
          <w:color w:val="auto"/>
        </w:rPr>
        <w:t>件的电子招标交易平台上传。采用传真方式的，应在</w:t>
      </w:r>
      <w:r>
        <w:rPr>
          <w:rFonts w:ascii="Times New Roman" w:hAnsi="Times New Roman"/>
          <w:color w:val="auto"/>
          <w:u w:val="single"/>
        </w:rPr>
        <w:t xml:space="preserve">       </w:t>
      </w:r>
      <w:r>
        <w:rPr>
          <w:rFonts w:ascii="Times New Roman" w:hAnsi="Times New Roman"/>
          <w:color w:val="auto"/>
        </w:rPr>
        <w:t>年</w:t>
      </w:r>
      <w:r>
        <w:rPr>
          <w:rFonts w:ascii="Times New Roman" w:hAnsi="Times New Roman"/>
          <w:color w:val="auto"/>
          <w:u w:val="single"/>
        </w:rPr>
        <w:t xml:space="preserve">       </w:t>
      </w:r>
      <w:r>
        <w:rPr>
          <w:rFonts w:ascii="Times New Roman" w:hAnsi="Times New Roman"/>
          <w:color w:val="auto"/>
        </w:rPr>
        <w:t>月</w:t>
      </w:r>
    </w:p>
    <w:p>
      <w:pPr>
        <w:spacing w:line="440" w:lineRule="exact"/>
        <w:rPr>
          <w:rFonts w:ascii="Times New Roman" w:hAnsi="Times New Roman"/>
          <w:color w:val="auto"/>
        </w:rPr>
      </w:pPr>
      <w:r>
        <w:rPr>
          <w:rFonts w:ascii="Times New Roman" w:hAnsi="Times New Roman"/>
          <w:color w:val="auto"/>
          <w:u w:val="single"/>
        </w:rPr>
        <w:t xml:space="preserve">       </w:t>
      </w:r>
      <w:r>
        <w:rPr>
          <w:rFonts w:ascii="Times New Roman" w:hAnsi="Times New Roman"/>
          <w:color w:val="auto"/>
        </w:rPr>
        <w:t>日</w:t>
      </w:r>
      <w:r>
        <w:rPr>
          <w:rFonts w:ascii="Times New Roman" w:hAnsi="Times New Roman"/>
          <w:color w:val="auto"/>
          <w:u w:val="single"/>
        </w:rPr>
        <w:t xml:space="preserve">       </w:t>
      </w:r>
      <w:r>
        <w:rPr>
          <w:rFonts w:ascii="Times New Roman" w:hAnsi="Times New Roman"/>
          <w:color w:val="auto"/>
        </w:rPr>
        <w:t>时前将原件递交至</w:t>
      </w:r>
      <w:r>
        <w:rPr>
          <w:rFonts w:ascii="Times New Roman" w:hAnsi="Times New Roman"/>
          <w:color w:val="auto"/>
          <w:u w:val="single"/>
        </w:rPr>
        <w:t xml:space="preserve">                     </w:t>
      </w:r>
      <w:r>
        <w:rPr>
          <w:rFonts w:ascii="Times New Roman" w:hAnsi="Times New Roman"/>
          <w:color w:val="auto"/>
        </w:rPr>
        <w:t>（详细地址）。</w:t>
      </w:r>
    </w:p>
    <w:p>
      <w:pPr>
        <w:spacing w:line="440" w:lineRule="exact"/>
        <w:rPr>
          <w:rFonts w:ascii="Times New Roman" w:hAnsi="Times New Roman"/>
          <w:color w:val="auto"/>
        </w:rPr>
      </w:pPr>
    </w:p>
    <w:p>
      <w:pPr>
        <w:spacing w:line="440" w:lineRule="exact"/>
        <w:rPr>
          <w:rFonts w:ascii="Times New Roman" w:hAnsi="Times New Roman"/>
          <w:color w:val="auto"/>
        </w:rPr>
      </w:pPr>
    </w:p>
    <w:p>
      <w:pPr>
        <w:spacing w:line="440" w:lineRule="exact"/>
        <w:ind w:firstLine="2100" w:firstLineChars="1000"/>
        <w:rPr>
          <w:rFonts w:ascii="Times New Roman" w:hAnsi="Times New Roman"/>
          <w:color w:val="auto"/>
        </w:rPr>
      </w:pPr>
      <w:r>
        <w:rPr>
          <w:rFonts w:ascii="Times New Roman" w:hAnsi="Times New Roman"/>
          <w:color w:val="auto"/>
        </w:rPr>
        <w:t>评标委员会授权的招标人或招标代理机构：</w:t>
      </w:r>
      <w:r>
        <w:rPr>
          <w:rFonts w:ascii="Times New Roman" w:hAnsi="Times New Roman" w:eastAsia="黑体"/>
          <w:color w:val="auto"/>
          <w:sz w:val="28"/>
          <w:u w:val="single"/>
        </w:rPr>
        <w:t xml:space="preserve">      </w:t>
      </w:r>
      <w:r>
        <w:rPr>
          <w:rFonts w:ascii="Times New Roman" w:hAnsi="Times New Roman"/>
          <w:color w:val="auto"/>
        </w:rPr>
        <w:t>（签字或盖章）</w:t>
      </w:r>
      <w:bookmarkStart w:id="88" w:name="_Toc152045578"/>
      <w:bookmarkStart w:id="89" w:name="_Toc247527603"/>
      <w:bookmarkStart w:id="90" w:name="_Toc369531567"/>
      <w:bookmarkStart w:id="91" w:name="_Toc384308262"/>
      <w:bookmarkStart w:id="92" w:name="_Toc300834998"/>
      <w:bookmarkStart w:id="93" w:name="_Toc361508636"/>
      <w:bookmarkStart w:id="94" w:name="_Toc6580"/>
      <w:bookmarkStart w:id="95" w:name="_Toc247514002"/>
      <w:bookmarkStart w:id="96" w:name="_Toc152042354"/>
      <w:bookmarkStart w:id="97" w:name="_Toc352691523"/>
      <w:bookmarkStart w:id="98" w:name="_Toc144974546"/>
    </w:p>
    <w:bookmarkEnd w:id="88"/>
    <w:bookmarkEnd w:id="89"/>
    <w:bookmarkEnd w:id="90"/>
    <w:bookmarkEnd w:id="91"/>
    <w:bookmarkEnd w:id="92"/>
    <w:bookmarkEnd w:id="93"/>
    <w:bookmarkEnd w:id="94"/>
    <w:bookmarkEnd w:id="95"/>
    <w:bookmarkEnd w:id="96"/>
    <w:bookmarkEnd w:id="97"/>
    <w:p>
      <w:pPr>
        <w:spacing w:line="440" w:lineRule="exact"/>
        <w:rPr>
          <w:rFonts w:ascii="Times New Roman" w:hAnsi="Times New Roman"/>
          <w:color w:val="auto"/>
        </w:rPr>
      </w:pPr>
      <w:bookmarkStart w:id="99" w:name="_Toc152042355"/>
    </w:p>
    <w:p>
      <w:pPr>
        <w:spacing w:line="440" w:lineRule="exact"/>
        <w:ind w:right="840"/>
        <w:jc w:val="right"/>
        <w:rPr>
          <w:rFonts w:ascii="Times New Roman" w:hAnsi="Times New Roman"/>
          <w:color w:val="auto"/>
        </w:rPr>
      </w:pPr>
      <w:r>
        <w:rPr>
          <w:rFonts w:ascii="Times New Roman" w:hAnsi="Times New Roman"/>
          <w:color w:val="auto"/>
          <w:u w:val="single"/>
        </w:rPr>
        <w:t xml:space="preserve">        </w:t>
      </w:r>
      <w:r>
        <w:rPr>
          <w:rFonts w:ascii="Times New Roman" w:hAnsi="Times New Roman"/>
          <w:color w:val="auto"/>
        </w:rPr>
        <w:t>年</w:t>
      </w:r>
      <w:r>
        <w:rPr>
          <w:rFonts w:ascii="Times New Roman" w:hAnsi="Times New Roman"/>
          <w:color w:val="auto"/>
          <w:u w:val="single"/>
        </w:rPr>
        <w:t xml:space="preserve">       </w:t>
      </w:r>
      <w:r>
        <w:rPr>
          <w:rFonts w:ascii="Times New Roman" w:hAnsi="Times New Roman"/>
          <w:color w:val="auto"/>
        </w:rPr>
        <w:t>月</w:t>
      </w:r>
      <w:r>
        <w:rPr>
          <w:rFonts w:ascii="Times New Roman" w:hAnsi="Times New Roman"/>
          <w:color w:val="auto"/>
          <w:u w:val="single"/>
        </w:rPr>
        <w:t xml:space="preserve">       </w:t>
      </w:r>
      <w:r>
        <w:rPr>
          <w:rFonts w:ascii="Times New Roman" w:hAnsi="Times New Roman"/>
          <w:color w:val="auto"/>
        </w:rPr>
        <w:t>日</w:t>
      </w:r>
    </w:p>
    <w:p>
      <w:pPr>
        <w:spacing w:line="400" w:lineRule="exact"/>
        <w:rPr>
          <w:rFonts w:ascii="Times New Roman" w:hAnsi="Times New Roman"/>
          <w:color w:val="auto"/>
        </w:rPr>
      </w:pPr>
    </w:p>
    <w:p>
      <w:pPr>
        <w:spacing w:line="400" w:lineRule="exact"/>
        <w:rPr>
          <w:rFonts w:ascii="Times New Roman" w:hAnsi="Times New Roman"/>
          <w:color w:val="auto"/>
        </w:rPr>
      </w:pPr>
      <w:r>
        <w:rPr>
          <w:rFonts w:ascii="Times New Roman" w:hAnsi="Times New Roman"/>
          <w:color w:val="auto"/>
        </w:rPr>
        <w:br w:type="page"/>
      </w:r>
    </w:p>
    <w:p>
      <w:pPr>
        <w:pStyle w:val="6"/>
        <w:ind w:firstLine="137"/>
        <w:rPr>
          <w:rFonts w:ascii="Times New Roman" w:hAnsi="Times New Roman"/>
          <w:color w:val="auto"/>
        </w:rPr>
      </w:pPr>
      <w:bookmarkStart w:id="100" w:name="_Toc492300817"/>
      <w:r>
        <w:rPr>
          <w:rFonts w:hint="eastAsia" w:ascii="Times New Roman" w:hAnsi="Times New Roman"/>
          <w:color w:val="auto"/>
        </w:rPr>
        <w:t>附件三：问题的澄清</w:t>
      </w:r>
      <w:bookmarkEnd w:id="100"/>
    </w:p>
    <w:p>
      <w:pPr>
        <w:spacing w:line="400" w:lineRule="exact"/>
        <w:jc w:val="center"/>
        <w:rPr>
          <w:rFonts w:ascii="Times New Roman" w:hAnsi="Times New Roman" w:eastAsia="黑体"/>
          <w:color w:val="auto"/>
          <w:sz w:val="28"/>
        </w:rPr>
      </w:pPr>
    </w:p>
    <w:p>
      <w:pPr>
        <w:spacing w:line="400" w:lineRule="exact"/>
        <w:jc w:val="center"/>
        <w:rPr>
          <w:rFonts w:ascii="Times New Roman" w:hAnsi="Times New Roman" w:eastAsia="黑体"/>
          <w:color w:val="auto"/>
          <w:sz w:val="28"/>
        </w:rPr>
      </w:pPr>
      <w:r>
        <w:rPr>
          <w:rFonts w:ascii="Times New Roman" w:hAnsi="Times New Roman" w:eastAsia="黑体"/>
          <w:color w:val="auto"/>
          <w:sz w:val="28"/>
        </w:rPr>
        <w:t>问</w:t>
      </w:r>
      <w:bookmarkEnd w:id="99"/>
      <w:r>
        <w:rPr>
          <w:rFonts w:ascii="Times New Roman" w:hAnsi="Times New Roman" w:eastAsia="黑体"/>
          <w:color w:val="auto"/>
          <w:sz w:val="28"/>
        </w:rPr>
        <w:t>题</w:t>
      </w:r>
      <w:bookmarkStart w:id="101" w:name="_Toc152045579"/>
      <w:bookmarkStart w:id="102" w:name="_Toc369531568"/>
      <w:bookmarkStart w:id="103" w:name="_Toc384308263"/>
      <w:bookmarkStart w:id="104" w:name="_Toc300834999"/>
      <w:bookmarkStart w:id="105" w:name="_Toc247514003"/>
      <w:bookmarkStart w:id="106" w:name="_Toc247527604"/>
      <w:bookmarkStart w:id="107" w:name="_Toc3622"/>
      <w:bookmarkStart w:id="108" w:name="_Toc152042356"/>
      <w:bookmarkStart w:id="109" w:name="_Toc361508637"/>
      <w:bookmarkStart w:id="110" w:name="_Toc352691524"/>
      <w:r>
        <w:rPr>
          <w:rFonts w:ascii="Times New Roman" w:hAnsi="Times New Roman" w:eastAsia="黑体"/>
          <w:color w:val="auto"/>
          <w:sz w:val="28"/>
        </w:rPr>
        <w:t>的澄清</w:t>
      </w:r>
    </w:p>
    <w:p>
      <w:pPr>
        <w:spacing w:line="400" w:lineRule="exact"/>
        <w:ind w:firstLine="3465" w:firstLineChars="1650"/>
        <w:rPr>
          <w:rFonts w:ascii="Times New Roman" w:hAnsi="Times New Roman"/>
          <w:color w:val="auto"/>
        </w:rPr>
      </w:pPr>
      <w:r>
        <w:rPr>
          <w:rFonts w:ascii="Times New Roman" w:hAnsi="Times New Roman"/>
          <w:color w:val="auto"/>
        </w:rPr>
        <w:t>（编号</w:t>
      </w:r>
      <w:bookmarkEnd w:id="98"/>
      <w:bookmarkEnd w:id="101"/>
      <w:bookmarkEnd w:id="102"/>
      <w:bookmarkEnd w:id="103"/>
      <w:bookmarkEnd w:id="104"/>
      <w:bookmarkEnd w:id="105"/>
      <w:bookmarkEnd w:id="106"/>
      <w:bookmarkEnd w:id="107"/>
      <w:bookmarkEnd w:id="108"/>
      <w:bookmarkEnd w:id="109"/>
      <w:bookmarkEnd w:id="110"/>
      <w:r>
        <w:rPr>
          <w:rFonts w:ascii="Times New Roman" w:hAnsi="Times New Roman"/>
          <w:color w:val="auto"/>
        </w:rPr>
        <w:t>：</w:t>
      </w:r>
      <w:r>
        <w:rPr>
          <w:rFonts w:ascii="Times New Roman" w:hAnsi="Times New Roman" w:eastAsia="黑体"/>
          <w:color w:val="auto"/>
          <w:sz w:val="28"/>
          <w:u w:val="single"/>
        </w:rPr>
        <w:t xml:space="preserve">           </w:t>
      </w:r>
      <w:r>
        <w:rPr>
          <w:rFonts w:ascii="Times New Roman" w:hAnsi="Times New Roman"/>
          <w:color w:val="auto"/>
        </w:rPr>
        <w:t>）</w:t>
      </w:r>
    </w:p>
    <w:p>
      <w:pPr>
        <w:spacing w:line="400" w:lineRule="exact"/>
        <w:rPr>
          <w:rFonts w:ascii="Times New Roman" w:hAnsi="Times New Roman"/>
          <w:color w:val="auto"/>
        </w:rPr>
      </w:pPr>
    </w:p>
    <w:p>
      <w:pPr>
        <w:spacing w:line="440" w:lineRule="exact"/>
        <w:rPr>
          <w:rFonts w:ascii="Times New Roman" w:hAnsi="Times New Roman"/>
          <w:color w:val="auto"/>
        </w:rPr>
      </w:pPr>
      <w:r>
        <w:rPr>
          <w:rFonts w:ascii="Times New Roman" w:hAnsi="Times New Roman"/>
          <w:color w:val="auto"/>
        </w:rPr>
        <w:t>评标委员会：</w:t>
      </w:r>
    </w:p>
    <w:p>
      <w:pPr>
        <w:spacing w:line="440" w:lineRule="exact"/>
        <w:rPr>
          <w:rFonts w:ascii="Times New Roman" w:hAnsi="Times New Roman"/>
          <w:color w:val="auto"/>
        </w:rPr>
      </w:pPr>
    </w:p>
    <w:p>
      <w:pPr>
        <w:spacing w:line="440" w:lineRule="exact"/>
        <w:rPr>
          <w:rFonts w:ascii="Times New Roman" w:hAnsi="Times New Roman"/>
          <w:color w:val="auto"/>
        </w:rPr>
      </w:pPr>
      <w:r>
        <w:rPr>
          <w:rFonts w:ascii="Times New Roman" w:hAnsi="Times New Roman"/>
          <w:color w:val="auto"/>
        </w:rPr>
        <w:t>　　问题澄清通知（编号：</w:t>
      </w:r>
      <w:r>
        <w:rPr>
          <w:rFonts w:ascii="Times New Roman" w:hAnsi="Times New Roman" w:eastAsia="黑体"/>
          <w:color w:val="auto"/>
          <w:sz w:val="28"/>
          <w:u w:val="single"/>
        </w:rPr>
        <w:t xml:space="preserve">      </w:t>
      </w:r>
      <w:r>
        <w:rPr>
          <w:rFonts w:ascii="Times New Roman" w:hAnsi="Times New Roman"/>
          <w:color w:val="auto"/>
        </w:rPr>
        <w:t>）已收悉，现澄清、说明或补正如下：</w:t>
      </w:r>
    </w:p>
    <w:p>
      <w:pPr>
        <w:spacing w:line="440" w:lineRule="exact"/>
        <w:rPr>
          <w:rFonts w:ascii="Times New Roman" w:hAnsi="Times New Roman"/>
          <w:color w:val="auto"/>
        </w:rPr>
      </w:pPr>
      <w:r>
        <w:rPr>
          <w:rFonts w:ascii="Times New Roman" w:hAnsi="Times New Roman"/>
          <w:color w:val="auto"/>
        </w:rPr>
        <w:t>　     1.</w:t>
      </w:r>
    </w:p>
    <w:p>
      <w:pPr>
        <w:spacing w:line="440" w:lineRule="exact"/>
        <w:rPr>
          <w:rFonts w:ascii="Times New Roman" w:hAnsi="Times New Roman"/>
          <w:color w:val="auto"/>
        </w:rPr>
      </w:pPr>
      <w:r>
        <w:rPr>
          <w:rFonts w:ascii="Times New Roman" w:hAnsi="Times New Roman"/>
          <w:color w:val="auto"/>
        </w:rPr>
        <w:t>　     2.</w:t>
      </w:r>
    </w:p>
    <w:p>
      <w:pPr>
        <w:spacing w:line="440" w:lineRule="exact"/>
        <w:rPr>
          <w:rFonts w:ascii="Times New Roman" w:hAnsi="Times New Roman"/>
          <w:color w:val="auto"/>
        </w:rPr>
      </w:pPr>
      <w:r>
        <w:rPr>
          <w:rFonts w:ascii="Times New Roman" w:hAnsi="Times New Roman"/>
          <w:color w:val="auto"/>
        </w:rPr>
        <w:t>　    .....</w:t>
      </w:r>
    </w:p>
    <w:p>
      <w:pPr>
        <w:spacing w:line="440" w:lineRule="exact"/>
        <w:rPr>
          <w:rFonts w:ascii="Times New Roman" w:hAnsi="Times New Roman"/>
          <w:color w:val="auto"/>
        </w:rPr>
      </w:pPr>
    </w:p>
    <w:p>
      <w:pPr>
        <w:spacing w:line="440" w:lineRule="exact"/>
        <w:rPr>
          <w:rFonts w:ascii="Times New Roman" w:hAnsi="Times New Roman"/>
          <w:color w:val="auto"/>
        </w:rPr>
      </w:pPr>
      <w:r>
        <w:rPr>
          <w:rFonts w:ascii="Times New Roman" w:hAnsi="Times New Roman"/>
          <w:color w:val="auto"/>
        </w:rPr>
        <w:t>　</w:t>
      </w:r>
    </w:p>
    <w:p>
      <w:pPr>
        <w:spacing w:line="440" w:lineRule="exact"/>
        <w:rPr>
          <w:rFonts w:ascii="Times New Roman" w:hAnsi="Times New Roman"/>
          <w:color w:val="auto"/>
        </w:rPr>
      </w:pPr>
    </w:p>
    <w:p>
      <w:pPr>
        <w:spacing w:line="440" w:lineRule="exact"/>
        <w:ind w:firstLine="420" w:firstLineChars="200"/>
        <w:rPr>
          <w:rFonts w:ascii="Times New Roman" w:hAnsi="Times New Roman"/>
          <w:color w:val="auto"/>
        </w:rPr>
      </w:pPr>
      <w:r>
        <w:rPr>
          <w:rFonts w:ascii="Times New Roman" w:hAnsi="Times New Roman"/>
          <w:color w:val="auto"/>
        </w:rPr>
        <w:t>上述问题澄清、说明或补正，不改变我方投标文件的实质性内容，构成我方投标文件的组成部分。</w:t>
      </w:r>
    </w:p>
    <w:p>
      <w:pPr>
        <w:spacing w:line="440" w:lineRule="exact"/>
        <w:rPr>
          <w:rFonts w:ascii="Times New Roman" w:hAnsi="Times New Roman"/>
          <w:color w:val="auto"/>
        </w:rPr>
      </w:pPr>
    </w:p>
    <w:p>
      <w:pPr>
        <w:spacing w:line="440" w:lineRule="exact"/>
        <w:rPr>
          <w:rFonts w:ascii="Times New Roman" w:hAnsi="Times New Roman"/>
          <w:color w:val="auto"/>
        </w:rPr>
      </w:pPr>
    </w:p>
    <w:p>
      <w:pPr>
        <w:spacing w:line="480" w:lineRule="auto"/>
        <w:rPr>
          <w:rFonts w:ascii="Times New Roman" w:hAnsi="Times New Roman"/>
          <w:color w:val="auto"/>
        </w:rPr>
      </w:pPr>
      <w:r>
        <w:rPr>
          <w:rFonts w:ascii="Times New Roman" w:hAnsi="Times New Roman"/>
          <w:color w:val="auto"/>
        </w:rPr>
        <w:t>　　　　　　　　　　　　　　投标人：</w:t>
      </w:r>
      <w:r>
        <w:rPr>
          <w:rFonts w:ascii="Times New Roman" w:hAnsi="Times New Roman" w:eastAsia="黑体"/>
          <w:color w:val="auto"/>
          <w:sz w:val="28"/>
          <w:u w:val="single"/>
        </w:rPr>
        <w:t xml:space="preserve">                         </w:t>
      </w:r>
      <w:r>
        <w:rPr>
          <w:rFonts w:ascii="Times New Roman" w:hAnsi="Times New Roman"/>
          <w:color w:val="auto"/>
        </w:rPr>
        <w:t>（盖单位章）</w:t>
      </w:r>
    </w:p>
    <w:p>
      <w:pPr>
        <w:spacing w:line="480" w:lineRule="auto"/>
        <w:ind w:firstLine="2835" w:firstLineChars="1350"/>
        <w:rPr>
          <w:rFonts w:ascii="Times New Roman" w:hAnsi="Times New Roman"/>
          <w:color w:val="auto"/>
        </w:rPr>
      </w:pPr>
      <w:r>
        <w:rPr>
          <w:rFonts w:hint="eastAsia" w:ascii="Times New Roman" w:hAnsi="Times New Roman"/>
          <w:color w:val="auto"/>
        </w:rPr>
        <w:t xml:space="preserve"> </w:t>
      </w:r>
      <w:r>
        <w:rPr>
          <w:rFonts w:ascii="Times New Roman" w:hAnsi="Times New Roman"/>
          <w:color w:val="auto"/>
        </w:rPr>
        <w:t>法定代表人或其委托代理人：</w:t>
      </w:r>
      <w:r>
        <w:rPr>
          <w:rFonts w:ascii="Times New Roman" w:hAnsi="Times New Roman"/>
          <w:color w:val="auto"/>
          <w:u w:val="single"/>
        </w:rPr>
        <w:t xml:space="preserve">        </w:t>
      </w:r>
      <w:r>
        <w:rPr>
          <w:rFonts w:ascii="Times New Roman" w:hAnsi="Times New Roman"/>
          <w:color w:val="auto"/>
        </w:rPr>
        <w:t>（签字）</w:t>
      </w:r>
    </w:p>
    <w:p>
      <w:pPr>
        <w:spacing w:line="440" w:lineRule="exact"/>
        <w:rPr>
          <w:rFonts w:ascii="Times New Roman" w:hAnsi="Times New Roman"/>
          <w:color w:val="auto"/>
        </w:rPr>
      </w:pPr>
      <w:r>
        <w:rPr>
          <w:rFonts w:ascii="Times New Roman" w:hAnsi="Times New Roman"/>
          <w:color w:val="auto"/>
        </w:rPr>
        <w:t>　　　　　　　　　　　　　　　</w:t>
      </w:r>
    </w:p>
    <w:p>
      <w:pPr>
        <w:spacing w:line="440" w:lineRule="exact"/>
        <w:jc w:val="right"/>
        <w:rPr>
          <w:rFonts w:ascii="Times New Roman" w:hAnsi="Times New Roman"/>
          <w:color w:val="auto"/>
        </w:rPr>
      </w:pPr>
      <w:r>
        <w:rPr>
          <w:rFonts w:ascii="Times New Roman" w:hAnsi="Times New Roman"/>
          <w:color w:val="auto"/>
        </w:rPr>
        <w:t>　　　　　　　　　　　　　　　</w:t>
      </w:r>
      <w:r>
        <w:rPr>
          <w:rFonts w:ascii="Times New Roman" w:hAnsi="Times New Roman"/>
          <w:color w:val="auto"/>
          <w:u w:val="single"/>
        </w:rPr>
        <w:t xml:space="preserve">        </w:t>
      </w:r>
      <w:r>
        <w:rPr>
          <w:rFonts w:ascii="Times New Roman" w:hAnsi="Times New Roman"/>
          <w:color w:val="auto"/>
        </w:rPr>
        <w:t>年</w:t>
      </w:r>
      <w:bookmarkStart w:id="111" w:name="_Toc247527606"/>
      <w:bookmarkStart w:id="112" w:name="_Toc369531571"/>
      <w:bookmarkStart w:id="113" w:name="_Toc247514005"/>
      <w:bookmarkStart w:id="114" w:name="_Toc300835002"/>
      <w:bookmarkStart w:id="115" w:name="_Toc384308266"/>
      <w:bookmarkStart w:id="116" w:name="_Toc361508640"/>
      <w:bookmarkStart w:id="117" w:name="_Toc352691527"/>
      <w:bookmarkStart w:id="118" w:name="_Toc152045581"/>
      <w:bookmarkStart w:id="119" w:name="_Toc152042358"/>
      <w:bookmarkStart w:id="120" w:name="_Toc15139"/>
      <w:bookmarkStart w:id="121" w:name="_Toc144974548"/>
      <w:r>
        <w:rPr>
          <w:rFonts w:ascii="Times New Roman" w:hAnsi="Times New Roman"/>
          <w:color w:val="auto"/>
          <w:u w:val="single"/>
        </w:rPr>
        <w:t xml:space="preserve">        </w:t>
      </w:r>
      <w:r>
        <w:rPr>
          <w:rFonts w:ascii="Times New Roman" w:hAnsi="Times New Roman"/>
          <w:color w:val="auto"/>
        </w:rPr>
        <w:t>月</w:t>
      </w:r>
      <w:r>
        <w:rPr>
          <w:rFonts w:ascii="Times New Roman" w:hAnsi="Times New Roman"/>
          <w:color w:val="auto"/>
          <w:u w:val="single"/>
        </w:rPr>
        <w:t xml:space="preserve">        </w:t>
      </w:r>
      <w:r>
        <w:rPr>
          <w:rFonts w:ascii="Times New Roman" w:hAnsi="Times New Roman"/>
          <w:color w:val="auto"/>
        </w:rPr>
        <w:t>日</w:t>
      </w:r>
    </w:p>
    <w:bookmarkEnd w:id="111"/>
    <w:bookmarkEnd w:id="112"/>
    <w:bookmarkEnd w:id="113"/>
    <w:bookmarkEnd w:id="114"/>
    <w:bookmarkEnd w:id="115"/>
    <w:bookmarkEnd w:id="116"/>
    <w:bookmarkEnd w:id="117"/>
    <w:bookmarkEnd w:id="118"/>
    <w:bookmarkEnd w:id="119"/>
    <w:bookmarkEnd w:id="120"/>
    <w:bookmarkEnd w:id="121"/>
    <w:p>
      <w:pPr>
        <w:spacing w:line="400" w:lineRule="exact"/>
        <w:rPr>
          <w:rFonts w:ascii="Times New Roman" w:hAnsi="Times New Roman"/>
          <w:color w:val="auto"/>
        </w:rPr>
      </w:pPr>
    </w:p>
    <w:p>
      <w:pPr>
        <w:spacing w:line="400" w:lineRule="exact"/>
        <w:rPr>
          <w:rFonts w:ascii="Times New Roman" w:hAnsi="Times New Roman"/>
          <w:color w:val="auto"/>
        </w:rPr>
      </w:pPr>
      <w:r>
        <w:rPr>
          <w:rFonts w:ascii="Times New Roman" w:hAnsi="Times New Roman"/>
          <w:color w:val="auto"/>
        </w:rPr>
        <w:br w:type="page"/>
      </w:r>
    </w:p>
    <w:p>
      <w:pPr>
        <w:pStyle w:val="6"/>
        <w:ind w:firstLine="137"/>
        <w:rPr>
          <w:rFonts w:ascii="Times New Roman" w:hAnsi="Times New Roman"/>
          <w:color w:val="auto"/>
        </w:rPr>
      </w:pPr>
      <w:bookmarkStart w:id="122" w:name="_Toc492300818"/>
      <w:r>
        <w:rPr>
          <w:rFonts w:hint="eastAsia" w:ascii="Times New Roman" w:hAnsi="Times New Roman"/>
          <w:color w:val="auto"/>
        </w:rPr>
        <w:t>附件四：中标通知书</w:t>
      </w:r>
      <w:bookmarkEnd w:id="122"/>
    </w:p>
    <w:p>
      <w:pPr>
        <w:spacing w:line="400" w:lineRule="exact"/>
        <w:rPr>
          <w:rFonts w:ascii="Times New Roman" w:hAnsi="Times New Roman"/>
          <w:color w:val="auto"/>
        </w:rPr>
      </w:pPr>
    </w:p>
    <w:p>
      <w:pPr>
        <w:spacing w:line="400" w:lineRule="exact"/>
        <w:jc w:val="center"/>
        <w:rPr>
          <w:rFonts w:ascii="Times New Roman" w:hAnsi="Times New Roman" w:eastAsia="黑体"/>
          <w:color w:val="auto"/>
          <w:sz w:val="28"/>
        </w:rPr>
      </w:pPr>
      <w:r>
        <w:rPr>
          <w:rFonts w:ascii="Times New Roman" w:hAnsi="Times New Roman" w:eastAsia="黑体"/>
          <w:color w:val="auto"/>
          <w:sz w:val="28"/>
        </w:rPr>
        <w:t>中标通知书</w:t>
      </w:r>
    </w:p>
    <w:p>
      <w:pPr>
        <w:spacing w:line="400" w:lineRule="exact"/>
        <w:rPr>
          <w:rFonts w:ascii="Times New Roman" w:hAnsi="Times New Roman"/>
          <w:color w:val="auto"/>
        </w:rPr>
      </w:pPr>
    </w:p>
    <w:p>
      <w:pPr>
        <w:spacing w:line="440" w:lineRule="exact"/>
        <w:rPr>
          <w:rFonts w:ascii="Times New Roman" w:hAnsi="Times New Roman"/>
          <w:color w:val="auto"/>
        </w:rPr>
      </w:pPr>
      <w:r>
        <w:rPr>
          <w:rFonts w:ascii="Times New Roman" w:hAnsi="Times New Roman"/>
          <w:color w:val="auto"/>
          <w:u w:val="single"/>
        </w:rPr>
        <w:t xml:space="preserve">                        </w:t>
      </w:r>
      <w:r>
        <w:rPr>
          <w:rFonts w:ascii="Times New Roman" w:hAnsi="Times New Roman"/>
          <w:color w:val="auto"/>
        </w:rPr>
        <w:t>（中标人名称）：</w:t>
      </w:r>
    </w:p>
    <w:p>
      <w:pPr>
        <w:spacing w:line="440" w:lineRule="exact"/>
        <w:rPr>
          <w:rFonts w:ascii="Times New Roman" w:hAnsi="Times New Roman"/>
          <w:color w:val="auto"/>
        </w:rPr>
      </w:pPr>
    </w:p>
    <w:p>
      <w:pPr>
        <w:spacing w:line="440" w:lineRule="exact"/>
        <w:rPr>
          <w:rFonts w:ascii="Times New Roman" w:hAnsi="Times New Roman"/>
          <w:color w:val="auto"/>
        </w:rPr>
      </w:pPr>
      <w:r>
        <w:rPr>
          <w:rFonts w:ascii="Times New Roman" w:hAnsi="Times New Roman"/>
          <w:color w:val="auto"/>
        </w:rPr>
        <w:t>　　你方于</w:t>
      </w:r>
      <w:r>
        <w:rPr>
          <w:rFonts w:ascii="Times New Roman" w:hAnsi="Times New Roman"/>
          <w:color w:val="auto"/>
          <w:u w:val="single"/>
        </w:rPr>
        <w:t xml:space="preserve">                </w:t>
      </w:r>
      <w:r>
        <w:rPr>
          <w:rFonts w:ascii="Times New Roman" w:hAnsi="Times New Roman"/>
          <w:color w:val="auto"/>
        </w:rPr>
        <w:t>（投标日期）所递交的</w:t>
      </w:r>
      <w:r>
        <w:rPr>
          <w:rFonts w:ascii="Times New Roman" w:hAnsi="Times New Roman"/>
          <w:color w:val="auto"/>
          <w:u w:val="single"/>
        </w:rPr>
        <w:t xml:space="preserve">                 </w:t>
      </w:r>
      <w:r>
        <w:rPr>
          <w:rFonts w:ascii="Times New Roman" w:hAnsi="Times New Roman"/>
          <w:color w:val="auto"/>
        </w:rPr>
        <w:t>（项目名称）勘察招标的投标文件已被我方接受，被确定为中标人。</w:t>
      </w:r>
    </w:p>
    <w:p>
      <w:pPr>
        <w:spacing w:line="440" w:lineRule="exact"/>
        <w:ind w:firstLine="405"/>
        <w:rPr>
          <w:rFonts w:ascii="Times New Roman" w:hAnsi="Times New Roman"/>
          <w:color w:val="auto"/>
        </w:rPr>
      </w:pPr>
      <w:r>
        <w:rPr>
          <w:rFonts w:ascii="Times New Roman" w:hAnsi="Times New Roman"/>
          <w:color w:val="auto"/>
        </w:rPr>
        <w:t>中标价：</w:t>
      </w:r>
      <w:r>
        <w:rPr>
          <w:rFonts w:ascii="Times New Roman" w:hAnsi="Times New Roman"/>
          <w:color w:val="auto"/>
          <w:u w:val="single"/>
        </w:rPr>
        <w:t xml:space="preserve">                </w:t>
      </w:r>
      <w:r>
        <w:rPr>
          <w:rFonts w:ascii="Times New Roman" w:hAnsi="Times New Roman"/>
          <w:color w:val="auto"/>
        </w:rPr>
        <w:t>元。</w:t>
      </w:r>
    </w:p>
    <w:p>
      <w:pPr>
        <w:spacing w:line="440" w:lineRule="exact"/>
        <w:ind w:firstLine="405"/>
        <w:rPr>
          <w:rFonts w:ascii="Times New Roman" w:hAnsi="Times New Roman"/>
          <w:color w:val="auto"/>
        </w:rPr>
      </w:pPr>
      <w:r>
        <w:rPr>
          <w:rFonts w:ascii="Times New Roman" w:hAnsi="Times New Roman"/>
          <w:color w:val="auto"/>
        </w:rPr>
        <w:t>勘察服务期限：</w:t>
      </w:r>
      <w:r>
        <w:rPr>
          <w:rFonts w:ascii="Times New Roman" w:hAnsi="Times New Roman"/>
          <w:color w:val="auto"/>
          <w:u w:val="single"/>
        </w:rPr>
        <w:t xml:space="preserve">      </w:t>
      </w:r>
      <w:r>
        <w:rPr>
          <w:rFonts w:ascii="Times New Roman" w:hAnsi="Times New Roman"/>
          <w:color w:val="auto"/>
        </w:rPr>
        <w:t>日历天。</w:t>
      </w:r>
    </w:p>
    <w:p>
      <w:pPr>
        <w:spacing w:line="440" w:lineRule="exact"/>
        <w:ind w:firstLine="405"/>
        <w:rPr>
          <w:rFonts w:ascii="Times New Roman" w:hAnsi="Times New Roman"/>
          <w:color w:val="auto"/>
        </w:rPr>
      </w:pPr>
      <w:r>
        <w:rPr>
          <w:rFonts w:ascii="Times New Roman" w:hAnsi="Times New Roman"/>
          <w:color w:val="auto"/>
        </w:rPr>
        <w:t>项目负责人：</w:t>
      </w:r>
      <w:r>
        <w:rPr>
          <w:rFonts w:ascii="Times New Roman" w:hAnsi="Times New Roman"/>
          <w:color w:val="auto"/>
          <w:u w:val="single"/>
        </w:rPr>
        <w:t xml:space="preserve">                 </w:t>
      </w:r>
      <w:r>
        <w:rPr>
          <w:rFonts w:ascii="Times New Roman" w:hAnsi="Times New Roman"/>
          <w:color w:val="auto"/>
        </w:rPr>
        <w:t>（姓名）。</w:t>
      </w:r>
    </w:p>
    <w:p>
      <w:pPr>
        <w:spacing w:line="440" w:lineRule="exact"/>
        <w:ind w:firstLine="420"/>
        <w:rPr>
          <w:rFonts w:ascii="Times New Roman" w:hAnsi="Times New Roman"/>
          <w:color w:val="auto"/>
        </w:rPr>
      </w:pPr>
      <w:r>
        <w:rPr>
          <w:rFonts w:ascii="Times New Roman" w:hAnsi="Times New Roman"/>
          <w:color w:val="auto"/>
        </w:rPr>
        <w:t>请你方在接到本通知书后的</w:t>
      </w:r>
      <w:r>
        <w:rPr>
          <w:rFonts w:ascii="Times New Roman" w:hAnsi="Times New Roman"/>
          <w:color w:val="auto"/>
          <w:u w:val="single"/>
        </w:rPr>
        <w:t xml:space="preserve">        </w:t>
      </w:r>
      <w:r>
        <w:rPr>
          <w:rFonts w:ascii="Times New Roman" w:hAnsi="Times New Roman"/>
          <w:color w:val="auto"/>
        </w:rPr>
        <w:t>日内到</w:t>
      </w:r>
      <w:r>
        <w:rPr>
          <w:rFonts w:ascii="Times New Roman" w:hAnsi="Times New Roman"/>
          <w:color w:val="auto"/>
          <w:u w:val="single"/>
        </w:rPr>
        <w:t xml:space="preserve">                   </w:t>
      </w:r>
      <w:r>
        <w:rPr>
          <w:rFonts w:ascii="Times New Roman" w:hAnsi="Times New Roman"/>
          <w:color w:val="auto"/>
        </w:rPr>
        <w:t>（指定地点）与我方签订勘察合同，并按招标文件第二章“投标人须知”第7.6款规定向我方提交履约保证金。</w:t>
      </w:r>
    </w:p>
    <w:p>
      <w:pPr>
        <w:spacing w:line="440" w:lineRule="exact"/>
        <w:rPr>
          <w:rFonts w:ascii="Times New Roman" w:hAnsi="Times New Roman"/>
          <w:color w:val="auto"/>
        </w:rPr>
      </w:pPr>
      <w:r>
        <w:rPr>
          <w:rFonts w:ascii="Times New Roman" w:hAnsi="Times New Roman"/>
          <w:color w:val="auto"/>
        </w:rPr>
        <w:t>　　特此通知。</w:t>
      </w:r>
    </w:p>
    <w:p>
      <w:pPr>
        <w:spacing w:line="440" w:lineRule="exact"/>
        <w:rPr>
          <w:rFonts w:ascii="Times New Roman" w:hAnsi="Times New Roman"/>
          <w:color w:val="auto"/>
        </w:rPr>
      </w:pPr>
    </w:p>
    <w:p>
      <w:pPr>
        <w:spacing w:line="540" w:lineRule="exact"/>
        <w:ind w:firstLine="3238" w:firstLineChars="1542"/>
        <w:rPr>
          <w:rFonts w:ascii="Times New Roman" w:hAnsi="Times New Roman"/>
          <w:color w:val="auto"/>
        </w:rPr>
      </w:pPr>
      <w:r>
        <w:rPr>
          <w:rFonts w:ascii="Times New Roman" w:hAnsi="Times New Roman"/>
          <w:color w:val="auto"/>
        </w:rPr>
        <w:t>招标人：</w:t>
      </w:r>
      <w:r>
        <w:rPr>
          <w:rFonts w:ascii="Times New Roman" w:hAnsi="Times New Roman"/>
          <w:color w:val="auto"/>
          <w:u w:val="single"/>
        </w:rPr>
        <w:t xml:space="preserve">                             </w:t>
      </w:r>
      <w:r>
        <w:rPr>
          <w:rFonts w:ascii="Times New Roman" w:hAnsi="Times New Roman"/>
          <w:color w:val="auto"/>
        </w:rPr>
        <w:t>（盖单位章）</w:t>
      </w:r>
      <w:bookmarkStart w:id="123" w:name="_Toc384308267"/>
      <w:bookmarkStart w:id="124" w:name="_Toc152042359"/>
      <w:bookmarkStart w:id="125" w:name="_Toc25205"/>
      <w:bookmarkStart w:id="126" w:name="_Toc300835003"/>
      <w:bookmarkStart w:id="127" w:name="_Toc361508641"/>
      <w:bookmarkStart w:id="128" w:name="_Toc247514006"/>
      <w:bookmarkStart w:id="129" w:name="_Toc352691528"/>
      <w:bookmarkStart w:id="130" w:name="_Toc152045582"/>
      <w:bookmarkStart w:id="131" w:name="_Toc144974549"/>
      <w:bookmarkStart w:id="132" w:name="_Toc247527607"/>
      <w:bookmarkStart w:id="133" w:name="_Toc369531572"/>
    </w:p>
    <w:p>
      <w:pPr>
        <w:spacing w:line="540" w:lineRule="exact"/>
        <w:ind w:firstLine="3238" w:firstLineChars="1542"/>
        <w:rPr>
          <w:rFonts w:ascii="Times New Roman" w:hAnsi="Times New Roman"/>
          <w:color w:val="auto"/>
        </w:rPr>
      </w:pPr>
      <w:r>
        <w:rPr>
          <w:rFonts w:ascii="Times New Roman" w:hAnsi="Times New Roman"/>
          <w:color w:val="auto"/>
        </w:rPr>
        <w:t>法定代表人</w:t>
      </w:r>
      <w:r>
        <w:rPr>
          <w:rFonts w:hint="eastAsia" w:ascii="Times New Roman" w:hAnsi="Times New Roman"/>
          <w:color w:val="auto"/>
        </w:rPr>
        <w:t>：</w:t>
      </w:r>
      <w:r>
        <w:rPr>
          <w:rFonts w:ascii="Times New Roman" w:hAnsi="Times New Roman"/>
          <w:color w:val="auto"/>
          <w:u w:val="single"/>
        </w:rPr>
        <w:t xml:space="preserve">               </w:t>
      </w:r>
      <w:r>
        <w:rPr>
          <w:rFonts w:ascii="Times New Roman" w:hAnsi="Times New Roman"/>
          <w:color w:val="auto"/>
        </w:rPr>
        <w:t>（签字）</w:t>
      </w:r>
    </w:p>
    <w:bookmarkEnd w:id="123"/>
    <w:bookmarkEnd w:id="124"/>
    <w:bookmarkEnd w:id="125"/>
    <w:bookmarkEnd w:id="126"/>
    <w:bookmarkEnd w:id="127"/>
    <w:bookmarkEnd w:id="128"/>
    <w:bookmarkEnd w:id="129"/>
    <w:bookmarkEnd w:id="130"/>
    <w:bookmarkEnd w:id="131"/>
    <w:bookmarkEnd w:id="132"/>
    <w:bookmarkEnd w:id="133"/>
    <w:p>
      <w:pPr>
        <w:spacing w:line="540" w:lineRule="exact"/>
        <w:ind w:firstLine="3863" w:firstLineChars="1840"/>
        <w:jc w:val="center"/>
        <w:rPr>
          <w:rFonts w:ascii="Times New Roman" w:hAnsi="Times New Roman"/>
          <w:color w:val="auto"/>
        </w:rPr>
      </w:pPr>
      <w:r>
        <w:rPr>
          <w:rFonts w:ascii="Times New Roman" w:hAnsi="Times New Roman"/>
          <w:color w:val="auto"/>
          <w:u w:val="single"/>
        </w:rPr>
        <w:t xml:space="preserve">       </w:t>
      </w:r>
      <w:r>
        <w:rPr>
          <w:rFonts w:ascii="Times New Roman" w:hAnsi="Times New Roman"/>
          <w:color w:val="auto"/>
        </w:rPr>
        <w:t>年</w:t>
      </w:r>
      <w:r>
        <w:rPr>
          <w:rFonts w:ascii="Times New Roman" w:hAnsi="Times New Roman"/>
          <w:color w:val="auto"/>
          <w:u w:val="single"/>
        </w:rPr>
        <w:t xml:space="preserve">       </w:t>
      </w:r>
      <w:r>
        <w:rPr>
          <w:rFonts w:ascii="Times New Roman" w:hAnsi="Times New Roman"/>
          <w:color w:val="auto"/>
        </w:rPr>
        <w:t>月</w:t>
      </w:r>
      <w:r>
        <w:rPr>
          <w:rFonts w:ascii="Times New Roman" w:hAnsi="Times New Roman"/>
          <w:color w:val="auto"/>
          <w:u w:val="single"/>
        </w:rPr>
        <w:t xml:space="preserve">       </w:t>
      </w:r>
      <w:r>
        <w:rPr>
          <w:rFonts w:ascii="Times New Roman" w:hAnsi="Times New Roman"/>
          <w:color w:val="auto"/>
        </w:rPr>
        <w:t>日</w:t>
      </w:r>
    </w:p>
    <w:p>
      <w:pPr>
        <w:spacing w:line="400" w:lineRule="exact"/>
        <w:rPr>
          <w:rFonts w:ascii="Times New Roman" w:hAnsi="Times New Roman"/>
          <w:color w:val="auto"/>
        </w:rPr>
      </w:pPr>
    </w:p>
    <w:p>
      <w:pPr>
        <w:spacing w:line="400" w:lineRule="exact"/>
        <w:rPr>
          <w:rFonts w:ascii="Times New Roman" w:hAnsi="Times New Roman"/>
          <w:color w:val="auto"/>
        </w:rPr>
      </w:pPr>
      <w:r>
        <w:rPr>
          <w:rFonts w:ascii="Times New Roman" w:hAnsi="Times New Roman"/>
          <w:color w:val="auto"/>
        </w:rPr>
        <w:br w:type="page"/>
      </w:r>
    </w:p>
    <w:p>
      <w:pPr>
        <w:pStyle w:val="6"/>
        <w:ind w:firstLine="137"/>
        <w:rPr>
          <w:rFonts w:ascii="Times New Roman" w:hAnsi="Times New Roman"/>
          <w:color w:val="auto"/>
        </w:rPr>
      </w:pPr>
      <w:bookmarkStart w:id="134" w:name="_Toc492300819"/>
      <w:r>
        <w:rPr>
          <w:rFonts w:hint="eastAsia" w:ascii="Times New Roman" w:hAnsi="Times New Roman"/>
          <w:color w:val="auto"/>
        </w:rPr>
        <w:t>附件五：中标结果通知书</w:t>
      </w:r>
      <w:bookmarkEnd w:id="134"/>
    </w:p>
    <w:p>
      <w:pPr>
        <w:spacing w:line="400" w:lineRule="exact"/>
        <w:rPr>
          <w:rFonts w:ascii="Times New Roman" w:hAnsi="Times New Roman"/>
          <w:color w:val="auto"/>
        </w:rPr>
      </w:pPr>
    </w:p>
    <w:p>
      <w:pPr>
        <w:spacing w:line="400" w:lineRule="exact"/>
        <w:jc w:val="center"/>
        <w:rPr>
          <w:rFonts w:ascii="Times New Roman" w:hAnsi="Times New Roman" w:eastAsia="黑体"/>
          <w:color w:val="auto"/>
          <w:sz w:val="28"/>
        </w:rPr>
      </w:pPr>
      <w:r>
        <w:rPr>
          <w:rFonts w:ascii="Times New Roman" w:hAnsi="Times New Roman" w:eastAsia="黑体"/>
          <w:color w:val="auto"/>
          <w:sz w:val="28"/>
        </w:rPr>
        <w:t>中标结果通知书</w:t>
      </w:r>
    </w:p>
    <w:p>
      <w:pPr>
        <w:spacing w:line="400" w:lineRule="exact"/>
        <w:rPr>
          <w:rFonts w:ascii="Times New Roman" w:hAnsi="Times New Roman"/>
          <w:color w:val="auto"/>
        </w:rPr>
      </w:pPr>
    </w:p>
    <w:p>
      <w:pPr>
        <w:spacing w:line="440" w:lineRule="exact"/>
        <w:rPr>
          <w:rFonts w:ascii="Times New Roman" w:hAnsi="Times New Roman"/>
          <w:color w:val="auto"/>
        </w:rPr>
      </w:pPr>
      <w:r>
        <w:rPr>
          <w:rFonts w:ascii="Times New Roman" w:hAnsi="Times New Roman"/>
          <w:color w:val="auto"/>
          <w:u w:val="single"/>
        </w:rPr>
        <w:t xml:space="preserve">                     </w:t>
      </w:r>
      <w:r>
        <w:rPr>
          <w:rFonts w:ascii="Times New Roman" w:hAnsi="Times New Roman"/>
          <w:color w:val="auto"/>
        </w:rPr>
        <w:t>（未中标人名称）：</w:t>
      </w:r>
    </w:p>
    <w:p>
      <w:pPr>
        <w:spacing w:line="440" w:lineRule="exact"/>
        <w:rPr>
          <w:rFonts w:ascii="Times New Roman" w:hAnsi="Times New Roman"/>
          <w:color w:val="auto"/>
        </w:rPr>
      </w:pPr>
    </w:p>
    <w:p>
      <w:pPr>
        <w:spacing w:line="440" w:lineRule="exact"/>
        <w:ind w:firstLine="420"/>
        <w:rPr>
          <w:rFonts w:ascii="Times New Roman" w:hAnsi="Times New Roman"/>
          <w:color w:val="auto"/>
        </w:rPr>
      </w:pPr>
      <w:r>
        <w:rPr>
          <w:rFonts w:ascii="Times New Roman" w:hAnsi="Times New Roman"/>
          <w:color w:val="auto"/>
        </w:rPr>
        <w:t>我方已接受</w:t>
      </w:r>
      <w:r>
        <w:rPr>
          <w:rFonts w:ascii="Times New Roman" w:hAnsi="Times New Roman"/>
          <w:color w:val="auto"/>
          <w:u w:val="single"/>
        </w:rPr>
        <w:t xml:space="preserve">          </w:t>
      </w:r>
      <w:r>
        <w:rPr>
          <w:rFonts w:ascii="Times New Roman" w:hAnsi="Times New Roman"/>
          <w:color w:val="auto"/>
        </w:rPr>
        <w:t>（中标人名称）于</w:t>
      </w:r>
      <w:r>
        <w:rPr>
          <w:rFonts w:ascii="Times New Roman" w:hAnsi="Times New Roman"/>
          <w:color w:val="auto"/>
          <w:u w:val="single"/>
        </w:rPr>
        <w:t xml:space="preserve">        </w:t>
      </w:r>
      <w:r>
        <w:rPr>
          <w:rFonts w:ascii="Times New Roman" w:hAnsi="Times New Roman"/>
          <w:color w:val="auto"/>
        </w:rPr>
        <w:t>（投标日期）所递交的</w:t>
      </w:r>
      <w:r>
        <w:rPr>
          <w:rFonts w:ascii="Times New Roman" w:hAnsi="Times New Roman"/>
          <w:color w:val="auto"/>
          <w:u w:val="single"/>
        </w:rPr>
        <w:t xml:space="preserve">               </w:t>
      </w:r>
      <w:r>
        <w:rPr>
          <w:rFonts w:ascii="Times New Roman" w:hAnsi="Times New Roman"/>
          <w:color w:val="auto"/>
        </w:rPr>
        <w:t>（项目名称）勘察招标的投标文件，确定</w:t>
      </w:r>
      <w:r>
        <w:rPr>
          <w:rFonts w:ascii="Times New Roman" w:hAnsi="Times New Roman"/>
          <w:color w:val="auto"/>
          <w:u w:val="single"/>
        </w:rPr>
        <w:t xml:space="preserve">                     </w:t>
      </w:r>
      <w:r>
        <w:rPr>
          <w:rFonts w:ascii="Times New Roman" w:hAnsi="Times New Roman"/>
          <w:color w:val="auto"/>
        </w:rPr>
        <w:t>（中标人名称）为中标人。</w:t>
      </w:r>
    </w:p>
    <w:p>
      <w:pPr>
        <w:spacing w:line="440" w:lineRule="exact"/>
        <w:rPr>
          <w:rFonts w:ascii="Times New Roman" w:hAnsi="Times New Roman"/>
          <w:color w:val="auto"/>
        </w:rPr>
      </w:pPr>
      <w:r>
        <w:rPr>
          <w:rFonts w:ascii="Times New Roman" w:hAnsi="Times New Roman"/>
          <w:color w:val="auto"/>
        </w:rPr>
        <w:t>　　感谢你单位对招标项目的参与！</w:t>
      </w:r>
    </w:p>
    <w:p>
      <w:pPr>
        <w:spacing w:line="440" w:lineRule="exact"/>
        <w:rPr>
          <w:rFonts w:ascii="Times New Roman" w:hAnsi="Times New Roman"/>
          <w:color w:val="auto"/>
        </w:rPr>
      </w:pPr>
    </w:p>
    <w:p>
      <w:pPr>
        <w:spacing w:line="440" w:lineRule="exact"/>
        <w:rPr>
          <w:rFonts w:ascii="Times New Roman" w:hAnsi="Times New Roman"/>
          <w:color w:val="auto"/>
        </w:rPr>
      </w:pPr>
    </w:p>
    <w:p>
      <w:pPr>
        <w:spacing w:line="440" w:lineRule="exact"/>
        <w:rPr>
          <w:rFonts w:ascii="Times New Roman" w:hAnsi="Times New Roman"/>
          <w:color w:val="auto"/>
        </w:rPr>
      </w:pPr>
    </w:p>
    <w:p>
      <w:pPr>
        <w:spacing w:line="440" w:lineRule="exact"/>
        <w:ind w:firstLine="3045" w:firstLineChars="1450"/>
        <w:rPr>
          <w:rFonts w:ascii="Times New Roman" w:hAnsi="Times New Roman"/>
          <w:color w:val="auto"/>
        </w:rPr>
      </w:pPr>
      <w:r>
        <w:rPr>
          <w:rFonts w:ascii="Times New Roman" w:hAnsi="Times New Roman"/>
          <w:color w:val="auto"/>
        </w:rPr>
        <w:t>招标人：</w:t>
      </w:r>
      <w:r>
        <w:rPr>
          <w:rFonts w:ascii="Times New Roman" w:hAnsi="Times New Roman" w:eastAsia="黑体"/>
          <w:color w:val="auto"/>
          <w:sz w:val="28"/>
          <w:u w:val="single"/>
        </w:rPr>
        <w:t xml:space="preserve">               </w:t>
      </w:r>
      <w:r>
        <w:rPr>
          <w:rFonts w:ascii="Times New Roman" w:hAnsi="Times New Roman"/>
          <w:color w:val="auto"/>
        </w:rPr>
        <w:t>（盖单位章）</w:t>
      </w:r>
    </w:p>
    <w:p>
      <w:pPr>
        <w:spacing w:line="440" w:lineRule="exact"/>
        <w:rPr>
          <w:rFonts w:ascii="Times New Roman" w:hAnsi="Times New Roman"/>
          <w:color w:val="auto"/>
        </w:rPr>
      </w:pPr>
    </w:p>
    <w:p>
      <w:pPr>
        <w:spacing w:line="440" w:lineRule="exact"/>
        <w:jc w:val="right"/>
        <w:rPr>
          <w:rFonts w:ascii="Times New Roman" w:hAnsi="Times New Roman"/>
          <w:color w:val="auto"/>
        </w:rPr>
      </w:pPr>
      <w:r>
        <w:rPr>
          <w:rFonts w:ascii="Times New Roman" w:hAnsi="Times New Roman"/>
          <w:color w:val="auto"/>
          <w:u w:val="single"/>
        </w:rPr>
        <w:t xml:space="preserve">      </w:t>
      </w:r>
      <w:r>
        <w:rPr>
          <w:rFonts w:ascii="Times New Roman" w:hAnsi="Times New Roman"/>
          <w:color w:val="auto"/>
        </w:rPr>
        <w:t>年</w:t>
      </w:r>
      <w:r>
        <w:rPr>
          <w:rFonts w:ascii="Times New Roman" w:hAnsi="Times New Roman"/>
          <w:color w:val="auto"/>
          <w:u w:val="single"/>
        </w:rPr>
        <w:t xml:space="preserve">      </w:t>
      </w:r>
      <w:r>
        <w:rPr>
          <w:rFonts w:ascii="Times New Roman" w:hAnsi="Times New Roman"/>
          <w:color w:val="auto"/>
        </w:rPr>
        <w:t>月</w:t>
      </w:r>
      <w:r>
        <w:rPr>
          <w:rFonts w:ascii="Times New Roman" w:hAnsi="Times New Roman"/>
          <w:color w:val="auto"/>
          <w:u w:val="single"/>
        </w:rPr>
        <w:t xml:space="preserve">      </w:t>
      </w:r>
      <w:r>
        <w:rPr>
          <w:rFonts w:ascii="Times New Roman" w:hAnsi="Times New Roman"/>
          <w:color w:val="auto"/>
        </w:rPr>
        <w:t>日</w:t>
      </w:r>
    </w:p>
    <w:p>
      <w:pPr>
        <w:spacing w:line="400" w:lineRule="exact"/>
        <w:rPr>
          <w:rFonts w:ascii="Times New Roman" w:hAnsi="Times New Roman"/>
          <w:color w:val="auto"/>
        </w:rPr>
      </w:pPr>
    </w:p>
    <w:p>
      <w:pPr>
        <w:spacing w:line="400" w:lineRule="exact"/>
        <w:rPr>
          <w:rFonts w:ascii="Times New Roman" w:hAnsi="Times New Roman"/>
          <w:color w:val="auto"/>
        </w:rPr>
      </w:pPr>
      <w:r>
        <w:rPr>
          <w:rFonts w:ascii="Times New Roman" w:hAnsi="Times New Roman"/>
          <w:color w:val="auto"/>
        </w:rPr>
        <w:br w:type="page"/>
      </w:r>
    </w:p>
    <w:p>
      <w:pPr>
        <w:pStyle w:val="6"/>
        <w:ind w:firstLine="137"/>
        <w:rPr>
          <w:rFonts w:ascii="Times New Roman" w:hAnsi="Times New Roman"/>
          <w:color w:val="auto"/>
        </w:rPr>
      </w:pPr>
      <w:bookmarkStart w:id="135" w:name="_Toc492300820"/>
      <w:r>
        <w:rPr>
          <w:rFonts w:hint="eastAsia" w:ascii="Times New Roman" w:hAnsi="Times New Roman"/>
          <w:color w:val="auto"/>
        </w:rPr>
        <w:t>附件六：确认通知</w:t>
      </w:r>
      <w:bookmarkEnd w:id="135"/>
    </w:p>
    <w:p>
      <w:pPr>
        <w:spacing w:line="400" w:lineRule="exact"/>
        <w:rPr>
          <w:rFonts w:ascii="Times New Roman" w:hAnsi="Times New Roman"/>
          <w:color w:val="auto"/>
        </w:rPr>
      </w:pPr>
    </w:p>
    <w:p>
      <w:pPr>
        <w:spacing w:line="400" w:lineRule="exact"/>
        <w:jc w:val="center"/>
        <w:rPr>
          <w:rFonts w:ascii="Times New Roman" w:hAnsi="Times New Roman" w:eastAsia="黑体"/>
          <w:color w:val="auto"/>
          <w:sz w:val="28"/>
        </w:rPr>
      </w:pPr>
      <w:r>
        <w:rPr>
          <w:rFonts w:ascii="Times New Roman" w:hAnsi="Times New Roman" w:eastAsia="黑体"/>
          <w:color w:val="auto"/>
          <w:sz w:val="28"/>
        </w:rPr>
        <w:t>确认通知</w:t>
      </w:r>
    </w:p>
    <w:p>
      <w:pPr>
        <w:spacing w:line="400" w:lineRule="exact"/>
        <w:rPr>
          <w:rFonts w:ascii="Times New Roman" w:hAnsi="Times New Roman"/>
          <w:color w:val="auto"/>
        </w:rPr>
      </w:pPr>
    </w:p>
    <w:p>
      <w:pPr>
        <w:spacing w:line="440" w:lineRule="exact"/>
        <w:rPr>
          <w:rFonts w:ascii="Times New Roman" w:hAnsi="Times New Roman"/>
          <w:color w:val="auto"/>
        </w:rPr>
      </w:pPr>
      <w:r>
        <w:rPr>
          <w:rFonts w:ascii="Times New Roman" w:hAnsi="Times New Roman"/>
          <w:color w:val="auto"/>
          <w:u w:val="single"/>
        </w:rPr>
        <w:t xml:space="preserve">                     </w:t>
      </w:r>
      <w:r>
        <w:rPr>
          <w:rFonts w:ascii="Times New Roman" w:hAnsi="Times New Roman"/>
          <w:color w:val="auto"/>
        </w:rPr>
        <w:t>（招标人名称）：</w:t>
      </w:r>
    </w:p>
    <w:p>
      <w:pPr>
        <w:spacing w:line="440" w:lineRule="exact"/>
        <w:rPr>
          <w:rFonts w:ascii="Times New Roman" w:hAnsi="Times New Roman"/>
          <w:color w:val="auto"/>
        </w:rPr>
      </w:pPr>
      <w:r>
        <w:rPr>
          <w:rFonts w:ascii="Times New Roman" w:hAnsi="Times New Roman"/>
          <w:color w:val="auto"/>
        </w:rPr>
        <w:t>　　</w:t>
      </w:r>
    </w:p>
    <w:p>
      <w:pPr>
        <w:spacing w:line="440" w:lineRule="exact"/>
        <w:ind w:firstLine="420" w:firstLineChars="200"/>
        <w:rPr>
          <w:rFonts w:ascii="Times New Roman" w:hAnsi="Times New Roman"/>
          <w:color w:val="auto"/>
        </w:rPr>
      </w:pPr>
      <w:r>
        <w:rPr>
          <w:rFonts w:ascii="Times New Roman" w:hAnsi="Times New Roman"/>
          <w:color w:val="auto"/>
        </w:rPr>
        <w:t>你方于</w:t>
      </w:r>
      <w:r>
        <w:rPr>
          <w:rFonts w:ascii="Times New Roman" w:hAnsi="Times New Roman"/>
          <w:color w:val="auto"/>
          <w:u w:val="single"/>
        </w:rPr>
        <w:t xml:space="preserve">       </w:t>
      </w:r>
      <w:r>
        <w:rPr>
          <w:rFonts w:ascii="Times New Roman" w:hAnsi="Times New Roman"/>
          <w:color w:val="auto"/>
        </w:rPr>
        <w:t>年</w:t>
      </w:r>
      <w:r>
        <w:rPr>
          <w:rFonts w:ascii="Times New Roman" w:hAnsi="Times New Roman"/>
          <w:color w:val="auto"/>
          <w:u w:val="single"/>
        </w:rPr>
        <w:t xml:space="preserve">       </w:t>
      </w:r>
      <w:r>
        <w:rPr>
          <w:rFonts w:ascii="Times New Roman" w:hAnsi="Times New Roman"/>
          <w:color w:val="auto"/>
        </w:rPr>
        <w:t>月</w:t>
      </w:r>
      <w:r>
        <w:rPr>
          <w:rFonts w:ascii="Times New Roman" w:hAnsi="Times New Roman"/>
          <w:color w:val="auto"/>
          <w:u w:val="single"/>
        </w:rPr>
        <w:t xml:space="preserve">       </w:t>
      </w:r>
      <w:r>
        <w:rPr>
          <w:rFonts w:ascii="Times New Roman" w:hAnsi="Times New Roman"/>
          <w:color w:val="auto"/>
        </w:rPr>
        <w:t>日发出的</w:t>
      </w:r>
      <w:r>
        <w:rPr>
          <w:rFonts w:ascii="Times New Roman" w:hAnsi="Times New Roman"/>
          <w:color w:val="auto"/>
          <w:u w:val="single"/>
        </w:rPr>
        <w:t xml:space="preserve">         </w:t>
      </w:r>
      <w:r>
        <w:rPr>
          <w:rFonts w:ascii="Times New Roman" w:hAnsi="Times New Roman"/>
          <w:color w:val="auto"/>
        </w:rPr>
        <w:t>（项目名称）勘察招标关于</w:t>
      </w:r>
      <w:r>
        <w:rPr>
          <w:rFonts w:ascii="Times New Roman" w:hAnsi="Times New Roman"/>
          <w:color w:val="auto"/>
          <w:u w:val="single"/>
        </w:rPr>
        <w:t>招标文件的澄清/修改</w:t>
      </w:r>
      <w:r>
        <w:rPr>
          <w:rFonts w:ascii="Times New Roman" w:hAnsi="Times New Roman"/>
          <w:color w:val="auto"/>
        </w:rPr>
        <w:t>的通知，我方已于</w:t>
      </w:r>
      <w:r>
        <w:rPr>
          <w:rFonts w:ascii="Times New Roman" w:hAnsi="Times New Roman"/>
          <w:color w:val="auto"/>
          <w:u w:val="single"/>
        </w:rPr>
        <w:t xml:space="preserve">       </w:t>
      </w:r>
      <w:r>
        <w:rPr>
          <w:rFonts w:ascii="Times New Roman" w:hAnsi="Times New Roman"/>
          <w:color w:val="auto"/>
        </w:rPr>
        <w:t>年</w:t>
      </w:r>
      <w:r>
        <w:rPr>
          <w:rFonts w:ascii="Times New Roman" w:hAnsi="Times New Roman"/>
          <w:color w:val="auto"/>
          <w:u w:val="single"/>
        </w:rPr>
        <w:t xml:space="preserve">       </w:t>
      </w:r>
      <w:r>
        <w:rPr>
          <w:rFonts w:ascii="Times New Roman" w:hAnsi="Times New Roman"/>
          <w:color w:val="auto"/>
        </w:rPr>
        <w:t>月</w:t>
      </w:r>
      <w:r>
        <w:rPr>
          <w:rFonts w:ascii="Times New Roman" w:hAnsi="Times New Roman"/>
          <w:color w:val="auto"/>
          <w:u w:val="single"/>
        </w:rPr>
        <w:t xml:space="preserve">       </w:t>
      </w:r>
      <w:r>
        <w:rPr>
          <w:rFonts w:ascii="Times New Roman" w:hAnsi="Times New Roman"/>
          <w:color w:val="auto"/>
        </w:rPr>
        <w:t>日收到。</w:t>
      </w:r>
    </w:p>
    <w:p>
      <w:pPr>
        <w:spacing w:line="440" w:lineRule="exact"/>
        <w:rPr>
          <w:rFonts w:ascii="Times New Roman" w:hAnsi="Times New Roman"/>
          <w:color w:val="auto"/>
        </w:rPr>
      </w:pPr>
      <w:r>
        <w:rPr>
          <w:rFonts w:ascii="Times New Roman" w:hAnsi="Times New Roman"/>
          <w:color w:val="auto"/>
        </w:rPr>
        <w:t>　　特此确认。</w:t>
      </w:r>
    </w:p>
    <w:p>
      <w:pPr>
        <w:spacing w:line="440" w:lineRule="exact"/>
        <w:rPr>
          <w:rFonts w:ascii="Times New Roman" w:hAnsi="Times New Roman"/>
          <w:color w:val="auto"/>
        </w:rPr>
      </w:pPr>
    </w:p>
    <w:p>
      <w:pPr>
        <w:spacing w:line="440" w:lineRule="exact"/>
        <w:rPr>
          <w:rFonts w:ascii="Times New Roman" w:hAnsi="Times New Roman"/>
          <w:color w:val="auto"/>
        </w:rPr>
      </w:pPr>
    </w:p>
    <w:p>
      <w:pPr>
        <w:spacing w:line="480" w:lineRule="auto"/>
        <w:ind w:firstLine="2415" w:firstLineChars="1150"/>
        <w:jc w:val="left"/>
        <w:rPr>
          <w:rFonts w:ascii="Times New Roman" w:hAnsi="Times New Roman"/>
          <w:color w:val="auto"/>
        </w:rPr>
      </w:pPr>
      <w:r>
        <w:rPr>
          <w:rFonts w:ascii="Times New Roman" w:hAnsi="Times New Roman"/>
          <w:color w:val="auto"/>
        </w:rPr>
        <w:t>投标人：</w:t>
      </w:r>
      <w:r>
        <w:rPr>
          <w:rFonts w:ascii="Times New Roman" w:hAnsi="Times New Roman" w:eastAsia="黑体"/>
          <w:color w:val="auto"/>
          <w:sz w:val="28"/>
          <w:u w:val="single"/>
        </w:rPr>
        <w:t xml:space="preserve">                           </w:t>
      </w:r>
      <w:r>
        <w:rPr>
          <w:rFonts w:ascii="Times New Roman" w:hAnsi="Times New Roman"/>
          <w:color w:val="auto"/>
        </w:rPr>
        <w:t>（盖单位章）</w:t>
      </w:r>
    </w:p>
    <w:p>
      <w:pPr>
        <w:spacing w:line="480" w:lineRule="auto"/>
        <w:ind w:firstLine="2415" w:firstLineChars="1150"/>
        <w:jc w:val="left"/>
        <w:rPr>
          <w:rFonts w:ascii="Times New Roman" w:hAnsi="Times New Roman"/>
          <w:color w:val="auto"/>
        </w:rPr>
      </w:pPr>
      <w:r>
        <w:rPr>
          <w:rFonts w:ascii="Times New Roman" w:hAnsi="Times New Roman"/>
          <w:color w:val="auto"/>
        </w:rPr>
        <w:t>法定代表人或委托代理人：</w:t>
      </w:r>
      <w:r>
        <w:rPr>
          <w:rFonts w:ascii="Times New Roman" w:hAnsi="Times New Roman" w:eastAsia="黑体"/>
          <w:color w:val="auto"/>
          <w:sz w:val="28"/>
          <w:u w:val="single"/>
        </w:rPr>
        <w:t xml:space="preserve">      </w:t>
      </w:r>
      <w:r>
        <w:rPr>
          <w:rFonts w:ascii="Times New Roman" w:hAnsi="Times New Roman"/>
          <w:color w:val="auto"/>
        </w:rPr>
        <w:t>（签字）</w:t>
      </w:r>
    </w:p>
    <w:p>
      <w:pPr>
        <w:spacing w:line="440" w:lineRule="exact"/>
        <w:rPr>
          <w:rFonts w:ascii="Times New Roman" w:hAnsi="Times New Roman"/>
          <w:color w:val="auto"/>
        </w:rPr>
      </w:pPr>
    </w:p>
    <w:p>
      <w:pPr>
        <w:spacing w:line="440" w:lineRule="exact"/>
        <w:ind w:firstLine="105" w:firstLineChars="50"/>
        <w:jc w:val="right"/>
        <w:rPr>
          <w:rFonts w:ascii="Times New Roman" w:hAnsi="Times New Roman"/>
          <w:color w:val="auto"/>
        </w:rPr>
      </w:pPr>
      <w:r>
        <w:rPr>
          <w:rFonts w:ascii="Times New Roman" w:hAnsi="Times New Roman"/>
          <w:color w:val="auto"/>
          <w:u w:val="single"/>
        </w:rPr>
        <w:t xml:space="preserve">       </w:t>
      </w:r>
      <w:r>
        <w:rPr>
          <w:rFonts w:ascii="Times New Roman" w:hAnsi="Times New Roman"/>
          <w:color w:val="auto"/>
        </w:rPr>
        <w:t>年</w:t>
      </w:r>
      <w:r>
        <w:rPr>
          <w:rFonts w:ascii="Times New Roman" w:hAnsi="Times New Roman"/>
          <w:color w:val="auto"/>
          <w:u w:val="single"/>
        </w:rPr>
        <w:t xml:space="preserve">       </w:t>
      </w:r>
      <w:r>
        <w:rPr>
          <w:rFonts w:ascii="Times New Roman" w:hAnsi="Times New Roman"/>
          <w:color w:val="auto"/>
        </w:rPr>
        <w:t>月</w:t>
      </w:r>
      <w:r>
        <w:rPr>
          <w:rFonts w:ascii="Times New Roman" w:hAnsi="Times New Roman"/>
          <w:color w:val="auto"/>
          <w:u w:val="single"/>
        </w:rPr>
        <w:t xml:space="preserve">       </w:t>
      </w:r>
      <w:r>
        <w:rPr>
          <w:rFonts w:ascii="Times New Roman" w:hAnsi="Times New Roman"/>
          <w:color w:val="auto"/>
        </w:rPr>
        <w:t>日</w:t>
      </w:r>
    </w:p>
    <w:p>
      <w:pPr>
        <w:rPr>
          <w:rFonts w:ascii="Times New Roman" w:hAnsi="Times New Roman"/>
          <w:color w:val="auto"/>
        </w:rPr>
      </w:pPr>
    </w:p>
    <w:p>
      <w:pPr>
        <w:pStyle w:val="4"/>
        <w:jc w:val="center"/>
        <w:rPr>
          <w:color w:val="auto"/>
        </w:rPr>
      </w:pPr>
      <w:r>
        <w:rPr>
          <w:color w:val="auto"/>
        </w:rPr>
        <w:br w:type="page"/>
      </w:r>
      <w:bookmarkStart w:id="136" w:name="_Toc492300821"/>
      <w:r>
        <w:rPr>
          <w:rFonts w:hint="eastAsia"/>
          <w:color w:val="auto"/>
        </w:rPr>
        <w:t>第三章评标办法（综合评估法）</w:t>
      </w:r>
      <w:bookmarkEnd w:id="136"/>
    </w:p>
    <w:p>
      <w:pPr>
        <w:spacing w:line="600" w:lineRule="exact"/>
        <w:jc w:val="both"/>
        <w:rPr>
          <w:rFonts w:ascii="新宋体" w:hAnsi="新宋体" w:eastAsia="新宋体"/>
          <w:color w:val="auto"/>
          <w:sz w:val="24"/>
          <w:szCs w:val="24"/>
        </w:rPr>
      </w:pPr>
      <w:bookmarkStart w:id="137" w:name="_Toc492300822"/>
      <w:r>
        <w:rPr>
          <w:rFonts w:hint="eastAsia" w:ascii="宋体" w:hAnsi="宋体" w:eastAsia="宋体"/>
          <w:color w:val="auto"/>
          <w:spacing w:val="2"/>
          <w:sz w:val="24"/>
          <w:szCs w:val="24"/>
        </w:rPr>
        <w:t>依据：九大部委联合出台的中华人民共和国标准</w:t>
      </w:r>
      <w:r>
        <w:rPr>
          <w:rFonts w:hint="eastAsia" w:ascii="宋体" w:hAnsi="宋体"/>
          <w:color w:val="auto"/>
          <w:spacing w:val="2"/>
          <w:sz w:val="24"/>
          <w:szCs w:val="24"/>
          <w:lang w:eastAsia="zh-CN"/>
        </w:rPr>
        <w:t>勘察</w:t>
      </w:r>
      <w:r>
        <w:rPr>
          <w:rFonts w:hint="eastAsia" w:ascii="宋体" w:hAnsi="宋体" w:eastAsia="宋体"/>
          <w:color w:val="auto"/>
          <w:spacing w:val="2"/>
          <w:sz w:val="24"/>
          <w:szCs w:val="24"/>
        </w:rPr>
        <w:t>招标文件</w:t>
      </w:r>
    </w:p>
    <w:p>
      <w:pPr>
        <w:pStyle w:val="5"/>
        <w:rPr>
          <w:rFonts w:ascii="Times New Roman" w:hAnsi="Times New Roman"/>
          <w:color w:val="auto"/>
        </w:rPr>
      </w:pPr>
      <w:r>
        <w:rPr>
          <w:rFonts w:hint="eastAsia" w:ascii="Times New Roman" w:hAnsi="Times New Roman"/>
          <w:color w:val="auto"/>
        </w:rPr>
        <w:t>评标办法前附表</w:t>
      </w:r>
      <w:bookmarkEnd w:id="137"/>
    </w:p>
    <w:tbl>
      <w:tblPr>
        <w:tblStyle w:val="38"/>
        <w:tblW w:w="8650" w:type="dxa"/>
        <w:jc w:val="center"/>
        <w:tblInd w:w="-5" w:type="dxa"/>
        <w:tblLayout w:type="fixed"/>
        <w:tblCellMar>
          <w:top w:w="0" w:type="dxa"/>
          <w:left w:w="0" w:type="dxa"/>
          <w:bottom w:w="0" w:type="dxa"/>
          <w:right w:w="0" w:type="dxa"/>
        </w:tblCellMar>
      </w:tblPr>
      <w:tblGrid>
        <w:gridCol w:w="776"/>
        <w:gridCol w:w="967"/>
        <w:gridCol w:w="2135"/>
        <w:gridCol w:w="4772"/>
      </w:tblGrid>
      <w:tr>
        <w:tblPrEx>
          <w:tblLayout w:type="fixed"/>
          <w:tblCellMar>
            <w:top w:w="0" w:type="dxa"/>
            <w:left w:w="0" w:type="dxa"/>
            <w:bottom w:w="0" w:type="dxa"/>
            <w:right w:w="0" w:type="dxa"/>
          </w:tblCellMar>
        </w:tblPrEx>
        <w:trPr>
          <w:trHeight w:val="585" w:hRule="atLeast"/>
          <w:jc w:val="center"/>
        </w:trPr>
        <w:tc>
          <w:tcPr>
            <w:tcW w:w="1743" w:type="dxa"/>
            <w:gridSpan w:val="2"/>
            <w:tcBorders>
              <w:top w:val="single" w:color="000000" w:sz="4" w:space="0"/>
              <w:left w:val="single" w:color="000000" w:sz="4" w:space="0"/>
              <w:bottom w:val="single" w:color="000000" w:sz="4" w:space="0"/>
              <w:right w:val="single" w:color="000000" w:sz="4" w:space="0"/>
            </w:tcBorders>
            <w:vAlign w:val="center"/>
          </w:tcPr>
          <w:p>
            <w:pPr>
              <w:pStyle w:val="93"/>
              <w:spacing w:line="400" w:lineRule="exact"/>
              <w:ind w:right="672" w:firstLine="0" w:firstLineChars="0"/>
              <w:jc w:val="center"/>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 xml:space="preserve">     条款号</w:t>
            </w:r>
          </w:p>
        </w:tc>
        <w:tc>
          <w:tcPr>
            <w:tcW w:w="2135" w:type="dxa"/>
            <w:tcBorders>
              <w:top w:val="single" w:color="000000" w:sz="4" w:space="0"/>
              <w:left w:val="single" w:color="000000" w:sz="4" w:space="0"/>
              <w:bottom w:val="single" w:color="000000" w:sz="4" w:space="0"/>
              <w:right w:val="single" w:color="000000" w:sz="4" w:space="0"/>
            </w:tcBorders>
            <w:vAlign w:val="center"/>
          </w:tcPr>
          <w:p>
            <w:pPr>
              <w:pStyle w:val="93"/>
              <w:spacing w:line="400" w:lineRule="exact"/>
              <w:ind w:firstLine="0" w:firstLineChars="0"/>
              <w:jc w:val="center"/>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评审因素</w:t>
            </w:r>
          </w:p>
        </w:tc>
        <w:tc>
          <w:tcPr>
            <w:tcW w:w="4772" w:type="dxa"/>
            <w:tcBorders>
              <w:top w:val="single" w:color="000000" w:sz="4" w:space="0"/>
              <w:left w:val="single" w:color="000000" w:sz="4" w:space="0"/>
              <w:bottom w:val="single" w:color="000000" w:sz="4" w:space="0"/>
              <w:right w:val="single" w:color="000000" w:sz="4" w:space="0"/>
            </w:tcBorders>
            <w:vAlign w:val="center"/>
          </w:tcPr>
          <w:p>
            <w:pPr>
              <w:pStyle w:val="93"/>
              <w:spacing w:line="400" w:lineRule="exact"/>
              <w:ind w:right="1685" w:firstLine="0" w:firstLineChars="0"/>
              <w:jc w:val="center"/>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评审标准</w:t>
            </w:r>
          </w:p>
        </w:tc>
      </w:tr>
      <w:tr>
        <w:tblPrEx>
          <w:tblLayout w:type="fixed"/>
          <w:tblCellMar>
            <w:top w:w="0" w:type="dxa"/>
            <w:left w:w="0" w:type="dxa"/>
            <w:bottom w:w="0" w:type="dxa"/>
            <w:right w:w="0" w:type="dxa"/>
          </w:tblCellMar>
        </w:tblPrEx>
        <w:trPr>
          <w:trHeight w:val="565" w:hRule="atLeast"/>
          <w:jc w:val="center"/>
        </w:trPr>
        <w:tc>
          <w:tcPr>
            <w:tcW w:w="776" w:type="dxa"/>
            <w:vMerge w:val="restart"/>
            <w:tcBorders>
              <w:top w:val="single" w:color="000000" w:sz="4" w:space="0"/>
              <w:left w:val="single" w:color="000000" w:sz="4" w:space="0"/>
              <w:right w:val="single" w:color="000000" w:sz="4" w:space="0"/>
            </w:tcBorders>
          </w:tcPr>
          <w:p>
            <w:pPr>
              <w:snapToGrid w:val="0"/>
              <w:spacing w:line="400" w:lineRule="exact"/>
              <w:ind w:firstLine="0" w:firstLineChars="0"/>
              <w:jc w:val="center"/>
              <w:rPr>
                <w:rFonts w:ascii="宋体" w:hAnsi="宋体" w:eastAsia="宋体"/>
                <w:color w:val="auto"/>
                <w:spacing w:val="2"/>
                <w:sz w:val="24"/>
                <w:szCs w:val="24"/>
              </w:rPr>
            </w:pPr>
          </w:p>
          <w:p>
            <w:pPr>
              <w:snapToGrid w:val="0"/>
              <w:spacing w:line="400" w:lineRule="exact"/>
              <w:ind w:firstLine="0" w:firstLineChars="0"/>
              <w:jc w:val="center"/>
              <w:rPr>
                <w:rFonts w:ascii="宋体" w:hAnsi="宋体" w:eastAsia="宋体"/>
                <w:color w:val="auto"/>
                <w:spacing w:val="2"/>
                <w:sz w:val="24"/>
                <w:szCs w:val="24"/>
              </w:rPr>
            </w:pPr>
          </w:p>
          <w:p>
            <w:pPr>
              <w:snapToGrid w:val="0"/>
              <w:spacing w:line="400" w:lineRule="exact"/>
              <w:ind w:firstLine="0" w:firstLineChars="0"/>
              <w:jc w:val="both"/>
              <w:rPr>
                <w:rFonts w:ascii="宋体" w:hAnsi="宋体" w:eastAsia="宋体"/>
                <w:color w:val="auto"/>
                <w:spacing w:val="2"/>
                <w:sz w:val="24"/>
                <w:szCs w:val="24"/>
              </w:rPr>
            </w:pPr>
          </w:p>
          <w:p>
            <w:pPr>
              <w:snapToGrid w:val="0"/>
              <w:spacing w:line="400" w:lineRule="exact"/>
              <w:ind w:firstLine="0" w:firstLineChars="0"/>
              <w:jc w:val="center"/>
              <w:rPr>
                <w:rFonts w:ascii="宋体" w:hAnsi="宋体" w:eastAsia="宋体"/>
                <w:color w:val="auto"/>
                <w:spacing w:val="2"/>
                <w:sz w:val="24"/>
                <w:szCs w:val="24"/>
              </w:rPr>
            </w:pPr>
            <w:r>
              <w:rPr>
                <w:rFonts w:hint="eastAsia" w:ascii="宋体" w:hAnsi="宋体" w:eastAsia="宋体"/>
                <w:color w:val="auto"/>
                <w:spacing w:val="2"/>
                <w:sz w:val="24"/>
                <w:szCs w:val="24"/>
              </w:rPr>
              <w:t>2.1.1</w:t>
            </w:r>
          </w:p>
        </w:tc>
        <w:tc>
          <w:tcPr>
            <w:tcW w:w="967" w:type="dxa"/>
            <w:vMerge w:val="restart"/>
            <w:tcBorders>
              <w:top w:val="single" w:color="000000" w:sz="4" w:space="0"/>
              <w:left w:val="single" w:color="000000" w:sz="4" w:space="0"/>
              <w:right w:val="single" w:color="000000" w:sz="4" w:space="0"/>
            </w:tcBorders>
          </w:tcPr>
          <w:p>
            <w:pPr>
              <w:snapToGrid w:val="0"/>
              <w:spacing w:line="400" w:lineRule="exact"/>
              <w:ind w:firstLine="0" w:firstLineChars="0"/>
              <w:jc w:val="center"/>
              <w:rPr>
                <w:rFonts w:ascii="宋体" w:hAnsi="宋体" w:eastAsia="宋体"/>
                <w:color w:val="auto"/>
                <w:spacing w:val="2"/>
                <w:sz w:val="24"/>
                <w:szCs w:val="24"/>
              </w:rPr>
            </w:pPr>
          </w:p>
          <w:p>
            <w:pPr>
              <w:snapToGrid w:val="0"/>
              <w:spacing w:line="400" w:lineRule="exact"/>
              <w:ind w:firstLine="0" w:firstLineChars="0"/>
              <w:jc w:val="both"/>
              <w:rPr>
                <w:rFonts w:ascii="宋体" w:hAnsi="宋体" w:eastAsia="宋体"/>
                <w:color w:val="auto"/>
                <w:spacing w:val="2"/>
                <w:sz w:val="24"/>
                <w:szCs w:val="24"/>
              </w:rPr>
            </w:pPr>
          </w:p>
          <w:p>
            <w:pPr>
              <w:snapToGrid w:val="0"/>
              <w:spacing w:line="400" w:lineRule="exact"/>
              <w:ind w:firstLine="0" w:firstLineChars="0"/>
              <w:jc w:val="center"/>
              <w:rPr>
                <w:rFonts w:ascii="宋体" w:hAnsi="宋体" w:eastAsia="宋体"/>
                <w:color w:val="auto"/>
                <w:spacing w:val="2"/>
                <w:sz w:val="24"/>
                <w:szCs w:val="24"/>
              </w:rPr>
            </w:pPr>
            <w:r>
              <w:rPr>
                <w:rFonts w:hint="eastAsia" w:ascii="宋体" w:hAnsi="宋体" w:eastAsia="宋体"/>
                <w:color w:val="auto"/>
                <w:spacing w:val="2"/>
                <w:sz w:val="24"/>
                <w:szCs w:val="24"/>
              </w:rPr>
              <w:t>形式评审</w:t>
            </w:r>
          </w:p>
          <w:p>
            <w:pPr>
              <w:snapToGrid w:val="0"/>
              <w:spacing w:line="400" w:lineRule="exact"/>
              <w:ind w:firstLine="0" w:firstLineChars="0"/>
              <w:jc w:val="center"/>
              <w:rPr>
                <w:rFonts w:ascii="宋体" w:hAnsi="宋体" w:eastAsia="宋体"/>
                <w:color w:val="auto"/>
                <w:spacing w:val="2"/>
                <w:sz w:val="24"/>
                <w:szCs w:val="24"/>
              </w:rPr>
            </w:pPr>
          </w:p>
          <w:p>
            <w:pPr>
              <w:snapToGrid w:val="0"/>
              <w:spacing w:line="400" w:lineRule="exact"/>
              <w:ind w:firstLine="0" w:firstLineChars="0"/>
              <w:jc w:val="center"/>
              <w:rPr>
                <w:rFonts w:ascii="宋体" w:hAnsi="宋体" w:eastAsia="宋体"/>
                <w:color w:val="auto"/>
                <w:spacing w:val="2"/>
                <w:sz w:val="24"/>
                <w:szCs w:val="24"/>
              </w:rPr>
            </w:pPr>
            <w:r>
              <w:rPr>
                <w:rFonts w:hint="eastAsia" w:ascii="宋体" w:hAnsi="宋体" w:eastAsia="宋体"/>
                <w:color w:val="auto"/>
                <w:spacing w:val="2"/>
                <w:sz w:val="24"/>
                <w:szCs w:val="24"/>
              </w:rPr>
              <w:t>标准</w:t>
            </w:r>
          </w:p>
        </w:tc>
        <w:tc>
          <w:tcPr>
            <w:tcW w:w="2135"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color w:val="auto"/>
                <w:spacing w:val="2"/>
                <w:sz w:val="24"/>
                <w:szCs w:val="24"/>
              </w:rPr>
            </w:pPr>
            <w:r>
              <w:rPr>
                <w:rFonts w:hint="eastAsia" w:ascii="宋体" w:hAnsi="宋体" w:eastAsia="宋体"/>
                <w:color w:val="auto"/>
                <w:spacing w:val="2"/>
                <w:sz w:val="24"/>
                <w:szCs w:val="24"/>
              </w:rPr>
              <w:t>投标人名称</w:t>
            </w:r>
          </w:p>
        </w:tc>
        <w:tc>
          <w:tcPr>
            <w:tcW w:w="477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color w:val="auto"/>
                <w:spacing w:val="2"/>
                <w:sz w:val="24"/>
                <w:szCs w:val="24"/>
              </w:rPr>
            </w:pPr>
            <w:r>
              <w:rPr>
                <w:rFonts w:hint="eastAsia" w:ascii="宋体" w:hAnsi="宋体" w:eastAsia="宋体" w:cs="宋体"/>
                <w:color w:val="auto"/>
                <w:sz w:val="24"/>
                <w:szCs w:val="24"/>
              </w:rPr>
              <w:t>与营业执照、资质证书一致</w:t>
            </w:r>
          </w:p>
        </w:tc>
      </w:tr>
      <w:tr>
        <w:tblPrEx>
          <w:tblLayout w:type="fixed"/>
          <w:tblCellMar>
            <w:top w:w="0" w:type="dxa"/>
            <w:left w:w="0" w:type="dxa"/>
            <w:bottom w:w="0" w:type="dxa"/>
            <w:right w:w="0" w:type="dxa"/>
          </w:tblCellMar>
        </w:tblPrEx>
        <w:trPr>
          <w:trHeight w:val="312" w:hRule="atLeast"/>
          <w:jc w:val="center"/>
        </w:trPr>
        <w:tc>
          <w:tcPr>
            <w:tcW w:w="776" w:type="dxa"/>
            <w:vMerge w:val="continue"/>
            <w:tcBorders>
              <w:left w:val="single" w:color="000000" w:sz="4" w:space="0"/>
              <w:bottom w:val="nil"/>
              <w:right w:val="single" w:color="000000" w:sz="4" w:space="0"/>
            </w:tcBorders>
          </w:tcPr>
          <w:p>
            <w:pPr>
              <w:snapToGrid w:val="0"/>
              <w:spacing w:line="400" w:lineRule="exact"/>
              <w:ind w:firstLine="0" w:firstLineChars="0"/>
              <w:jc w:val="center"/>
              <w:rPr>
                <w:rFonts w:ascii="宋体" w:hAnsi="宋体" w:eastAsia="宋体"/>
                <w:color w:val="auto"/>
                <w:spacing w:val="2"/>
                <w:sz w:val="24"/>
                <w:szCs w:val="24"/>
              </w:rPr>
            </w:pPr>
          </w:p>
        </w:tc>
        <w:tc>
          <w:tcPr>
            <w:tcW w:w="967" w:type="dxa"/>
            <w:vMerge w:val="continue"/>
            <w:tcBorders>
              <w:left w:val="single" w:color="000000" w:sz="4" w:space="0"/>
              <w:right w:val="single" w:color="000000" w:sz="4" w:space="0"/>
            </w:tcBorders>
          </w:tcPr>
          <w:p>
            <w:pPr>
              <w:snapToGrid w:val="0"/>
              <w:spacing w:line="400" w:lineRule="exact"/>
              <w:ind w:firstLine="0" w:firstLineChars="0"/>
              <w:jc w:val="center"/>
              <w:rPr>
                <w:rFonts w:ascii="宋体" w:hAnsi="宋体" w:eastAsia="宋体"/>
                <w:color w:val="auto"/>
                <w:spacing w:val="2"/>
                <w:sz w:val="24"/>
                <w:szCs w:val="24"/>
              </w:rPr>
            </w:pPr>
          </w:p>
        </w:tc>
        <w:tc>
          <w:tcPr>
            <w:tcW w:w="2135" w:type="dxa"/>
            <w:tcBorders>
              <w:top w:val="single" w:color="000000" w:sz="4" w:space="0"/>
              <w:left w:val="single" w:color="000000" w:sz="4" w:space="0"/>
              <w:bottom w:val="nil"/>
              <w:right w:val="single" w:color="000000" w:sz="4" w:space="0"/>
            </w:tcBorders>
            <w:vAlign w:val="center"/>
          </w:tcPr>
          <w:p>
            <w:pPr>
              <w:snapToGrid w:val="0"/>
              <w:spacing w:line="400" w:lineRule="exact"/>
              <w:ind w:firstLine="0" w:firstLineChars="0"/>
              <w:jc w:val="center"/>
              <w:rPr>
                <w:rFonts w:ascii="宋体" w:hAnsi="宋体" w:eastAsia="宋体"/>
                <w:color w:val="auto"/>
                <w:spacing w:val="2"/>
                <w:sz w:val="24"/>
                <w:szCs w:val="24"/>
              </w:rPr>
            </w:pPr>
            <w:r>
              <w:rPr>
                <w:rFonts w:hint="eastAsia" w:ascii="宋体" w:hAnsi="宋体" w:eastAsia="宋体"/>
                <w:color w:val="auto"/>
                <w:spacing w:val="2"/>
                <w:sz w:val="24"/>
                <w:szCs w:val="24"/>
              </w:rPr>
              <w:t>投标函及投标函附录</w:t>
            </w:r>
          </w:p>
          <w:p>
            <w:pPr>
              <w:snapToGrid w:val="0"/>
              <w:spacing w:line="400" w:lineRule="exact"/>
              <w:ind w:firstLine="0" w:firstLineChars="0"/>
              <w:jc w:val="center"/>
              <w:rPr>
                <w:rFonts w:ascii="宋体" w:hAnsi="宋体" w:eastAsia="宋体"/>
                <w:color w:val="auto"/>
                <w:spacing w:val="2"/>
                <w:sz w:val="24"/>
                <w:szCs w:val="24"/>
              </w:rPr>
            </w:pPr>
            <w:r>
              <w:rPr>
                <w:rFonts w:hint="eastAsia" w:ascii="宋体" w:hAnsi="宋体" w:eastAsia="宋体"/>
                <w:color w:val="auto"/>
                <w:spacing w:val="2"/>
                <w:sz w:val="24"/>
                <w:szCs w:val="24"/>
              </w:rPr>
              <w:t>签字盖章</w:t>
            </w:r>
          </w:p>
        </w:tc>
        <w:tc>
          <w:tcPr>
            <w:tcW w:w="4772" w:type="dxa"/>
            <w:tcBorders>
              <w:top w:val="single" w:color="000000" w:sz="4" w:space="0"/>
              <w:left w:val="single" w:color="000000" w:sz="4" w:space="0"/>
              <w:bottom w:val="nil"/>
              <w:right w:val="single" w:color="000000" w:sz="4" w:space="0"/>
            </w:tcBorders>
            <w:vAlign w:val="center"/>
          </w:tcPr>
          <w:p>
            <w:pPr>
              <w:snapToGrid w:val="0"/>
              <w:spacing w:line="400" w:lineRule="exact"/>
              <w:ind w:firstLine="480"/>
              <w:jc w:val="both"/>
              <w:rPr>
                <w:rFonts w:ascii="宋体" w:hAnsi="宋体" w:eastAsia="宋体"/>
                <w:color w:val="auto"/>
                <w:spacing w:val="2"/>
                <w:sz w:val="24"/>
                <w:szCs w:val="24"/>
              </w:rPr>
            </w:pPr>
            <w:r>
              <w:rPr>
                <w:rFonts w:hint="eastAsia" w:ascii="宋体" w:hAnsi="宋体" w:eastAsia="宋体" w:cs="宋体"/>
                <w:color w:val="auto"/>
                <w:sz w:val="24"/>
                <w:szCs w:val="24"/>
              </w:rPr>
              <w:t>有法定代表人或其委托代理人签字或加盖单位章。由法定代表人签字的，应附法定代表人身份证明，由代理人签字的，应附授权委托书，身份证明或授权委托书应符合第六章“投标文件格式”的规定。</w:t>
            </w:r>
          </w:p>
        </w:tc>
      </w:tr>
      <w:tr>
        <w:tblPrEx>
          <w:tblLayout w:type="fixed"/>
          <w:tblCellMar>
            <w:top w:w="0" w:type="dxa"/>
            <w:left w:w="0" w:type="dxa"/>
            <w:bottom w:w="0" w:type="dxa"/>
            <w:right w:w="0" w:type="dxa"/>
          </w:tblCellMar>
        </w:tblPrEx>
        <w:trPr>
          <w:trHeight w:val="400" w:hRule="atLeast"/>
          <w:jc w:val="center"/>
        </w:trPr>
        <w:tc>
          <w:tcPr>
            <w:tcW w:w="776" w:type="dxa"/>
            <w:vMerge w:val="continue"/>
            <w:tcBorders>
              <w:left w:val="single" w:color="000000" w:sz="4" w:space="0"/>
              <w:right w:val="single" w:color="000000" w:sz="4" w:space="0"/>
            </w:tcBorders>
          </w:tcPr>
          <w:p>
            <w:pPr>
              <w:snapToGrid w:val="0"/>
              <w:spacing w:line="400" w:lineRule="exact"/>
              <w:ind w:firstLine="0" w:firstLineChars="0"/>
              <w:jc w:val="center"/>
              <w:rPr>
                <w:rFonts w:ascii="宋体" w:hAnsi="宋体" w:eastAsia="宋体"/>
                <w:color w:val="auto"/>
                <w:spacing w:val="2"/>
                <w:sz w:val="24"/>
                <w:szCs w:val="24"/>
              </w:rPr>
            </w:pPr>
          </w:p>
        </w:tc>
        <w:tc>
          <w:tcPr>
            <w:tcW w:w="967" w:type="dxa"/>
            <w:vMerge w:val="restart"/>
            <w:tcBorders>
              <w:top w:val="nil"/>
              <w:left w:val="single" w:color="000000" w:sz="4" w:space="0"/>
              <w:right w:val="single" w:color="000000" w:sz="4" w:space="0"/>
            </w:tcBorders>
          </w:tcPr>
          <w:p>
            <w:pPr>
              <w:snapToGrid w:val="0"/>
              <w:spacing w:line="400" w:lineRule="exact"/>
              <w:ind w:firstLine="0" w:firstLineChars="0"/>
              <w:jc w:val="both"/>
              <w:rPr>
                <w:rFonts w:ascii="宋体" w:hAnsi="宋体" w:eastAsia="宋体"/>
                <w:color w:val="auto"/>
                <w:spacing w:val="2"/>
                <w:sz w:val="24"/>
                <w:szCs w:val="24"/>
              </w:rPr>
            </w:pPr>
          </w:p>
        </w:tc>
        <w:tc>
          <w:tcPr>
            <w:tcW w:w="2135" w:type="dxa"/>
            <w:vMerge w:val="restart"/>
            <w:tcBorders>
              <w:top w:val="single" w:color="000000" w:sz="4" w:space="0"/>
              <w:left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color w:val="auto"/>
                <w:spacing w:val="2"/>
                <w:sz w:val="24"/>
                <w:szCs w:val="24"/>
              </w:rPr>
            </w:pPr>
            <w:r>
              <w:rPr>
                <w:rFonts w:hint="eastAsia" w:ascii="宋体" w:hAnsi="宋体" w:eastAsia="宋体"/>
                <w:color w:val="auto"/>
                <w:spacing w:val="2"/>
                <w:sz w:val="24"/>
                <w:szCs w:val="24"/>
              </w:rPr>
              <w:t>投标文件格式</w:t>
            </w:r>
          </w:p>
        </w:tc>
        <w:tc>
          <w:tcPr>
            <w:tcW w:w="4772" w:type="dxa"/>
            <w:vMerge w:val="restart"/>
            <w:tcBorders>
              <w:top w:val="single" w:color="000000" w:sz="4" w:space="0"/>
              <w:left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color w:val="auto"/>
                <w:spacing w:val="2"/>
                <w:sz w:val="24"/>
                <w:szCs w:val="24"/>
              </w:rPr>
            </w:pPr>
            <w:r>
              <w:rPr>
                <w:rFonts w:hint="eastAsia" w:ascii="宋体" w:hAnsi="宋体" w:eastAsia="宋体"/>
                <w:color w:val="auto"/>
                <w:spacing w:val="2"/>
                <w:sz w:val="24"/>
                <w:szCs w:val="24"/>
              </w:rPr>
              <w:t>符合第六章“投标文件格式”的规定</w:t>
            </w:r>
          </w:p>
        </w:tc>
      </w:tr>
      <w:tr>
        <w:tblPrEx>
          <w:tblLayout w:type="fixed"/>
          <w:tblCellMar>
            <w:top w:w="0" w:type="dxa"/>
            <w:left w:w="0" w:type="dxa"/>
            <w:bottom w:w="0" w:type="dxa"/>
            <w:right w:w="0" w:type="dxa"/>
          </w:tblCellMar>
        </w:tblPrEx>
        <w:trPr>
          <w:trHeight w:val="400" w:hRule="atLeast"/>
          <w:jc w:val="center"/>
        </w:trPr>
        <w:tc>
          <w:tcPr>
            <w:tcW w:w="776" w:type="dxa"/>
            <w:vMerge w:val="continue"/>
            <w:tcBorders>
              <w:left w:val="single" w:color="000000" w:sz="4" w:space="0"/>
              <w:bottom w:val="single" w:color="auto" w:sz="4" w:space="0"/>
              <w:right w:val="single" w:color="000000" w:sz="4" w:space="0"/>
            </w:tcBorders>
          </w:tcPr>
          <w:p>
            <w:pPr>
              <w:snapToGrid w:val="0"/>
              <w:spacing w:line="400" w:lineRule="exact"/>
              <w:ind w:firstLine="0" w:firstLineChars="0"/>
              <w:jc w:val="center"/>
              <w:rPr>
                <w:rFonts w:ascii="宋体" w:hAnsi="宋体" w:eastAsia="宋体"/>
                <w:color w:val="auto"/>
                <w:spacing w:val="2"/>
                <w:sz w:val="24"/>
                <w:szCs w:val="24"/>
              </w:rPr>
            </w:pPr>
          </w:p>
        </w:tc>
        <w:tc>
          <w:tcPr>
            <w:tcW w:w="967" w:type="dxa"/>
            <w:vMerge w:val="continue"/>
            <w:tcBorders>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eastAsia="宋体"/>
                <w:color w:val="auto"/>
                <w:spacing w:val="2"/>
                <w:sz w:val="24"/>
                <w:szCs w:val="24"/>
              </w:rPr>
            </w:pPr>
          </w:p>
        </w:tc>
        <w:tc>
          <w:tcPr>
            <w:tcW w:w="2135" w:type="dxa"/>
            <w:vMerge w:val="continue"/>
            <w:tcBorders>
              <w:left w:val="single" w:color="000000" w:sz="4" w:space="0"/>
              <w:bottom w:val="single" w:color="000000" w:sz="4" w:space="0"/>
              <w:right w:val="single" w:color="000000" w:sz="4" w:space="0"/>
            </w:tcBorders>
          </w:tcPr>
          <w:p>
            <w:pPr>
              <w:snapToGrid w:val="0"/>
              <w:spacing w:line="400" w:lineRule="exact"/>
              <w:ind w:firstLine="0" w:firstLineChars="0"/>
              <w:jc w:val="both"/>
              <w:rPr>
                <w:rFonts w:ascii="宋体" w:hAnsi="宋体" w:eastAsia="宋体"/>
                <w:color w:val="auto"/>
                <w:spacing w:val="2"/>
                <w:sz w:val="24"/>
                <w:szCs w:val="24"/>
              </w:rPr>
            </w:pPr>
          </w:p>
        </w:tc>
        <w:tc>
          <w:tcPr>
            <w:tcW w:w="4772" w:type="dxa"/>
            <w:vMerge w:val="continue"/>
            <w:tcBorders>
              <w:left w:val="single" w:color="000000" w:sz="4" w:space="0"/>
              <w:bottom w:val="single" w:color="000000" w:sz="4" w:space="0"/>
              <w:right w:val="single" w:color="000000" w:sz="4" w:space="0"/>
            </w:tcBorders>
          </w:tcPr>
          <w:p>
            <w:pPr>
              <w:snapToGrid w:val="0"/>
              <w:spacing w:line="400" w:lineRule="exact"/>
              <w:ind w:firstLine="0" w:firstLineChars="0"/>
              <w:jc w:val="both"/>
              <w:rPr>
                <w:rFonts w:ascii="宋体" w:hAnsi="宋体" w:eastAsia="宋体"/>
                <w:color w:val="auto"/>
                <w:spacing w:val="2"/>
                <w:sz w:val="24"/>
                <w:szCs w:val="24"/>
              </w:rPr>
            </w:pPr>
          </w:p>
        </w:tc>
      </w:tr>
      <w:tr>
        <w:tblPrEx>
          <w:tblLayout w:type="fixed"/>
          <w:tblCellMar>
            <w:top w:w="0" w:type="dxa"/>
            <w:left w:w="0" w:type="dxa"/>
            <w:bottom w:w="0" w:type="dxa"/>
            <w:right w:w="0" w:type="dxa"/>
          </w:tblCellMar>
        </w:tblPrEx>
        <w:trPr>
          <w:trHeight w:val="420" w:hRule="atLeast"/>
          <w:jc w:val="center"/>
        </w:trPr>
        <w:tc>
          <w:tcPr>
            <w:tcW w:w="776" w:type="dxa"/>
            <w:vMerge w:val="restart"/>
            <w:tcBorders>
              <w:top w:val="single" w:color="auto" w:sz="4" w:space="0"/>
              <w:left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color w:val="auto"/>
                <w:spacing w:val="2"/>
                <w:sz w:val="24"/>
                <w:szCs w:val="24"/>
              </w:rPr>
            </w:pPr>
            <w:r>
              <w:rPr>
                <w:rFonts w:hint="eastAsia" w:ascii="宋体" w:hAnsi="宋体" w:eastAsia="宋体"/>
                <w:color w:val="auto"/>
                <w:spacing w:val="2"/>
                <w:sz w:val="24"/>
                <w:szCs w:val="24"/>
              </w:rPr>
              <w:t>2.1.2</w:t>
            </w:r>
          </w:p>
        </w:tc>
        <w:tc>
          <w:tcPr>
            <w:tcW w:w="967" w:type="dxa"/>
            <w:vMerge w:val="restart"/>
            <w:tcBorders>
              <w:top w:val="single" w:color="auto" w:sz="4" w:space="0"/>
              <w:left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color w:val="auto"/>
                <w:spacing w:val="2"/>
                <w:sz w:val="24"/>
                <w:szCs w:val="24"/>
              </w:rPr>
            </w:pPr>
            <w:r>
              <w:rPr>
                <w:rFonts w:hint="eastAsia" w:ascii="宋体" w:hAnsi="宋体" w:eastAsia="宋体"/>
                <w:color w:val="auto"/>
                <w:spacing w:val="2"/>
                <w:sz w:val="24"/>
                <w:szCs w:val="24"/>
              </w:rPr>
              <w:t>资格评审</w:t>
            </w:r>
          </w:p>
          <w:p>
            <w:pPr>
              <w:snapToGrid w:val="0"/>
              <w:spacing w:line="400" w:lineRule="exact"/>
              <w:ind w:firstLine="0" w:firstLineChars="0"/>
              <w:jc w:val="center"/>
              <w:rPr>
                <w:rFonts w:ascii="宋体" w:hAnsi="宋体" w:eastAsia="宋体"/>
                <w:color w:val="auto"/>
                <w:spacing w:val="2"/>
                <w:sz w:val="24"/>
                <w:szCs w:val="24"/>
              </w:rPr>
            </w:pPr>
          </w:p>
          <w:p>
            <w:pPr>
              <w:snapToGrid w:val="0"/>
              <w:spacing w:line="400" w:lineRule="exact"/>
              <w:ind w:firstLine="0" w:firstLineChars="0"/>
              <w:jc w:val="center"/>
              <w:rPr>
                <w:rFonts w:ascii="宋体" w:hAnsi="宋体" w:eastAsia="宋体"/>
                <w:color w:val="auto"/>
                <w:spacing w:val="2"/>
                <w:sz w:val="24"/>
                <w:szCs w:val="24"/>
              </w:rPr>
            </w:pPr>
          </w:p>
          <w:p>
            <w:pPr>
              <w:snapToGrid w:val="0"/>
              <w:spacing w:line="400" w:lineRule="exact"/>
              <w:ind w:firstLine="0" w:firstLineChars="0"/>
              <w:jc w:val="center"/>
              <w:rPr>
                <w:rFonts w:ascii="宋体" w:hAnsi="宋体" w:eastAsia="宋体"/>
                <w:color w:val="auto"/>
                <w:spacing w:val="2"/>
                <w:sz w:val="24"/>
                <w:szCs w:val="24"/>
              </w:rPr>
            </w:pPr>
            <w:r>
              <w:rPr>
                <w:rFonts w:hint="eastAsia" w:ascii="宋体" w:hAnsi="宋体" w:eastAsia="宋体"/>
                <w:color w:val="auto"/>
                <w:spacing w:val="2"/>
                <w:sz w:val="24"/>
                <w:szCs w:val="24"/>
              </w:rPr>
              <w:t>标准</w:t>
            </w:r>
          </w:p>
        </w:tc>
        <w:tc>
          <w:tcPr>
            <w:tcW w:w="2135" w:type="dxa"/>
            <w:tcBorders>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营业执照和</w:t>
            </w:r>
          </w:p>
          <w:p>
            <w:pPr>
              <w:snapToGrid w:val="0"/>
              <w:spacing w:line="400" w:lineRule="exact"/>
              <w:ind w:firstLine="0" w:firstLineChars="0"/>
              <w:jc w:val="center"/>
              <w:rPr>
                <w:rFonts w:ascii="宋体" w:hAnsi="宋体" w:eastAsia="宋体"/>
                <w:color w:val="auto"/>
                <w:spacing w:val="2"/>
                <w:sz w:val="24"/>
                <w:szCs w:val="24"/>
              </w:rPr>
            </w:pPr>
            <w:r>
              <w:rPr>
                <w:rFonts w:hint="eastAsia" w:ascii="宋体" w:hAnsi="宋体" w:eastAsia="宋体" w:cs="宋体"/>
                <w:color w:val="auto"/>
                <w:sz w:val="24"/>
                <w:szCs w:val="24"/>
              </w:rPr>
              <w:t>组织机构代码证</w:t>
            </w:r>
          </w:p>
        </w:tc>
        <w:tc>
          <w:tcPr>
            <w:tcW w:w="4772" w:type="dxa"/>
            <w:tcBorders>
              <w:left w:val="single" w:color="000000" w:sz="4" w:space="0"/>
              <w:bottom w:val="single" w:color="000000" w:sz="4" w:space="0"/>
              <w:right w:val="single" w:color="000000" w:sz="4" w:space="0"/>
            </w:tcBorders>
            <w:vAlign w:val="center"/>
          </w:tcPr>
          <w:p>
            <w:pPr>
              <w:snapToGrid w:val="0"/>
              <w:spacing w:line="400" w:lineRule="exact"/>
              <w:ind w:firstLine="480"/>
              <w:jc w:val="both"/>
              <w:rPr>
                <w:rFonts w:ascii="宋体" w:hAnsi="宋体" w:eastAsia="宋体"/>
                <w:color w:val="auto"/>
                <w:spacing w:val="2"/>
                <w:sz w:val="24"/>
                <w:szCs w:val="24"/>
              </w:rPr>
            </w:pPr>
            <w:r>
              <w:rPr>
                <w:rFonts w:hint="eastAsia" w:ascii="宋体" w:hAnsi="宋体" w:eastAsia="宋体" w:cs="宋体"/>
                <w:color w:val="auto"/>
                <w:sz w:val="24"/>
                <w:szCs w:val="24"/>
              </w:rPr>
              <w:t>符合第二章“投标人须知”第 3.5.1 项规定，具备有效的营业执照和组织机构代码证。</w:t>
            </w:r>
          </w:p>
        </w:tc>
      </w:tr>
      <w:tr>
        <w:tblPrEx>
          <w:tblLayout w:type="fixed"/>
          <w:tblCellMar>
            <w:top w:w="0" w:type="dxa"/>
            <w:left w:w="0" w:type="dxa"/>
            <w:bottom w:w="0" w:type="dxa"/>
            <w:right w:w="0" w:type="dxa"/>
          </w:tblCellMar>
        </w:tblPrEx>
        <w:trPr>
          <w:trHeight w:val="530" w:hRule="atLeast"/>
          <w:jc w:val="center"/>
        </w:trPr>
        <w:tc>
          <w:tcPr>
            <w:tcW w:w="776" w:type="dxa"/>
            <w:vMerge w:val="continue"/>
            <w:tcBorders>
              <w:left w:val="single" w:color="000000" w:sz="4" w:space="0"/>
              <w:right w:val="single" w:color="000000" w:sz="4" w:space="0"/>
            </w:tcBorders>
          </w:tcPr>
          <w:p>
            <w:pPr>
              <w:snapToGrid w:val="0"/>
              <w:spacing w:line="400" w:lineRule="exact"/>
              <w:ind w:firstLine="0" w:firstLineChars="0"/>
              <w:jc w:val="center"/>
              <w:rPr>
                <w:rFonts w:ascii="宋体" w:hAnsi="宋体" w:eastAsia="宋体"/>
                <w:color w:val="auto"/>
                <w:spacing w:val="2"/>
                <w:sz w:val="24"/>
                <w:szCs w:val="24"/>
              </w:rPr>
            </w:pPr>
          </w:p>
        </w:tc>
        <w:tc>
          <w:tcPr>
            <w:tcW w:w="967" w:type="dxa"/>
            <w:vMerge w:val="continue"/>
            <w:tcBorders>
              <w:left w:val="single" w:color="000000" w:sz="4" w:space="0"/>
              <w:right w:val="single" w:color="000000" w:sz="4" w:space="0"/>
            </w:tcBorders>
          </w:tcPr>
          <w:p>
            <w:pPr>
              <w:snapToGrid w:val="0"/>
              <w:spacing w:line="400" w:lineRule="exact"/>
              <w:ind w:firstLine="0" w:firstLineChars="0"/>
              <w:jc w:val="both"/>
              <w:rPr>
                <w:rFonts w:ascii="宋体" w:hAnsi="宋体" w:eastAsia="宋体"/>
                <w:color w:val="auto"/>
                <w:spacing w:val="2"/>
                <w:sz w:val="24"/>
                <w:szCs w:val="24"/>
              </w:rPr>
            </w:pPr>
          </w:p>
        </w:tc>
        <w:tc>
          <w:tcPr>
            <w:tcW w:w="2135"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cs="宋体"/>
                <w:color w:val="auto"/>
                <w:sz w:val="24"/>
                <w:szCs w:val="24"/>
              </w:rPr>
            </w:pPr>
            <w:r>
              <w:rPr>
                <w:rFonts w:hint="eastAsia" w:ascii="宋体" w:hAnsi="宋体" w:eastAsia="宋体"/>
                <w:color w:val="auto"/>
                <w:spacing w:val="2"/>
                <w:sz w:val="24"/>
                <w:szCs w:val="24"/>
              </w:rPr>
              <w:t>资质要求</w:t>
            </w:r>
          </w:p>
        </w:tc>
        <w:tc>
          <w:tcPr>
            <w:tcW w:w="4772" w:type="dxa"/>
            <w:tcBorders>
              <w:left w:val="single" w:color="000000" w:sz="4" w:space="0"/>
              <w:bottom w:val="single" w:color="000000" w:sz="4" w:space="0"/>
              <w:right w:val="single" w:color="000000" w:sz="4" w:space="0"/>
            </w:tcBorders>
            <w:vAlign w:val="center"/>
          </w:tcPr>
          <w:p>
            <w:pPr>
              <w:autoSpaceDE w:val="0"/>
              <w:autoSpaceDN w:val="0"/>
              <w:adjustRightInd w:val="0"/>
              <w:spacing w:line="400" w:lineRule="exact"/>
              <w:ind w:firstLine="480"/>
              <w:outlineLvl w:val="0"/>
              <w:rPr>
                <w:rFonts w:ascii="宋体" w:hAnsi="宋体" w:eastAsia="宋体" w:cs="宋体"/>
                <w:color w:val="auto"/>
                <w:sz w:val="24"/>
                <w:szCs w:val="24"/>
              </w:rPr>
            </w:pPr>
            <w:r>
              <w:rPr>
                <w:rFonts w:hint="eastAsia" w:ascii="宋体" w:hAnsi="宋体" w:eastAsia="宋体" w:cs="宋体"/>
                <w:color w:val="auto"/>
                <w:sz w:val="24"/>
                <w:szCs w:val="24"/>
              </w:rPr>
              <w:t>符合第二章“投标人须知”第 1.4.1 项规定</w:t>
            </w:r>
          </w:p>
        </w:tc>
      </w:tr>
      <w:tr>
        <w:tblPrEx>
          <w:tblLayout w:type="fixed"/>
          <w:tblCellMar>
            <w:top w:w="0" w:type="dxa"/>
            <w:left w:w="0" w:type="dxa"/>
            <w:bottom w:w="0" w:type="dxa"/>
            <w:right w:w="0" w:type="dxa"/>
          </w:tblCellMar>
        </w:tblPrEx>
        <w:trPr>
          <w:trHeight w:val="545" w:hRule="atLeast"/>
          <w:jc w:val="center"/>
        </w:trPr>
        <w:tc>
          <w:tcPr>
            <w:tcW w:w="776" w:type="dxa"/>
            <w:vMerge w:val="continue"/>
            <w:tcBorders>
              <w:left w:val="single" w:color="000000" w:sz="4" w:space="0"/>
              <w:right w:val="single" w:color="000000" w:sz="4" w:space="0"/>
            </w:tcBorders>
          </w:tcPr>
          <w:p>
            <w:pPr>
              <w:snapToGrid w:val="0"/>
              <w:spacing w:line="400" w:lineRule="exact"/>
              <w:ind w:firstLine="0" w:firstLineChars="0"/>
              <w:jc w:val="center"/>
              <w:rPr>
                <w:rFonts w:ascii="宋体" w:hAnsi="宋体" w:eastAsia="宋体"/>
                <w:color w:val="auto"/>
                <w:spacing w:val="2"/>
                <w:sz w:val="24"/>
                <w:szCs w:val="24"/>
              </w:rPr>
            </w:pPr>
          </w:p>
        </w:tc>
        <w:tc>
          <w:tcPr>
            <w:tcW w:w="967" w:type="dxa"/>
            <w:vMerge w:val="continue"/>
            <w:tcBorders>
              <w:left w:val="single" w:color="000000" w:sz="4" w:space="0"/>
              <w:right w:val="single" w:color="000000" w:sz="4" w:space="0"/>
            </w:tcBorders>
          </w:tcPr>
          <w:p>
            <w:pPr>
              <w:snapToGrid w:val="0"/>
              <w:spacing w:line="400" w:lineRule="exact"/>
              <w:ind w:firstLine="0" w:firstLineChars="0"/>
              <w:jc w:val="both"/>
              <w:rPr>
                <w:rFonts w:ascii="宋体" w:hAnsi="宋体" w:eastAsia="宋体"/>
                <w:color w:val="auto"/>
                <w:spacing w:val="2"/>
                <w:sz w:val="24"/>
                <w:szCs w:val="24"/>
              </w:rPr>
            </w:pPr>
          </w:p>
        </w:tc>
        <w:tc>
          <w:tcPr>
            <w:tcW w:w="2135"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cs="宋体"/>
                <w:color w:val="auto"/>
                <w:sz w:val="24"/>
                <w:szCs w:val="24"/>
              </w:rPr>
            </w:pPr>
            <w:r>
              <w:rPr>
                <w:rFonts w:hint="eastAsia" w:ascii="宋体" w:hAnsi="宋体" w:eastAsia="宋体"/>
                <w:color w:val="auto"/>
                <w:spacing w:val="2"/>
                <w:sz w:val="24"/>
                <w:szCs w:val="24"/>
              </w:rPr>
              <w:t>财务要求</w:t>
            </w:r>
          </w:p>
        </w:tc>
        <w:tc>
          <w:tcPr>
            <w:tcW w:w="4772" w:type="dxa"/>
            <w:tcBorders>
              <w:left w:val="single" w:color="000000" w:sz="4" w:space="0"/>
              <w:bottom w:val="single" w:color="000000" w:sz="4" w:space="0"/>
              <w:right w:val="single" w:color="000000" w:sz="4" w:space="0"/>
            </w:tcBorders>
            <w:vAlign w:val="center"/>
          </w:tcPr>
          <w:p>
            <w:pPr>
              <w:snapToGrid w:val="0"/>
              <w:spacing w:line="400" w:lineRule="exact"/>
              <w:ind w:firstLine="240" w:firstLineChars="100"/>
              <w:jc w:val="both"/>
              <w:rPr>
                <w:rFonts w:ascii="宋体" w:hAnsi="宋体" w:eastAsia="宋体"/>
                <w:color w:val="auto"/>
                <w:spacing w:val="2"/>
                <w:sz w:val="24"/>
                <w:szCs w:val="24"/>
              </w:rPr>
            </w:pPr>
            <w:r>
              <w:rPr>
                <w:rFonts w:hint="eastAsia" w:ascii="宋体" w:hAnsi="宋体" w:eastAsia="宋体" w:cs="宋体"/>
                <w:color w:val="auto"/>
                <w:sz w:val="24"/>
                <w:szCs w:val="24"/>
              </w:rPr>
              <w:t>近三年度经会计师事务所出具的财务审计报告。</w:t>
            </w:r>
          </w:p>
        </w:tc>
      </w:tr>
      <w:tr>
        <w:tblPrEx>
          <w:tblLayout w:type="fixed"/>
          <w:tblCellMar>
            <w:top w:w="0" w:type="dxa"/>
            <w:left w:w="0" w:type="dxa"/>
            <w:bottom w:w="0" w:type="dxa"/>
            <w:right w:w="0" w:type="dxa"/>
          </w:tblCellMar>
        </w:tblPrEx>
        <w:trPr>
          <w:trHeight w:val="565" w:hRule="atLeast"/>
          <w:jc w:val="center"/>
        </w:trPr>
        <w:tc>
          <w:tcPr>
            <w:tcW w:w="776" w:type="dxa"/>
            <w:vMerge w:val="continue"/>
            <w:tcBorders>
              <w:left w:val="single" w:color="000000" w:sz="4" w:space="0"/>
              <w:right w:val="single" w:color="000000" w:sz="4" w:space="0"/>
            </w:tcBorders>
          </w:tcPr>
          <w:p>
            <w:pPr>
              <w:snapToGrid w:val="0"/>
              <w:spacing w:line="400" w:lineRule="exact"/>
              <w:ind w:firstLine="0" w:firstLineChars="0"/>
              <w:jc w:val="center"/>
              <w:rPr>
                <w:rFonts w:ascii="宋体" w:hAnsi="宋体" w:eastAsia="宋体"/>
                <w:color w:val="auto"/>
                <w:spacing w:val="2"/>
                <w:sz w:val="24"/>
                <w:szCs w:val="24"/>
              </w:rPr>
            </w:pPr>
          </w:p>
        </w:tc>
        <w:tc>
          <w:tcPr>
            <w:tcW w:w="967" w:type="dxa"/>
            <w:vMerge w:val="continue"/>
            <w:tcBorders>
              <w:left w:val="single" w:color="000000" w:sz="4" w:space="0"/>
              <w:right w:val="single" w:color="000000" w:sz="4" w:space="0"/>
            </w:tcBorders>
          </w:tcPr>
          <w:p>
            <w:pPr>
              <w:snapToGrid w:val="0"/>
              <w:spacing w:line="400" w:lineRule="exact"/>
              <w:ind w:firstLine="0" w:firstLineChars="0"/>
              <w:jc w:val="both"/>
              <w:rPr>
                <w:rFonts w:ascii="宋体" w:hAnsi="宋体" w:eastAsia="宋体"/>
                <w:color w:val="auto"/>
                <w:spacing w:val="2"/>
                <w:sz w:val="24"/>
                <w:szCs w:val="24"/>
              </w:rPr>
            </w:pPr>
          </w:p>
        </w:tc>
        <w:tc>
          <w:tcPr>
            <w:tcW w:w="2135"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cs="宋体"/>
                <w:color w:val="auto"/>
                <w:sz w:val="24"/>
                <w:szCs w:val="24"/>
              </w:rPr>
            </w:pPr>
            <w:r>
              <w:rPr>
                <w:rFonts w:hint="eastAsia" w:ascii="宋体" w:hAnsi="宋体" w:eastAsia="宋体"/>
                <w:color w:val="auto"/>
                <w:spacing w:val="2"/>
                <w:sz w:val="24"/>
                <w:szCs w:val="24"/>
              </w:rPr>
              <w:t>业绩要求</w:t>
            </w:r>
          </w:p>
        </w:tc>
        <w:tc>
          <w:tcPr>
            <w:tcW w:w="4772" w:type="dxa"/>
            <w:tcBorders>
              <w:left w:val="single" w:color="000000" w:sz="4" w:space="0"/>
              <w:bottom w:val="single" w:color="000000" w:sz="4" w:space="0"/>
              <w:right w:val="single" w:color="000000" w:sz="4" w:space="0"/>
            </w:tcBorders>
            <w:vAlign w:val="center"/>
          </w:tcPr>
          <w:p>
            <w:pPr>
              <w:snapToGrid w:val="0"/>
              <w:spacing w:line="400" w:lineRule="exact"/>
              <w:ind w:firstLine="240" w:firstLineChars="100"/>
              <w:jc w:val="both"/>
              <w:rPr>
                <w:rFonts w:ascii="宋体" w:hAnsi="宋体" w:eastAsia="宋体"/>
                <w:color w:val="auto"/>
                <w:spacing w:val="2"/>
                <w:sz w:val="24"/>
                <w:szCs w:val="24"/>
              </w:rPr>
            </w:pPr>
            <w:r>
              <w:rPr>
                <w:rFonts w:hint="eastAsia" w:ascii="宋体" w:hAnsi="宋体" w:eastAsia="宋体" w:cs="宋体"/>
                <w:color w:val="auto"/>
                <w:sz w:val="24"/>
                <w:szCs w:val="24"/>
              </w:rPr>
              <w:t>符合第二章“投标人须知”第 1.4.1 项规定</w:t>
            </w:r>
          </w:p>
        </w:tc>
      </w:tr>
      <w:tr>
        <w:tblPrEx>
          <w:tblLayout w:type="fixed"/>
          <w:tblCellMar>
            <w:top w:w="0" w:type="dxa"/>
            <w:left w:w="0" w:type="dxa"/>
            <w:bottom w:w="0" w:type="dxa"/>
            <w:right w:w="0" w:type="dxa"/>
          </w:tblCellMar>
        </w:tblPrEx>
        <w:trPr>
          <w:trHeight w:val="550" w:hRule="atLeast"/>
          <w:jc w:val="center"/>
        </w:trPr>
        <w:tc>
          <w:tcPr>
            <w:tcW w:w="776" w:type="dxa"/>
            <w:vMerge w:val="continue"/>
            <w:tcBorders>
              <w:left w:val="single" w:color="000000" w:sz="4" w:space="0"/>
              <w:right w:val="single" w:color="000000" w:sz="4" w:space="0"/>
            </w:tcBorders>
          </w:tcPr>
          <w:p>
            <w:pPr>
              <w:snapToGrid w:val="0"/>
              <w:spacing w:line="400" w:lineRule="exact"/>
              <w:ind w:firstLine="0" w:firstLineChars="0"/>
              <w:jc w:val="center"/>
              <w:rPr>
                <w:rFonts w:ascii="宋体" w:hAnsi="宋体" w:eastAsia="宋体"/>
                <w:color w:val="auto"/>
                <w:spacing w:val="2"/>
                <w:sz w:val="24"/>
                <w:szCs w:val="24"/>
              </w:rPr>
            </w:pPr>
          </w:p>
        </w:tc>
        <w:tc>
          <w:tcPr>
            <w:tcW w:w="967" w:type="dxa"/>
            <w:vMerge w:val="continue"/>
            <w:tcBorders>
              <w:left w:val="single" w:color="000000" w:sz="4" w:space="0"/>
              <w:right w:val="single" w:color="000000" w:sz="4" w:space="0"/>
            </w:tcBorders>
          </w:tcPr>
          <w:p>
            <w:pPr>
              <w:snapToGrid w:val="0"/>
              <w:spacing w:line="400" w:lineRule="exact"/>
              <w:ind w:firstLine="0" w:firstLineChars="0"/>
              <w:jc w:val="both"/>
              <w:rPr>
                <w:rFonts w:ascii="宋体" w:hAnsi="宋体" w:eastAsia="宋体"/>
                <w:color w:val="auto"/>
                <w:spacing w:val="2"/>
                <w:sz w:val="24"/>
                <w:szCs w:val="24"/>
              </w:rPr>
            </w:pPr>
          </w:p>
        </w:tc>
        <w:tc>
          <w:tcPr>
            <w:tcW w:w="2135"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cs="宋体"/>
                <w:color w:val="auto"/>
                <w:sz w:val="24"/>
                <w:szCs w:val="24"/>
              </w:rPr>
            </w:pPr>
            <w:r>
              <w:rPr>
                <w:rFonts w:hint="eastAsia" w:ascii="宋体" w:hAnsi="宋体" w:eastAsia="宋体"/>
                <w:color w:val="auto"/>
                <w:spacing w:val="2"/>
                <w:sz w:val="24"/>
                <w:szCs w:val="24"/>
              </w:rPr>
              <w:t>信誉要求</w:t>
            </w:r>
          </w:p>
        </w:tc>
        <w:tc>
          <w:tcPr>
            <w:tcW w:w="4772"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color w:val="auto"/>
                <w:spacing w:val="2"/>
                <w:sz w:val="24"/>
                <w:szCs w:val="24"/>
              </w:rPr>
            </w:pPr>
            <w:r>
              <w:rPr>
                <w:rFonts w:hint="eastAsia" w:ascii="宋体" w:hAnsi="宋体" w:eastAsia="宋体"/>
                <w:color w:val="auto"/>
                <w:spacing w:val="2"/>
                <w:sz w:val="24"/>
                <w:szCs w:val="24"/>
              </w:rPr>
              <w:t>符合第二章“投标人须知”第 1.4.1 项规定</w:t>
            </w:r>
          </w:p>
        </w:tc>
      </w:tr>
      <w:tr>
        <w:tblPrEx>
          <w:tblLayout w:type="fixed"/>
          <w:tblCellMar>
            <w:top w:w="0" w:type="dxa"/>
            <w:left w:w="0" w:type="dxa"/>
            <w:bottom w:w="0" w:type="dxa"/>
            <w:right w:w="0" w:type="dxa"/>
          </w:tblCellMar>
        </w:tblPrEx>
        <w:trPr>
          <w:trHeight w:val="550" w:hRule="atLeast"/>
          <w:jc w:val="center"/>
        </w:trPr>
        <w:tc>
          <w:tcPr>
            <w:tcW w:w="776" w:type="dxa"/>
            <w:vMerge w:val="continue"/>
            <w:tcBorders>
              <w:left w:val="single" w:color="000000" w:sz="4" w:space="0"/>
              <w:right w:val="single" w:color="000000" w:sz="4" w:space="0"/>
            </w:tcBorders>
          </w:tcPr>
          <w:p>
            <w:pPr>
              <w:snapToGrid w:val="0"/>
              <w:spacing w:line="400" w:lineRule="exact"/>
              <w:ind w:firstLine="0" w:firstLineChars="0"/>
              <w:jc w:val="center"/>
              <w:rPr>
                <w:rFonts w:ascii="宋体" w:hAnsi="宋体" w:eastAsia="宋体"/>
                <w:color w:val="auto"/>
                <w:spacing w:val="2"/>
                <w:sz w:val="24"/>
                <w:szCs w:val="24"/>
              </w:rPr>
            </w:pPr>
          </w:p>
        </w:tc>
        <w:tc>
          <w:tcPr>
            <w:tcW w:w="967" w:type="dxa"/>
            <w:vMerge w:val="continue"/>
            <w:tcBorders>
              <w:left w:val="single" w:color="000000" w:sz="4" w:space="0"/>
              <w:right w:val="single" w:color="000000" w:sz="4" w:space="0"/>
            </w:tcBorders>
          </w:tcPr>
          <w:p>
            <w:pPr>
              <w:snapToGrid w:val="0"/>
              <w:spacing w:line="400" w:lineRule="exact"/>
              <w:ind w:firstLine="0" w:firstLineChars="0"/>
              <w:jc w:val="both"/>
              <w:rPr>
                <w:rFonts w:ascii="宋体" w:hAnsi="宋体" w:eastAsia="宋体"/>
                <w:color w:val="auto"/>
                <w:spacing w:val="2"/>
                <w:sz w:val="24"/>
                <w:szCs w:val="24"/>
              </w:rPr>
            </w:pPr>
          </w:p>
        </w:tc>
        <w:tc>
          <w:tcPr>
            <w:tcW w:w="2135" w:type="dxa"/>
            <w:tcBorders>
              <w:left w:val="single" w:color="000000" w:sz="4" w:space="0"/>
              <w:bottom w:val="single" w:color="000000" w:sz="4" w:space="0"/>
              <w:right w:val="single" w:color="000000" w:sz="4" w:space="0"/>
            </w:tcBorders>
            <w:shd w:val="clear" w:color="auto" w:fill="auto"/>
            <w:vAlign w:val="center"/>
          </w:tcPr>
          <w:p>
            <w:pPr>
              <w:snapToGrid w:val="0"/>
              <w:spacing w:line="400" w:lineRule="exact"/>
              <w:ind w:firstLine="0" w:firstLineChars="0"/>
              <w:jc w:val="center"/>
              <w:rPr>
                <w:rFonts w:ascii="宋体" w:hAnsi="宋体" w:eastAsia="宋体"/>
                <w:color w:val="auto"/>
                <w:spacing w:val="2"/>
                <w:sz w:val="24"/>
                <w:szCs w:val="24"/>
              </w:rPr>
            </w:pPr>
            <w:r>
              <w:rPr>
                <w:rFonts w:hint="eastAsia" w:ascii="宋体" w:hAnsi="宋体" w:eastAsia="宋体"/>
                <w:color w:val="auto"/>
                <w:spacing w:val="2"/>
                <w:sz w:val="24"/>
                <w:szCs w:val="24"/>
              </w:rPr>
              <w:t>项目负责人</w:t>
            </w:r>
          </w:p>
        </w:tc>
        <w:tc>
          <w:tcPr>
            <w:tcW w:w="4772"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符合第二章“投标人须知”第 1.4.1 项规定</w:t>
            </w:r>
          </w:p>
        </w:tc>
      </w:tr>
      <w:tr>
        <w:tblPrEx>
          <w:tblLayout w:type="fixed"/>
          <w:tblCellMar>
            <w:top w:w="0" w:type="dxa"/>
            <w:left w:w="0" w:type="dxa"/>
            <w:bottom w:w="0" w:type="dxa"/>
            <w:right w:w="0" w:type="dxa"/>
          </w:tblCellMar>
        </w:tblPrEx>
        <w:trPr>
          <w:trHeight w:val="595" w:hRule="atLeast"/>
          <w:jc w:val="center"/>
        </w:trPr>
        <w:tc>
          <w:tcPr>
            <w:tcW w:w="776" w:type="dxa"/>
            <w:vMerge w:val="continue"/>
            <w:tcBorders>
              <w:left w:val="single" w:color="000000" w:sz="4" w:space="0"/>
              <w:right w:val="single" w:color="000000" w:sz="4" w:space="0"/>
            </w:tcBorders>
          </w:tcPr>
          <w:p>
            <w:pPr>
              <w:snapToGrid w:val="0"/>
              <w:spacing w:line="400" w:lineRule="exact"/>
              <w:ind w:firstLine="0" w:firstLineChars="0"/>
              <w:jc w:val="center"/>
              <w:rPr>
                <w:rFonts w:ascii="宋体" w:hAnsi="宋体" w:eastAsia="宋体"/>
                <w:color w:val="auto"/>
                <w:spacing w:val="2"/>
                <w:sz w:val="24"/>
                <w:szCs w:val="24"/>
              </w:rPr>
            </w:pPr>
          </w:p>
        </w:tc>
        <w:tc>
          <w:tcPr>
            <w:tcW w:w="967" w:type="dxa"/>
            <w:vMerge w:val="continue"/>
            <w:tcBorders>
              <w:left w:val="single" w:color="000000" w:sz="4" w:space="0"/>
              <w:right w:val="single" w:color="000000" w:sz="4" w:space="0"/>
            </w:tcBorders>
          </w:tcPr>
          <w:p>
            <w:pPr>
              <w:snapToGrid w:val="0"/>
              <w:spacing w:line="400" w:lineRule="exact"/>
              <w:ind w:firstLine="0" w:firstLineChars="0"/>
              <w:jc w:val="both"/>
              <w:rPr>
                <w:rFonts w:ascii="宋体" w:hAnsi="宋体" w:eastAsia="宋体"/>
                <w:color w:val="auto"/>
                <w:spacing w:val="2"/>
                <w:sz w:val="24"/>
                <w:szCs w:val="24"/>
              </w:rPr>
            </w:pPr>
          </w:p>
        </w:tc>
        <w:tc>
          <w:tcPr>
            <w:tcW w:w="2135"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cs="宋体"/>
                <w:color w:val="auto"/>
                <w:sz w:val="24"/>
                <w:szCs w:val="24"/>
              </w:rPr>
            </w:pPr>
            <w:r>
              <w:rPr>
                <w:rFonts w:hint="eastAsia" w:ascii="宋体" w:hAnsi="宋体" w:eastAsia="宋体"/>
                <w:color w:val="auto"/>
                <w:spacing w:val="2"/>
                <w:sz w:val="24"/>
                <w:szCs w:val="24"/>
              </w:rPr>
              <w:t>其他要求</w:t>
            </w:r>
          </w:p>
        </w:tc>
        <w:tc>
          <w:tcPr>
            <w:tcW w:w="4772" w:type="dxa"/>
            <w:tcBorders>
              <w:left w:val="single" w:color="000000" w:sz="4" w:space="0"/>
              <w:bottom w:val="single" w:color="000000" w:sz="4" w:space="0"/>
              <w:right w:val="single" w:color="000000" w:sz="4" w:space="0"/>
            </w:tcBorders>
            <w:vAlign w:val="center"/>
          </w:tcPr>
          <w:p>
            <w:pPr>
              <w:snapToGrid w:val="0"/>
              <w:spacing w:line="400" w:lineRule="exact"/>
              <w:ind w:firstLine="240" w:firstLineChars="100"/>
              <w:jc w:val="both"/>
              <w:rPr>
                <w:rFonts w:ascii="宋体" w:hAnsi="宋体" w:eastAsia="宋体"/>
                <w:color w:val="auto"/>
                <w:spacing w:val="2"/>
                <w:sz w:val="24"/>
                <w:szCs w:val="24"/>
              </w:rPr>
            </w:pPr>
            <w:r>
              <w:rPr>
                <w:rFonts w:hint="eastAsia" w:ascii="宋体" w:hAnsi="宋体" w:eastAsia="宋体" w:cs="宋体"/>
                <w:color w:val="auto"/>
                <w:sz w:val="24"/>
                <w:szCs w:val="24"/>
              </w:rPr>
              <w:t>具有履行合同所必须的设备和专业技术能力。</w:t>
            </w:r>
          </w:p>
        </w:tc>
      </w:tr>
      <w:tr>
        <w:tblPrEx>
          <w:tblLayout w:type="fixed"/>
          <w:tblCellMar>
            <w:top w:w="0" w:type="dxa"/>
            <w:left w:w="0" w:type="dxa"/>
            <w:bottom w:w="0" w:type="dxa"/>
            <w:right w:w="0" w:type="dxa"/>
          </w:tblCellMar>
        </w:tblPrEx>
        <w:trPr>
          <w:trHeight w:val="420" w:hRule="atLeast"/>
          <w:jc w:val="center"/>
        </w:trPr>
        <w:tc>
          <w:tcPr>
            <w:tcW w:w="776" w:type="dxa"/>
            <w:vMerge w:val="continue"/>
            <w:tcBorders>
              <w:left w:val="single" w:color="000000" w:sz="4" w:space="0"/>
              <w:bottom w:val="single" w:color="auto" w:sz="4" w:space="0"/>
              <w:right w:val="single" w:color="000000" w:sz="4" w:space="0"/>
            </w:tcBorders>
          </w:tcPr>
          <w:p>
            <w:pPr>
              <w:snapToGrid w:val="0"/>
              <w:spacing w:line="400" w:lineRule="exact"/>
              <w:ind w:firstLine="0" w:firstLineChars="0"/>
              <w:jc w:val="center"/>
              <w:rPr>
                <w:rFonts w:ascii="宋体" w:hAnsi="宋体" w:eastAsia="宋体"/>
                <w:color w:val="auto"/>
                <w:spacing w:val="2"/>
                <w:sz w:val="24"/>
                <w:szCs w:val="24"/>
              </w:rPr>
            </w:pPr>
          </w:p>
        </w:tc>
        <w:tc>
          <w:tcPr>
            <w:tcW w:w="967" w:type="dxa"/>
            <w:vMerge w:val="continue"/>
            <w:tcBorders>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eastAsia="宋体"/>
                <w:color w:val="auto"/>
                <w:spacing w:val="2"/>
                <w:sz w:val="24"/>
                <w:szCs w:val="24"/>
              </w:rPr>
            </w:pPr>
          </w:p>
        </w:tc>
        <w:tc>
          <w:tcPr>
            <w:tcW w:w="2135"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color w:val="auto"/>
                <w:spacing w:val="2"/>
                <w:sz w:val="24"/>
                <w:szCs w:val="24"/>
              </w:rPr>
            </w:pPr>
            <w:r>
              <w:rPr>
                <w:rFonts w:hint="eastAsia" w:ascii="宋体" w:hAnsi="宋体" w:eastAsia="宋体"/>
                <w:color w:val="auto"/>
                <w:spacing w:val="2"/>
                <w:sz w:val="24"/>
                <w:szCs w:val="24"/>
              </w:rPr>
              <w:t>不存在</w:t>
            </w:r>
          </w:p>
          <w:p>
            <w:pPr>
              <w:snapToGrid w:val="0"/>
              <w:spacing w:line="400" w:lineRule="exact"/>
              <w:ind w:firstLine="0" w:firstLineChars="0"/>
              <w:jc w:val="center"/>
              <w:rPr>
                <w:rFonts w:ascii="宋体" w:hAnsi="宋体" w:eastAsia="宋体"/>
                <w:color w:val="auto"/>
                <w:spacing w:val="2"/>
                <w:sz w:val="24"/>
                <w:szCs w:val="24"/>
              </w:rPr>
            </w:pPr>
            <w:r>
              <w:rPr>
                <w:rFonts w:hint="eastAsia" w:ascii="宋体" w:hAnsi="宋体" w:eastAsia="宋体"/>
                <w:color w:val="auto"/>
                <w:spacing w:val="2"/>
                <w:sz w:val="24"/>
                <w:szCs w:val="24"/>
              </w:rPr>
              <w:t>禁止投标的情形</w:t>
            </w:r>
          </w:p>
        </w:tc>
        <w:tc>
          <w:tcPr>
            <w:tcW w:w="4772" w:type="dxa"/>
            <w:tcBorders>
              <w:left w:val="single" w:color="000000" w:sz="4" w:space="0"/>
              <w:bottom w:val="single" w:color="000000" w:sz="4" w:space="0"/>
              <w:right w:val="single" w:color="000000" w:sz="4" w:space="0"/>
            </w:tcBorders>
          </w:tcPr>
          <w:p>
            <w:pPr>
              <w:snapToGrid w:val="0"/>
              <w:spacing w:line="400" w:lineRule="exact"/>
              <w:ind w:firstLine="488"/>
              <w:jc w:val="both"/>
              <w:rPr>
                <w:rFonts w:ascii="宋体" w:hAnsi="宋体" w:eastAsia="宋体"/>
                <w:color w:val="auto"/>
                <w:spacing w:val="2"/>
                <w:sz w:val="24"/>
                <w:szCs w:val="24"/>
              </w:rPr>
            </w:pPr>
            <w:r>
              <w:rPr>
                <w:rFonts w:hint="eastAsia" w:ascii="宋体" w:hAnsi="宋体" w:eastAsia="宋体"/>
                <w:color w:val="auto"/>
                <w:spacing w:val="2"/>
                <w:sz w:val="24"/>
                <w:szCs w:val="24"/>
              </w:rPr>
              <w:t>不存在第二章“投标人须知”第 1.4.3 项规定的任何一种情形。</w:t>
            </w:r>
          </w:p>
        </w:tc>
      </w:tr>
      <w:tr>
        <w:tblPrEx>
          <w:tblLayout w:type="fixed"/>
          <w:tblCellMar>
            <w:top w:w="0" w:type="dxa"/>
            <w:left w:w="0" w:type="dxa"/>
            <w:bottom w:w="0" w:type="dxa"/>
            <w:right w:w="0" w:type="dxa"/>
          </w:tblCellMar>
        </w:tblPrEx>
        <w:trPr>
          <w:trHeight w:val="610" w:hRule="atLeast"/>
          <w:jc w:val="center"/>
        </w:trPr>
        <w:tc>
          <w:tcPr>
            <w:tcW w:w="776" w:type="dxa"/>
            <w:vMerge w:val="restart"/>
            <w:tcBorders>
              <w:top w:val="single" w:color="auto" w:sz="4" w:space="0"/>
              <w:left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color w:val="auto"/>
                <w:spacing w:val="2"/>
                <w:sz w:val="24"/>
                <w:szCs w:val="24"/>
              </w:rPr>
            </w:pPr>
          </w:p>
          <w:p>
            <w:pPr>
              <w:snapToGrid w:val="0"/>
              <w:spacing w:line="400" w:lineRule="exact"/>
              <w:ind w:firstLine="0" w:firstLineChars="0"/>
              <w:jc w:val="center"/>
              <w:rPr>
                <w:rFonts w:ascii="宋体" w:hAnsi="宋体" w:eastAsia="宋体"/>
                <w:color w:val="auto"/>
                <w:spacing w:val="2"/>
                <w:sz w:val="24"/>
                <w:szCs w:val="24"/>
              </w:rPr>
            </w:pPr>
          </w:p>
          <w:p>
            <w:pPr>
              <w:snapToGrid w:val="0"/>
              <w:spacing w:line="400" w:lineRule="exact"/>
              <w:ind w:firstLine="0" w:firstLineChars="0"/>
              <w:jc w:val="center"/>
              <w:rPr>
                <w:rFonts w:ascii="宋体" w:hAnsi="宋体" w:eastAsia="宋体"/>
                <w:color w:val="auto"/>
                <w:spacing w:val="2"/>
                <w:sz w:val="24"/>
                <w:szCs w:val="24"/>
              </w:rPr>
            </w:pPr>
            <w:r>
              <w:rPr>
                <w:rFonts w:hint="eastAsia" w:ascii="宋体" w:hAnsi="宋体" w:eastAsia="宋体"/>
                <w:color w:val="auto"/>
                <w:spacing w:val="2"/>
                <w:sz w:val="24"/>
                <w:szCs w:val="24"/>
              </w:rPr>
              <w:t>2.1.3</w:t>
            </w:r>
          </w:p>
          <w:p>
            <w:pPr>
              <w:snapToGrid w:val="0"/>
              <w:spacing w:line="400" w:lineRule="exact"/>
              <w:ind w:firstLine="0" w:firstLineChars="0"/>
              <w:jc w:val="both"/>
              <w:rPr>
                <w:color w:val="auto"/>
              </w:rPr>
            </w:pPr>
          </w:p>
          <w:p>
            <w:pPr>
              <w:pStyle w:val="33"/>
              <w:ind w:left="2250" w:hanging="1200"/>
              <w:rPr>
                <w:color w:val="auto"/>
              </w:rPr>
            </w:pPr>
          </w:p>
        </w:tc>
        <w:tc>
          <w:tcPr>
            <w:tcW w:w="967" w:type="dxa"/>
            <w:vMerge w:val="restart"/>
            <w:tcBorders>
              <w:top w:val="single" w:color="auto" w:sz="4" w:space="0"/>
              <w:left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color w:val="auto"/>
                <w:spacing w:val="2"/>
                <w:sz w:val="24"/>
                <w:szCs w:val="24"/>
              </w:rPr>
            </w:pPr>
          </w:p>
          <w:p>
            <w:pPr>
              <w:snapToGrid w:val="0"/>
              <w:spacing w:line="400" w:lineRule="exact"/>
              <w:ind w:firstLine="0" w:firstLineChars="0"/>
              <w:jc w:val="both"/>
              <w:rPr>
                <w:rFonts w:ascii="宋体" w:hAnsi="宋体" w:eastAsia="宋体"/>
                <w:color w:val="auto"/>
                <w:spacing w:val="2"/>
                <w:sz w:val="24"/>
                <w:szCs w:val="24"/>
              </w:rPr>
            </w:pPr>
          </w:p>
          <w:p>
            <w:pPr>
              <w:snapToGrid w:val="0"/>
              <w:spacing w:line="400" w:lineRule="exact"/>
              <w:ind w:firstLine="0" w:firstLineChars="0"/>
              <w:jc w:val="center"/>
              <w:rPr>
                <w:rFonts w:ascii="宋体" w:hAnsi="宋体" w:eastAsia="宋体"/>
                <w:color w:val="auto"/>
                <w:spacing w:val="2"/>
                <w:sz w:val="24"/>
                <w:szCs w:val="24"/>
              </w:rPr>
            </w:pPr>
            <w:r>
              <w:rPr>
                <w:rFonts w:hint="eastAsia" w:ascii="宋体" w:hAnsi="宋体" w:eastAsia="宋体"/>
                <w:color w:val="auto"/>
                <w:spacing w:val="2"/>
                <w:sz w:val="24"/>
                <w:szCs w:val="24"/>
              </w:rPr>
              <w:t>响应性</w:t>
            </w:r>
          </w:p>
          <w:p>
            <w:pPr>
              <w:snapToGrid w:val="0"/>
              <w:spacing w:line="400" w:lineRule="exact"/>
              <w:ind w:firstLine="0" w:firstLineChars="0"/>
              <w:jc w:val="center"/>
              <w:rPr>
                <w:rFonts w:ascii="宋体" w:hAnsi="宋体" w:eastAsia="宋体"/>
                <w:color w:val="auto"/>
                <w:spacing w:val="2"/>
                <w:sz w:val="24"/>
                <w:szCs w:val="24"/>
              </w:rPr>
            </w:pPr>
          </w:p>
          <w:p>
            <w:pPr>
              <w:snapToGrid w:val="0"/>
              <w:spacing w:line="400" w:lineRule="exact"/>
              <w:ind w:firstLine="0" w:firstLineChars="0"/>
              <w:jc w:val="center"/>
              <w:rPr>
                <w:rFonts w:ascii="宋体" w:hAnsi="宋体" w:eastAsia="宋体"/>
                <w:color w:val="auto"/>
                <w:spacing w:val="2"/>
                <w:sz w:val="24"/>
                <w:szCs w:val="24"/>
              </w:rPr>
            </w:pPr>
          </w:p>
          <w:p>
            <w:pPr>
              <w:snapToGrid w:val="0"/>
              <w:spacing w:line="400" w:lineRule="exact"/>
              <w:ind w:firstLine="0" w:firstLineChars="0"/>
              <w:jc w:val="center"/>
              <w:rPr>
                <w:rFonts w:ascii="宋体" w:hAnsi="宋体" w:eastAsia="宋体"/>
                <w:color w:val="auto"/>
                <w:spacing w:val="2"/>
                <w:sz w:val="24"/>
                <w:szCs w:val="24"/>
              </w:rPr>
            </w:pPr>
          </w:p>
          <w:p>
            <w:pPr>
              <w:snapToGrid w:val="0"/>
              <w:spacing w:line="400" w:lineRule="exact"/>
              <w:ind w:firstLine="0" w:firstLineChars="0"/>
              <w:jc w:val="center"/>
              <w:rPr>
                <w:rFonts w:ascii="宋体" w:hAnsi="宋体" w:eastAsia="宋体"/>
                <w:color w:val="auto"/>
                <w:spacing w:val="2"/>
                <w:sz w:val="24"/>
                <w:szCs w:val="24"/>
              </w:rPr>
            </w:pPr>
          </w:p>
          <w:p>
            <w:pPr>
              <w:snapToGrid w:val="0"/>
              <w:spacing w:line="400" w:lineRule="exact"/>
              <w:ind w:firstLine="0" w:firstLineChars="0"/>
              <w:jc w:val="center"/>
              <w:rPr>
                <w:rFonts w:ascii="宋体" w:hAnsi="宋体" w:eastAsia="宋体"/>
                <w:color w:val="auto"/>
                <w:spacing w:val="2"/>
                <w:sz w:val="24"/>
                <w:szCs w:val="24"/>
              </w:rPr>
            </w:pPr>
            <w:r>
              <w:rPr>
                <w:rFonts w:hint="eastAsia" w:ascii="宋体" w:hAnsi="宋体" w:eastAsia="宋体"/>
                <w:color w:val="auto"/>
                <w:spacing w:val="2"/>
                <w:sz w:val="24"/>
                <w:szCs w:val="24"/>
              </w:rPr>
              <w:t>评审标准</w:t>
            </w:r>
          </w:p>
        </w:tc>
        <w:tc>
          <w:tcPr>
            <w:tcW w:w="2135"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color w:val="auto"/>
                <w:spacing w:val="2"/>
                <w:sz w:val="24"/>
                <w:szCs w:val="24"/>
              </w:rPr>
            </w:pPr>
            <w:r>
              <w:rPr>
                <w:rFonts w:hint="eastAsia" w:ascii="宋体" w:hAnsi="宋体" w:eastAsia="宋体"/>
                <w:color w:val="auto"/>
                <w:spacing w:val="2"/>
                <w:sz w:val="24"/>
                <w:szCs w:val="24"/>
              </w:rPr>
              <w:t>投标报价</w:t>
            </w:r>
          </w:p>
        </w:tc>
        <w:tc>
          <w:tcPr>
            <w:tcW w:w="477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color w:val="auto"/>
                <w:spacing w:val="2"/>
                <w:sz w:val="24"/>
                <w:szCs w:val="24"/>
              </w:rPr>
            </w:pPr>
            <w:r>
              <w:rPr>
                <w:rFonts w:hint="eastAsia" w:ascii="宋体" w:hAnsi="宋体" w:eastAsia="宋体"/>
                <w:color w:val="auto"/>
                <w:spacing w:val="2"/>
                <w:sz w:val="24"/>
                <w:szCs w:val="24"/>
              </w:rPr>
              <w:t>符合第二章“投标人须知”第 3.2 款规定</w:t>
            </w:r>
          </w:p>
        </w:tc>
      </w:tr>
      <w:tr>
        <w:tblPrEx>
          <w:tblLayout w:type="fixed"/>
          <w:tblCellMar>
            <w:top w:w="0" w:type="dxa"/>
            <w:left w:w="0" w:type="dxa"/>
            <w:bottom w:w="0" w:type="dxa"/>
            <w:right w:w="0" w:type="dxa"/>
          </w:tblCellMar>
        </w:tblPrEx>
        <w:trPr>
          <w:trHeight w:val="610" w:hRule="atLeast"/>
          <w:jc w:val="center"/>
        </w:trPr>
        <w:tc>
          <w:tcPr>
            <w:tcW w:w="776" w:type="dxa"/>
            <w:vMerge w:val="continue"/>
            <w:tcBorders>
              <w:left w:val="single" w:color="000000" w:sz="4" w:space="0"/>
              <w:right w:val="single" w:color="000000" w:sz="4" w:space="0"/>
            </w:tcBorders>
          </w:tcPr>
          <w:p>
            <w:pPr>
              <w:pStyle w:val="33"/>
              <w:ind w:left="2250" w:hanging="1200"/>
              <w:rPr>
                <w:color w:val="auto"/>
              </w:rPr>
            </w:pPr>
          </w:p>
        </w:tc>
        <w:tc>
          <w:tcPr>
            <w:tcW w:w="967" w:type="dxa"/>
            <w:vMerge w:val="continue"/>
            <w:tcBorders>
              <w:left w:val="single" w:color="000000" w:sz="4" w:space="0"/>
              <w:right w:val="single" w:color="000000" w:sz="4" w:space="0"/>
            </w:tcBorders>
          </w:tcPr>
          <w:p>
            <w:pPr>
              <w:snapToGrid w:val="0"/>
              <w:spacing w:line="400" w:lineRule="exact"/>
              <w:ind w:firstLine="0" w:firstLineChars="0"/>
              <w:jc w:val="both"/>
              <w:rPr>
                <w:rFonts w:ascii="宋体" w:hAnsi="宋体" w:eastAsia="宋体"/>
                <w:color w:val="auto"/>
                <w:spacing w:val="2"/>
                <w:sz w:val="24"/>
                <w:szCs w:val="24"/>
              </w:rPr>
            </w:pPr>
          </w:p>
        </w:tc>
        <w:tc>
          <w:tcPr>
            <w:tcW w:w="2135"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color w:val="auto"/>
                <w:spacing w:val="2"/>
                <w:sz w:val="24"/>
                <w:szCs w:val="24"/>
              </w:rPr>
            </w:pPr>
            <w:r>
              <w:rPr>
                <w:rFonts w:hint="eastAsia" w:ascii="宋体" w:hAnsi="宋体" w:eastAsia="宋体"/>
                <w:color w:val="auto"/>
                <w:spacing w:val="2"/>
                <w:sz w:val="24"/>
                <w:szCs w:val="24"/>
              </w:rPr>
              <w:t>投标内容</w:t>
            </w:r>
          </w:p>
        </w:tc>
        <w:tc>
          <w:tcPr>
            <w:tcW w:w="477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color w:val="auto"/>
                <w:spacing w:val="2"/>
                <w:sz w:val="24"/>
                <w:szCs w:val="24"/>
              </w:rPr>
            </w:pPr>
            <w:r>
              <w:rPr>
                <w:rFonts w:hint="eastAsia" w:ascii="宋体" w:hAnsi="宋体" w:eastAsia="宋体"/>
                <w:color w:val="auto"/>
                <w:spacing w:val="2"/>
                <w:sz w:val="24"/>
                <w:szCs w:val="24"/>
              </w:rPr>
              <w:t>符合第二章“投标人须知”第 1.3.1 项规定</w:t>
            </w:r>
          </w:p>
        </w:tc>
      </w:tr>
      <w:tr>
        <w:tblPrEx>
          <w:tblLayout w:type="fixed"/>
          <w:tblCellMar>
            <w:top w:w="0" w:type="dxa"/>
            <w:left w:w="0" w:type="dxa"/>
            <w:bottom w:w="0" w:type="dxa"/>
            <w:right w:w="0" w:type="dxa"/>
          </w:tblCellMar>
        </w:tblPrEx>
        <w:trPr>
          <w:trHeight w:val="595" w:hRule="atLeast"/>
          <w:jc w:val="center"/>
        </w:trPr>
        <w:tc>
          <w:tcPr>
            <w:tcW w:w="776" w:type="dxa"/>
            <w:vMerge w:val="continue"/>
            <w:tcBorders>
              <w:left w:val="single" w:color="000000" w:sz="4" w:space="0"/>
              <w:bottom w:val="single" w:color="auto" w:sz="4" w:space="0"/>
              <w:right w:val="single" w:color="000000" w:sz="4" w:space="0"/>
            </w:tcBorders>
          </w:tcPr>
          <w:p>
            <w:pPr>
              <w:pStyle w:val="33"/>
              <w:ind w:left="2250" w:hanging="1200"/>
              <w:rPr>
                <w:color w:val="auto"/>
              </w:rPr>
            </w:pPr>
          </w:p>
        </w:tc>
        <w:tc>
          <w:tcPr>
            <w:tcW w:w="967" w:type="dxa"/>
            <w:vMerge w:val="continue"/>
            <w:tcBorders>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eastAsia="宋体"/>
                <w:color w:val="auto"/>
                <w:spacing w:val="2"/>
                <w:sz w:val="24"/>
                <w:szCs w:val="24"/>
              </w:rPr>
            </w:pPr>
          </w:p>
        </w:tc>
        <w:tc>
          <w:tcPr>
            <w:tcW w:w="2135"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color w:val="auto"/>
                <w:spacing w:val="2"/>
                <w:sz w:val="24"/>
                <w:szCs w:val="24"/>
              </w:rPr>
            </w:pPr>
            <w:r>
              <w:rPr>
                <w:rFonts w:hint="eastAsia" w:ascii="宋体" w:hAnsi="宋体"/>
                <w:color w:val="auto"/>
                <w:spacing w:val="2"/>
                <w:sz w:val="24"/>
                <w:szCs w:val="24"/>
                <w:lang w:eastAsia="zh-CN"/>
              </w:rPr>
              <w:t>勘察</w:t>
            </w:r>
            <w:r>
              <w:rPr>
                <w:rFonts w:hint="eastAsia" w:ascii="宋体" w:hAnsi="宋体" w:eastAsia="宋体"/>
                <w:color w:val="auto"/>
                <w:spacing w:val="2"/>
                <w:sz w:val="24"/>
                <w:szCs w:val="24"/>
              </w:rPr>
              <w:t>服务期限</w:t>
            </w:r>
          </w:p>
        </w:tc>
        <w:tc>
          <w:tcPr>
            <w:tcW w:w="477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color w:val="auto"/>
                <w:spacing w:val="2"/>
                <w:sz w:val="24"/>
                <w:szCs w:val="24"/>
              </w:rPr>
            </w:pPr>
            <w:r>
              <w:rPr>
                <w:rFonts w:hint="eastAsia" w:ascii="宋体" w:hAnsi="宋体"/>
                <w:color w:val="auto"/>
                <w:spacing w:val="2"/>
                <w:sz w:val="24"/>
                <w:szCs w:val="24"/>
                <w:lang w:val="en-US" w:eastAsia="zh-CN"/>
              </w:rPr>
              <w:t>30日历天</w:t>
            </w:r>
          </w:p>
        </w:tc>
      </w:tr>
      <w:tr>
        <w:tblPrEx>
          <w:tblLayout w:type="fixed"/>
          <w:tblCellMar>
            <w:top w:w="0" w:type="dxa"/>
            <w:left w:w="0" w:type="dxa"/>
            <w:bottom w:w="0" w:type="dxa"/>
            <w:right w:w="0" w:type="dxa"/>
          </w:tblCellMar>
        </w:tblPrEx>
        <w:trPr>
          <w:trHeight w:val="610" w:hRule="atLeast"/>
          <w:jc w:val="center"/>
        </w:trPr>
        <w:tc>
          <w:tcPr>
            <w:tcW w:w="776" w:type="dxa"/>
            <w:vMerge w:val="continue"/>
            <w:tcBorders>
              <w:top w:val="single" w:color="auto" w:sz="4" w:space="0"/>
              <w:left w:val="single" w:color="000000" w:sz="4" w:space="0"/>
              <w:bottom w:val="single" w:color="auto" w:sz="4" w:space="0"/>
              <w:right w:val="single" w:color="000000" w:sz="4" w:space="0"/>
            </w:tcBorders>
          </w:tcPr>
          <w:p>
            <w:pPr>
              <w:pStyle w:val="33"/>
              <w:ind w:left="2250" w:hanging="1200"/>
              <w:rPr>
                <w:color w:val="auto"/>
              </w:rPr>
            </w:pPr>
          </w:p>
        </w:tc>
        <w:tc>
          <w:tcPr>
            <w:tcW w:w="967"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eastAsia="宋体"/>
                <w:color w:val="auto"/>
                <w:spacing w:val="2"/>
                <w:sz w:val="24"/>
                <w:szCs w:val="24"/>
              </w:rPr>
            </w:pPr>
          </w:p>
        </w:tc>
        <w:tc>
          <w:tcPr>
            <w:tcW w:w="2135"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color w:val="auto"/>
                <w:spacing w:val="2"/>
                <w:sz w:val="24"/>
                <w:szCs w:val="24"/>
              </w:rPr>
            </w:pPr>
            <w:r>
              <w:rPr>
                <w:rFonts w:hint="eastAsia" w:ascii="宋体" w:hAnsi="宋体" w:eastAsia="宋体"/>
                <w:color w:val="auto"/>
                <w:spacing w:val="2"/>
                <w:sz w:val="24"/>
                <w:szCs w:val="24"/>
              </w:rPr>
              <w:t>质量标准</w:t>
            </w:r>
          </w:p>
        </w:tc>
        <w:tc>
          <w:tcPr>
            <w:tcW w:w="477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color w:val="auto"/>
                <w:spacing w:val="2"/>
                <w:sz w:val="24"/>
                <w:szCs w:val="24"/>
              </w:rPr>
            </w:pPr>
            <w:r>
              <w:rPr>
                <w:rFonts w:hint="eastAsia" w:ascii="宋体" w:hAnsi="宋体" w:eastAsia="宋体"/>
                <w:color w:val="auto"/>
                <w:spacing w:val="2"/>
                <w:sz w:val="24"/>
                <w:szCs w:val="24"/>
              </w:rPr>
              <w:t>符合国家现行规范、规程、规定、标准的要求(合格)</w:t>
            </w:r>
          </w:p>
        </w:tc>
      </w:tr>
      <w:tr>
        <w:tblPrEx>
          <w:tblLayout w:type="fixed"/>
          <w:tblCellMar>
            <w:top w:w="0" w:type="dxa"/>
            <w:left w:w="0" w:type="dxa"/>
            <w:bottom w:w="0" w:type="dxa"/>
            <w:right w:w="0" w:type="dxa"/>
          </w:tblCellMar>
        </w:tblPrEx>
        <w:trPr>
          <w:trHeight w:val="610" w:hRule="atLeast"/>
          <w:jc w:val="center"/>
        </w:trPr>
        <w:tc>
          <w:tcPr>
            <w:tcW w:w="776"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eastAsia="宋体"/>
                <w:color w:val="auto"/>
                <w:spacing w:val="2"/>
                <w:sz w:val="24"/>
                <w:szCs w:val="24"/>
              </w:rPr>
            </w:pPr>
          </w:p>
        </w:tc>
        <w:tc>
          <w:tcPr>
            <w:tcW w:w="967"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eastAsia="宋体"/>
                <w:color w:val="auto"/>
                <w:spacing w:val="2"/>
                <w:sz w:val="24"/>
                <w:szCs w:val="24"/>
              </w:rPr>
            </w:pPr>
          </w:p>
        </w:tc>
        <w:tc>
          <w:tcPr>
            <w:tcW w:w="2135"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color w:val="auto"/>
                <w:spacing w:val="2"/>
                <w:sz w:val="24"/>
                <w:szCs w:val="24"/>
              </w:rPr>
            </w:pPr>
            <w:r>
              <w:rPr>
                <w:rFonts w:hint="eastAsia" w:ascii="宋体" w:hAnsi="宋体" w:eastAsia="宋体"/>
                <w:color w:val="auto"/>
                <w:spacing w:val="2"/>
                <w:sz w:val="24"/>
                <w:szCs w:val="24"/>
              </w:rPr>
              <w:t>投标有效期</w:t>
            </w:r>
          </w:p>
        </w:tc>
        <w:tc>
          <w:tcPr>
            <w:tcW w:w="477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480"/>
              <w:jc w:val="both"/>
              <w:rPr>
                <w:rFonts w:ascii="宋体" w:hAnsi="宋体" w:eastAsia="宋体"/>
                <w:color w:val="auto"/>
                <w:spacing w:val="2"/>
                <w:sz w:val="24"/>
                <w:szCs w:val="24"/>
              </w:rPr>
            </w:pPr>
            <w:r>
              <w:rPr>
                <w:rFonts w:hint="eastAsia" w:ascii="宋体" w:hAnsi="宋体" w:eastAsia="宋体" w:cs="宋体"/>
                <w:color w:val="auto"/>
                <w:sz w:val="24"/>
                <w:szCs w:val="24"/>
              </w:rPr>
              <w:t>在投标文件递交截止时间结束后60天内。</w:t>
            </w:r>
          </w:p>
        </w:tc>
      </w:tr>
      <w:tr>
        <w:tblPrEx>
          <w:tblLayout w:type="fixed"/>
          <w:tblCellMar>
            <w:top w:w="0" w:type="dxa"/>
            <w:left w:w="0" w:type="dxa"/>
            <w:bottom w:w="0" w:type="dxa"/>
            <w:right w:w="0" w:type="dxa"/>
          </w:tblCellMar>
        </w:tblPrEx>
        <w:trPr>
          <w:trHeight w:val="557" w:hRule="atLeast"/>
          <w:jc w:val="center"/>
        </w:trPr>
        <w:tc>
          <w:tcPr>
            <w:tcW w:w="776"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eastAsia="宋体"/>
                <w:color w:val="auto"/>
                <w:spacing w:val="2"/>
                <w:sz w:val="24"/>
                <w:szCs w:val="24"/>
              </w:rPr>
            </w:pPr>
          </w:p>
        </w:tc>
        <w:tc>
          <w:tcPr>
            <w:tcW w:w="967"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eastAsia="宋体"/>
                <w:color w:val="auto"/>
                <w:spacing w:val="2"/>
                <w:sz w:val="24"/>
                <w:szCs w:val="24"/>
              </w:rPr>
            </w:pPr>
          </w:p>
        </w:tc>
        <w:tc>
          <w:tcPr>
            <w:tcW w:w="2135"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color w:val="auto"/>
                <w:spacing w:val="2"/>
                <w:sz w:val="24"/>
                <w:szCs w:val="24"/>
              </w:rPr>
            </w:pPr>
            <w:r>
              <w:rPr>
                <w:rFonts w:hint="eastAsia" w:ascii="宋体" w:hAnsi="宋体" w:eastAsia="宋体"/>
                <w:color w:val="auto"/>
                <w:spacing w:val="2"/>
                <w:sz w:val="24"/>
                <w:szCs w:val="24"/>
              </w:rPr>
              <w:t>投标保证金</w:t>
            </w:r>
          </w:p>
        </w:tc>
        <w:tc>
          <w:tcPr>
            <w:tcW w:w="477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color w:val="auto"/>
                <w:spacing w:val="2"/>
                <w:sz w:val="24"/>
                <w:szCs w:val="24"/>
              </w:rPr>
            </w:pPr>
            <w:r>
              <w:rPr>
                <w:rFonts w:hint="eastAsia" w:ascii="宋体" w:hAnsi="宋体" w:eastAsia="宋体"/>
                <w:color w:val="auto"/>
                <w:spacing w:val="2"/>
                <w:sz w:val="24"/>
                <w:szCs w:val="24"/>
              </w:rPr>
              <w:t>符合第二章“投标人须知”第 3.4.1 项规定</w:t>
            </w:r>
          </w:p>
        </w:tc>
      </w:tr>
      <w:tr>
        <w:tblPrEx>
          <w:tblLayout w:type="fixed"/>
          <w:tblCellMar>
            <w:top w:w="0" w:type="dxa"/>
            <w:left w:w="0" w:type="dxa"/>
            <w:bottom w:w="0" w:type="dxa"/>
            <w:right w:w="0" w:type="dxa"/>
          </w:tblCellMar>
        </w:tblPrEx>
        <w:trPr>
          <w:trHeight w:val="610" w:hRule="atLeast"/>
          <w:jc w:val="center"/>
        </w:trPr>
        <w:tc>
          <w:tcPr>
            <w:tcW w:w="776"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eastAsia="宋体"/>
                <w:color w:val="auto"/>
                <w:spacing w:val="2"/>
                <w:sz w:val="24"/>
                <w:szCs w:val="24"/>
              </w:rPr>
            </w:pPr>
          </w:p>
        </w:tc>
        <w:tc>
          <w:tcPr>
            <w:tcW w:w="967"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eastAsia="宋体"/>
                <w:color w:val="auto"/>
                <w:spacing w:val="2"/>
                <w:sz w:val="24"/>
                <w:szCs w:val="24"/>
              </w:rPr>
            </w:pPr>
          </w:p>
        </w:tc>
        <w:tc>
          <w:tcPr>
            <w:tcW w:w="213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ind w:firstLine="0" w:firstLineChars="0"/>
              <w:jc w:val="center"/>
              <w:rPr>
                <w:rFonts w:ascii="宋体" w:hAnsi="宋体" w:eastAsia="宋体"/>
                <w:color w:val="auto"/>
                <w:spacing w:val="2"/>
                <w:sz w:val="24"/>
                <w:szCs w:val="24"/>
              </w:rPr>
            </w:pPr>
            <w:r>
              <w:rPr>
                <w:rFonts w:hint="eastAsia" w:ascii="宋体" w:hAnsi="宋体" w:eastAsia="宋体"/>
                <w:color w:val="auto"/>
                <w:spacing w:val="2"/>
                <w:sz w:val="24"/>
                <w:szCs w:val="24"/>
              </w:rPr>
              <w:t>权利义务</w:t>
            </w:r>
          </w:p>
        </w:tc>
        <w:tc>
          <w:tcPr>
            <w:tcW w:w="477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ind w:firstLine="488"/>
              <w:jc w:val="both"/>
              <w:rPr>
                <w:rFonts w:ascii="宋体" w:hAnsi="宋体" w:eastAsia="宋体"/>
                <w:color w:val="auto"/>
                <w:spacing w:val="2"/>
                <w:sz w:val="24"/>
                <w:szCs w:val="24"/>
              </w:rPr>
            </w:pPr>
            <w:r>
              <w:rPr>
                <w:rFonts w:hint="eastAsia" w:ascii="宋体" w:hAnsi="宋体" w:eastAsia="宋体"/>
                <w:color w:val="auto"/>
                <w:spacing w:val="2"/>
                <w:sz w:val="24"/>
                <w:szCs w:val="24"/>
              </w:rPr>
              <w:t>符合第二章“投标人须知”第 1.12.1 项规定和第四章“合同条款及格式”中的实质性要求和条件。</w:t>
            </w:r>
          </w:p>
        </w:tc>
      </w:tr>
      <w:tr>
        <w:tblPrEx>
          <w:tblLayout w:type="fixed"/>
          <w:tblCellMar>
            <w:top w:w="0" w:type="dxa"/>
            <w:left w:w="0" w:type="dxa"/>
            <w:bottom w:w="0" w:type="dxa"/>
            <w:right w:w="0" w:type="dxa"/>
          </w:tblCellMar>
        </w:tblPrEx>
        <w:trPr>
          <w:trHeight w:val="570" w:hRule="atLeast"/>
          <w:jc w:val="center"/>
        </w:trPr>
        <w:tc>
          <w:tcPr>
            <w:tcW w:w="776"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eastAsia="宋体"/>
                <w:color w:val="auto"/>
                <w:spacing w:val="2"/>
                <w:sz w:val="24"/>
                <w:szCs w:val="24"/>
              </w:rPr>
            </w:pPr>
          </w:p>
        </w:tc>
        <w:tc>
          <w:tcPr>
            <w:tcW w:w="967"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eastAsia="宋体"/>
                <w:color w:val="auto"/>
                <w:spacing w:val="2"/>
                <w:sz w:val="24"/>
                <w:szCs w:val="24"/>
              </w:rPr>
            </w:pP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60" w:lineRule="exact"/>
              <w:ind w:firstLine="0" w:firstLineChars="0"/>
              <w:jc w:val="center"/>
              <w:rPr>
                <w:rFonts w:ascii="宋体" w:hAnsi="宋体" w:eastAsia="宋体"/>
                <w:color w:val="auto"/>
                <w:spacing w:val="2"/>
                <w:sz w:val="24"/>
                <w:szCs w:val="24"/>
              </w:rPr>
            </w:pPr>
            <w:r>
              <w:rPr>
                <w:rFonts w:hint="eastAsia" w:ascii="宋体" w:hAnsi="宋体"/>
                <w:color w:val="auto"/>
                <w:spacing w:val="2"/>
                <w:sz w:val="24"/>
                <w:szCs w:val="24"/>
                <w:lang w:eastAsia="zh-CN"/>
              </w:rPr>
              <w:t>勘察纲要</w:t>
            </w:r>
          </w:p>
        </w:tc>
        <w:tc>
          <w:tcPr>
            <w:tcW w:w="477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60" w:lineRule="exact"/>
              <w:ind w:firstLine="0" w:firstLineChars="0"/>
              <w:jc w:val="center"/>
              <w:rPr>
                <w:rFonts w:ascii="宋体" w:hAnsi="宋体" w:eastAsia="宋体"/>
                <w:color w:val="auto"/>
                <w:spacing w:val="2"/>
                <w:sz w:val="24"/>
                <w:szCs w:val="24"/>
              </w:rPr>
            </w:pPr>
            <w:r>
              <w:rPr>
                <w:rFonts w:hint="eastAsia" w:ascii="宋体" w:hAnsi="宋体" w:eastAsia="宋体"/>
                <w:color w:val="auto"/>
                <w:spacing w:val="2"/>
                <w:sz w:val="24"/>
                <w:szCs w:val="24"/>
              </w:rPr>
              <w:t>符合第五章“发包人要求”中的实质性要求和条件。</w:t>
            </w:r>
          </w:p>
        </w:tc>
      </w:tr>
      <w:tr>
        <w:tblPrEx>
          <w:tblLayout w:type="fixed"/>
          <w:tblCellMar>
            <w:top w:w="0" w:type="dxa"/>
            <w:left w:w="0" w:type="dxa"/>
            <w:bottom w:w="0" w:type="dxa"/>
            <w:right w:w="0" w:type="dxa"/>
          </w:tblCellMar>
        </w:tblPrEx>
        <w:trPr>
          <w:trHeight w:val="572" w:hRule="atLeast"/>
          <w:jc w:val="center"/>
        </w:trPr>
        <w:tc>
          <w:tcPr>
            <w:tcW w:w="1743" w:type="dxa"/>
            <w:gridSpan w:val="2"/>
            <w:tcBorders>
              <w:top w:val="single" w:color="auto" w:sz="4" w:space="0"/>
              <w:left w:val="single" w:color="000000" w:sz="4" w:space="0"/>
              <w:bottom w:val="single" w:color="auto" w:sz="4" w:space="0"/>
              <w:right w:val="single" w:color="000000" w:sz="4" w:space="0"/>
            </w:tcBorders>
            <w:vAlign w:val="center"/>
          </w:tcPr>
          <w:p>
            <w:pPr>
              <w:snapToGrid w:val="0"/>
              <w:spacing w:line="400" w:lineRule="exact"/>
              <w:ind w:firstLine="0" w:firstLineChars="0"/>
              <w:jc w:val="center"/>
              <w:rPr>
                <w:rFonts w:ascii="宋体" w:hAnsi="宋体" w:eastAsia="宋体"/>
                <w:color w:val="auto"/>
                <w:spacing w:val="2"/>
                <w:sz w:val="24"/>
                <w:szCs w:val="24"/>
              </w:rPr>
            </w:pPr>
            <w:r>
              <w:rPr>
                <w:rFonts w:hint="eastAsia" w:ascii="宋体" w:hAnsi="宋体" w:eastAsia="宋体"/>
                <w:color w:val="auto"/>
                <w:spacing w:val="2"/>
                <w:sz w:val="24"/>
                <w:szCs w:val="24"/>
              </w:rPr>
              <w:t>条款号</w:t>
            </w:r>
          </w:p>
        </w:tc>
        <w:tc>
          <w:tcPr>
            <w:tcW w:w="2135"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color w:val="auto"/>
                <w:spacing w:val="2"/>
                <w:sz w:val="24"/>
                <w:szCs w:val="24"/>
              </w:rPr>
            </w:pPr>
            <w:r>
              <w:rPr>
                <w:rFonts w:hint="eastAsia" w:ascii="宋体" w:hAnsi="宋体" w:eastAsia="宋体"/>
                <w:color w:val="auto"/>
                <w:spacing w:val="2"/>
                <w:sz w:val="24"/>
                <w:szCs w:val="24"/>
              </w:rPr>
              <w:t>评分因素</w:t>
            </w:r>
          </w:p>
        </w:tc>
        <w:tc>
          <w:tcPr>
            <w:tcW w:w="477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color w:val="auto"/>
                <w:spacing w:val="2"/>
                <w:sz w:val="24"/>
                <w:szCs w:val="24"/>
              </w:rPr>
            </w:pPr>
            <w:r>
              <w:rPr>
                <w:rFonts w:hint="eastAsia" w:ascii="宋体" w:hAnsi="宋体" w:eastAsia="宋体"/>
                <w:color w:val="auto"/>
                <w:spacing w:val="2"/>
                <w:sz w:val="24"/>
                <w:szCs w:val="24"/>
              </w:rPr>
              <w:t>评分标准</w:t>
            </w:r>
          </w:p>
        </w:tc>
      </w:tr>
      <w:tr>
        <w:tblPrEx>
          <w:tblLayout w:type="fixed"/>
          <w:tblCellMar>
            <w:top w:w="0" w:type="dxa"/>
            <w:left w:w="0" w:type="dxa"/>
            <w:bottom w:w="0" w:type="dxa"/>
            <w:right w:w="0" w:type="dxa"/>
          </w:tblCellMar>
        </w:tblPrEx>
        <w:trPr>
          <w:trHeight w:val="620" w:hRule="atLeast"/>
          <w:jc w:val="center"/>
        </w:trPr>
        <w:tc>
          <w:tcPr>
            <w:tcW w:w="1743" w:type="dxa"/>
            <w:gridSpan w:val="2"/>
            <w:tcBorders>
              <w:top w:val="single" w:color="auto" w:sz="4" w:space="0"/>
              <w:left w:val="single" w:color="000000" w:sz="4" w:space="0"/>
              <w:bottom w:val="single" w:color="auto" w:sz="4" w:space="0"/>
              <w:right w:val="single" w:color="000000" w:sz="4" w:space="0"/>
            </w:tcBorders>
            <w:vAlign w:val="center"/>
          </w:tcPr>
          <w:p>
            <w:pPr>
              <w:spacing w:line="400" w:lineRule="exact"/>
              <w:ind w:firstLine="0" w:firstLineChars="0"/>
              <w:jc w:val="center"/>
              <w:rPr>
                <w:rFonts w:ascii="宋体" w:hAnsi="宋体" w:eastAsia="宋体"/>
                <w:color w:val="auto"/>
                <w:spacing w:val="2"/>
                <w:sz w:val="24"/>
                <w:szCs w:val="24"/>
              </w:rPr>
            </w:pPr>
            <w:r>
              <w:rPr>
                <w:rFonts w:hint="eastAsia" w:ascii="宋体" w:hAnsi="宋体" w:eastAsia="宋体" w:cs="宋体"/>
                <w:color w:val="auto"/>
                <w:sz w:val="24"/>
                <w:szCs w:val="24"/>
              </w:rPr>
              <w:t>2.2.1</w:t>
            </w:r>
          </w:p>
        </w:tc>
        <w:tc>
          <w:tcPr>
            <w:tcW w:w="2135"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分值构成</w:t>
            </w:r>
          </w:p>
          <w:p>
            <w:pPr>
              <w:spacing w:line="400" w:lineRule="exact"/>
              <w:ind w:firstLine="0" w:firstLineChars="0"/>
              <w:jc w:val="center"/>
              <w:rPr>
                <w:rFonts w:ascii="宋体" w:hAnsi="宋体" w:eastAsia="宋体"/>
                <w:color w:val="auto"/>
                <w:spacing w:val="2"/>
                <w:sz w:val="24"/>
                <w:szCs w:val="24"/>
              </w:rPr>
            </w:pPr>
            <w:r>
              <w:rPr>
                <w:rFonts w:hint="eastAsia" w:ascii="宋体" w:hAnsi="宋体" w:eastAsia="宋体" w:cs="宋体"/>
                <w:color w:val="auto"/>
                <w:sz w:val="24"/>
                <w:szCs w:val="24"/>
              </w:rPr>
              <w:t>(总分100分)</w:t>
            </w:r>
          </w:p>
        </w:tc>
        <w:tc>
          <w:tcPr>
            <w:tcW w:w="477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ind w:firstLine="488"/>
              <w:jc w:val="both"/>
              <w:rPr>
                <w:rFonts w:ascii="宋体" w:hAnsi="宋体" w:eastAsia="宋体"/>
                <w:color w:val="auto"/>
                <w:spacing w:val="2"/>
                <w:sz w:val="24"/>
                <w:szCs w:val="24"/>
              </w:rPr>
            </w:pPr>
            <w:r>
              <w:rPr>
                <w:rFonts w:hint="eastAsia" w:ascii="宋体" w:hAnsi="宋体" w:eastAsia="宋体"/>
                <w:color w:val="auto"/>
                <w:spacing w:val="2"/>
                <w:sz w:val="24"/>
                <w:szCs w:val="24"/>
              </w:rPr>
              <w:t>投标报价部分：30分</w:t>
            </w:r>
          </w:p>
          <w:p>
            <w:pPr>
              <w:snapToGrid w:val="0"/>
              <w:spacing w:line="360" w:lineRule="exact"/>
              <w:ind w:firstLine="488"/>
              <w:jc w:val="both"/>
              <w:rPr>
                <w:rFonts w:ascii="宋体" w:hAnsi="宋体" w:eastAsia="宋体"/>
                <w:color w:val="auto"/>
                <w:spacing w:val="2"/>
                <w:sz w:val="24"/>
                <w:szCs w:val="24"/>
              </w:rPr>
            </w:pPr>
            <w:r>
              <w:rPr>
                <w:rFonts w:hint="eastAsia" w:ascii="宋体" w:hAnsi="宋体" w:eastAsia="宋体"/>
                <w:color w:val="auto"/>
                <w:spacing w:val="2"/>
                <w:sz w:val="24"/>
                <w:szCs w:val="24"/>
              </w:rPr>
              <w:t>资信业绩部分：40分</w:t>
            </w:r>
          </w:p>
          <w:p>
            <w:pPr>
              <w:snapToGrid w:val="0"/>
              <w:spacing w:line="360" w:lineRule="exact"/>
              <w:ind w:firstLine="488"/>
              <w:jc w:val="both"/>
              <w:rPr>
                <w:rFonts w:ascii="宋体" w:hAnsi="宋体" w:eastAsia="宋体"/>
                <w:color w:val="auto"/>
                <w:spacing w:val="2"/>
                <w:sz w:val="24"/>
                <w:szCs w:val="24"/>
              </w:rPr>
            </w:pPr>
            <w:r>
              <w:rPr>
                <w:rFonts w:hint="eastAsia" w:ascii="宋体" w:hAnsi="宋体"/>
                <w:color w:val="auto"/>
                <w:spacing w:val="2"/>
                <w:sz w:val="24"/>
                <w:szCs w:val="24"/>
                <w:lang w:eastAsia="zh-CN"/>
              </w:rPr>
              <w:t>勘察</w:t>
            </w:r>
            <w:r>
              <w:rPr>
                <w:rFonts w:hint="eastAsia" w:ascii="宋体" w:hAnsi="宋体" w:eastAsia="宋体"/>
                <w:color w:val="auto"/>
                <w:spacing w:val="2"/>
                <w:sz w:val="24"/>
                <w:szCs w:val="24"/>
              </w:rPr>
              <w:t>方案部分：30分</w:t>
            </w:r>
          </w:p>
        </w:tc>
      </w:tr>
      <w:tr>
        <w:tblPrEx>
          <w:tblLayout w:type="fixed"/>
          <w:tblCellMar>
            <w:top w:w="0" w:type="dxa"/>
            <w:left w:w="0" w:type="dxa"/>
            <w:bottom w:w="0" w:type="dxa"/>
            <w:right w:w="0" w:type="dxa"/>
          </w:tblCellMar>
        </w:tblPrEx>
        <w:trPr>
          <w:trHeight w:val="1482" w:hRule="atLeast"/>
          <w:jc w:val="center"/>
        </w:trPr>
        <w:tc>
          <w:tcPr>
            <w:tcW w:w="1743" w:type="dxa"/>
            <w:gridSpan w:val="2"/>
            <w:tcBorders>
              <w:top w:val="single" w:color="auto" w:sz="4" w:space="0"/>
              <w:left w:val="single" w:color="000000" w:sz="4" w:space="0"/>
              <w:bottom w:val="single" w:color="auto" w:sz="4" w:space="0"/>
              <w:right w:val="single" w:color="000000"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2.2.2</w:t>
            </w:r>
          </w:p>
        </w:tc>
        <w:tc>
          <w:tcPr>
            <w:tcW w:w="2135"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cs="宋体"/>
                <w:color w:val="auto"/>
                <w:sz w:val="24"/>
                <w:szCs w:val="24"/>
              </w:rPr>
            </w:pPr>
            <w:r>
              <w:rPr>
                <w:rFonts w:hint="eastAsia" w:ascii="宋体" w:hAnsi="宋体" w:eastAsia="宋体"/>
                <w:color w:val="auto"/>
                <w:spacing w:val="2"/>
                <w:sz w:val="24"/>
                <w:szCs w:val="24"/>
              </w:rPr>
              <w:t>投标报价（30分）</w:t>
            </w:r>
          </w:p>
        </w:tc>
        <w:tc>
          <w:tcPr>
            <w:tcW w:w="4772" w:type="dxa"/>
            <w:tcBorders>
              <w:top w:val="single" w:color="000000" w:sz="4" w:space="0"/>
              <w:left w:val="single" w:color="000000" w:sz="4" w:space="0"/>
              <w:bottom w:val="single" w:color="000000" w:sz="4" w:space="0"/>
              <w:right w:val="single" w:color="000000" w:sz="4" w:space="0"/>
            </w:tcBorders>
          </w:tcPr>
          <w:p>
            <w:pPr>
              <w:snapToGrid w:val="0"/>
              <w:spacing w:line="360" w:lineRule="exact"/>
              <w:ind w:firstLine="488"/>
              <w:jc w:val="both"/>
              <w:rPr>
                <w:rFonts w:ascii="宋体" w:hAnsi="宋体" w:eastAsia="宋体"/>
                <w:color w:val="auto"/>
                <w:spacing w:val="2"/>
                <w:sz w:val="24"/>
                <w:szCs w:val="24"/>
              </w:rPr>
            </w:pPr>
            <w:r>
              <w:rPr>
                <w:rFonts w:hint="eastAsia" w:ascii="宋体" w:hAnsi="宋体" w:eastAsia="宋体"/>
                <w:color w:val="auto"/>
                <w:spacing w:val="2"/>
                <w:sz w:val="24"/>
                <w:szCs w:val="24"/>
              </w:rPr>
              <w:t>价格采用低价优先法计算，即</w:t>
            </w:r>
            <w:r>
              <w:rPr>
                <w:rFonts w:hint="eastAsia" w:ascii="宋体" w:hAnsi="宋体" w:eastAsia="宋体" w:cs="宋体"/>
                <w:color w:val="auto"/>
                <w:sz w:val="24"/>
                <w:szCs w:val="24"/>
              </w:rPr>
              <w:t>满足招标文件要求且投标价格最低的投标报价为评标基准价，</w:t>
            </w:r>
            <w:r>
              <w:rPr>
                <w:rFonts w:hint="eastAsia" w:ascii="宋体" w:hAnsi="宋体" w:eastAsia="宋体"/>
                <w:color w:val="auto"/>
                <w:spacing w:val="2"/>
                <w:sz w:val="24"/>
                <w:szCs w:val="24"/>
              </w:rPr>
              <w:t>其报价得分为满分。其他投标人价格按下列公式计算：</w:t>
            </w:r>
          </w:p>
          <w:p>
            <w:pPr>
              <w:spacing w:line="360" w:lineRule="exact"/>
              <w:ind w:firstLine="228" w:firstLineChars="100"/>
              <w:outlineLvl w:val="0"/>
              <w:rPr>
                <w:rFonts w:ascii="宋体" w:hAnsi="宋体" w:eastAsia="宋体" w:cs="宋体"/>
                <w:color w:val="auto"/>
                <w:sz w:val="24"/>
                <w:szCs w:val="24"/>
              </w:rPr>
            </w:pPr>
            <w:r>
              <w:rPr>
                <w:rFonts w:hint="eastAsia" w:ascii="宋体" w:hAnsi="宋体" w:eastAsia="宋体"/>
                <w:color w:val="auto"/>
                <w:spacing w:val="-6"/>
                <w:sz w:val="24"/>
                <w:szCs w:val="24"/>
              </w:rPr>
              <w:t>投标报价得分=（评标基准价/投标报价）</w:t>
            </w:r>
            <w:r>
              <w:rPr>
                <w:rFonts w:hint="eastAsia" w:ascii="宋体" w:hAnsi="宋体" w:eastAsia="宋体" w:cs="宋体"/>
                <w:color w:val="auto"/>
                <w:spacing w:val="-6"/>
                <w:sz w:val="24"/>
                <w:szCs w:val="24"/>
              </w:rPr>
              <w:t>×100×50%</w:t>
            </w:r>
          </w:p>
        </w:tc>
      </w:tr>
      <w:tr>
        <w:tblPrEx>
          <w:tblLayout w:type="fixed"/>
          <w:tblCellMar>
            <w:top w:w="0" w:type="dxa"/>
            <w:left w:w="0" w:type="dxa"/>
            <w:bottom w:w="0" w:type="dxa"/>
            <w:right w:w="0" w:type="dxa"/>
          </w:tblCellMar>
        </w:tblPrEx>
        <w:trPr>
          <w:trHeight w:val="565" w:hRule="atLeast"/>
          <w:jc w:val="center"/>
        </w:trPr>
        <w:tc>
          <w:tcPr>
            <w:tcW w:w="776" w:type="dxa"/>
            <w:vMerge w:val="restart"/>
            <w:tcBorders>
              <w:top w:val="single" w:color="auto" w:sz="4" w:space="0"/>
              <w:left w:val="single" w:color="000000" w:sz="4" w:space="0"/>
              <w:bottom w:val="single" w:color="auto" w:sz="4" w:space="0"/>
              <w:right w:val="single" w:color="auto" w:sz="4" w:space="0"/>
            </w:tcBorders>
            <w:vAlign w:val="center"/>
          </w:tcPr>
          <w:p>
            <w:pPr>
              <w:snapToGrid w:val="0"/>
              <w:spacing w:line="400" w:lineRule="exact"/>
              <w:ind w:firstLine="0" w:firstLineChars="0"/>
              <w:jc w:val="center"/>
              <w:rPr>
                <w:rFonts w:ascii="宋体" w:hAnsi="宋体" w:eastAsia="宋体" w:cs="宋体"/>
                <w:color w:val="auto"/>
                <w:sz w:val="24"/>
                <w:szCs w:val="24"/>
              </w:rPr>
            </w:pPr>
            <w:r>
              <w:rPr>
                <w:rFonts w:hint="eastAsia" w:ascii="宋体" w:hAnsi="宋体" w:eastAsia="宋体"/>
                <w:color w:val="auto"/>
                <w:spacing w:val="2"/>
                <w:sz w:val="24"/>
                <w:szCs w:val="24"/>
              </w:rPr>
              <w:t>2.2.3</w:t>
            </w:r>
          </w:p>
        </w:tc>
        <w:tc>
          <w:tcPr>
            <w:tcW w:w="967" w:type="dxa"/>
            <w:vMerge w:val="restart"/>
            <w:tcBorders>
              <w:top w:val="single" w:color="auto" w:sz="4" w:space="0"/>
              <w:left w:val="single" w:color="auto" w:sz="4" w:space="0"/>
              <w:bottom w:val="single" w:color="auto" w:sz="4" w:space="0"/>
              <w:right w:val="single" w:color="000000" w:sz="4" w:space="0"/>
            </w:tcBorders>
            <w:vAlign w:val="center"/>
          </w:tcPr>
          <w:p>
            <w:pPr>
              <w:snapToGrid w:val="0"/>
              <w:spacing w:line="400" w:lineRule="exact"/>
              <w:ind w:firstLine="0" w:firstLineChars="0"/>
              <w:jc w:val="center"/>
              <w:rPr>
                <w:rFonts w:ascii="宋体" w:hAnsi="宋体" w:eastAsia="宋体"/>
                <w:color w:val="auto"/>
                <w:spacing w:val="2"/>
                <w:sz w:val="24"/>
                <w:szCs w:val="24"/>
              </w:rPr>
            </w:pPr>
            <w:r>
              <w:rPr>
                <w:rFonts w:hint="eastAsia" w:ascii="宋体" w:hAnsi="宋体" w:eastAsia="宋体"/>
                <w:color w:val="auto"/>
                <w:spacing w:val="2"/>
                <w:sz w:val="24"/>
                <w:szCs w:val="24"/>
              </w:rPr>
              <w:t>资信业绩</w:t>
            </w:r>
          </w:p>
          <w:p>
            <w:pPr>
              <w:snapToGrid w:val="0"/>
              <w:spacing w:line="400" w:lineRule="exact"/>
              <w:ind w:firstLine="0" w:firstLineChars="0"/>
              <w:jc w:val="center"/>
              <w:rPr>
                <w:rFonts w:ascii="宋体" w:hAnsi="宋体" w:eastAsia="宋体" w:cs="宋体"/>
                <w:color w:val="auto"/>
                <w:sz w:val="24"/>
                <w:szCs w:val="24"/>
              </w:rPr>
            </w:pPr>
            <w:r>
              <w:rPr>
                <w:rFonts w:hint="eastAsia" w:ascii="宋体" w:hAnsi="宋体" w:eastAsia="宋体"/>
                <w:color w:val="auto"/>
                <w:spacing w:val="2"/>
                <w:sz w:val="24"/>
                <w:szCs w:val="24"/>
              </w:rPr>
              <w:t>评分标准（40分）</w:t>
            </w:r>
          </w:p>
        </w:tc>
        <w:tc>
          <w:tcPr>
            <w:tcW w:w="2135"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1、项目班子配备</w:t>
            </w:r>
          </w:p>
          <w:p>
            <w:pPr>
              <w:spacing w:line="40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rPr>
              <w:t>分）</w:t>
            </w:r>
          </w:p>
        </w:tc>
        <w:tc>
          <w:tcPr>
            <w:tcW w:w="4772" w:type="dxa"/>
            <w:tcBorders>
              <w:top w:val="single" w:color="000000" w:sz="4" w:space="0"/>
              <w:left w:val="single" w:color="000000" w:sz="4" w:space="0"/>
              <w:bottom w:val="single" w:color="000000" w:sz="4" w:space="0"/>
              <w:right w:val="single" w:color="000000" w:sz="4" w:space="0"/>
            </w:tcBorders>
          </w:tcPr>
          <w:p>
            <w:pPr>
              <w:spacing w:line="400" w:lineRule="exact"/>
              <w:ind w:firstLine="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rPr>
              <w:t>1、项目负责人具有高级工程师职称的得</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 xml:space="preserve">分（以证书为准） </w:t>
            </w:r>
          </w:p>
          <w:p>
            <w:pPr>
              <w:spacing w:line="400" w:lineRule="exact"/>
              <w:ind w:firstLine="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、项目</w:t>
            </w:r>
            <w:r>
              <w:rPr>
                <w:rFonts w:hint="eastAsia" w:ascii="宋体" w:hAnsi="宋体" w:cs="宋体"/>
                <w:color w:val="auto"/>
                <w:sz w:val="24"/>
                <w:szCs w:val="24"/>
                <w:lang w:eastAsia="zh-CN"/>
              </w:rPr>
              <w:t>勘察</w:t>
            </w:r>
            <w:r>
              <w:rPr>
                <w:rFonts w:hint="eastAsia" w:ascii="宋体" w:hAnsi="宋体" w:eastAsia="宋体" w:cs="宋体"/>
                <w:color w:val="auto"/>
                <w:sz w:val="24"/>
                <w:szCs w:val="24"/>
              </w:rPr>
              <w:t>组人员各专业配备、人员素质，进行对比在2-</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分范围内进行打分。</w:t>
            </w:r>
          </w:p>
          <w:p>
            <w:pPr>
              <w:spacing w:line="400" w:lineRule="exact"/>
              <w:ind w:firstLine="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cs="宋体"/>
                <w:color w:val="auto"/>
                <w:sz w:val="24"/>
                <w:szCs w:val="24"/>
                <w:lang w:val="en-US" w:eastAsia="zh-CN"/>
              </w:rPr>
              <w:t>项目负责人2016年1月1日以来有类似勘察项目业绩者每项得2分，</w:t>
            </w:r>
            <w:r>
              <w:rPr>
                <w:rFonts w:hint="eastAsia" w:ascii="宋体" w:hAnsi="宋体" w:cs="宋体"/>
                <w:color w:val="auto"/>
                <w:sz w:val="24"/>
                <w:szCs w:val="24"/>
              </w:rPr>
              <w:t>本项最高得</w:t>
            </w:r>
            <w:r>
              <w:rPr>
                <w:rFonts w:hint="eastAsia" w:ascii="宋体" w:hAnsi="宋体" w:cs="宋体"/>
                <w:color w:val="auto"/>
                <w:sz w:val="24"/>
                <w:szCs w:val="24"/>
                <w:lang w:val="en-US" w:eastAsia="zh-CN"/>
              </w:rPr>
              <w:t>6</w:t>
            </w:r>
            <w:r>
              <w:rPr>
                <w:rFonts w:hint="eastAsia" w:ascii="宋体" w:hAnsi="宋体" w:cs="宋体"/>
                <w:color w:val="auto"/>
                <w:sz w:val="24"/>
                <w:szCs w:val="24"/>
              </w:rPr>
              <w:t>分。（以</w:t>
            </w:r>
            <w:r>
              <w:rPr>
                <w:rFonts w:hint="eastAsia" w:ascii="宋体" w:hAnsi="宋体" w:cs="宋体"/>
                <w:color w:val="auto"/>
                <w:sz w:val="24"/>
                <w:szCs w:val="24"/>
                <w:lang w:eastAsia="zh-CN"/>
              </w:rPr>
              <w:t>勘察</w:t>
            </w:r>
            <w:r>
              <w:rPr>
                <w:rFonts w:hint="eastAsia" w:ascii="宋体" w:hAnsi="宋体" w:cs="宋体"/>
                <w:color w:val="auto"/>
                <w:sz w:val="24"/>
                <w:szCs w:val="24"/>
              </w:rPr>
              <w:t>合同为准）</w:t>
            </w:r>
          </w:p>
        </w:tc>
      </w:tr>
      <w:tr>
        <w:tblPrEx>
          <w:tblLayout w:type="fixed"/>
          <w:tblCellMar>
            <w:top w:w="0" w:type="dxa"/>
            <w:left w:w="0" w:type="dxa"/>
            <w:bottom w:w="0" w:type="dxa"/>
            <w:right w:w="0" w:type="dxa"/>
          </w:tblCellMar>
        </w:tblPrEx>
        <w:trPr>
          <w:trHeight w:val="830" w:hRule="atLeast"/>
          <w:jc w:val="center"/>
        </w:trPr>
        <w:tc>
          <w:tcPr>
            <w:tcW w:w="776" w:type="dxa"/>
            <w:vMerge w:val="continue"/>
            <w:tcBorders>
              <w:top w:val="single" w:color="auto" w:sz="4" w:space="0"/>
              <w:left w:val="single" w:color="000000" w:sz="4" w:space="0"/>
              <w:bottom w:val="single" w:color="auto" w:sz="4" w:space="0"/>
              <w:right w:val="single" w:color="auto" w:sz="4" w:space="0"/>
            </w:tcBorders>
            <w:vAlign w:val="center"/>
          </w:tcPr>
          <w:p>
            <w:pPr>
              <w:snapToGrid w:val="0"/>
              <w:spacing w:line="400" w:lineRule="exact"/>
              <w:ind w:firstLine="0" w:firstLineChars="0"/>
              <w:jc w:val="center"/>
              <w:rPr>
                <w:rFonts w:ascii="宋体" w:hAnsi="宋体" w:eastAsia="宋体"/>
                <w:color w:val="auto"/>
                <w:spacing w:val="2"/>
                <w:sz w:val="24"/>
                <w:szCs w:val="24"/>
              </w:rPr>
            </w:pPr>
          </w:p>
        </w:tc>
        <w:tc>
          <w:tcPr>
            <w:tcW w:w="967" w:type="dxa"/>
            <w:vMerge w:val="continue"/>
            <w:tcBorders>
              <w:top w:val="single" w:color="auto" w:sz="4" w:space="0"/>
              <w:left w:val="single" w:color="auto" w:sz="4" w:space="0"/>
              <w:bottom w:val="single" w:color="auto" w:sz="4" w:space="0"/>
              <w:right w:val="single" w:color="000000" w:sz="4" w:space="0"/>
            </w:tcBorders>
            <w:vAlign w:val="center"/>
          </w:tcPr>
          <w:p>
            <w:pPr>
              <w:snapToGrid w:val="0"/>
              <w:spacing w:line="400" w:lineRule="exact"/>
              <w:ind w:firstLine="0" w:firstLineChars="0"/>
              <w:jc w:val="center"/>
              <w:rPr>
                <w:rFonts w:ascii="宋体" w:hAnsi="宋体" w:eastAsia="宋体"/>
                <w:color w:val="auto"/>
                <w:spacing w:val="2"/>
                <w:sz w:val="24"/>
                <w:szCs w:val="24"/>
              </w:rPr>
            </w:pPr>
          </w:p>
        </w:tc>
        <w:tc>
          <w:tcPr>
            <w:tcW w:w="2135"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 xml:space="preserve"> 2、企业综合实力</w:t>
            </w:r>
          </w:p>
          <w:p>
            <w:pPr>
              <w:spacing w:line="400" w:lineRule="exact"/>
              <w:ind w:firstLine="0" w:firstLineChars="0"/>
              <w:jc w:val="center"/>
              <w:rPr>
                <w:rFonts w:ascii="宋体" w:hAnsi="宋体" w:eastAsia="宋体"/>
                <w:color w:val="auto"/>
                <w:spacing w:val="2"/>
                <w:sz w:val="24"/>
                <w:szCs w:val="24"/>
              </w:rPr>
            </w:pPr>
            <w:r>
              <w:rPr>
                <w:rFonts w:hint="eastAsia" w:ascii="宋体" w:hAnsi="宋体" w:eastAsia="宋体" w:cs="宋体"/>
                <w:color w:val="auto"/>
                <w:sz w:val="24"/>
                <w:szCs w:val="24"/>
              </w:rPr>
              <w:t xml:space="preserve"> （2</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分）</w:t>
            </w:r>
          </w:p>
        </w:tc>
        <w:tc>
          <w:tcPr>
            <w:tcW w:w="4772" w:type="dxa"/>
            <w:tcBorders>
              <w:top w:val="single" w:color="000000" w:sz="4" w:space="0"/>
              <w:left w:val="single" w:color="000000" w:sz="4" w:space="0"/>
              <w:bottom w:val="single" w:color="000000" w:sz="4" w:space="0"/>
              <w:right w:val="single" w:color="000000" w:sz="4" w:space="0"/>
            </w:tcBorders>
          </w:tcPr>
          <w:p>
            <w:pPr>
              <w:spacing w:line="400" w:lineRule="exact"/>
              <w:ind w:firstLine="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rPr>
              <w:t>1、企业201</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年1月1日以来有类似</w:t>
            </w:r>
            <w:r>
              <w:rPr>
                <w:rFonts w:hint="eastAsia" w:ascii="宋体" w:hAnsi="宋体" w:cs="宋体"/>
                <w:color w:val="auto"/>
                <w:sz w:val="24"/>
                <w:szCs w:val="24"/>
                <w:lang w:eastAsia="zh-CN"/>
              </w:rPr>
              <w:t>勘察</w:t>
            </w:r>
            <w:r>
              <w:rPr>
                <w:rFonts w:hint="eastAsia" w:ascii="宋体" w:hAnsi="宋体" w:eastAsia="宋体" w:cs="宋体"/>
                <w:color w:val="auto"/>
                <w:sz w:val="24"/>
                <w:szCs w:val="24"/>
              </w:rPr>
              <w:t>项目业绩者每项得3分，本项最高得9分。（以</w:t>
            </w:r>
            <w:r>
              <w:rPr>
                <w:rFonts w:hint="eastAsia" w:ascii="宋体" w:hAnsi="宋体" w:cs="宋体"/>
                <w:color w:val="auto"/>
                <w:sz w:val="24"/>
                <w:szCs w:val="24"/>
                <w:lang w:eastAsia="zh-CN"/>
              </w:rPr>
              <w:t>勘察</w:t>
            </w:r>
            <w:r>
              <w:rPr>
                <w:rFonts w:hint="eastAsia" w:ascii="宋体" w:hAnsi="宋体" w:eastAsia="宋体" w:cs="宋体"/>
                <w:color w:val="auto"/>
                <w:sz w:val="24"/>
                <w:szCs w:val="24"/>
              </w:rPr>
              <w:t>合同为准）</w:t>
            </w:r>
          </w:p>
          <w:p>
            <w:pPr>
              <w:spacing w:line="400" w:lineRule="exact"/>
              <w:ind w:firstLine="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rPr>
              <w:t>2.投标人3年内获省级优秀工程勘察</w:t>
            </w:r>
            <w:r>
              <w:rPr>
                <w:rFonts w:hint="eastAsia" w:ascii="宋体" w:hAnsi="宋体" w:cs="宋体"/>
                <w:color w:val="auto"/>
                <w:sz w:val="24"/>
                <w:szCs w:val="24"/>
                <w:lang w:eastAsia="zh-CN"/>
              </w:rPr>
              <w:t>勘察</w:t>
            </w:r>
            <w:r>
              <w:rPr>
                <w:rFonts w:hint="eastAsia" w:ascii="宋体" w:hAnsi="宋体" w:eastAsia="宋体" w:cs="宋体"/>
                <w:color w:val="auto"/>
                <w:sz w:val="24"/>
                <w:szCs w:val="24"/>
              </w:rPr>
              <w:t>荣誉称号的每项得到3分，最多3分。</w:t>
            </w:r>
          </w:p>
          <w:p>
            <w:pPr>
              <w:spacing w:line="400" w:lineRule="exact"/>
              <w:ind w:firstLine="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rPr>
              <w:t>3、企业具有质量管理体系认证证书者得1分。具有环境管理体系认证证书的得1分，具有职业健康安全管理体系认证证书的得到1分，本项最高得3分。（以证书为准）</w:t>
            </w:r>
          </w:p>
          <w:p>
            <w:pPr>
              <w:spacing w:line="400" w:lineRule="exact"/>
              <w:ind w:firstLine="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rPr>
              <w:t>4、近年来，企业获得省级行政主管单位授予3A诚信单位者得3分</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2A</w:t>
            </w:r>
            <w:r>
              <w:rPr>
                <w:rFonts w:hint="eastAsia" w:ascii="宋体" w:hAnsi="宋体" w:eastAsia="宋体" w:cs="宋体"/>
                <w:color w:val="auto"/>
                <w:sz w:val="24"/>
                <w:szCs w:val="24"/>
              </w:rPr>
              <w:t>诚信单位者得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分</w:t>
            </w:r>
            <w:r>
              <w:rPr>
                <w:rFonts w:hint="eastAsia" w:ascii="宋体" w:hAnsi="宋体" w:cs="宋体"/>
                <w:color w:val="auto"/>
                <w:sz w:val="24"/>
                <w:szCs w:val="24"/>
                <w:lang w:eastAsia="zh-CN"/>
              </w:rPr>
              <w:t>，否则不得分</w:t>
            </w:r>
            <w:r>
              <w:rPr>
                <w:rFonts w:hint="eastAsia" w:ascii="宋体" w:hAnsi="宋体" w:eastAsia="宋体" w:cs="宋体"/>
                <w:color w:val="auto"/>
                <w:sz w:val="24"/>
                <w:szCs w:val="24"/>
              </w:rPr>
              <w:t>。（以证书为准）</w:t>
            </w:r>
          </w:p>
          <w:p>
            <w:pPr>
              <w:spacing w:line="400" w:lineRule="exact"/>
              <w:ind w:firstLine="0" w:firstLineChars="0"/>
              <w:jc w:val="both"/>
              <w:rPr>
                <w:rFonts w:ascii="宋体" w:hAnsi="宋体" w:eastAsia="宋体" w:cs="宋体"/>
                <w:color w:val="auto"/>
                <w:sz w:val="24"/>
                <w:szCs w:val="24"/>
              </w:rPr>
            </w:pPr>
            <w:r>
              <w:rPr>
                <w:rFonts w:hint="eastAsia" w:ascii="宋体" w:hAnsi="宋体" w:eastAsia="宋体" w:cs="宋体"/>
                <w:color w:val="auto"/>
                <w:sz w:val="24"/>
                <w:szCs w:val="24"/>
              </w:rPr>
              <w:t>5、投标人须提供工商企业信用信息公示报告（国家企业信用信息公示系统http://www.gsxt.gov.cn）、企业所在地税务主管部门出具的纳税情况证明等信用情况，无不良信息者每项得1分，未提供或有不良信息者不得分。本项最高得2分。</w:t>
            </w:r>
          </w:p>
        </w:tc>
      </w:tr>
      <w:tr>
        <w:tblPrEx>
          <w:tblLayout w:type="fixed"/>
          <w:tblCellMar>
            <w:top w:w="0" w:type="dxa"/>
            <w:left w:w="0" w:type="dxa"/>
            <w:bottom w:w="0" w:type="dxa"/>
            <w:right w:w="0" w:type="dxa"/>
          </w:tblCellMar>
        </w:tblPrEx>
        <w:trPr>
          <w:trHeight w:val="598" w:hRule="atLeast"/>
          <w:jc w:val="center"/>
        </w:trPr>
        <w:tc>
          <w:tcPr>
            <w:tcW w:w="776" w:type="dxa"/>
            <w:vMerge w:val="continue"/>
            <w:tcBorders>
              <w:top w:val="single" w:color="auto" w:sz="4" w:space="0"/>
              <w:left w:val="single" w:color="000000" w:sz="4" w:space="0"/>
              <w:bottom w:val="single" w:color="auto" w:sz="4" w:space="0"/>
              <w:right w:val="single" w:color="auto" w:sz="4" w:space="0"/>
            </w:tcBorders>
            <w:vAlign w:val="center"/>
          </w:tcPr>
          <w:p>
            <w:pPr>
              <w:snapToGrid w:val="0"/>
              <w:spacing w:line="400" w:lineRule="exact"/>
              <w:ind w:firstLine="0" w:firstLineChars="0"/>
              <w:jc w:val="center"/>
              <w:rPr>
                <w:rFonts w:ascii="宋体" w:hAnsi="宋体" w:eastAsia="宋体"/>
                <w:color w:val="auto"/>
                <w:spacing w:val="2"/>
                <w:sz w:val="24"/>
                <w:szCs w:val="24"/>
              </w:rPr>
            </w:pPr>
          </w:p>
        </w:tc>
        <w:tc>
          <w:tcPr>
            <w:tcW w:w="967" w:type="dxa"/>
            <w:vMerge w:val="continue"/>
            <w:tcBorders>
              <w:top w:val="single" w:color="auto" w:sz="4" w:space="0"/>
              <w:left w:val="single" w:color="auto" w:sz="4" w:space="0"/>
              <w:bottom w:val="single" w:color="auto" w:sz="4" w:space="0"/>
              <w:right w:val="single" w:color="000000" w:sz="4" w:space="0"/>
            </w:tcBorders>
            <w:vAlign w:val="center"/>
          </w:tcPr>
          <w:p>
            <w:pPr>
              <w:snapToGrid w:val="0"/>
              <w:spacing w:line="400" w:lineRule="exact"/>
              <w:ind w:firstLine="0" w:firstLineChars="0"/>
              <w:jc w:val="center"/>
              <w:rPr>
                <w:rFonts w:ascii="宋体" w:hAnsi="宋体" w:eastAsia="宋体"/>
                <w:color w:val="auto"/>
                <w:spacing w:val="2"/>
                <w:sz w:val="24"/>
                <w:szCs w:val="24"/>
              </w:rPr>
            </w:pPr>
          </w:p>
        </w:tc>
        <w:tc>
          <w:tcPr>
            <w:tcW w:w="2135"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color w:val="auto"/>
                <w:spacing w:val="2"/>
                <w:sz w:val="24"/>
                <w:szCs w:val="24"/>
              </w:rPr>
            </w:pPr>
            <w:r>
              <w:rPr>
                <w:rFonts w:hint="eastAsia" w:ascii="宋体" w:hAnsi="宋体" w:eastAsia="宋体" w:cs="宋体"/>
                <w:color w:val="auto"/>
                <w:sz w:val="24"/>
                <w:szCs w:val="24"/>
              </w:rPr>
              <w:t xml:space="preserve"> 3、投标工期（0-2分）</w:t>
            </w:r>
          </w:p>
        </w:tc>
        <w:tc>
          <w:tcPr>
            <w:tcW w:w="4772"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both"/>
              <w:rPr>
                <w:rFonts w:ascii="宋体" w:hAnsi="宋体" w:eastAsia="宋体" w:cs="宋体"/>
                <w:color w:val="auto"/>
                <w:sz w:val="24"/>
                <w:szCs w:val="24"/>
              </w:rPr>
            </w:pPr>
            <w:r>
              <w:rPr>
                <w:rFonts w:hint="eastAsia" w:ascii="宋体" w:hAnsi="宋体" w:eastAsia="宋体" w:cs="宋体"/>
                <w:color w:val="auto"/>
                <w:sz w:val="24"/>
                <w:szCs w:val="24"/>
              </w:rPr>
              <w:t>每低于目标工期2天者得1分，最高得2分。</w:t>
            </w:r>
          </w:p>
        </w:tc>
      </w:tr>
      <w:tr>
        <w:tblPrEx>
          <w:tblLayout w:type="fixed"/>
          <w:tblCellMar>
            <w:top w:w="0" w:type="dxa"/>
            <w:left w:w="0" w:type="dxa"/>
            <w:bottom w:w="0" w:type="dxa"/>
            <w:right w:w="0" w:type="dxa"/>
          </w:tblCellMar>
        </w:tblPrEx>
        <w:trPr>
          <w:trHeight w:val="822" w:hRule="atLeast"/>
          <w:jc w:val="center"/>
        </w:trPr>
        <w:tc>
          <w:tcPr>
            <w:tcW w:w="776" w:type="dxa"/>
            <w:vMerge w:val="continue"/>
            <w:tcBorders>
              <w:top w:val="single" w:color="auto" w:sz="4" w:space="0"/>
              <w:left w:val="single" w:color="000000"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p>
        </w:tc>
        <w:tc>
          <w:tcPr>
            <w:tcW w:w="967" w:type="dxa"/>
            <w:vMerge w:val="continue"/>
            <w:tcBorders>
              <w:top w:val="single" w:color="auto" w:sz="4" w:space="0"/>
              <w:left w:val="single" w:color="auto" w:sz="4" w:space="0"/>
              <w:bottom w:val="single" w:color="auto" w:sz="4" w:space="0"/>
              <w:right w:val="single" w:color="000000" w:sz="4" w:space="0"/>
            </w:tcBorders>
            <w:vAlign w:val="center"/>
          </w:tcPr>
          <w:p>
            <w:pPr>
              <w:spacing w:line="400" w:lineRule="exact"/>
              <w:ind w:firstLine="0" w:firstLineChars="0"/>
              <w:jc w:val="center"/>
              <w:rPr>
                <w:rFonts w:ascii="宋体" w:hAnsi="宋体" w:eastAsia="宋体" w:cs="宋体"/>
                <w:color w:val="auto"/>
                <w:sz w:val="24"/>
                <w:szCs w:val="24"/>
              </w:rPr>
            </w:pPr>
          </w:p>
        </w:tc>
        <w:tc>
          <w:tcPr>
            <w:tcW w:w="2135"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rPr>
                <w:rFonts w:ascii="宋体" w:hAnsi="宋体" w:eastAsia="宋体"/>
                <w:color w:val="auto"/>
                <w:spacing w:val="2"/>
                <w:sz w:val="24"/>
                <w:szCs w:val="24"/>
              </w:rPr>
            </w:pPr>
            <w:r>
              <w:rPr>
                <w:rFonts w:hint="eastAsia" w:ascii="宋体" w:hAnsi="宋体" w:eastAsia="宋体" w:cs="宋体"/>
                <w:color w:val="auto"/>
                <w:sz w:val="24"/>
                <w:szCs w:val="24"/>
              </w:rPr>
              <w:t>4、服务承诺（1-5分）</w:t>
            </w:r>
          </w:p>
        </w:tc>
        <w:tc>
          <w:tcPr>
            <w:tcW w:w="4772"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both"/>
              <w:rPr>
                <w:rFonts w:ascii="宋体" w:hAnsi="宋体" w:eastAsia="宋体" w:cs="宋体"/>
                <w:color w:val="auto"/>
                <w:sz w:val="24"/>
                <w:szCs w:val="24"/>
              </w:rPr>
            </w:pPr>
            <w:r>
              <w:rPr>
                <w:rFonts w:hint="eastAsia" w:ascii="宋体" w:hAnsi="宋体" w:eastAsia="宋体" w:cs="宋体"/>
                <w:color w:val="auto"/>
                <w:sz w:val="24"/>
                <w:szCs w:val="24"/>
              </w:rPr>
              <w:t>投标人针对招标项目的特点和要求，结合自身条件和潜力为招标人排忧解难，有优惠承诺者由评委进行综合评分，在1—5分范围内进行打分。</w:t>
            </w:r>
          </w:p>
        </w:tc>
      </w:tr>
      <w:tr>
        <w:tblPrEx>
          <w:tblLayout w:type="fixed"/>
          <w:tblCellMar>
            <w:top w:w="0" w:type="dxa"/>
            <w:left w:w="0" w:type="dxa"/>
            <w:bottom w:w="0" w:type="dxa"/>
            <w:right w:w="0" w:type="dxa"/>
          </w:tblCellMar>
        </w:tblPrEx>
        <w:trPr>
          <w:trHeight w:val="90" w:hRule="atLeast"/>
          <w:jc w:val="center"/>
        </w:trPr>
        <w:tc>
          <w:tcPr>
            <w:tcW w:w="776" w:type="dxa"/>
            <w:vMerge w:val="restart"/>
            <w:tcBorders>
              <w:top w:val="single" w:color="auto" w:sz="4" w:space="0"/>
              <w:left w:val="single" w:color="000000" w:sz="4" w:space="0"/>
              <w:bottom w:val="single" w:color="auto" w:sz="4" w:space="0"/>
              <w:right w:val="single" w:color="000000" w:sz="4" w:space="0"/>
            </w:tcBorders>
            <w:vAlign w:val="center"/>
          </w:tcPr>
          <w:p>
            <w:pPr>
              <w:snapToGrid w:val="0"/>
              <w:spacing w:line="400" w:lineRule="exact"/>
              <w:ind w:firstLine="0" w:firstLineChars="0"/>
              <w:jc w:val="center"/>
              <w:rPr>
                <w:rFonts w:ascii="宋体" w:hAnsi="宋体" w:eastAsia="宋体"/>
                <w:color w:val="auto"/>
                <w:spacing w:val="2"/>
                <w:sz w:val="24"/>
                <w:szCs w:val="24"/>
              </w:rPr>
            </w:pPr>
            <w:r>
              <w:rPr>
                <w:rFonts w:hint="eastAsia" w:ascii="宋体" w:hAnsi="宋体" w:eastAsia="宋体"/>
                <w:color w:val="auto"/>
                <w:spacing w:val="2"/>
                <w:sz w:val="24"/>
                <w:szCs w:val="24"/>
              </w:rPr>
              <w:t>2.2.4</w:t>
            </w:r>
          </w:p>
        </w:tc>
        <w:tc>
          <w:tcPr>
            <w:tcW w:w="967" w:type="dxa"/>
            <w:vMerge w:val="restart"/>
            <w:tcBorders>
              <w:top w:val="single" w:color="auto" w:sz="4" w:space="0"/>
              <w:left w:val="single" w:color="000000" w:sz="4" w:space="0"/>
              <w:bottom w:val="single" w:color="auto" w:sz="4" w:space="0"/>
              <w:right w:val="single" w:color="000000" w:sz="4" w:space="0"/>
            </w:tcBorders>
            <w:vAlign w:val="center"/>
          </w:tcPr>
          <w:p>
            <w:pPr>
              <w:spacing w:line="400" w:lineRule="exact"/>
              <w:ind w:firstLine="0" w:firstLineChars="0"/>
              <w:rPr>
                <w:rFonts w:ascii="宋体" w:hAnsi="宋体" w:eastAsia="宋体"/>
                <w:color w:val="auto"/>
                <w:spacing w:val="2"/>
                <w:sz w:val="24"/>
                <w:szCs w:val="24"/>
              </w:rPr>
            </w:pPr>
            <w:r>
              <w:rPr>
                <w:rFonts w:hint="eastAsia" w:ascii="宋体" w:hAnsi="宋体"/>
                <w:color w:val="auto"/>
                <w:spacing w:val="2"/>
                <w:sz w:val="24"/>
                <w:szCs w:val="24"/>
                <w:lang w:eastAsia="zh-CN"/>
              </w:rPr>
              <w:t>勘察纲要</w:t>
            </w:r>
            <w:r>
              <w:rPr>
                <w:rFonts w:hint="eastAsia" w:ascii="宋体" w:hAnsi="宋体" w:eastAsia="宋体"/>
                <w:color w:val="auto"/>
                <w:spacing w:val="2"/>
                <w:sz w:val="24"/>
                <w:szCs w:val="24"/>
              </w:rPr>
              <w:t>评分标准（30分）</w:t>
            </w:r>
          </w:p>
        </w:tc>
        <w:tc>
          <w:tcPr>
            <w:tcW w:w="2135"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color w:val="auto"/>
                <w:spacing w:val="2"/>
                <w:sz w:val="24"/>
                <w:szCs w:val="24"/>
              </w:rPr>
            </w:pPr>
            <w:r>
              <w:rPr>
                <w:rFonts w:hint="eastAsia" w:ascii="宋体" w:hAnsi="宋体" w:eastAsia="宋体"/>
                <w:color w:val="auto"/>
                <w:spacing w:val="2"/>
                <w:sz w:val="24"/>
                <w:szCs w:val="24"/>
              </w:rPr>
              <w:t>1、</w:t>
            </w:r>
            <w:r>
              <w:rPr>
                <w:rFonts w:hint="eastAsia" w:ascii="宋体" w:hAnsi="宋体"/>
                <w:color w:val="auto"/>
                <w:spacing w:val="2"/>
                <w:sz w:val="24"/>
                <w:szCs w:val="24"/>
                <w:lang w:eastAsia="zh-CN"/>
              </w:rPr>
              <w:t>勘察</w:t>
            </w:r>
            <w:r>
              <w:rPr>
                <w:rFonts w:hint="eastAsia" w:ascii="宋体" w:hAnsi="宋体" w:eastAsia="宋体"/>
                <w:color w:val="auto"/>
                <w:spacing w:val="2"/>
                <w:sz w:val="24"/>
                <w:szCs w:val="24"/>
              </w:rPr>
              <w:t>范围、</w:t>
            </w:r>
            <w:r>
              <w:rPr>
                <w:rFonts w:hint="eastAsia" w:ascii="宋体" w:hAnsi="宋体"/>
                <w:color w:val="auto"/>
                <w:spacing w:val="2"/>
                <w:sz w:val="24"/>
                <w:szCs w:val="24"/>
                <w:lang w:eastAsia="zh-CN"/>
              </w:rPr>
              <w:t>勘察</w:t>
            </w:r>
            <w:r>
              <w:rPr>
                <w:rFonts w:hint="eastAsia" w:ascii="宋体" w:hAnsi="宋体" w:eastAsia="宋体"/>
                <w:color w:val="auto"/>
                <w:spacing w:val="2"/>
                <w:sz w:val="24"/>
                <w:szCs w:val="24"/>
              </w:rPr>
              <w:t>内容（1-3分）</w:t>
            </w:r>
          </w:p>
        </w:tc>
        <w:tc>
          <w:tcPr>
            <w:tcW w:w="4772"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both"/>
              <w:rPr>
                <w:rFonts w:ascii="宋体" w:hAnsi="宋体" w:eastAsia="宋体"/>
                <w:color w:val="auto"/>
                <w:spacing w:val="2"/>
                <w:sz w:val="24"/>
                <w:szCs w:val="24"/>
              </w:rPr>
            </w:pPr>
            <w:r>
              <w:rPr>
                <w:rFonts w:hint="eastAsia" w:ascii="宋体" w:hAnsi="宋体" w:eastAsia="宋体" w:cs="宋体"/>
                <w:color w:val="auto"/>
                <w:sz w:val="24"/>
                <w:szCs w:val="24"/>
              </w:rPr>
              <w:t>根据</w:t>
            </w:r>
            <w:r>
              <w:rPr>
                <w:rFonts w:hint="eastAsia" w:ascii="宋体" w:hAnsi="宋体"/>
                <w:color w:val="auto"/>
                <w:spacing w:val="2"/>
                <w:sz w:val="24"/>
                <w:szCs w:val="24"/>
                <w:lang w:eastAsia="zh-CN"/>
              </w:rPr>
              <w:t>勘察</w:t>
            </w:r>
            <w:r>
              <w:rPr>
                <w:rFonts w:hint="eastAsia" w:ascii="宋体" w:hAnsi="宋体" w:eastAsia="宋体" w:cs="宋体"/>
                <w:color w:val="auto"/>
                <w:sz w:val="24"/>
                <w:szCs w:val="24"/>
              </w:rPr>
              <w:t>范围、</w:t>
            </w:r>
            <w:r>
              <w:rPr>
                <w:rFonts w:hint="eastAsia" w:ascii="宋体" w:hAnsi="宋体"/>
                <w:color w:val="auto"/>
                <w:spacing w:val="2"/>
                <w:sz w:val="24"/>
                <w:szCs w:val="24"/>
                <w:lang w:eastAsia="zh-CN"/>
              </w:rPr>
              <w:t>勘察</w:t>
            </w:r>
            <w:r>
              <w:rPr>
                <w:rFonts w:hint="eastAsia" w:ascii="宋体" w:hAnsi="宋体" w:eastAsia="宋体" w:cs="宋体"/>
                <w:color w:val="auto"/>
                <w:sz w:val="24"/>
                <w:szCs w:val="24"/>
              </w:rPr>
              <w:t>内容等方面进行对比，在1-3分范围内酌情打分。缺项为0分。</w:t>
            </w:r>
          </w:p>
        </w:tc>
      </w:tr>
      <w:tr>
        <w:tblPrEx>
          <w:tblLayout w:type="fixed"/>
          <w:tblCellMar>
            <w:top w:w="0" w:type="dxa"/>
            <w:left w:w="0" w:type="dxa"/>
            <w:bottom w:w="0" w:type="dxa"/>
            <w:right w:w="0" w:type="dxa"/>
          </w:tblCellMar>
        </w:tblPrEx>
        <w:trPr>
          <w:trHeight w:val="23" w:hRule="atLeast"/>
          <w:jc w:val="center"/>
        </w:trPr>
        <w:tc>
          <w:tcPr>
            <w:tcW w:w="776" w:type="dxa"/>
            <w:vMerge w:val="continue"/>
            <w:tcBorders>
              <w:top w:val="single" w:color="auto" w:sz="4" w:space="0"/>
              <w:left w:val="single" w:color="000000" w:sz="4" w:space="0"/>
              <w:bottom w:val="single" w:color="auto" w:sz="4" w:space="0"/>
              <w:right w:val="single" w:color="000000" w:sz="4" w:space="0"/>
            </w:tcBorders>
            <w:vAlign w:val="center"/>
          </w:tcPr>
          <w:p>
            <w:pPr>
              <w:snapToGrid w:val="0"/>
              <w:spacing w:line="400" w:lineRule="exact"/>
              <w:ind w:firstLine="0" w:firstLineChars="0"/>
              <w:jc w:val="center"/>
              <w:rPr>
                <w:rFonts w:ascii="宋体" w:hAnsi="宋体" w:eastAsia="宋体"/>
                <w:color w:val="auto"/>
                <w:spacing w:val="2"/>
                <w:sz w:val="24"/>
                <w:szCs w:val="24"/>
              </w:rPr>
            </w:pPr>
          </w:p>
        </w:tc>
        <w:tc>
          <w:tcPr>
            <w:tcW w:w="967" w:type="dxa"/>
            <w:vMerge w:val="continue"/>
            <w:tcBorders>
              <w:top w:val="single" w:color="auto" w:sz="4" w:space="0"/>
              <w:left w:val="single" w:color="000000" w:sz="4" w:space="0"/>
              <w:bottom w:val="single" w:color="auto" w:sz="4" w:space="0"/>
              <w:right w:val="single" w:color="000000" w:sz="4" w:space="0"/>
            </w:tcBorders>
            <w:vAlign w:val="center"/>
          </w:tcPr>
          <w:p>
            <w:pPr>
              <w:snapToGrid w:val="0"/>
              <w:spacing w:line="400" w:lineRule="exact"/>
              <w:ind w:firstLine="0" w:firstLineChars="0"/>
              <w:jc w:val="center"/>
              <w:rPr>
                <w:rFonts w:ascii="宋体" w:hAnsi="宋体" w:eastAsia="宋体"/>
                <w:color w:val="auto"/>
                <w:spacing w:val="2"/>
                <w:sz w:val="24"/>
                <w:szCs w:val="24"/>
              </w:rPr>
            </w:pPr>
          </w:p>
        </w:tc>
        <w:tc>
          <w:tcPr>
            <w:tcW w:w="2135"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color w:val="auto"/>
                <w:spacing w:val="2"/>
                <w:sz w:val="24"/>
                <w:szCs w:val="24"/>
              </w:rPr>
            </w:pPr>
            <w:r>
              <w:rPr>
                <w:rFonts w:hint="eastAsia" w:ascii="宋体" w:hAnsi="宋体" w:eastAsia="宋体"/>
                <w:color w:val="auto"/>
                <w:spacing w:val="2"/>
                <w:sz w:val="24"/>
                <w:szCs w:val="24"/>
              </w:rPr>
              <w:t>2、</w:t>
            </w:r>
            <w:r>
              <w:rPr>
                <w:rFonts w:hint="eastAsia" w:ascii="宋体" w:hAnsi="宋体"/>
                <w:color w:val="auto"/>
                <w:spacing w:val="2"/>
                <w:sz w:val="24"/>
                <w:szCs w:val="24"/>
                <w:lang w:eastAsia="zh-CN"/>
              </w:rPr>
              <w:t>勘察</w:t>
            </w:r>
            <w:r>
              <w:rPr>
                <w:rFonts w:hint="eastAsia" w:ascii="宋体" w:hAnsi="宋体" w:eastAsia="宋体"/>
                <w:color w:val="auto"/>
                <w:spacing w:val="2"/>
                <w:sz w:val="24"/>
                <w:szCs w:val="24"/>
              </w:rPr>
              <w:t>依据、</w:t>
            </w:r>
            <w:r>
              <w:rPr>
                <w:rFonts w:hint="eastAsia" w:ascii="宋体" w:hAnsi="宋体"/>
                <w:color w:val="auto"/>
                <w:spacing w:val="2"/>
                <w:sz w:val="24"/>
                <w:szCs w:val="24"/>
                <w:lang w:eastAsia="zh-CN"/>
              </w:rPr>
              <w:t>勘察</w:t>
            </w:r>
            <w:r>
              <w:rPr>
                <w:rFonts w:hint="eastAsia" w:ascii="宋体" w:hAnsi="宋体" w:eastAsia="宋体"/>
                <w:color w:val="auto"/>
                <w:spacing w:val="2"/>
                <w:sz w:val="24"/>
                <w:szCs w:val="24"/>
              </w:rPr>
              <w:t>工作目标（1-3分）</w:t>
            </w:r>
          </w:p>
        </w:tc>
        <w:tc>
          <w:tcPr>
            <w:tcW w:w="4772"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both"/>
              <w:rPr>
                <w:rFonts w:ascii="宋体" w:hAnsi="宋体" w:eastAsia="宋体"/>
                <w:color w:val="auto"/>
                <w:spacing w:val="2"/>
                <w:sz w:val="24"/>
                <w:szCs w:val="24"/>
              </w:rPr>
            </w:pPr>
            <w:r>
              <w:rPr>
                <w:rFonts w:hint="eastAsia" w:ascii="宋体" w:hAnsi="宋体" w:eastAsia="宋体" w:cs="宋体"/>
                <w:color w:val="auto"/>
                <w:sz w:val="24"/>
                <w:szCs w:val="24"/>
              </w:rPr>
              <w:t>根据</w:t>
            </w:r>
            <w:r>
              <w:rPr>
                <w:rFonts w:hint="eastAsia" w:ascii="宋体" w:hAnsi="宋体"/>
                <w:color w:val="auto"/>
                <w:spacing w:val="2"/>
                <w:sz w:val="24"/>
                <w:szCs w:val="24"/>
                <w:lang w:eastAsia="zh-CN"/>
              </w:rPr>
              <w:t>勘察</w:t>
            </w:r>
            <w:r>
              <w:rPr>
                <w:rFonts w:hint="eastAsia" w:ascii="宋体" w:hAnsi="宋体" w:eastAsia="宋体"/>
                <w:color w:val="auto"/>
                <w:spacing w:val="2"/>
                <w:sz w:val="24"/>
                <w:szCs w:val="24"/>
              </w:rPr>
              <w:t>依据、</w:t>
            </w:r>
            <w:r>
              <w:rPr>
                <w:rFonts w:hint="eastAsia" w:ascii="宋体" w:hAnsi="宋体"/>
                <w:color w:val="auto"/>
                <w:spacing w:val="2"/>
                <w:sz w:val="24"/>
                <w:szCs w:val="24"/>
                <w:lang w:eastAsia="zh-CN"/>
              </w:rPr>
              <w:t>勘察</w:t>
            </w:r>
            <w:r>
              <w:rPr>
                <w:rFonts w:hint="eastAsia" w:ascii="宋体" w:hAnsi="宋体" w:eastAsia="宋体"/>
                <w:color w:val="auto"/>
                <w:spacing w:val="2"/>
                <w:sz w:val="24"/>
                <w:szCs w:val="24"/>
              </w:rPr>
              <w:t>工作目标</w:t>
            </w:r>
            <w:r>
              <w:rPr>
                <w:rFonts w:hint="eastAsia" w:ascii="宋体" w:hAnsi="宋体" w:eastAsia="宋体" w:cs="宋体"/>
                <w:color w:val="auto"/>
                <w:sz w:val="24"/>
                <w:szCs w:val="24"/>
              </w:rPr>
              <w:t>等方面进行对比在1-3分范围内酌情打分。缺项为0分。</w:t>
            </w:r>
          </w:p>
        </w:tc>
      </w:tr>
      <w:tr>
        <w:tblPrEx>
          <w:tblLayout w:type="fixed"/>
          <w:tblCellMar>
            <w:top w:w="0" w:type="dxa"/>
            <w:left w:w="0" w:type="dxa"/>
            <w:bottom w:w="0" w:type="dxa"/>
            <w:right w:w="0" w:type="dxa"/>
          </w:tblCellMar>
        </w:tblPrEx>
        <w:trPr>
          <w:trHeight w:val="633" w:hRule="atLeast"/>
          <w:jc w:val="center"/>
        </w:trPr>
        <w:tc>
          <w:tcPr>
            <w:tcW w:w="776" w:type="dxa"/>
            <w:vMerge w:val="continue"/>
            <w:tcBorders>
              <w:top w:val="single" w:color="auto" w:sz="4" w:space="0"/>
              <w:left w:val="single" w:color="000000" w:sz="4" w:space="0"/>
              <w:bottom w:val="single" w:color="auto" w:sz="4" w:space="0"/>
              <w:right w:val="single" w:color="000000" w:sz="4" w:space="0"/>
            </w:tcBorders>
            <w:vAlign w:val="center"/>
          </w:tcPr>
          <w:p>
            <w:pPr>
              <w:snapToGrid w:val="0"/>
              <w:spacing w:line="400" w:lineRule="exact"/>
              <w:ind w:firstLine="0" w:firstLineChars="0"/>
              <w:jc w:val="center"/>
              <w:rPr>
                <w:rFonts w:ascii="宋体" w:hAnsi="宋体" w:eastAsia="宋体"/>
                <w:color w:val="auto"/>
                <w:spacing w:val="2"/>
                <w:sz w:val="24"/>
                <w:szCs w:val="24"/>
              </w:rPr>
            </w:pPr>
          </w:p>
        </w:tc>
        <w:tc>
          <w:tcPr>
            <w:tcW w:w="967" w:type="dxa"/>
            <w:vMerge w:val="continue"/>
            <w:tcBorders>
              <w:top w:val="single" w:color="auto" w:sz="4" w:space="0"/>
              <w:left w:val="single" w:color="000000" w:sz="4" w:space="0"/>
              <w:bottom w:val="single" w:color="auto" w:sz="4" w:space="0"/>
              <w:right w:val="single" w:color="000000" w:sz="4" w:space="0"/>
            </w:tcBorders>
            <w:vAlign w:val="center"/>
          </w:tcPr>
          <w:p>
            <w:pPr>
              <w:snapToGrid w:val="0"/>
              <w:spacing w:line="400" w:lineRule="exact"/>
              <w:ind w:firstLine="0" w:firstLineChars="0"/>
              <w:jc w:val="center"/>
              <w:rPr>
                <w:rFonts w:ascii="宋体" w:hAnsi="宋体" w:eastAsia="宋体"/>
                <w:color w:val="auto"/>
                <w:spacing w:val="2"/>
                <w:sz w:val="24"/>
                <w:szCs w:val="24"/>
              </w:rPr>
            </w:pPr>
          </w:p>
        </w:tc>
        <w:tc>
          <w:tcPr>
            <w:tcW w:w="2135"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color w:val="auto"/>
                <w:spacing w:val="2"/>
                <w:sz w:val="24"/>
                <w:szCs w:val="24"/>
              </w:rPr>
            </w:pPr>
            <w:r>
              <w:rPr>
                <w:rFonts w:hint="eastAsia" w:ascii="宋体" w:hAnsi="宋体" w:eastAsia="宋体"/>
                <w:color w:val="auto"/>
                <w:spacing w:val="2"/>
                <w:sz w:val="24"/>
                <w:szCs w:val="24"/>
              </w:rPr>
              <w:t>3、</w:t>
            </w:r>
            <w:r>
              <w:rPr>
                <w:rFonts w:hint="eastAsia" w:ascii="宋体" w:hAnsi="宋体"/>
                <w:color w:val="auto"/>
                <w:spacing w:val="2"/>
                <w:sz w:val="24"/>
                <w:szCs w:val="24"/>
                <w:lang w:eastAsia="zh-CN"/>
              </w:rPr>
              <w:t>勘察</w:t>
            </w:r>
            <w:r>
              <w:rPr>
                <w:rFonts w:hint="eastAsia" w:ascii="宋体" w:hAnsi="宋体" w:eastAsia="宋体"/>
                <w:color w:val="auto"/>
                <w:spacing w:val="2"/>
                <w:sz w:val="24"/>
                <w:szCs w:val="24"/>
              </w:rPr>
              <w:t>机构设置和岗位职责（1-4分）</w:t>
            </w:r>
          </w:p>
        </w:tc>
        <w:tc>
          <w:tcPr>
            <w:tcW w:w="4772"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both"/>
              <w:rPr>
                <w:rFonts w:ascii="宋体" w:hAnsi="宋体" w:eastAsia="宋体"/>
                <w:color w:val="auto"/>
                <w:spacing w:val="2"/>
                <w:sz w:val="24"/>
                <w:szCs w:val="24"/>
              </w:rPr>
            </w:pPr>
            <w:r>
              <w:rPr>
                <w:rFonts w:hint="eastAsia" w:ascii="宋体" w:hAnsi="宋体" w:eastAsia="宋体" w:cs="宋体"/>
                <w:color w:val="auto"/>
                <w:sz w:val="24"/>
                <w:szCs w:val="24"/>
              </w:rPr>
              <w:t>根据</w:t>
            </w:r>
            <w:r>
              <w:rPr>
                <w:rFonts w:hint="eastAsia" w:ascii="宋体" w:hAnsi="宋体"/>
                <w:color w:val="auto"/>
                <w:spacing w:val="2"/>
                <w:sz w:val="24"/>
                <w:szCs w:val="24"/>
                <w:lang w:eastAsia="zh-CN"/>
              </w:rPr>
              <w:t>勘察</w:t>
            </w:r>
            <w:r>
              <w:rPr>
                <w:rFonts w:hint="eastAsia" w:ascii="宋体" w:hAnsi="宋体" w:eastAsia="宋体"/>
                <w:color w:val="auto"/>
                <w:spacing w:val="2"/>
                <w:sz w:val="24"/>
                <w:szCs w:val="24"/>
              </w:rPr>
              <w:t>机构设置和岗位职责</w:t>
            </w:r>
            <w:r>
              <w:rPr>
                <w:rFonts w:hint="eastAsia" w:ascii="宋体" w:hAnsi="宋体" w:eastAsia="宋体" w:cs="宋体"/>
                <w:color w:val="auto"/>
                <w:sz w:val="24"/>
                <w:szCs w:val="24"/>
              </w:rPr>
              <w:t>的合理、科学性等方面进行对比，在1-4分范围内酌情打分。缺项为0分。</w:t>
            </w:r>
          </w:p>
        </w:tc>
      </w:tr>
      <w:tr>
        <w:tblPrEx>
          <w:tblLayout w:type="fixed"/>
          <w:tblCellMar>
            <w:top w:w="0" w:type="dxa"/>
            <w:left w:w="0" w:type="dxa"/>
            <w:bottom w:w="0" w:type="dxa"/>
            <w:right w:w="0" w:type="dxa"/>
          </w:tblCellMar>
        </w:tblPrEx>
        <w:trPr>
          <w:trHeight w:val="633" w:hRule="atLeast"/>
          <w:jc w:val="center"/>
        </w:trPr>
        <w:tc>
          <w:tcPr>
            <w:tcW w:w="776" w:type="dxa"/>
            <w:vMerge w:val="continue"/>
            <w:tcBorders>
              <w:top w:val="single" w:color="auto" w:sz="4" w:space="0"/>
              <w:left w:val="single" w:color="000000" w:sz="4" w:space="0"/>
              <w:bottom w:val="single" w:color="auto" w:sz="4" w:space="0"/>
              <w:right w:val="single" w:color="000000" w:sz="4" w:space="0"/>
            </w:tcBorders>
            <w:vAlign w:val="center"/>
          </w:tcPr>
          <w:p>
            <w:pPr>
              <w:snapToGrid w:val="0"/>
              <w:spacing w:line="400" w:lineRule="exact"/>
              <w:ind w:firstLine="0" w:firstLineChars="0"/>
              <w:jc w:val="center"/>
              <w:rPr>
                <w:rFonts w:ascii="宋体" w:hAnsi="宋体" w:eastAsia="宋体"/>
                <w:color w:val="auto"/>
                <w:spacing w:val="2"/>
                <w:sz w:val="24"/>
                <w:szCs w:val="24"/>
              </w:rPr>
            </w:pPr>
          </w:p>
        </w:tc>
        <w:tc>
          <w:tcPr>
            <w:tcW w:w="967" w:type="dxa"/>
            <w:vMerge w:val="continue"/>
            <w:tcBorders>
              <w:top w:val="single" w:color="auto" w:sz="4" w:space="0"/>
              <w:left w:val="single" w:color="000000" w:sz="4" w:space="0"/>
              <w:bottom w:val="single" w:color="auto" w:sz="4" w:space="0"/>
              <w:right w:val="single" w:color="000000" w:sz="4" w:space="0"/>
            </w:tcBorders>
            <w:vAlign w:val="center"/>
          </w:tcPr>
          <w:p>
            <w:pPr>
              <w:snapToGrid w:val="0"/>
              <w:spacing w:line="400" w:lineRule="exact"/>
              <w:ind w:firstLine="0" w:firstLineChars="0"/>
              <w:jc w:val="center"/>
              <w:rPr>
                <w:rFonts w:ascii="宋体" w:hAnsi="宋体" w:eastAsia="宋体"/>
                <w:color w:val="auto"/>
                <w:spacing w:val="2"/>
                <w:sz w:val="24"/>
                <w:szCs w:val="24"/>
              </w:rPr>
            </w:pPr>
          </w:p>
        </w:tc>
        <w:tc>
          <w:tcPr>
            <w:tcW w:w="2135"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color w:val="auto"/>
                <w:spacing w:val="2"/>
                <w:sz w:val="24"/>
                <w:szCs w:val="24"/>
              </w:rPr>
            </w:pPr>
            <w:r>
              <w:rPr>
                <w:rFonts w:hint="eastAsia" w:ascii="宋体" w:hAnsi="宋体" w:eastAsia="宋体"/>
                <w:color w:val="auto"/>
                <w:spacing w:val="2"/>
                <w:sz w:val="24"/>
                <w:szCs w:val="24"/>
              </w:rPr>
              <w:t>4、</w:t>
            </w:r>
            <w:r>
              <w:rPr>
                <w:rFonts w:hint="eastAsia" w:ascii="宋体" w:hAnsi="宋体"/>
                <w:color w:val="auto"/>
                <w:spacing w:val="2"/>
                <w:sz w:val="24"/>
                <w:szCs w:val="24"/>
                <w:lang w:eastAsia="zh-CN"/>
              </w:rPr>
              <w:t>勘察</w:t>
            </w:r>
            <w:r>
              <w:rPr>
                <w:rFonts w:hint="eastAsia" w:ascii="宋体" w:hAnsi="宋体" w:eastAsia="宋体"/>
                <w:color w:val="auto"/>
                <w:spacing w:val="2"/>
                <w:sz w:val="24"/>
                <w:szCs w:val="24"/>
              </w:rPr>
              <w:t>说明和</w:t>
            </w:r>
            <w:r>
              <w:rPr>
                <w:rFonts w:hint="eastAsia" w:ascii="宋体" w:hAnsi="宋体"/>
                <w:color w:val="auto"/>
                <w:spacing w:val="2"/>
                <w:sz w:val="24"/>
                <w:szCs w:val="24"/>
                <w:lang w:eastAsia="zh-CN"/>
              </w:rPr>
              <w:t>勘察</w:t>
            </w:r>
            <w:r>
              <w:rPr>
                <w:rFonts w:hint="eastAsia" w:ascii="宋体" w:hAnsi="宋体" w:eastAsia="宋体"/>
                <w:color w:val="auto"/>
                <w:spacing w:val="2"/>
                <w:sz w:val="24"/>
                <w:szCs w:val="24"/>
              </w:rPr>
              <w:t>方案（1-4分）</w:t>
            </w:r>
          </w:p>
        </w:tc>
        <w:tc>
          <w:tcPr>
            <w:tcW w:w="4772"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both"/>
              <w:rPr>
                <w:rFonts w:ascii="宋体" w:hAnsi="宋体" w:eastAsia="宋体" w:cs="宋体"/>
                <w:color w:val="auto"/>
                <w:sz w:val="24"/>
                <w:szCs w:val="24"/>
              </w:rPr>
            </w:pPr>
            <w:r>
              <w:rPr>
                <w:rFonts w:hint="eastAsia" w:ascii="宋体" w:hAnsi="宋体" w:eastAsia="宋体" w:cs="宋体"/>
                <w:color w:val="auto"/>
                <w:sz w:val="24"/>
                <w:szCs w:val="24"/>
              </w:rPr>
              <w:t>根据</w:t>
            </w:r>
            <w:r>
              <w:rPr>
                <w:rFonts w:hint="eastAsia" w:ascii="宋体" w:hAnsi="宋体"/>
                <w:color w:val="auto"/>
                <w:spacing w:val="2"/>
                <w:sz w:val="24"/>
                <w:szCs w:val="24"/>
                <w:lang w:eastAsia="zh-CN"/>
              </w:rPr>
              <w:t>勘察</w:t>
            </w:r>
            <w:r>
              <w:rPr>
                <w:rFonts w:hint="eastAsia" w:ascii="宋体" w:hAnsi="宋体" w:eastAsia="宋体"/>
                <w:color w:val="auto"/>
                <w:spacing w:val="2"/>
                <w:sz w:val="24"/>
                <w:szCs w:val="24"/>
              </w:rPr>
              <w:t>说明和</w:t>
            </w:r>
            <w:r>
              <w:rPr>
                <w:rFonts w:hint="eastAsia" w:ascii="宋体" w:hAnsi="宋体"/>
                <w:color w:val="auto"/>
                <w:spacing w:val="2"/>
                <w:sz w:val="24"/>
                <w:szCs w:val="24"/>
                <w:lang w:eastAsia="zh-CN"/>
              </w:rPr>
              <w:t>勘察</w:t>
            </w:r>
            <w:r>
              <w:rPr>
                <w:rFonts w:hint="eastAsia" w:ascii="宋体" w:hAnsi="宋体" w:eastAsia="宋体"/>
                <w:color w:val="auto"/>
                <w:spacing w:val="2"/>
                <w:sz w:val="24"/>
                <w:szCs w:val="24"/>
              </w:rPr>
              <w:t>方案</w:t>
            </w:r>
            <w:r>
              <w:rPr>
                <w:rFonts w:hint="eastAsia" w:ascii="宋体" w:hAnsi="宋体" w:eastAsia="宋体" w:cs="宋体"/>
                <w:color w:val="auto"/>
                <w:sz w:val="24"/>
                <w:szCs w:val="24"/>
              </w:rPr>
              <w:t>是否合理、科学等方面进行对比，在1-4分范围内酌情打分。缺项为0分。</w:t>
            </w:r>
          </w:p>
        </w:tc>
      </w:tr>
      <w:tr>
        <w:tblPrEx>
          <w:tblLayout w:type="fixed"/>
          <w:tblCellMar>
            <w:top w:w="0" w:type="dxa"/>
            <w:left w:w="0" w:type="dxa"/>
            <w:bottom w:w="0" w:type="dxa"/>
            <w:right w:w="0" w:type="dxa"/>
          </w:tblCellMar>
        </w:tblPrEx>
        <w:trPr>
          <w:trHeight w:val="633" w:hRule="atLeast"/>
          <w:jc w:val="center"/>
        </w:trPr>
        <w:tc>
          <w:tcPr>
            <w:tcW w:w="776" w:type="dxa"/>
            <w:vMerge w:val="continue"/>
            <w:tcBorders>
              <w:top w:val="single" w:color="auto" w:sz="4" w:space="0"/>
              <w:left w:val="single" w:color="000000" w:sz="4" w:space="0"/>
              <w:bottom w:val="single" w:color="auto" w:sz="4" w:space="0"/>
              <w:right w:val="single" w:color="000000" w:sz="4" w:space="0"/>
            </w:tcBorders>
            <w:vAlign w:val="center"/>
          </w:tcPr>
          <w:p>
            <w:pPr>
              <w:snapToGrid w:val="0"/>
              <w:spacing w:line="400" w:lineRule="exact"/>
              <w:ind w:firstLine="0" w:firstLineChars="0"/>
              <w:jc w:val="center"/>
              <w:rPr>
                <w:rFonts w:ascii="宋体" w:hAnsi="宋体" w:eastAsia="宋体"/>
                <w:color w:val="auto"/>
                <w:spacing w:val="2"/>
                <w:sz w:val="24"/>
                <w:szCs w:val="24"/>
              </w:rPr>
            </w:pPr>
          </w:p>
        </w:tc>
        <w:tc>
          <w:tcPr>
            <w:tcW w:w="967" w:type="dxa"/>
            <w:vMerge w:val="continue"/>
            <w:tcBorders>
              <w:top w:val="single" w:color="auto" w:sz="4" w:space="0"/>
              <w:left w:val="single" w:color="000000" w:sz="4" w:space="0"/>
              <w:bottom w:val="single" w:color="auto" w:sz="4" w:space="0"/>
              <w:right w:val="single" w:color="000000" w:sz="4" w:space="0"/>
            </w:tcBorders>
            <w:vAlign w:val="center"/>
          </w:tcPr>
          <w:p>
            <w:pPr>
              <w:snapToGrid w:val="0"/>
              <w:spacing w:line="400" w:lineRule="exact"/>
              <w:ind w:firstLine="0" w:firstLineChars="0"/>
              <w:jc w:val="center"/>
              <w:rPr>
                <w:rFonts w:ascii="宋体" w:hAnsi="宋体" w:eastAsia="宋体"/>
                <w:color w:val="auto"/>
                <w:spacing w:val="2"/>
                <w:sz w:val="24"/>
                <w:szCs w:val="24"/>
              </w:rPr>
            </w:pPr>
          </w:p>
        </w:tc>
        <w:tc>
          <w:tcPr>
            <w:tcW w:w="2135"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color w:val="auto"/>
                <w:spacing w:val="2"/>
                <w:sz w:val="24"/>
                <w:szCs w:val="24"/>
              </w:rPr>
            </w:pPr>
            <w:r>
              <w:rPr>
                <w:rFonts w:hint="eastAsia" w:ascii="宋体" w:hAnsi="宋体" w:eastAsia="宋体"/>
                <w:color w:val="auto"/>
                <w:spacing w:val="2"/>
                <w:sz w:val="24"/>
                <w:szCs w:val="24"/>
              </w:rPr>
              <w:t>5、</w:t>
            </w:r>
            <w:r>
              <w:rPr>
                <w:rFonts w:hint="eastAsia" w:ascii="宋体" w:hAnsi="宋体"/>
                <w:color w:val="auto"/>
                <w:spacing w:val="2"/>
                <w:sz w:val="24"/>
                <w:szCs w:val="24"/>
                <w:lang w:eastAsia="zh-CN"/>
              </w:rPr>
              <w:t>勘察</w:t>
            </w:r>
            <w:r>
              <w:rPr>
                <w:rFonts w:hint="eastAsia" w:ascii="宋体" w:hAnsi="宋体" w:eastAsia="宋体"/>
                <w:color w:val="auto"/>
                <w:spacing w:val="2"/>
                <w:sz w:val="24"/>
                <w:szCs w:val="24"/>
              </w:rPr>
              <w:t>质量、进度等保证措施（1-4分）</w:t>
            </w:r>
          </w:p>
        </w:tc>
        <w:tc>
          <w:tcPr>
            <w:tcW w:w="4772"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both"/>
              <w:rPr>
                <w:rFonts w:ascii="宋体" w:hAnsi="宋体" w:eastAsia="宋体" w:cs="宋体"/>
                <w:color w:val="auto"/>
                <w:sz w:val="24"/>
                <w:szCs w:val="24"/>
              </w:rPr>
            </w:pPr>
            <w:r>
              <w:rPr>
                <w:rFonts w:hint="eastAsia" w:ascii="宋体" w:hAnsi="宋体" w:eastAsia="宋体" w:cs="宋体"/>
                <w:color w:val="auto"/>
                <w:sz w:val="24"/>
                <w:szCs w:val="24"/>
              </w:rPr>
              <w:t>根据</w:t>
            </w:r>
            <w:r>
              <w:rPr>
                <w:rFonts w:hint="eastAsia" w:ascii="宋体" w:hAnsi="宋体"/>
                <w:color w:val="auto"/>
                <w:spacing w:val="2"/>
                <w:sz w:val="24"/>
                <w:szCs w:val="24"/>
                <w:lang w:eastAsia="zh-CN"/>
              </w:rPr>
              <w:t>勘察</w:t>
            </w:r>
            <w:r>
              <w:rPr>
                <w:rFonts w:hint="eastAsia" w:ascii="宋体" w:hAnsi="宋体" w:eastAsia="宋体"/>
                <w:color w:val="auto"/>
                <w:spacing w:val="2"/>
                <w:sz w:val="24"/>
                <w:szCs w:val="24"/>
              </w:rPr>
              <w:t>质量、进度等保证措施</w:t>
            </w:r>
            <w:r>
              <w:rPr>
                <w:rFonts w:hint="eastAsia" w:ascii="宋体" w:hAnsi="宋体" w:eastAsia="宋体" w:cs="宋体"/>
                <w:color w:val="auto"/>
                <w:sz w:val="24"/>
                <w:szCs w:val="24"/>
              </w:rPr>
              <w:t>是否合理、科学等方面进行对比，在1-4分范围内酌情打分。缺项为0分。</w:t>
            </w:r>
          </w:p>
        </w:tc>
      </w:tr>
      <w:tr>
        <w:tblPrEx>
          <w:tblLayout w:type="fixed"/>
          <w:tblCellMar>
            <w:top w:w="0" w:type="dxa"/>
            <w:left w:w="0" w:type="dxa"/>
            <w:bottom w:w="0" w:type="dxa"/>
            <w:right w:w="0" w:type="dxa"/>
          </w:tblCellMar>
        </w:tblPrEx>
        <w:trPr>
          <w:trHeight w:val="633" w:hRule="atLeast"/>
          <w:jc w:val="center"/>
        </w:trPr>
        <w:tc>
          <w:tcPr>
            <w:tcW w:w="776" w:type="dxa"/>
            <w:vMerge w:val="continue"/>
            <w:tcBorders>
              <w:top w:val="single" w:color="auto" w:sz="4" w:space="0"/>
              <w:left w:val="single" w:color="000000" w:sz="4" w:space="0"/>
              <w:bottom w:val="single" w:color="auto" w:sz="4" w:space="0"/>
              <w:right w:val="single" w:color="000000" w:sz="4" w:space="0"/>
            </w:tcBorders>
            <w:vAlign w:val="center"/>
          </w:tcPr>
          <w:p>
            <w:pPr>
              <w:snapToGrid w:val="0"/>
              <w:spacing w:line="400" w:lineRule="exact"/>
              <w:ind w:firstLine="0" w:firstLineChars="0"/>
              <w:jc w:val="center"/>
              <w:rPr>
                <w:rFonts w:ascii="宋体" w:hAnsi="宋体" w:eastAsia="宋体"/>
                <w:color w:val="auto"/>
                <w:spacing w:val="2"/>
                <w:sz w:val="24"/>
                <w:szCs w:val="24"/>
              </w:rPr>
            </w:pPr>
          </w:p>
        </w:tc>
        <w:tc>
          <w:tcPr>
            <w:tcW w:w="967" w:type="dxa"/>
            <w:vMerge w:val="continue"/>
            <w:tcBorders>
              <w:top w:val="single" w:color="auto" w:sz="4" w:space="0"/>
              <w:left w:val="single" w:color="000000" w:sz="4" w:space="0"/>
              <w:bottom w:val="single" w:color="auto" w:sz="4" w:space="0"/>
              <w:right w:val="single" w:color="000000" w:sz="4" w:space="0"/>
            </w:tcBorders>
            <w:vAlign w:val="center"/>
          </w:tcPr>
          <w:p>
            <w:pPr>
              <w:snapToGrid w:val="0"/>
              <w:spacing w:line="400" w:lineRule="exact"/>
              <w:ind w:firstLine="0" w:firstLineChars="0"/>
              <w:jc w:val="center"/>
              <w:rPr>
                <w:rFonts w:ascii="宋体" w:hAnsi="宋体" w:eastAsia="宋体"/>
                <w:color w:val="auto"/>
                <w:spacing w:val="2"/>
                <w:sz w:val="24"/>
                <w:szCs w:val="24"/>
              </w:rPr>
            </w:pPr>
          </w:p>
        </w:tc>
        <w:tc>
          <w:tcPr>
            <w:tcW w:w="2135"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color w:val="auto"/>
                <w:spacing w:val="2"/>
                <w:sz w:val="24"/>
                <w:szCs w:val="24"/>
              </w:rPr>
            </w:pPr>
            <w:r>
              <w:rPr>
                <w:rFonts w:hint="eastAsia" w:ascii="宋体" w:hAnsi="宋体" w:eastAsia="宋体"/>
                <w:color w:val="auto"/>
                <w:spacing w:val="2"/>
                <w:sz w:val="24"/>
                <w:szCs w:val="24"/>
              </w:rPr>
              <w:t>6、</w:t>
            </w:r>
            <w:r>
              <w:rPr>
                <w:rFonts w:hint="eastAsia" w:ascii="宋体" w:hAnsi="宋体"/>
                <w:color w:val="auto"/>
                <w:spacing w:val="2"/>
                <w:sz w:val="24"/>
                <w:szCs w:val="24"/>
                <w:lang w:eastAsia="zh-CN"/>
              </w:rPr>
              <w:t>勘察</w:t>
            </w:r>
            <w:r>
              <w:rPr>
                <w:rFonts w:hint="eastAsia" w:ascii="宋体" w:hAnsi="宋体" w:eastAsia="宋体"/>
                <w:color w:val="auto"/>
                <w:spacing w:val="2"/>
                <w:sz w:val="24"/>
                <w:szCs w:val="24"/>
              </w:rPr>
              <w:t>工作重点、难点分析（1-4分）</w:t>
            </w:r>
          </w:p>
        </w:tc>
        <w:tc>
          <w:tcPr>
            <w:tcW w:w="4772"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both"/>
              <w:rPr>
                <w:rFonts w:ascii="宋体" w:hAnsi="宋体" w:eastAsia="宋体" w:cs="宋体"/>
                <w:color w:val="auto"/>
                <w:sz w:val="24"/>
                <w:szCs w:val="24"/>
              </w:rPr>
            </w:pPr>
            <w:r>
              <w:rPr>
                <w:rFonts w:hint="eastAsia" w:ascii="宋体" w:hAnsi="宋体" w:eastAsia="宋体" w:cs="宋体"/>
                <w:color w:val="auto"/>
                <w:sz w:val="24"/>
                <w:szCs w:val="24"/>
              </w:rPr>
              <w:t>根据</w:t>
            </w:r>
            <w:r>
              <w:rPr>
                <w:rFonts w:hint="eastAsia" w:ascii="宋体" w:hAnsi="宋体"/>
                <w:color w:val="auto"/>
                <w:spacing w:val="2"/>
                <w:sz w:val="24"/>
                <w:szCs w:val="24"/>
                <w:lang w:eastAsia="zh-CN"/>
              </w:rPr>
              <w:t>勘察</w:t>
            </w:r>
            <w:r>
              <w:rPr>
                <w:rFonts w:hint="eastAsia" w:ascii="宋体" w:hAnsi="宋体" w:eastAsia="宋体"/>
                <w:color w:val="auto"/>
                <w:spacing w:val="2"/>
                <w:sz w:val="24"/>
                <w:szCs w:val="24"/>
              </w:rPr>
              <w:t>工作重点、难点分析</w:t>
            </w:r>
            <w:r>
              <w:rPr>
                <w:rFonts w:hint="eastAsia" w:ascii="宋体" w:hAnsi="宋体" w:eastAsia="宋体" w:cs="宋体"/>
                <w:color w:val="auto"/>
                <w:sz w:val="24"/>
                <w:szCs w:val="24"/>
              </w:rPr>
              <w:t>是否合理、科学等方面进行对比，在1-4分范围内酌情打分。缺项为0分。</w:t>
            </w:r>
          </w:p>
        </w:tc>
      </w:tr>
      <w:tr>
        <w:tblPrEx>
          <w:tblLayout w:type="fixed"/>
          <w:tblCellMar>
            <w:top w:w="0" w:type="dxa"/>
            <w:left w:w="0" w:type="dxa"/>
            <w:bottom w:w="0" w:type="dxa"/>
            <w:right w:w="0" w:type="dxa"/>
          </w:tblCellMar>
        </w:tblPrEx>
        <w:trPr>
          <w:trHeight w:val="633" w:hRule="atLeast"/>
          <w:jc w:val="center"/>
        </w:trPr>
        <w:tc>
          <w:tcPr>
            <w:tcW w:w="776" w:type="dxa"/>
            <w:vMerge w:val="continue"/>
            <w:tcBorders>
              <w:top w:val="single" w:color="auto" w:sz="4" w:space="0"/>
              <w:left w:val="single" w:color="000000" w:sz="4" w:space="0"/>
              <w:bottom w:val="single" w:color="auto" w:sz="4" w:space="0"/>
              <w:right w:val="single" w:color="000000" w:sz="4" w:space="0"/>
            </w:tcBorders>
            <w:vAlign w:val="center"/>
          </w:tcPr>
          <w:p>
            <w:pPr>
              <w:snapToGrid w:val="0"/>
              <w:spacing w:line="400" w:lineRule="exact"/>
              <w:ind w:firstLine="0" w:firstLineChars="0"/>
              <w:jc w:val="center"/>
              <w:rPr>
                <w:rFonts w:ascii="宋体" w:hAnsi="宋体" w:eastAsia="宋体"/>
                <w:color w:val="auto"/>
                <w:spacing w:val="2"/>
                <w:sz w:val="24"/>
                <w:szCs w:val="24"/>
              </w:rPr>
            </w:pPr>
          </w:p>
        </w:tc>
        <w:tc>
          <w:tcPr>
            <w:tcW w:w="967" w:type="dxa"/>
            <w:vMerge w:val="continue"/>
            <w:tcBorders>
              <w:top w:val="single" w:color="auto" w:sz="4" w:space="0"/>
              <w:left w:val="single" w:color="000000" w:sz="4" w:space="0"/>
              <w:bottom w:val="single" w:color="auto" w:sz="4" w:space="0"/>
              <w:right w:val="single" w:color="000000" w:sz="4" w:space="0"/>
            </w:tcBorders>
            <w:vAlign w:val="center"/>
          </w:tcPr>
          <w:p>
            <w:pPr>
              <w:snapToGrid w:val="0"/>
              <w:spacing w:line="400" w:lineRule="exact"/>
              <w:ind w:firstLine="0" w:firstLineChars="0"/>
              <w:jc w:val="center"/>
              <w:rPr>
                <w:rFonts w:ascii="宋体" w:hAnsi="宋体" w:eastAsia="宋体"/>
                <w:color w:val="auto"/>
                <w:spacing w:val="2"/>
                <w:sz w:val="24"/>
                <w:szCs w:val="24"/>
              </w:rPr>
            </w:pPr>
          </w:p>
        </w:tc>
        <w:tc>
          <w:tcPr>
            <w:tcW w:w="2135"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color w:val="auto"/>
                <w:spacing w:val="2"/>
                <w:sz w:val="24"/>
                <w:szCs w:val="24"/>
              </w:rPr>
            </w:pPr>
            <w:r>
              <w:rPr>
                <w:rFonts w:hint="eastAsia" w:ascii="宋体" w:hAnsi="宋体" w:eastAsia="宋体"/>
                <w:color w:val="auto"/>
                <w:spacing w:val="2"/>
                <w:sz w:val="24"/>
                <w:szCs w:val="24"/>
              </w:rPr>
              <w:t>7、合理化建议（1-4分）</w:t>
            </w:r>
          </w:p>
        </w:tc>
        <w:tc>
          <w:tcPr>
            <w:tcW w:w="4772"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both"/>
              <w:rPr>
                <w:rFonts w:ascii="宋体" w:hAnsi="宋体" w:eastAsia="宋体"/>
                <w:color w:val="auto"/>
                <w:spacing w:val="2"/>
                <w:sz w:val="24"/>
                <w:szCs w:val="24"/>
              </w:rPr>
            </w:pPr>
            <w:r>
              <w:rPr>
                <w:rFonts w:hint="eastAsia" w:ascii="宋体" w:hAnsi="宋体" w:eastAsia="宋体" w:cs="宋体"/>
                <w:color w:val="auto"/>
                <w:sz w:val="24"/>
                <w:szCs w:val="24"/>
              </w:rPr>
              <w:t>根据</w:t>
            </w:r>
            <w:r>
              <w:rPr>
                <w:rFonts w:hint="eastAsia" w:ascii="宋体" w:hAnsi="宋体" w:eastAsia="宋体"/>
                <w:color w:val="auto"/>
                <w:spacing w:val="2"/>
                <w:sz w:val="24"/>
                <w:szCs w:val="24"/>
              </w:rPr>
              <w:t>合理化建议</w:t>
            </w:r>
            <w:r>
              <w:rPr>
                <w:rFonts w:hint="eastAsia" w:ascii="宋体" w:hAnsi="宋体" w:eastAsia="宋体" w:cs="宋体"/>
                <w:color w:val="auto"/>
                <w:sz w:val="24"/>
                <w:szCs w:val="24"/>
              </w:rPr>
              <w:t>的合理、科学性等方面进行对比，在1-4分范围内酌情打分。缺项为0分。</w:t>
            </w:r>
          </w:p>
        </w:tc>
      </w:tr>
      <w:tr>
        <w:tblPrEx>
          <w:tblLayout w:type="fixed"/>
          <w:tblCellMar>
            <w:top w:w="0" w:type="dxa"/>
            <w:left w:w="0" w:type="dxa"/>
            <w:bottom w:w="0" w:type="dxa"/>
            <w:right w:w="0" w:type="dxa"/>
          </w:tblCellMar>
        </w:tblPrEx>
        <w:trPr>
          <w:trHeight w:val="600" w:hRule="atLeast"/>
          <w:jc w:val="center"/>
        </w:trPr>
        <w:tc>
          <w:tcPr>
            <w:tcW w:w="776"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eastAsia="宋体"/>
                <w:color w:val="auto"/>
                <w:spacing w:val="2"/>
                <w:sz w:val="24"/>
                <w:szCs w:val="24"/>
              </w:rPr>
            </w:pPr>
          </w:p>
        </w:tc>
        <w:tc>
          <w:tcPr>
            <w:tcW w:w="967"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eastAsia="宋体"/>
                <w:color w:val="auto"/>
                <w:spacing w:val="2"/>
                <w:sz w:val="24"/>
                <w:szCs w:val="24"/>
              </w:rPr>
            </w:pPr>
          </w:p>
        </w:tc>
        <w:tc>
          <w:tcPr>
            <w:tcW w:w="2135"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color w:val="auto"/>
                <w:spacing w:val="2"/>
                <w:sz w:val="24"/>
                <w:szCs w:val="24"/>
              </w:rPr>
            </w:pPr>
            <w:r>
              <w:rPr>
                <w:rFonts w:hint="eastAsia" w:ascii="宋体" w:hAnsi="宋体" w:eastAsia="宋体"/>
                <w:color w:val="auto"/>
                <w:spacing w:val="2"/>
                <w:sz w:val="24"/>
                <w:szCs w:val="24"/>
              </w:rPr>
              <w:t>8、后续服务工作安排（1-4分）</w:t>
            </w:r>
          </w:p>
        </w:tc>
        <w:tc>
          <w:tcPr>
            <w:tcW w:w="4772"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both"/>
              <w:rPr>
                <w:rFonts w:ascii="宋体" w:hAnsi="宋体" w:eastAsia="宋体"/>
                <w:color w:val="auto"/>
                <w:spacing w:val="2"/>
                <w:sz w:val="24"/>
                <w:szCs w:val="24"/>
              </w:rPr>
            </w:pPr>
            <w:r>
              <w:rPr>
                <w:rFonts w:hint="eastAsia" w:ascii="宋体" w:hAnsi="宋体" w:eastAsia="宋体" w:cs="宋体"/>
                <w:color w:val="auto"/>
                <w:sz w:val="24"/>
                <w:szCs w:val="24"/>
              </w:rPr>
              <w:t>根据</w:t>
            </w:r>
            <w:r>
              <w:rPr>
                <w:rFonts w:hint="eastAsia" w:ascii="宋体" w:hAnsi="宋体" w:eastAsia="宋体"/>
                <w:color w:val="auto"/>
                <w:spacing w:val="2"/>
                <w:sz w:val="24"/>
                <w:szCs w:val="24"/>
              </w:rPr>
              <w:t>后续服务工作安排是否合理、科学</w:t>
            </w:r>
            <w:r>
              <w:rPr>
                <w:rFonts w:hint="eastAsia" w:ascii="宋体" w:hAnsi="宋体" w:eastAsia="宋体" w:cs="宋体"/>
                <w:color w:val="auto"/>
                <w:sz w:val="24"/>
                <w:szCs w:val="24"/>
              </w:rPr>
              <w:t>等方面进行对比，在1-4分范围内酌情打分。缺项为0分。</w:t>
            </w:r>
          </w:p>
        </w:tc>
      </w:tr>
    </w:tbl>
    <w:p>
      <w:pPr>
        <w:rPr>
          <w:rFonts w:ascii="Times New Roman" w:hAnsi="Times New Roman"/>
          <w:color w:val="auto"/>
        </w:rPr>
      </w:pPr>
    </w:p>
    <w:p>
      <w:pPr>
        <w:spacing w:line="400" w:lineRule="exact"/>
        <w:rPr>
          <w:rFonts w:ascii="宋体" w:hAnsi="宋体" w:eastAsia="宋体" w:cs="宋体"/>
          <w:b/>
          <w:bCs/>
          <w:color w:val="auto"/>
          <w:sz w:val="24"/>
          <w:szCs w:val="24"/>
        </w:rPr>
      </w:pPr>
      <w:bookmarkStart w:id="138" w:name="_Toc492300823"/>
      <w:r>
        <w:rPr>
          <w:rFonts w:hint="eastAsia" w:ascii="宋体" w:hAnsi="宋体" w:eastAsia="宋体" w:cs="宋体"/>
          <w:b/>
          <w:bCs/>
          <w:color w:val="auto"/>
          <w:sz w:val="24"/>
          <w:szCs w:val="24"/>
        </w:rPr>
        <w:t>备注：</w:t>
      </w:r>
    </w:p>
    <w:p>
      <w:pPr>
        <w:spacing w:line="400" w:lineRule="exact"/>
        <w:ind w:firstLine="0" w:firstLineChars="0"/>
        <w:rPr>
          <w:rFonts w:ascii="宋体" w:hAnsi="宋体" w:eastAsia="宋体" w:cs="宋体"/>
          <w:b/>
          <w:bCs/>
          <w:color w:val="auto"/>
          <w:sz w:val="24"/>
          <w:szCs w:val="24"/>
        </w:rPr>
      </w:pPr>
      <w:r>
        <w:rPr>
          <w:rFonts w:hint="eastAsia" w:ascii="宋体" w:hAnsi="宋体" w:eastAsia="宋体" w:cs="宋体"/>
          <w:b/>
          <w:bCs/>
          <w:color w:val="auto"/>
          <w:sz w:val="24"/>
          <w:szCs w:val="24"/>
        </w:rPr>
        <w:t>（1）以上涉及到的资料均需提供原件</w:t>
      </w:r>
      <w:r>
        <w:rPr>
          <w:rFonts w:hint="eastAsia" w:ascii="宋体" w:hAnsi="宋体" w:eastAsia="宋体" w:cs="宋体"/>
          <w:b/>
          <w:bCs/>
          <w:color w:val="auto"/>
          <w:sz w:val="24"/>
          <w:szCs w:val="24"/>
          <w:lang w:eastAsia="zh-CN"/>
        </w:rPr>
        <w:t>的扫描件或照片</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eastAsia="zh-CN"/>
        </w:rPr>
        <w:t>附入</w:t>
      </w:r>
      <w:r>
        <w:rPr>
          <w:rFonts w:hint="eastAsia" w:ascii="宋体" w:hAnsi="宋体" w:eastAsia="宋体" w:cs="宋体"/>
          <w:b/>
          <w:bCs/>
          <w:color w:val="auto"/>
          <w:sz w:val="24"/>
          <w:szCs w:val="24"/>
        </w:rPr>
        <w:t>投标文件中</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否则无效。</w:t>
      </w:r>
    </w:p>
    <w:p>
      <w:pPr>
        <w:spacing w:line="400" w:lineRule="exact"/>
        <w:ind w:firstLine="0" w:firstLineChars="0"/>
        <w:outlineLvl w:val="0"/>
        <w:rPr>
          <w:rFonts w:ascii="宋体" w:hAnsi="宋体" w:eastAsia="宋体" w:cs="宋体"/>
          <w:b/>
          <w:color w:val="auto"/>
          <w:sz w:val="24"/>
          <w:szCs w:val="24"/>
        </w:rPr>
      </w:pPr>
      <w:r>
        <w:rPr>
          <w:rFonts w:hint="eastAsia" w:ascii="宋体" w:hAnsi="宋体" w:eastAsia="宋体" w:cs="宋体"/>
          <w:b/>
          <w:bCs/>
          <w:color w:val="auto"/>
          <w:sz w:val="24"/>
          <w:szCs w:val="24"/>
        </w:rPr>
        <w:t>（2）所有证件如遇延期办理的应提供相关行政主管部门出具的证明。</w:t>
      </w:r>
    </w:p>
    <w:p>
      <w:pPr>
        <w:pStyle w:val="5"/>
        <w:rPr>
          <w:rFonts w:ascii="Times New Roman" w:hAnsi="Times New Roman"/>
          <w:color w:val="auto"/>
        </w:rPr>
      </w:pPr>
    </w:p>
    <w:p>
      <w:pPr>
        <w:pStyle w:val="5"/>
        <w:rPr>
          <w:rFonts w:ascii="Times New Roman" w:hAnsi="Times New Roman"/>
          <w:color w:val="auto"/>
        </w:rPr>
      </w:pPr>
      <w:r>
        <w:rPr>
          <w:rFonts w:ascii="Times New Roman" w:hAnsi="Times New Roman"/>
          <w:color w:val="auto"/>
        </w:rPr>
        <w:br w:type="page"/>
      </w:r>
    </w:p>
    <w:p>
      <w:pPr>
        <w:pStyle w:val="5"/>
        <w:rPr>
          <w:rFonts w:ascii="Times New Roman" w:hAnsi="Times New Roman"/>
          <w:color w:val="auto"/>
        </w:rPr>
      </w:pPr>
      <w:r>
        <w:rPr>
          <w:rFonts w:ascii="Times New Roman" w:hAnsi="Times New Roman"/>
          <w:color w:val="auto"/>
        </w:rPr>
        <w:t>1. 评标方法</w:t>
      </w:r>
      <w:bookmarkEnd w:id="138"/>
    </w:p>
    <w:p>
      <w:pPr>
        <w:spacing w:line="360" w:lineRule="auto"/>
        <w:ind w:firstLine="420" w:firstLineChars="200"/>
        <w:rPr>
          <w:rFonts w:ascii="Times New Roman" w:hAnsi="Times New Roman"/>
          <w:color w:val="auto"/>
        </w:rPr>
      </w:pPr>
      <w:r>
        <w:rPr>
          <w:rFonts w:ascii="Times New Roman" w:hAnsi="Times New Roman"/>
          <w:color w:val="auto"/>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w:t>
      </w:r>
      <w:bookmarkStart w:id="139" w:name="_Toc152045598"/>
      <w:bookmarkStart w:id="140" w:name="_Toc300835008"/>
      <w:bookmarkStart w:id="141" w:name="_Toc144974565"/>
      <w:bookmarkStart w:id="142" w:name="_Toc384308272"/>
      <w:bookmarkStart w:id="143" w:name="_Toc152042375"/>
      <w:bookmarkStart w:id="144" w:name="_Toc361508646"/>
      <w:bookmarkStart w:id="145" w:name="_Toc247514022"/>
      <w:bookmarkStart w:id="146" w:name="_Toc247527623"/>
      <w:bookmarkStart w:id="147" w:name="_Toc4497"/>
      <w:bookmarkStart w:id="148" w:name="_Toc352691533"/>
      <w:bookmarkStart w:id="149" w:name="_Toc369531577"/>
      <w:r>
        <w:rPr>
          <w:rFonts w:ascii="Times New Roman" w:hAnsi="Times New Roman"/>
          <w:color w:val="auto"/>
        </w:rPr>
        <w:t>外。综合评分相等</w:t>
      </w:r>
      <w:bookmarkEnd w:id="139"/>
      <w:bookmarkEnd w:id="140"/>
      <w:bookmarkEnd w:id="141"/>
      <w:bookmarkEnd w:id="142"/>
      <w:bookmarkEnd w:id="143"/>
      <w:bookmarkEnd w:id="144"/>
      <w:bookmarkEnd w:id="145"/>
      <w:bookmarkEnd w:id="146"/>
      <w:r>
        <w:rPr>
          <w:rFonts w:ascii="Times New Roman" w:hAnsi="Times New Roman"/>
          <w:color w:val="auto"/>
        </w:rPr>
        <w:t>时，以投标报价低的</w:t>
      </w:r>
      <w:bookmarkEnd w:id="147"/>
      <w:bookmarkEnd w:id="148"/>
      <w:bookmarkEnd w:id="149"/>
      <w:r>
        <w:rPr>
          <w:rFonts w:ascii="Times New Roman" w:hAnsi="Times New Roman"/>
          <w:color w:val="auto"/>
        </w:rPr>
        <w:t>优</w:t>
      </w:r>
      <w:bookmarkStart w:id="150" w:name="_Toc152045599"/>
      <w:bookmarkStart w:id="151" w:name="_Toc152042376"/>
      <w:bookmarkStart w:id="152" w:name="_Toc300835009"/>
      <w:bookmarkStart w:id="153" w:name="_Toc144974566"/>
      <w:bookmarkStart w:id="154" w:name="_Toc247527624"/>
      <w:bookmarkStart w:id="155" w:name="_Toc39"/>
      <w:bookmarkStart w:id="156" w:name="_Toc247514023"/>
      <w:bookmarkStart w:id="157" w:name="_Toc361508647"/>
      <w:bookmarkStart w:id="158" w:name="_Toc384308273"/>
      <w:bookmarkStart w:id="159" w:name="_Toc352691534"/>
      <w:bookmarkStart w:id="160" w:name="_Toc369531578"/>
      <w:r>
        <w:rPr>
          <w:rFonts w:ascii="Times New Roman" w:hAnsi="Times New Roman"/>
          <w:color w:val="auto"/>
        </w:rPr>
        <w:t>先；投标报价也相等</w:t>
      </w:r>
      <w:bookmarkEnd w:id="150"/>
      <w:bookmarkEnd w:id="151"/>
      <w:bookmarkEnd w:id="152"/>
      <w:bookmarkEnd w:id="153"/>
      <w:bookmarkEnd w:id="154"/>
      <w:bookmarkEnd w:id="155"/>
      <w:bookmarkEnd w:id="156"/>
      <w:bookmarkEnd w:id="157"/>
      <w:bookmarkEnd w:id="158"/>
      <w:bookmarkEnd w:id="159"/>
      <w:bookmarkEnd w:id="160"/>
      <w:r>
        <w:rPr>
          <w:rFonts w:ascii="Times New Roman" w:hAnsi="Times New Roman"/>
          <w:color w:val="auto"/>
        </w:rPr>
        <w:t>的</w:t>
      </w:r>
      <w:r>
        <w:rPr>
          <w:rFonts w:hint="eastAsia" w:ascii="Times New Roman" w:hAnsi="Times New Roman"/>
          <w:color w:val="auto"/>
        </w:rPr>
        <w:t>，以</w:t>
      </w:r>
      <w:r>
        <w:rPr>
          <w:rFonts w:ascii="Times New Roman" w:hAnsi="Times New Roman"/>
          <w:color w:val="auto"/>
        </w:rPr>
        <w:t>勘察纲要得分高的优先</w:t>
      </w:r>
      <w:r>
        <w:rPr>
          <w:rFonts w:hint="eastAsia" w:ascii="Times New Roman" w:hAnsi="Times New Roman"/>
          <w:color w:val="auto"/>
        </w:rPr>
        <w:t>；</w:t>
      </w:r>
      <w:r>
        <w:rPr>
          <w:rFonts w:ascii="Times New Roman" w:hAnsi="Times New Roman"/>
          <w:color w:val="auto"/>
        </w:rPr>
        <w:t>如果勘察纲要得分也相</w:t>
      </w:r>
      <w:r>
        <w:rPr>
          <w:rFonts w:hint="eastAsia" w:ascii="Times New Roman" w:hAnsi="Times New Roman"/>
          <w:color w:val="auto"/>
        </w:rPr>
        <w:t>等</w:t>
      </w:r>
      <w:r>
        <w:rPr>
          <w:rFonts w:ascii="Times New Roman" w:hAnsi="Times New Roman"/>
          <w:color w:val="auto"/>
        </w:rPr>
        <w:t>，按照评标办法前附表的规定确定中标候选人顺序。</w:t>
      </w:r>
    </w:p>
    <w:p>
      <w:pPr>
        <w:pStyle w:val="5"/>
        <w:rPr>
          <w:rFonts w:ascii="Times New Roman" w:hAnsi="Times New Roman"/>
          <w:color w:val="auto"/>
        </w:rPr>
      </w:pPr>
      <w:bookmarkStart w:id="161" w:name="_Toc492300824"/>
      <w:r>
        <w:rPr>
          <w:rFonts w:ascii="Times New Roman" w:hAnsi="Times New Roman"/>
          <w:color w:val="auto"/>
        </w:rPr>
        <w:t xml:space="preserve">2. </w:t>
      </w:r>
      <w:r>
        <w:rPr>
          <w:rFonts w:hint="eastAsia" w:ascii="Times New Roman" w:hAnsi="Times New Roman"/>
          <w:color w:val="auto"/>
        </w:rPr>
        <w:t>评审标准</w:t>
      </w:r>
      <w:bookmarkEnd w:id="161"/>
    </w:p>
    <w:p>
      <w:pPr>
        <w:pStyle w:val="6"/>
        <w:spacing w:line="240" w:lineRule="auto"/>
        <w:ind w:firstLine="137"/>
        <w:rPr>
          <w:rFonts w:ascii="Times New Roman" w:hAnsi="Times New Roman"/>
          <w:color w:val="auto"/>
        </w:rPr>
      </w:pPr>
      <w:bookmarkStart w:id="162" w:name="_Toc492300825"/>
      <w:r>
        <w:rPr>
          <w:rFonts w:ascii="Times New Roman" w:hAnsi="Times New Roman"/>
          <w:color w:val="auto"/>
        </w:rPr>
        <w:t xml:space="preserve">2.1 </w:t>
      </w:r>
      <w:r>
        <w:rPr>
          <w:rFonts w:hint="eastAsia" w:ascii="Times New Roman" w:hAnsi="Times New Roman"/>
          <w:color w:val="auto"/>
        </w:rPr>
        <w:t>初步评审标准</w:t>
      </w:r>
      <w:bookmarkEnd w:id="162"/>
    </w:p>
    <w:p>
      <w:pPr>
        <w:spacing w:line="400" w:lineRule="exact"/>
        <w:ind w:firstLine="420" w:firstLineChars="200"/>
        <w:rPr>
          <w:rFonts w:ascii="Times New Roman" w:hAnsi="Times New Roman"/>
          <w:color w:val="auto"/>
        </w:rPr>
      </w:pPr>
      <w:r>
        <w:rPr>
          <w:rFonts w:ascii="Times New Roman" w:hAnsi="Times New Roman"/>
          <w:color w:val="auto"/>
        </w:rPr>
        <w:t>2.1.1 形式评审标准：见评标办法前附表。</w:t>
      </w:r>
    </w:p>
    <w:p>
      <w:pPr>
        <w:spacing w:line="400" w:lineRule="exact"/>
        <w:ind w:firstLine="420" w:firstLineChars="200"/>
        <w:rPr>
          <w:rFonts w:ascii="Times New Roman" w:hAnsi="Times New Roman"/>
          <w:color w:val="auto"/>
        </w:rPr>
      </w:pPr>
      <w:r>
        <w:rPr>
          <w:rFonts w:ascii="Times New Roman" w:hAnsi="Times New Roman"/>
          <w:color w:val="auto"/>
        </w:rPr>
        <w:t>2.1.2 资格评审标准：见评标办法前附表。</w:t>
      </w:r>
    </w:p>
    <w:p>
      <w:pPr>
        <w:spacing w:line="400" w:lineRule="exact"/>
        <w:ind w:firstLine="420" w:firstLineChars="200"/>
        <w:rPr>
          <w:rFonts w:ascii="Times New Roman" w:hAnsi="Times New Roman"/>
          <w:color w:val="auto"/>
        </w:rPr>
      </w:pPr>
      <w:r>
        <w:rPr>
          <w:rFonts w:ascii="Times New Roman" w:hAnsi="Times New Roman"/>
          <w:color w:val="auto"/>
        </w:rPr>
        <w:t>2.1.3 响应性评审标准：见评标办法前附表。</w:t>
      </w:r>
    </w:p>
    <w:p>
      <w:pPr>
        <w:pStyle w:val="6"/>
        <w:spacing w:line="240" w:lineRule="auto"/>
        <w:ind w:firstLine="137"/>
        <w:rPr>
          <w:rFonts w:ascii="Times New Roman" w:hAnsi="Times New Roman"/>
          <w:color w:val="auto"/>
        </w:rPr>
      </w:pPr>
      <w:bookmarkStart w:id="163" w:name="_Toc492300826"/>
      <w:r>
        <w:rPr>
          <w:rFonts w:ascii="Times New Roman" w:hAnsi="Times New Roman"/>
          <w:color w:val="auto"/>
        </w:rPr>
        <w:t xml:space="preserve">2.2 </w:t>
      </w:r>
      <w:r>
        <w:rPr>
          <w:rFonts w:hint="eastAsia" w:ascii="Times New Roman" w:hAnsi="Times New Roman"/>
          <w:color w:val="auto"/>
        </w:rPr>
        <w:t>分值构成与评分标准</w:t>
      </w:r>
      <w:bookmarkEnd w:id="163"/>
    </w:p>
    <w:p>
      <w:pPr>
        <w:spacing w:line="400" w:lineRule="exact"/>
        <w:ind w:firstLine="420" w:firstLineChars="200"/>
        <w:rPr>
          <w:rFonts w:ascii="Times New Roman" w:hAnsi="Times New Roman"/>
          <w:color w:val="auto"/>
        </w:rPr>
      </w:pPr>
      <w:r>
        <w:rPr>
          <w:rFonts w:ascii="Times New Roman" w:hAnsi="Times New Roman"/>
          <w:color w:val="auto"/>
        </w:rPr>
        <w:t>2.2.1 分值构成</w:t>
      </w:r>
    </w:p>
    <w:p>
      <w:pPr>
        <w:spacing w:line="400" w:lineRule="exact"/>
        <w:ind w:firstLine="420" w:firstLineChars="200"/>
        <w:rPr>
          <w:rFonts w:ascii="Times New Roman" w:hAnsi="Times New Roman"/>
          <w:color w:val="auto"/>
        </w:rPr>
      </w:pPr>
      <w:r>
        <w:rPr>
          <w:rFonts w:ascii="Times New Roman" w:hAnsi="Times New Roman"/>
          <w:color w:val="auto"/>
        </w:rPr>
        <w:t>（1）资信业绩部分：见评标办法前附表；</w:t>
      </w:r>
    </w:p>
    <w:p>
      <w:pPr>
        <w:spacing w:line="400" w:lineRule="exact"/>
        <w:ind w:firstLine="420" w:firstLineChars="200"/>
        <w:rPr>
          <w:rFonts w:ascii="Times New Roman" w:hAnsi="Times New Roman"/>
          <w:color w:val="auto"/>
        </w:rPr>
      </w:pPr>
      <w:r>
        <w:rPr>
          <w:rFonts w:ascii="Times New Roman" w:hAnsi="Times New Roman"/>
          <w:color w:val="auto"/>
        </w:rPr>
        <w:t>（2）勘察纲要部分：见评标办法前附表；</w:t>
      </w:r>
    </w:p>
    <w:p>
      <w:pPr>
        <w:spacing w:line="400" w:lineRule="exact"/>
        <w:ind w:firstLine="420" w:firstLineChars="200"/>
        <w:rPr>
          <w:rFonts w:ascii="Times New Roman" w:hAnsi="Times New Roman"/>
          <w:color w:val="auto"/>
        </w:rPr>
      </w:pPr>
      <w:r>
        <w:rPr>
          <w:rFonts w:ascii="Times New Roman" w:hAnsi="Times New Roman"/>
          <w:color w:val="auto"/>
        </w:rPr>
        <w:t>（3）投标报价：见评标办法前附表；</w:t>
      </w:r>
    </w:p>
    <w:p>
      <w:pPr>
        <w:spacing w:line="400" w:lineRule="exact"/>
        <w:ind w:firstLine="420" w:firstLineChars="200"/>
        <w:rPr>
          <w:rFonts w:ascii="Times New Roman" w:hAnsi="Times New Roman"/>
          <w:color w:val="auto"/>
        </w:rPr>
      </w:pPr>
      <w:r>
        <w:rPr>
          <w:rFonts w:ascii="Times New Roman" w:hAnsi="Times New Roman"/>
          <w:color w:val="auto"/>
        </w:rPr>
        <w:t>（4）其他评分因素：见评标办法前附表。</w:t>
      </w:r>
    </w:p>
    <w:p>
      <w:pPr>
        <w:spacing w:line="400" w:lineRule="exact"/>
        <w:ind w:firstLine="420" w:firstLineChars="200"/>
        <w:rPr>
          <w:rFonts w:ascii="Times New Roman" w:hAnsi="Times New Roman"/>
          <w:color w:val="auto"/>
        </w:rPr>
      </w:pPr>
      <w:r>
        <w:rPr>
          <w:rFonts w:ascii="Times New Roman" w:hAnsi="Times New Roman"/>
          <w:color w:val="auto"/>
        </w:rPr>
        <w:t>2.2.2 评标基准价计算</w:t>
      </w:r>
    </w:p>
    <w:p>
      <w:pPr>
        <w:spacing w:line="400" w:lineRule="exact"/>
        <w:ind w:firstLine="420" w:firstLineChars="200"/>
        <w:rPr>
          <w:rFonts w:ascii="Times New Roman" w:hAnsi="Times New Roman"/>
          <w:color w:val="auto"/>
        </w:rPr>
      </w:pPr>
      <w:r>
        <w:rPr>
          <w:rFonts w:ascii="Times New Roman" w:hAnsi="Times New Roman"/>
          <w:color w:val="auto"/>
        </w:rPr>
        <w:t>评标基准价计算方法：见评标办法前附表。</w:t>
      </w:r>
    </w:p>
    <w:p>
      <w:pPr>
        <w:spacing w:line="400" w:lineRule="exact"/>
        <w:ind w:firstLine="420" w:firstLineChars="200"/>
        <w:rPr>
          <w:rFonts w:ascii="Times New Roman" w:hAnsi="Times New Roman"/>
          <w:color w:val="auto"/>
        </w:rPr>
      </w:pPr>
      <w:r>
        <w:rPr>
          <w:rFonts w:ascii="Times New Roman" w:hAnsi="Times New Roman"/>
          <w:color w:val="auto"/>
        </w:rPr>
        <w:t>2.2.3 投标报价的偏差率计算</w:t>
      </w:r>
    </w:p>
    <w:p>
      <w:pPr>
        <w:spacing w:line="400" w:lineRule="exact"/>
        <w:ind w:firstLine="420" w:firstLineChars="200"/>
        <w:rPr>
          <w:rFonts w:ascii="Times New Roman" w:hAnsi="Times New Roman"/>
          <w:color w:val="auto"/>
        </w:rPr>
      </w:pPr>
      <w:r>
        <w:rPr>
          <w:rFonts w:ascii="Times New Roman" w:hAnsi="Times New Roman"/>
          <w:color w:val="auto"/>
        </w:rPr>
        <w:t>投标报价的偏差率计算公式：见评标办法前附表。</w:t>
      </w:r>
    </w:p>
    <w:p>
      <w:pPr>
        <w:spacing w:line="400" w:lineRule="exact"/>
        <w:ind w:firstLine="420" w:firstLineChars="200"/>
        <w:rPr>
          <w:rFonts w:ascii="Times New Roman" w:hAnsi="Times New Roman"/>
          <w:color w:val="auto"/>
        </w:rPr>
      </w:pPr>
      <w:r>
        <w:rPr>
          <w:rFonts w:ascii="Times New Roman" w:hAnsi="Times New Roman"/>
          <w:color w:val="auto"/>
        </w:rPr>
        <w:t>2.2.4 评分标准</w:t>
      </w:r>
    </w:p>
    <w:p>
      <w:pPr>
        <w:spacing w:line="400" w:lineRule="exact"/>
        <w:ind w:firstLine="420" w:firstLineChars="200"/>
        <w:rPr>
          <w:rFonts w:ascii="Times New Roman" w:hAnsi="Times New Roman"/>
          <w:color w:val="auto"/>
        </w:rPr>
      </w:pPr>
      <w:r>
        <w:rPr>
          <w:rFonts w:ascii="Times New Roman" w:hAnsi="Times New Roman"/>
          <w:color w:val="auto"/>
        </w:rPr>
        <w:t>（1）资信业绩评分标准：见评标办法前附表；</w:t>
      </w:r>
    </w:p>
    <w:p>
      <w:pPr>
        <w:spacing w:line="400" w:lineRule="exact"/>
        <w:ind w:firstLine="420" w:firstLineChars="200"/>
        <w:rPr>
          <w:rFonts w:ascii="Times New Roman" w:hAnsi="Times New Roman"/>
          <w:color w:val="auto"/>
        </w:rPr>
      </w:pPr>
      <w:r>
        <w:rPr>
          <w:rFonts w:ascii="Times New Roman" w:hAnsi="Times New Roman"/>
          <w:color w:val="auto"/>
        </w:rPr>
        <w:t>（2）勘察纲要评分标准：见评标办法前附表；</w:t>
      </w:r>
    </w:p>
    <w:p>
      <w:pPr>
        <w:spacing w:line="400" w:lineRule="exact"/>
        <w:ind w:firstLine="420" w:firstLineChars="200"/>
        <w:rPr>
          <w:rFonts w:ascii="Times New Roman" w:hAnsi="Times New Roman"/>
          <w:color w:val="auto"/>
        </w:rPr>
      </w:pPr>
      <w:r>
        <w:rPr>
          <w:rFonts w:ascii="Times New Roman" w:hAnsi="Times New Roman"/>
          <w:color w:val="auto"/>
        </w:rPr>
        <w:t>（3）投标报价评分标准：见评标办法前附表；</w:t>
      </w:r>
    </w:p>
    <w:p>
      <w:pPr>
        <w:spacing w:line="400" w:lineRule="exact"/>
        <w:ind w:firstLine="420" w:firstLineChars="200"/>
        <w:rPr>
          <w:rFonts w:ascii="Times New Roman" w:hAnsi="Times New Roman"/>
          <w:color w:val="auto"/>
        </w:rPr>
      </w:pPr>
      <w:r>
        <w:rPr>
          <w:rFonts w:ascii="Times New Roman" w:hAnsi="Times New Roman"/>
          <w:color w:val="auto"/>
        </w:rPr>
        <w:t>（4）其他因素评分标准：见评标办法前附表。</w:t>
      </w:r>
    </w:p>
    <w:p>
      <w:pPr>
        <w:pStyle w:val="5"/>
        <w:rPr>
          <w:rFonts w:ascii="Times New Roman" w:hAnsi="Times New Roman"/>
          <w:color w:val="auto"/>
        </w:rPr>
      </w:pPr>
      <w:bookmarkStart w:id="164" w:name="_Toc492300827"/>
      <w:r>
        <w:rPr>
          <w:rFonts w:ascii="Times New Roman" w:hAnsi="Times New Roman"/>
          <w:color w:val="auto"/>
        </w:rPr>
        <w:t xml:space="preserve">3. </w:t>
      </w:r>
      <w:r>
        <w:rPr>
          <w:rFonts w:hint="eastAsia" w:ascii="Times New Roman" w:hAnsi="Times New Roman"/>
          <w:color w:val="auto"/>
        </w:rPr>
        <w:t>评标程序</w:t>
      </w:r>
      <w:bookmarkEnd w:id="164"/>
    </w:p>
    <w:p>
      <w:pPr>
        <w:pStyle w:val="6"/>
        <w:spacing w:line="240" w:lineRule="auto"/>
        <w:ind w:firstLine="137"/>
        <w:rPr>
          <w:rFonts w:ascii="Times New Roman" w:hAnsi="Times New Roman"/>
          <w:color w:val="auto"/>
        </w:rPr>
      </w:pPr>
      <w:bookmarkStart w:id="165" w:name="_Toc492300828"/>
      <w:r>
        <w:rPr>
          <w:rFonts w:ascii="Times New Roman" w:hAnsi="Times New Roman"/>
          <w:color w:val="auto"/>
        </w:rPr>
        <w:t xml:space="preserve">3.1 </w:t>
      </w:r>
      <w:r>
        <w:rPr>
          <w:rFonts w:hint="eastAsia" w:ascii="Times New Roman" w:hAnsi="Times New Roman"/>
          <w:color w:val="auto"/>
        </w:rPr>
        <w:t>初步评审</w:t>
      </w:r>
      <w:bookmarkEnd w:id="165"/>
    </w:p>
    <w:p>
      <w:pPr>
        <w:spacing w:line="400" w:lineRule="exact"/>
        <w:ind w:firstLine="420" w:firstLineChars="200"/>
        <w:rPr>
          <w:rFonts w:ascii="Times New Roman" w:hAnsi="Times New Roman"/>
          <w:color w:val="auto"/>
        </w:rPr>
      </w:pPr>
      <w:r>
        <w:rPr>
          <w:rFonts w:ascii="Times New Roman" w:hAnsi="Times New Roman"/>
          <w:color w:val="auto"/>
        </w:rPr>
        <w:t>3.1.1 评标委员会可以要求投标人提交第二章“投标人须知”规定的有关证明</w:t>
      </w:r>
      <w:r>
        <w:rPr>
          <w:rFonts w:hint="eastAsia" w:ascii="Times New Roman" w:hAnsi="Times New Roman"/>
          <w:color w:val="auto"/>
          <w:lang w:val="en-US" w:eastAsia="zh-CN"/>
        </w:rPr>
        <w:t>文件</w:t>
      </w:r>
      <w:r>
        <w:rPr>
          <w:rFonts w:ascii="Times New Roman" w:hAnsi="Times New Roman"/>
          <w:color w:val="auto"/>
        </w:rPr>
        <w:t>，以便核验。评标委员会依据本章第2.1款规定的标准对投标文件进行初步评审。有一项不符合评审标准的，评标委员会应当否决其投标。</w:t>
      </w:r>
    </w:p>
    <w:p>
      <w:pPr>
        <w:spacing w:line="400" w:lineRule="exact"/>
        <w:ind w:firstLine="420" w:firstLineChars="200"/>
        <w:rPr>
          <w:rFonts w:ascii="Times New Roman" w:hAnsi="Times New Roman"/>
          <w:color w:val="auto"/>
        </w:rPr>
      </w:pPr>
      <w:r>
        <w:rPr>
          <w:rFonts w:ascii="Times New Roman" w:hAnsi="Times New Roman"/>
          <w:color w:val="auto"/>
        </w:rPr>
        <w:t>3.1.2 投标人有以下情形之一的，评标委员会应当否决其投标：</w:t>
      </w:r>
    </w:p>
    <w:p>
      <w:pPr>
        <w:spacing w:line="400" w:lineRule="exact"/>
        <w:ind w:firstLine="420" w:firstLineChars="200"/>
        <w:rPr>
          <w:rFonts w:ascii="Times New Roman" w:hAnsi="Times New Roman"/>
          <w:color w:val="auto"/>
        </w:rPr>
      </w:pPr>
      <w:r>
        <w:rPr>
          <w:rFonts w:ascii="Times New Roman" w:hAnsi="Times New Roman"/>
          <w:color w:val="auto"/>
        </w:rPr>
        <w:t>（1）投标文件没有对招标文件的实质性要求和条件作出响应，或者对招标文件的偏差超出招标文件规定的偏差范围或最高项数；</w:t>
      </w:r>
    </w:p>
    <w:p>
      <w:pPr>
        <w:spacing w:line="400" w:lineRule="exact"/>
        <w:ind w:firstLine="420" w:firstLineChars="200"/>
        <w:rPr>
          <w:rFonts w:ascii="Times New Roman" w:hAnsi="Times New Roman"/>
          <w:color w:val="auto"/>
        </w:rPr>
      </w:pPr>
      <w:r>
        <w:rPr>
          <w:rFonts w:ascii="Times New Roman" w:hAnsi="Times New Roman"/>
          <w:color w:val="auto"/>
        </w:rPr>
        <w:t>（2）有串通投标、弄虚作假、行贿等违法行为。</w:t>
      </w:r>
    </w:p>
    <w:p>
      <w:pPr>
        <w:spacing w:line="400" w:lineRule="exact"/>
        <w:ind w:firstLine="420" w:firstLineChars="200"/>
        <w:rPr>
          <w:rFonts w:ascii="Times New Roman" w:hAnsi="Times New Roman"/>
          <w:color w:val="auto"/>
        </w:rPr>
      </w:pPr>
      <w:r>
        <w:rPr>
          <w:rFonts w:ascii="Times New Roman" w:hAnsi="Times New Roman"/>
          <w:color w:val="auto"/>
        </w:rPr>
        <w:t>3.1.3 投标报价有算术错误及其他错误的，评标委员会按以下原则要求投标人对投标报价进</w:t>
      </w:r>
      <w:bookmarkStart w:id="166" w:name="_Toc2907"/>
      <w:bookmarkStart w:id="167" w:name="_Toc152042380"/>
      <w:bookmarkStart w:id="168" w:name="_Toc144974570"/>
      <w:bookmarkStart w:id="169" w:name="_Toc300835013"/>
      <w:bookmarkStart w:id="170" w:name="_Toc352691538"/>
      <w:bookmarkStart w:id="171" w:name="_Toc369531582"/>
      <w:bookmarkStart w:id="172" w:name="_Toc152045603"/>
      <w:bookmarkStart w:id="173" w:name="_Toc384308277"/>
      <w:bookmarkStart w:id="174" w:name="_Toc361508651"/>
      <w:bookmarkStart w:id="175" w:name="_Toc247527628"/>
      <w:bookmarkStart w:id="176" w:name="_Toc247514027"/>
      <w:r>
        <w:rPr>
          <w:rFonts w:ascii="Times New Roman" w:hAnsi="Times New Roman"/>
          <w:color w:val="auto"/>
        </w:rPr>
        <w:t>行修正，并要求投标人书面澄清确认。</w:t>
      </w:r>
      <w:bookmarkEnd w:id="166"/>
      <w:bookmarkEnd w:id="167"/>
      <w:bookmarkEnd w:id="168"/>
      <w:bookmarkEnd w:id="169"/>
      <w:bookmarkEnd w:id="170"/>
      <w:bookmarkEnd w:id="171"/>
      <w:bookmarkEnd w:id="172"/>
      <w:bookmarkEnd w:id="173"/>
      <w:bookmarkEnd w:id="174"/>
      <w:bookmarkEnd w:id="175"/>
      <w:bookmarkEnd w:id="176"/>
      <w:r>
        <w:rPr>
          <w:rFonts w:ascii="Times New Roman" w:hAnsi="Times New Roman"/>
          <w:color w:val="auto"/>
        </w:rPr>
        <w:t>投标人拒不澄清确认的，评标委员会应当否决其投标：</w:t>
      </w:r>
    </w:p>
    <w:p>
      <w:pPr>
        <w:spacing w:line="400" w:lineRule="exact"/>
        <w:ind w:firstLine="420" w:firstLineChars="200"/>
        <w:rPr>
          <w:rFonts w:ascii="Times New Roman" w:hAnsi="Times New Roman"/>
          <w:color w:val="auto"/>
        </w:rPr>
      </w:pPr>
      <w:r>
        <w:rPr>
          <w:rFonts w:ascii="Times New Roman" w:hAnsi="Times New Roman"/>
          <w:color w:val="auto"/>
        </w:rPr>
        <w:t>（1）投标文件中的大写金额与小写金额不一致的，以大写金额为准；</w:t>
      </w:r>
    </w:p>
    <w:p>
      <w:pPr>
        <w:spacing w:line="400" w:lineRule="exact"/>
        <w:ind w:firstLine="420" w:firstLineChars="200"/>
        <w:rPr>
          <w:rFonts w:ascii="Times New Roman" w:hAnsi="Times New Roman"/>
          <w:color w:val="auto"/>
        </w:rPr>
      </w:pPr>
      <w:r>
        <w:rPr>
          <w:rFonts w:ascii="Times New Roman" w:hAnsi="Times New Roman"/>
          <w:color w:val="auto"/>
        </w:rPr>
        <w:t>（2）总价金额与单价金额不一致的，以单价金额为准，但单价金额小数点有明显错误的除外</w:t>
      </w:r>
      <w:r>
        <w:rPr>
          <w:rFonts w:hint="eastAsia" w:ascii="Times New Roman" w:hAnsi="Times New Roman"/>
          <w:color w:val="auto"/>
        </w:rPr>
        <w:t>。</w:t>
      </w:r>
    </w:p>
    <w:p>
      <w:pPr>
        <w:pStyle w:val="6"/>
        <w:spacing w:line="240" w:lineRule="auto"/>
        <w:ind w:firstLine="137"/>
        <w:rPr>
          <w:rFonts w:ascii="Times New Roman" w:hAnsi="Times New Roman"/>
          <w:color w:val="auto"/>
        </w:rPr>
      </w:pPr>
      <w:bookmarkStart w:id="177" w:name="_Toc492300829"/>
      <w:r>
        <w:rPr>
          <w:rFonts w:ascii="Times New Roman" w:hAnsi="Times New Roman"/>
          <w:color w:val="auto"/>
        </w:rPr>
        <w:t xml:space="preserve">3.2 </w:t>
      </w:r>
      <w:r>
        <w:rPr>
          <w:rFonts w:hint="eastAsia" w:ascii="Times New Roman" w:hAnsi="Times New Roman"/>
          <w:color w:val="auto"/>
        </w:rPr>
        <w:t>详细评审</w:t>
      </w:r>
      <w:bookmarkEnd w:id="177"/>
    </w:p>
    <w:p>
      <w:pPr>
        <w:spacing w:line="400" w:lineRule="exact"/>
        <w:ind w:firstLine="420" w:firstLineChars="200"/>
        <w:rPr>
          <w:rFonts w:ascii="Times New Roman" w:hAnsi="Times New Roman"/>
          <w:color w:val="auto"/>
        </w:rPr>
      </w:pPr>
      <w:r>
        <w:rPr>
          <w:rFonts w:ascii="Times New Roman" w:hAnsi="Times New Roman"/>
          <w:color w:val="auto"/>
        </w:rPr>
        <w:t>3.2.1 评标委员会按本章第2.2款规定的量化因素和分值进行打分，并计算出综合评估得分。</w:t>
      </w:r>
    </w:p>
    <w:p>
      <w:pPr>
        <w:spacing w:line="400" w:lineRule="exact"/>
        <w:ind w:firstLine="420" w:firstLineChars="200"/>
        <w:rPr>
          <w:rFonts w:ascii="Times New Roman" w:hAnsi="Times New Roman"/>
          <w:color w:val="auto"/>
        </w:rPr>
      </w:pPr>
      <w:r>
        <w:rPr>
          <w:rFonts w:ascii="Times New Roman" w:hAnsi="Times New Roman"/>
          <w:color w:val="auto"/>
        </w:rPr>
        <w:t>（1）按本章第2.2.4（1）目规定的评审因素和分值对资信业绩部分计算出得分A；</w:t>
      </w:r>
    </w:p>
    <w:p>
      <w:pPr>
        <w:spacing w:line="400" w:lineRule="exact"/>
        <w:ind w:firstLine="420" w:firstLineChars="200"/>
        <w:rPr>
          <w:rFonts w:ascii="Times New Roman" w:hAnsi="Times New Roman"/>
          <w:color w:val="auto"/>
        </w:rPr>
      </w:pPr>
      <w:r>
        <w:rPr>
          <w:rFonts w:ascii="Times New Roman" w:hAnsi="Times New Roman"/>
          <w:color w:val="auto"/>
        </w:rPr>
        <w:t>（2）按本章第2.2.4（2）目规定的评审因素和分值对勘察纲要部分计算出得分B；</w:t>
      </w:r>
    </w:p>
    <w:p>
      <w:pPr>
        <w:spacing w:line="400" w:lineRule="exact"/>
        <w:ind w:firstLine="420" w:firstLineChars="200"/>
        <w:rPr>
          <w:rFonts w:ascii="Times New Roman" w:hAnsi="Times New Roman"/>
          <w:color w:val="auto"/>
        </w:rPr>
      </w:pPr>
      <w:r>
        <w:rPr>
          <w:rFonts w:ascii="Times New Roman" w:hAnsi="Times New Roman"/>
          <w:color w:val="auto"/>
        </w:rPr>
        <w:t>（3）按本章第2.2.4（3）目规定的评审因素和</w:t>
      </w:r>
      <w:bookmarkStart w:id="178" w:name="_Toc361508652"/>
      <w:bookmarkStart w:id="179" w:name="_Toc369531583"/>
      <w:bookmarkStart w:id="180" w:name="_Toc384308278"/>
      <w:bookmarkStart w:id="181" w:name="_Toc152045604"/>
      <w:bookmarkStart w:id="182" w:name="_Toc247527629"/>
      <w:bookmarkStart w:id="183" w:name="_Toc144974571"/>
      <w:bookmarkStart w:id="184" w:name="_Toc152042381"/>
      <w:bookmarkStart w:id="185" w:name="_Toc24330"/>
      <w:bookmarkStart w:id="186" w:name="_Toc352691539"/>
      <w:bookmarkStart w:id="187" w:name="_Toc247514028"/>
      <w:bookmarkStart w:id="188" w:name="_Toc300835014"/>
      <w:r>
        <w:rPr>
          <w:rFonts w:ascii="Times New Roman" w:hAnsi="Times New Roman"/>
          <w:color w:val="auto"/>
        </w:rPr>
        <w:t>分值对投标报价</w:t>
      </w:r>
      <w:bookmarkEnd w:id="178"/>
      <w:bookmarkEnd w:id="179"/>
      <w:bookmarkEnd w:id="180"/>
      <w:bookmarkEnd w:id="181"/>
      <w:bookmarkEnd w:id="182"/>
      <w:bookmarkEnd w:id="183"/>
      <w:bookmarkEnd w:id="184"/>
      <w:bookmarkEnd w:id="185"/>
      <w:bookmarkEnd w:id="186"/>
      <w:bookmarkEnd w:id="187"/>
      <w:bookmarkEnd w:id="188"/>
      <w:r>
        <w:rPr>
          <w:rFonts w:ascii="Times New Roman" w:hAnsi="Times New Roman"/>
          <w:color w:val="auto"/>
        </w:rPr>
        <w:t>计</w:t>
      </w:r>
      <w:bookmarkStart w:id="189" w:name="_Toc247514029"/>
      <w:bookmarkStart w:id="190" w:name="_Toc152045605"/>
      <w:bookmarkStart w:id="191" w:name="_Toc152042382"/>
      <w:bookmarkStart w:id="192" w:name="_Toc18141"/>
      <w:bookmarkStart w:id="193" w:name="_Toc144974572"/>
      <w:bookmarkStart w:id="194" w:name="_Toc384308279"/>
      <w:bookmarkStart w:id="195" w:name="_Toc369531584"/>
      <w:bookmarkStart w:id="196" w:name="_Toc361508653"/>
      <w:bookmarkStart w:id="197" w:name="_Toc300835015"/>
      <w:bookmarkStart w:id="198" w:name="_Toc352691540"/>
      <w:bookmarkStart w:id="199" w:name="_Toc247527630"/>
      <w:r>
        <w:rPr>
          <w:rFonts w:ascii="Times New Roman" w:hAnsi="Times New Roman"/>
          <w:color w:val="auto"/>
        </w:rPr>
        <w:t>算出得分C；</w:t>
      </w:r>
    </w:p>
    <w:p>
      <w:pPr>
        <w:spacing w:line="400" w:lineRule="exact"/>
        <w:ind w:firstLine="420" w:firstLineChars="200"/>
        <w:rPr>
          <w:rFonts w:ascii="Times New Roman" w:hAnsi="Times New Roman"/>
          <w:color w:val="auto"/>
        </w:rPr>
      </w:pPr>
      <w:r>
        <w:rPr>
          <w:rFonts w:ascii="Times New Roman" w:hAnsi="Times New Roman"/>
          <w:color w:val="auto"/>
        </w:rPr>
        <w:t>（</w:t>
      </w:r>
      <w:bookmarkEnd w:id="189"/>
      <w:bookmarkEnd w:id="190"/>
      <w:bookmarkEnd w:id="191"/>
      <w:bookmarkEnd w:id="192"/>
      <w:bookmarkEnd w:id="193"/>
      <w:bookmarkEnd w:id="194"/>
      <w:bookmarkEnd w:id="195"/>
      <w:bookmarkEnd w:id="196"/>
      <w:bookmarkEnd w:id="197"/>
      <w:bookmarkEnd w:id="198"/>
      <w:bookmarkEnd w:id="199"/>
      <w:r>
        <w:rPr>
          <w:rFonts w:ascii="Times New Roman" w:hAnsi="Times New Roman"/>
          <w:color w:val="auto"/>
        </w:rPr>
        <w:t>4）按本章第2.2.4（4）目规定的评审因素和分值对其他部分计算出得分D。</w:t>
      </w:r>
    </w:p>
    <w:p>
      <w:pPr>
        <w:spacing w:line="400" w:lineRule="exact"/>
        <w:ind w:firstLine="420" w:firstLineChars="200"/>
        <w:rPr>
          <w:rFonts w:ascii="Times New Roman" w:hAnsi="Times New Roman"/>
          <w:color w:val="auto"/>
        </w:rPr>
      </w:pPr>
      <w:r>
        <w:rPr>
          <w:rFonts w:ascii="Times New Roman" w:hAnsi="Times New Roman"/>
          <w:color w:val="auto"/>
        </w:rPr>
        <w:t>3.2.2 评分分值计算保留小数点后两位，小数点后第三位“四舍五入”。</w:t>
      </w:r>
    </w:p>
    <w:p>
      <w:pPr>
        <w:spacing w:line="400" w:lineRule="exact"/>
        <w:ind w:firstLine="420" w:firstLineChars="200"/>
        <w:rPr>
          <w:rFonts w:ascii="Times New Roman" w:hAnsi="Times New Roman"/>
          <w:color w:val="auto"/>
        </w:rPr>
      </w:pPr>
      <w:r>
        <w:rPr>
          <w:rFonts w:ascii="Times New Roman" w:hAnsi="Times New Roman"/>
          <w:color w:val="auto"/>
        </w:rPr>
        <w:t>3.2.3 投标人得分=A+B+C+D。</w:t>
      </w:r>
    </w:p>
    <w:p>
      <w:pPr>
        <w:spacing w:line="400" w:lineRule="exact"/>
        <w:ind w:firstLine="420" w:firstLineChars="200"/>
        <w:rPr>
          <w:rFonts w:ascii="Times New Roman" w:hAnsi="Times New Roman"/>
          <w:color w:val="auto"/>
        </w:rPr>
      </w:pPr>
      <w:r>
        <w:rPr>
          <w:rFonts w:ascii="Times New Roman" w:hAnsi="Times New Roman"/>
          <w:color w:val="auto"/>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pStyle w:val="6"/>
        <w:spacing w:line="240" w:lineRule="auto"/>
        <w:ind w:firstLine="137"/>
        <w:rPr>
          <w:rFonts w:ascii="Times New Roman" w:hAnsi="Times New Roman"/>
          <w:color w:val="auto"/>
        </w:rPr>
      </w:pPr>
      <w:bookmarkStart w:id="200" w:name="_Toc492300830"/>
      <w:r>
        <w:rPr>
          <w:rFonts w:ascii="Times New Roman" w:hAnsi="Times New Roman"/>
          <w:color w:val="auto"/>
        </w:rPr>
        <w:t xml:space="preserve">3.3 </w:t>
      </w:r>
      <w:r>
        <w:rPr>
          <w:rFonts w:hint="eastAsia" w:ascii="Times New Roman" w:hAnsi="Times New Roman"/>
          <w:color w:val="auto"/>
        </w:rPr>
        <w:t>投标文件的澄清</w:t>
      </w:r>
      <w:bookmarkEnd w:id="200"/>
    </w:p>
    <w:p>
      <w:pPr>
        <w:spacing w:line="400" w:lineRule="exact"/>
        <w:ind w:firstLine="420" w:firstLineChars="200"/>
        <w:rPr>
          <w:rFonts w:ascii="Times New Roman" w:hAnsi="Times New Roman"/>
          <w:color w:val="auto"/>
        </w:rPr>
      </w:pPr>
      <w:r>
        <w:rPr>
          <w:rFonts w:ascii="Times New Roman" w:hAnsi="Times New Roman"/>
          <w:color w:val="auto"/>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spacing w:line="400" w:lineRule="exact"/>
        <w:ind w:firstLine="420" w:firstLineChars="200"/>
        <w:rPr>
          <w:rFonts w:ascii="Times New Roman" w:hAnsi="Times New Roman"/>
          <w:color w:val="auto"/>
        </w:rPr>
      </w:pPr>
      <w:r>
        <w:rPr>
          <w:rFonts w:ascii="Times New Roman" w:hAnsi="Times New Roman"/>
          <w:color w:val="auto"/>
        </w:rPr>
        <w:t>3.3.2 澄清、说明或补正不得超出投标文件的范围且不得改变投标文件的实质性内容，并构成投标文件的组成部分。</w:t>
      </w:r>
    </w:p>
    <w:p>
      <w:pPr>
        <w:spacing w:line="400" w:lineRule="exact"/>
        <w:ind w:firstLine="420" w:firstLineChars="200"/>
        <w:rPr>
          <w:rFonts w:ascii="Times New Roman" w:hAnsi="Times New Roman"/>
          <w:color w:val="auto"/>
        </w:rPr>
      </w:pPr>
      <w:r>
        <w:rPr>
          <w:rFonts w:ascii="Times New Roman" w:hAnsi="Times New Roman"/>
          <w:color w:val="auto"/>
        </w:rPr>
        <w:t>3.3.3 评标委员会对投标人提交的澄清、说明或补正有疑问的，可以要求投标人进一步澄清、说明或补正，直至满足评标委员会的要求。</w:t>
      </w:r>
    </w:p>
    <w:p>
      <w:pPr>
        <w:pStyle w:val="6"/>
        <w:spacing w:line="240" w:lineRule="auto"/>
        <w:ind w:firstLine="137"/>
        <w:rPr>
          <w:rFonts w:ascii="Times New Roman" w:hAnsi="Times New Roman"/>
          <w:color w:val="auto"/>
        </w:rPr>
      </w:pPr>
      <w:bookmarkStart w:id="201" w:name="_Toc492300831"/>
      <w:r>
        <w:rPr>
          <w:rFonts w:ascii="Times New Roman" w:hAnsi="Times New Roman"/>
          <w:color w:val="auto"/>
        </w:rPr>
        <w:t xml:space="preserve">3.4 </w:t>
      </w:r>
      <w:r>
        <w:rPr>
          <w:rFonts w:hint="eastAsia" w:ascii="Times New Roman" w:hAnsi="Times New Roman"/>
          <w:color w:val="auto"/>
        </w:rPr>
        <w:t>评标结果</w:t>
      </w:r>
      <w:bookmarkEnd w:id="201"/>
    </w:p>
    <w:p>
      <w:pPr>
        <w:spacing w:line="400" w:lineRule="exact"/>
        <w:ind w:firstLine="420" w:firstLineChars="200"/>
        <w:rPr>
          <w:rFonts w:ascii="Times New Roman" w:hAnsi="Times New Roman"/>
          <w:color w:val="auto"/>
        </w:rPr>
      </w:pPr>
      <w:r>
        <w:rPr>
          <w:rFonts w:ascii="Times New Roman" w:hAnsi="Times New Roman"/>
          <w:color w:val="auto"/>
        </w:rPr>
        <w:t>3.4.1 除第二章“投标人须知”前附表授权直接确定中标人外，评标委员会按照得分由高到低的顺序推荐中标候选人，并标明排序。</w:t>
      </w:r>
    </w:p>
    <w:p>
      <w:pPr>
        <w:spacing w:line="400" w:lineRule="exact"/>
        <w:ind w:firstLine="420" w:firstLineChars="200"/>
        <w:rPr>
          <w:rFonts w:ascii="Times New Roman" w:hAnsi="Times New Roman"/>
          <w:color w:val="auto"/>
        </w:rPr>
      </w:pPr>
      <w:r>
        <w:rPr>
          <w:rFonts w:ascii="Times New Roman" w:hAnsi="Times New Roman"/>
          <w:color w:val="auto"/>
        </w:rPr>
        <w:t>3.4.2 评标委员会完成评标后，应当向招标人提交书面评标报告和中标候选人名单。</w:t>
      </w:r>
    </w:p>
    <w:p>
      <w:pPr>
        <w:pStyle w:val="4"/>
        <w:jc w:val="center"/>
        <w:rPr>
          <w:color w:val="auto"/>
        </w:rPr>
      </w:pPr>
      <w:r>
        <w:rPr>
          <w:color w:val="auto"/>
        </w:rPr>
        <w:br w:type="page"/>
      </w:r>
    </w:p>
    <w:p>
      <w:pPr>
        <w:pStyle w:val="4"/>
        <w:jc w:val="center"/>
        <w:rPr>
          <w:color w:val="auto"/>
        </w:rPr>
      </w:pPr>
      <w:bookmarkStart w:id="202" w:name="_Toc492300832"/>
      <w:r>
        <w:rPr>
          <w:rFonts w:hint="eastAsia"/>
          <w:color w:val="auto"/>
        </w:rPr>
        <w:t>第四章合同条款及格式</w:t>
      </w:r>
      <w:bookmarkEnd w:id="202"/>
    </w:p>
    <w:p>
      <w:pPr>
        <w:pStyle w:val="18"/>
        <w:snapToGrid w:val="0"/>
        <w:spacing w:line="400" w:lineRule="atLeast"/>
        <w:ind w:left="0" w:leftChars="0"/>
        <w:rPr>
          <w:rFonts w:eastAsiaTheme="minorEastAsia"/>
          <w:color w:val="auto"/>
          <w:szCs w:val="21"/>
        </w:rPr>
      </w:pPr>
      <w:r>
        <w:rPr>
          <w:rFonts w:hAnsiTheme="minorEastAsia" w:eastAsiaTheme="minorEastAsia"/>
          <w:color w:val="auto"/>
          <w:szCs w:val="21"/>
        </w:rPr>
        <w:t>说明：</w:t>
      </w:r>
    </w:p>
    <w:p>
      <w:pPr>
        <w:pStyle w:val="18"/>
        <w:snapToGrid w:val="0"/>
        <w:spacing w:line="400" w:lineRule="atLeast"/>
        <w:ind w:left="0" w:leftChars="0" w:firstLine="420" w:firstLineChars="200"/>
        <w:rPr>
          <w:rFonts w:eastAsiaTheme="minorEastAsia"/>
          <w:color w:val="auto"/>
          <w:szCs w:val="21"/>
        </w:rPr>
      </w:pPr>
      <w:r>
        <w:rPr>
          <w:rFonts w:hAnsiTheme="minorEastAsia" w:eastAsiaTheme="minorEastAsia"/>
          <w:color w:val="auto"/>
          <w:szCs w:val="21"/>
        </w:rPr>
        <w:t>房屋建筑和市政工程等工程勘察项目招标可以使用《建设工程勘察合同（示范文本）》（</w:t>
      </w:r>
      <w:r>
        <w:rPr>
          <w:rFonts w:eastAsiaTheme="minorEastAsia"/>
          <w:color w:val="auto"/>
          <w:szCs w:val="21"/>
        </w:rPr>
        <w:t>GF-2016-0203</w:t>
      </w:r>
      <w:r>
        <w:rPr>
          <w:rFonts w:hAnsiTheme="minorEastAsia" w:eastAsiaTheme="minorEastAsia"/>
          <w:color w:val="auto"/>
          <w:szCs w:val="21"/>
        </w:rPr>
        <w:t>）。</w:t>
      </w:r>
    </w:p>
    <w:p>
      <w:pPr>
        <w:rPr>
          <w:color w:val="auto"/>
        </w:rPr>
      </w:pPr>
    </w:p>
    <w:p>
      <w:pPr>
        <w:pStyle w:val="4"/>
        <w:jc w:val="center"/>
        <w:rPr>
          <w:color w:val="auto"/>
        </w:rPr>
      </w:pPr>
      <w:r>
        <w:rPr>
          <w:color w:val="auto"/>
        </w:rPr>
        <w:br w:type="page"/>
      </w:r>
    </w:p>
    <w:p>
      <w:pPr>
        <w:pStyle w:val="5"/>
        <w:jc w:val="center"/>
        <w:rPr>
          <w:rFonts w:ascii="Times New Roman" w:hAnsi="Times New Roman"/>
          <w:color w:val="auto"/>
        </w:rPr>
      </w:pPr>
      <w:bookmarkStart w:id="203" w:name="_Toc492300833"/>
      <w:r>
        <w:rPr>
          <w:rFonts w:hint="eastAsia" w:ascii="Times New Roman" w:hAnsi="Times New Roman"/>
          <w:color w:val="auto"/>
        </w:rPr>
        <w:t>第一节通用合同条款</w:t>
      </w:r>
      <w:bookmarkEnd w:id="203"/>
    </w:p>
    <w:p>
      <w:pPr>
        <w:pStyle w:val="5"/>
        <w:ind w:firstLine="105"/>
        <w:rPr>
          <w:rFonts w:ascii="Times New Roman" w:hAnsi="Times New Roman"/>
          <w:color w:val="auto"/>
        </w:rPr>
      </w:pPr>
      <w:bookmarkStart w:id="204" w:name="_Toc492300834"/>
      <w:bookmarkStart w:id="205" w:name="_Toc482188546"/>
      <w:r>
        <w:rPr>
          <w:rFonts w:ascii="Times New Roman" w:hAnsi="Times New Roman"/>
          <w:color w:val="auto"/>
        </w:rPr>
        <w:t xml:space="preserve">1. </w:t>
      </w:r>
      <w:r>
        <w:rPr>
          <w:rFonts w:hint="eastAsia" w:ascii="Times New Roman" w:hAnsi="Times New Roman"/>
          <w:color w:val="auto"/>
        </w:rPr>
        <w:t>一般约定</w:t>
      </w:r>
      <w:bookmarkEnd w:id="204"/>
      <w:bookmarkEnd w:id="205"/>
    </w:p>
    <w:p>
      <w:pPr>
        <w:pStyle w:val="6"/>
        <w:spacing w:line="240" w:lineRule="auto"/>
        <w:ind w:firstLine="137"/>
        <w:rPr>
          <w:rFonts w:ascii="Times New Roman" w:hAnsi="Times New Roman"/>
          <w:color w:val="auto"/>
        </w:rPr>
      </w:pPr>
      <w:bookmarkStart w:id="206" w:name="_Toc482188547"/>
      <w:bookmarkStart w:id="207" w:name="_Toc492300835"/>
      <w:r>
        <w:rPr>
          <w:rFonts w:ascii="Times New Roman" w:hAnsi="Times New Roman"/>
          <w:color w:val="auto"/>
        </w:rPr>
        <w:t xml:space="preserve">1.1 </w:t>
      </w:r>
      <w:r>
        <w:rPr>
          <w:rFonts w:hint="eastAsia" w:ascii="Times New Roman" w:hAnsi="Times New Roman"/>
          <w:color w:val="auto"/>
        </w:rPr>
        <w:t>词语定义</w:t>
      </w:r>
      <w:bookmarkEnd w:id="206"/>
      <w:bookmarkEnd w:id="207"/>
    </w:p>
    <w:p>
      <w:pPr>
        <w:spacing w:line="360" w:lineRule="auto"/>
        <w:ind w:firstLine="420" w:firstLineChars="200"/>
        <w:rPr>
          <w:rFonts w:ascii="Times New Roman" w:hAnsi="Times New Roman"/>
          <w:color w:val="auto"/>
          <w:szCs w:val="21"/>
        </w:rPr>
      </w:pPr>
      <w:r>
        <w:rPr>
          <w:rFonts w:ascii="Times New Roman" w:hAnsi="Times New Roman"/>
          <w:color w:val="auto"/>
          <w:szCs w:val="21"/>
        </w:rPr>
        <w:t>通用合同条款、专用合同条款中的下列词语应具有本款所赋予的含义。</w:t>
      </w:r>
    </w:p>
    <w:p>
      <w:pPr>
        <w:spacing w:line="360" w:lineRule="auto"/>
        <w:ind w:firstLine="413" w:firstLineChars="196"/>
        <w:rPr>
          <w:rFonts w:ascii="Times New Roman" w:hAnsi="Times New Roman"/>
          <w:b/>
          <w:color w:val="auto"/>
        </w:rPr>
      </w:pPr>
      <w:r>
        <w:rPr>
          <w:rFonts w:ascii="Times New Roman" w:hAnsi="Times New Roman"/>
          <w:b/>
          <w:color w:val="auto"/>
        </w:rPr>
        <w:t>1.1.1 合同</w:t>
      </w:r>
    </w:p>
    <w:p>
      <w:pPr>
        <w:spacing w:line="360" w:lineRule="auto"/>
        <w:ind w:firstLine="420" w:firstLineChars="200"/>
        <w:rPr>
          <w:rFonts w:ascii="Times New Roman" w:hAnsi="Times New Roman"/>
          <w:color w:val="auto"/>
          <w:szCs w:val="21"/>
        </w:rPr>
      </w:pPr>
      <w:r>
        <w:rPr>
          <w:rFonts w:ascii="Times New Roman" w:hAnsi="Times New Roman"/>
          <w:color w:val="auto"/>
        </w:rPr>
        <w:t>1.1.1.1</w:t>
      </w:r>
      <w:r>
        <w:rPr>
          <w:rFonts w:ascii="Times New Roman" w:hAnsi="Times New Roman"/>
          <w:color w:val="auto"/>
          <w:szCs w:val="21"/>
        </w:rPr>
        <w:t xml:space="preserve"> 合同文件（或称合同）：指合同协议书、中标通知书、投标函和投标函附录、专用合同条款、通用合同条款、发包人要求、勘察费用清单</w:t>
      </w:r>
      <w:r>
        <w:rPr>
          <w:rFonts w:hint="eastAsia" w:ascii="Times New Roman" w:hAnsi="Times New Roman"/>
          <w:color w:val="auto"/>
          <w:szCs w:val="21"/>
        </w:rPr>
        <w:t>、</w:t>
      </w:r>
      <w:r>
        <w:rPr>
          <w:rFonts w:ascii="Times New Roman" w:hAnsi="Times New Roman"/>
          <w:color w:val="auto"/>
          <w:szCs w:val="21"/>
        </w:rPr>
        <w:t>勘察纲要</w:t>
      </w:r>
      <w:r>
        <w:rPr>
          <w:rFonts w:hint="eastAsia" w:ascii="Times New Roman" w:hAnsi="Times New Roman"/>
          <w:color w:val="auto"/>
          <w:szCs w:val="21"/>
        </w:rPr>
        <w:t>，</w:t>
      </w:r>
      <w:r>
        <w:rPr>
          <w:rFonts w:ascii="Times New Roman" w:hAnsi="Times New Roman"/>
          <w:color w:val="auto"/>
          <w:szCs w:val="21"/>
        </w:rPr>
        <w:t>以及其他构成合同组成部分的文件。</w:t>
      </w:r>
    </w:p>
    <w:p>
      <w:pPr>
        <w:spacing w:line="360" w:lineRule="auto"/>
        <w:ind w:firstLine="420" w:firstLineChars="200"/>
        <w:rPr>
          <w:rFonts w:ascii="Times New Roman" w:hAnsi="Times New Roman"/>
          <w:color w:val="auto"/>
          <w:szCs w:val="21"/>
        </w:rPr>
      </w:pPr>
      <w:r>
        <w:rPr>
          <w:rFonts w:ascii="Times New Roman" w:hAnsi="Times New Roman"/>
          <w:color w:val="auto"/>
        </w:rPr>
        <w:t>1.1.1.2</w:t>
      </w:r>
      <w:r>
        <w:rPr>
          <w:rFonts w:ascii="Times New Roman" w:hAnsi="Times New Roman"/>
          <w:color w:val="auto"/>
          <w:szCs w:val="21"/>
        </w:rPr>
        <w:t xml:space="preserve"> 合同协议书：指发包人和勘察人共同签署的合同协议书。</w:t>
      </w:r>
    </w:p>
    <w:p>
      <w:pPr>
        <w:spacing w:line="360" w:lineRule="auto"/>
        <w:ind w:firstLine="420" w:firstLineChars="200"/>
        <w:rPr>
          <w:rFonts w:ascii="Times New Roman" w:hAnsi="Times New Roman"/>
          <w:color w:val="auto"/>
          <w:szCs w:val="21"/>
        </w:rPr>
      </w:pPr>
      <w:r>
        <w:rPr>
          <w:rFonts w:ascii="Times New Roman" w:hAnsi="Times New Roman"/>
          <w:color w:val="auto"/>
        </w:rPr>
        <w:t>1.1.1.3</w:t>
      </w:r>
      <w:r>
        <w:rPr>
          <w:rFonts w:ascii="Times New Roman" w:hAnsi="Times New Roman"/>
          <w:color w:val="auto"/>
          <w:szCs w:val="21"/>
        </w:rPr>
        <w:t xml:space="preserve"> 中标通知书：</w:t>
      </w:r>
      <w:r>
        <w:rPr>
          <w:rFonts w:ascii="Times New Roman" w:hAnsi="Times New Roman"/>
          <w:color w:val="auto"/>
        </w:rPr>
        <w:t>指</w:t>
      </w:r>
      <w:r>
        <w:rPr>
          <w:rFonts w:ascii="Times New Roman" w:hAnsi="Times New Roman"/>
          <w:color w:val="auto"/>
          <w:szCs w:val="21"/>
        </w:rPr>
        <w:t>发包人通知勘察人中标的函件。</w:t>
      </w:r>
    </w:p>
    <w:p>
      <w:pPr>
        <w:spacing w:line="360" w:lineRule="auto"/>
        <w:ind w:firstLine="420" w:firstLineChars="200"/>
        <w:rPr>
          <w:rFonts w:ascii="Times New Roman" w:hAnsi="Times New Roman"/>
          <w:color w:val="auto"/>
          <w:szCs w:val="21"/>
        </w:rPr>
      </w:pPr>
      <w:r>
        <w:rPr>
          <w:rFonts w:ascii="Times New Roman" w:hAnsi="Times New Roman"/>
          <w:color w:val="auto"/>
        </w:rPr>
        <w:t>1.1.1.4</w:t>
      </w:r>
      <w:r>
        <w:rPr>
          <w:rFonts w:ascii="Times New Roman" w:hAnsi="Times New Roman"/>
          <w:color w:val="auto"/>
          <w:szCs w:val="21"/>
        </w:rPr>
        <w:t xml:space="preserve"> 投标函：指由勘察人填写并签署的，名为“投标函”的函件。</w:t>
      </w:r>
    </w:p>
    <w:p>
      <w:pPr>
        <w:spacing w:line="360" w:lineRule="auto"/>
        <w:ind w:firstLine="420" w:firstLineChars="200"/>
        <w:rPr>
          <w:rFonts w:ascii="Times New Roman" w:hAnsi="Times New Roman"/>
          <w:color w:val="auto"/>
          <w:szCs w:val="21"/>
        </w:rPr>
      </w:pPr>
      <w:r>
        <w:rPr>
          <w:rFonts w:ascii="Times New Roman" w:hAnsi="Times New Roman"/>
          <w:color w:val="auto"/>
        </w:rPr>
        <w:t>1.1.1.5</w:t>
      </w:r>
      <w:r>
        <w:rPr>
          <w:rFonts w:ascii="Times New Roman" w:hAnsi="Times New Roman"/>
          <w:color w:val="auto"/>
          <w:szCs w:val="21"/>
        </w:rPr>
        <w:t xml:space="preserve"> 投标函附录：指由勘察人填写并签署的</w:t>
      </w:r>
      <w:r>
        <w:rPr>
          <w:rFonts w:hint="eastAsia" w:ascii="Times New Roman" w:hAnsi="Times New Roman"/>
          <w:color w:val="auto"/>
          <w:szCs w:val="21"/>
        </w:rPr>
        <w:t>、</w:t>
      </w:r>
      <w:r>
        <w:rPr>
          <w:rFonts w:ascii="Times New Roman" w:hAnsi="Times New Roman"/>
          <w:color w:val="auto"/>
          <w:szCs w:val="21"/>
        </w:rPr>
        <w:t>附在投标函后，名为“投标函附录”的函件。</w:t>
      </w:r>
    </w:p>
    <w:p>
      <w:pPr>
        <w:spacing w:line="360" w:lineRule="auto"/>
        <w:ind w:firstLine="420" w:firstLineChars="200"/>
        <w:rPr>
          <w:rFonts w:ascii="Times New Roman" w:hAnsi="Times New Roman"/>
          <w:color w:val="auto"/>
          <w:szCs w:val="21"/>
        </w:rPr>
      </w:pPr>
      <w:r>
        <w:rPr>
          <w:rFonts w:ascii="Times New Roman" w:hAnsi="Times New Roman"/>
          <w:color w:val="auto"/>
        </w:rPr>
        <w:t>1.1.1.6</w:t>
      </w:r>
      <w:r>
        <w:rPr>
          <w:rFonts w:ascii="Times New Roman" w:hAnsi="Times New Roman"/>
          <w:color w:val="auto"/>
          <w:szCs w:val="21"/>
        </w:rPr>
        <w:t xml:space="preserve"> 发包人要求：指合同文件中名为“发包人要求”的文件。</w:t>
      </w:r>
    </w:p>
    <w:p>
      <w:pPr>
        <w:spacing w:line="360" w:lineRule="auto"/>
        <w:ind w:firstLine="420" w:firstLineChars="200"/>
        <w:rPr>
          <w:rFonts w:ascii="Times New Roman" w:hAnsi="Times New Roman"/>
          <w:color w:val="auto"/>
          <w:szCs w:val="21"/>
        </w:rPr>
      </w:pPr>
      <w:r>
        <w:rPr>
          <w:rFonts w:ascii="Times New Roman" w:hAnsi="Times New Roman"/>
          <w:color w:val="auto"/>
          <w:szCs w:val="21"/>
        </w:rPr>
        <w:t>1.1.1.7 勘察纲要：指勘察人在投标文件中的勘察纲要。</w:t>
      </w:r>
    </w:p>
    <w:p>
      <w:pPr>
        <w:spacing w:line="360" w:lineRule="auto"/>
        <w:ind w:firstLine="420" w:firstLineChars="200"/>
        <w:rPr>
          <w:rFonts w:ascii="Times New Roman" w:hAnsi="Times New Roman"/>
          <w:color w:val="auto"/>
          <w:szCs w:val="21"/>
        </w:rPr>
      </w:pPr>
      <w:r>
        <w:rPr>
          <w:rFonts w:ascii="Times New Roman" w:hAnsi="Times New Roman"/>
          <w:color w:val="auto"/>
        </w:rPr>
        <w:t>1.1.1.8</w:t>
      </w:r>
      <w:r>
        <w:rPr>
          <w:rFonts w:ascii="Times New Roman" w:hAnsi="Times New Roman"/>
          <w:color w:val="auto"/>
          <w:szCs w:val="21"/>
        </w:rPr>
        <w:t xml:space="preserve"> 勘察费用清单：指勘察人投标文件中的勘察费用清单。</w:t>
      </w:r>
    </w:p>
    <w:p>
      <w:pPr>
        <w:spacing w:line="360" w:lineRule="auto"/>
        <w:ind w:firstLine="420" w:firstLineChars="200"/>
        <w:rPr>
          <w:rFonts w:ascii="Times New Roman" w:hAnsi="Times New Roman"/>
          <w:color w:val="auto"/>
          <w:szCs w:val="21"/>
        </w:rPr>
      </w:pPr>
      <w:r>
        <w:rPr>
          <w:rFonts w:ascii="Times New Roman" w:hAnsi="Times New Roman"/>
          <w:color w:val="auto"/>
        </w:rPr>
        <w:t>1.1.1.9</w:t>
      </w:r>
      <w:r>
        <w:rPr>
          <w:rFonts w:ascii="Times New Roman" w:hAnsi="Times New Roman"/>
          <w:color w:val="auto"/>
          <w:szCs w:val="21"/>
        </w:rPr>
        <w:t xml:space="preserve"> 其他合同文件：指经合同双方当事人确认构成合同文件的其他文件。</w:t>
      </w:r>
    </w:p>
    <w:p>
      <w:pPr>
        <w:spacing w:line="360" w:lineRule="auto"/>
        <w:ind w:firstLine="413" w:firstLineChars="196"/>
        <w:rPr>
          <w:rFonts w:ascii="Times New Roman" w:hAnsi="Times New Roman"/>
          <w:b/>
          <w:color w:val="auto"/>
        </w:rPr>
      </w:pPr>
      <w:r>
        <w:rPr>
          <w:rFonts w:ascii="Times New Roman" w:hAnsi="Times New Roman"/>
          <w:b/>
          <w:color w:val="auto"/>
        </w:rPr>
        <w:t>1.1.2 合同当事人和人员</w:t>
      </w:r>
    </w:p>
    <w:p>
      <w:pPr>
        <w:spacing w:line="360" w:lineRule="auto"/>
        <w:ind w:firstLine="420" w:firstLineChars="200"/>
        <w:rPr>
          <w:rFonts w:ascii="Times New Roman" w:hAnsi="Times New Roman"/>
          <w:color w:val="auto"/>
          <w:szCs w:val="21"/>
        </w:rPr>
      </w:pPr>
      <w:r>
        <w:rPr>
          <w:rFonts w:ascii="Times New Roman" w:hAnsi="Times New Roman"/>
          <w:color w:val="auto"/>
          <w:szCs w:val="21"/>
        </w:rPr>
        <w:t>1.1.2.1 合同当事人：指发包人和（或）勘察人。</w:t>
      </w:r>
    </w:p>
    <w:p>
      <w:pPr>
        <w:spacing w:line="360" w:lineRule="auto"/>
        <w:ind w:firstLine="420" w:firstLineChars="200"/>
        <w:rPr>
          <w:rFonts w:ascii="Times New Roman" w:hAnsi="Times New Roman"/>
          <w:color w:val="auto"/>
          <w:szCs w:val="21"/>
        </w:rPr>
      </w:pPr>
      <w:r>
        <w:rPr>
          <w:rFonts w:ascii="Times New Roman" w:hAnsi="Times New Roman"/>
          <w:color w:val="auto"/>
          <w:szCs w:val="21"/>
        </w:rPr>
        <w:t>1.1.2.2 发包人：指与勘察人签订合同协议书的当事人</w:t>
      </w:r>
      <w:r>
        <w:rPr>
          <w:rFonts w:ascii="Times New Roman" w:hAnsi="Times New Roman"/>
          <w:color w:val="auto"/>
          <w:kern w:val="0"/>
          <w:szCs w:val="21"/>
        </w:rPr>
        <w:t>，及其</w:t>
      </w:r>
      <w:r>
        <w:rPr>
          <w:rFonts w:ascii="Times New Roman" w:hAnsi="Times New Roman"/>
          <w:color w:val="auto"/>
          <w:kern w:val="0"/>
          <w:szCs w:val="24"/>
        </w:rPr>
        <w:t>合法继承人</w:t>
      </w:r>
      <w:r>
        <w:rPr>
          <w:rFonts w:ascii="Times New Roman" w:hAnsi="Times New Roman"/>
          <w:color w:val="auto"/>
          <w:szCs w:val="21"/>
        </w:rPr>
        <w:t>。</w:t>
      </w:r>
    </w:p>
    <w:p>
      <w:pPr>
        <w:spacing w:line="360" w:lineRule="auto"/>
        <w:ind w:firstLine="420" w:firstLineChars="200"/>
        <w:rPr>
          <w:rFonts w:ascii="Times New Roman" w:hAnsi="Times New Roman"/>
          <w:color w:val="auto"/>
          <w:szCs w:val="21"/>
        </w:rPr>
      </w:pPr>
      <w:r>
        <w:rPr>
          <w:rFonts w:ascii="Times New Roman" w:hAnsi="Times New Roman"/>
          <w:color w:val="auto"/>
          <w:szCs w:val="21"/>
        </w:rPr>
        <w:t>1.1.2.3 勘察人：指与发包人签订合同协议书的当事人</w:t>
      </w:r>
      <w:r>
        <w:rPr>
          <w:rFonts w:ascii="Times New Roman" w:hAnsi="Times New Roman"/>
          <w:color w:val="auto"/>
          <w:kern w:val="0"/>
          <w:szCs w:val="21"/>
        </w:rPr>
        <w:t>，及其</w:t>
      </w:r>
      <w:r>
        <w:rPr>
          <w:rFonts w:ascii="Times New Roman" w:hAnsi="Times New Roman"/>
          <w:color w:val="auto"/>
          <w:kern w:val="0"/>
          <w:szCs w:val="24"/>
        </w:rPr>
        <w:t>合法继承人</w:t>
      </w:r>
      <w:r>
        <w:rPr>
          <w:rFonts w:ascii="Times New Roman" w:hAnsi="Times New Roman"/>
          <w:color w:val="auto"/>
          <w:szCs w:val="21"/>
        </w:rPr>
        <w:t>。</w:t>
      </w:r>
    </w:p>
    <w:p>
      <w:pPr>
        <w:spacing w:line="360" w:lineRule="auto"/>
        <w:ind w:firstLine="420" w:firstLineChars="200"/>
        <w:rPr>
          <w:rFonts w:ascii="Times New Roman" w:hAnsi="Times New Roman"/>
          <w:color w:val="auto"/>
          <w:szCs w:val="21"/>
        </w:rPr>
      </w:pPr>
      <w:r>
        <w:rPr>
          <w:rFonts w:ascii="Times New Roman" w:hAnsi="Times New Roman"/>
          <w:color w:val="auto"/>
          <w:szCs w:val="21"/>
        </w:rPr>
        <w:t>1.1.2.4 发包人代表：指由发包人任命，并在授权范围和期限内代表发包人行使权利和履行义务的全权负责人。</w:t>
      </w:r>
    </w:p>
    <w:p>
      <w:pPr>
        <w:spacing w:line="360" w:lineRule="auto"/>
        <w:ind w:firstLine="420" w:firstLineChars="200"/>
        <w:rPr>
          <w:rFonts w:ascii="Times New Roman" w:hAnsi="Times New Roman"/>
          <w:color w:val="auto"/>
          <w:szCs w:val="21"/>
        </w:rPr>
      </w:pPr>
      <w:r>
        <w:rPr>
          <w:rFonts w:ascii="Times New Roman" w:hAnsi="Times New Roman"/>
          <w:color w:val="auto"/>
          <w:szCs w:val="21"/>
        </w:rPr>
        <w:t>1.1.2.5 项目负责人：指由勘察人任命，代表勘察人行使权利和履行义务的全权负责人。</w:t>
      </w:r>
    </w:p>
    <w:p>
      <w:pPr>
        <w:spacing w:line="360" w:lineRule="auto"/>
        <w:ind w:firstLine="420" w:firstLineChars="200"/>
        <w:rPr>
          <w:rFonts w:ascii="Times New Roman" w:hAnsi="Times New Roman"/>
          <w:color w:val="auto"/>
          <w:szCs w:val="21"/>
        </w:rPr>
      </w:pPr>
      <w:r>
        <w:rPr>
          <w:rFonts w:ascii="Times New Roman" w:hAnsi="Times New Roman"/>
          <w:color w:val="auto"/>
          <w:szCs w:val="21"/>
        </w:rPr>
        <w:t>1.1.2.6 分包人：指从勘察人处分包合同中某一部分工作，并与其签订分包合同的分包人。</w:t>
      </w:r>
    </w:p>
    <w:p>
      <w:pPr>
        <w:spacing w:line="360" w:lineRule="auto"/>
        <w:ind w:firstLine="413" w:firstLineChars="196"/>
        <w:rPr>
          <w:rFonts w:ascii="Times New Roman" w:hAnsi="Times New Roman"/>
          <w:b/>
          <w:color w:val="auto"/>
        </w:rPr>
      </w:pPr>
      <w:r>
        <w:rPr>
          <w:rFonts w:ascii="Times New Roman" w:hAnsi="Times New Roman"/>
          <w:b/>
          <w:color w:val="auto"/>
        </w:rPr>
        <w:t>1.1.3 工程和勘察</w:t>
      </w:r>
    </w:p>
    <w:p>
      <w:pPr>
        <w:spacing w:line="360" w:lineRule="auto"/>
        <w:ind w:firstLine="420" w:firstLineChars="200"/>
        <w:rPr>
          <w:rFonts w:ascii="Times New Roman" w:hAnsi="Times New Roman"/>
          <w:color w:val="auto"/>
          <w:szCs w:val="21"/>
        </w:rPr>
      </w:pPr>
      <w:r>
        <w:rPr>
          <w:rFonts w:ascii="Times New Roman" w:hAnsi="Times New Roman"/>
          <w:color w:val="auto"/>
          <w:szCs w:val="21"/>
        </w:rPr>
        <w:t>1.1.3.1 工程：</w:t>
      </w:r>
      <w:r>
        <w:rPr>
          <w:rFonts w:ascii="Times New Roman" w:hAnsi="Times New Roman"/>
          <w:color w:val="auto"/>
        </w:rPr>
        <w:t>指专用合同条款中指明进行勘察招标的工程。</w:t>
      </w:r>
    </w:p>
    <w:p>
      <w:pPr>
        <w:spacing w:line="360" w:lineRule="auto"/>
        <w:ind w:firstLine="420" w:firstLineChars="200"/>
        <w:rPr>
          <w:rFonts w:ascii="Times New Roman" w:hAnsi="Times New Roman"/>
          <w:color w:val="auto"/>
        </w:rPr>
      </w:pPr>
      <w:r>
        <w:rPr>
          <w:rFonts w:ascii="Times New Roman" w:hAnsi="Times New Roman"/>
          <w:color w:val="auto"/>
        </w:rPr>
        <w:t>1.1.3.2 勘察服务：指勘察人按照合同约定履行的服务，包括制订勘察纲要、进行测绘、勘探、取样和试验等，查明、分析和评估地质特征和工程条件，编制勘察报告和提供发包人委托的其他服务。</w:t>
      </w:r>
    </w:p>
    <w:p>
      <w:pPr>
        <w:spacing w:line="360" w:lineRule="auto"/>
        <w:ind w:firstLine="420" w:firstLineChars="200"/>
        <w:rPr>
          <w:rFonts w:ascii="Times New Roman" w:hAnsi="Times New Roman"/>
          <w:color w:val="auto"/>
          <w:szCs w:val="21"/>
        </w:rPr>
      </w:pPr>
      <w:r>
        <w:rPr>
          <w:rFonts w:ascii="Times New Roman" w:hAnsi="Times New Roman"/>
          <w:color w:val="auto"/>
          <w:szCs w:val="21"/>
        </w:rPr>
        <w:t>1.1.3.3 勘察设备：指为完成合同约定的各项工作所需的设备、器具和其他物品，不包括临时工程和材料。</w:t>
      </w:r>
    </w:p>
    <w:p>
      <w:pPr>
        <w:spacing w:line="360" w:lineRule="auto"/>
        <w:ind w:firstLine="420" w:firstLineChars="200"/>
        <w:rPr>
          <w:rFonts w:ascii="Times New Roman" w:hAnsi="Times New Roman"/>
          <w:color w:val="auto"/>
          <w:szCs w:val="21"/>
        </w:rPr>
      </w:pPr>
      <w:r>
        <w:rPr>
          <w:rFonts w:ascii="Times New Roman" w:hAnsi="Times New Roman"/>
          <w:color w:val="auto"/>
          <w:szCs w:val="21"/>
        </w:rPr>
        <w:t>1.1.3.4 勘探场地：指用于工程勘探的场所，以及在合同中指定作为勘探场地组成的其他场所。</w:t>
      </w:r>
    </w:p>
    <w:p>
      <w:pPr>
        <w:spacing w:line="360" w:lineRule="auto"/>
        <w:ind w:firstLine="420" w:firstLineChars="200"/>
        <w:rPr>
          <w:rFonts w:ascii="Times New Roman" w:hAnsi="Times New Roman"/>
          <w:color w:val="auto"/>
          <w:szCs w:val="21"/>
        </w:rPr>
      </w:pPr>
      <w:r>
        <w:rPr>
          <w:rFonts w:ascii="Times New Roman" w:hAnsi="Times New Roman"/>
          <w:color w:val="auto"/>
        </w:rPr>
        <w:t>1.1.3.5 勘察资料：是发包人按合同约定向勘察人提供的，用于完成勘察服务范围与内容所需要的资料。</w:t>
      </w:r>
    </w:p>
    <w:p>
      <w:pPr>
        <w:spacing w:line="360" w:lineRule="auto"/>
        <w:ind w:firstLine="420" w:firstLineChars="200"/>
        <w:rPr>
          <w:rFonts w:ascii="Times New Roman" w:hAnsi="Times New Roman"/>
          <w:color w:val="auto"/>
          <w:szCs w:val="21"/>
        </w:rPr>
      </w:pPr>
      <w:r>
        <w:rPr>
          <w:rFonts w:ascii="Times New Roman" w:hAnsi="Times New Roman"/>
          <w:color w:val="auto"/>
          <w:szCs w:val="21"/>
        </w:rPr>
        <w:t>1.1.3.6 勘察文件：</w:t>
      </w:r>
      <w:r>
        <w:rPr>
          <w:rFonts w:ascii="Times New Roman" w:hAnsi="Times New Roman"/>
          <w:color w:val="auto"/>
        </w:rPr>
        <w:t>指勘察人按合同约定向发包人提交的工程勘察报告、服务大纲、勘察方案、外业指导书、进度计划、图纸、计算书、软件和其他文件等，包括阶段性文件和最终文件，且应当采用合同中双方约定的格式和载体。</w:t>
      </w:r>
    </w:p>
    <w:p>
      <w:pPr>
        <w:spacing w:line="360" w:lineRule="auto"/>
        <w:ind w:firstLine="413" w:firstLineChars="196"/>
        <w:rPr>
          <w:rFonts w:ascii="Times New Roman" w:hAnsi="Times New Roman"/>
          <w:b/>
          <w:color w:val="auto"/>
        </w:rPr>
      </w:pPr>
      <w:r>
        <w:rPr>
          <w:rFonts w:ascii="Times New Roman" w:hAnsi="Times New Roman"/>
          <w:b/>
          <w:color w:val="auto"/>
        </w:rPr>
        <w:t>1.1.4 日期</w:t>
      </w:r>
    </w:p>
    <w:p>
      <w:pPr>
        <w:spacing w:line="360" w:lineRule="auto"/>
        <w:ind w:firstLine="420" w:firstLineChars="200"/>
        <w:rPr>
          <w:rFonts w:ascii="Times New Roman" w:hAnsi="Times New Roman"/>
          <w:color w:val="auto"/>
          <w:szCs w:val="21"/>
        </w:rPr>
      </w:pPr>
      <w:r>
        <w:rPr>
          <w:rFonts w:ascii="Times New Roman" w:hAnsi="Times New Roman"/>
          <w:color w:val="auto"/>
          <w:szCs w:val="21"/>
        </w:rPr>
        <w:t>1.1.4.1 开始勘察通知：指发包人按第6.1款通知勘察人开始勘察的函件。</w:t>
      </w:r>
    </w:p>
    <w:p>
      <w:pPr>
        <w:spacing w:line="360" w:lineRule="auto"/>
        <w:ind w:firstLine="420" w:firstLineChars="200"/>
        <w:rPr>
          <w:rFonts w:ascii="Times New Roman" w:hAnsi="Times New Roman"/>
          <w:color w:val="auto"/>
          <w:szCs w:val="21"/>
        </w:rPr>
      </w:pPr>
      <w:r>
        <w:rPr>
          <w:rFonts w:ascii="Times New Roman" w:hAnsi="Times New Roman"/>
          <w:color w:val="auto"/>
          <w:szCs w:val="21"/>
        </w:rPr>
        <w:t>1.1.4.2 开始勘察日期：指发包人按第6.1款发出的开始勘察通知中写明的开始勘察日期。</w:t>
      </w:r>
    </w:p>
    <w:p>
      <w:pPr>
        <w:spacing w:line="360" w:lineRule="auto"/>
        <w:ind w:firstLine="420" w:firstLineChars="200"/>
        <w:rPr>
          <w:rFonts w:ascii="Times New Roman" w:hAnsi="Times New Roman"/>
          <w:color w:val="auto"/>
          <w:szCs w:val="21"/>
        </w:rPr>
      </w:pPr>
      <w:r>
        <w:rPr>
          <w:rFonts w:ascii="Times New Roman" w:hAnsi="Times New Roman"/>
          <w:color w:val="auto"/>
          <w:szCs w:val="21"/>
        </w:rPr>
        <w:t>1.1.4.3 勘察服务期限：指勘察人在投标函中承诺的完成合同勘察服务所需的期限，包括按第6.2款、第6.3款</w:t>
      </w:r>
      <w:r>
        <w:rPr>
          <w:rFonts w:hint="eastAsia" w:ascii="Times New Roman" w:hAnsi="Times New Roman"/>
          <w:color w:val="auto"/>
          <w:szCs w:val="21"/>
        </w:rPr>
        <w:t>、第6.5款</w:t>
      </w:r>
      <w:r>
        <w:rPr>
          <w:rFonts w:ascii="Times New Roman" w:hAnsi="Times New Roman"/>
          <w:color w:val="auto"/>
          <w:szCs w:val="21"/>
        </w:rPr>
        <w:t>和第6.7款约定所作的调整。</w:t>
      </w:r>
    </w:p>
    <w:p>
      <w:pPr>
        <w:spacing w:line="360" w:lineRule="auto"/>
        <w:ind w:firstLine="420" w:firstLineChars="200"/>
        <w:rPr>
          <w:rFonts w:ascii="Times New Roman" w:hAnsi="Times New Roman"/>
          <w:color w:val="auto"/>
          <w:szCs w:val="21"/>
        </w:rPr>
      </w:pPr>
      <w:r>
        <w:rPr>
          <w:rFonts w:ascii="Times New Roman" w:hAnsi="Times New Roman"/>
          <w:color w:val="auto"/>
          <w:szCs w:val="21"/>
        </w:rPr>
        <w:t>1.1.4.4 完成勘察日期：指第1.1.4.3目约定勘察服务期限届满时的日期。</w:t>
      </w:r>
    </w:p>
    <w:p>
      <w:pPr>
        <w:spacing w:line="360" w:lineRule="auto"/>
        <w:ind w:firstLine="420" w:firstLineChars="200"/>
        <w:rPr>
          <w:rFonts w:ascii="Times New Roman" w:hAnsi="Times New Roman"/>
          <w:color w:val="auto"/>
          <w:szCs w:val="21"/>
        </w:rPr>
      </w:pPr>
      <w:r>
        <w:rPr>
          <w:rFonts w:ascii="Times New Roman" w:hAnsi="Times New Roman"/>
          <w:color w:val="auto"/>
          <w:szCs w:val="21"/>
        </w:rPr>
        <w:t>1.1.4.5 基准日：指投标截止时间前28天的日期。</w:t>
      </w:r>
    </w:p>
    <w:p>
      <w:pPr>
        <w:spacing w:line="360" w:lineRule="auto"/>
        <w:ind w:firstLine="420" w:firstLineChars="200"/>
        <w:rPr>
          <w:rFonts w:ascii="Times New Roman" w:hAnsi="Times New Roman"/>
          <w:color w:val="auto"/>
          <w:szCs w:val="21"/>
        </w:rPr>
      </w:pPr>
      <w:r>
        <w:rPr>
          <w:rFonts w:ascii="Times New Roman" w:hAnsi="Times New Roman"/>
          <w:color w:val="auto"/>
          <w:szCs w:val="21"/>
        </w:rPr>
        <w:t>1.1.4.6 天：除特别指明外，指日历天。合同中按天计算时间的，开始当天不计入，从次日开始计算。期限最后一天的截止时间为当天24:00。</w:t>
      </w:r>
    </w:p>
    <w:p>
      <w:pPr>
        <w:spacing w:line="360" w:lineRule="auto"/>
        <w:ind w:firstLine="413" w:firstLineChars="196"/>
        <w:rPr>
          <w:rFonts w:ascii="Times New Roman" w:hAnsi="Times New Roman"/>
          <w:b/>
          <w:color w:val="auto"/>
        </w:rPr>
      </w:pPr>
      <w:r>
        <w:rPr>
          <w:rFonts w:ascii="Times New Roman" w:hAnsi="Times New Roman"/>
          <w:b/>
          <w:color w:val="auto"/>
        </w:rPr>
        <w:t>1.1.5 合同价格和费用</w:t>
      </w:r>
    </w:p>
    <w:p>
      <w:pPr>
        <w:spacing w:line="360" w:lineRule="auto"/>
        <w:ind w:firstLine="420" w:firstLineChars="200"/>
        <w:rPr>
          <w:rFonts w:ascii="Times New Roman" w:hAnsi="Times New Roman"/>
          <w:color w:val="auto"/>
          <w:szCs w:val="21"/>
        </w:rPr>
      </w:pPr>
      <w:r>
        <w:rPr>
          <w:rFonts w:ascii="Times New Roman" w:hAnsi="Times New Roman"/>
          <w:color w:val="auto"/>
          <w:szCs w:val="21"/>
        </w:rPr>
        <w:t>1.1.5.1 签约合同价：指签订合同时合同协议书中写明的勘察费用总金额。</w:t>
      </w:r>
    </w:p>
    <w:p>
      <w:pPr>
        <w:spacing w:line="360" w:lineRule="auto"/>
        <w:ind w:firstLine="420" w:firstLineChars="200"/>
        <w:rPr>
          <w:rFonts w:ascii="Times New Roman" w:hAnsi="Times New Roman"/>
          <w:color w:val="auto"/>
          <w:szCs w:val="21"/>
        </w:rPr>
      </w:pPr>
      <w:r>
        <w:rPr>
          <w:rFonts w:ascii="Times New Roman" w:hAnsi="Times New Roman"/>
          <w:color w:val="auto"/>
          <w:szCs w:val="21"/>
        </w:rPr>
        <w:t>1.1.5.2 合同价格：指勘察人按合同约定完成了全部勘察工作后，发包人应付给勘察人的金额，包括在履行合同过程中按合同约定进行的变更和调整。</w:t>
      </w:r>
    </w:p>
    <w:p>
      <w:pPr>
        <w:spacing w:line="360" w:lineRule="auto"/>
        <w:ind w:firstLine="420" w:firstLineChars="200"/>
        <w:rPr>
          <w:rFonts w:ascii="Times New Roman" w:hAnsi="Times New Roman"/>
          <w:color w:val="auto"/>
          <w:szCs w:val="21"/>
        </w:rPr>
      </w:pPr>
      <w:r>
        <w:rPr>
          <w:rFonts w:ascii="Times New Roman" w:hAnsi="Times New Roman"/>
          <w:color w:val="auto"/>
          <w:szCs w:val="21"/>
        </w:rPr>
        <w:t>1.1.5.3 费用：指为履行合同所发生的或将要发生的所有合理开支，包括管理费和应分摊的其他费用，但不包括利润。</w:t>
      </w:r>
    </w:p>
    <w:p>
      <w:pPr>
        <w:spacing w:line="360" w:lineRule="auto"/>
        <w:ind w:firstLine="413" w:firstLineChars="196"/>
        <w:rPr>
          <w:rFonts w:ascii="Times New Roman" w:hAnsi="Times New Roman"/>
          <w:b/>
          <w:color w:val="auto"/>
        </w:rPr>
      </w:pPr>
      <w:r>
        <w:rPr>
          <w:rFonts w:ascii="Times New Roman" w:hAnsi="Times New Roman"/>
          <w:b/>
          <w:color w:val="auto"/>
        </w:rPr>
        <w:t>1.1.6 其他</w:t>
      </w:r>
    </w:p>
    <w:p>
      <w:pPr>
        <w:spacing w:line="360" w:lineRule="auto"/>
        <w:ind w:firstLine="420" w:firstLineChars="200"/>
        <w:rPr>
          <w:rFonts w:ascii="Times New Roman" w:hAnsi="Times New Roman"/>
          <w:color w:val="auto"/>
          <w:szCs w:val="21"/>
        </w:rPr>
      </w:pPr>
      <w:r>
        <w:rPr>
          <w:rFonts w:ascii="Times New Roman" w:hAnsi="Times New Roman"/>
          <w:color w:val="auto"/>
          <w:szCs w:val="21"/>
        </w:rPr>
        <w:t>1.1.6.1 书面形式：指合同文件、信件和数据电文（包括电报、电传、传真、电子数据交换和电子邮件）等可以有形地表现所载内容的形式。</w:t>
      </w:r>
    </w:p>
    <w:p>
      <w:pPr>
        <w:pStyle w:val="6"/>
        <w:spacing w:line="240" w:lineRule="auto"/>
        <w:ind w:firstLine="137"/>
        <w:rPr>
          <w:rFonts w:ascii="Times New Roman" w:hAnsi="Times New Roman"/>
          <w:color w:val="auto"/>
        </w:rPr>
      </w:pPr>
      <w:bookmarkStart w:id="208" w:name="_Toc482188548"/>
      <w:bookmarkStart w:id="209" w:name="_Toc492300836"/>
      <w:r>
        <w:rPr>
          <w:rFonts w:ascii="Times New Roman" w:hAnsi="Times New Roman"/>
          <w:color w:val="auto"/>
        </w:rPr>
        <w:t xml:space="preserve">1.2 </w:t>
      </w:r>
      <w:r>
        <w:rPr>
          <w:rFonts w:hint="eastAsia" w:ascii="Times New Roman" w:hAnsi="Times New Roman"/>
          <w:color w:val="auto"/>
        </w:rPr>
        <w:t>语言文字</w:t>
      </w:r>
      <w:bookmarkEnd w:id="208"/>
      <w:bookmarkEnd w:id="209"/>
    </w:p>
    <w:p>
      <w:pPr>
        <w:spacing w:line="360" w:lineRule="auto"/>
        <w:ind w:firstLine="420" w:firstLineChars="200"/>
        <w:rPr>
          <w:rFonts w:ascii="Times New Roman" w:hAnsi="Times New Roman"/>
          <w:color w:val="auto"/>
          <w:szCs w:val="21"/>
        </w:rPr>
      </w:pPr>
      <w:r>
        <w:rPr>
          <w:rFonts w:ascii="Times New Roman" w:hAnsi="Times New Roman"/>
          <w:color w:val="auto"/>
          <w:szCs w:val="21"/>
        </w:rPr>
        <w:t>合同使用的语言文字为中文。专用术语使用外文的，应附有中文注释。</w:t>
      </w:r>
    </w:p>
    <w:p>
      <w:pPr>
        <w:pStyle w:val="6"/>
        <w:spacing w:line="240" w:lineRule="auto"/>
        <w:ind w:firstLine="137"/>
        <w:rPr>
          <w:rFonts w:ascii="Times New Roman" w:hAnsi="Times New Roman"/>
          <w:color w:val="auto"/>
        </w:rPr>
      </w:pPr>
      <w:bookmarkStart w:id="210" w:name="_Toc482188549"/>
      <w:bookmarkStart w:id="211" w:name="_Toc492300837"/>
      <w:r>
        <w:rPr>
          <w:rFonts w:ascii="Times New Roman" w:hAnsi="Times New Roman"/>
          <w:color w:val="auto"/>
        </w:rPr>
        <w:t xml:space="preserve">1.3 </w:t>
      </w:r>
      <w:r>
        <w:rPr>
          <w:rFonts w:hint="eastAsia" w:ascii="Times New Roman" w:hAnsi="Times New Roman"/>
          <w:color w:val="auto"/>
        </w:rPr>
        <w:t>适用法律</w:t>
      </w:r>
      <w:bookmarkEnd w:id="210"/>
      <w:bookmarkEnd w:id="211"/>
    </w:p>
    <w:p>
      <w:pPr>
        <w:spacing w:line="360" w:lineRule="auto"/>
        <w:ind w:firstLine="420" w:firstLineChars="200"/>
        <w:rPr>
          <w:rFonts w:ascii="Times New Roman" w:hAnsi="Times New Roman"/>
          <w:color w:val="auto"/>
          <w:szCs w:val="21"/>
        </w:rPr>
      </w:pPr>
      <w:r>
        <w:rPr>
          <w:rFonts w:ascii="Times New Roman" w:hAnsi="Times New Roman"/>
          <w:color w:val="auto"/>
          <w:szCs w:val="21"/>
        </w:rPr>
        <w:t>适用于合同的法律包括中华人民共和国法律、行政法规、部门规章，以及工程所在地的地方法规、自治条例、单行条例和地方政府规章。</w:t>
      </w:r>
    </w:p>
    <w:p>
      <w:pPr>
        <w:spacing w:line="360" w:lineRule="auto"/>
        <w:ind w:firstLine="420" w:firstLineChars="200"/>
        <w:rPr>
          <w:rFonts w:ascii="Times New Roman" w:hAnsi="Times New Roman"/>
          <w:color w:val="auto"/>
        </w:rPr>
      </w:pPr>
      <w:r>
        <w:rPr>
          <w:rFonts w:ascii="Times New Roman" w:hAnsi="Times New Roman"/>
          <w:color w:val="auto"/>
        </w:rPr>
        <w:t>本合同适用的其他规范性文件，可在专用合同条款中约定。</w:t>
      </w:r>
    </w:p>
    <w:p>
      <w:pPr>
        <w:pStyle w:val="6"/>
        <w:spacing w:line="240" w:lineRule="auto"/>
        <w:ind w:firstLine="137"/>
        <w:rPr>
          <w:rFonts w:ascii="Times New Roman" w:hAnsi="Times New Roman"/>
          <w:color w:val="auto"/>
        </w:rPr>
      </w:pPr>
      <w:bookmarkStart w:id="212" w:name="_Toc482188550"/>
      <w:bookmarkStart w:id="213" w:name="_Toc492300838"/>
      <w:r>
        <w:rPr>
          <w:rFonts w:ascii="Times New Roman" w:hAnsi="Times New Roman"/>
          <w:color w:val="auto"/>
        </w:rPr>
        <w:t xml:space="preserve">1.4 </w:t>
      </w:r>
      <w:r>
        <w:rPr>
          <w:rFonts w:hint="eastAsia" w:ascii="Times New Roman" w:hAnsi="Times New Roman"/>
          <w:color w:val="auto"/>
        </w:rPr>
        <w:t>合同文件的优先顺序</w:t>
      </w:r>
      <w:bookmarkEnd w:id="212"/>
      <w:bookmarkEnd w:id="213"/>
    </w:p>
    <w:p>
      <w:pPr>
        <w:spacing w:line="360" w:lineRule="auto"/>
        <w:ind w:firstLine="420" w:firstLineChars="200"/>
        <w:rPr>
          <w:rFonts w:ascii="Times New Roman" w:hAnsi="Times New Roman"/>
          <w:color w:val="auto"/>
          <w:szCs w:val="21"/>
        </w:rPr>
      </w:pPr>
      <w:r>
        <w:rPr>
          <w:rFonts w:ascii="Times New Roman" w:hAnsi="Times New Roman"/>
          <w:color w:val="auto"/>
          <w:szCs w:val="21"/>
        </w:rPr>
        <w:t>组成合同的各项文件应互相解释，互为说明。除专用合同条款另有约定外，解释合同文件的优先顺序如下：</w:t>
      </w:r>
    </w:p>
    <w:p>
      <w:pPr>
        <w:spacing w:line="360" w:lineRule="auto"/>
        <w:ind w:firstLine="420"/>
        <w:rPr>
          <w:rFonts w:ascii="Times New Roman" w:hAnsi="Times New Roman"/>
          <w:color w:val="auto"/>
        </w:rPr>
      </w:pPr>
      <w:r>
        <w:rPr>
          <w:rFonts w:ascii="Times New Roman" w:hAnsi="Times New Roman"/>
          <w:color w:val="auto"/>
        </w:rPr>
        <w:t>（1）合同协议书；</w:t>
      </w:r>
    </w:p>
    <w:p>
      <w:pPr>
        <w:spacing w:line="360" w:lineRule="auto"/>
        <w:ind w:firstLine="420"/>
        <w:rPr>
          <w:rFonts w:ascii="Times New Roman" w:hAnsi="Times New Roman"/>
          <w:color w:val="auto"/>
        </w:rPr>
      </w:pPr>
      <w:r>
        <w:rPr>
          <w:rFonts w:ascii="Times New Roman" w:hAnsi="Times New Roman"/>
          <w:color w:val="auto"/>
        </w:rPr>
        <w:t>（2）中标通知书；</w:t>
      </w:r>
    </w:p>
    <w:p>
      <w:pPr>
        <w:spacing w:line="360" w:lineRule="auto"/>
        <w:ind w:firstLine="420"/>
        <w:rPr>
          <w:rFonts w:ascii="Times New Roman" w:hAnsi="Times New Roman"/>
          <w:color w:val="auto"/>
        </w:rPr>
      </w:pPr>
      <w:r>
        <w:rPr>
          <w:rFonts w:ascii="Times New Roman" w:hAnsi="Times New Roman"/>
          <w:color w:val="auto"/>
        </w:rPr>
        <w:t>（3）投标函及投标函附录；</w:t>
      </w:r>
    </w:p>
    <w:p>
      <w:pPr>
        <w:spacing w:line="360" w:lineRule="auto"/>
        <w:ind w:firstLine="420"/>
        <w:rPr>
          <w:rFonts w:ascii="Times New Roman" w:hAnsi="Times New Roman"/>
          <w:color w:val="auto"/>
        </w:rPr>
      </w:pPr>
      <w:r>
        <w:rPr>
          <w:rFonts w:ascii="Times New Roman" w:hAnsi="Times New Roman"/>
          <w:color w:val="auto"/>
        </w:rPr>
        <w:t>（4）专用合同条款；</w:t>
      </w:r>
    </w:p>
    <w:p>
      <w:pPr>
        <w:spacing w:line="360" w:lineRule="auto"/>
        <w:ind w:firstLine="420"/>
        <w:rPr>
          <w:rFonts w:ascii="Times New Roman" w:hAnsi="Times New Roman"/>
          <w:color w:val="auto"/>
        </w:rPr>
      </w:pPr>
      <w:r>
        <w:rPr>
          <w:rFonts w:ascii="Times New Roman" w:hAnsi="Times New Roman"/>
          <w:color w:val="auto"/>
        </w:rPr>
        <w:t>（5）通用合同条款；</w:t>
      </w:r>
    </w:p>
    <w:p>
      <w:pPr>
        <w:spacing w:line="360" w:lineRule="auto"/>
        <w:ind w:firstLine="420"/>
        <w:rPr>
          <w:rFonts w:ascii="Times New Roman" w:hAnsi="Times New Roman"/>
          <w:color w:val="auto"/>
        </w:rPr>
      </w:pPr>
      <w:r>
        <w:rPr>
          <w:rFonts w:ascii="Times New Roman" w:hAnsi="Times New Roman"/>
          <w:color w:val="auto"/>
        </w:rPr>
        <w:t>（6）发包人要求；</w:t>
      </w:r>
    </w:p>
    <w:p>
      <w:pPr>
        <w:spacing w:line="360" w:lineRule="auto"/>
        <w:ind w:firstLine="420"/>
        <w:rPr>
          <w:rFonts w:ascii="Times New Roman" w:hAnsi="Times New Roman"/>
          <w:color w:val="auto"/>
        </w:rPr>
      </w:pPr>
      <w:r>
        <w:rPr>
          <w:rFonts w:ascii="Times New Roman" w:hAnsi="Times New Roman"/>
          <w:color w:val="auto"/>
        </w:rPr>
        <w:t>（</w:t>
      </w:r>
      <w:r>
        <w:rPr>
          <w:rFonts w:hint="eastAsia" w:ascii="Times New Roman" w:hAnsi="Times New Roman"/>
          <w:color w:val="auto"/>
        </w:rPr>
        <w:t>7</w:t>
      </w:r>
      <w:r>
        <w:rPr>
          <w:rFonts w:ascii="Times New Roman" w:hAnsi="Times New Roman"/>
          <w:color w:val="auto"/>
        </w:rPr>
        <w:t>）勘察费用清单；</w:t>
      </w:r>
    </w:p>
    <w:p>
      <w:pPr>
        <w:spacing w:line="360" w:lineRule="auto"/>
        <w:ind w:firstLine="420"/>
        <w:rPr>
          <w:rFonts w:ascii="Times New Roman" w:hAnsi="Times New Roman"/>
          <w:color w:val="auto"/>
        </w:rPr>
      </w:pPr>
      <w:r>
        <w:rPr>
          <w:rFonts w:ascii="Times New Roman" w:hAnsi="Times New Roman"/>
          <w:color w:val="auto"/>
        </w:rPr>
        <w:t>（</w:t>
      </w:r>
      <w:r>
        <w:rPr>
          <w:rFonts w:hint="eastAsia" w:ascii="Times New Roman" w:hAnsi="Times New Roman"/>
          <w:color w:val="auto"/>
        </w:rPr>
        <w:t>8</w:t>
      </w:r>
      <w:r>
        <w:rPr>
          <w:rFonts w:ascii="Times New Roman" w:hAnsi="Times New Roman"/>
          <w:color w:val="auto"/>
        </w:rPr>
        <w:t>）勘察纲要；</w:t>
      </w:r>
    </w:p>
    <w:p>
      <w:pPr>
        <w:spacing w:line="360" w:lineRule="auto"/>
        <w:ind w:firstLine="420"/>
        <w:rPr>
          <w:rFonts w:ascii="Times New Roman" w:hAnsi="Times New Roman"/>
          <w:color w:val="auto"/>
          <w:szCs w:val="21"/>
        </w:rPr>
      </w:pPr>
      <w:r>
        <w:rPr>
          <w:rFonts w:ascii="Times New Roman" w:hAnsi="Times New Roman"/>
          <w:color w:val="auto"/>
        </w:rPr>
        <w:t>（9）其他合同</w:t>
      </w:r>
      <w:r>
        <w:rPr>
          <w:rFonts w:ascii="Times New Roman" w:hAnsi="Times New Roman"/>
          <w:color w:val="auto"/>
          <w:szCs w:val="21"/>
        </w:rPr>
        <w:t>文件。</w:t>
      </w:r>
    </w:p>
    <w:p>
      <w:pPr>
        <w:pStyle w:val="6"/>
        <w:spacing w:line="240" w:lineRule="auto"/>
        <w:ind w:firstLine="137"/>
        <w:rPr>
          <w:rFonts w:ascii="Times New Roman" w:hAnsi="Times New Roman"/>
          <w:color w:val="auto"/>
        </w:rPr>
      </w:pPr>
      <w:bookmarkStart w:id="214" w:name="_Toc482188551"/>
      <w:bookmarkStart w:id="215" w:name="_Toc492300839"/>
      <w:r>
        <w:rPr>
          <w:rFonts w:ascii="Times New Roman" w:hAnsi="Times New Roman"/>
          <w:color w:val="auto"/>
        </w:rPr>
        <w:t xml:space="preserve">1.5 </w:t>
      </w:r>
      <w:r>
        <w:rPr>
          <w:rFonts w:hint="eastAsia" w:ascii="Times New Roman" w:hAnsi="Times New Roman"/>
          <w:color w:val="auto"/>
        </w:rPr>
        <w:t>合同协议书</w:t>
      </w:r>
      <w:bookmarkEnd w:id="214"/>
      <w:bookmarkEnd w:id="215"/>
    </w:p>
    <w:p>
      <w:pPr>
        <w:spacing w:line="360" w:lineRule="auto"/>
        <w:ind w:firstLine="420" w:firstLineChars="200"/>
        <w:rPr>
          <w:rFonts w:ascii="Times New Roman" w:hAnsi="Times New Roman"/>
          <w:color w:val="auto"/>
          <w:szCs w:val="21"/>
        </w:rPr>
      </w:pPr>
      <w:r>
        <w:rPr>
          <w:rFonts w:ascii="Times New Roman" w:hAnsi="Times New Roman"/>
          <w:color w:val="auto"/>
          <w:szCs w:val="21"/>
        </w:rPr>
        <w:t>勘察人按中标通知书规定的时间与发包人签订合同协议书。除法律另有规定或合同另有约定外，发包人和勘察人的法定代表人或其委托代理人在合同协议书上签字并盖单位章后，合同生效。</w:t>
      </w:r>
    </w:p>
    <w:p>
      <w:pPr>
        <w:pStyle w:val="6"/>
        <w:spacing w:line="240" w:lineRule="auto"/>
        <w:ind w:firstLine="137"/>
        <w:rPr>
          <w:rFonts w:ascii="Times New Roman" w:hAnsi="Times New Roman"/>
          <w:color w:val="auto"/>
        </w:rPr>
      </w:pPr>
      <w:bookmarkStart w:id="216" w:name="_Toc492300840"/>
      <w:bookmarkStart w:id="217" w:name="_Toc482188552"/>
      <w:r>
        <w:rPr>
          <w:rFonts w:ascii="Times New Roman" w:hAnsi="Times New Roman"/>
          <w:color w:val="auto"/>
        </w:rPr>
        <w:t xml:space="preserve">1.6 </w:t>
      </w:r>
      <w:r>
        <w:rPr>
          <w:rFonts w:hint="eastAsia" w:ascii="Times New Roman" w:hAnsi="Times New Roman"/>
          <w:color w:val="auto"/>
        </w:rPr>
        <w:t>文件的提供和照管</w:t>
      </w:r>
      <w:bookmarkEnd w:id="216"/>
      <w:bookmarkEnd w:id="217"/>
    </w:p>
    <w:p>
      <w:pPr>
        <w:spacing w:line="360" w:lineRule="auto"/>
        <w:ind w:firstLine="422" w:firstLineChars="200"/>
        <w:rPr>
          <w:rFonts w:ascii="Times New Roman" w:hAnsi="Times New Roman"/>
          <w:b/>
          <w:color w:val="auto"/>
        </w:rPr>
      </w:pPr>
      <w:r>
        <w:rPr>
          <w:rFonts w:ascii="Times New Roman" w:hAnsi="Times New Roman"/>
          <w:b/>
          <w:color w:val="auto"/>
        </w:rPr>
        <w:t>1.6.1 勘察文件的提供</w:t>
      </w:r>
    </w:p>
    <w:p>
      <w:pPr>
        <w:spacing w:line="360" w:lineRule="auto"/>
        <w:ind w:firstLine="420" w:firstLineChars="200"/>
        <w:rPr>
          <w:rFonts w:ascii="Times New Roman" w:hAnsi="Times New Roman"/>
          <w:color w:val="auto"/>
          <w:szCs w:val="21"/>
        </w:rPr>
      </w:pPr>
      <w:r>
        <w:rPr>
          <w:rFonts w:ascii="Times New Roman" w:hAnsi="Times New Roman"/>
          <w:color w:val="auto"/>
          <w:szCs w:val="21"/>
        </w:rPr>
        <w:t>除专用合同条款另有约定外，勘察人应在合理的期限内按照合同约定的数量向发包人提供勘察文件。合同约定勘察文件应经发包人批复的，发包人应当在合同约定的期限内批复或提出修改意见。</w:t>
      </w:r>
    </w:p>
    <w:p>
      <w:pPr>
        <w:spacing w:line="360" w:lineRule="auto"/>
        <w:ind w:firstLine="422" w:firstLineChars="200"/>
        <w:rPr>
          <w:rFonts w:ascii="Times New Roman" w:hAnsi="Times New Roman"/>
          <w:b/>
          <w:color w:val="auto"/>
          <w:szCs w:val="21"/>
        </w:rPr>
      </w:pPr>
      <w:r>
        <w:rPr>
          <w:rFonts w:ascii="Times New Roman" w:hAnsi="Times New Roman"/>
          <w:b/>
          <w:color w:val="auto"/>
        </w:rPr>
        <w:t xml:space="preserve">1.6.2 </w:t>
      </w:r>
      <w:r>
        <w:rPr>
          <w:rFonts w:ascii="Times New Roman" w:hAnsi="Times New Roman"/>
          <w:b/>
          <w:color w:val="auto"/>
          <w:szCs w:val="21"/>
        </w:rPr>
        <w:t>发包人提供的文件</w:t>
      </w:r>
    </w:p>
    <w:p>
      <w:pPr>
        <w:spacing w:line="360" w:lineRule="auto"/>
        <w:ind w:firstLine="420" w:firstLineChars="200"/>
        <w:rPr>
          <w:rFonts w:ascii="Times New Roman" w:hAnsi="Times New Roman"/>
          <w:color w:val="auto"/>
          <w:szCs w:val="21"/>
        </w:rPr>
      </w:pPr>
      <w:r>
        <w:rPr>
          <w:rFonts w:ascii="Times New Roman" w:hAnsi="Times New Roman"/>
          <w:color w:val="auto"/>
          <w:szCs w:val="21"/>
        </w:rPr>
        <w:t>按专用合同条款约定由发包人提供的文件，包括</w:t>
      </w:r>
      <w:r>
        <w:rPr>
          <w:rFonts w:hint="eastAsia" w:ascii="Times New Roman" w:hAnsi="Times New Roman"/>
          <w:color w:val="auto"/>
          <w:szCs w:val="21"/>
        </w:rPr>
        <w:t>基础资料、</w:t>
      </w:r>
      <w:r>
        <w:rPr>
          <w:rFonts w:ascii="Times New Roman" w:hAnsi="Times New Roman"/>
          <w:color w:val="auto"/>
          <w:szCs w:val="21"/>
        </w:rPr>
        <w:t>勘察任务书等，发包人应按约定的数量和期限交给勘察人。由于发包人未按时提供文件造成勘察服务期限延误的，按第</w:t>
      </w:r>
      <w:r>
        <w:rPr>
          <w:rFonts w:ascii="Times New Roman" w:hAnsi="Times New Roman"/>
          <w:color w:val="auto"/>
        </w:rPr>
        <w:t>6.2</w:t>
      </w:r>
      <w:r>
        <w:rPr>
          <w:rFonts w:ascii="Times New Roman" w:hAnsi="Times New Roman"/>
          <w:color w:val="auto"/>
          <w:szCs w:val="21"/>
        </w:rPr>
        <w:t>款约定执行。</w:t>
      </w:r>
    </w:p>
    <w:p>
      <w:pPr>
        <w:spacing w:line="360" w:lineRule="auto"/>
        <w:ind w:firstLine="422" w:firstLineChars="200"/>
        <w:rPr>
          <w:rFonts w:ascii="Times New Roman" w:hAnsi="Times New Roman"/>
          <w:b/>
          <w:color w:val="auto"/>
          <w:szCs w:val="21"/>
        </w:rPr>
      </w:pPr>
      <w:r>
        <w:rPr>
          <w:rFonts w:ascii="Times New Roman" w:hAnsi="Times New Roman"/>
          <w:b/>
          <w:color w:val="auto"/>
        </w:rPr>
        <w:t xml:space="preserve">1.6.3 </w:t>
      </w:r>
      <w:r>
        <w:rPr>
          <w:rFonts w:ascii="Times New Roman" w:hAnsi="Times New Roman"/>
          <w:b/>
          <w:color w:val="auto"/>
          <w:szCs w:val="21"/>
        </w:rPr>
        <w:t>文件错误的通知</w:t>
      </w:r>
    </w:p>
    <w:p>
      <w:pPr>
        <w:spacing w:line="360" w:lineRule="auto"/>
        <w:ind w:firstLine="420" w:firstLineChars="200"/>
        <w:rPr>
          <w:rFonts w:ascii="Times New Roman" w:hAnsi="Times New Roman"/>
          <w:color w:val="auto"/>
          <w:szCs w:val="21"/>
        </w:rPr>
      </w:pPr>
      <w:r>
        <w:rPr>
          <w:rFonts w:ascii="Times New Roman" w:hAnsi="Times New Roman"/>
          <w:color w:val="auto"/>
          <w:szCs w:val="21"/>
        </w:rPr>
        <w:t>任何一方当事人发现文件中存在的明显错误或疏忽，均应及时通知对方当事人，并应立即采取适当的措施防止损失扩大。</w:t>
      </w:r>
    </w:p>
    <w:p>
      <w:pPr>
        <w:pStyle w:val="6"/>
        <w:spacing w:line="240" w:lineRule="auto"/>
        <w:ind w:firstLine="137"/>
        <w:rPr>
          <w:rFonts w:ascii="Times New Roman" w:hAnsi="Times New Roman"/>
          <w:color w:val="auto"/>
        </w:rPr>
      </w:pPr>
      <w:bookmarkStart w:id="218" w:name="_Toc492300841"/>
      <w:bookmarkStart w:id="219" w:name="_Toc482188553"/>
      <w:r>
        <w:rPr>
          <w:rFonts w:ascii="Times New Roman" w:hAnsi="Times New Roman"/>
          <w:color w:val="auto"/>
        </w:rPr>
        <w:t xml:space="preserve">1.7 </w:t>
      </w:r>
      <w:r>
        <w:rPr>
          <w:rFonts w:hint="eastAsia" w:ascii="Times New Roman" w:hAnsi="Times New Roman"/>
          <w:color w:val="auto"/>
        </w:rPr>
        <w:t>联络</w:t>
      </w:r>
      <w:bookmarkEnd w:id="218"/>
      <w:bookmarkEnd w:id="219"/>
    </w:p>
    <w:p>
      <w:pPr>
        <w:spacing w:line="360" w:lineRule="auto"/>
        <w:ind w:firstLine="420" w:firstLineChars="200"/>
        <w:rPr>
          <w:rFonts w:ascii="Times New Roman" w:hAnsi="Times New Roman"/>
          <w:color w:val="auto"/>
          <w:szCs w:val="21"/>
        </w:rPr>
      </w:pPr>
      <w:r>
        <w:rPr>
          <w:rFonts w:ascii="Times New Roman" w:hAnsi="Times New Roman"/>
          <w:color w:val="auto"/>
        </w:rPr>
        <w:t>1.7.1</w:t>
      </w:r>
      <w:r>
        <w:rPr>
          <w:rFonts w:ascii="Times New Roman" w:hAnsi="Times New Roman"/>
          <w:color w:val="auto"/>
          <w:szCs w:val="21"/>
        </w:rPr>
        <w:t xml:space="preserve"> 与合同有关的通知、批准、证明、证书、指示、要求、请求、同意、意见、确定和决定等，均应采用书面形式。</w:t>
      </w:r>
    </w:p>
    <w:p>
      <w:pPr>
        <w:spacing w:line="360" w:lineRule="auto"/>
        <w:ind w:firstLine="420" w:firstLineChars="200"/>
        <w:rPr>
          <w:rFonts w:ascii="Times New Roman" w:hAnsi="Times New Roman"/>
          <w:color w:val="auto"/>
          <w:szCs w:val="21"/>
        </w:rPr>
      </w:pPr>
      <w:r>
        <w:rPr>
          <w:rFonts w:ascii="Times New Roman" w:hAnsi="Times New Roman"/>
          <w:color w:val="auto"/>
        </w:rPr>
        <w:t>1.7.2</w:t>
      </w:r>
      <w:r>
        <w:rPr>
          <w:rFonts w:ascii="Times New Roman" w:hAnsi="Times New Roman"/>
          <w:color w:val="auto"/>
          <w:szCs w:val="21"/>
        </w:rPr>
        <w:t xml:space="preserve"> 上述通知、批准、证明、证书、指示、要求、请求、同意、意见、确定和决定等来往函件，均应在合同约定的期限内送达指定的地点和指定的接收人，并办理签收手续。</w:t>
      </w:r>
    </w:p>
    <w:p>
      <w:pPr>
        <w:pStyle w:val="6"/>
        <w:spacing w:line="240" w:lineRule="auto"/>
        <w:ind w:firstLine="137"/>
        <w:rPr>
          <w:rFonts w:ascii="Times New Roman" w:hAnsi="Times New Roman"/>
          <w:color w:val="auto"/>
        </w:rPr>
      </w:pPr>
      <w:bookmarkStart w:id="220" w:name="_Toc492300842"/>
      <w:bookmarkStart w:id="221" w:name="_Toc482188554"/>
      <w:r>
        <w:rPr>
          <w:rFonts w:ascii="Times New Roman" w:hAnsi="Times New Roman"/>
          <w:color w:val="auto"/>
        </w:rPr>
        <w:t xml:space="preserve">1.8 </w:t>
      </w:r>
      <w:r>
        <w:rPr>
          <w:rFonts w:hint="eastAsia" w:ascii="Times New Roman" w:hAnsi="Times New Roman"/>
          <w:color w:val="auto"/>
        </w:rPr>
        <w:t>转让</w:t>
      </w:r>
      <w:bookmarkEnd w:id="220"/>
      <w:bookmarkEnd w:id="221"/>
    </w:p>
    <w:p>
      <w:pPr>
        <w:spacing w:line="360" w:lineRule="auto"/>
        <w:ind w:firstLine="420" w:firstLineChars="200"/>
        <w:rPr>
          <w:rFonts w:ascii="Times New Roman" w:hAnsi="Times New Roman"/>
          <w:color w:val="auto"/>
          <w:szCs w:val="21"/>
        </w:rPr>
      </w:pPr>
      <w:r>
        <w:rPr>
          <w:rFonts w:ascii="Times New Roman" w:hAnsi="Times New Roman"/>
          <w:color w:val="auto"/>
          <w:szCs w:val="21"/>
        </w:rPr>
        <w:t>除专用合同条款另有约定外，未经对方当事人同意，一方当事人不得将合同权利全部或部分转让给第三人，也不得全部或部分转移合同义务。</w:t>
      </w:r>
    </w:p>
    <w:p>
      <w:pPr>
        <w:pStyle w:val="6"/>
        <w:spacing w:line="240" w:lineRule="auto"/>
        <w:ind w:firstLine="137"/>
        <w:rPr>
          <w:rFonts w:ascii="Times New Roman" w:hAnsi="Times New Roman"/>
          <w:color w:val="auto"/>
        </w:rPr>
      </w:pPr>
      <w:bookmarkStart w:id="222" w:name="_Toc492300843"/>
      <w:bookmarkStart w:id="223" w:name="_Toc482188555"/>
      <w:r>
        <w:rPr>
          <w:rFonts w:ascii="Times New Roman" w:hAnsi="Times New Roman"/>
          <w:color w:val="auto"/>
        </w:rPr>
        <w:t xml:space="preserve">1.9 </w:t>
      </w:r>
      <w:r>
        <w:rPr>
          <w:rFonts w:hint="eastAsia" w:ascii="Times New Roman" w:hAnsi="Times New Roman"/>
          <w:color w:val="auto"/>
        </w:rPr>
        <w:t>严禁贿赂</w:t>
      </w:r>
      <w:bookmarkEnd w:id="222"/>
      <w:bookmarkEnd w:id="223"/>
    </w:p>
    <w:p>
      <w:pPr>
        <w:spacing w:line="360" w:lineRule="auto"/>
        <w:ind w:firstLine="420" w:firstLineChars="200"/>
        <w:rPr>
          <w:rFonts w:ascii="Times New Roman" w:hAnsi="Times New Roman"/>
          <w:color w:val="auto"/>
          <w:szCs w:val="21"/>
        </w:rPr>
      </w:pPr>
      <w:r>
        <w:rPr>
          <w:rFonts w:ascii="Times New Roman" w:hAnsi="Times New Roman"/>
          <w:color w:val="auto"/>
          <w:szCs w:val="21"/>
        </w:rPr>
        <w:t>合同双方当事人不得以贿赂或变相贿赂的方式，谋取不当利益或损害对方权益。因贿赂造成对方当事人损失的，行为人应当赔偿损失，并承担相应的法律责任。</w:t>
      </w:r>
    </w:p>
    <w:p>
      <w:pPr>
        <w:pStyle w:val="6"/>
        <w:spacing w:line="240" w:lineRule="auto"/>
        <w:ind w:firstLine="137"/>
        <w:rPr>
          <w:rFonts w:ascii="Times New Roman" w:hAnsi="Times New Roman"/>
          <w:color w:val="auto"/>
        </w:rPr>
      </w:pPr>
      <w:bookmarkStart w:id="224" w:name="_Toc482188556"/>
      <w:bookmarkStart w:id="225" w:name="_Toc492300844"/>
      <w:r>
        <w:rPr>
          <w:rFonts w:ascii="Times New Roman" w:hAnsi="Times New Roman"/>
          <w:color w:val="auto"/>
        </w:rPr>
        <w:t xml:space="preserve">1.10 </w:t>
      </w:r>
      <w:r>
        <w:rPr>
          <w:rFonts w:hint="eastAsia" w:ascii="Times New Roman" w:hAnsi="Times New Roman"/>
          <w:color w:val="auto"/>
        </w:rPr>
        <w:t>知识产权</w:t>
      </w:r>
      <w:bookmarkEnd w:id="224"/>
      <w:bookmarkEnd w:id="225"/>
    </w:p>
    <w:p>
      <w:pPr>
        <w:spacing w:line="360" w:lineRule="auto"/>
        <w:ind w:firstLine="420" w:firstLineChars="200"/>
        <w:rPr>
          <w:rFonts w:ascii="Times New Roman" w:hAnsi="Times New Roman"/>
          <w:color w:val="auto"/>
          <w:szCs w:val="21"/>
        </w:rPr>
      </w:pPr>
      <w:r>
        <w:rPr>
          <w:rFonts w:ascii="Times New Roman" w:hAnsi="Times New Roman"/>
          <w:color w:val="auto"/>
        </w:rPr>
        <w:t>1.10.1除专用合同条款另有约定外，</w:t>
      </w:r>
      <w:r>
        <w:rPr>
          <w:rFonts w:ascii="Times New Roman" w:hAnsi="Times New Roman"/>
          <w:color w:val="auto"/>
          <w:szCs w:val="21"/>
        </w:rPr>
        <w:t>勘察人完成的勘察工作成果，除署名权以外的著作权和其他知识产权均归发包人享有。</w:t>
      </w:r>
    </w:p>
    <w:p>
      <w:pPr>
        <w:spacing w:line="360" w:lineRule="auto"/>
        <w:ind w:firstLine="420" w:firstLineChars="200"/>
        <w:rPr>
          <w:rFonts w:ascii="Times New Roman" w:hAnsi="Times New Roman"/>
          <w:color w:val="auto"/>
          <w:szCs w:val="21"/>
        </w:rPr>
      </w:pPr>
      <w:r>
        <w:rPr>
          <w:rFonts w:ascii="Times New Roman" w:hAnsi="Times New Roman"/>
          <w:color w:val="auto"/>
        </w:rPr>
        <w:t xml:space="preserve">1.10.2 </w:t>
      </w:r>
      <w:r>
        <w:rPr>
          <w:rFonts w:ascii="Times New Roman" w:hAnsi="Times New Roman"/>
          <w:color w:val="auto"/>
          <w:szCs w:val="21"/>
        </w:rPr>
        <w:t>勘察人在从事勘察活动时，不得侵犯他人的知识产权。因侵犯专利权或其他知识产权所引起的责任，由勘察人自行承担。因发包人提供的勘察资料导致侵权的，由发包人承担责任。</w:t>
      </w:r>
    </w:p>
    <w:p>
      <w:pPr>
        <w:spacing w:line="360" w:lineRule="auto"/>
        <w:ind w:firstLine="420" w:firstLineChars="200"/>
        <w:rPr>
          <w:rFonts w:ascii="Times New Roman" w:hAnsi="Times New Roman"/>
          <w:color w:val="auto"/>
        </w:rPr>
      </w:pPr>
      <w:r>
        <w:rPr>
          <w:rFonts w:ascii="Times New Roman" w:hAnsi="Times New Roman"/>
          <w:color w:val="auto"/>
        </w:rPr>
        <w:t xml:space="preserve">1.10.3 </w:t>
      </w:r>
      <w:r>
        <w:rPr>
          <w:rFonts w:ascii="Times New Roman" w:hAnsi="Times New Roman"/>
          <w:color w:val="auto"/>
          <w:szCs w:val="21"/>
        </w:rPr>
        <w:t>勘察人在投标文件中采用专利技术、专有技术的，相应的使用费视为已包含在</w:t>
      </w:r>
      <w:r>
        <w:rPr>
          <w:rFonts w:hint="eastAsia" w:ascii="Times New Roman" w:hAnsi="Times New Roman"/>
          <w:color w:val="auto"/>
          <w:szCs w:val="21"/>
        </w:rPr>
        <w:t>投标报价</w:t>
      </w:r>
      <w:r>
        <w:rPr>
          <w:rFonts w:ascii="Times New Roman" w:hAnsi="Times New Roman"/>
          <w:color w:val="auto"/>
          <w:szCs w:val="21"/>
        </w:rPr>
        <w:t>之中。</w:t>
      </w:r>
    </w:p>
    <w:p>
      <w:pPr>
        <w:pStyle w:val="6"/>
        <w:spacing w:line="240" w:lineRule="auto"/>
        <w:ind w:firstLine="137"/>
        <w:rPr>
          <w:rFonts w:ascii="Times New Roman" w:hAnsi="Times New Roman"/>
          <w:color w:val="auto"/>
        </w:rPr>
      </w:pPr>
      <w:bookmarkStart w:id="226" w:name="_Toc482188557"/>
      <w:bookmarkStart w:id="227" w:name="_Toc492300845"/>
      <w:r>
        <w:rPr>
          <w:rFonts w:ascii="Times New Roman" w:hAnsi="Times New Roman"/>
          <w:color w:val="auto"/>
        </w:rPr>
        <w:t xml:space="preserve">1.11 </w:t>
      </w:r>
      <w:r>
        <w:rPr>
          <w:rFonts w:hint="eastAsia" w:ascii="Times New Roman" w:hAnsi="Times New Roman"/>
          <w:color w:val="auto"/>
        </w:rPr>
        <w:t>文件及信息的保密</w:t>
      </w:r>
      <w:bookmarkEnd w:id="226"/>
      <w:bookmarkEnd w:id="227"/>
    </w:p>
    <w:p>
      <w:pPr>
        <w:spacing w:line="360" w:lineRule="auto"/>
        <w:ind w:firstLine="420" w:firstLineChars="200"/>
        <w:rPr>
          <w:rFonts w:ascii="Times New Roman" w:hAnsi="Times New Roman"/>
          <w:color w:val="auto"/>
          <w:szCs w:val="21"/>
        </w:rPr>
      </w:pPr>
      <w:r>
        <w:rPr>
          <w:rFonts w:ascii="Times New Roman" w:hAnsi="Times New Roman"/>
          <w:color w:val="auto"/>
          <w:szCs w:val="21"/>
        </w:rPr>
        <w:t>未经对方同意，任何一方当事人不得将有关文件、技术秘密、需要保密的资料和信息泄露给他人或公开发表与引用。</w:t>
      </w:r>
    </w:p>
    <w:p>
      <w:pPr>
        <w:pStyle w:val="6"/>
        <w:spacing w:line="240" w:lineRule="auto"/>
        <w:ind w:firstLine="137"/>
        <w:rPr>
          <w:rFonts w:ascii="Times New Roman" w:hAnsi="Times New Roman"/>
          <w:color w:val="auto"/>
        </w:rPr>
      </w:pPr>
      <w:bookmarkStart w:id="228" w:name="_Toc482188558"/>
      <w:bookmarkStart w:id="229" w:name="_Toc492300846"/>
      <w:r>
        <w:rPr>
          <w:rFonts w:ascii="Times New Roman" w:hAnsi="Times New Roman"/>
          <w:color w:val="auto"/>
        </w:rPr>
        <w:t xml:space="preserve">1.12 </w:t>
      </w:r>
      <w:r>
        <w:rPr>
          <w:rFonts w:hint="eastAsia" w:ascii="Times New Roman" w:hAnsi="Times New Roman"/>
          <w:color w:val="auto"/>
        </w:rPr>
        <w:t>发包人要求</w:t>
      </w:r>
      <w:bookmarkEnd w:id="228"/>
      <w:bookmarkEnd w:id="229"/>
    </w:p>
    <w:p>
      <w:pPr>
        <w:spacing w:line="360" w:lineRule="auto"/>
        <w:ind w:firstLine="420"/>
        <w:rPr>
          <w:rFonts w:ascii="Times New Roman" w:hAnsi="Times New Roman"/>
          <w:color w:val="auto"/>
          <w:szCs w:val="21"/>
        </w:rPr>
      </w:pPr>
      <w:r>
        <w:rPr>
          <w:rFonts w:ascii="Times New Roman" w:hAnsi="Times New Roman"/>
          <w:color w:val="auto"/>
        </w:rPr>
        <w:t xml:space="preserve">1.12.1 </w:t>
      </w:r>
      <w:r>
        <w:rPr>
          <w:rFonts w:ascii="Times New Roman" w:hAnsi="Times New Roman"/>
          <w:color w:val="auto"/>
          <w:szCs w:val="21"/>
        </w:rPr>
        <w:t>勘察人应认真阅读、复核发包人要求，</w:t>
      </w:r>
      <w:r>
        <w:rPr>
          <w:rFonts w:ascii="Times New Roman" w:hAnsi="Times New Roman"/>
          <w:color w:val="auto"/>
        </w:rPr>
        <w:t>发现错误的，应及时书面通知发包人。无论是否存在错误，发包人均有权修改发包人要求，并在修改后3日内通知勘察人。除专用合同</w:t>
      </w:r>
      <w:bookmarkStart w:id="230" w:name="_Toc247514048"/>
      <w:bookmarkStart w:id="231" w:name="_Toc247527649"/>
      <w:bookmarkStart w:id="232" w:name="_Toc300835045"/>
      <w:bookmarkStart w:id="233" w:name="_Toc265955390"/>
      <w:r>
        <w:rPr>
          <w:rFonts w:ascii="Times New Roman" w:hAnsi="Times New Roman"/>
          <w:color w:val="auto"/>
        </w:rPr>
        <w:t>条款另有约定外，由此</w:t>
      </w:r>
      <w:bookmarkEnd w:id="230"/>
      <w:bookmarkEnd w:id="231"/>
      <w:bookmarkEnd w:id="232"/>
      <w:bookmarkEnd w:id="233"/>
      <w:r>
        <w:rPr>
          <w:rFonts w:ascii="Times New Roman" w:hAnsi="Times New Roman"/>
          <w:color w:val="auto"/>
          <w:szCs w:val="21"/>
        </w:rPr>
        <w:t>导致勘察人费用增加和(或)周期延误的，发包人应当相应地增加费用和(或)延长周期。</w:t>
      </w:r>
    </w:p>
    <w:p>
      <w:pPr>
        <w:spacing w:line="360" w:lineRule="auto"/>
        <w:ind w:firstLine="420"/>
        <w:rPr>
          <w:rFonts w:ascii="Times New Roman" w:hAnsi="Times New Roman"/>
          <w:color w:val="auto"/>
          <w:szCs w:val="21"/>
        </w:rPr>
      </w:pPr>
      <w:r>
        <w:rPr>
          <w:rFonts w:ascii="Times New Roman" w:hAnsi="Times New Roman"/>
          <w:color w:val="auto"/>
        </w:rPr>
        <w:t>1.12.2 如果</w:t>
      </w:r>
      <w:r>
        <w:rPr>
          <w:rFonts w:ascii="Times New Roman" w:hAnsi="Times New Roman"/>
          <w:color w:val="auto"/>
          <w:szCs w:val="21"/>
        </w:rPr>
        <w:t>发包人要求违反法律规定，勘察人应在</w:t>
      </w:r>
      <w:r>
        <w:rPr>
          <w:rFonts w:ascii="Times New Roman" w:hAnsi="Times New Roman"/>
          <w:color w:val="auto"/>
        </w:rPr>
        <w:t>发现后及时书面通知发包人，要求其改正。发包人收到通知书后不予改正或不予答复的，勘察人有权拒绝履行合同义务，直至解除合同；</w:t>
      </w:r>
      <w:r>
        <w:rPr>
          <w:rFonts w:ascii="Times New Roman" w:hAnsi="Times New Roman"/>
          <w:color w:val="auto"/>
          <w:szCs w:val="21"/>
        </w:rPr>
        <w:t>由此引起的勘察人的全部损失由发包人承担。</w:t>
      </w:r>
    </w:p>
    <w:p>
      <w:pPr>
        <w:pStyle w:val="5"/>
        <w:rPr>
          <w:rFonts w:ascii="Times New Roman" w:hAnsi="Times New Roman"/>
          <w:color w:val="auto"/>
        </w:rPr>
      </w:pPr>
      <w:bookmarkStart w:id="234" w:name="_Toc492300847"/>
      <w:bookmarkStart w:id="235" w:name="_Toc482188559"/>
      <w:r>
        <w:rPr>
          <w:rFonts w:ascii="Times New Roman" w:hAnsi="Times New Roman"/>
          <w:color w:val="auto"/>
        </w:rPr>
        <w:t>2. 发包人义务</w:t>
      </w:r>
      <w:bookmarkEnd w:id="234"/>
      <w:bookmarkEnd w:id="235"/>
    </w:p>
    <w:p>
      <w:pPr>
        <w:pStyle w:val="6"/>
        <w:spacing w:line="240" w:lineRule="auto"/>
        <w:ind w:firstLine="137"/>
        <w:rPr>
          <w:rFonts w:ascii="Times New Roman" w:hAnsi="Times New Roman"/>
          <w:color w:val="auto"/>
        </w:rPr>
      </w:pPr>
      <w:bookmarkStart w:id="236" w:name="_Toc492300848"/>
      <w:bookmarkStart w:id="237" w:name="_Toc482188560"/>
      <w:r>
        <w:rPr>
          <w:rFonts w:ascii="Times New Roman" w:hAnsi="Times New Roman"/>
          <w:color w:val="auto"/>
        </w:rPr>
        <w:t xml:space="preserve">2.1 </w:t>
      </w:r>
      <w:r>
        <w:rPr>
          <w:rFonts w:hint="eastAsia" w:ascii="Times New Roman" w:hAnsi="Times New Roman"/>
          <w:color w:val="auto"/>
        </w:rPr>
        <w:t>遵守法律</w:t>
      </w:r>
      <w:bookmarkEnd w:id="236"/>
      <w:bookmarkEnd w:id="237"/>
    </w:p>
    <w:p>
      <w:pPr>
        <w:spacing w:line="360" w:lineRule="auto"/>
        <w:ind w:firstLine="420" w:firstLineChars="200"/>
        <w:rPr>
          <w:rFonts w:ascii="Times New Roman" w:hAnsi="Times New Roman"/>
          <w:color w:val="auto"/>
        </w:rPr>
      </w:pPr>
      <w:r>
        <w:rPr>
          <w:rFonts w:ascii="Times New Roman" w:hAnsi="Times New Roman"/>
          <w:color w:val="auto"/>
          <w:szCs w:val="21"/>
        </w:rPr>
        <w:t>发包人在履行合同过程中应遵守法律，并保证勘察人免于承担因发包人违反法律而引起的</w:t>
      </w:r>
      <w:bookmarkStart w:id="238" w:name="_Toc385942918"/>
      <w:bookmarkStart w:id="239" w:name="_Toc247514049"/>
      <w:bookmarkStart w:id="240" w:name="_Toc247527650"/>
      <w:bookmarkStart w:id="241" w:name="_Toc370281722"/>
      <w:bookmarkStart w:id="242" w:name="_Toc300835048"/>
      <w:bookmarkStart w:id="243" w:name="_Toc184635099"/>
      <w:bookmarkStart w:id="244" w:name="_Toc385592087"/>
      <w:r>
        <w:rPr>
          <w:rFonts w:ascii="Times New Roman" w:hAnsi="Times New Roman"/>
          <w:color w:val="auto"/>
          <w:szCs w:val="21"/>
        </w:rPr>
        <w:t>任何责任。</w:t>
      </w:r>
    </w:p>
    <w:p>
      <w:pPr>
        <w:pStyle w:val="6"/>
        <w:spacing w:line="240" w:lineRule="auto"/>
        <w:ind w:firstLine="137"/>
        <w:rPr>
          <w:rFonts w:ascii="Times New Roman" w:hAnsi="Times New Roman"/>
          <w:color w:val="auto"/>
        </w:rPr>
      </w:pPr>
      <w:bookmarkStart w:id="245" w:name="_Toc492300849"/>
      <w:bookmarkStart w:id="246" w:name="_Toc482188561"/>
      <w:r>
        <w:rPr>
          <w:rFonts w:ascii="Times New Roman" w:hAnsi="Times New Roman"/>
          <w:color w:val="auto"/>
        </w:rPr>
        <w:t>2</w:t>
      </w:r>
      <w:bookmarkEnd w:id="238"/>
      <w:bookmarkEnd w:id="239"/>
      <w:bookmarkEnd w:id="240"/>
      <w:bookmarkEnd w:id="241"/>
      <w:bookmarkEnd w:id="242"/>
      <w:bookmarkEnd w:id="243"/>
      <w:bookmarkEnd w:id="244"/>
      <w:r>
        <w:rPr>
          <w:rFonts w:ascii="Times New Roman" w:hAnsi="Times New Roman"/>
          <w:color w:val="auto"/>
        </w:rPr>
        <w:t>.2</w:t>
      </w:r>
      <w:bookmarkStart w:id="247" w:name="_Toc247527651"/>
      <w:bookmarkStart w:id="248" w:name="_Toc300835049"/>
      <w:bookmarkStart w:id="249" w:name="_Toc247514050"/>
      <w:bookmarkStart w:id="250" w:name="_Toc247527654"/>
      <w:bookmarkStart w:id="251" w:name="_Toc385942919"/>
      <w:bookmarkStart w:id="252" w:name="_Toc247514053"/>
      <w:bookmarkStart w:id="253" w:name="_Toc300835052"/>
      <w:bookmarkStart w:id="254" w:name="_Toc370281723"/>
      <w:r>
        <w:rPr>
          <w:rFonts w:ascii="Times New Roman" w:hAnsi="Times New Roman"/>
          <w:color w:val="auto"/>
        </w:rPr>
        <w:t xml:space="preserve"> </w:t>
      </w:r>
      <w:r>
        <w:rPr>
          <w:rFonts w:hint="eastAsia" w:ascii="Times New Roman" w:hAnsi="Times New Roman"/>
          <w:color w:val="auto"/>
        </w:rPr>
        <w:t>发出开始勘察通</w:t>
      </w:r>
      <w:bookmarkEnd w:id="247"/>
      <w:bookmarkEnd w:id="248"/>
      <w:bookmarkEnd w:id="249"/>
      <w:r>
        <w:rPr>
          <w:rFonts w:hint="eastAsia" w:ascii="Times New Roman" w:hAnsi="Times New Roman"/>
          <w:color w:val="auto"/>
        </w:rPr>
        <w:t>知</w:t>
      </w:r>
      <w:bookmarkEnd w:id="245"/>
      <w:bookmarkEnd w:id="246"/>
    </w:p>
    <w:p>
      <w:pPr>
        <w:spacing w:line="360" w:lineRule="auto"/>
        <w:ind w:firstLine="420" w:firstLineChars="200"/>
        <w:rPr>
          <w:rFonts w:ascii="Times New Roman" w:hAnsi="Times New Roman"/>
          <w:color w:val="auto"/>
          <w:szCs w:val="21"/>
        </w:rPr>
      </w:pPr>
      <w:r>
        <w:rPr>
          <w:rFonts w:ascii="Times New Roman" w:hAnsi="Times New Roman"/>
          <w:color w:val="auto"/>
          <w:szCs w:val="21"/>
        </w:rPr>
        <w:t>发包人应按第</w:t>
      </w:r>
      <w:r>
        <w:rPr>
          <w:rFonts w:hint="eastAsia" w:ascii="Times New Roman" w:hAnsi="Times New Roman"/>
          <w:color w:val="auto"/>
          <w:szCs w:val="21"/>
        </w:rPr>
        <w:t>6</w:t>
      </w:r>
      <w:r>
        <w:rPr>
          <w:rFonts w:ascii="Times New Roman" w:hAnsi="Times New Roman"/>
          <w:color w:val="auto"/>
          <w:szCs w:val="21"/>
        </w:rPr>
        <w:t>.1款的约定向勘察人发出开始勘察通知。</w:t>
      </w:r>
    </w:p>
    <w:p>
      <w:pPr>
        <w:pStyle w:val="6"/>
        <w:spacing w:line="240" w:lineRule="auto"/>
        <w:ind w:firstLine="137"/>
        <w:rPr>
          <w:rFonts w:ascii="Times New Roman" w:hAnsi="Times New Roman"/>
          <w:color w:val="auto"/>
        </w:rPr>
      </w:pPr>
      <w:bookmarkStart w:id="255" w:name="_Toc482188562"/>
      <w:bookmarkStart w:id="256" w:name="_Toc492300850"/>
      <w:r>
        <w:rPr>
          <w:rFonts w:ascii="Times New Roman" w:hAnsi="Times New Roman"/>
          <w:color w:val="auto"/>
        </w:rPr>
        <w:t>2.</w:t>
      </w:r>
      <w:bookmarkStart w:id="257" w:name="_Toc247527653"/>
      <w:bookmarkStart w:id="258" w:name="_Toc300835051"/>
      <w:bookmarkStart w:id="259" w:name="_Toc247514052"/>
      <w:r>
        <w:rPr>
          <w:rFonts w:ascii="Times New Roman" w:hAnsi="Times New Roman"/>
          <w:color w:val="auto"/>
        </w:rPr>
        <w:t xml:space="preserve">3 </w:t>
      </w:r>
      <w:r>
        <w:rPr>
          <w:rFonts w:hint="eastAsia" w:ascii="Times New Roman" w:hAnsi="Times New Roman"/>
          <w:color w:val="auto"/>
        </w:rPr>
        <w:t>办理证件</w:t>
      </w:r>
      <w:bookmarkEnd w:id="257"/>
      <w:bookmarkEnd w:id="258"/>
      <w:bookmarkEnd w:id="259"/>
      <w:r>
        <w:rPr>
          <w:rFonts w:hint="eastAsia" w:ascii="Times New Roman" w:hAnsi="Times New Roman"/>
          <w:color w:val="auto"/>
        </w:rPr>
        <w:t>和批件</w:t>
      </w:r>
      <w:bookmarkEnd w:id="255"/>
      <w:bookmarkEnd w:id="256"/>
    </w:p>
    <w:p>
      <w:pPr>
        <w:spacing w:line="360" w:lineRule="auto"/>
        <w:ind w:firstLine="420" w:firstLineChars="200"/>
        <w:rPr>
          <w:rFonts w:ascii="Times New Roman" w:hAnsi="Times New Roman"/>
          <w:color w:val="auto"/>
          <w:szCs w:val="21"/>
        </w:rPr>
      </w:pPr>
      <w:r>
        <w:rPr>
          <w:rFonts w:ascii="Times New Roman" w:hAnsi="Times New Roman"/>
          <w:color w:val="auto"/>
          <w:szCs w:val="21"/>
        </w:rPr>
        <w:t>法律规定和（或）合同约定由发包人负责办理的工程建设项目必须履行的各类审批、核准或备案手续，发包人应当按时办理，勘察人应给予必要的协助。</w:t>
      </w:r>
    </w:p>
    <w:p>
      <w:pPr>
        <w:spacing w:line="360" w:lineRule="auto"/>
        <w:ind w:firstLine="420" w:firstLineChars="200"/>
        <w:rPr>
          <w:rFonts w:ascii="Times New Roman" w:hAnsi="Times New Roman"/>
          <w:color w:val="auto"/>
          <w:szCs w:val="21"/>
        </w:rPr>
      </w:pPr>
      <w:r>
        <w:rPr>
          <w:rFonts w:ascii="Times New Roman" w:hAnsi="Times New Roman"/>
          <w:color w:val="auto"/>
          <w:szCs w:val="21"/>
        </w:rPr>
        <w:t>法律规定和（或）合同约定由勘察人负责办理的勘察所需的证件和批件，发包人应给予必要的协助。</w:t>
      </w:r>
    </w:p>
    <w:p>
      <w:pPr>
        <w:pStyle w:val="6"/>
        <w:spacing w:line="240" w:lineRule="auto"/>
        <w:ind w:firstLine="137"/>
        <w:rPr>
          <w:rFonts w:ascii="Times New Roman" w:hAnsi="Times New Roman"/>
          <w:color w:val="auto"/>
        </w:rPr>
      </w:pPr>
      <w:bookmarkStart w:id="260" w:name="_Toc482188563"/>
      <w:bookmarkStart w:id="261" w:name="_Toc492300851"/>
      <w:r>
        <w:rPr>
          <w:rFonts w:ascii="Times New Roman" w:hAnsi="Times New Roman"/>
          <w:color w:val="auto"/>
        </w:rPr>
        <w:t xml:space="preserve">2.4 </w:t>
      </w:r>
      <w:r>
        <w:rPr>
          <w:rFonts w:hint="eastAsia" w:ascii="Times New Roman" w:hAnsi="Times New Roman"/>
          <w:color w:val="auto"/>
        </w:rPr>
        <w:t>支付合同价款</w:t>
      </w:r>
      <w:bookmarkEnd w:id="260"/>
      <w:bookmarkEnd w:id="261"/>
    </w:p>
    <w:p>
      <w:pPr>
        <w:spacing w:line="360" w:lineRule="auto"/>
        <w:ind w:firstLine="420" w:firstLineChars="200"/>
        <w:rPr>
          <w:rFonts w:ascii="Times New Roman" w:hAnsi="Times New Roman"/>
          <w:color w:val="auto"/>
          <w:szCs w:val="21"/>
        </w:rPr>
      </w:pPr>
      <w:r>
        <w:rPr>
          <w:rFonts w:ascii="Times New Roman" w:hAnsi="Times New Roman"/>
          <w:color w:val="auto"/>
          <w:szCs w:val="21"/>
        </w:rPr>
        <w:t>发包人应按合同约定向勘察人及时支付合同价款。</w:t>
      </w:r>
    </w:p>
    <w:p>
      <w:pPr>
        <w:pStyle w:val="6"/>
        <w:spacing w:line="240" w:lineRule="auto"/>
        <w:ind w:firstLine="137"/>
        <w:rPr>
          <w:rFonts w:ascii="Times New Roman" w:hAnsi="Times New Roman"/>
          <w:color w:val="auto"/>
        </w:rPr>
      </w:pPr>
      <w:bookmarkStart w:id="262" w:name="_Toc492300852"/>
      <w:bookmarkStart w:id="263" w:name="_Toc482188564"/>
      <w:bookmarkStart w:id="264" w:name="_Toc474833987"/>
      <w:r>
        <w:rPr>
          <w:rFonts w:ascii="Times New Roman" w:hAnsi="Times New Roman"/>
          <w:color w:val="auto"/>
        </w:rPr>
        <w:t xml:space="preserve">2.5 </w:t>
      </w:r>
      <w:r>
        <w:rPr>
          <w:rFonts w:hint="eastAsia" w:ascii="Times New Roman" w:hAnsi="Times New Roman"/>
          <w:color w:val="auto"/>
        </w:rPr>
        <w:t>提供勘察资料</w:t>
      </w:r>
      <w:bookmarkEnd w:id="262"/>
      <w:bookmarkEnd w:id="263"/>
      <w:bookmarkEnd w:id="264"/>
    </w:p>
    <w:p>
      <w:pPr>
        <w:spacing w:line="360" w:lineRule="auto"/>
        <w:ind w:firstLine="420" w:firstLineChars="200"/>
        <w:rPr>
          <w:rFonts w:ascii="Times New Roman" w:hAnsi="Times New Roman"/>
          <w:color w:val="auto"/>
          <w:szCs w:val="21"/>
        </w:rPr>
      </w:pPr>
      <w:r>
        <w:rPr>
          <w:rFonts w:ascii="Times New Roman" w:hAnsi="Times New Roman"/>
          <w:color w:val="auto"/>
          <w:szCs w:val="21"/>
        </w:rPr>
        <w:t>发包人应按第1.6.2项的约定向勘察人提供勘察资料。</w:t>
      </w:r>
    </w:p>
    <w:bookmarkEnd w:id="250"/>
    <w:bookmarkEnd w:id="251"/>
    <w:bookmarkEnd w:id="252"/>
    <w:bookmarkEnd w:id="253"/>
    <w:bookmarkEnd w:id="254"/>
    <w:p>
      <w:pPr>
        <w:pStyle w:val="6"/>
        <w:spacing w:line="240" w:lineRule="auto"/>
        <w:ind w:firstLine="137"/>
        <w:rPr>
          <w:rFonts w:ascii="Times New Roman" w:hAnsi="Times New Roman"/>
          <w:color w:val="auto"/>
        </w:rPr>
      </w:pPr>
      <w:bookmarkStart w:id="265" w:name="_Toc492300853"/>
      <w:bookmarkStart w:id="266" w:name="_Toc482188565"/>
      <w:r>
        <w:rPr>
          <w:rFonts w:ascii="Times New Roman" w:hAnsi="Times New Roman"/>
          <w:color w:val="auto"/>
        </w:rPr>
        <w:t xml:space="preserve">2.6 </w:t>
      </w:r>
      <w:r>
        <w:rPr>
          <w:rFonts w:hint="eastAsia" w:ascii="Times New Roman" w:hAnsi="Times New Roman"/>
          <w:color w:val="auto"/>
        </w:rPr>
        <w:t>其他义务</w:t>
      </w:r>
      <w:bookmarkEnd w:id="265"/>
      <w:bookmarkEnd w:id="266"/>
    </w:p>
    <w:p>
      <w:pPr>
        <w:spacing w:line="360" w:lineRule="auto"/>
        <w:ind w:firstLine="420" w:firstLineChars="200"/>
        <w:rPr>
          <w:rFonts w:ascii="Times New Roman" w:hAnsi="Times New Roman"/>
          <w:color w:val="auto"/>
          <w:szCs w:val="21"/>
        </w:rPr>
      </w:pPr>
      <w:r>
        <w:rPr>
          <w:rFonts w:ascii="Times New Roman" w:hAnsi="Times New Roman"/>
          <w:color w:val="auto"/>
          <w:szCs w:val="21"/>
        </w:rPr>
        <w:t>发包人应履行合同约定的其他义务</w:t>
      </w:r>
      <w:bookmarkStart w:id="267" w:name="_Toc385942924"/>
      <w:bookmarkStart w:id="268" w:name="_Toc370281728"/>
      <w:r>
        <w:rPr>
          <w:rFonts w:ascii="Times New Roman" w:hAnsi="Times New Roman"/>
          <w:color w:val="auto"/>
          <w:szCs w:val="21"/>
        </w:rPr>
        <w:t>。</w:t>
      </w:r>
    </w:p>
    <w:p>
      <w:pPr>
        <w:pStyle w:val="5"/>
        <w:rPr>
          <w:rFonts w:ascii="Times New Roman" w:hAnsi="Times New Roman"/>
          <w:color w:val="auto"/>
        </w:rPr>
      </w:pPr>
      <w:bookmarkStart w:id="269" w:name="_Toc492300854"/>
      <w:bookmarkStart w:id="270" w:name="_Toc482188566"/>
      <w:r>
        <w:rPr>
          <w:rFonts w:ascii="Times New Roman" w:hAnsi="Times New Roman"/>
          <w:color w:val="auto"/>
        </w:rPr>
        <w:t>3. 发包人管</w:t>
      </w:r>
      <w:bookmarkEnd w:id="267"/>
      <w:bookmarkEnd w:id="268"/>
      <w:r>
        <w:rPr>
          <w:rFonts w:ascii="Times New Roman" w:hAnsi="Times New Roman"/>
          <w:color w:val="auto"/>
        </w:rPr>
        <w:t>理</w:t>
      </w:r>
      <w:bookmarkEnd w:id="269"/>
      <w:bookmarkEnd w:id="270"/>
    </w:p>
    <w:p>
      <w:pPr>
        <w:pStyle w:val="6"/>
        <w:spacing w:line="240" w:lineRule="auto"/>
        <w:ind w:firstLine="137"/>
        <w:rPr>
          <w:rFonts w:ascii="Times New Roman" w:hAnsi="Times New Roman"/>
          <w:color w:val="auto"/>
        </w:rPr>
      </w:pPr>
      <w:bookmarkStart w:id="271" w:name="_Toc482188567"/>
      <w:bookmarkStart w:id="272" w:name="_Toc492300855"/>
      <w:r>
        <w:rPr>
          <w:rFonts w:ascii="Times New Roman" w:hAnsi="Times New Roman"/>
          <w:color w:val="auto"/>
        </w:rPr>
        <w:t xml:space="preserve">3.1 </w:t>
      </w:r>
      <w:r>
        <w:rPr>
          <w:rFonts w:hint="eastAsia" w:ascii="Times New Roman" w:hAnsi="Times New Roman"/>
          <w:color w:val="auto"/>
        </w:rPr>
        <w:t>发包人代表</w:t>
      </w:r>
      <w:bookmarkEnd w:id="271"/>
      <w:bookmarkEnd w:id="272"/>
    </w:p>
    <w:p>
      <w:pPr>
        <w:spacing w:line="360" w:lineRule="auto"/>
        <w:ind w:firstLine="420" w:firstLineChars="200"/>
        <w:rPr>
          <w:rFonts w:ascii="Times New Roman" w:hAnsi="Times New Roman"/>
          <w:color w:val="auto"/>
        </w:rPr>
      </w:pPr>
      <w:r>
        <w:rPr>
          <w:rFonts w:ascii="Times New Roman" w:hAnsi="Times New Roman"/>
          <w:color w:val="auto"/>
        </w:rPr>
        <w:t>3.1.1除专用合同条款</w:t>
      </w:r>
      <w:bookmarkStart w:id="273" w:name="_Toc247514057"/>
      <w:bookmarkStart w:id="274" w:name="_Toc385942925"/>
      <w:bookmarkStart w:id="275" w:name="_Toc247527658"/>
      <w:bookmarkStart w:id="276" w:name="_Toc300835055"/>
      <w:bookmarkStart w:id="277" w:name="_Toc370281729"/>
      <w:r>
        <w:rPr>
          <w:rFonts w:ascii="Times New Roman" w:hAnsi="Times New Roman"/>
          <w:color w:val="auto"/>
        </w:rPr>
        <w:t>另有约定外，发包</w:t>
      </w:r>
      <w:bookmarkEnd w:id="273"/>
      <w:bookmarkEnd w:id="274"/>
      <w:bookmarkEnd w:id="275"/>
      <w:bookmarkEnd w:id="276"/>
      <w:bookmarkEnd w:id="277"/>
      <w:r>
        <w:rPr>
          <w:rFonts w:ascii="Times New Roman" w:hAnsi="Times New Roman"/>
          <w:color w:val="auto"/>
        </w:rPr>
        <w:t>人应在合同签订后14天内，将发包人代</w:t>
      </w:r>
      <w:bookmarkStart w:id="278" w:name="_Toc247514058"/>
      <w:bookmarkStart w:id="279" w:name="_Toc184635100"/>
      <w:bookmarkStart w:id="280" w:name="_Toc247527659"/>
      <w:bookmarkStart w:id="281" w:name="_Toc300835056"/>
      <w:r>
        <w:rPr>
          <w:rFonts w:ascii="Times New Roman" w:hAnsi="Times New Roman"/>
          <w:color w:val="auto"/>
        </w:rPr>
        <w:t>表的姓名、职</w:t>
      </w:r>
      <w:bookmarkEnd w:id="278"/>
      <w:bookmarkEnd w:id="279"/>
      <w:bookmarkEnd w:id="280"/>
      <w:bookmarkEnd w:id="281"/>
      <w:r>
        <w:rPr>
          <w:rFonts w:ascii="Times New Roman" w:hAnsi="Times New Roman"/>
          <w:color w:val="auto"/>
        </w:rPr>
        <w:t>务、联</w:t>
      </w:r>
      <w:bookmarkStart w:id="282" w:name="_Toc351203511"/>
      <w:r>
        <w:rPr>
          <w:rFonts w:ascii="Times New Roman" w:hAnsi="Times New Roman"/>
          <w:color w:val="auto"/>
        </w:rPr>
        <w:t>系方式、授权范围和</w:t>
      </w:r>
      <w:bookmarkEnd w:id="282"/>
      <w:r>
        <w:rPr>
          <w:rFonts w:ascii="Times New Roman" w:hAnsi="Times New Roman"/>
          <w:color w:val="auto"/>
        </w:rPr>
        <w:t>授权期限书面通知勘察人，由发包人代表在其授权范围和授权期限内，代表发包人行使权利、履行义务和处理合同履行中的具体事宜。发包人代表在授权范围内的行为由发包人承担法律责任。</w:t>
      </w:r>
    </w:p>
    <w:p>
      <w:pPr>
        <w:spacing w:line="360" w:lineRule="auto"/>
        <w:ind w:firstLine="420" w:firstLineChars="200"/>
        <w:rPr>
          <w:rFonts w:ascii="Times New Roman" w:hAnsi="Times New Roman"/>
          <w:color w:val="auto"/>
        </w:rPr>
      </w:pPr>
      <w:r>
        <w:rPr>
          <w:rFonts w:ascii="Times New Roman" w:hAnsi="Times New Roman"/>
          <w:color w:val="auto"/>
        </w:rPr>
        <w:t>3.1.2发包人代表违反法律法规、违背职业道德守则或者不按合同约定履行职责及义务，导致合同无法继续正常履行的，勘察人有权通知发包人更换发包人代表。发包人收到通知后7天内，应当核实完毕并将处理结果通知勘察人。</w:t>
      </w:r>
    </w:p>
    <w:p>
      <w:pPr>
        <w:spacing w:line="360" w:lineRule="auto"/>
        <w:ind w:firstLine="420" w:firstLineChars="200"/>
        <w:rPr>
          <w:rFonts w:ascii="Times New Roman" w:hAnsi="Times New Roman"/>
          <w:color w:val="auto"/>
        </w:rPr>
      </w:pPr>
      <w:r>
        <w:rPr>
          <w:rFonts w:ascii="Times New Roman" w:hAnsi="Times New Roman"/>
          <w:color w:val="auto"/>
        </w:rPr>
        <w:t>3.1.3 发包人更换发包人代表的，应提前14天将更换人员的姓名、职务、联系方式、授权范围和授权期限书面通知勘察人。</w:t>
      </w:r>
    </w:p>
    <w:p>
      <w:pPr>
        <w:spacing w:line="360" w:lineRule="auto"/>
        <w:ind w:firstLine="420" w:firstLineChars="200"/>
        <w:rPr>
          <w:rFonts w:ascii="Times New Roman" w:hAnsi="Times New Roman"/>
          <w:color w:val="auto"/>
          <w:szCs w:val="21"/>
        </w:rPr>
      </w:pPr>
      <w:r>
        <w:rPr>
          <w:rFonts w:ascii="Times New Roman" w:hAnsi="Times New Roman"/>
          <w:color w:val="auto"/>
        </w:rPr>
        <w:t>3.1.4</w:t>
      </w:r>
      <w:r>
        <w:rPr>
          <w:rFonts w:ascii="Times New Roman" w:hAnsi="Times New Roman"/>
          <w:color w:val="auto"/>
          <w:szCs w:val="21"/>
        </w:rPr>
        <w:t xml:space="preserve"> 发包人代表可以授权发包人的其他人员负责执行其指派的一项或多项工作。发包人代表应</w:t>
      </w:r>
      <w:bookmarkStart w:id="283" w:name="_Toc300835059"/>
      <w:bookmarkStart w:id="284" w:name="_Toc247514061"/>
      <w:bookmarkStart w:id="285" w:name="_Toc247527662"/>
      <w:r>
        <w:rPr>
          <w:rFonts w:ascii="Times New Roman" w:hAnsi="Times New Roman"/>
          <w:color w:val="auto"/>
          <w:szCs w:val="21"/>
        </w:rPr>
        <w:t>将被授权人员的姓名及其</w:t>
      </w:r>
      <w:bookmarkEnd w:id="283"/>
      <w:bookmarkEnd w:id="284"/>
      <w:bookmarkEnd w:id="285"/>
      <w:r>
        <w:rPr>
          <w:rFonts w:ascii="Times New Roman" w:hAnsi="Times New Roman"/>
          <w:color w:val="auto"/>
          <w:szCs w:val="21"/>
        </w:rPr>
        <w:t>授权范围通知勘察人。被授权人员在授权范围内发出的指示视为已得到发包人代表的同意，与发包人代表发出的指示具有同等效力。</w:t>
      </w:r>
    </w:p>
    <w:p>
      <w:pPr>
        <w:pStyle w:val="6"/>
        <w:spacing w:line="240" w:lineRule="auto"/>
        <w:ind w:firstLine="137"/>
        <w:rPr>
          <w:rFonts w:ascii="Times New Roman" w:hAnsi="Times New Roman"/>
          <w:color w:val="auto"/>
        </w:rPr>
      </w:pPr>
      <w:bookmarkStart w:id="286" w:name="_Toc482188568"/>
      <w:bookmarkStart w:id="287" w:name="_Toc492300856"/>
      <w:r>
        <w:rPr>
          <w:rFonts w:ascii="Times New Roman" w:hAnsi="Times New Roman"/>
          <w:color w:val="auto"/>
        </w:rPr>
        <w:t xml:space="preserve">3.2 </w:t>
      </w:r>
      <w:r>
        <w:rPr>
          <w:rFonts w:hint="eastAsia" w:ascii="Times New Roman" w:hAnsi="Times New Roman"/>
          <w:color w:val="auto"/>
        </w:rPr>
        <w:t>监理人</w:t>
      </w:r>
      <w:bookmarkEnd w:id="286"/>
      <w:bookmarkEnd w:id="287"/>
    </w:p>
    <w:p>
      <w:pPr>
        <w:spacing w:line="360" w:lineRule="auto"/>
        <w:ind w:firstLine="420" w:firstLineChars="200"/>
        <w:rPr>
          <w:rFonts w:ascii="Times New Roman" w:hAnsi="Times New Roman"/>
          <w:color w:val="auto"/>
          <w:szCs w:val="21"/>
        </w:rPr>
      </w:pPr>
      <w:r>
        <w:rPr>
          <w:rFonts w:ascii="Times New Roman" w:hAnsi="Times New Roman"/>
          <w:color w:val="auto"/>
          <w:szCs w:val="21"/>
        </w:rPr>
        <w:t>3.2.1 发包人可以根据工程建设需要确定是否委托监理人进行勘察监理。如果委托监理，则监理人享有合同约定的权力，其所发出的任何指示应视为已得到发包人的批准。监理人的监理范围、职责权限和总监理工程师信息，应在专用合同条款中指明。未经发包人批准，监理人无权修改合同。</w:t>
      </w:r>
    </w:p>
    <w:p>
      <w:pPr>
        <w:spacing w:line="360" w:lineRule="auto"/>
        <w:ind w:firstLine="420" w:firstLineChars="200"/>
        <w:rPr>
          <w:rFonts w:ascii="Times New Roman" w:hAnsi="Times New Roman"/>
          <w:color w:val="auto"/>
          <w:szCs w:val="21"/>
        </w:rPr>
      </w:pPr>
      <w:r>
        <w:rPr>
          <w:rFonts w:ascii="Times New Roman" w:hAnsi="Times New Roman"/>
          <w:color w:val="auto"/>
          <w:szCs w:val="21"/>
        </w:rPr>
        <w:t>3.2.2 合同约定应由勘察人承担的义务和责任，不因监理人对勘察文件的审查或批准，以及为实施监理作出的指示等职务行为而减轻或解除。</w:t>
      </w:r>
    </w:p>
    <w:p>
      <w:pPr>
        <w:pStyle w:val="6"/>
        <w:spacing w:line="240" w:lineRule="auto"/>
        <w:ind w:firstLine="137"/>
        <w:rPr>
          <w:rFonts w:ascii="Times New Roman" w:hAnsi="Times New Roman"/>
          <w:color w:val="auto"/>
        </w:rPr>
      </w:pPr>
      <w:bookmarkStart w:id="288" w:name="_Toc492300857"/>
      <w:bookmarkStart w:id="289" w:name="_Toc482188569"/>
      <w:r>
        <w:rPr>
          <w:rFonts w:ascii="Times New Roman" w:hAnsi="Times New Roman"/>
          <w:color w:val="auto"/>
        </w:rPr>
        <w:t xml:space="preserve">3.3 </w:t>
      </w:r>
      <w:r>
        <w:rPr>
          <w:rFonts w:hint="eastAsia" w:ascii="Times New Roman" w:hAnsi="Times New Roman"/>
          <w:color w:val="auto"/>
        </w:rPr>
        <w:t>发包人的指示</w:t>
      </w:r>
      <w:bookmarkEnd w:id="288"/>
      <w:bookmarkEnd w:id="289"/>
    </w:p>
    <w:p>
      <w:pPr>
        <w:spacing w:line="360" w:lineRule="auto"/>
        <w:ind w:firstLine="420" w:firstLineChars="200"/>
        <w:rPr>
          <w:rFonts w:ascii="Times New Roman" w:hAnsi="Times New Roman"/>
          <w:color w:val="auto"/>
          <w:szCs w:val="21"/>
        </w:rPr>
      </w:pPr>
      <w:r>
        <w:rPr>
          <w:rFonts w:ascii="Times New Roman" w:hAnsi="Times New Roman"/>
          <w:color w:val="auto"/>
        </w:rPr>
        <w:t xml:space="preserve">3.3.1 </w:t>
      </w:r>
      <w:r>
        <w:rPr>
          <w:rFonts w:ascii="Times New Roman" w:hAnsi="Times New Roman"/>
          <w:color w:val="auto"/>
          <w:szCs w:val="21"/>
        </w:rPr>
        <w:t>发包人应按合同约定向勘察人发出指示，发包人的指示应盖有发包人单位章</w:t>
      </w:r>
      <w:bookmarkStart w:id="290" w:name="_Toc300835060"/>
      <w:bookmarkStart w:id="291" w:name="_Toc247514062"/>
      <w:bookmarkStart w:id="292" w:name="_Toc247527663"/>
      <w:r>
        <w:rPr>
          <w:rFonts w:ascii="Times New Roman" w:hAnsi="Times New Roman"/>
          <w:color w:val="auto"/>
          <w:szCs w:val="21"/>
        </w:rPr>
        <w:t>，并由发</w:t>
      </w:r>
      <w:bookmarkEnd w:id="290"/>
      <w:bookmarkEnd w:id="291"/>
      <w:bookmarkEnd w:id="292"/>
      <w:r>
        <w:rPr>
          <w:rFonts w:ascii="Times New Roman" w:hAnsi="Times New Roman"/>
          <w:color w:val="auto"/>
          <w:szCs w:val="21"/>
        </w:rPr>
        <w:t>包人代表签字确认。</w:t>
      </w:r>
    </w:p>
    <w:p>
      <w:pPr>
        <w:spacing w:line="360" w:lineRule="auto"/>
        <w:ind w:firstLine="420" w:firstLineChars="200"/>
        <w:rPr>
          <w:rFonts w:ascii="Times New Roman" w:hAnsi="Times New Roman"/>
          <w:color w:val="auto"/>
          <w:szCs w:val="21"/>
        </w:rPr>
      </w:pPr>
      <w:r>
        <w:rPr>
          <w:rFonts w:ascii="Times New Roman" w:hAnsi="Times New Roman"/>
          <w:color w:val="auto"/>
        </w:rPr>
        <w:t xml:space="preserve">3.3.2 </w:t>
      </w:r>
      <w:r>
        <w:rPr>
          <w:rFonts w:ascii="Times New Roman" w:hAnsi="Times New Roman"/>
          <w:color w:val="auto"/>
          <w:szCs w:val="21"/>
        </w:rPr>
        <w:t>勘察人收到发包人作出的指示后应遵照执行。指示构成变更的，应按第</w:t>
      </w:r>
      <w:r>
        <w:rPr>
          <w:rFonts w:ascii="Times New Roman" w:hAnsi="Times New Roman"/>
          <w:color w:val="auto"/>
        </w:rPr>
        <w:t>11</w:t>
      </w:r>
      <w:r>
        <w:rPr>
          <w:rFonts w:ascii="Times New Roman" w:hAnsi="Times New Roman"/>
          <w:color w:val="auto"/>
          <w:szCs w:val="21"/>
        </w:rPr>
        <w:t>条执行。</w:t>
      </w:r>
    </w:p>
    <w:p>
      <w:pPr>
        <w:spacing w:line="360" w:lineRule="auto"/>
        <w:ind w:firstLine="420" w:firstLineChars="200"/>
        <w:rPr>
          <w:rFonts w:ascii="Times New Roman" w:hAnsi="Times New Roman"/>
          <w:color w:val="auto"/>
          <w:szCs w:val="21"/>
        </w:rPr>
      </w:pPr>
      <w:r>
        <w:rPr>
          <w:rFonts w:ascii="Times New Roman" w:hAnsi="Times New Roman"/>
          <w:color w:val="auto"/>
        </w:rPr>
        <w:t xml:space="preserve">3.3.3 </w:t>
      </w:r>
      <w:r>
        <w:rPr>
          <w:rFonts w:ascii="Times New Roman" w:hAnsi="Times New Roman"/>
          <w:color w:val="auto"/>
          <w:szCs w:val="21"/>
        </w:rPr>
        <w:t>在紧急情况下，发包人代表或其授权人员可以当场签发临时书面指示，勘察人应遵照执行。发包人代表应在临时书面指示发出后24小时内发出书面确认函，逾期未发出书面确认函的，该临时书面指示应被视为发包人的正式指示。</w:t>
      </w:r>
    </w:p>
    <w:p>
      <w:pPr>
        <w:spacing w:line="360" w:lineRule="auto"/>
        <w:ind w:firstLine="420" w:firstLineChars="200"/>
        <w:rPr>
          <w:rFonts w:ascii="Times New Roman" w:hAnsi="Times New Roman"/>
          <w:color w:val="auto"/>
          <w:szCs w:val="21"/>
        </w:rPr>
      </w:pPr>
      <w:r>
        <w:rPr>
          <w:rFonts w:ascii="Times New Roman" w:hAnsi="Times New Roman"/>
          <w:color w:val="auto"/>
        </w:rPr>
        <w:t xml:space="preserve">3.3.4 </w:t>
      </w:r>
      <w:r>
        <w:rPr>
          <w:rFonts w:ascii="Times New Roman" w:hAnsi="Times New Roman"/>
          <w:color w:val="auto"/>
          <w:szCs w:val="21"/>
        </w:rPr>
        <w:t>除专用合同条款另有约定外，勘察人只从发包人代表或</w:t>
      </w:r>
      <w:r>
        <w:rPr>
          <w:rFonts w:ascii="Times New Roman" w:hAnsi="Times New Roman"/>
          <w:color w:val="auto"/>
        </w:rPr>
        <w:t>按第3.1.4项约定的被</w:t>
      </w:r>
      <w:r>
        <w:rPr>
          <w:rFonts w:ascii="Times New Roman" w:hAnsi="Times New Roman"/>
          <w:color w:val="auto"/>
          <w:szCs w:val="21"/>
        </w:rPr>
        <w:t>授权人员处取得指示。</w:t>
      </w:r>
    </w:p>
    <w:p>
      <w:pPr>
        <w:spacing w:line="360" w:lineRule="auto"/>
        <w:ind w:firstLine="420"/>
        <w:rPr>
          <w:rFonts w:ascii="Times New Roman" w:hAnsi="Times New Roman"/>
          <w:color w:val="auto"/>
          <w:szCs w:val="21"/>
        </w:rPr>
      </w:pPr>
      <w:r>
        <w:rPr>
          <w:rFonts w:ascii="Times New Roman" w:hAnsi="Times New Roman"/>
          <w:color w:val="auto"/>
        </w:rPr>
        <w:t xml:space="preserve">3.3.5 </w:t>
      </w:r>
      <w:r>
        <w:rPr>
          <w:rFonts w:ascii="Times New Roman" w:hAnsi="Times New Roman"/>
          <w:color w:val="auto"/>
          <w:szCs w:val="21"/>
        </w:rPr>
        <w:t>由于发包人未能按合同约定发出指示、指示延误或指示错误而导致勘察人费用增加和（或）周期延误的，发包人应承担由此增加的费用和（或）周期延误。</w:t>
      </w:r>
    </w:p>
    <w:p>
      <w:pPr>
        <w:pStyle w:val="6"/>
        <w:spacing w:line="240" w:lineRule="auto"/>
        <w:ind w:firstLine="137"/>
        <w:rPr>
          <w:rFonts w:ascii="Times New Roman" w:hAnsi="Times New Roman"/>
          <w:color w:val="auto"/>
        </w:rPr>
      </w:pPr>
      <w:bookmarkStart w:id="293" w:name="_Toc482188570"/>
      <w:bookmarkStart w:id="294" w:name="_Toc492300858"/>
      <w:r>
        <w:rPr>
          <w:rFonts w:ascii="Times New Roman" w:hAnsi="Times New Roman"/>
          <w:color w:val="auto"/>
        </w:rPr>
        <w:t xml:space="preserve">3.4 </w:t>
      </w:r>
      <w:r>
        <w:rPr>
          <w:rFonts w:hint="eastAsia" w:ascii="Times New Roman" w:hAnsi="Times New Roman"/>
          <w:color w:val="auto"/>
        </w:rPr>
        <w:t>决定或答复</w:t>
      </w:r>
      <w:bookmarkEnd w:id="293"/>
      <w:bookmarkEnd w:id="294"/>
    </w:p>
    <w:p>
      <w:pPr>
        <w:spacing w:line="360" w:lineRule="auto"/>
        <w:ind w:firstLine="420" w:firstLineChars="200"/>
        <w:rPr>
          <w:rFonts w:ascii="Times New Roman" w:hAnsi="Times New Roman"/>
          <w:color w:val="auto"/>
          <w:szCs w:val="21"/>
        </w:rPr>
      </w:pPr>
      <w:r>
        <w:rPr>
          <w:rFonts w:ascii="Times New Roman" w:hAnsi="Times New Roman"/>
          <w:color w:val="auto"/>
          <w:szCs w:val="21"/>
        </w:rPr>
        <w:t>3.4.1 发包人在法律允许的范围内有权对勘察人的勘察工作和/或勘察文件作出处理决定</w:t>
      </w:r>
      <w:bookmarkStart w:id="295" w:name="_Toc184635101"/>
      <w:bookmarkStart w:id="296" w:name="_Toc247514064"/>
      <w:bookmarkStart w:id="297" w:name="_Toc300835062"/>
      <w:bookmarkStart w:id="298" w:name="_Toc247527665"/>
      <w:bookmarkStart w:id="299" w:name="_Toc385942926"/>
      <w:bookmarkStart w:id="300" w:name="_Toc385592088"/>
      <w:bookmarkStart w:id="301" w:name="_Toc370281730"/>
      <w:r>
        <w:rPr>
          <w:rFonts w:ascii="Times New Roman" w:hAnsi="Times New Roman"/>
          <w:color w:val="auto"/>
          <w:szCs w:val="21"/>
        </w:rPr>
        <w:t>，勘察人应按照发包人的决定执行，涉及勘察服务期限或勘察费用等问题按第</w:t>
      </w:r>
      <w:r>
        <w:rPr>
          <w:rFonts w:ascii="Times New Roman" w:hAnsi="Times New Roman"/>
          <w:color w:val="auto"/>
        </w:rPr>
        <w:t>11</w:t>
      </w:r>
      <w:r>
        <w:rPr>
          <w:rFonts w:ascii="Times New Roman" w:hAnsi="Times New Roman"/>
          <w:color w:val="auto"/>
          <w:szCs w:val="21"/>
        </w:rPr>
        <w:t>条的约定处理。</w:t>
      </w:r>
    </w:p>
    <w:p>
      <w:pPr>
        <w:spacing w:line="360" w:lineRule="auto"/>
        <w:ind w:firstLine="420" w:firstLineChars="200"/>
        <w:rPr>
          <w:rFonts w:ascii="Times New Roman" w:hAnsi="Times New Roman"/>
          <w:color w:val="auto"/>
          <w:szCs w:val="21"/>
        </w:rPr>
      </w:pPr>
      <w:r>
        <w:rPr>
          <w:rFonts w:ascii="Times New Roman" w:hAnsi="Times New Roman"/>
          <w:color w:val="auto"/>
          <w:szCs w:val="21"/>
        </w:rPr>
        <w:t>3.4.2 发包人应在专用合同条款约定的时间之内，对勘察人书面提出的事项作出书面答复；逾期没有做出答复的，视为已获得发包人的批准。</w:t>
      </w:r>
    </w:p>
    <w:p>
      <w:pPr>
        <w:pStyle w:val="5"/>
        <w:rPr>
          <w:rFonts w:ascii="Times New Roman" w:hAnsi="Times New Roman"/>
          <w:color w:val="auto"/>
        </w:rPr>
      </w:pPr>
      <w:bookmarkStart w:id="302" w:name="_Toc482188571"/>
      <w:bookmarkStart w:id="303" w:name="_Toc492300859"/>
      <w:r>
        <w:rPr>
          <w:rFonts w:ascii="Times New Roman" w:hAnsi="Times New Roman"/>
          <w:color w:val="auto"/>
        </w:rPr>
        <w:t>4. 勘察人义务</w:t>
      </w:r>
      <w:bookmarkEnd w:id="302"/>
      <w:bookmarkEnd w:id="303"/>
    </w:p>
    <w:p>
      <w:pPr>
        <w:pStyle w:val="6"/>
        <w:spacing w:line="240" w:lineRule="auto"/>
        <w:ind w:firstLine="137"/>
        <w:rPr>
          <w:rFonts w:ascii="Times New Roman" w:hAnsi="Times New Roman"/>
          <w:color w:val="auto"/>
        </w:rPr>
      </w:pPr>
      <w:bookmarkStart w:id="304" w:name="_Toc492300860"/>
      <w:bookmarkStart w:id="305" w:name="_Toc482188572"/>
      <w:r>
        <w:rPr>
          <w:rFonts w:ascii="Times New Roman" w:hAnsi="Times New Roman"/>
          <w:color w:val="auto"/>
        </w:rPr>
        <w:t xml:space="preserve">4.1 </w:t>
      </w:r>
      <w:r>
        <w:rPr>
          <w:rFonts w:hint="eastAsia" w:ascii="Times New Roman" w:hAnsi="Times New Roman"/>
          <w:color w:val="auto"/>
        </w:rPr>
        <w:t>勘察人的一般义务</w:t>
      </w:r>
      <w:bookmarkEnd w:id="304"/>
      <w:bookmarkEnd w:id="305"/>
    </w:p>
    <w:p>
      <w:pPr>
        <w:spacing w:line="360" w:lineRule="auto"/>
        <w:ind w:firstLine="422" w:firstLineChars="200"/>
        <w:rPr>
          <w:rFonts w:ascii="Times New Roman" w:hAnsi="Times New Roman"/>
          <w:b/>
          <w:color w:val="auto"/>
          <w:szCs w:val="21"/>
        </w:rPr>
      </w:pPr>
      <w:r>
        <w:rPr>
          <w:rFonts w:ascii="Times New Roman" w:hAnsi="Times New Roman"/>
          <w:b/>
          <w:color w:val="auto"/>
        </w:rPr>
        <w:t xml:space="preserve">4.1.1 </w:t>
      </w:r>
      <w:r>
        <w:rPr>
          <w:rFonts w:ascii="Times New Roman" w:hAnsi="Times New Roman"/>
          <w:b/>
          <w:color w:val="auto"/>
          <w:szCs w:val="21"/>
        </w:rPr>
        <w:t>遵守法律</w:t>
      </w:r>
    </w:p>
    <w:p>
      <w:pPr>
        <w:spacing w:line="360" w:lineRule="auto"/>
        <w:ind w:firstLine="420" w:firstLineChars="200"/>
        <w:rPr>
          <w:rFonts w:ascii="Times New Roman" w:hAnsi="Times New Roman"/>
          <w:color w:val="auto"/>
          <w:szCs w:val="21"/>
        </w:rPr>
      </w:pPr>
      <w:r>
        <w:rPr>
          <w:rFonts w:ascii="Times New Roman" w:hAnsi="Times New Roman"/>
          <w:color w:val="auto"/>
          <w:szCs w:val="21"/>
        </w:rPr>
        <w:t>勘察人在履行合同过程中应遵守法律，并保证发包人免于承担因</w:t>
      </w:r>
      <w:bookmarkEnd w:id="295"/>
      <w:bookmarkEnd w:id="296"/>
      <w:bookmarkEnd w:id="297"/>
      <w:bookmarkEnd w:id="298"/>
      <w:r>
        <w:rPr>
          <w:rFonts w:ascii="Times New Roman" w:hAnsi="Times New Roman"/>
          <w:color w:val="auto"/>
          <w:szCs w:val="21"/>
        </w:rPr>
        <w:t>勘察</w:t>
      </w:r>
      <w:bookmarkEnd w:id="299"/>
      <w:bookmarkEnd w:id="300"/>
      <w:bookmarkEnd w:id="301"/>
      <w:r>
        <w:rPr>
          <w:rFonts w:ascii="Times New Roman" w:hAnsi="Times New Roman"/>
          <w:color w:val="auto"/>
          <w:szCs w:val="21"/>
        </w:rPr>
        <w:t>人</w:t>
      </w:r>
      <w:bookmarkStart w:id="306" w:name="_Toc385942927"/>
      <w:bookmarkStart w:id="307" w:name="_Toc247527666"/>
      <w:bookmarkStart w:id="308" w:name="_Toc370281731"/>
      <w:bookmarkStart w:id="309" w:name="_Toc247514065"/>
      <w:bookmarkStart w:id="310" w:name="_Toc300835063"/>
      <w:r>
        <w:rPr>
          <w:rFonts w:ascii="Times New Roman" w:hAnsi="Times New Roman"/>
          <w:color w:val="auto"/>
          <w:szCs w:val="21"/>
        </w:rPr>
        <w:t>违反法律而引起的任何责任。</w:t>
      </w:r>
    </w:p>
    <w:bookmarkEnd w:id="306"/>
    <w:bookmarkEnd w:id="307"/>
    <w:bookmarkEnd w:id="308"/>
    <w:bookmarkEnd w:id="309"/>
    <w:bookmarkEnd w:id="310"/>
    <w:p>
      <w:pPr>
        <w:spacing w:line="360" w:lineRule="auto"/>
        <w:ind w:firstLine="422" w:firstLineChars="200"/>
        <w:rPr>
          <w:rFonts w:ascii="Times New Roman" w:hAnsi="Times New Roman"/>
          <w:b/>
          <w:color w:val="auto"/>
          <w:szCs w:val="21"/>
        </w:rPr>
      </w:pPr>
      <w:r>
        <w:rPr>
          <w:rFonts w:ascii="Times New Roman" w:hAnsi="Times New Roman"/>
          <w:b/>
          <w:color w:val="auto"/>
        </w:rPr>
        <w:t xml:space="preserve">4.1.2 </w:t>
      </w:r>
      <w:r>
        <w:rPr>
          <w:rFonts w:ascii="Times New Roman" w:hAnsi="Times New Roman"/>
          <w:b/>
          <w:color w:val="auto"/>
          <w:szCs w:val="21"/>
        </w:rPr>
        <w:t>依法纳税</w:t>
      </w:r>
    </w:p>
    <w:p>
      <w:pPr>
        <w:spacing w:line="360" w:lineRule="auto"/>
        <w:ind w:firstLine="420" w:firstLineChars="200"/>
        <w:rPr>
          <w:rFonts w:ascii="Times New Roman" w:hAnsi="Times New Roman"/>
          <w:color w:val="auto"/>
          <w:szCs w:val="21"/>
        </w:rPr>
      </w:pPr>
      <w:r>
        <w:rPr>
          <w:rFonts w:ascii="Times New Roman" w:hAnsi="Times New Roman"/>
          <w:color w:val="auto"/>
          <w:szCs w:val="21"/>
        </w:rPr>
        <w:t>勘察人应按有关法律规定纳税，应缴纳的税金（含增值税）包括在合同价格之中。</w:t>
      </w:r>
    </w:p>
    <w:p>
      <w:pPr>
        <w:spacing w:line="360" w:lineRule="auto"/>
        <w:ind w:firstLine="422" w:firstLineChars="200"/>
        <w:rPr>
          <w:rFonts w:ascii="Times New Roman" w:hAnsi="Times New Roman"/>
          <w:b/>
          <w:color w:val="auto"/>
          <w:szCs w:val="21"/>
        </w:rPr>
      </w:pPr>
      <w:r>
        <w:rPr>
          <w:rFonts w:ascii="Times New Roman" w:hAnsi="Times New Roman"/>
          <w:b/>
          <w:color w:val="auto"/>
        </w:rPr>
        <w:t xml:space="preserve">4.1.3 </w:t>
      </w:r>
      <w:r>
        <w:rPr>
          <w:rFonts w:ascii="Times New Roman" w:hAnsi="Times New Roman"/>
          <w:b/>
          <w:color w:val="auto"/>
          <w:szCs w:val="21"/>
        </w:rPr>
        <w:t>完成全部勘察工作</w:t>
      </w:r>
    </w:p>
    <w:p>
      <w:pPr>
        <w:spacing w:line="360" w:lineRule="auto"/>
        <w:ind w:firstLine="420" w:firstLineChars="200"/>
        <w:rPr>
          <w:rFonts w:ascii="Times New Roman" w:hAnsi="Times New Roman"/>
          <w:color w:val="auto"/>
          <w:szCs w:val="21"/>
        </w:rPr>
      </w:pPr>
      <w:r>
        <w:rPr>
          <w:rFonts w:ascii="Times New Roman" w:hAnsi="Times New Roman"/>
          <w:color w:val="auto"/>
          <w:szCs w:val="21"/>
        </w:rPr>
        <w:t>勘察人应按合同约定以及发包人要求，完成合同约定的全部工作，并对工作中的任何缺陷进行整改、完善和修补，使其满足合同约定的目的。勘察人应按合同约定提供勘察文件，以及为完成勘察服务所需的劳务、材料、勘察设备、实验设施等，并应自行承担勘探场地临时设施的搭设、维护、管理和拆除。</w:t>
      </w:r>
    </w:p>
    <w:p>
      <w:pPr>
        <w:spacing w:line="360" w:lineRule="auto"/>
        <w:ind w:firstLine="422" w:firstLineChars="200"/>
        <w:rPr>
          <w:rFonts w:ascii="Times New Roman" w:hAnsi="Times New Roman"/>
          <w:b/>
          <w:color w:val="auto"/>
          <w:szCs w:val="21"/>
        </w:rPr>
      </w:pPr>
      <w:r>
        <w:rPr>
          <w:rFonts w:ascii="Times New Roman" w:hAnsi="Times New Roman"/>
          <w:b/>
          <w:color w:val="auto"/>
        </w:rPr>
        <w:t>4.1.4</w:t>
      </w:r>
      <w:r>
        <w:rPr>
          <w:rFonts w:ascii="Times New Roman" w:hAnsi="Times New Roman"/>
          <w:b/>
          <w:color w:val="auto"/>
          <w:szCs w:val="21"/>
        </w:rPr>
        <w:t xml:space="preserve"> 保证勘察作业规范、安全和环保</w:t>
      </w:r>
    </w:p>
    <w:p>
      <w:pPr>
        <w:spacing w:line="360" w:lineRule="auto"/>
        <w:ind w:firstLine="420" w:firstLineChars="200"/>
        <w:rPr>
          <w:rFonts w:ascii="Times New Roman" w:hAnsi="Times New Roman"/>
          <w:color w:val="auto"/>
          <w:szCs w:val="21"/>
        </w:rPr>
      </w:pPr>
      <w:r>
        <w:rPr>
          <w:rFonts w:ascii="Times New Roman" w:hAnsi="Times New Roman"/>
          <w:color w:val="auto"/>
          <w:szCs w:val="21"/>
        </w:rPr>
        <w:t>勘察人应按法律、规范标准和发包人要求，采取各项有效措施，确保勘察作业操作规范、安全、文明和环保，在风险性较大的环境中作业时应当编制安全防护方案并制定应急预案，防止因勘察作业造成的人身伤害和财产损失。</w:t>
      </w:r>
    </w:p>
    <w:p>
      <w:pPr>
        <w:spacing w:line="360" w:lineRule="auto"/>
        <w:ind w:firstLine="422" w:firstLineChars="200"/>
        <w:rPr>
          <w:rFonts w:ascii="Times New Roman" w:hAnsi="Times New Roman"/>
          <w:b/>
          <w:color w:val="auto"/>
          <w:szCs w:val="21"/>
        </w:rPr>
      </w:pPr>
      <w:r>
        <w:rPr>
          <w:rFonts w:ascii="Times New Roman" w:hAnsi="Times New Roman"/>
          <w:b/>
          <w:color w:val="auto"/>
        </w:rPr>
        <w:t xml:space="preserve">4.1.5 </w:t>
      </w:r>
      <w:r>
        <w:rPr>
          <w:rFonts w:ascii="Times New Roman" w:hAnsi="Times New Roman"/>
          <w:b/>
          <w:color w:val="auto"/>
          <w:szCs w:val="21"/>
        </w:rPr>
        <w:t>避免勘探对公众与他人的利益造成损害</w:t>
      </w:r>
    </w:p>
    <w:p>
      <w:pPr>
        <w:spacing w:line="360" w:lineRule="auto"/>
        <w:ind w:firstLine="420" w:firstLineChars="200"/>
        <w:rPr>
          <w:rFonts w:ascii="Times New Roman" w:hAnsi="Times New Roman"/>
          <w:color w:val="auto"/>
          <w:szCs w:val="21"/>
        </w:rPr>
      </w:pPr>
      <w:r>
        <w:rPr>
          <w:rFonts w:ascii="Times New Roman" w:hAnsi="Times New Roman"/>
          <w:color w:val="auto"/>
          <w:szCs w:val="21"/>
        </w:rPr>
        <w:t>勘察人在进行合同约定的各项工作时，不得侵害发包人与他人使用公用道路、水源、市政管网等公共设施的权利，避免对邻近的公共设施产生干扰，保证勘探场地的周边设施、建构筑物、地下管线、架空线和其他物体的安全运行。勘察人占用或使用他人的施工场地，影响他人作业或生活的，应承担相应责任。</w:t>
      </w:r>
    </w:p>
    <w:p>
      <w:pPr>
        <w:spacing w:line="360" w:lineRule="auto"/>
        <w:ind w:firstLine="422" w:firstLineChars="200"/>
        <w:rPr>
          <w:rFonts w:ascii="Times New Roman" w:hAnsi="Times New Roman"/>
          <w:b/>
          <w:color w:val="auto"/>
          <w:szCs w:val="21"/>
        </w:rPr>
      </w:pPr>
      <w:r>
        <w:rPr>
          <w:rFonts w:ascii="Times New Roman" w:hAnsi="Times New Roman"/>
          <w:b/>
          <w:color w:val="auto"/>
        </w:rPr>
        <w:t xml:space="preserve">4.1.6 </w:t>
      </w:r>
      <w:r>
        <w:rPr>
          <w:rFonts w:ascii="Times New Roman" w:hAnsi="Times New Roman"/>
          <w:b/>
          <w:color w:val="auto"/>
          <w:szCs w:val="21"/>
        </w:rPr>
        <w:t>其他义务</w:t>
      </w:r>
    </w:p>
    <w:p>
      <w:pPr>
        <w:spacing w:line="360" w:lineRule="auto"/>
        <w:ind w:firstLine="420" w:firstLineChars="200"/>
        <w:rPr>
          <w:rFonts w:ascii="Times New Roman" w:hAnsi="Times New Roman"/>
          <w:color w:val="auto"/>
        </w:rPr>
      </w:pPr>
      <w:r>
        <w:rPr>
          <w:rFonts w:ascii="Times New Roman" w:hAnsi="Times New Roman"/>
          <w:color w:val="auto"/>
          <w:szCs w:val="21"/>
        </w:rPr>
        <w:t>勘察人应履行合同约定的其他义务。</w:t>
      </w:r>
    </w:p>
    <w:p>
      <w:pPr>
        <w:pStyle w:val="6"/>
        <w:spacing w:line="240" w:lineRule="auto"/>
        <w:ind w:firstLine="137"/>
        <w:rPr>
          <w:rFonts w:ascii="Times New Roman" w:hAnsi="Times New Roman"/>
          <w:color w:val="auto"/>
        </w:rPr>
      </w:pPr>
      <w:bookmarkStart w:id="311" w:name="_Toc382920065"/>
      <w:bookmarkStart w:id="312" w:name="_Toc492300861"/>
      <w:bookmarkStart w:id="313" w:name="_Toc485303383"/>
      <w:bookmarkStart w:id="314" w:name="_Toc13239"/>
      <w:bookmarkStart w:id="315" w:name="_Toc482188573"/>
      <w:bookmarkStart w:id="316" w:name="_Toc300835075"/>
      <w:bookmarkStart w:id="317" w:name="_Toc247514076"/>
      <w:bookmarkStart w:id="318" w:name="_Toc247527677"/>
      <w:bookmarkStart w:id="319" w:name="_Toc300835076"/>
      <w:r>
        <w:rPr>
          <w:rFonts w:ascii="Times New Roman" w:hAnsi="Times New Roman"/>
          <w:color w:val="auto"/>
        </w:rPr>
        <w:t xml:space="preserve">4.2 </w:t>
      </w:r>
      <w:r>
        <w:rPr>
          <w:rFonts w:hint="eastAsia" w:ascii="Times New Roman" w:hAnsi="Times New Roman"/>
          <w:color w:val="auto"/>
        </w:rPr>
        <w:t>履约保证金</w:t>
      </w:r>
      <w:bookmarkEnd w:id="311"/>
      <w:bookmarkEnd w:id="312"/>
      <w:bookmarkEnd w:id="313"/>
      <w:bookmarkEnd w:id="314"/>
    </w:p>
    <w:p>
      <w:pPr>
        <w:spacing w:line="360" w:lineRule="auto"/>
        <w:ind w:firstLine="420" w:firstLineChars="200"/>
        <w:rPr>
          <w:rFonts w:ascii="Times New Roman" w:hAnsi="Times New Roman"/>
          <w:color w:val="auto"/>
          <w:szCs w:val="21"/>
        </w:rPr>
      </w:pPr>
      <w:r>
        <w:rPr>
          <w:rFonts w:ascii="Times New Roman" w:hAnsi="Times New Roman"/>
          <w:color w:val="auto"/>
          <w:szCs w:val="21"/>
        </w:rPr>
        <w:t>除专用合同条款另有约定外，履约保证金自合同生效之日起生效，在</w:t>
      </w:r>
      <w:r>
        <w:rPr>
          <w:rFonts w:hint="eastAsia" w:ascii="Times New Roman" w:hAnsi="Times New Roman"/>
          <w:color w:val="auto"/>
          <w:szCs w:val="21"/>
        </w:rPr>
        <w:t>发包人签收最后一批勘察成果文件</w:t>
      </w:r>
      <w:r>
        <w:rPr>
          <w:rFonts w:ascii="Times New Roman" w:hAnsi="Times New Roman"/>
          <w:color w:val="auto"/>
          <w:szCs w:val="21"/>
        </w:rPr>
        <w:t>之日起28日后失效。如果勘察人不履行合同约定的义务或其履行不符合合同的约定，发包人有权扣划相应金额的履约保证金。</w:t>
      </w:r>
    </w:p>
    <w:p>
      <w:pPr>
        <w:pStyle w:val="6"/>
        <w:spacing w:line="240" w:lineRule="auto"/>
        <w:ind w:firstLine="137"/>
        <w:rPr>
          <w:rFonts w:ascii="Times New Roman" w:hAnsi="Times New Roman"/>
          <w:color w:val="auto"/>
        </w:rPr>
      </w:pPr>
      <w:bookmarkStart w:id="320" w:name="_Toc492300862"/>
      <w:r>
        <w:rPr>
          <w:rFonts w:ascii="Times New Roman" w:hAnsi="Times New Roman"/>
          <w:color w:val="auto"/>
        </w:rPr>
        <w:t xml:space="preserve">4.3 </w:t>
      </w:r>
      <w:r>
        <w:rPr>
          <w:rFonts w:hint="eastAsia" w:ascii="Times New Roman" w:hAnsi="Times New Roman"/>
          <w:color w:val="auto"/>
        </w:rPr>
        <w:t>分包和不得转包</w:t>
      </w:r>
      <w:bookmarkEnd w:id="315"/>
      <w:bookmarkEnd w:id="320"/>
    </w:p>
    <w:p>
      <w:pPr>
        <w:spacing w:line="360" w:lineRule="auto"/>
        <w:ind w:firstLine="420" w:firstLineChars="200"/>
        <w:rPr>
          <w:rFonts w:ascii="Times New Roman" w:hAnsi="Times New Roman"/>
          <w:color w:val="auto"/>
          <w:szCs w:val="21"/>
        </w:rPr>
      </w:pPr>
      <w:r>
        <w:rPr>
          <w:rFonts w:ascii="Times New Roman" w:hAnsi="Times New Roman"/>
          <w:color w:val="auto"/>
        </w:rPr>
        <w:t>4.</w:t>
      </w:r>
      <w:r>
        <w:rPr>
          <w:rFonts w:hint="eastAsia" w:ascii="Times New Roman" w:hAnsi="Times New Roman"/>
          <w:color w:val="auto"/>
        </w:rPr>
        <w:t>3</w:t>
      </w:r>
      <w:r>
        <w:rPr>
          <w:rFonts w:ascii="Times New Roman" w:hAnsi="Times New Roman"/>
          <w:color w:val="auto"/>
        </w:rPr>
        <w:t>.1</w:t>
      </w:r>
      <w:r>
        <w:rPr>
          <w:rFonts w:ascii="Times New Roman" w:hAnsi="Times New Roman"/>
          <w:color w:val="auto"/>
          <w:szCs w:val="21"/>
        </w:rPr>
        <w:t xml:space="preserve"> 勘察人不得将其勘察的全部工作转包给第三人。</w:t>
      </w:r>
    </w:p>
    <w:p>
      <w:pPr>
        <w:spacing w:line="360" w:lineRule="auto"/>
        <w:ind w:firstLine="420" w:firstLineChars="200"/>
        <w:rPr>
          <w:rFonts w:ascii="Times New Roman" w:hAnsi="Times New Roman"/>
          <w:color w:val="auto"/>
          <w:szCs w:val="21"/>
        </w:rPr>
      </w:pPr>
      <w:r>
        <w:rPr>
          <w:rFonts w:ascii="Times New Roman" w:hAnsi="Times New Roman"/>
          <w:color w:val="auto"/>
        </w:rPr>
        <w:t>4.</w:t>
      </w:r>
      <w:r>
        <w:rPr>
          <w:rFonts w:hint="eastAsia" w:ascii="Times New Roman" w:hAnsi="Times New Roman"/>
          <w:color w:val="auto"/>
        </w:rPr>
        <w:t>3</w:t>
      </w:r>
      <w:r>
        <w:rPr>
          <w:rFonts w:ascii="Times New Roman" w:hAnsi="Times New Roman"/>
          <w:color w:val="auto"/>
        </w:rPr>
        <w:t xml:space="preserve">.2 </w:t>
      </w:r>
      <w:r>
        <w:rPr>
          <w:rFonts w:ascii="Times New Roman" w:hAnsi="Times New Roman"/>
          <w:color w:val="auto"/>
          <w:szCs w:val="21"/>
        </w:rPr>
        <w:t>勘察人不得将勘察的主体、关键性工作分包给第三人。除专用合同条款另有约定外，未经发包人同意，勘察人也不得将非主体、非关键性工作分包给第三人。</w:t>
      </w:r>
    </w:p>
    <w:p>
      <w:pPr>
        <w:spacing w:line="360" w:lineRule="auto"/>
        <w:ind w:firstLine="420" w:firstLineChars="200"/>
        <w:rPr>
          <w:rFonts w:ascii="Times New Roman" w:hAnsi="Times New Roman"/>
          <w:color w:val="auto"/>
          <w:szCs w:val="21"/>
        </w:rPr>
      </w:pPr>
      <w:r>
        <w:rPr>
          <w:rFonts w:ascii="Times New Roman" w:hAnsi="Times New Roman"/>
          <w:color w:val="auto"/>
        </w:rPr>
        <w:t>4.</w:t>
      </w:r>
      <w:r>
        <w:rPr>
          <w:rFonts w:hint="eastAsia" w:ascii="Times New Roman" w:hAnsi="Times New Roman"/>
          <w:color w:val="auto"/>
        </w:rPr>
        <w:t>3</w:t>
      </w:r>
      <w:r>
        <w:rPr>
          <w:rFonts w:ascii="Times New Roman" w:hAnsi="Times New Roman"/>
          <w:color w:val="auto"/>
        </w:rPr>
        <w:t>.3</w:t>
      </w:r>
      <w:r>
        <w:rPr>
          <w:rFonts w:ascii="Times New Roman" w:hAnsi="Times New Roman"/>
          <w:color w:val="auto"/>
          <w:szCs w:val="21"/>
        </w:rPr>
        <w:t xml:space="preserve"> 发包人同意勘察人分包工作的，勘察人应向发包人提交1份分包合同副本，并对分包勘察工作质量承担连带责任。除专用合同条款另有约定外，分包人的勘察费用由勘察人与分包人自行支付。</w:t>
      </w:r>
    </w:p>
    <w:p>
      <w:pPr>
        <w:spacing w:line="360" w:lineRule="auto"/>
        <w:ind w:firstLine="420" w:firstLineChars="200"/>
        <w:rPr>
          <w:rFonts w:ascii="Times New Roman" w:hAnsi="Times New Roman"/>
          <w:color w:val="auto"/>
          <w:szCs w:val="21"/>
        </w:rPr>
      </w:pPr>
      <w:r>
        <w:rPr>
          <w:rFonts w:ascii="Times New Roman" w:hAnsi="Times New Roman"/>
          <w:color w:val="auto"/>
        </w:rPr>
        <w:t>4.</w:t>
      </w:r>
      <w:r>
        <w:rPr>
          <w:rFonts w:hint="eastAsia" w:ascii="Times New Roman" w:hAnsi="Times New Roman"/>
          <w:color w:val="auto"/>
        </w:rPr>
        <w:t>3</w:t>
      </w:r>
      <w:r>
        <w:rPr>
          <w:rFonts w:ascii="Times New Roman" w:hAnsi="Times New Roman"/>
          <w:color w:val="auto"/>
        </w:rPr>
        <w:t xml:space="preserve">.4 </w:t>
      </w:r>
      <w:r>
        <w:rPr>
          <w:rFonts w:ascii="Times New Roman" w:hAnsi="Times New Roman"/>
          <w:color w:val="auto"/>
          <w:szCs w:val="21"/>
        </w:rPr>
        <w:t>分包人的资格能力应与其分包工作的标准和规模相适应，包括必要的企业资质、人员、设备和类似业绩等。</w:t>
      </w:r>
    </w:p>
    <w:p>
      <w:pPr>
        <w:pStyle w:val="6"/>
        <w:spacing w:line="240" w:lineRule="auto"/>
        <w:ind w:firstLine="137"/>
        <w:rPr>
          <w:rFonts w:ascii="Times New Roman" w:hAnsi="Times New Roman"/>
          <w:color w:val="auto"/>
        </w:rPr>
      </w:pPr>
      <w:bookmarkStart w:id="321" w:name="_Toc492300863"/>
      <w:bookmarkStart w:id="322" w:name="_Toc482188574"/>
      <w:r>
        <w:rPr>
          <w:rFonts w:ascii="Times New Roman" w:hAnsi="Times New Roman"/>
          <w:color w:val="auto"/>
        </w:rPr>
        <w:t xml:space="preserve">4.4 </w:t>
      </w:r>
      <w:r>
        <w:rPr>
          <w:rFonts w:hint="eastAsia" w:ascii="Times New Roman" w:hAnsi="Times New Roman"/>
          <w:color w:val="auto"/>
        </w:rPr>
        <w:t>联合体</w:t>
      </w:r>
      <w:bookmarkEnd w:id="321"/>
      <w:bookmarkEnd w:id="322"/>
    </w:p>
    <w:p>
      <w:pPr>
        <w:spacing w:line="360" w:lineRule="auto"/>
        <w:ind w:firstLine="420" w:firstLineChars="200"/>
        <w:rPr>
          <w:rFonts w:ascii="Times New Roman" w:hAnsi="Times New Roman"/>
          <w:color w:val="auto"/>
          <w:szCs w:val="21"/>
        </w:rPr>
      </w:pPr>
      <w:r>
        <w:rPr>
          <w:rFonts w:ascii="Times New Roman" w:hAnsi="Times New Roman"/>
          <w:color w:val="auto"/>
        </w:rPr>
        <w:t>4.</w:t>
      </w:r>
      <w:r>
        <w:rPr>
          <w:rFonts w:hint="eastAsia" w:ascii="Times New Roman" w:hAnsi="Times New Roman"/>
          <w:color w:val="auto"/>
        </w:rPr>
        <w:t>4</w:t>
      </w:r>
      <w:r>
        <w:rPr>
          <w:rFonts w:ascii="Times New Roman" w:hAnsi="Times New Roman"/>
          <w:color w:val="auto"/>
        </w:rPr>
        <w:t xml:space="preserve">.1 </w:t>
      </w:r>
      <w:r>
        <w:rPr>
          <w:rFonts w:ascii="Times New Roman" w:hAnsi="Times New Roman"/>
          <w:color w:val="auto"/>
          <w:szCs w:val="21"/>
        </w:rPr>
        <w:t>联合体各方应共同与发包人签订合同。联合体各方应为履行合同承担连带责任。</w:t>
      </w:r>
    </w:p>
    <w:p>
      <w:pPr>
        <w:spacing w:line="360" w:lineRule="auto"/>
        <w:ind w:firstLine="420" w:firstLineChars="200"/>
        <w:rPr>
          <w:rFonts w:ascii="Times New Roman" w:hAnsi="Times New Roman"/>
          <w:color w:val="auto"/>
          <w:szCs w:val="21"/>
        </w:rPr>
      </w:pPr>
      <w:r>
        <w:rPr>
          <w:rFonts w:ascii="Times New Roman" w:hAnsi="Times New Roman"/>
          <w:color w:val="auto"/>
        </w:rPr>
        <w:t>4.</w:t>
      </w:r>
      <w:r>
        <w:rPr>
          <w:rFonts w:hint="eastAsia" w:ascii="Times New Roman" w:hAnsi="Times New Roman"/>
          <w:color w:val="auto"/>
        </w:rPr>
        <w:t>4</w:t>
      </w:r>
      <w:r>
        <w:rPr>
          <w:rFonts w:ascii="Times New Roman" w:hAnsi="Times New Roman"/>
          <w:color w:val="auto"/>
        </w:rPr>
        <w:t>.2</w:t>
      </w:r>
      <w:r>
        <w:rPr>
          <w:rFonts w:ascii="Times New Roman" w:hAnsi="Times New Roman"/>
          <w:color w:val="auto"/>
          <w:szCs w:val="21"/>
        </w:rPr>
        <w:t xml:space="preserve"> 联合体协议经发包人确认后作为合同附件。在履行合同过程中，未经发包人同意，不得修改联合体协议。</w:t>
      </w:r>
    </w:p>
    <w:p>
      <w:pPr>
        <w:spacing w:line="360" w:lineRule="auto"/>
        <w:ind w:firstLine="420" w:firstLineChars="200"/>
        <w:rPr>
          <w:rFonts w:ascii="Times New Roman" w:hAnsi="Times New Roman"/>
          <w:color w:val="auto"/>
          <w:szCs w:val="21"/>
        </w:rPr>
      </w:pPr>
      <w:r>
        <w:rPr>
          <w:rFonts w:ascii="Times New Roman" w:hAnsi="Times New Roman"/>
          <w:color w:val="auto"/>
        </w:rPr>
        <w:t>4.</w:t>
      </w:r>
      <w:r>
        <w:rPr>
          <w:rFonts w:hint="eastAsia" w:ascii="Times New Roman" w:hAnsi="Times New Roman"/>
          <w:color w:val="auto"/>
        </w:rPr>
        <w:t>4</w:t>
      </w:r>
      <w:r>
        <w:rPr>
          <w:rFonts w:ascii="Times New Roman" w:hAnsi="Times New Roman"/>
          <w:color w:val="auto"/>
        </w:rPr>
        <w:t>.</w:t>
      </w:r>
      <w:r>
        <w:rPr>
          <w:rFonts w:hint="eastAsia" w:ascii="Times New Roman" w:hAnsi="Times New Roman"/>
          <w:color w:val="auto"/>
        </w:rPr>
        <w:t>3</w:t>
      </w:r>
      <w:r>
        <w:rPr>
          <w:rFonts w:ascii="Times New Roman" w:hAnsi="Times New Roman"/>
          <w:color w:val="auto"/>
        </w:rPr>
        <w:t xml:space="preserve"> </w:t>
      </w:r>
      <w:r>
        <w:rPr>
          <w:rFonts w:ascii="Times New Roman" w:hAnsi="Times New Roman"/>
          <w:color w:val="auto"/>
          <w:szCs w:val="21"/>
        </w:rPr>
        <w:t>联合体牵头人或联合体授权的代表负责与发包人联系，并接受指示，负责组织联合体各成员全面履行合同。</w:t>
      </w:r>
    </w:p>
    <w:p>
      <w:pPr>
        <w:pStyle w:val="6"/>
        <w:spacing w:line="240" w:lineRule="auto"/>
        <w:ind w:firstLine="137"/>
        <w:rPr>
          <w:rFonts w:ascii="Times New Roman" w:hAnsi="Times New Roman"/>
          <w:color w:val="auto"/>
        </w:rPr>
      </w:pPr>
      <w:bookmarkStart w:id="323" w:name="_Toc492300864"/>
      <w:bookmarkStart w:id="324" w:name="_Toc482188575"/>
      <w:r>
        <w:rPr>
          <w:rFonts w:ascii="Times New Roman" w:hAnsi="Times New Roman"/>
          <w:color w:val="auto"/>
        </w:rPr>
        <w:t xml:space="preserve">4.5 </w:t>
      </w:r>
      <w:r>
        <w:rPr>
          <w:rFonts w:hint="eastAsia" w:ascii="Times New Roman" w:hAnsi="Times New Roman"/>
          <w:color w:val="auto"/>
        </w:rPr>
        <w:t>项目负责人</w:t>
      </w:r>
      <w:bookmarkEnd w:id="323"/>
      <w:bookmarkEnd w:id="324"/>
    </w:p>
    <w:p>
      <w:pPr>
        <w:spacing w:line="360" w:lineRule="auto"/>
        <w:ind w:firstLine="420" w:firstLineChars="200"/>
        <w:rPr>
          <w:rFonts w:ascii="Times New Roman" w:hAnsi="Times New Roman"/>
          <w:color w:val="auto"/>
          <w:szCs w:val="21"/>
        </w:rPr>
      </w:pPr>
      <w:r>
        <w:rPr>
          <w:rFonts w:ascii="Times New Roman" w:hAnsi="Times New Roman"/>
          <w:color w:val="auto"/>
        </w:rPr>
        <w:t>4.5.1</w:t>
      </w:r>
      <w:r>
        <w:rPr>
          <w:rFonts w:ascii="Times New Roman" w:hAnsi="Times New Roman"/>
          <w:color w:val="auto"/>
          <w:szCs w:val="21"/>
        </w:rPr>
        <w:t xml:space="preserve"> 勘察人应按合同协议书的约定指派项目负责人，并在约定的期限内到职。勘察人更换项目负责</w:t>
      </w:r>
      <w:bookmarkStart w:id="325" w:name="_Toc247527670"/>
      <w:bookmarkStart w:id="326" w:name="_Toc247514069"/>
      <w:bookmarkStart w:id="327" w:name="_Toc300835067"/>
      <w:r>
        <w:rPr>
          <w:rFonts w:ascii="Times New Roman" w:hAnsi="Times New Roman"/>
          <w:color w:val="auto"/>
          <w:szCs w:val="21"/>
        </w:rPr>
        <w:t>人应事先征得</w:t>
      </w:r>
      <w:bookmarkEnd w:id="325"/>
      <w:bookmarkEnd w:id="326"/>
      <w:bookmarkEnd w:id="327"/>
      <w:r>
        <w:rPr>
          <w:rFonts w:ascii="Times New Roman" w:hAnsi="Times New Roman"/>
          <w:color w:val="auto"/>
          <w:szCs w:val="21"/>
        </w:rPr>
        <w:t>发包人同意，并应在更换14天前将拟更换的项目负责人的姓名和详细资料提交发包人。项目负责人2天内不能履行职责的，应事先征得发包人同意，并委派代表代行其职责。</w:t>
      </w:r>
    </w:p>
    <w:p>
      <w:pPr>
        <w:spacing w:line="360" w:lineRule="auto"/>
        <w:ind w:firstLine="420" w:firstLineChars="200"/>
        <w:rPr>
          <w:rFonts w:ascii="Times New Roman" w:hAnsi="Times New Roman"/>
          <w:color w:val="auto"/>
          <w:szCs w:val="21"/>
        </w:rPr>
      </w:pPr>
      <w:r>
        <w:rPr>
          <w:rFonts w:ascii="Times New Roman" w:hAnsi="Times New Roman"/>
          <w:color w:val="auto"/>
        </w:rPr>
        <w:t>4.5.2</w:t>
      </w:r>
      <w:r>
        <w:rPr>
          <w:rFonts w:ascii="Times New Roman" w:hAnsi="Times New Roman"/>
          <w:color w:val="auto"/>
          <w:szCs w:val="21"/>
        </w:rPr>
        <w:t>项目负责人应按合同约定以及发包人要求，负责组织合同工作的实施。在情况紧急且无法与发包人取得联系时，可采取保证工程和人员生命财产安全的紧急措施，并在采取措施后24小时内向发包人提交书面报告。</w:t>
      </w:r>
    </w:p>
    <w:p>
      <w:pPr>
        <w:spacing w:line="360" w:lineRule="auto"/>
        <w:ind w:firstLine="420" w:firstLineChars="200"/>
        <w:rPr>
          <w:rFonts w:ascii="Times New Roman" w:hAnsi="Times New Roman"/>
          <w:color w:val="auto"/>
          <w:szCs w:val="21"/>
        </w:rPr>
      </w:pPr>
      <w:r>
        <w:rPr>
          <w:rFonts w:ascii="Times New Roman" w:hAnsi="Times New Roman"/>
          <w:color w:val="auto"/>
        </w:rPr>
        <w:t>4.5.3</w:t>
      </w:r>
      <w:r>
        <w:rPr>
          <w:rFonts w:ascii="Times New Roman" w:hAnsi="Times New Roman"/>
          <w:color w:val="auto"/>
          <w:szCs w:val="21"/>
        </w:rPr>
        <w:t xml:space="preserve"> 勘察人为履行合同发出的一切函件均应盖有勘察人单位章，并由勘察人的项目负责人签字确认。</w:t>
      </w:r>
    </w:p>
    <w:p>
      <w:pPr>
        <w:spacing w:line="360" w:lineRule="auto"/>
        <w:ind w:firstLine="420" w:firstLineChars="200"/>
        <w:rPr>
          <w:rFonts w:ascii="Times New Roman" w:hAnsi="Times New Roman"/>
          <w:color w:val="auto"/>
          <w:szCs w:val="21"/>
        </w:rPr>
      </w:pPr>
      <w:bookmarkStart w:id="328" w:name="_Toc482188576"/>
      <w:r>
        <w:rPr>
          <w:rFonts w:ascii="Times New Roman" w:hAnsi="Times New Roman"/>
          <w:color w:val="auto"/>
        </w:rPr>
        <w:t>4.</w:t>
      </w:r>
      <w:r>
        <w:rPr>
          <w:rFonts w:hint="eastAsia" w:ascii="Times New Roman" w:hAnsi="Times New Roman"/>
          <w:color w:val="auto"/>
        </w:rPr>
        <w:t>5</w:t>
      </w:r>
      <w:r>
        <w:rPr>
          <w:rFonts w:ascii="Times New Roman" w:hAnsi="Times New Roman"/>
          <w:color w:val="auto"/>
        </w:rPr>
        <w:t>.4</w:t>
      </w:r>
      <w:r>
        <w:rPr>
          <w:rFonts w:ascii="Times New Roman" w:hAnsi="Times New Roman"/>
          <w:color w:val="auto"/>
          <w:szCs w:val="21"/>
        </w:rPr>
        <w:t xml:space="preserve"> </w:t>
      </w:r>
      <w:r>
        <w:rPr>
          <w:rFonts w:hint="eastAsia" w:ascii="Times New Roman" w:hAnsi="Times New Roman"/>
          <w:color w:val="auto"/>
          <w:szCs w:val="21"/>
        </w:rPr>
        <w:t>按照专用合同条款约定，项目负责人</w:t>
      </w:r>
      <w:r>
        <w:rPr>
          <w:rFonts w:ascii="Times New Roman" w:hAnsi="Times New Roman"/>
          <w:color w:val="auto"/>
          <w:szCs w:val="21"/>
        </w:rPr>
        <w:t>可以授权其下属人员履行其某项职责，但事先应将这些人员的姓名和授权范围书面通知</w:t>
      </w:r>
      <w:r>
        <w:rPr>
          <w:rFonts w:hint="eastAsia" w:ascii="Times New Roman" w:hAnsi="Times New Roman"/>
          <w:color w:val="auto"/>
          <w:szCs w:val="21"/>
        </w:rPr>
        <w:t>发包</w:t>
      </w:r>
      <w:r>
        <w:rPr>
          <w:rFonts w:ascii="Times New Roman" w:hAnsi="Times New Roman"/>
          <w:color w:val="auto"/>
          <w:szCs w:val="21"/>
        </w:rPr>
        <w:t>人</w:t>
      </w:r>
      <w:r>
        <w:rPr>
          <w:rFonts w:hint="eastAsia" w:ascii="Times New Roman" w:hAnsi="Times New Roman"/>
          <w:color w:val="auto"/>
          <w:szCs w:val="21"/>
        </w:rPr>
        <w:t>。</w:t>
      </w:r>
    </w:p>
    <w:p>
      <w:pPr>
        <w:pStyle w:val="6"/>
        <w:spacing w:line="240" w:lineRule="auto"/>
        <w:ind w:firstLine="137"/>
        <w:rPr>
          <w:rFonts w:ascii="Times New Roman" w:hAnsi="Times New Roman"/>
          <w:color w:val="auto"/>
        </w:rPr>
      </w:pPr>
      <w:bookmarkStart w:id="329" w:name="_Toc492300865"/>
      <w:r>
        <w:rPr>
          <w:rFonts w:ascii="Times New Roman" w:hAnsi="Times New Roman"/>
          <w:color w:val="auto"/>
        </w:rPr>
        <w:t xml:space="preserve">4.6 </w:t>
      </w:r>
      <w:r>
        <w:rPr>
          <w:rFonts w:hint="eastAsia" w:ascii="Times New Roman" w:hAnsi="Times New Roman"/>
          <w:color w:val="auto"/>
        </w:rPr>
        <w:t>勘察人员的管理</w:t>
      </w:r>
      <w:bookmarkEnd w:id="328"/>
      <w:bookmarkEnd w:id="329"/>
    </w:p>
    <w:p>
      <w:pPr>
        <w:spacing w:line="360" w:lineRule="auto"/>
        <w:ind w:firstLine="420" w:firstLineChars="200"/>
        <w:rPr>
          <w:rFonts w:ascii="Times New Roman" w:hAnsi="Times New Roman"/>
          <w:color w:val="auto"/>
          <w:szCs w:val="21"/>
        </w:rPr>
      </w:pPr>
      <w:r>
        <w:rPr>
          <w:rFonts w:ascii="Times New Roman" w:hAnsi="Times New Roman"/>
          <w:color w:val="auto"/>
        </w:rPr>
        <w:t>4.6.1</w:t>
      </w:r>
      <w:r>
        <w:rPr>
          <w:rFonts w:ascii="Times New Roman" w:hAnsi="Times New Roman"/>
          <w:color w:val="auto"/>
          <w:szCs w:val="21"/>
        </w:rPr>
        <w:t xml:space="preserve"> 勘察人应在接到开始勘察通知之日起7天内，向发包人提交勘察项目机构以及</w:t>
      </w:r>
      <w:bookmarkStart w:id="330" w:name="_Toc247527671"/>
      <w:bookmarkStart w:id="331" w:name="_Toc300835068"/>
      <w:bookmarkStart w:id="332" w:name="_Toc247514070"/>
      <w:r>
        <w:rPr>
          <w:rFonts w:ascii="Times New Roman" w:hAnsi="Times New Roman"/>
          <w:color w:val="auto"/>
          <w:szCs w:val="21"/>
        </w:rPr>
        <w:t>人员安排的报告，其内容应</w:t>
      </w:r>
      <w:bookmarkEnd w:id="330"/>
      <w:bookmarkEnd w:id="331"/>
      <w:bookmarkEnd w:id="332"/>
      <w:r>
        <w:rPr>
          <w:rFonts w:ascii="Times New Roman" w:hAnsi="Times New Roman"/>
          <w:color w:val="auto"/>
          <w:szCs w:val="21"/>
        </w:rPr>
        <w:t>包括项目机构设置、主要勘察人员和作业人员的名单及资格条件。主要</w:t>
      </w:r>
      <w:r>
        <w:rPr>
          <w:rFonts w:hint="eastAsia" w:ascii="Times New Roman" w:hAnsi="Times New Roman"/>
          <w:color w:val="auto"/>
          <w:szCs w:val="21"/>
        </w:rPr>
        <w:t>勘察</w:t>
      </w:r>
      <w:r>
        <w:rPr>
          <w:rFonts w:ascii="Times New Roman" w:hAnsi="Times New Roman"/>
          <w:color w:val="auto"/>
          <w:szCs w:val="21"/>
        </w:rPr>
        <w:t>人员应相对稳定，更换主要</w:t>
      </w:r>
      <w:r>
        <w:rPr>
          <w:rFonts w:hint="eastAsia" w:ascii="Times New Roman" w:hAnsi="Times New Roman"/>
          <w:color w:val="auto"/>
          <w:szCs w:val="21"/>
        </w:rPr>
        <w:t>勘察</w:t>
      </w:r>
      <w:r>
        <w:rPr>
          <w:rFonts w:ascii="Times New Roman" w:hAnsi="Times New Roman"/>
          <w:color w:val="auto"/>
          <w:szCs w:val="21"/>
        </w:rPr>
        <w:t>人员的，应取得发包人的同意,并向发包人提交继任人员的资格、管理经验等资料。项目负责人的更换，应按照本章第4.5.1项规定执行。</w:t>
      </w:r>
    </w:p>
    <w:p>
      <w:pPr>
        <w:spacing w:line="360" w:lineRule="auto"/>
        <w:ind w:firstLine="420" w:firstLineChars="200"/>
        <w:rPr>
          <w:rFonts w:ascii="Times New Roman" w:hAnsi="Times New Roman"/>
          <w:color w:val="auto"/>
          <w:szCs w:val="21"/>
        </w:rPr>
      </w:pPr>
      <w:r>
        <w:rPr>
          <w:rFonts w:ascii="Times New Roman" w:hAnsi="Times New Roman"/>
          <w:color w:val="auto"/>
        </w:rPr>
        <w:t>4.6.2 除专用合同条款另有约定外，</w:t>
      </w:r>
      <w:r>
        <w:rPr>
          <w:rFonts w:ascii="Times New Roman" w:hAnsi="Times New Roman"/>
          <w:color w:val="auto"/>
          <w:szCs w:val="21"/>
        </w:rPr>
        <w:t>主要勘察人员包括项目负责人、勘探负责人、试验负责人等；作业人员包括勘探描述（记录）员、机长、观测员、试验员等。</w:t>
      </w:r>
    </w:p>
    <w:p>
      <w:pPr>
        <w:spacing w:line="360" w:lineRule="auto"/>
        <w:ind w:firstLine="420" w:firstLineChars="200"/>
        <w:rPr>
          <w:rFonts w:ascii="Times New Roman" w:hAnsi="Times New Roman"/>
          <w:color w:val="auto"/>
          <w:szCs w:val="21"/>
        </w:rPr>
      </w:pPr>
      <w:r>
        <w:rPr>
          <w:rFonts w:ascii="Times New Roman" w:hAnsi="Times New Roman"/>
          <w:color w:val="auto"/>
        </w:rPr>
        <w:t>4.6.3</w:t>
      </w:r>
      <w:r>
        <w:rPr>
          <w:rFonts w:ascii="Times New Roman" w:hAnsi="Times New Roman"/>
          <w:color w:val="auto"/>
          <w:szCs w:val="21"/>
        </w:rPr>
        <w:t>勘察人应保证其主要勘察人员（含分包人）在合同期限内的任何时候，都能按时参加发包人组织的工作会议。</w:t>
      </w:r>
    </w:p>
    <w:p>
      <w:pPr>
        <w:spacing w:line="360" w:lineRule="auto"/>
        <w:ind w:firstLine="420" w:firstLineChars="200"/>
        <w:rPr>
          <w:rFonts w:ascii="Times New Roman" w:hAnsi="Times New Roman"/>
          <w:color w:val="auto"/>
          <w:szCs w:val="21"/>
        </w:rPr>
      </w:pPr>
      <w:r>
        <w:rPr>
          <w:rFonts w:ascii="Times New Roman" w:hAnsi="Times New Roman"/>
          <w:color w:val="auto"/>
        </w:rPr>
        <w:t xml:space="preserve">4.6.4 </w:t>
      </w:r>
      <w:r>
        <w:rPr>
          <w:rFonts w:ascii="Times New Roman" w:hAnsi="Times New Roman"/>
          <w:color w:val="auto"/>
          <w:szCs w:val="21"/>
        </w:rPr>
        <w:t>国家规定应当持证上岗的工作人员均应持有相应的资格证明，发包人有权随时检查。发包人认为有必要时，可以进行现场考核。</w:t>
      </w:r>
    </w:p>
    <w:p>
      <w:pPr>
        <w:pStyle w:val="6"/>
        <w:spacing w:line="240" w:lineRule="auto"/>
        <w:ind w:firstLine="137"/>
        <w:rPr>
          <w:rFonts w:ascii="Times New Roman" w:hAnsi="Times New Roman"/>
          <w:color w:val="auto"/>
        </w:rPr>
      </w:pPr>
      <w:bookmarkStart w:id="333" w:name="_Toc482188577"/>
      <w:bookmarkStart w:id="334" w:name="_Toc492300866"/>
      <w:r>
        <w:rPr>
          <w:rFonts w:ascii="Times New Roman" w:hAnsi="Times New Roman"/>
          <w:color w:val="auto"/>
        </w:rPr>
        <w:t xml:space="preserve">4.7 </w:t>
      </w:r>
      <w:r>
        <w:rPr>
          <w:rFonts w:hint="eastAsia" w:ascii="Times New Roman" w:hAnsi="Times New Roman"/>
          <w:color w:val="auto"/>
        </w:rPr>
        <w:t>撤换项目负责人和其他人员</w:t>
      </w:r>
      <w:bookmarkEnd w:id="333"/>
      <w:bookmarkEnd w:id="334"/>
    </w:p>
    <w:p>
      <w:pPr>
        <w:spacing w:line="360" w:lineRule="auto"/>
        <w:ind w:firstLine="420" w:firstLineChars="200"/>
        <w:rPr>
          <w:rFonts w:ascii="Times New Roman" w:hAnsi="Times New Roman"/>
          <w:color w:val="auto"/>
          <w:szCs w:val="21"/>
        </w:rPr>
      </w:pPr>
      <w:r>
        <w:rPr>
          <w:rFonts w:ascii="Times New Roman" w:hAnsi="Times New Roman"/>
          <w:color w:val="auto"/>
          <w:szCs w:val="21"/>
        </w:rPr>
        <w:t>勘察人应对其项目负责人和其他人员进行有效管理。发包人要求撤换不能胜任本职工作、行</w:t>
      </w:r>
      <w:bookmarkStart w:id="335" w:name="_Toc247514071"/>
      <w:bookmarkStart w:id="336" w:name="_Toc300835069"/>
      <w:bookmarkStart w:id="337" w:name="_Toc247527672"/>
      <w:r>
        <w:rPr>
          <w:rFonts w:ascii="Times New Roman" w:hAnsi="Times New Roman"/>
          <w:color w:val="auto"/>
          <w:szCs w:val="21"/>
        </w:rPr>
        <w:t>为不端或玩忽职守的项目负责人和其</w:t>
      </w:r>
      <w:bookmarkEnd w:id="335"/>
      <w:bookmarkEnd w:id="336"/>
      <w:bookmarkEnd w:id="337"/>
      <w:r>
        <w:rPr>
          <w:rFonts w:ascii="Times New Roman" w:hAnsi="Times New Roman"/>
          <w:color w:val="auto"/>
          <w:szCs w:val="21"/>
        </w:rPr>
        <w:t>他人员的，勘察人应予以撤换。</w:t>
      </w:r>
    </w:p>
    <w:p>
      <w:pPr>
        <w:pStyle w:val="6"/>
        <w:spacing w:line="240" w:lineRule="auto"/>
        <w:ind w:firstLine="137"/>
        <w:rPr>
          <w:rFonts w:ascii="Times New Roman" w:hAnsi="Times New Roman"/>
          <w:color w:val="auto"/>
        </w:rPr>
      </w:pPr>
      <w:bookmarkStart w:id="338" w:name="_Toc492300867"/>
      <w:bookmarkStart w:id="339" w:name="_Toc482188578"/>
      <w:r>
        <w:rPr>
          <w:rFonts w:ascii="Times New Roman" w:hAnsi="Times New Roman"/>
          <w:color w:val="auto"/>
        </w:rPr>
        <w:t xml:space="preserve">4.8 </w:t>
      </w:r>
      <w:r>
        <w:rPr>
          <w:rFonts w:hint="eastAsia" w:ascii="Times New Roman" w:hAnsi="Times New Roman"/>
          <w:color w:val="auto"/>
        </w:rPr>
        <w:t>保障人员的合法权益</w:t>
      </w:r>
      <w:bookmarkEnd w:id="338"/>
      <w:bookmarkEnd w:id="339"/>
    </w:p>
    <w:p>
      <w:pPr>
        <w:spacing w:line="360" w:lineRule="auto"/>
        <w:ind w:firstLine="420" w:firstLineChars="200"/>
        <w:rPr>
          <w:rFonts w:ascii="Times New Roman" w:hAnsi="Times New Roman"/>
          <w:color w:val="auto"/>
          <w:szCs w:val="21"/>
        </w:rPr>
      </w:pPr>
      <w:r>
        <w:rPr>
          <w:rFonts w:ascii="Times New Roman" w:hAnsi="Times New Roman"/>
          <w:color w:val="auto"/>
        </w:rPr>
        <w:t>4.8.1</w:t>
      </w:r>
      <w:r>
        <w:rPr>
          <w:rFonts w:ascii="Times New Roman" w:hAnsi="Times New Roman"/>
          <w:color w:val="auto"/>
          <w:szCs w:val="21"/>
        </w:rPr>
        <w:t xml:space="preserve"> 勘察人应与其雇佣的人员签订劳动合同，并按时发放工资。</w:t>
      </w:r>
    </w:p>
    <w:p>
      <w:pPr>
        <w:spacing w:line="360" w:lineRule="auto"/>
        <w:ind w:firstLine="420" w:firstLineChars="200"/>
        <w:rPr>
          <w:rFonts w:ascii="Times New Roman" w:hAnsi="Times New Roman"/>
          <w:color w:val="auto"/>
          <w:szCs w:val="21"/>
        </w:rPr>
      </w:pPr>
      <w:r>
        <w:rPr>
          <w:rFonts w:ascii="Times New Roman" w:hAnsi="Times New Roman"/>
          <w:color w:val="auto"/>
        </w:rPr>
        <w:t>4.8.2</w:t>
      </w:r>
      <w:r>
        <w:rPr>
          <w:rFonts w:ascii="Times New Roman" w:hAnsi="Times New Roman"/>
          <w:color w:val="auto"/>
          <w:szCs w:val="21"/>
        </w:rPr>
        <w:t xml:space="preserve"> 勘察人应</w:t>
      </w:r>
      <w:bookmarkStart w:id="340" w:name="_Toc247514072"/>
      <w:bookmarkStart w:id="341" w:name="_Toc247527673"/>
      <w:bookmarkStart w:id="342" w:name="_Toc300835070"/>
      <w:r>
        <w:rPr>
          <w:rFonts w:ascii="Times New Roman" w:hAnsi="Times New Roman"/>
          <w:color w:val="auto"/>
          <w:szCs w:val="21"/>
        </w:rPr>
        <w:t>按劳动法的规定安排工作时间</w:t>
      </w:r>
      <w:bookmarkEnd w:id="340"/>
      <w:bookmarkEnd w:id="341"/>
      <w:bookmarkEnd w:id="342"/>
      <w:r>
        <w:rPr>
          <w:rFonts w:ascii="Times New Roman" w:hAnsi="Times New Roman"/>
          <w:color w:val="auto"/>
          <w:szCs w:val="21"/>
        </w:rPr>
        <w:t>，保证其雇佣人员享有休息和休假的权利。因勘察需要占用休假日或延长工作时间的，应不超过法律规定的限度，并按法律规定给予补休或付酬。</w:t>
      </w:r>
    </w:p>
    <w:p>
      <w:pPr>
        <w:spacing w:line="360" w:lineRule="auto"/>
        <w:ind w:firstLine="420" w:firstLineChars="200"/>
        <w:rPr>
          <w:rFonts w:ascii="Times New Roman" w:hAnsi="Times New Roman"/>
          <w:color w:val="auto"/>
          <w:szCs w:val="21"/>
        </w:rPr>
      </w:pPr>
      <w:r>
        <w:rPr>
          <w:rFonts w:ascii="Times New Roman" w:hAnsi="Times New Roman"/>
          <w:color w:val="auto"/>
        </w:rPr>
        <w:t>4.8.3</w:t>
      </w:r>
      <w:r>
        <w:rPr>
          <w:rFonts w:ascii="Times New Roman" w:hAnsi="Times New Roman"/>
          <w:color w:val="auto"/>
          <w:szCs w:val="21"/>
        </w:rPr>
        <w:t xml:space="preserve"> 勘察人应为其现场人员提供必要的食宿条件，以及符合环境保护和卫生要求的生活环境，在远离城镇的勘探场地，还应配备必要的伤病防治和急救设施。</w:t>
      </w:r>
    </w:p>
    <w:p>
      <w:pPr>
        <w:spacing w:line="360" w:lineRule="auto"/>
        <w:ind w:firstLine="420" w:firstLineChars="200"/>
        <w:rPr>
          <w:rFonts w:ascii="Times New Roman" w:hAnsi="Times New Roman"/>
          <w:color w:val="auto"/>
          <w:szCs w:val="21"/>
        </w:rPr>
      </w:pPr>
      <w:r>
        <w:rPr>
          <w:rFonts w:ascii="Times New Roman" w:hAnsi="Times New Roman"/>
          <w:color w:val="auto"/>
        </w:rPr>
        <w:t>4.8.4</w:t>
      </w:r>
      <w:r>
        <w:rPr>
          <w:rFonts w:ascii="Times New Roman" w:hAnsi="Times New Roman"/>
          <w:color w:val="auto"/>
          <w:szCs w:val="21"/>
        </w:rPr>
        <w:t xml:space="preserve"> 勘察人应按国家有关劳动保护的规定，采取有效的防止粉尘、降低噪声、控制有害气体和保障高温、高寒、高空作业安全等劳动保护措施。其雇佣人员在勘探作业中受到伤害的，勘察人应立即采取有效措施进行抢救和治疗。</w:t>
      </w:r>
    </w:p>
    <w:p>
      <w:pPr>
        <w:spacing w:line="360" w:lineRule="auto"/>
        <w:ind w:firstLine="420" w:firstLineChars="200"/>
        <w:rPr>
          <w:rFonts w:ascii="Times New Roman" w:hAnsi="Times New Roman"/>
          <w:color w:val="auto"/>
          <w:szCs w:val="21"/>
        </w:rPr>
      </w:pPr>
      <w:r>
        <w:rPr>
          <w:rFonts w:ascii="Times New Roman" w:hAnsi="Times New Roman"/>
          <w:color w:val="auto"/>
        </w:rPr>
        <w:t>4.8.5</w:t>
      </w:r>
      <w:r>
        <w:rPr>
          <w:rFonts w:ascii="Times New Roman" w:hAnsi="Times New Roman"/>
          <w:color w:val="auto"/>
          <w:szCs w:val="21"/>
        </w:rPr>
        <w:t xml:space="preserve"> 勘察人应按有关法律规定和合同约定，为其雇佣人员办理保险。</w:t>
      </w:r>
    </w:p>
    <w:p>
      <w:pPr>
        <w:pStyle w:val="6"/>
        <w:spacing w:line="240" w:lineRule="auto"/>
        <w:ind w:firstLine="137"/>
        <w:rPr>
          <w:rFonts w:ascii="Times New Roman" w:hAnsi="Times New Roman"/>
          <w:color w:val="auto"/>
        </w:rPr>
      </w:pPr>
      <w:bookmarkStart w:id="343" w:name="_Toc482188579"/>
      <w:bookmarkStart w:id="344" w:name="_Toc492300868"/>
      <w:r>
        <w:rPr>
          <w:rFonts w:ascii="Times New Roman" w:hAnsi="Times New Roman"/>
          <w:color w:val="auto"/>
        </w:rPr>
        <w:t xml:space="preserve">4.9 </w:t>
      </w:r>
      <w:r>
        <w:rPr>
          <w:rFonts w:hint="eastAsia" w:ascii="Times New Roman" w:hAnsi="Times New Roman"/>
          <w:color w:val="auto"/>
        </w:rPr>
        <w:t>合同价款应专款专用</w:t>
      </w:r>
      <w:bookmarkEnd w:id="343"/>
      <w:bookmarkEnd w:id="344"/>
    </w:p>
    <w:p>
      <w:pPr>
        <w:spacing w:line="360" w:lineRule="auto"/>
        <w:ind w:firstLine="420" w:firstLineChars="200"/>
        <w:rPr>
          <w:rFonts w:ascii="Times New Roman" w:hAnsi="Times New Roman"/>
          <w:color w:val="auto"/>
          <w:szCs w:val="21"/>
        </w:rPr>
      </w:pPr>
      <w:r>
        <w:rPr>
          <w:rFonts w:ascii="Times New Roman" w:hAnsi="Times New Roman"/>
          <w:color w:val="auto"/>
          <w:szCs w:val="21"/>
        </w:rPr>
        <w:t>发包人按合同约定支付给勘察人的各项价款，应专用于合同勘察工作。</w:t>
      </w:r>
    </w:p>
    <w:bookmarkEnd w:id="316"/>
    <w:bookmarkEnd w:id="317"/>
    <w:bookmarkEnd w:id="318"/>
    <w:p>
      <w:pPr>
        <w:pStyle w:val="5"/>
        <w:rPr>
          <w:rFonts w:ascii="Times New Roman" w:hAnsi="Times New Roman"/>
          <w:color w:val="auto"/>
        </w:rPr>
      </w:pPr>
      <w:bookmarkStart w:id="345" w:name="_Toc482188580"/>
      <w:bookmarkStart w:id="346" w:name="_Toc492300869"/>
      <w:r>
        <w:rPr>
          <w:rFonts w:ascii="Times New Roman" w:hAnsi="Times New Roman"/>
          <w:color w:val="auto"/>
        </w:rPr>
        <w:t>5. 勘察要求</w:t>
      </w:r>
      <w:bookmarkEnd w:id="345"/>
      <w:bookmarkEnd w:id="346"/>
    </w:p>
    <w:p>
      <w:pPr>
        <w:pStyle w:val="6"/>
        <w:spacing w:line="240" w:lineRule="auto"/>
        <w:ind w:firstLine="137"/>
        <w:rPr>
          <w:rFonts w:ascii="Times New Roman" w:hAnsi="Times New Roman"/>
          <w:color w:val="auto"/>
        </w:rPr>
      </w:pPr>
      <w:bookmarkStart w:id="347" w:name="_Toc492300870"/>
      <w:bookmarkStart w:id="348" w:name="_Toc482188581"/>
      <w:r>
        <w:rPr>
          <w:rFonts w:ascii="Times New Roman" w:hAnsi="Times New Roman"/>
          <w:color w:val="auto"/>
        </w:rPr>
        <w:t xml:space="preserve">5.1 </w:t>
      </w:r>
      <w:r>
        <w:rPr>
          <w:rFonts w:hint="eastAsia" w:ascii="Times New Roman" w:hAnsi="Times New Roman"/>
          <w:color w:val="auto"/>
        </w:rPr>
        <w:t>一般要求</w:t>
      </w:r>
      <w:bookmarkEnd w:id="347"/>
      <w:bookmarkEnd w:id="348"/>
    </w:p>
    <w:p>
      <w:pPr>
        <w:spacing w:line="360" w:lineRule="auto"/>
        <w:ind w:firstLine="420" w:firstLineChars="200"/>
        <w:rPr>
          <w:rFonts w:ascii="Times New Roman" w:hAnsi="Times New Roman"/>
          <w:color w:val="auto"/>
          <w:szCs w:val="21"/>
        </w:rPr>
      </w:pPr>
      <w:r>
        <w:rPr>
          <w:rFonts w:ascii="Times New Roman" w:hAnsi="Times New Roman"/>
          <w:color w:val="auto"/>
          <w:szCs w:val="21"/>
        </w:rPr>
        <w:t>5.1.1 发包人应当遵守法律和规范标准，不得以任何理由要求勘察人违反法律和工程质量、安全标准进行勘察服务，降低工程质量。</w:t>
      </w:r>
    </w:p>
    <w:p>
      <w:pPr>
        <w:spacing w:line="360" w:lineRule="auto"/>
        <w:ind w:firstLine="420" w:firstLineChars="200"/>
        <w:rPr>
          <w:rFonts w:ascii="Times New Roman" w:hAnsi="Times New Roman"/>
          <w:color w:val="auto"/>
          <w:szCs w:val="21"/>
        </w:rPr>
      </w:pPr>
      <w:r>
        <w:rPr>
          <w:rFonts w:ascii="Times New Roman" w:hAnsi="Times New Roman"/>
          <w:color w:val="auto"/>
        </w:rPr>
        <w:t xml:space="preserve">5.1.2 </w:t>
      </w:r>
      <w:r>
        <w:rPr>
          <w:rFonts w:ascii="Times New Roman" w:hAnsi="Times New Roman"/>
          <w:color w:val="auto"/>
          <w:szCs w:val="21"/>
        </w:rPr>
        <w:t>勘察人应按照法律规定，以及国家、行业和地方的规范和标准完成勘察工作，并应符合发包人要求。各项规范、标准和发包人要求之间如对同一内容的描述不一致时，应以描述更为严格的内容为准。</w:t>
      </w:r>
    </w:p>
    <w:p>
      <w:pPr>
        <w:spacing w:line="360" w:lineRule="auto"/>
        <w:ind w:firstLine="420" w:firstLineChars="200"/>
        <w:rPr>
          <w:rFonts w:ascii="Times New Roman" w:hAnsi="Times New Roman"/>
          <w:color w:val="auto"/>
          <w:szCs w:val="21"/>
        </w:rPr>
      </w:pPr>
      <w:r>
        <w:rPr>
          <w:rFonts w:ascii="Times New Roman" w:hAnsi="Times New Roman"/>
          <w:color w:val="auto"/>
        </w:rPr>
        <w:t>5.1.3</w:t>
      </w:r>
      <w:r>
        <w:rPr>
          <w:rFonts w:ascii="Times New Roman" w:hAnsi="Times New Roman"/>
          <w:color w:val="auto"/>
          <w:szCs w:val="21"/>
        </w:rPr>
        <w:t xml:space="preserve"> 除专用合同条款另有约定外，勘察人完成勘察工作所应遵守的法律规定，以及国家、行业和地方的规范和标准，均应视为在基准日适用的版本。基准日之后，前述版本发生重大变化，或者有新的法律，以及国家、行业和地方的规范和标准实施的，勘察人应向发包人提出遵守新规定的建议。发包人应在收到建议后7天内发出是否遵守新规定的指示。发包人指示遵守新规定的，按照第</w:t>
      </w:r>
      <w:r>
        <w:rPr>
          <w:rFonts w:ascii="Times New Roman" w:hAnsi="Times New Roman"/>
          <w:color w:val="auto"/>
        </w:rPr>
        <w:t>11</w:t>
      </w:r>
      <w:r>
        <w:rPr>
          <w:rFonts w:ascii="Times New Roman" w:hAnsi="Times New Roman"/>
          <w:color w:val="auto"/>
          <w:szCs w:val="21"/>
        </w:rPr>
        <w:t>条约定执行。</w:t>
      </w:r>
    </w:p>
    <w:p>
      <w:pPr>
        <w:pStyle w:val="6"/>
        <w:spacing w:line="240" w:lineRule="auto"/>
        <w:ind w:firstLine="137"/>
        <w:rPr>
          <w:rFonts w:ascii="Times New Roman" w:hAnsi="Times New Roman"/>
          <w:color w:val="auto"/>
        </w:rPr>
      </w:pPr>
      <w:bookmarkStart w:id="349" w:name="_Toc492300871"/>
      <w:bookmarkStart w:id="350" w:name="_Toc482188582"/>
      <w:r>
        <w:rPr>
          <w:rFonts w:ascii="Times New Roman" w:hAnsi="Times New Roman"/>
          <w:color w:val="auto"/>
        </w:rPr>
        <w:t xml:space="preserve">5.2 </w:t>
      </w:r>
      <w:r>
        <w:rPr>
          <w:rFonts w:hint="eastAsia" w:ascii="Times New Roman" w:hAnsi="Times New Roman"/>
          <w:color w:val="auto"/>
        </w:rPr>
        <w:t>勘察依据</w:t>
      </w:r>
      <w:bookmarkEnd w:id="349"/>
      <w:bookmarkEnd w:id="350"/>
    </w:p>
    <w:p>
      <w:pPr>
        <w:spacing w:line="360" w:lineRule="auto"/>
        <w:ind w:firstLine="420" w:firstLineChars="200"/>
        <w:rPr>
          <w:rFonts w:ascii="Times New Roman" w:hAnsi="Times New Roman"/>
          <w:color w:val="auto"/>
          <w:szCs w:val="21"/>
        </w:rPr>
      </w:pPr>
      <w:r>
        <w:rPr>
          <w:rFonts w:ascii="Times New Roman" w:hAnsi="Times New Roman"/>
          <w:color w:val="auto"/>
          <w:szCs w:val="21"/>
        </w:rPr>
        <w:t>除专用合同条款另有约定外，本工程的勘察依据如下：</w:t>
      </w:r>
    </w:p>
    <w:p>
      <w:pPr>
        <w:spacing w:line="360" w:lineRule="auto"/>
        <w:ind w:firstLine="420" w:firstLineChars="200"/>
        <w:rPr>
          <w:rFonts w:ascii="Times New Roman" w:hAnsi="Times New Roman"/>
          <w:color w:val="auto"/>
          <w:szCs w:val="21"/>
        </w:rPr>
      </w:pPr>
      <w:r>
        <w:rPr>
          <w:rFonts w:ascii="Times New Roman" w:hAnsi="Times New Roman"/>
          <w:color w:val="auto"/>
          <w:szCs w:val="21"/>
        </w:rPr>
        <w:t>（1）适用的法律、行政法规及部门规章；</w:t>
      </w:r>
    </w:p>
    <w:p>
      <w:pPr>
        <w:spacing w:line="360" w:lineRule="auto"/>
        <w:ind w:firstLine="420" w:firstLineChars="200"/>
        <w:rPr>
          <w:rFonts w:ascii="Times New Roman" w:hAnsi="Times New Roman"/>
          <w:color w:val="auto"/>
          <w:szCs w:val="21"/>
        </w:rPr>
      </w:pPr>
      <w:r>
        <w:rPr>
          <w:rFonts w:ascii="Times New Roman" w:hAnsi="Times New Roman"/>
          <w:color w:val="auto"/>
          <w:szCs w:val="21"/>
        </w:rPr>
        <w:t>（2）与工程有关的规范、标准、规程；</w:t>
      </w:r>
    </w:p>
    <w:p>
      <w:pPr>
        <w:spacing w:line="360" w:lineRule="auto"/>
        <w:ind w:firstLine="420" w:firstLineChars="200"/>
        <w:rPr>
          <w:rFonts w:ascii="Times New Roman" w:hAnsi="Times New Roman"/>
          <w:color w:val="auto"/>
          <w:szCs w:val="21"/>
        </w:rPr>
      </w:pPr>
      <w:r>
        <w:rPr>
          <w:rFonts w:ascii="Times New Roman" w:hAnsi="Times New Roman"/>
          <w:color w:val="auto"/>
          <w:szCs w:val="21"/>
        </w:rPr>
        <w:t>（3）工程基础资料及其他文件；</w:t>
      </w:r>
    </w:p>
    <w:p>
      <w:pPr>
        <w:spacing w:line="360" w:lineRule="auto"/>
        <w:ind w:firstLine="420" w:firstLineChars="200"/>
        <w:rPr>
          <w:rFonts w:ascii="Times New Roman" w:hAnsi="Times New Roman"/>
          <w:color w:val="auto"/>
          <w:szCs w:val="21"/>
        </w:rPr>
      </w:pPr>
      <w:r>
        <w:rPr>
          <w:rFonts w:ascii="Times New Roman" w:hAnsi="Times New Roman"/>
          <w:color w:val="auto"/>
          <w:szCs w:val="21"/>
        </w:rPr>
        <w:t>（4）本勘察服务合同及补充合同；</w:t>
      </w:r>
    </w:p>
    <w:p>
      <w:pPr>
        <w:spacing w:line="360" w:lineRule="auto"/>
        <w:ind w:firstLine="420" w:firstLineChars="200"/>
        <w:rPr>
          <w:rFonts w:ascii="Times New Roman" w:hAnsi="Times New Roman"/>
          <w:color w:val="auto"/>
          <w:szCs w:val="21"/>
        </w:rPr>
      </w:pPr>
      <w:r>
        <w:rPr>
          <w:rFonts w:ascii="Times New Roman" w:hAnsi="Times New Roman"/>
          <w:color w:val="auto"/>
          <w:szCs w:val="21"/>
        </w:rPr>
        <w:t>（5）本工程设计和施工需求；</w:t>
      </w:r>
    </w:p>
    <w:p>
      <w:pPr>
        <w:spacing w:line="360" w:lineRule="auto"/>
        <w:ind w:firstLine="420" w:firstLineChars="200"/>
        <w:rPr>
          <w:rFonts w:ascii="Times New Roman" w:hAnsi="Times New Roman"/>
          <w:color w:val="auto"/>
          <w:szCs w:val="21"/>
        </w:rPr>
      </w:pPr>
      <w:r>
        <w:rPr>
          <w:rFonts w:ascii="Times New Roman" w:hAnsi="Times New Roman"/>
          <w:color w:val="auto"/>
          <w:szCs w:val="21"/>
        </w:rPr>
        <w:t>（6）合同履行中与勘察服务有关的来往函件；</w:t>
      </w:r>
    </w:p>
    <w:p>
      <w:pPr>
        <w:spacing w:line="360" w:lineRule="auto"/>
        <w:ind w:firstLine="420" w:firstLineChars="200"/>
        <w:rPr>
          <w:rFonts w:ascii="Times New Roman" w:hAnsi="Times New Roman"/>
          <w:color w:val="auto"/>
          <w:szCs w:val="21"/>
        </w:rPr>
      </w:pPr>
      <w:r>
        <w:rPr>
          <w:rFonts w:ascii="Times New Roman" w:hAnsi="Times New Roman"/>
          <w:color w:val="auto"/>
          <w:szCs w:val="21"/>
        </w:rPr>
        <w:t>（7）其他勘察依据。</w:t>
      </w:r>
    </w:p>
    <w:p>
      <w:pPr>
        <w:pStyle w:val="6"/>
        <w:spacing w:line="240" w:lineRule="auto"/>
        <w:ind w:firstLine="137"/>
        <w:rPr>
          <w:rFonts w:ascii="Times New Roman" w:hAnsi="Times New Roman"/>
          <w:color w:val="auto"/>
        </w:rPr>
      </w:pPr>
      <w:bookmarkStart w:id="351" w:name="_Toc492300872"/>
      <w:bookmarkStart w:id="352" w:name="_Toc482188583"/>
      <w:r>
        <w:rPr>
          <w:rFonts w:ascii="Times New Roman" w:hAnsi="Times New Roman"/>
          <w:color w:val="auto"/>
        </w:rPr>
        <w:t xml:space="preserve">5.3 </w:t>
      </w:r>
      <w:r>
        <w:rPr>
          <w:rFonts w:hint="eastAsia" w:ascii="Times New Roman" w:hAnsi="Times New Roman"/>
          <w:color w:val="auto"/>
        </w:rPr>
        <w:t>勘察范围</w:t>
      </w:r>
      <w:bookmarkEnd w:id="351"/>
      <w:bookmarkEnd w:id="352"/>
    </w:p>
    <w:p>
      <w:pPr>
        <w:spacing w:line="360" w:lineRule="auto"/>
        <w:ind w:firstLine="420" w:firstLineChars="200"/>
        <w:rPr>
          <w:rFonts w:ascii="Times New Roman" w:hAnsi="Times New Roman"/>
          <w:color w:val="auto"/>
          <w:szCs w:val="21"/>
        </w:rPr>
      </w:pPr>
      <w:r>
        <w:rPr>
          <w:rFonts w:ascii="Times New Roman" w:hAnsi="Times New Roman"/>
          <w:color w:val="auto"/>
          <w:szCs w:val="21"/>
        </w:rPr>
        <w:t>5.3.1 本合同的勘察范围包括工程范围、阶段范围和工作范围，具体勘察范围应当根据三者之间的关联内容进行确定。</w:t>
      </w:r>
    </w:p>
    <w:p>
      <w:pPr>
        <w:spacing w:line="360" w:lineRule="auto"/>
        <w:ind w:firstLine="420" w:firstLineChars="200"/>
        <w:rPr>
          <w:rFonts w:ascii="Times New Roman" w:hAnsi="Times New Roman"/>
          <w:color w:val="auto"/>
          <w:szCs w:val="21"/>
        </w:rPr>
      </w:pPr>
      <w:r>
        <w:rPr>
          <w:rFonts w:ascii="Times New Roman" w:hAnsi="Times New Roman"/>
          <w:color w:val="auto"/>
          <w:szCs w:val="21"/>
        </w:rPr>
        <w:t>5.3.2 工程范围指所勘察工程的建设内容，具体范围</w:t>
      </w:r>
      <w:r>
        <w:rPr>
          <w:rFonts w:ascii="Times New Roman" w:hAnsi="Times New Roman"/>
          <w:color w:val="auto"/>
          <w:kern w:val="0"/>
          <w:szCs w:val="21"/>
        </w:rPr>
        <w:t>在专用合同条款中约定</w:t>
      </w:r>
      <w:r>
        <w:rPr>
          <w:rFonts w:ascii="Times New Roman" w:hAnsi="Times New Roman"/>
          <w:color w:val="auto"/>
          <w:szCs w:val="21"/>
        </w:rPr>
        <w:t>。</w:t>
      </w:r>
    </w:p>
    <w:p>
      <w:pPr>
        <w:spacing w:line="360" w:lineRule="auto"/>
        <w:ind w:firstLine="420" w:firstLineChars="200"/>
        <w:rPr>
          <w:rFonts w:ascii="Times New Roman" w:hAnsi="Times New Roman"/>
          <w:color w:val="auto"/>
          <w:szCs w:val="21"/>
        </w:rPr>
      </w:pPr>
      <w:r>
        <w:rPr>
          <w:rFonts w:ascii="Times New Roman" w:hAnsi="Times New Roman"/>
          <w:color w:val="auto"/>
          <w:szCs w:val="21"/>
        </w:rPr>
        <w:t>5.3.3 阶段范围指工程建设程序中的可行性研究勘察、初步勘察、详细勘察、施工勘察等阶段中的一个或者多个阶段，具体范围</w:t>
      </w:r>
      <w:r>
        <w:rPr>
          <w:rFonts w:ascii="Times New Roman" w:hAnsi="Times New Roman"/>
          <w:color w:val="auto"/>
          <w:kern w:val="0"/>
          <w:szCs w:val="21"/>
        </w:rPr>
        <w:t>在专用合同条款中约定</w:t>
      </w:r>
      <w:r>
        <w:rPr>
          <w:rFonts w:ascii="Times New Roman" w:hAnsi="Times New Roman"/>
          <w:color w:val="auto"/>
          <w:szCs w:val="21"/>
        </w:rPr>
        <w:t>。</w:t>
      </w:r>
    </w:p>
    <w:p>
      <w:pPr>
        <w:spacing w:line="360" w:lineRule="auto"/>
        <w:ind w:firstLine="420" w:firstLineChars="200"/>
        <w:rPr>
          <w:rFonts w:ascii="Times New Roman" w:hAnsi="Times New Roman"/>
          <w:color w:val="auto"/>
          <w:szCs w:val="21"/>
        </w:rPr>
      </w:pPr>
      <w:r>
        <w:rPr>
          <w:rFonts w:ascii="Times New Roman" w:hAnsi="Times New Roman"/>
          <w:color w:val="auto"/>
          <w:szCs w:val="21"/>
        </w:rPr>
        <w:t>5.3.4 工作范围指工程</w:t>
      </w:r>
      <w:r>
        <w:rPr>
          <w:rFonts w:ascii="Times New Roman" w:hAnsi="Times New Roman"/>
          <w:color w:val="auto"/>
        </w:rPr>
        <w:t>测量、岩土工程勘察、岩土工程设计（如有）、提供技术交底、施工配合、参加试车（试运行）、竣工验收和发包人委托的其他服务中的一项或者多项工作，</w:t>
      </w:r>
      <w:r>
        <w:rPr>
          <w:rFonts w:ascii="Times New Roman" w:hAnsi="Times New Roman"/>
          <w:color w:val="auto"/>
          <w:szCs w:val="21"/>
        </w:rPr>
        <w:t>具体范围</w:t>
      </w:r>
      <w:r>
        <w:rPr>
          <w:rFonts w:ascii="Times New Roman" w:hAnsi="Times New Roman"/>
          <w:color w:val="auto"/>
          <w:kern w:val="0"/>
          <w:szCs w:val="21"/>
        </w:rPr>
        <w:t>在专用合同条款中约定</w:t>
      </w:r>
      <w:r>
        <w:rPr>
          <w:rFonts w:ascii="Times New Roman" w:hAnsi="Times New Roman"/>
          <w:color w:val="auto"/>
          <w:szCs w:val="21"/>
        </w:rPr>
        <w:t>。</w:t>
      </w:r>
    </w:p>
    <w:p>
      <w:pPr>
        <w:pStyle w:val="6"/>
        <w:spacing w:line="240" w:lineRule="auto"/>
        <w:ind w:firstLine="137"/>
        <w:rPr>
          <w:rFonts w:ascii="Times New Roman" w:hAnsi="Times New Roman"/>
          <w:color w:val="auto"/>
        </w:rPr>
      </w:pPr>
      <w:bookmarkStart w:id="353" w:name="_Toc482188584"/>
      <w:bookmarkStart w:id="354" w:name="_Toc492300873"/>
      <w:r>
        <w:rPr>
          <w:rFonts w:ascii="Times New Roman" w:hAnsi="Times New Roman"/>
          <w:color w:val="auto"/>
        </w:rPr>
        <w:t xml:space="preserve">5.4 </w:t>
      </w:r>
      <w:r>
        <w:rPr>
          <w:rFonts w:hint="eastAsia" w:ascii="Times New Roman" w:hAnsi="Times New Roman"/>
          <w:color w:val="auto"/>
        </w:rPr>
        <w:t>勘察作业要求</w:t>
      </w:r>
      <w:bookmarkEnd w:id="353"/>
      <w:bookmarkEnd w:id="354"/>
    </w:p>
    <w:bookmarkEnd w:id="319"/>
    <w:p>
      <w:pPr>
        <w:spacing w:line="360" w:lineRule="auto"/>
        <w:ind w:firstLine="422" w:firstLineChars="200"/>
        <w:rPr>
          <w:rFonts w:ascii="Times New Roman" w:hAnsi="Times New Roman"/>
          <w:b/>
          <w:color w:val="auto"/>
          <w:szCs w:val="21"/>
        </w:rPr>
      </w:pPr>
      <w:r>
        <w:rPr>
          <w:rFonts w:ascii="Times New Roman" w:hAnsi="Times New Roman"/>
          <w:b/>
          <w:color w:val="auto"/>
          <w:szCs w:val="21"/>
        </w:rPr>
        <w:t>5.4.1 测绘</w:t>
      </w:r>
    </w:p>
    <w:p>
      <w:pPr>
        <w:spacing w:line="360" w:lineRule="auto"/>
        <w:ind w:firstLine="420" w:firstLineChars="200"/>
        <w:rPr>
          <w:rFonts w:ascii="Times New Roman" w:hAnsi="Times New Roman"/>
          <w:color w:val="auto"/>
          <w:szCs w:val="21"/>
        </w:rPr>
      </w:pPr>
      <w:r>
        <w:rPr>
          <w:rFonts w:ascii="Times New Roman" w:hAnsi="Times New Roman"/>
          <w:color w:val="auto"/>
          <w:szCs w:val="21"/>
        </w:rPr>
        <w:t>（1）除专用合同条款另有约定外，发包人应在开始勘察前7日内，向勘</w:t>
      </w:r>
      <w:bookmarkStart w:id="355" w:name="_Toc247527704"/>
      <w:bookmarkStart w:id="356" w:name="_Toc300835106"/>
      <w:bookmarkStart w:id="357" w:name="_Toc184635105"/>
      <w:bookmarkStart w:id="358" w:name="_Toc247514103"/>
      <w:r>
        <w:rPr>
          <w:rFonts w:ascii="Times New Roman" w:hAnsi="Times New Roman"/>
          <w:color w:val="auto"/>
          <w:szCs w:val="21"/>
        </w:rPr>
        <w:t>察人</w:t>
      </w:r>
      <w:bookmarkEnd w:id="355"/>
      <w:bookmarkEnd w:id="356"/>
      <w:bookmarkEnd w:id="357"/>
      <w:bookmarkEnd w:id="358"/>
      <w:r>
        <w:rPr>
          <w:rFonts w:ascii="Times New Roman" w:hAnsi="Times New Roman"/>
          <w:color w:val="auto"/>
          <w:szCs w:val="21"/>
        </w:rPr>
        <w:t>提供测量基准点、水准点和书</w:t>
      </w:r>
      <w:bookmarkStart w:id="359" w:name="_Toc247514104"/>
      <w:bookmarkStart w:id="360" w:name="_Toc300835107"/>
      <w:bookmarkStart w:id="361" w:name="_Toc247527705"/>
      <w:r>
        <w:rPr>
          <w:rFonts w:ascii="Times New Roman" w:hAnsi="Times New Roman"/>
          <w:color w:val="auto"/>
          <w:szCs w:val="21"/>
        </w:rPr>
        <w:t>面资料等</w:t>
      </w:r>
      <w:bookmarkEnd w:id="359"/>
      <w:bookmarkEnd w:id="360"/>
      <w:bookmarkEnd w:id="361"/>
      <w:r>
        <w:rPr>
          <w:rFonts w:ascii="Times New Roman" w:hAnsi="Times New Roman"/>
          <w:color w:val="auto"/>
          <w:szCs w:val="21"/>
        </w:rPr>
        <w:t>；勘察人应根据国家测绘基准、测绘系统和工程测量技术规范，按发包人要求的基准点以及合同工程精度要求，进行测绘。</w:t>
      </w:r>
    </w:p>
    <w:p>
      <w:pPr>
        <w:spacing w:line="360" w:lineRule="auto"/>
        <w:ind w:firstLine="420" w:firstLineChars="200"/>
        <w:rPr>
          <w:rFonts w:ascii="Times New Roman" w:hAnsi="Times New Roman"/>
          <w:color w:val="auto"/>
          <w:szCs w:val="21"/>
        </w:rPr>
      </w:pPr>
      <w:r>
        <w:rPr>
          <w:rFonts w:ascii="Times New Roman" w:hAnsi="Times New Roman"/>
          <w:color w:val="auto"/>
          <w:szCs w:val="21"/>
        </w:rPr>
        <w:t>（2）勘察人测绘之前，应当认真核对测绘数据，保证引用数据和原始数据准确无误。测绘工作应由测量人员如实记录，不得补记、涂改或者损坏。</w:t>
      </w:r>
    </w:p>
    <w:p>
      <w:pPr>
        <w:spacing w:line="360" w:lineRule="auto"/>
        <w:ind w:firstLine="420" w:firstLineChars="200"/>
        <w:rPr>
          <w:rFonts w:ascii="Times New Roman" w:hAnsi="Times New Roman"/>
          <w:color w:val="auto"/>
          <w:szCs w:val="21"/>
        </w:rPr>
      </w:pPr>
      <w:r>
        <w:rPr>
          <w:rFonts w:ascii="Times New Roman" w:hAnsi="Times New Roman"/>
          <w:color w:val="auto"/>
          <w:szCs w:val="21"/>
        </w:rPr>
        <w:t>（3）工程勘探之前，勘察人应当严格按照勘察方案的孔位坐标，进行测量放线并在实地位置定位，埋设带有编号且不易移动的标志桩进行定位控制。</w:t>
      </w:r>
    </w:p>
    <w:p>
      <w:pPr>
        <w:spacing w:line="360" w:lineRule="auto"/>
        <w:ind w:firstLine="422" w:firstLineChars="200"/>
        <w:rPr>
          <w:rFonts w:ascii="Times New Roman" w:hAnsi="Times New Roman"/>
          <w:b/>
          <w:color w:val="auto"/>
          <w:szCs w:val="21"/>
        </w:rPr>
      </w:pPr>
      <w:r>
        <w:rPr>
          <w:rFonts w:ascii="Times New Roman" w:hAnsi="Times New Roman"/>
          <w:b/>
          <w:color w:val="auto"/>
          <w:szCs w:val="21"/>
        </w:rPr>
        <w:t>5.4.2 勘探</w:t>
      </w:r>
    </w:p>
    <w:p>
      <w:pPr>
        <w:spacing w:line="360" w:lineRule="auto"/>
        <w:ind w:firstLine="420" w:firstLineChars="200"/>
        <w:rPr>
          <w:rFonts w:ascii="Times New Roman" w:hAnsi="Times New Roman"/>
          <w:color w:val="auto"/>
        </w:rPr>
      </w:pPr>
      <w:r>
        <w:rPr>
          <w:rFonts w:ascii="Times New Roman" w:hAnsi="Times New Roman"/>
          <w:color w:val="auto"/>
        </w:rPr>
        <w:t>（1）勘察人应当根据勘察目的和岩土特性，合理选择钻探、井探、槽探、洞</w:t>
      </w:r>
      <w:bookmarkStart w:id="362" w:name="_Toc247514086"/>
      <w:bookmarkStart w:id="363" w:name="_Toc300835085"/>
      <w:bookmarkStart w:id="364" w:name="_Toc247527687"/>
      <w:bookmarkStart w:id="365" w:name="_Toc184635102"/>
      <w:r>
        <w:rPr>
          <w:rFonts w:ascii="Times New Roman" w:hAnsi="Times New Roman"/>
          <w:color w:val="auto"/>
        </w:rPr>
        <w:t>探和地球物理勘</w:t>
      </w:r>
      <w:bookmarkEnd w:id="362"/>
      <w:bookmarkEnd w:id="363"/>
      <w:bookmarkEnd w:id="364"/>
      <w:bookmarkEnd w:id="365"/>
      <w:r>
        <w:rPr>
          <w:rFonts w:ascii="Times New Roman" w:hAnsi="Times New Roman"/>
          <w:color w:val="auto"/>
        </w:rPr>
        <w:t>探等勘探方</w:t>
      </w:r>
      <w:bookmarkStart w:id="366" w:name="_Toc247527688"/>
      <w:bookmarkStart w:id="367" w:name="_Toc300835086"/>
      <w:bookmarkStart w:id="368" w:name="_Toc247514087"/>
      <w:r>
        <w:rPr>
          <w:rFonts w:ascii="Times New Roman" w:hAnsi="Times New Roman"/>
          <w:color w:val="auto"/>
        </w:rPr>
        <w:t>法，为完成</w:t>
      </w:r>
      <w:bookmarkEnd w:id="366"/>
      <w:bookmarkEnd w:id="367"/>
      <w:bookmarkEnd w:id="368"/>
      <w:r>
        <w:rPr>
          <w:rFonts w:ascii="Times New Roman" w:hAnsi="Times New Roman"/>
          <w:color w:val="auto"/>
        </w:rPr>
        <w:t>合同约定的勘察任务创造条件。勘察人对于勘察方法的正确性、适用性和可靠性完全负责。</w:t>
      </w:r>
    </w:p>
    <w:p>
      <w:pPr>
        <w:spacing w:line="360" w:lineRule="auto"/>
        <w:ind w:firstLine="420" w:firstLineChars="200"/>
        <w:rPr>
          <w:rFonts w:ascii="Times New Roman" w:hAnsi="Times New Roman"/>
          <w:color w:val="auto"/>
        </w:rPr>
      </w:pPr>
      <w:r>
        <w:rPr>
          <w:rFonts w:ascii="Times New Roman" w:hAnsi="Times New Roman"/>
          <w:color w:val="auto"/>
        </w:rPr>
        <w:t>（2）勘察人布置勘探工作时，应当充分考虑勘探方法对于自然环境、周边设施、建构筑物、地下管线、架空线和其他物体的影响，采用切实有效的措施进行防范控制，不得造成损坏或中断运行，否则由此导致的费用增加和（或）周期延误由勘察人自行承担。</w:t>
      </w:r>
    </w:p>
    <w:p>
      <w:pPr>
        <w:spacing w:line="360" w:lineRule="auto"/>
        <w:ind w:firstLine="420" w:firstLineChars="200"/>
        <w:rPr>
          <w:rFonts w:ascii="Times New Roman" w:hAnsi="Times New Roman"/>
          <w:color w:val="auto"/>
          <w:szCs w:val="21"/>
        </w:rPr>
      </w:pPr>
      <w:r>
        <w:rPr>
          <w:rFonts w:ascii="Times New Roman" w:hAnsi="Times New Roman"/>
          <w:color w:val="auto"/>
          <w:szCs w:val="21"/>
        </w:rPr>
        <w:t>（3）勘察人应在标定的孔位处进行勘探，不得随意改动位置。勘探方法、勘探机具、勘探记录、取样编录与描述，孔位标记、孔位封闭等事项，应当严格执行规范标准，按实填写勘探报表和勘探日志。</w:t>
      </w:r>
    </w:p>
    <w:p>
      <w:pPr>
        <w:spacing w:line="360" w:lineRule="auto"/>
        <w:ind w:firstLine="420" w:firstLineChars="200"/>
        <w:rPr>
          <w:rFonts w:ascii="Times New Roman" w:hAnsi="Times New Roman"/>
          <w:color w:val="auto"/>
          <w:szCs w:val="21"/>
        </w:rPr>
      </w:pPr>
      <w:r>
        <w:rPr>
          <w:rFonts w:ascii="Times New Roman" w:hAnsi="Times New Roman"/>
          <w:color w:val="auto"/>
        </w:rPr>
        <w:t>（4）勘探工作完成后，勘察人应当按照规范要求及时封孔，并将封孔记录整理存档，勘探场地应当地面平整、清洁卫生，并通知发包人、行政主管部门及使用维护单位进行现场验收。验收通过之后如果发生沉陷，勘察人应当及时进行二次封孔和现场验收。</w:t>
      </w:r>
    </w:p>
    <w:p>
      <w:pPr>
        <w:spacing w:line="360" w:lineRule="auto"/>
        <w:ind w:firstLine="422" w:firstLineChars="200"/>
        <w:rPr>
          <w:rFonts w:ascii="Times New Roman" w:hAnsi="Times New Roman"/>
          <w:b/>
          <w:color w:val="auto"/>
          <w:szCs w:val="21"/>
        </w:rPr>
      </w:pPr>
      <w:r>
        <w:rPr>
          <w:rFonts w:ascii="Times New Roman" w:hAnsi="Times New Roman"/>
          <w:b/>
          <w:color w:val="auto"/>
          <w:szCs w:val="21"/>
        </w:rPr>
        <w:t>5.4.3 取样</w:t>
      </w:r>
    </w:p>
    <w:p>
      <w:pPr>
        <w:spacing w:line="360" w:lineRule="auto"/>
        <w:ind w:firstLine="420" w:firstLineChars="200"/>
        <w:rPr>
          <w:rFonts w:ascii="Times New Roman" w:hAnsi="Times New Roman"/>
          <w:color w:val="auto"/>
          <w:szCs w:val="21"/>
        </w:rPr>
      </w:pPr>
      <w:r>
        <w:rPr>
          <w:rFonts w:ascii="Times New Roman" w:hAnsi="Times New Roman"/>
          <w:color w:val="auto"/>
          <w:szCs w:val="21"/>
        </w:rPr>
        <w:t>（1）勘察人应当针对不同的岩土地质，按照勘探取样规范规程中的相关规定，根据地层特征、取样深度、设备条件和试验项目的不同，合理选用取样方法和取样工具进行取样，包括并不限于土样、水样、岩芯等。</w:t>
      </w:r>
    </w:p>
    <w:p>
      <w:pPr>
        <w:spacing w:line="360" w:lineRule="auto"/>
        <w:ind w:firstLine="420" w:firstLineChars="200"/>
        <w:rPr>
          <w:rFonts w:ascii="Times New Roman" w:hAnsi="Times New Roman"/>
          <w:color w:val="auto"/>
          <w:szCs w:val="21"/>
        </w:rPr>
      </w:pPr>
      <w:r>
        <w:rPr>
          <w:rFonts w:ascii="Times New Roman" w:hAnsi="Times New Roman"/>
          <w:color w:val="auto"/>
          <w:szCs w:val="21"/>
        </w:rPr>
        <w:t>（2）取样后的样品应当根据其类别、性质和特点等进行封装、贮存和运输。样品搬运之前，宜用数码相机进行现场拍照；运输途中应当采用柔软材料充填、尽量避免震动和阳光曝晒；装卸之时尽量轻拿轻放，以免样品损坏。</w:t>
      </w:r>
    </w:p>
    <w:p>
      <w:pPr>
        <w:spacing w:line="360" w:lineRule="auto"/>
        <w:ind w:firstLine="420" w:firstLineChars="200"/>
        <w:rPr>
          <w:rFonts w:ascii="Times New Roman" w:hAnsi="Times New Roman"/>
          <w:color w:val="auto"/>
          <w:szCs w:val="21"/>
        </w:rPr>
      </w:pPr>
      <w:r>
        <w:rPr>
          <w:rFonts w:ascii="Times New Roman" w:hAnsi="Times New Roman"/>
          <w:color w:val="auto"/>
          <w:szCs w:val="21"/>
        </w:rPr>
        <w:t>（3）取样后的样品应当填写和粘贴标签，标签内容包括并不限于工程名称、孔号、样品编号、取样深度、样品名称、取样日期、取样人姓名、施工机组等。</w:t>
      </w:r>
    </w:p>
    <w:p>
      <w:pPr>
        <w:spacing w:line="360" w:lineRule="auto"/>
        <w:ind w:firstLine="422" w:firstLineChars="200"/>
        <w:rPr>
          <w:rFonts w:ascii="Times New Roman" w:hAnsi="Times New Roman"/>
          <w:b/>
          <w:color w:val="auto"/>
          <w:szCs w:val="21"/>
        </w:rPr>
      </w:pPr>
      <w:r>
        <w:rPr>
          <w:rFonts w:ascii="Times New Roman" w:hAnsi="Times New Roman"/>
          <w:b/>
          <w:color w:val="auto"/>
          <w:szCs w:val="21"/>
        </w:rPr>
        <w:t>5.4.4 试验</w:t>
      </w:r>
    </w:p>
    <w:p>
      <w:pPr>
        <w:spacing w:line="360" w:lineRule="auto"/>
        <w:ind w:firstLine="420" w:firstLineChars="200"/>
        <w:rPr>
          <w:rFonts w:ascii="Times New Roman" w:hAnsi="Times New Roman"/>
          <w:color w:val="auto"/>
          <w:szCs w:val="21"/>
        </w:rPr>
      </w:pPr>
      <w:r>
        <w:rPr>
          <w:rFonts w:ascii="Times New Roman" w:hAnsi="Times New Roman"/>
          <w:color w:val="auto"/>
          <w:szCs w:val="21"/>
        </w:rPr>
        <w:t>（1）勘察人应当根据岩土条件、设计要求、勘察经验和测试方法特点，选用合适的原位测试方法和勘察设备进行原位测试。原位测试成果应与室内试验数据进行对比分析，检验其可靠性。</w:t>
      </w:r>
    </w:p>
    <w:p>
      <w:pPr>
        <w:spacing w:line="360" w:lineRule="auto"/>
        <w:ind w:firstLine="420" w:firstLineChars="200"/>
        <w:rPr>
          <w:rFonts w:ascii="Times New Roman" w:hAnsi="Times New Roman"/>
          <w:color w:val="auto"/>
          <w:szCs w:val="21"/>
        </w:rPr>
      </w:pPr>
      <w:r>
        <w:rPr>
          <w:rFonts w:ascii="Times New Roman" w:hAnsi="Times New Roman"/>
          <w:color w:val="auto"/>
          <w:szCs w:val="21"/>
        </w:rPr>
        <w:t>（2）勘察人的试验室应当通过行业管理部门认可的CMA计量认证，具有相应的资格证书、试验人员和试验条件，否则应当委托第三方试验室进行室内试验。</w:t>
      </w:r>
    </w:p>
    <w:p>
      <w:pPr>
        <w:spacing w:line="360" w:lineRule="auto"/>
        <w:ind w:firstLine="420" w:firstLineChars="200"/>
        <w:rPr>
          <w:rFonts w:ascii="Times New Roman" w:hAnsi="Times New Roman"/>
          <w:color w:val="auto"/>
          <w:szCs w:val="21"/>
        </w:rPr>
      </w:pPr>
      <w:r>
        <w:rPr>
          <w:rFonts w:ascii="Times New Roman" w:hAnsi="Times New Roman"/>
          <w:color w:val="auto"/>
          <w:szCs w:val="21"/>
        </w:rPr>
        <w:t>（3）勘察人应在试验之前按照要求清点样品数目，认定取样质量及数量是否满足试验需要；勘察设备应当检定合格，性能参数满足试验要求，严格按照规范标准的相应规定进行试验操作；试验之后应在有效期内保留备样，以备复核试验成果之用，并按规范标准规定处理余土和废液，符合环境保护、健康卫生等要求。</w:t>
      </w:r>
    </w:p>
    <w:p>
      <w:pPr>
        <w:spacing w:line="360" w:lineRule="auto"/>
        <w:ind w:firstLine="420" w:firstLineChars="200"/>
        <w:rPr>
          <w:rFonts w:ascii="Times New Roman" w:hAnsi="Times New Roman"/>
          <w:color w:val="auto"/>
          <w:szCs w:val="21"/>
        </w:rPr>
      </w:pPr>
      <w:r>
        <w:rPr>
          <w:rFonts w:ascii="Times New Roman" w:hAnsi="Times New Roman"/>
          <w:color w:val="auto"/>
          <w:szCs w:val="21"/>
        </w:rPr>
        <w:t>（4）试验报告的格式应当符合CMA计量认证体系要求，加盖CMA章并由试验负责人签字确认；试验负责人应当通过计量认证考核，并由项目负责人授权许可。</w:t>
      </w:r>
    </w:p>
    <w:p>
      <w:pPr>
        <w:pStyle w:val="6"/>
        <w:spacing w:line="240" w:lineRule="auto"/>
        <w:ind w:firstLine="137"/>
        <w:rPr>
          <w:rFonts w:ascii="Times New Roman" w:hAnsi="Times New Roman"/>
          <w:color w:val="auto"/>
        </w:rPr>
      </w:pPr>
      <w:bookmarkStart w:id="369" w:name="_Toc482188585"/>
      <w:bookmarkStart w:id="370" w:name="_Toc492300874"/>
      <w:r>
        <w:rPr>
          <w:rFonts w:ascii="Times New Roman" w:hAnsi="Times New Roman"/>
          <w:color w:val="auto"/>
        </w:rPr>
        <w:t xml:space="preserve">5.5 </w:t>
      </w:r>
      <w:r>
        <w:rPr>
          <w:rFonts w:hint="eastAsia" w:ascii="Times New Roman" w:hAnsi="Times New Roman"/>
          <w:color w:val="auto"/>
        </w:rPr>
        <w:t>勘察设备要求</w:t>
      </w:r>
      <w:bookmarkEnd w:id="369"/>
      <w:bookmarkEnd w:id="370"/>
    </w:p>
    <w:p>
      <w:pPr>
        <w:spacing w:line="360" w:lineRule="auto"/>
        <w:ind w:firstLine="420" w:firstLineChars="200"/>
        <w:rPr>
          <w:rFonts w:ascii="Times New Roman" w:hAnsi="Times New Roman"/>
          <w:color w:val="auto"/>
        </w:rPr>
      </w:pPr>
      <w:r>
        <w:rPr>
          <w:rFonts w:ascii="Times New Roman" w:hAnsi="Times New Roman"/>
          <w:color w:val="auto"/>
        </w:rPr>
        <w:t>5.5.1 勘察人应按合同进度计划的要求，及时配置勘察设备进行作业。勘察人更换合</w:t>
      </w:r>
      <w:bookmarkStart w:id="371" w:name="_Toc300835090"/>
      <w:bookmarkStart w:id="372" w:name="_Toc247527691"/>
      <w:bookmarkStart w:id="373" w:name="_Toc247514090"/>
      <w:r>
        <w:rPr>
          <w:rFonts w:ascii="Times New Roman" w:hAnsi="Times New Roman"/>
          <w:color w:val="auto"/>
        </w:rPr>
        <w:t>同约定的勘察设备的，应报发包人批准。</w:t>
      </w:r>
    </w:p>
    <w:p>
      <w:pPr>
        <w:spacing w:line="360" w:lineRule="auto"/>
        <w:ind w:firstLine="420" w:firstLineChars="200"/>
        <w:rPr>
          <w:rFonts w:ascii="Times New Roman" w:hAnsi="Times New Roman"/>
          <w:color w:val="auto"/>
        </w:rPr>
      </w:pPr>
      <w:r>
        <w:rPr>
          <w:rFonts w:ascii="Times New Roman" w:hAnsi="Times New Roman"/>
          <w:color w:val="auto"/>
        </w:rPr>
        <w:t>5.5.2 勘察人应当按照规范要求，及时维修、保养或更换勘察设备，包括并不限于钻机、触探仪、全站仪、水准仪、探测仪、测井平台、天平、固结仪、振筛机、干燥箱、直剪仪、收缩仪、膨胀仪、渗透仪等，保证勘察设备能够随时进场使用。</w:t>
      </w:r>
    </w:p>
    <w:p>
      <w:pPr>
        <w:spacing w:line="360" w:lineRule="auto"/>
        <w:ind w:firstLine="420" w:firstLineChars="200"/>
        <w:rPr>
          <w:rFonts w:ascii="Times New Roman" w:hAnsi="Times New Roman"/>
          <w:color w:val="auto"/>
        </w:rPr>
      </w:pPr>
      <w:r>
        <w:rPr>
          <w:rFonts w:ascii="Times New Roman" w:hAnsi="Times New Roman"/>
          <w:color w:val="auto"/>
        </w:rPr>
        <w:t>5.5.3 勘察人使用的勘察设备不能满足合同进度计划和（或）质量要求时，发包人有权要求勘察人增加或更换勘察设备，勘察人应及时增加或更换，由此增加的费用和（或）周期延误由勘察人自行承担。</w:t>
      </w:r>
    </w:p>
    <w:p>
      <w:pPr>
        <w:pStyle w:val="6"/>
        <w:spacing w:line="240" w:lineRule="auto"/>
        <w:ind w:firstLine="137"/>
        <w:rPr>
          <w:rFonts w:ascii="Times New Roman" w:hAnsi="Times New Roman"/>
          <w:color w:val="auto"/>
        </w:rPr>
      </w:pPr>
      <w:bookmarkStart w:id="374" w:name="_Toc492300875"/>
      <w:bookmarkStart w:id="375" w:name="_Toc482188586"/>
      <w:r>
        <w:rPr>
          <w:rFonts w:ascii="Times New Roman" w:hAnsi="Times New Roman"/>
          <w:color w:val="auto"/>
        </w:rPr>
        <w:t xml:space="preserve">5.6 </w:t>
      </w:r>
      <w:r>
        <w:rPr>
          <w:rFonts w:hint="eastAsia" w:ascii="Times New Roman" w:hAnsi="Times New Roman"/>
          <w:color w:val="auto"/>
        </w:rPr>
        <w:t>临时占地和设施要求</w:t>
      </w:r>
      <w:bookmarkEnd w:id="374"/>
      <w:bookmarkEnd w:id="375"/>
    </w:p>
    <w:p>
      <w:pPr>
        <w:spacing w:line="360" w:lineRule="auto"/>
        <w:ind w:firstLine="420" w:firstLineChars="200"/>
        <w:rPr>
          <w:rFonts w:ascii="Times New Roman" w:hAnsi="Times New Roman"/>
          <w:color w:val="auto"/>
        </w:rPr>
      </w:pPr>
      <w:r>
        <w:rPr>
          <w:rFonts w:ascii="Times New Roman" w:hAnsi="Times New Roman"/>
          <w:color w:val="auto"/>
        </w:rPr>
        <w:t>5.6.1 勘察人应当根据勘察服务方案制订临时占地计划，报请发包人批准</w:t>
      </w:r>
      <w:bookmarkEnd w:id="371"/>
      <w:bookmarkEnd w:id="372"/>
      <w:bookmarkEnd w:id="373"/>
      <w:bookmarkStart w:id="376" w:name="_Toc184635103"/>
      <w:bookmarkStart w:id="377" w:name="_Toc300835092"/>
      <w:bookmarkStart w:id="378" w:name="_Toc247527692"/>
      <w:bookmarkStart w:id="379" w:name="_Toc247514091"/>
      <w:r>
        <w:rPr>
          <w:rFonts w:ascii="Times New Roman" w:hAnsi="Times New Roman"/>
          <w:color w:val="auto"/>
        </w:rPr>
        <w:t>。</w:t>
      </w:r>
    </w:p>
    <w:p>
      <w:pPr>
        <w:spacing w:line="360" w:lineRule="auto"/>
        <w:ind w:firstLine="420" w:firstLineChars="200"/>
        <w:rPr>
          <w:rFonts w:ascii="Times New Roman" w:hAnsi="Times New Roman"/>
          <w:color w:val="auto"/>
        </w:rPr>
      </w:pPr>
      <w:r>
        <w:rPr>
          <w:rFonts w:ascii="Times New Roman" w:hAnsi="Times New Roman"/>
          <w:color w:val="auto"/>
        </w:rPr>
        <w:t>5.6.2 位于本工</w:t>
      </w:r>
      <w:bookmarkEnd w:id="376"/>
      <w:bookmarkEnd w:id="377"/>
      <w:bookmarkEnd w:id="378"/>
      <w:bookmarkEnd w:id="379"/>
      <w:r>
        <w:rPr>
          <w:rFonts w:ascii="Times New Roman" w:hAnsi="Times New Roman"/>
          <w:color w:val="auto"/>
        </w:rPr>
        <w:t>程</w:t>
      </w:r>
      <w:bookmarkStart w:id="380" w:name="_Toc247514092"/>
      <w:bookmarkStart w:id="381" w:name="_Toc247527693"/>
      <w:bookmarkStart w:id="382" w:name="_Toc300835093"/>
      <w:r>
        <w:rPr>
          <w:rFonts w:ascii="Times New Roman" w:hAnsi="Times New Roman"/>
          <w:color w:val="auto"/>
        </w:rPr>
        <w:t>区域内的</w:t>
      </w:r>
      <w:bookmarkEnd w:id="380"/>
      <w:bookmarkEnd w:id="381"/>
      <w:bookmarkEnd w:id="382"/>
      <w:r>
        <w:rPr>
          <w:rFonts w:ascii="Times New Roman" w:hAnsi="Times New Roman"/>
          <w:color w:val="auto"/>
        </w:rPr>
        <w:t>临时占地，由发包人协调提供。位于道路、绿化或者其他市政设施内的临时占地，由勘察人向行政管理部门报建申请，按照要求制定占地施工方案，并据此实施。</w:t>
      </w:r>
    </w:p>
    <w:p>
      <w:pPr>
        <w:spacing w:line="360" w:lineRule="auto"/>
        <w:ind w:firstLine="420" w:firstLineChars="200"/>
        <w:rPr>
          <w:rFonts w:ascii="Times New Roman" w:hAnsi="Times New Roman"/>
          <w:color w:val="auto"/>
          <w:szCs w:val="21"/>
        </w:rPr>
      </w:pPr>
      <w:r>
        <w:rPr>
          <w:rFonts w:ascii="Times New Roman" w:hAnsi="Times New Roman"/>
          <w:color w:val="auto"/>
          <w:szCs w:val="21"/>
        </w:rPr>
        <w:t>5.6.3 临时占地使用完毕后，勘察人应当按照发包人要求或行政管理部门规定恢复临时占地。如果恢复或清理标准不能满足要求的，发包人有权委托他人代为恢复或清理，由此发生的费用从拟支付给勘察人的勘察费用中扣除。</w:t>
      </w:r>
    </w:p>
    <w:p>
      <w:pPr>
        <w:spacing w:line="360" w:lineRule="auto"/>
        <w:ind w:firstLine="420" w:firstLineChars="200"/>
        <w:rPr>
          <w:rFonts w:ascii="Times New Roman" w:hAnsi="Times New Roman"/>
          <w:color w:val="auto"/>
          <w:szCs w:val="21"/>
        </w:rPr>
      </w:pPr>
      <w:r>
        <w:rPr>
          <w:rFonts w:ascii="Times New Roman" w:hAnsi="Times New Roman"/>
          <w:color w:val="auto"/>
        </w:rPr>
        <w:t>5.6.4 勘察人应当配备或搭设足够的临时设施，保证勘探工作能够正常开展。临时设施包括并不限于施工围挡、交通</w:t>
      </w:r>
      <w:r>
        <w:rPr>
          <w:rFonts w:ascii="Times New Roman" w:hAnsi="Times New Roman"/>
          <w:color w:val="auto"/>
          <w:szCs w:val="21"/>
        </w:rPr>
        <w:t>疏导设施、安全防范设施、钻机防护设施、安全文明施工设施、办公生活用房、取样存放场所等。</w:t>
      </w:r>
    </w:p>
    <w:p>
      <w:pPr>
        <w:spacing w:line="360" w:lineRule="auto"/>
        <w:ind w:firstLine="420" w:firstLineChars="200"/>
        <w:rPr>
          <w:rFonts w:ascii="Times New Roman" w:hAnsi="Times New Roman"/>
          <w:color w:val="auto"/>
        </w:rPr>
      </w:pPr>
      <w:r>
        <w:rPr>
          <w:rFonts w:ascii="Times New Roman" w:hAnsi="Times New Roman"/>
          <w:color w:val="auto"/>
          <w:szCs w:val="21"/>
        </w:rPr>
        <w:t>5.6.5 临时设施应当满足规范标准、发包人要求和行政管理部门的规定等。除专用合同条款另有约定外，临时设施的修建、拆除和恢复费用由勘察人自行承担。</w:t>
      </w:r>
    </w:p>
    <w:p>
      <w:pPr>
        <w:pStyle w:val="6"/>
        <w:spacing w:line="240" w:lineRule="auto"/>
        <w:ind w:firstLine="137"/>
        <w:rPr>
          <w:rFonts w:ascii="Times New Roman" w:hAnsi="Times New Roman"/>
          <w:color w:val="auto"/>
        </w:rPr>
      </w:pPr>
      <w:bookmarkStart w:id="383" w:name="_Toc492300876"/>
      <w:bookmarkStart w:id="384" w:name="_Toc482188587"/>
      <w:r>
        <w:rPr>
          <w:rFonts w:ascii="Times New Roman" w:hAnsi="Times New Roman"/>
          <w:color w:val="auto"/>
        </w:rPr>
        <w:t xml:space="preserve">5.7 </w:t>
      </w:r>
      <w:r>
        <w:rPr>
          <w:rFonts w:hint="eastAsia" w:ascii="Times New Roman" w:hAnsi="Times New Roman"/>
          <w:color w:val="auto"/>
        </w:rPr>
        <w:t>安全作业要求</w:t>
      </w:r>
      <w:bookmarkEnd w:id="383"/>
      <w:bookmarkEnd w:id="384"/>
    </w:p>
    <w:p>
      <w:pPr>
        <w:spacing w:line="360" w:lineRule="auto"/>
        <w:ind w:firstLine="420" w:firstLineChars="200"/>
        <w:rPr>
          <w:rFonts w:ascii="Times New Roman" w:hAnsi="Times New Roman"/>
          <w:color w:val="auto"/>
          <w:szCs w:val="21"/>
        </w:rPr>
      </w:pPr>
      <w:r>
        <w:rPr>
          <w:rFonts w:ascii="Times New Roman" w:hAnsi="Times New Roman"/>
          <w:color w:val="auto"/>
        </w:rPr>
        <w:t>5.7.1</w:t>
      </w:r>
      <w:r>
        <w:rPr>
          <w:rFonts w:ascii="Times New Roman" w:hAnsi="Times New Roman"/>
          <w:color w:val="auto"/>
          <w:szCs w:val="21"/>
        </w:rPr>
        <w:t xml:space="preserve"> 勘察人应按合同约定履行安全职责，执行发包人有关安全工作的指示，并在专用合同条</w:t>
      </w:r>
      <w:bookmarkStart w:id="385" w:name="_Toc247527711"/>
      <w:bookmarkStart w:id="386" w:name="_Toc247514110"/>
      <w:bookmarkStart w:id="387" w:name="_Toc300835113"/>
      <w:r>
        <w:rPr>
          <w:rFonts w:ascii="Times New Roman" w:hAnsi="Times New Roman"/>
          <w:color w:val="auto"/>
          <w:szCs w:val="21"/>
        </w:rPr>
        <w:t>款约定的期限内，按合同约</w:t>
      </w:r>
      <w:bookmarkEnd w:id="385"/>
      <w:bookmarkEnd w:id="386"/>
      <w:bookmarkEnd w:id="387"/>
      <w:r>
        <w:rPr>
          <w:rFonts w:ascii="Times New Roman" w:hAnsi="Times New Roman"/>
          <w:color w:val="auto"/>
          <w:szCs w:val="21"/>
        </w:rPr>
        <w:t>定的安全工作内容，编制安全措施计划报送发包人批准。</w:t>
      </w:r>
    </w:p>
    <w:p>
      <w:pPr>
        <w:spacing w:line="360" w:lineRule="auto"/>
        <w:ind w:firstLine="420" w:firstLineChars="200"/>
        <w:rPr>
          <w:rFonts w:ascii="Times New Roman" w:hAnsi="Times New Roman"/>
          <w:color w:val="auto"/>
          <w:szCs w:val="21"/>
        </w:rPr>
      </w:pPr>
      <w:r>
        <w:rPr>
          <w:rFonts w:ascii="Times New Roman" w:hAnsi="Times New Roman"/>
          <w:color w:val="auto"/>
        </w:rPr>
        <w:t>5.7.2</w:t>
      </w:r>
      <w:r>
        <w:rPr>
          <w:rFonts w:ascii="Times New Roman" w:hAnsi="Times New Roman"/>
          <w:color w:val="auto"/>
          <w:szCs w:val="21"/>
        </w:rPr>
        <w:t xml:space="preserve"> 勘察人应当严格执行操作规程，采取有效措施保证道路、桥梁、交通安全设施、</w:t>
      </w:r>
      <w:r>
        <w:rPr>
          <w:rFonts w:ascii="Times New Roman" w:hAnsi="Times New Roman"/>
          <w:color w:val="auto"/>
        </w:rPr>
        <w:t>建构筑物、地下管线、架空线和其他周边设施等安全正常地运行。</w:t>
      </w:r>
    </w:p>
    <w:p>
      <w:pPr>
        <w:spacing w:line="360" w:lineRule="auto"/>
        <w:ind w:firstLine="420" w:firstLineChars="200"/>
        <w:rPr>
          <w:rFonts w:ascii="Times New Roman" w:hAnsi="Times New Roman"/>
          <w:color w:val="auto"/>
          <w:szCs w:val="21"/>
        </w:rPr>
      </w:pPr>
      <w:r>
        <w:rPr>
          <w:rFonts w:ascii="Times New Roman" w:hAnsi="Times New Roman"/>
          <w:color w:val="auto"/>
        </w:rPr>
        <w:t>5.7.3</w:t>
      </w:r>
      <w:r>
        <w:rPr>
          <w:rFonts w:ascii="Times New Roman" w:hAnsi="Times New Roman"/>
          <w:color w:val="auto"/>
          <w:szCs w:val="21"/>
        </w:rPr>
        <w:t xml:space="preserve"> 勘察人应当按照法律、法规和工程建设强制性标准进行勘察，加强勘察作业安全管理，特别加强易燃、易爆材料、火工器材、有毒与腐蚀性材料和其他危险品的管理。</w:t>
      </w:r>
    </w:p>
    <w:p>
      <w:pPr>
        <w:spacing w:line="360" w:lineRule="auto"/>
        <w:ind w:firstLine="420" w:firstLineChars="200"/>
        <w:rPr>
          <w:rFonts w:ascii="Times New Roman" w:hAnsi="Times New Roman"/>
          <w:color w:val="auto"/>
          <w:szCs w:val="21"/>
        </w:rPr>
      </w:pPr>
      <w:r>
        <w:rPr>
          <w:rFonts w:ascii="Times New Roman" w:hAnsi="Times New Roman"/>
          <w:color w:val="auto"/>
        </w:rPr>
        <w:t>5.7.4</w:t>
      </w:r>
      <w:r>
        <w:rPr>
          <w:rFonts w:ascii="Times New Roman" w:hAnsi="Times New Roman"/>
          <w:color w:val="auto"/>
          <w:szCs w:val="21"/>
        </w:rPr>
        <w:t xml:space="preserve"> 勘察人应严格按照国家安全标准制定施工安全操作规程，配备必要的安全生产和劳动保护设施，加强对勘察人人员的安全教育，并且发放安全工作手册和劳动保护用具。</w:t>
      </w:r>
    </w:p>
    <w:p>
      <w:pPr>
        <w:spacing w:line="360" w:lineRule="auto"/>
        <w:ind w:firstLine="420" w:firstLineChars="200"/>
        <w:rPr>
          <w:rFonts w:ascii="Times New Roman" w:hAnsi="Times New Roman"/>
          <w:color w:val="auto"/>
          <w:szCs w:val="21"/>
        </w:rPr>
      </w:pPr>
      <w:r>
        <w:rPr>
          <w:rFonts w:ascii="Times New Roman" w:hAnsi="Times New Roman"/>
          <w:color w:val="auto"/>
        </w:rPr>
        <w:t>5.7.</w:t>
      </w:r>
      <w:r>
        <w:rPr>
          <w:rFonts w:ascii="Times New Roman" w:hAnsi="Times New Roman"/>
          <w:color w:val="auto"/>
          <w:szCs w:val="21"/>
        </w:rPr>
        <w:t>5勘察人应按发包人的指示制定应对灾害的紧急预案，报送发包人批准。勘察人还应按预案做好安全检查，配置必要的救助物资和器材，切实保护好有关人员的人身和财产安全。</w:t>
      </w:r>
    </w:p>
    <w:p>
      <w:pPr>
        <w:spacing w:line="360" w:lineRule="auto"/>
        <w:ind w:firstLine="420" w:firstLineChars="200"/>
        <w:rPr>
          <w:rFonts w:ascii="Times New Roman" w:hAnsi="Times New Roman"/>
          <w:color w:val="auto"/>
          <w:szCs w:val="21"/>
        </w:rPr>
      </w:pPr>
      <w:r>
        <w:rPr>
          <w:rFonts w:ascii="Times New Roman" w:hAnsi="Times New Roman"/>
          <w:color w:val="auto"/>
        </w:rPr>
        <w:t>5.7.6</w:t>
      </w:r>
      <w:r>
        <w:rPr>
          <w:rFonts w:ascii="Times New Roman" w:hAnsi="Times New Roman"/>
          <w:color w:val="auto"/>
          <w:szCs w:val="21"/>
        </w:rPr>
        <w:t xml:space="preserve"> 勘察人应对其履行合同所雇佣的全部人员，包括分包人人员的工伤事故承担责任，但由于发包人原因造成勘察人人员工伤事故的，应由发包人承担责任。</w:t>
      </w:r>
    </w:p>
    <w:p>
      <w:pPr>
        <w:spacing w:line="360" w:lineRule="auto"/>
        <w:ind w:firstLine="420" w:firstLineChars="200"/>
        <w:rPr>
          <w:rFonts w:ascii="Times New Roman" w:hAnsi="Times New Roman"/>
          <w:color w:val="auto"/>
          <w:szCs w:val="21"/>
        </w:rPr>
      </w:pPr>
      <w:r>
        <w:rPr>
          <w:rFonts w:ascii="Times New Roman" w:hAnsi="Times New Roman"/>
          <w:color w:val="auto"/>
        </w:rPr>
        <w:t>5.7.7</w:t>
      </w:r>
      <w:r>
        <w:rPr>
          <w:rFonts w:ascii="Times New Roman" w:hAnsi="Times New Roman"/>
          <w:color w:val="auto"/>
          <w:szCs w:val="21"/>
        </w:rPr>
        <w:t xml:space="preserve"> 由于勘察人原因在施工场地内及其毗邻地带造成的第三者人员伤亡和财产损失，由勘察人负责赔偿。</w:t>
      </w:r>
    </w:p>
    <w:p>
      <w:pPr>
        <w:pStyle w:val="6"/>
        <w:spacing w:line="240" w:lineRule="auto"/>
        <w:ind w:firstLine="137"/>
        <w:rPr>
          <w:rFonts w:ascii="Times New Roman" w:hAnsi="Times New Roman"/>
          <w:color w:val="auto"/>
        </w:rPr>
      </w:pPr>
      <w:bookmarkStart w:id="388" w:name="_Toc492300877"/>
      <w:bookmarkStart w:id="389" w:name="_Toc482188588"/>
      <w:r>
        <w:rPr>
          <w:rFonts w:ascii="Times New Roman" w:hAnsi="Times New Roman"/>
          <w:color w:val="auto"/>
        </w:rPr>
        <w:t xml:space="preserve">5.8 </w:t>
      </w:r>
      <w:r>
        <w:rPr>
          <w:rFonts w:hint="eastAsia" w:ascii="Times New Roman" w:hAnsi="Times New Roman"/>
          <w:color w:val="auto"/>
        </w:rPr>
        <w:t>环境保护要求</w:t>
      </w:r>
      <w:bookmarkEnd w:id="388"/>
      <w:bookmarkEnd w:id="389"/>
    </w:p>
    <w:p>
      <w:pPr>
        <w:spacing w:line="360" w:lineRule="auto"/>
        <w:ind w:firstLine="420" w:firstLineChars="200"/>
        <w:rPr>
          <w:rFonts w:ascii="Times New Roman" w:hAnsi="Times New Roman"/>
          <w:color w:val="auto"/>
          <w:szCs w:val="21"/>
        </w:rPr>
      </w:pPr>
      <w:r>
        <w:rPr>
          <w:rFonts w:ascii="Times New Roman" w:hAnsi="Times New Roman"/>
          <w:color w:val="auto"/>
        </w:rPr>
        <w:t>5.8.1</w:t>
      </w:r>
      <w:r>
        <w:rPr>
          <w:rFonts w:ascii="Times New Roman" w:hAnsi="Times New Roman"/>
          <w:color w:val="auto"/>
          <w:szCs w:val="21"/>
        </w:rPr>
        <w:t xml:space="preserve"> 勘察人在履行合同过程中，应遵守有关环境保护的法律，履行合同约定的环境保护义务，并对违</w:t>
      </w:r>
      <w:bookmarkStart w:id="390" w:name="_Toc247527713"/>
      <w:bookmarkStart w:id="391" w:name="_Toc300835115"/>
      <w:bookmarkStart w:id="392" w:name="_Toc247514112"/>
      <w:r>
        <w:rPr>
          <w:rFonts w:ascii="Times New Roman" w:hAnsi="Times New Roman"/>
          <w:color w:val="auto"/>
          <w:szCs w:val="21"/>
        </w:rPr>
        <w:t>反法律和合同约定</w:t>
      </w:r>
      <w:bookmarkEnd w:id="390"/>
      <w:bookmarkEnd w:id="391"/>
      <w:bookmarkEnd w:id="392"/>
      <w:r>
        <w:rPr>
          <w:rFonts w:ascii="Times New Roman" w:hAnsi="Times New Roman"/>
          <w:color w:val="auto"/>
          <w:szCs w:val="21"/>
        </w:rPr>
        <w:t>义务所造成的环境破坏、人身伤害和财产损失负责。</w:t>
      </w:r>
    </w:p>
    <w:p>
      <w:pPr>
        <w:spacing w:line="360" w:lineRule="auto"/>
        <w:ind w:firstLine="420" w:firstLineChars="200"/>
        <w:rPr>
          <w:rFonts w:ascii="Times New Roman" w:hAnsi="Times New Roman"/>
          <w:color w:val="auto"/>
          <w:szCs w:val="21"/>
        </w:rPr>
      </w:pPr>
      <w:r>
        <w:rPr>
          <w:rFonts w:ascii="Times New Roman" w:hAnsi="Times New Roman"/>
          <w:color w:val="auto"/>
        </w:rPr>
        <w:t>5.8.2</w:t>
      </w:r>
      <w:r>
        <w:rPr>
          <w:rFonts w:ascii="Times New Roman" w:hAnsi="Times New Roman"/>
          <w:color w:val="auto"/>
          <w:szCs w:val="21"/>
        </w:rPr>
        <w:t xml:space="preserve"> 勘察人应按合同约定的环保工作内容，编制环保措施计划，报送发包人批准。</w:t>
      </w:r>
    </w:p>
    <w:p>
      <w:pPr>
        <w:spacing w:line="360" w:lineRule="auto"/>
        <w:ind w:firstLine="420" w:firstLineChars="200"/>
        <w:rPr>
          <w:rFonts w:ascii="Times New Roman" w:hAnsi="Times New Roman"/>
          <w:color w:val="auto"/>
          <w:szCs w:val="21"/>
        </w:rPr>
      </w:pPr>
      <w:r>
        <w:rPr>
          <w:rFonts w:ascii="Times New Roman" w:hAnsi="Times New Roman"/>
          <w:color w:val="auto"/>
        </w:rPr>
        <w:t xml:space="preserve">5.8.3 </w:t>
      </w:r>
      <w:r>
        <w:rPr>
          <w:rFonts w:ascii="Times New Roman" w:hAnsi="Times New Roman"/>
          <w:color w:val="auto"/>
          <w:szCs w:val="21"/>
        </w:rPr>
        <w:t>勘察人应确保勘探过程中产生的气体排放物、</w:t>
      </w:r>
      <w:r>
        <w:rPr>
          <w:rFonts w:ascii="Times New Roman" w:hAnsi="Times New Roman"/>
          <w:color w:val="auto"/>
        </w:rPr>
        <w:t>粉尘、噪声、</w:t>
      </w:r>
      <w:r>
        <w:rPr>
          <w:rFonts w:ascii="Times New Roman" w:hAnsi="Times New Roman"/>
          <w:color w:val="auto"/>
          <w:szCs w:val="21"/>
        </w:rPr>
        <w:t>地面排水及排污等，符合法律规定和发包人要求。</w:t>
      </w:r>
    </w:p>
    <w:p>
      <w:pPr>
        <w:pStyle w:val="6"/>
        <w:spacing w:line="240" w:lineRule="auto"/>
        <w:ind w:firstLine="137"/>
        <w:rPr>
          <w:rFonts w:ascii="Times New Roman" w:hAnsi="Times New Roman"/>
          <w:color w:val="auto"/>
        </w:rPr>
      </w:pPr>
      <w:bookmarkStart w:id="393" w:name="_Toc492300878"/>
      <w:bookmarkStart w:id="394" w:name="_Toc482188589"/>
      <w:r>
        <w:rPr>
          <w:rFonts w:ascii="Times New Roman" w:hAnsi="Times New Roman"/>
          <w:color w:val="auto"/>
        </w:rPr>
        <w:t xml:space="preserve">5.9 </w:t>
      </w:r>
      <w:r>
        <w:rPr>
          <w:rFonts w:hint="eastAsia" w:ascii="Times New Roman" w:hAnsi="Times New Roman"/>
          <w:color w:val="auto"/>
        </w:rPr>
        <w:t>事故处理要求</w:t>
      </w:r>
      <w:bookmarkEnd w:id="393"/>
      <w:bookmarkEnd w:id="394"/>
    </w:p>
    <w:p>
      <w:pPr>
        <w:spacing w:line="360" w:lineRule="auto"/>
        <w:ind w:firstLine="420" w:firstLineChars="200"/>
        <w:rPr>
          <w:rFonts w:ascii="Times New Roman" w:hAnsi="Times New Roman"/>
          <w:color w:val="auto"/>
          <w:szCs w:val="21"/>
        </w:rPr>
      </w:pPr>
      <w:r>
        <w:rPr>
          <w:rFonts w:ascii="Times New Roman" w:hAnsi="Times New Roman"/>
          <w:color w:val="auto"/>
          <w:szCs w:val="21"/>
        </w:rPr>
        <w:t>5.9.1 合同履行过程中发生事故的，勘察人应立即通知发包人。</w:t>
      </w:r>
    </w:p>
    <w:p>
      <w:pPr>
        <w:spacing w:line="360" w:lineRule="auto"/>
        <w:ind w:firstLine="420" w:firstLineChars="200"/>
        <w:rPr>
          <w:rFonts w:ascii="Times New Roman" w:hAnsi="Times New Roman"/>
          <w:color w:val="auto"/>
          <w:szCs w:val="21"/>
        </w:rPr>
      </w:pPr>
      <w:r>
        <w:rPr>
          <w:rFonts w:ascii="Times New Roman" w:hAnsi="Times New Roman"/>
          <w:color w:val="auto"/>
          <w:szCs w:val="21"/>
        </w:rPr>
        <w:t>5.9.2 发包人和勘察人应立即组织人员和设备进行紧急抢救</w:t>
      </w:r>
      <w:bookmarkStart w:id="395" w:name="_Toc247527714"/>
      <w:bookmarkStart w:id="396" w:name="_Toc300835116"/>
      <w:bookmarkStart w:id="397" w:name="_Toc247514113"/>
      <w:r>
        <w:rPr>
          <w:rFonts w:ascii="Times New Roman" w:hAnsi="Times New Roman"/>
          <w:color w:val="auto"/>
          <w:szCs w:val="21"/>
        </w:rPr>
        <w:t>和抢修，减少人员</w:t>
      </w:r>
      <w:bookmarkEnd w:id="395"/>
      <w:bookmarkEnd w:id="396"/>
      <w:bookmarkEnd w:id="397"/>
      <w:r>
        <w:rPr>
          <w:rFonts w:ascii="Times New Roman" w:hAnsi="Times New Roman"/>
          <w:color w:val="auto"/>
          <w:szCs w:val="21"/>
        </w:rPr>
        <w:t>伤亡和财产损失，防止事故扩大，并保护事故现场。需要移动现场物品时，应作出标记和书面记录，妥善保管有关证据。发包人和勘察人应按国家有关规定，及时如实地向有关部门报告事故发生的情况，以及正在采取的紧急措施等。</w:t>
      </w:r>
    </w:p>
    <w:p>
      <w:pPr>
        <w:pStyle w:val="6"/>
        <w:spacing w:line="240" w:lineRule="auto"/>
        <w:ind w:firstLine="137"/>
        <w:rPr>
          <w:rFonts w:ascii="Times New Roman" w:hAnsi="Times New Roman"/>
          <w:color w:val="auto"/>
        </w:rPr>
      </w:pPr>
      <w:bookmarkStart w:id="398" w:name="_Toc492300879"/>
      <w:bookmarkStart w:id="399" w:name="_Toc482188590"/>
      <w:r>
        <w:rPr>
          <w:rFonts w:ascii="Times New Roman" w:hAnsi="Times New Roman"/>
          <w:color w:val="auto"/>
        </w:rPr>
        <w:t xml:space="preserve">5.10 </w:t>
      </w:r>
      <w:r>
        <w:rPr>
          <w:rFonts w:hint="eastAsia" w:ascii="Times New Roman" w:hAnsi="Times New Roman"/>
          <w:color w:val="auto"/>
        </w:rPr>
        <w:t>勘察文件要求</w:t>
      </w:r>
      <w:bookmarkEnd w:id="398"/>
      <w:bookmarkEnd w:id="399"/>
    </w:p>
    <w:p>
      <w:pPr>
        <w:spacing w:line="360" w:lineRule="auto"/>
        <w:ind w:firstLine="420" w:firstLineChars="200"/>
        <w:rPr>
          <w:rFonts w:ascii="Times New Roman" w:hAnsi="Times New Roman"/>
          <w:color w:val="auto"/>
          <w:szCs w:val="21"/>
        </w:rPr>
      </w:pPr>
      <w:r>
        <w:rPr>
          <w:rFonts w:ascii="Times New Roman" w:hAnsi="Times New Roman"/>
          <w:color w:val="auto"/>
          <w:szCs w:val="21"/>
        </w:rPr>
        <w:t>5.10.1 勘察文件的编制应符合法律法规、规范标准的强制性规定和发包人要求，相关勘察依据应完整、准确、可靠，勘察方案论证充分，计算成果规范可靠，并能够实施。</w:t>
      </w:r>
    </w:p>
    <w:p>
      <w:pPr>
        <w:spacing w:line="360" w:lineRule="auto"/>
        <w:ind w:firstLine="420" w:firstLineChars="200"/>
        <w:rPr>
          <w:rFonts w:ascii="Times New Roman" w:hAnsi="Times New Roman"/>
          <w:color w:val="auto"/>
          <w:szCs w:val="21"/>
        </w:rPr>
      </w:pPr>
      <w:r>
        <w:rPr>
          <w:rFonts w:ascii="Times New Roman" w:hAnsi="Times New Roman"/>
          <w:color w:val="auto"/>
          <w:szCs w:val="21"/>
        </w:rPr>
        <w:t>5.10.2 勘察文件的深度应满足本合同相应勘察阶段的规定要求，满足发包人的下步工作需要，并应符合国家和行业现行规定。</w:t>
      </w:r>
    </w:p>
    <w:p>
      <w:pPr>
        <w:pStyle w:val="5"/>
        <w:rPr>
          <w:rFonts w:ascii="Times New Roman" w:hAnsi="Times New Roman"/>
          <w:color w:val="auto"/>
        </w:rPr>
      </w:pPr>
      <w:bookmarkStart w:id="400" w:name="_Toc492300880"/>
      <w:bookmarkStart w:id="401" w:name="_Toc482188591"/>
      <w:r>
        <w:rPr>
          <w:rFonts w:ascii="Times New Roman" w:hAnsi="Times New Roman"/>
          <w:color w:val="auto"/>
        </w:rPr>
        <w:t>6. 开始勘察和完成勘察</w:t>
      </w:r>
      <w:bookmarkEnd w:id="400"/>
      <w:bookmarkEnd w:id="401"/>
    </w:p>
    <w:p>
      <w:pPr>
        <w:pStyle w:val="6"/>
        <w:spacing w:line="240" w:lineRule="auto"/>
        <w:ind w:firstLine="137"/>
        <w:rPr>
          <w:rFonts w:ascii="Times New Roman" w:hAnsi="Times New Roman"/>
          <w:color w:val="auto"/>
        </w:rPr>
      </w:pPr>
      <w:bookmarkStart w:id="402" w:name="_Toc492300881"/>
      <w:bookmarkStart w:id="403" w:name="_Toc482188592"/>
      <w:r>
        <w:rPr>
          <w:rFonts w:ascii="Times New Roman" w:hAnsi="Times New Roman"/>
          <w:color w:val="auto"/>
        </w:rPr>
        <w:t xml:space="preserve">6.1 </w:t>
      </w:r>
      <w:r>
        <w:rPr>
          <w:rFonts w:hint="eastAsia" w:ascii="Times New Roman" w:hAnsi="Times New Roman"/>
          <w:color w:val="auto"/>
        </w:rPr>
        <w:t>开始勘察</w:t>
      </w:r>
      <w:bookmarkEnd w:id="402"/>
      <w:bookmarkEnd w:id="403"/>
    </w:p>
    <w:p>
      <w:pPr>
        <w:spacing w:line="360" w:lineRule="auto"/>
        <w:ind w:firstLine="420" w:firstLineChars="200"/>
        <w:rPr>
          <w:rFonts w:ascii="Times New Roman" w:hAnsi="Times New Roman"/>
          <w:color w:val="auto"/>
          <w:szCs w:val="21"/>
        </w:rPr>
      </w:pPr>
      <w:r>
        <w:rPr>
          <w:rFonts w:ascii="Times New Roman" w:hAnsi="Times New Roman"/>
          <w:color w:val="auto"/>
          <w:szCs w:val="21"/>
        </w:rPr>
        <w:t>6.1.1符合专用合同条款约定的开始勘察条件的，发包人应提前7</w:t>
      </w:r>
      <w:bookmarkStart w:id="404" w:name="_Toc247514114"/>
      <w:bookmarkStart w:id="405" w:name="_Toc247527715"/>
      <w:bookmarkStart w:id="406" w:name="_Toc300835117"/>
      <w:bookmarkStart w:id="407" w:name="_Toc184635108"/>
      <w:r>
        <w:rPr>
          <w:rFonts w:ascii="Times New Roman" w:hAnsi="Times New Roman"/>
          <w:color w:val="auto"/>
          <w:szCs w:val="21"/>
        </w:rPr>
        <w:t>天向勘察人发出开始</w:t>
      </w:r>
      <w:bookmarkEnd w:id="404"/>
      <w:bookmarkEnd w:id="405"/>
      <w:bookmarkEnd w:id="406"/>
      <w:bookmarkEnd w:id="407"/>
      <w:r>
        <w:rPr>
          <w:rFonts w:ascii="Times New Roman" w:hAnsi="Times New Roman"/>
          <w:color w:val="auto"/>
          <w:szCs w:val="21"/>
        </w:rPr>
        <w:t>勘察通知。</w:t>
      </w:r>
      <w:bookmarkStart w:id="408" w:name="_Toc300835118"/>
      <w:bookmarkStart w:id="409" w:name="_Toc247514115"/>
      <w:bookmarkStart w:id="410" w:name="_Toc247527716"/>
      <w:bookmarkStart w:id="411" w:name="_Toc247514117"/>
      <w:bookmarkStart w:id="412" w:name="_Toc247527718"/>
      <w:bookmarkStart w:id="413" w:name="_Toc300835120"/>
      <w:r>
        <w:rPr>
          <w:rFonts w:ascii="Times New Roman" w:hAnsi="Times New Roman"/>
          <w:color w:val="auto"/>
          <w:szCs w:val="21"/>
        </w:rPr>
        <w:t>勘察服务期限自开始</w:t>
      </w:r>
      <w:bookmarkEnd w:id="408"/>
      <w:bookmarkEnd w:id="409"/>
      <w:bookmarkEnd w:id="410"/>
      <w:r>
        <w:rPr>
          <w:rFonts w:ascii="Times New Roman" w:hAnsi="Times New Roman"/>
          <w:color w:val="auto"/>
          <w:szCs w:val="21"/>
        </w:rPr>
        <w:t>勘察通知中载明的开始勘察日期起计算。</w:t>
      </w:r>
    </w:p>
    <w:p>
      <w:pPr>
        <w:spacing w:line="360" w:lineRule="auto"/>
        <w:ind w:firstLine="420" w:firstLineChars="200"/>
        <w:rPr>
          <w:rFonts w:ascii="Times New Roman" w:hAnsi="Times New Roman"/>
          <w:color w:val="auto"/>
          <w:szCs w:val="21"/>
        </w:rPr>
      </w:pPr>
      <w:r>
        <w:rPr>
          <w:rFonts w:ascii="Times New Roman" w:hAnsi="Times New Roman"/>
          <w:color w:val="auto"/>
          <w:szCs w:val="21"/>
        </w:rPr>
        <w:t>6.1.2除专用合同条款另有约定外，因发包人原因造成合同签订之日起90天内未能发出开始勘察通知的，勘察人有权提出价格调整要求，或者解除合同。发包人应当承担由此增加的费用和（或）周期延误。</w:t>
      </w:r>
    </w:p>
    <w:p>
      <w:pPr>
        <w:pStyle w:val="6"/>
        <w:spacing w:line="240" w:lineRule="auto"/>
        <w:ind w:firstLine="137"/>
        <w:rPr>
          <w:rFonts w:ascii="Times New Roman" w:hAnsi="Times New Roman"/>
          <w:color w:val="auto"/>
        </w:rPr>
      </w:pPr>
      <w:bookmarkStart w:id="414" w:name="_Toc492300882"/>
      <w:bookmarkStart w:id="415" w:name="_Toc482188593"/>
      <w:r>
        <w:rPr>
          <w:rFonts w:ascii="Times New Roman" w:hAnsi="Times New Roman"/>
          <w:color w:val="auto"/>
        </w:rPr>
        <w:t xml:space="preserve">6.2 </w:t>
      </w:r>
      <w:r>
        <w:rPr>
          <w:rFonts w:hint="eastAsia" w:ascii="Times New Roman" w:hAnsi="Times New Roman"/>
          <w:color w:val="auto"/>
        </w:rPr>
        <w:t>发包人引起的周期延误</w:t>
      </w:r>
      <w:bookmarkEnd w:id="414"/>
      <w:bookmarkEnd w:id="415"/>
    </w:p>
    <w:p>
      <w:pPr>
        <w:spacing w:line="360" w:lineRule="auto"/>
        <w:ind w:firstLine="420" w:firstLineChars="200"/>
        <w:rPr>
          <w:rFonts w:ascii="Times New Roman" w:hAnsi="Times New Roman"/>
          <w:color w:val="auto"/>
          <w:szCs w:val="21"/>
        </w:rPr>
      </w:pPr>
      <w:r>
        <w:rPr>
          <w:rFonts w:ascii="Times New Roman" w:hAnsi="Times New Roman"/>
          <w:color w:val="auto"/>
          <w:szCs w:val="21"/>
        </w:rPr>
        <w:t>在履行合同过程中，由于发包人的下列原因造成勘察服务期限延误的，发包人应当延长勘察服务期限并增加勘察费用，具体方法</w:t>
      </w:r>
      <w:r>
        <w:rPr>
          <w:rFonts w:ascii="Times New Roman" w:hAnsi="Times New Roman"/>
          <w:color w:val="auto"/>
          <w:kern w:val="0"/>
          <w:szCs w:val="21"/>
        </w:rPr>
        <w:t>在专用合同条款中约定</w:t>
      </w:r>
      <w:r>
        <w:rPr>
          <w:rFonts w:ascii="Times New Roman" w:hAnsi="Times New Roman"/>
          <w:color w:val="auto"/>
          <w:szCs w:val="21"/>
        </w:rPr>
        <w:t>。</w:t>
      </w:r>
      <w:bookmarkEnd w:id="411"/>
      <w:bookmarkEnd w:id="412"/>
      <w:bookmarkEnd w:id="413"/>
    </w:p>
    <w:p>
      <w:pPr>
        <w:spacing w:line="360" w:lineRule="auto"/>
        <w:ind w:firstLine="420" w:firstLineChars="200"/>
        <w:rPr>
          <w:rFonts w:ascii="Times New Roman" w:hAnsi="Times New Roman"/>
          <w:color w:val="auto"/>
        </w:rPr>
      </w:pPr>
      <w:r>
        <w:rPr>
          <w:rFonts w:ascii="Times New Roman" w:hAnsi="Times New Roman"/>
          <w:color w:val="auto"/>
        </w:rPr>
        <w:t>（1）合同变更；</w:t>
      </w:r>
    </w:p>
    <w:p>
      <w:pPr>
        <w:spacing w:line="360" w:lineRule="auto"/>
        <w:ind w:firstLine="420" w:firstLineChars="200"/>
        <w:rPr>
          <w:rFonts w:ascii="Times New Roman" w:hAnsi="Times New Roman"/>
          <w:color w:val="auto"/>
        </w:rPr>
      </w:pPr>
      <w:r>
        <w:rPr>
          <w:rFonts w:ascii="Times New Roman" w:hAnsi="Times New Roman"/>
          <w:color w:val="auto"/>
        </w:rPr>
        <w:t>（2）未按合同约定期限及时答复勘察事项；</w:t>
      </w:r>
    </w:p>
    <w:p>
      <w:pPr>
        <w:spacing w:line="360" w:lineRule="auto"/>
        <w:ind w:firstLine="420" w:firstLineChars="200"/>
        <w:rPr>
          <w:rFonts w:ascii="Times New Roman" w:hAnsi="Times New Roman"/>
          <w:color w:val="auto"/>
        </w:rPr>
      </w:pPr>
      <w:r>
        <w:rPr>
          <w:rFonts w:ascii="Times New Roman" w:hAnsi="Times New Roman"/>
          <w:color w:val="auto"/>
        </w:rPr>
        <w:t xml:space="preserve">（3）因发包人原因导致的暂停勘察； </w:t>
      </w:r>
    </w:p>
    <w:p>
      <w:pPr>
        <w:spacing w:line="360" w:lineRule="auto"/>
        <w:ind w:firstLine="420" w:firstLineChars="200"/>
        <w:rPr>
          <w:rFonts w:ascii="Times New Roman" w:hAnsi="Times New Roman"/>
          <w:color w:val="auto"/>
        </w:rPr>
      </w:pPr>
      <w:r>
        <w:rPr>
          <w:rFonts w:ascii="Times New Roman" w:hAnsi="Times New Roman"/>
          <w:color w:val="auto"/>
        </w:rPr>
        <w:t>（4）未按合同约定及时支付勘察费用；</w:t>
      </w:r>
    </w:p>
    <w:p>
      <w:pPr>
        <w:spacing w:line="360" w:lineRule="auto"/>
        <w:ind w:firstLine="420" w:firstLineChars="200"/>
        <w:rPr>
          <w:rFonts w:ascii="Times New Roman" w:hAnsi="Times New Roman"/>
          <w:color w:val="auto"/>
        </w:rPr>
      </w:pPr>
      <w:r>
        <w:rPr>
          <w:rFonts w:ascii="Times New Roman" w:hAnsi="Times New Roman"/>
          <w:color w:val="auto"/>
        </w:rPr>
        <w:t>（5）发包人提供的基准资料错误；</w:t>
      </w:r>
    </w:p>
    <w:p>
      <w:pPr>
        <w:spacing w:line="360" w:lineRule="auto"/>
        <w:ind w:firstLine="420" w:firstLineChars="200"/>
        <w:rPr>
          <w:rFonts w:ascii="Times New Roman" w:hAnsi="Times New Roman"/>
          <w:color w:val="auto"/>
        </w:rPr>
      </w:pPr>
      <w:r>
        <w:rPr>
          <w:rFonts w:ascii="Times New Roman" w:hAnsi="Times New Roman"/>
          <w:color w:val="auto"/>
        </w:rPr>
        <w:t>（6）未及时按照履行合同约定的相关义务；</w:t>
      </w:r>
    </w:p>
    <w:p>
      <w:pPr>
        <w:spacing w:line="360" w:lineRule="auto"/>
        <w:ind w:firstLine="420" w:firstLineChars="200"/>
        <w:rPr>
          <w:rFonts w:ascii="Times New Roman" w:hAnsi="Times New Roman"/>
          <w:color w:val="auto"/>
        </w:rPr>
      </w:pPr>
      <w:r>
        <w:rPr>
          <w:rFonts w:ascii="Times New Roman" w:hAnsi="Times New Roman"/>
          <w:color w:val="auto"/>
        </w:rPr>
        <w:t>（7）未能按照合同约定期限对勘察文件进行审查；</w:t>
      </w:r>
    </w:p>
    <w:p>
      <w:pPr>
        <w:spacing w:line="360" w:lineRule="auto"/>
        <w:ind w:firstLine="420" w:firstLineChars="200"/>
        <w:rPr>
          <w:rFonts w:ascii="Times New Roman" w:hAnsi="Times New Roman"/>
          <w:color w:val="auto"/>
          <w:szCs w:val="21"/>
        </w:rPr>
      </w:pPr>
      <w:r>
        <w:rPr>
          <w:rFonts w:ascii="Times New Roman" w:hAnsi="Times New Roman"/>
          <w:color w:val="auto"/>
        </w:rPr>
        <w:t>（8）发包人造成</w:t>
      </w:r>
      <w:r>
        <w:rPr>
          <w:rFonts w:ascii="Times New Roman" w:hAnsi="Times New Roman"/>
          <w:color w:val="auto"/>
          <w:szCs w:val="21"/>
        </w:rPr>
        <w:t>周期延误的其他原因。</w:t>
      </w:r>
    </w:p>
    <w:p>
      <w:pPr>
        <w:pStyle w:val="6"/>
        <w:spacing w:line="240" w:lineRule="auto"/>
        <w:ind w:firstLine="137"/>
        <w:rPr>
          <w:rFonts w:ascii="Times New Roman" w:hAnsi="Times New Roman"/>
          <w:color w:val="auto"/>
        </w:rPr>
      </w:pPr>
      <w:bookmarkStart w:id="416" w:name="_Toc492300883"/>
      <w:bookmarkStart w:id="417" w:name="_Toc482188594"/>
      <w:r>
        <w:rPr>
          <w:rFonts w:ascii="Times New Roman" w:hAnsi="Times New Roman"/>
          <w:color w:val="auto"/>
        </w:rPr>
        <w:t xml:space="preserve">6.3 </w:t>
      </w:r>
      <w:r>
        <w:rPr>
          <w:rFonts w:hint="eastAsia" w:ascii="Times New Roman" w:hAnsi="Times New Roman"/>
          <w:color w:val="auto"/>
        </w:rPr>
        <w:t>非人为因素引起的周期延误</w:t>
      </w:r>
      <w:bookmarkEnd w:id="416"/>
      <w:bookmarkEnd w:id="417"/>
    </w:p>
    <w:p>
      <w:pPr>
        <w:spacing w:line="360" w:lineRule="auto"/>
        <w:ind w:firstLine="420" w:firstLineChars="200"/>
        <w:rPr>
          <w:rFonts w:ascii="Times New Roman" w:hAnsi="Times New Roman"/>
          <w:color w:val="auto"/>
          <w:szCs w:val="21"/>
        </w:rPr>
      </w:pPr>
      <w:r>
        <w:rPr>
          <w:rFonts w:ascii="Times New Roman" w:hAnsi="Times New Roman"/>
          <w:color w:val="auto"/>
          <w:szCs w:val="21"/>
        </w:rPr>
        <w:t>6.3.1 由于出现专用合同条款规定的异常恶劣气候条件、不利物质条件等因素导致周期延误的，勘察人有权要求发包人延长</w:t>
      </w:r>
      <w:bookmarkStart w:id="418" w:name="_Toc247514118"/>
      <w:bookmarkStart w:id="419" w:name="_Toc247527719"/>
      <w:bookmarkStart w:id="420" w:name="_Toc300835121"/>
      <w:r>
        <w:rPr>
          <w:rFonts w:ascii="Times New Roman" w:hAnsi="Times New Roman"/>
          <w:color w:val="auto"/>
          <w:szCs w:val="21"/>
        </w:rPr>
        <w:t>周期和（或）增加费用。</w:t>
      </w:r>
    </w:p>
    <w:p>
      <w:pPr>
        <w:spacing w:line="360" w:lineRule="auto"/>
        <w:ind w:firstLine="420" w:firstLineChars="200"/>
        <w:rPr>
          <w:rFonts w:ascii="Times New Roman" w:hAnsi="Times New Roman"/>
          <w:color w:val="auto"/>
          <w:szCs w:val="21"/>
        </w:rPr>
      </w:pPr>
      <w:r>
        <w:rPr>
          <w:rFonts w:ascii="Times New Roman" w:hAnsi="Times New Roman"/>
          <w:color w:val="auto"/>
          <w:szCs w:val="21"/>
        </w:rPr>
        <w:t>6.3.2 勘察人发现地下文物或化石时，应按规定及时报告发包人和文物部门，并采取有效措施进行保护；勘察人有权要求发包人延长周期和（或）增加费用。</w:t>
      </w:r>
    </w:p>
    <w:bookmarkEnd w:id="418"/>
    <w:bookmarkEnd w:id="419"/>
    <w:bookmarkEnd w:id="420"/>
    <w:p>
      <w:pPr>
        <w:pStyle w:val="6"/>
        <w:spacing w:line="240" w:lineRule="auto"/>
        <w:ind w:firstLine="137"/>
        <w:rPr>
          <w:rFonts w:ascii="Times New Roman" w:hAnsi="Times New Roman"/>
          <w:color w:val="auto"/>
        </w:rPr>
      </w:pPr>
      <w:bookmarkStart w:id="421" w:name="_Toc492300884"/>
      <w:bookmarkStart w:id="422" w:name="_Toc482188595"/>
      <w:r>
        <w:rPr>
          <w:rFonts w:ascii="Times New Roman" w:hAnsi="Times New Roman"/>
          <w:color w:val="auto"/>
        </w:rPr>
        <w:t xml:space="preserve">6.4 </w:t>
      </w:r>
      <w:r>
        <w:rPr>
          <w:rFonts w:hint="eastAsia" w:ascii="Times New Roman" w:hAnsi="Times New Roman"/>
          <w:color w:val="auto"/>
        </w:rPr>
        <w:t>勘察人引起的周期延误</w:t>
      </w:r>
      <w:bookmarkEnd w:id="421"/>
      <w:bookmarkEnd w:id="422"/>
    </w:p>
    <w:p>
      <w:pPr>
        <w:spacing w:line="360" w:lineRule="auto"/>
        <w:ind w:firstLine="420" w:firstLineChars="200"/>
        <w:rPr>
          <w:rFonts w:ascii="Times New Roman" w:hAnsi="Times New Roman"/>
          <w:color w:val="auto"/>
          <w:szCs w:val="21"/>
        </w:rPr>
      </w:pPr>
      <w:r>
        <w:rPr>
          <w:rFonts w:ascii="Times New Roman" w:hAnsi="Times New Roman"/>
          <w:color w:val="auto"/>
          <w:szCs w:val="21"/>
        </w:rPr>
        <w:t>由于勘察人原因造成周期延误，勘察人应支付逾期违约金。逾期违约金的计算方法和最高限额在专用合同条款中约定。</w:t>
      </w:r>
    </w:p>
    <w:p>
      <w:pPr>
        <w:pStyle w:val="6"/>
        <w:spacing w:line="240" w:lineRule="auto"/>
        <w:ind w:firstLine="137"/>
        <w:rPr>
          <w:rFonts w:ascii="Times New Roman" w:hAnsi="Times New Roman"/>
          <w:color w:val="auto"/>
        </w:rPr>
      </w:pPr>
      <w:bookmarkStart w:id="423" w:name="_Toc482188596"/>
      <w:bookmarkStart w:id="424" w:name="_Toc474834020"/>
      <w:bookmarkStart w:id="425" w:name="_Toc492300885"/>
      <w:r>
        <w:rPr>
          <w:rFonts w:ascii="Times New Roman" w:hAnsi="Times New Roman"/>
          <w:color w:val="auto"/>
        </w:rPr>
        <w:t xml:space="preserve">6.5 </w:t>
      </w:r>
      <w:r>
        <w:rPr>
          <w:rFonts w:hint="eastAsia" w:ascii="Times New Roman" w:hAnsi="Times New Roman"/>
          <w:color w:val="auto"/>
        </w:rPr>
        <w:t>第三人引起的周期延误</w:t>
      </w:r>
      <w:bookmarkEnd w:id="423"/>
      <w:bookmarkEnd w:id="424"/>
      <w:bookmarkEnd w:id="425"/>
    </w:p>
    <w:p>
      <w:pPr>
        <w:spacing w:line="360" w:lineRule="auto"/>
        <w:ind w:firstLine="420" w:firstLineChars="200"/>
        <w:rPr>
          <w:rFonts w:ascii="Times New Roman" w:hAnsi="Times New Roman"/>
          <w:color w:val="auto"/>
          <w:szCs w:val="21"/>
        </w:rPr>
      </w:pPr>
      <w:r>
        <w:rPr>
          <w:rFonts w:ascii="Times New Roman" w:hAnsi="Times New Roman"/>
          <w:color w:val="auto"/>
          <w:szCs w:val="21"/>
        </w:rPr>
        <w:t>由于行政管理部门审查或其他第三人原因造成费用增加和（或）周期延误的，由发包人承担。</w:t>
      </w:r>
    </w:p>
    <w:p>
      <w:pPr>
        <w:pStyle w:val="6"/>
        <w:spacing w:line="240" w:lineRule="auto"/>
        <w:ind w:firstLine="137"/>
        <w:rPr>
          <w:rFonts w:ascii="Times New Roman" w:hAnsi="Times New Roman"/>
          <w:color w:val="auto"/>
        </w:rPr>
      </w:pPr>
      <w:bookmarkStart w:id="426" w:name="_Toc492300886"/>
      <w:bookmarkStart w:id="427" w:name="_Toc482188597"/>
      <w:r>
        <w:rPr>
          <w:rFonts w:ascii="Times New Roman" w:hAnsi="Times New Roman"/>
          <w:color w:val="auto"/>
        </w:rPr>
        <w:t xml:space="preserve">6.6 </w:t>
      </w:r>
      <w:r>
        <w:rPr>
          <w:rFonts w:hint="eastAsia" w:ascii="Times New Roman" w:hAnsi="Times New Roman"/>
          <w:color w:val="auto"/>
        </w:rPr>
        <w:t>完成勘察</w:t>
      </w:r>
      <w:bookmarkEnd w:id="426"/>
      <w:bookmarkEnd w:id="427"/>
      <w:r>
        <w:rPr>
          <w:rFonts w:ascii="Times New Roman" w:hAnsi="Times New Roman"/>
          <w:color w:val="auto"/>
        </w:rPr>
        <w:t xml:space="preserve"> </w:t>
      </w:r>
    </w:p>
    <w:p>
      <w:pPr>
        <w:spacing w:line="360" w:lineRule="auto"/>
        <w:ind w:firstLine="420" w:firstLineChars="200"/>
        <w:rPr>
          <w:rFonts w:ascii="Times New Roman" w:hAnsi="Times New Roman"/>
          <w:color w:val="auto"/>
        </w:rPr>
      </w:pPr>
      <w:r>
        <w:rPr>
          <w:rFonts w:ascii="Times New Roman" w:hAnsi="Times New Roman"/>
          <w:color w:val="auto"/>
        </w:rPr>
        <w:t>6.6.1 勘察人完成勘察服务之后，应当根据法律、规范标准、合同约定和发包人要</w:t>
      </w:r>
      <w:bookmarkStart w:id="428" w:name="_Toc300835157"/>
      <w:bookmarkStart w:id="429" w:name="_Toc247514153"/>
      <w:bookmarkStart w:id="430" w:name="_Toc247527754"/>
      <w:bookmarkStart w:id="431" w:name="_Toc184635115"/>
      <w:r>
        <w:rPr>
          <w:rFonts w:ascii="Times New Roman" w:hAnsi="Times New Roman"/>
          <w:color w:val="auto"/>
        </w:rPr>
        <w:t>求编制勘察文件。</w:t>
      </w:r>
      <w:bookmarkEnd w:id="428"/>
      <w:bookmarkEnd w:id="429"/>
      <w:bookmarkEnd w:id="430"/>
      <w:bookmarkEnd w:id="431"/>
    </w:p>
    <w:p>
      <w:pPr>
        <w:spacing w:line="360" w:lineRule="auto"/>
        <w:ind w:firstLine="420" w:firstLineChars="200"/>
        <w:rPr>
          <w:rFonts w:ascii="Times New Roman" w:hAnsi="Times New Roman"/>
          <w:color w:val="auto"/>
        </w:rPr>
      </w:pPr>
      <w:r>
        <w:rPr>
          <w:rFonts w:ascii="Times New Roman" w:hAnsi="Times New Roman"/>
          <w:color w:val="auto"/>
        </w:rPr>
        <w:t>6.6</w:t>
      </w:r>
      <w:bookmarkStart w:id="432" w:name="_Toc300835158"/>
      <w:bookmarkStart w:id="433" w:name="_Toc247514154"/>
      <w:bookmarkStart w:id="434" w:name="_Toc247527755"/>
      <w:r>
        <w:rPr>
          <w:rFonts w:ascii="Times New Roman" w:hAnsi="Times New Roman"/>
          <w:color w:val="auto"/>
        </w:rPr>
        <w:t>.2 勘察</w:t>
      </w:r>
      <w:bookmarkEnd w:id="432"/>
      <w:r>
        <w:rPr>
          <w:rFonts w:ascii="Times New Roman" w:hAnsi="Times New Roman"/>
          <w:color w:val="auto"/>
        </w:rPr>
        <w:t>文件是工程勘察的最终成果和设计施工的重要依据，</w:t>
      </w:r>
      <w:r>
        <w:rPr>
          <w:rFonts w:ascii="Times New Roman" w:hAnsi="Times New Roman"/>
          <w:color w:val="auto"/>
          <w:szCs w:val="21"/>
        </w:rPr>
        <w:t>应当根据本工程的勘察内容和不同阶段的勘察任务、目的和要求等进行编制。</w:t>
      </w:r>
      <w:r>
        <w:rPr>
          <w:rFonts w:ascii="Times New Roman" w:hAnsi="Times New Roman"/>
          <w:color w:val="auto"/>
        </w:rPr>
        <w:t>勘察文件的内容和深度应当满足对应阶段的设计需求。</w:t>
      </w:r>
    </w:p>
    <w:p>
      <w:pPr>
        <w:spacing w:line="360" w:lineRule="auto"/>
        <w:ind w:firstLine="420" w:firstLineChars="200"/>
        <w:rPr>
          <w:rFonts w:ascii="Times New Roman" w:hAnsi="Times New Roman"/>
          <w:color w:val="auto"/>
        </w:rPr>
      </w:pPr>
      <w:r>
        <w:rPr>
          <w:rFonts w:ascii="Times New Roman" w:hAnsi="Times New Roman"/>
          <w:color w:val="auto"/>
        </w:rPr>
        <w:t>6.6.3 除专用合同条款另有约定外，勘察文件包括纸质文件和电子文件两种形式，两者若有不一致时，应以纸质文件为准。纸质文件一式八份，应当加盖</w:t>
      </w:r>
      <w:bookmarkEnd w:id="433"/>
      <w:bookmarkEnd w:id="434"/>
      <w:r>
        <w:rPr>
          <w:rFonts w:ascii="Times New Roman" w:hAnsi="Times New Roman"/>
          <w:color w:val="auto"/>
        </w:rPr>
        <w:t>单位章和项目负责人注册执业印章；电子文件中的文字为WORD格式、图形为CAD格式，并应使用光盘和U盘分别贮存。</w:t>
      </w:r>
    </w:p>
    <w:p>
      <w:pPr>
        <w:pStyle w:val="6"/>
        <w:spacing w:line="240" w:lineRule="auto"/>
        <w:ind w:firstLine="137"/>
        <w:rPr>
          <w:rFonts w:ascii="Times New Roman" w:hAnsi="Times New Roman"/>
          <w:color w:val="auto"/>
        </w:rPr>
      </w:pPr>
      <w:bookmarkStart w:id="435" w:name="_Toc482188598"/>
      <w:bookmarkStart w:id="436" w:name="_Toc492300887"/>
      <w:r>
        <w:rPr>
          <w:rFonts w:ascii="Times New Roman" w:hAnsi="Times New Roman"/>
          <w:color w:val="auto"/>
        </w:rPr>
        <w:t xml:space="preserve">6.7 </w:t>
      </w:r>
      <w:r>
        <w:rPr>
          <w:rFonts w:hint="eastAsia" w:ascii="Times New Roman" w:hAnsi="Times New Roman"/>
          <w:color w:val="auto"/>
        </w:rPr>
        <w:t>提前完成勘察</w:t>
      </w:r>
      <w:bookmarkEnd w:id="435"/>
      <w:bookmarkEnd w:id="436"/>
    </w:p>
    <w:p>
      <w:pPr>
        <w:spacing w:line="360" w:lineRule="auto"/>
        <w:ind w:firstLine="420" w:firstLineChars="200"/>
        <w:rPr>
          <w:rFonts w:ascii="Times New Roman" w:hAnsi="Times New Roman"/>
          <w:color w:val="auto"/>
        </w:rPr>
      </w:pPr>
      <w:r>
        <w:rPr>
          <w:rFonts w:ascii="Times New Roman" w:hAnsi="Times New Roman"/>
          <w:color w:val="auto"/>
        </w:rPr>
        <w:t>6.7.1 根据发包人要求或者基于专业能力判断，勘察人认为能够提前完成勘察的，可向发包人递交一份提前完成勘察建议书，包括实施方案、提前时间、勘察费用变动等内容。除专用合同条款另有约定之外，发包人接受建议书的，不因提前完成勘察而减少勘察费用；增加勘察费用的，所增费用由发包人承担。</w:t>
      </w:r>
    </w:p>
    <w:p>
      <w:pPr>
        <w:spacing w:line="360" w:lineRule="auto"/>
        <w:ind w:firstLine="420" w:firstLineChars="200"/>
        <w:rPr>
          <w:rFonts w:ascii="Times New Roman" w:hAnsi="Times New Roman"/>
          <w:color w:val="auto"/>
        </w:rPr>
      </w:pPr>
      <w:r>
        <w:rPr>
          <w:rFonts w:ascii="Times New Roman" w:hAnsi="Times New Roman"/>
          <w:color w:val="auto"/>
        </w:rPr>
        <w:t>6.7.2 发包人要求提前完成勘察但勘察人认为无法实施的，应在收到发包人书面指示后7天内提出异议，说明不能提前完成的理由。发包人应在收到异议后7天内予以答复。任何情况下，发包人不得压缩合理的勘察服务期限。</w:t>
      </w:r>
    </w:p>
    <w:p>
      <w:pPr>
        <w:spacing w:line="360" w:lineRule="auto"/>
        <w:ind w:firstLine="420" w:firstLineChars="200"/>
        <w:rPr>
          <w:rFonts w:ascii="Times New Roman" w:hAnsi="Times New Roman"/>
          <w:color w:val="auto"/>
          <w:szCs w:val="21"/>
        </w:rPr>
      </w:pPr>
      <w:r>
        <w:rPr>
          <w:rFonts w:ascii="Times New Roman" w:hAnsi="Times New Roman"/>
          <w:color w:val="auto"/>
        </w:rPr>
        <w:t>6.7.3 由于勘察人提前完成勘察而给发包人带来经济效益的，发包人可以在专用合同条款中约定勘察人因此获得的奖励内容。</w:t>
      </w:r>
    </w:p>
    <w:p>
      <w:pPr>
        <w:pStyle w:val="5"/>
        <w:rPr>
          <w:rFonts w:ascii="Times New Roman" w:hAnsi="Times New Roman"/>
          <w:color w:val="auto"/>
        </w:rPr>
      </w:pPr>
      <w:bookmarkStart w:id="437" w:name="_Toc482188599"/>
      <w:bookmarkStart w:id="438" w:name="_Toc492300888"/>
      <w:r>
        <w:rPr>
          <w:rFonts w:ascii="Times New Roman" w:hAnsi="Times New Roman"/>
          <w:color w:val="auto"/>
        </w:rPr>
        <w:t>7. 暂停勘察</w:t>
      </w:r>
      <w:bookmarkEnd w:id="437"/>
      <w:bookmarkEnd w:id="438"/>
    </w:p>
    <w:p>
      <w:pPr>
        <w:pStyle w:val="6"/>
        <w:spacing w:line="240" w:lineRule="auto"/>
        <w:ind w:firstLine="137"/>
        <w:rPr>
          <w:rFonts w:ascii="Times New Roman" w:hAnsi="Times New Roman"/>
          <w:color w:val="auto"/>
        </w:rPr>
      </w:pPr>
      <w:bookmarkStart w:id="439" w:name="_Toc467651003"/>
      <w:bookmarkStart w:id="440" w:name="_Toc482188600"/>
      <w:bookmarkStart w:id="441" w:name="_Toc492300889"/>
      <w:r>
        <w:rPr>
          <w:rFonts w:ascii="Times New Roman" w:hAnsi="Times New Roman"/>
          <w:color w:val="auto"/>
        </w:rPr>
        <w:t xml:space="preserve">7.1 </w:t>
      </w:r>
      <w:bookmarkEnd w:id="439"/>
      <w:r>
        <w:rPr>
          <w:rFonts w:hint="eastAsia" w:ascii="Times New Roman" w:hAnsi="Times New Roman"/>
          <w:color w:val="auto"/>
        </w:rPr>
        <w:t>发包人原因暂停勘察</w:t>
      </w:r>
      <w:bookmarkEnd w:id="440"/>
      <w:bookmarkEnd w:id="441"/>
    </w:p>
    <w:p>
      <w:pPr>
        <w:spacing w:line="360" w:lineRule="auto"/>
        <w:ind w:firstLine="420" w:firstLineChars="200"/>
        <w:rPr>
          <w:rFonts w:ascii="Times New Roman" w:hAnsi="Times New Roman"/>
          <w:color w:val="auto"/>
          <w:szCs w:val="21"/>
        </w:rPr>
      </w:pPr>
      <w:r>
        <w:rPr>
          <w:rFonts w:ascii="Times New Roman" w:hAnsi="Times New Roman"/>
          <w:color w:val="auto"/>
          <w:szCs w:val="21"/>
        </w:rPr>
        <w:t>合同履行中发生下列情形之一的，勘察人可向发包人发出通知，要求发包人采取有效措施予以纠正。发包人收到勘察人通知后的28天内仍不履行合同义务时，勘察人有权暂停勘察并通知发包人；发包人应承担由此导致的费用增加和（或）周期延误。</w:t>
      </w:r>
    </w:p>
    <w:p>
      <w:pPr>
        <w:spacing w:line="360" w:lineRule="auto"/>
        <w:ind w:firstLine="420" w:firstLineChars="200"/>
        <w:rPr>
          <w:rFonts w:ascii="Times New Roman" w:hAnsi="Times New Roman"/>
          <w:color w:val="auto"/>
        </w:rPr>
      </w:pPr>
      <w:r>
        <w:rPr>
          <w:rFonts w:ascii="Times New Roman" w:hAnsi="Times New Roman"/>
          <w:color w:val="auto"/>
        </w:rPr>
        <w:t>（1）发包人违约；</w:t>
      </w:r>
    </w:p>
    <w:p>
      <w:pPr>
        <w:spacing w:line="360" w:lineRule="auto"/>
        <w:ind w:firstLine="420" w:firstLineChars="200"/>
        <w:rPr>
          <w:rFonts w:ascii="Times New Roman" w:hAnsi="Times New Roman"/>
          <w:color w:val="auto"/>
        </w:rPr>
      </w:pPr>
      <w:r>
        <w:rPr>
          <w:rFonts w:ascii="Times New Roman" w:hAnsi="Times New Roman"/>
          <w:color w:val="auto"/>
        </w:rPr>
        <w:t>（2）发包人确定暂停勘察；</w:t>
      </w:r>
    </w:p>
    <w:p>
      <w:pPr>
        <w:spacing w:line="360" w:lineRule="auto"/>
        <w:ind w:firstLine="420" w:firstLineChars="200"/>
        <w:rPr>
          <w:rFonts w:ascii="Times New Roman" w:hAnsi="Times New Roman"/>
          <w:color w:val="auto"/>
        </w:rPr>
      </w:pPr>
      <w:r>
        <w:rPr>
          <w:rFonts w:ascii="Times New Roman" w:hAnsi="Times New Roman"/>
          <w:color w:val="auto"/>
        </w:rPr>
        <w:t>（3）合同约</w:t>
      </w:r>
      <w:r>
        <w:rPr>
          <w:rFonts w:ascii="Times New Roman" w:hAnsi="Times New Roman"/>
          <w:color w:val="auto"/>
          <w:szCs w:val="21"/>
        </w:rPr>
        <w:t>定由发包人承担责任的其他情形。</w:t>
      </w:r>
    </w:p>
    <w:p>
      <w:pPr>
        <w:pStyle w:val="6"/>
        <w:spacing w:line="240" w:lineRule="auto"/>
        <w:ind w:firstLine="137"/>
        <w:rPr>
          <w:rFonts w:ascii="Times New Roman" w:hAnsi="Times New Roman"/>
          <w:color w:val="auto"/>
        </w:rPr>
      </w:pPr>
      <w:bookmarkStart w:id="442" w:name="_Toc467651004"/>
      <w:bookmarkStart w:id="443" w:name="_Toc492300890"/>
      <w:bookmarkStart w:id="444" w:name="_Toc482188601"/>
      <w:r>
        <w:rPr>
          <w:rFonts w:ascii="Times New Roman" w:hAnsi="Times New Roman"/>
          <w:color w:val="auto"/>
        </w:rPr>
        <w:t xml:space="preserve">7.2 </w:t>
      </w:r>
      <w:r>
        <w:rPr>
          <w:rFonts w:hint="eastAsia" w:ascii="Times New Roman" w:hAnsi="Times New Roman"/>
          <w:color w:val="auto"/>
        </w:rPr>
        <w:t>勘察人原因暂停</w:t>
      </w:r>
      <w:bookmarkEnd w:id="442"/>
      <w:r>
        <w:rPr>
          <w:rFonts w:hint="eastAsia" w:ascii="Times New Roman" w:hAnsi="Times New Roman"/>
          <w:color w:val="auto"/>
        </w:rPr>
        <w:t>勘察</w:t>
      </w:r>
      <w:bookmarkEnd w:id="443"/>
      <w:bookmarkEnd w:id="444"/>
    </w:p>
    <w:p>
      <w:pPr>
        <w:spacing w:line="360" w:lineRule="auto"/>
        <w:ind w:firstLine="420" w:firstLineChars="200"/>
        <w:rPr>
          <w:rFonts w:ascii="Times New Roman" w:hAnsi="Times New Roman"/>
          <w:color w:val="auto"/>
          <w:szCs w:val="21"/>
        </w:rPr>
      </w:pPr>
      <w:r>
        <w:rPr>
          <w:rFonts w:ascii="Times New Roman" w:hAnsi="Times New Roman"/>
          <w:color w:val="auto"/>
        </w:rPr>
        <w:t>合同履行中发生下列情形之一的，发包人可向勘察人发出通知</w:t>
      </w:r>
      <w:r>
        <w:rPr>
          <w:rFonts w:ascii="Times New Roman" w:hAnsi="Times New Roman"/>
          <w:color w:val="auto"/>
          <w:szCs w:val="21"/>
        </w:rPr>
        <w:t>暂停勘察，由此造成费用的增加和（或）周期延误由勘察人承担：</w:t>
      </w:r>
    </w:p>
    <w:p>
      <w:pPr>
        <w:spacing w:line="360" w:lineRule="auto"/>
        <w:ind w:firstLine="420" w:firstLineChars="200"/>
        <w:rPr>
          <w:rFonts w:ascii="Times New Roman" w:hAnsi="Times New Roman"/>
          <w:color w:val="auto"/>
        </w:rPr>
      </w:pPr>
      <w:r>
        <w:rPr>
          <w:rFonts w:ascii="Times New Roman" w:hAnsi="Times New Roman"/>
          <w:color w:val="auto"/>
        </w:rPr>
        <w:t>（1）勘察人违约；</w:t>
      </w:r>
    </w:p>
    <w:p>
      <w:pPr>
        <w:spacing w:line="360" w:lineRule="auto"/>
        <w:ind w:firstLine="420" w:firstLineChars="200"/>
        <w:rPr>
          <w:rFonts w:ascii="Times New Roman" w:hAnsi="Times New Roman"/>
          <w:color w:val="auto"/>
        </w:rPr>
      </w:pPr>
      <w:r>
        <w:rPr>
          <w:rFonts w:ascii="Times New Roman" w:hAnsi="Times New Roman"/>
          <w:color w:val="auto"/>
        </w:rPr>
        <w:t>（2）勘察人擅自暂停勘察；</w:t>
      </w:r>
    </w:p>
    <w:p>
      <w:pPr>
        <w:spacing w:line="360" w:lineRule="auto"/>
        <w:ind w:firstLine="420" w:firstLineChars="200"/>
        <w:rPr>
          <w:rFonts w:ascii="Times New Roman" w:hAnsi="Times New Roman"/>
          <w:color w:val="auto"/>
          <w:szCs w:val="21"/>
        </w:rPr>
      </w:pPr>
      <w:r>
        <w:rPr>
          <w:rFonts w:ascii="Times New Roman" w:hAnsi="Times New Roman"/>
          <w:color w:val="auto"/>
        </w:rPr>
        <w:t>（3）合同约</w:t>
      </w:r>
      <w:r>
        <w:rPr>
          <w:rFonts w:ascii="Times New Roman" w:hAnsi="Times New Roman"/>
          <w:color w:val="auto"/>
          <w:szCs w:val="21"/>
        </w:rPr>
        <w:t>定由勘察人承担责任的其他情形。</w:t>
      </w:r>
      <w:bookmarkStart w:id="445" w:name="_Toc247527728"/>
      <w:bookmarkStart w:id="446" w:name="_Toc184635110"/>
      <w:bookmarkStart w:id="447" w:name="_Toc247514127"/>
    </w:p>
    <w:p>
      <w:pPr>
        <w:pStyle w:val="6"/>
        <w:spacing w:line="240" w:lineRule="auto"/>
        <w:ind w:firstLine="137"/>
        <w:rPr>
          <w:rFonts w:ascii="Times New Roman" w:hAnsi="Times New Roman"/>
          <w:color w:val="auto"/>
        </w:rPr>
      </w:pPr>
      <w:bookmarkStart w:id="448" w:name="_Toc492300891"/>
      <w:bookmarkStart w:id="449" w:name="_Toc482188602"/>
      <w:r>
        <w:rPr>
          <w:rFonts w:ascii="Times New Roman" w:hAnsi="Times New Roman"/>
          <w:color w:val="auto"/>
        </w:rPr>
        <w:t xml:space="preserve">7.3 </w:t>
      </w:r>
      <w:r>
        <w:rPr>
          <w:rFonts w:hint="eastAsia" w:ascii="Times New Roman" w:hAnsi="Times New Roman"/>
          <w:color w:val="auto"/>
        </w:rPr>
        <w:t>暂停期间的文件照管</w:t>
      </w:r>
      <w:bookmarkEnd w:id="448"/>
      <w:bookmarkEnd w:id="449"/>
    </w:p>
    <w:p>
      <w:pPr>
        <w:spacing w:line="360" w:lineRule="auto"/>
        <w:ind w:firstLine="420" w:firstLineChars="200"/>
        <w:rPr>
          <w:rFonts w:ascii="Times New Roman" w:hAnsi="Times New Roman"/>
          <w:color w:val="auto"/>
          <w:szCs w:val="21"/>
        </w:rPr>
      </w:pPr>
      <w:r>
        <w:rPr>
          <w:rFonts w:ascii="Times New Roman" w:hAnsi="Times New Roman"/>
          <w:color w:val="auto"/>
          <w:szCs w:val="21"/>
        </w:rPr>
        <w:t>不论由于何种原因引起暂停勘察的，暂停期间勘察人应负责妥善保护已完部分的勘察文件，由此</w:t>
      </w:r>
      <w:bookmarkStart w:id="450" w:name="_Toc300835128"/>
      <w:r>
        <w:rPr>
          <w:rFonts w:ascii="Times New Roman" w:hAnsi="Times New Roman"/>
          <w:color w:val="auto"/>
          <w:szCs w:val="21"/>
        </w:rPr>
        <w:t>增加的费用由责任方承担。</w:t>
      </w:r>
    </w:p>
    <w:bookmarkEnd w:id="450"/>
    <w:p>
      <w:pPr>
        <w:pStyle w:val="5"/>
        <w:rPr>
          <w:rFonts w:ascii="Times New Roman" w:hAnsi="Times New Roman"/>
          <w:color w:val="auto"/>
        </w:rPr>
      </w:pPr>
      <w:bookmarkStart w:id="451" w:name="_Toc492300892"/>
      <w:bookmarkStart w:id="452" w:name="_Toc482188603"/>
      <w:r>
        <w:rPr>
          <w:rFonts w:ascii="Times New Roman" w:hAnsi="Times New Roman"/>
          <w:color w:val="auto"/>
        </w:rPr>
        <w:t>8. 勘察文件</w:t>
      </w:r>
      <w:bookmarkEnd w:id="451"/>
      <w:bookmarkEnd w:id="452"/>
    </w:p>
    <w:p>
      <w:pPr>
        <w:pStyle w:val="6"/>
        <w:spacing w:line="240" w:lineRule="auto"/>
        <w:ind w:firstLine="137"/>
        <w:rPr>
          <w:rFonts w:ascii="Times New Roman" w:hAnsi="Times New Roman"/>
          <w:color w:val="auto"/>
        </w:rPr>
      </w:pPr>
      <w:bookmarkStart w:id="453" w:name="_Toc492300893"/>
      <w:bookmarkStart w:id="454" w:name="_Toc482188604"/>
      <w:r>
        <w:rPr>
          <w:rFonts w:ascii="Times New Roman" w:hAnsi="Times New Roman"/>
          <w:color w:val="auto"/>
        </w:rPr>
        <w:t xml:space="preserve">8.1 </w:t>
      </w:r>
      <w:r>
        <w:rPr>
          <w:rFonts w:hint="eastAsia" w:ascii="Times New Roman" w:hAnsi="Times New Roman"/>
          <w:color w:val="auto"/>
        </w:rPr>
        <w:t>勘察文件接收</w:t>
      </w:r>
      <w:bookmarkEnd w:id="453"/>
      <w:bookmarkEnd w:id="454"/>
    </w:p>
    <w:p>
      <w:pPr>
        <w:spacing w:line="360" w:lineRule="auto"/>
        <w:ind w:firstLine="420" w:firstLineChars="200"/>
        <w:rPr>
          <w:rFonts w:ascii="Times New Roman" w:hAnsi="Times New Roman"/>
          <w:color w:val="auto"/>
        </w:rPr>
      </w:pPr>
      <w:r>
        <w:rPr>
          <w:rFonts w:ascii="Times New Roman" w:hAnsi="Times New Roman"/>
          <w:color w:val="auto"/>
        </w:rPr>
        <w:t>8.1.1 发包人应当及时接收勘察人提交的勘察文件。如无正当理由拒收的，视为发包人已经接收勘察文件。</w:t>
      </w:r>
    </w:p>
    <w:p>
      <w:pPr>
        <w:spacing w:line="360" w:lineRule="auto"/>
        <w:ind w:firstLine="420" w:firstLineChars="200"/>
        <w:rPr>
          <w:rFonts w:ascii="Times New Roman" w:hAnsi="Times New Roman"/>
          <w:color w:val="auto"/>
        </w:rPr>
      </w:pPr>
      <w:r>
        <w:rPr>
          <w:rFonts w:ascii="Times New Roman" w:hAnsi="Times New Roman"/>
          <w:color w:val="auto"/>
        </w:rPr>
        <w:t>8.1.2 发包人接收勘察文件时，应向勘察人出具文件签收凭证，凭证内容包括文件名称、文件内容、文件形式、份数、提交和接收日期、提交人与接收人的亲笔签名等。</w:t>
      </w:r>
    </w:p>
    <w:p>
      <w:pPr>
        <w:spacing w:line="360" w:lineRule="auto"/>
        <w:ind w:firstLine="420" w:firstLineChars="200"/>
        <w:rPr>
          <w:rFonts w:ascii="Times New Roman" w:hAnsi="Times New Roman"/>
          <w:color w:val="auto"/>
        </w:rPr>
      </w:pPr>
      <w:r>
        <w:rPr>
          <w:rFonts w:ascii="Times New Roman" w:hAnsi="Times New Roman"/>
          <w:color w:val="auto"/>
        </w:rPr>
        <w:t>8.1.3 勘察文件提交的份数、内容、纸幅、装订格式、电子文件等要求，</w:t>
      </w:r>
      <w:r>
        <w:rPr>
          <w:rFonts w:ascii="Times New Roman" w:hAnsi="Times New Roman"/>
          <w:color w:val="auto"/>
          <w:kern w:val="0"/>
          <w:szCs w:val="21"/>
        </w:rPr>
        <w:t>在专用合同条款中约定</w:t>
      </w:r>
      <w:r>
        <w:rPr>
          <w:rFonts w:ascii="Times New Roman" w:hAnsi="Times New Roman"/>
          <w:color w:val="auto"/>
        </w:rPr>
        <w:t>。</w:t>
      </w:r>
    </w:p>
    <w:p>
      <w:pPr>
        <w:pStyle w:val="6"/>
        <w:spacing w:line="240" w:lineRule="auto"/>
        <w:ind w:firstLine="137"/>
        <w:rPr>
          <w:rFonts w:ascii="Times New Roman" w:hAnsi="Times New Roman"/>
          <w:color w:val="auto"/>
        </w:rPr>
      </w:pPr>
      <w:bookmarkStart w:id="455" w:name="_Toc482188605"/>
      <w:bookmarkStart w:id="456" w:name="_Toc492300894"/>
      <w:r>
        <w:rPr>
          <w:rFonts w:ascii="Times New Roman" w:hAnsi="Times New Roman"/>
          <w:color w:val="auto"/>
        </w:rPr>
        <w:t xml:space="preserve">8.2 </w:t>
      </w:r>
      <w:r>
        <w:rPr>
          <w:rFonts w:hint="eastAsia" w:ascii="Times New Roman" w:hAnsi="Times New Roman"/>
          <w:color w:val="auto"/>
        </w:rPr>
        <w:t>发包人审查勘察文件</w:t>
      </w:r>
      <w:bookmarkEnd w:id="455"/>
      <w:bookmarkEnd w:id="456"/>
    </w:p>
    <w:p>
      <w:pPr>
        <w:spacing w:line="360" w:lineRule="auto"/>
        <w:ind w:firstLine="420" w:firstLineChars="200"/>
        <w:rPr>
          <w:rFonts w:ascii="Times New Roman" w:hAnsi="Times New Roman"/>
          <w:color w:val="auto"/>
        </w:rPr>
      </w:pPr>
      <w:r>
        <w:rPr>
          <w:rFonts w:ascii="Times New Roman" w:hAnsi="Times New Roman"/>
          <w:color w:val="auto"/>
        </w:rPr>
        <w:t>8.2.1 发包人接收勘察文件之后，可以自行或者组织专家会进行审查，勘察人应当给予配合。审查标准应当符合法律、规范标准、合同约定和发包人要求等；审查的具体范围、明细内容和费用分担，</w:t>
      </w:r>
      <w:r>
        <w:rPr>
          <w:rFonts w:ascii="Times New Roman" w:hAnsi="Times New Roman"/>
          <w:color w:val="auto"/>
          <w:kern w:val="0"/>
          <w:szCs w:val="21"/>
        </w:rPr>
        <w:t>在专用合同条款中约定</w:t>
      </w:r>
      <w:r>
        <w:rPr>
          <w:rFonts w:ascii="Times New Roman" w:hAnsi="Times New Roman"/>
          <w:color w:val="auto"/>
        </w:rPr>
        <w:t>。</w:t>
      </w:r>
    </w:p>
    <w:p>
      <w:pPr>
        <w:spacing w:line="360" w:lineRule="auto"/>
        <w:ind w:firstLine="420" w:firstLineChars="200"/>
        <w:rPr>
          <w:rFonts w:ascii="Times New Roman" w:hAnsi="Times New Roman"/>
          <w:color w:val="auto"/>
        </w:rPr>
      </w:pPr>
      <w:r>
        <w:rPr>
          <w:rFonts w:ascii="Times New Roman" w:hAnsi="Times New Roman"/>
          <w:color w:val="auto"/>
        </w:rPr>
        <w:t>8.2.2 除专用合同条款另有约定外，发包人对于勘察文件的审查期限，自文件接收之日起不应超过14天。发包人逾期未做出审查结论且未提出异议的，视为勘察人的勘察文件已经通过发包人审查。</w:t>
      </w:r>
    </w:p>
    <w:p>
      <w:pPr>
        <w:spacing w:line="360" w:lineRule="auto"/>
        <w:ind w:firstLine="420" w:firstLineChars="200"/>
        <w:rPr>
          <w:rFonts w:ascii="Times New Roman" w:hAnsi="Times New Roman"/>
          <w:color w:val="auto"/>
        </w:rPr>
      </w:pPr>
      <w:r>
        <w:rPr>
          <w:rFonts w:ascii="Times New Roman" w:hAnsi="Times New Roman"/>
          <w:color w:val="auto"/>
        </w:rPr>
        <w:t>8.2.3 发包人审查后不同意勘察文件的，应以书面形式通知勘察人，说明审查不通过的理由及其具体内容。勘察人应根据发包人的审查意见修改完善勘察文件，并重新报送发包人审查，审查期限重新起算。</w:t>
      </w:r>
    </w:p>
    <w:p>
      <w:pPr>
        <w:pStyle w:val="6"/>
        <w:spacing w:line="240" w:lineRule="auto"/>
        <w:ind w:firstLine="137"/>
        <w:rPr>
          <w:rFonts w:ascii="Times New Roman" w:hAnsi="Times New Roman"/>
          <w:color w:val="auto"/>
        </w:rPr>
      </w:pPr>
      <w:bookmarkStart w:id="457" w:name="_Toc482188606"/>
      <w:bookmarkStart w:id="458" w:name="_Toc492300895"/>
      <w:r>
        <w:rPr>
          <w:rFonts w:ascii="Times New Roman" w:hAnsi="Times New Roman"/>
          <w:color w:val="auto"/>
        </w:rPr>
        <w:t xml:space="preserve">8.3 </w:t>
      </w:r>
      <w:r>
        <w:rPr>
          <w:rFonts w:hint="eastAsia" w:ascii="Times New Roman" w:hAnsi="Times New Roman"/>
          <w:color w:val="auto"/>
        </w:rPr>
        <w:t>审查机构审查勘察文件</w:t>
      </w:r>
      <w:bookmarkEnd w:id="457"/>
      <w:bookmarkEnd w:id="458"/>
    </w:p>
    <w:p>
      <w:pPr>
        <w:spacing w:line="360" w:lineRule="auto"/>
        <w:ind w:firstLine="420" w:firstLineChars="200"/>
        <w:rPr>
          <w:rFonts w:ascii="Times New Roman" w:hAnsi="Times New Roman"/>
          <w:color w:val="auto"/>
        </w:rPr>
      </w:pPr>
      <w:r>
        <w:rPr>
          <w:rFonts w:ascii="Times New Roman" w:hAnsi="Times New Roman"/>
          <w:color w:val="auto"/>
        </w:rPr>
        <w:t>8.3.1 勘察文件需经政府有关部门审查或批准的，发包人应在审查同意后，按照</w:t>
      </w:r>
      <w:r>
        <w:rPr>
          <w:rFonts w:hint="eastAsia" w:ascii="Times New Roman" w:hAnsi="Times New Roman"/>
          <w:color w:val="auto"/>
        </w:rPr>
        <w:t>有关</w:t>
      </w:r>
      <w:r>
        <w:rPr>
          <w:rFonts w:ascii="Times New Roman" w:hAnsi="Times New Roman"/>
          <w:color w:val="auto"/>
        </w:rPr>
        <w:t>主管部门要求，将勘察文件和相关资料报送施工图审查机构进行审查。发包人的审查和施工图审查机构的审查不减免勘察人因为质量问题而应承担的勘察责任。</w:t>
      </w:r>
    </w:p>
    <w:p>
      <w:pPr>
        <w:spacing w:line="360" w:lineRule="auto"/>
        <w:ind w:firstLine="420" w:firstLineChars="200"/>
        <w:rPr>
          <w:rFonts w:ascii="Times New Roman" w:hAnsi="Times New Roman"/>
          <w:color w:val="auto"/>
        </w:rPr>
      </w:pPr>
      <w:r>
        <w:rPr>
          <w:rFonts w:ascii="Times New Roman" w:hAnsi="Times New Roman"/>
          <w:color w:val="auto"/>
        </w:rPr>
        <w:t>8.3.2 对于施工图审查机构的审查意见，如不需要修改发包人要求的，应由勘察人按照审查意见修改完善勘察文件；如需修改发包人要求的，则由发包人重新修改和提出发包人要求，再由勘察人根据新的发包人要求修改完善勘察文件。</w:t>
      </w:r>
    </w:p>
    <w:p>
      <w:pPr>
        <w:spacing w:line="360" w:lineRule="auto"/>
        <w:ind w:firstLine="420" w:firstLineChars="200"/>
        <w:rPr>
          <w:rFonts w:ascii="Times New Roman" w:hAnsi="Times New Roman"/>
          <w:color w:val="auto"/>
        </w:rPr>
      </w:pPr>
      <w:r>
        <w:rPr>
          <w:rFonts w:ascii="Times New Roman" w:hAnsi="Times New Roman"/>
          <w:color w:val="auto"/>
        </w:rPr>
        <w:t>8.3.3 由于自身原因造成勘察文件未通过审查机构审查的，勘察人应当承担违约责任，采取补救措施直至达到合同约定的质量标准，并自行承担由此导致的费用增加和（或）周期延误。</w:t>
      </w:r>
    </w:p>
    <w:p>
      <w:pPr>
        <w:pStyle w:val="5"/>
        <w:rPr>
          <w:rFonts w:ascii="Times New Roman" w:hAnsi="Times New Roman"/>
          <w:color w:val="auto"/>
        </w:rPr>
      </w:pPr>
      <w:bookmarkStart w:id="459" w:name="_Toc482188607"/>
      <w:bookmarkStart w:id="460" w:name="_Toc492300896"/>
      <w:r>
        <w:rPr>
          <w:rFonts w:ascii="Times New Roman" w:hAnsi="Times New Roman"/>
          <w:color w:val="auto"/>
        </w:rPr>
        <w:t>9. 勘察责任与保险</w:t>
      </w:r>
      <w:bookmarkEnd w:id="459"/>
      <w:bookmarkEnd w:id="460"/>
    </w:p>
    <w:p>
      <w:pPr>
        <w:pStyle w:val="6"/>
        <w:spacing w:line="240" w:lineRule="auto"/>
        <w:ind w:firstLine="137"/>
        <w:rPr>
          <w:rFonts w:ascii="Times New Roman" w:hAnsi="Times New Roman"/>
          <w:color w:val="auto"/>
        </w:rPr>
      </w:pPr>
      <w:bookmarkStart w:id="461" w:name="_Toc482188608"/>
      <w:bookmarkStart w:id="462" w:name="_Toc492300897"/>
      <w:r>
        <w:rPr>
          <w:rFonts w:ascii="Times New Roman" w:hAnsi="Times New Roman"/>
          <w:color w:val="auto"/>
        </w:rPr>
        <w:t xml:space="preserve">9.1 </w:t>
      </w:r>
      <w:r>
        <w:rPr>
          <w:rFonts w:hint="eastAsia" w:ascii="Times New Roman" w:hAnsi="Times New Roman"/>
          <w:color w:val="auto"/>
        </w:rPr>
        <w:t>工作质量责任</w:t>
      </w:r>
      <w:bookmarkEnd w:id="461"/>
      <w:bookmarkEnd w:id="462"/>
    </w:p>
    <w:p>
      <w:pPr>
        <w:spacing w:line="360" w:lineRule="auto"/>
        <w:ind w:firstLine="420" w:firstLineChars="200"/>
        <w:rPr>
          <w:rFonts w:ascii="Times New Roman" w:hAnsi="Times New Roman"/>
          <w:color w:val="auto"/>
          <w:szCs w:val="21"/>
        </w:rPr>
      </w:pPr>
      <w:r>
        <w:rPr>
          <w:rFonts w:ascii="Times New Roman" w:hAnsi="Times New Roman"/>
          <w:color w:val="auto"/>
        </w:rPr>
        <w:t xml:space="preserve">9.1.1 </w:t>
      </w:r>
      <w:r>
        <w:rPr>
          <w:rFonts w:ascii="Times New Roman" w:hAnsi="Times New Roman"/>
          <w:color w:val="auto"/>
          <w:szCs w:val="21"/>
        </w:rPr>
        <w:t>勘察工作质量应满足法律规定、规范标准、合同约定和发包人要求等。</w:t>
      </w:r>
      <w:bookmarkEnd w:id="445"/>
      <w:bookmarkEnd w:id="446"/>
      <w:bookmarkEnd w:id="447"/>
    </w:p>
    <w:p>
      <w:pPr>
        <w:spacing w:line="360" w:lineRule="auto"/>
        <w:ind w:firstLine="420" w:firstLineChars="200"/>
        <w:rPr>
          <w:rFonts w:ascii="Times New Roman" w:hAnsi="Times New Roman"/>
          <w:color w:val="auto"/>
          <w:szCs w:val="21"/>
        </w:rPr>
      </w:pPr>
      <w:r>
        <w:rPr>
          <w:rFonts w:ascii="Times New Roman" w:hAnsi="Times New Roman"/>
          <w:color w:val="auto"/>
          <w:szCs w:val="21"/>
        </w:rPr>
        <w:t>9.1.2 勘察人应做好勘察服务的质量与技术管理工作，建立健全内部质量</w:t>
      </w:r>
      <w:bookmarkStart w:id="463" w:name="_Toc300835131"/>
      <w:r>
        <w:rPr>
          <w:rFonts w:ascii="Times New Roman" w:hAnsi="Times New Roman"/>
          <w:color w:val="auto"/>
          <w:szCs w:val="21"/>
        </w:rPr>
        <w:t>管理体系和质量责</w:t>
      </w:r>
      <w:bookmarkEnd w:id="463"/>
      <w:r>
        <w:rPr>
          <w:rFonts w:ascii="Times New Roman" w:hAnsi="Times New Roman"/>
          <w:color w:val="auto"/>
          <w:szCs w:val="21"/>
        </w:rPr>
        <w:t>任</w:t>
      </w:r>
      <w:bookmarkStart w:id="464" w:name="_Toc247514128"/>
      <w:bookmarkStart w:id="465" w:name="_Toc300835132"/>
      <w:bookmarkStart w:id="466" w:name="_Toc247527729"/>
      <w:r>
        <w:rPr>
          <w:rFonts w:ascii="Times New Roman" w:hAnsi="Times New Roman"/>
          <w:color w:val="auto"/>
          <w:szCs w:val="21"/>
        </w:rPr>
        <w:t>制度，加强勘察服务全过程的质量控制，建立完整的勘察文件的设计、复核、审核、会签和批准制度，明确各阶段的责任人。</w:t>
      </w:r>
      <w:bookmarkEnd w:id="464"/>
      <w:bookmarkEnd w:id="465"/>
      <w:bookmarkEnd w:id="466"/>
    </w:p>
    <w:p>
      <w:pPr>
        <w:spacing w:line="360" w:lineRule="auto"/>
        <w:ind w:firstLine="420" w:firstLineChars="200"/>
        <w:rPr>
          <w:rFonts w:ascii="Times New Roman" w:hAnsi="Times New Roman"/>
          <w:color w:val="auto"/>
          <w:szCs w:val="21"/>
        </w:rPr>
      </w:pPr>
      <w:r>
        <w:rPr>
          <w:rFonts w:ascii="Times New Roman" w:hAnsi="Times New Roman"/>
          <w:color w:val="auto"/>
          <w:szCs w:val="21"/>
        </w:rPr>
        <w:t>9.1.3 勘察人应当强化现场作业质量和试验工作管理，保证原始记录和试验数据的可靠性、真实性和完整性，严禁离开现场进行追记、补记和修改记录。</w:t>
      </w:r>
    </w:p>
    <w:p>
      <w:pPr>
        <w:spacing w:line="360" w:lineRule="auto"/>
        <w:ind w:firstLine="420" w:firstLineChars="200"/>
        <w:rPr>
          <w:rFonts w:ascii="Times New Roman" w:hAnsi="Times New Roman"/>
          <w:color w:val="auto"/>
          <w:szCs w:val="21"/>
        </w:rPr>
      </w:pPr>
      <w:r>
        <w:rPr>
          <w:rFonts w:ascii="Times New Roman" w:hAnsi="Times New Roman"/>
          <w:color w:val="auto"/>
          <w:szCs w:val="21"/>
        </w:rPr>
        <w:t>9.1.4 勘察人应按合同约定对勘察服务进行全过程的质量检查和检验，并作详细记录，编制勘察工作质量报表</w:t>
      </w:r>
      <w:bookmarkStart w:id="467" w:name="_Toc300835133"/>
      <w:bookmarkStart w:id="468" w:name="_Toc247514130"/>
      <w:bookmarkStart w:id="469" w:name="_Toc247527731"/>
      <w:r>
        <w:rPr>
          <w:rFonts w:ascii="Times New Roman" w:hAnsi="Times New Roman"/>
          <w:color w:val="auto"/>
          <w:szCs w:val="21"/>
        </w:rPr>
        <w:t>，报送发包人审查。</w:t>
      </w:r>
    </w:p>
    <w:bookmarkEnd w:id="467"/>
    <w:bookmarkEnd w:id="468"/>
    <w:bookmarkEnd w:id="469"/>
    <w:p>
      <w:pPr>
        <w:spacing w:line="360" w:lineRule="auto"/>
        <w:ind w:firstLine="420" w:firstLineChars="200"/>
        <w:rPr>
          <w:rFonts w:ascii="Times New Roman" w:hAnsi="Times New Roman"/>
          <w:color w:val="auto"/>
          <w:szCs w:val="21"/>
        </w:rPr>
      </w:pPr>
      <w:r>
        <w:rPr>
          <w:rFonts w:ascii="Times New Roman" w:hAnsi="Times New Roman"/>
          <w:color w:val="auto"/>
          <w:szCs w:val="21"/>
        </w:rPr>
        <w:t>9.1.5 发包人有权对勘察工作质量进行检查和审核。勘察人应为发包人的检查和检验提供方便，包括发包人到</w:t>
      </w:r>
      <w:bookmarkStart w:id="470" w:name="_Toc300835134"/>
      <w:bookmarkStart w:id="471" w:name="_Toc247514131"/>
      <w:bookmarkStart w:id="472" w:name="_Toc247527732"/>
      <w:r>
        <w:rPr>
          <w:rFonts w:ascii="Times New Roman" w:hAnsi="Times New Roman"/>
          <w:color w:val="auto"/>
          <w:szCs w:val="21"/>
        </w:rPr>
        <w:t>勘察场地、试验室或合同约定</w:t>
      </w:r>
      <w:bookmarkEnd w:id="470"/>
      <w:bookmarkEnd w:id="471"/>
      <w:bookmarkEnd w:id="472"/>
      <w:r>
        <w:rPr>
          <w:rFonts w:ascii="Times New Roman" w:hAnsi="Times New Roman"/>
          <w:color w:val="auto"/>
          <w:szCs w:val="21"/>
        </w:rPr>
        <w:t>的其他地方进行察看，查阅、审核勘察的原始记录和其他文件。发包人的检查和审核，不免除勘察人按合同约定应负的责任。</w:t>
      </w:r>
    </w:p>
    <w:p>
      <w:pPr>
        <w:pStyle w:val="6"/>
        <w:spacing w:line="240" w:lineRule="auto"/>
        <w:ind w:firstLine="137"/>
        <w:rPr>
          <w:rFonts w:ascii="Times New Roman" w:hAnsi="Times New Roman"/>
          <w:color w:val="auto"/>
        </w:rPr>
      </w:pPr>
      <w:bookmarkStart w:id="473" w:name="_Toc482188609"/>
      <w:bookmarkStart w:id="474" w:name="_Toc492300898"/>
      <w:r>
        <w:rPr>
          <w:rFonts w:ascii="Times New Roman" w:hAnsi="Times New Roman"/>
          <w:color w:val="auto"/>
        </w:rPr>
        <w:t xml:space="preserve">9.2 </w:t>
      </w:r>
      <w:r>
        <w:rPr>
          <w:rFonts w:hint="eastAsia" w:ascii="Times New Roman" w:hAnsi="Times New Roman"/>
          <w:color w:val="auto"/>
        </w:rPr>
        <w:t>勘察文件错误责任</w:t>
      </w:r>
      <w:bookmarkEnd w:id="473"/>
      <w:bookmarkEnd w:id="474"/>
    </w:p>
    <w:p>
      <w:pPr>
        <w:spacing w:line="360" w:lineRule="auto"/>
        <w:ind w:firstLine="420" w:firstLineChars="200"/>
        <w:rPr>
          <w:rFonts w:ascii="Times New Roman" w:hAnsi="Times New Roman"/>
          <w:color w:val="auto"/>
          <w:szCs w:val="21"/>
        </w:rPr>
      </w:pPr>
      <w:r>
        <w:rPr>
          <w:rFonts w:ascii="Times New Roman" w:hAnsi="Times New Roman"/>
          <w:color w:val="auto"/>
        </w:rPr>
        <w:t>9.2.1 勘察文件存在错误、遗漏、含混、矛盾、不充分之处或其他缺陷，无论勘察人是否通过了发包人审查或</w:t>
      </w:r>
      <w:bookmarkStart w:id="475" w:name="_Toc247527686"/>
      <w:bookmarkStart w:id="476" w:name="_Toc247514085"/>
      <w:bookmarkStart w:id="477" w:name="_Toc300835084"/>
      <w:r>
        <w:rPr>
          <w:rFonts w:ascii="Times New Roman" w:hAnsi="Times New Roman"/>
          <w:color w:val="auto"/>
        </w:rPr>
        <w:t>审查机构审查，勘察人均</w:t>
      </w:r>
      <w:bookmarkEnd w:id="475"/>
      <w:bookmarkEnd w:id="476"/>
      <w:bookmarkEnd w:id="477"/>
      <w:r>
        <w:rPr>
          <w:rFonts w:ascii="Times New Roman" w:hAnsi="Times New Roman"/>
          <w:color w:val="auto"/>
        </w:rPr>
        <w:t>应自费对前述问题带来的缺陷和工程问题进行改正，但因第1.6.2项</w:t>
      </w:r>
      <w:r>
        <w:rPr>
          <w:rFonts w:hint="eastAsia" w:ascii="Times New Roman" w:hAnsi="Times New Roman"/>
          <w:color w:val="auto"/>
        </w:rPr>
        <w:t>约定由</w:t>
      </w:r>
      <w:r>
        <w:rPr>
          <w:rFonts w:ascii="Times New Roman" w:hAnsi="Times New Roman"/>
          <w:color w:val="auto"/>
          <w:szCs w:val="21"/>
        </w:rPr>
        <w:t>发包人提供的文件错误导致</w:t>
      </w:r>
      <w:r>
        <w:rPr>
          <w:rFonts w:ascii="Times New Roman" w:hAnsi="Times New Roman"/>
          <w:color w:val="auto"/>
        </w:rPr>
        <w:t>的</w:t>
      </w:r>
      <w:r>
        <w:rPr>
          <w:rFonts w:ascii="Times New Roman" w:hAnsi="Times New Roman"/>
          <w:color w:val="auto"/>
          <w:szCs w:val="21"/>
        </w:rPr>
        <w:t>除外。</w:t>
      </w:r>
    </w:p>
    <w:p>
      <w:pPr>
        <w:spacing w:line="360" w:lineRule="auto"/>
        <w:ind w:firstLine="420" w:firstLineChars="200"/>
        <w:rPr>
          <w:rFonts w:ascii="Times New Roman" w:hAnsi="Times New Roman"/>
          <w:color w:val="auto"/>
          <w:szCs w:val="21"/>
        </w:rPr>
      </w:pPr>
      <w:r>
        <w:rPr>
          <w:rFonts w:ascii="Times New Roman" w:hAnsi="Times New Roman"/>
          <w:color w:val="auto"/>
          <w:szCs w:val="21"/>
        </w:rPr>
        <w:t xml:space="preserve">9.2.2 因勘察人原因造成勘察文件不合格的，发包人有权要求勘察人采取补救措施，直至达到合同要求的质量标准，并按第14.1款的约定承担责任。 </w:t>
      </w:r>
    </w:p>
    <w:p>
      <w:pPr>
        <w:spacing w:line="360" w:lineRule="auto"/>
        <w:ind w:firstLine="420" w:firstLineChars="200"/>
        <w:rPr>
          <w:rFonts w:ascii="Times New Roman" w:hAnsi="Times New Roman"/>
          <w:color w:val="auto"/>
          <w:szCs w:val="21"/>
        </w:rPr>
      </w:pPr>
      <w:r>
        <w:rPr>
          <w:rFonts w:ascii="Times New Roman" w:hAnsi="Times New Roman"/>
          <w:color w:val="auto"/>
          <w:szCs w:val="21"/>
        </w:rPr>
        <w:t>9.2.3 因发包人原因造成勘察文件不合格的，勘察人应当采取补救措施，直至达到合同要求的质量标准，由此造成的勘察费用增加和（或）勘察服务期限延误由发包人承担。</w:t>
      </w:r>
    </w:p>
    <w:p>
      <w:pPr>
        <w:pStyle w:val="6"/>
        <w:spacing w:line="240" w:lineRule="auto"/>
        <w:ind w:firstLine="137"/>
        <w:rPr>
          <w:rFonts w:ascii="Times New Roman" w:hAnsi="Times New Roman"/>
          <w:color w:val="auto"/>
        </w:rPr>
      </w:pPr>
      <w:bookmarkStart w:id="478" w:name="_Toc492300899"/>
      <w:bookmarkStart w:id="479" w:name="_Toc482188610"/>
      <w:r>
        <w:rPr>
          <w:rFonts w:ascii="Times New Roman" w:hAnsi="Times New Roman"/>
          <w:color w:val="auto"/>
        </w:rPr>
        <w:t xml:space="preserve">9.3 </w:t>
      </w:r>
      <w:r>
        <w:rPr>
          <w:rFonts w:hint="eastAsia" w:ascii="Times New Roman" w:hAnsi="Times New Roman"/>
          <w:color w:val="auto"/>
        </w:rPr>
        <w:t>勘察责任主体</w:t>
      </w:r>
      <w:bookmarkEnd w:id="478"/>
      <w:bookmarkEnd w:id="479"/>
    </w:p>
    <w:p>
      <w:pPr>
        <w:spacing w:line="360" w:lineRule="auto"/>
        <w:ind w:firstLine="420" w:firstLineChars="200"/>
        <w:rPr>
          <w:rFonts w:ascii="Times New Roman" w:hAnsi="Times New Roman"/>
          <w:color w:val="auto"/>
        </w:rPr>
      </w:pPr>
      <w:r>
        <w:rPr>
          <w:rFonts w:ascii="Times New Roman" w:hAnsi="Times New Roman"/>
          <w:color w:val="auto"/>
        </w:rPr>
        <w:t>9.3.1 勘察人应运用一切合理的专业技术、知识技能和项目经验，按照职业道德准则和行业公认标准尽其全部职责，勤勉、谨慎、公正地履行其在本合同项下的责任和义务。</w:t>
      </w:r>
    </w:p>
    <w:p>
      <w:pPr>
        <w:spacing w:line="360" w:lineRule="auto"/>
        <w:ind w:firstLine="420" w:firstLineChars="200"/>
        <w:rPr>
          <w:rFonts w:ascii="Times New Roman" w:hAnsi="Times New Roman"/>
          <w:color w:val="auto"/>
        </w:rPr>
      </w:pPr>
      <w:r>
        <w:rPr>
          <w:rFonts w:ascii="Times New Roman" w:hAnsi="Times New Roman"/>
          <w:color w:val="auto"/>
        </w:rPr>
        <w:t>9.3.2 勘察责任为勘察单位项目负责人终身责任制。项目负责人应当保证勘察文件符合法律法规和工程建设强制性标准的要求，对因勘察导致的工程质量事故或质量问题承担责任。</w:t>
      </w:r>
    </w:p>
    <w:p>
      <w:pPr>
        <w:spacing w:line="360" w:lineRule="auto"/>
        <w:ind w:firstLine="420" w:firstLineChars="200"/>
        <w:rPr>
          <w:rFonts w:ascii="Times New Roman" w:hAnsi="Times New Roman"/>
          <w:color w:val="auto"/>
        </w:rPr>
      </w:pPr>
      <w:r>
        <w:rPr>
          <w:rFonts w:ascii="Times New Roman" w:hAnsi="Times New Roman"/>
          <w:color w:val="auto"/>
        </w:rPr>
        <w:t>9.3.3 项目负责人应当在办理工程质量监督手续前签署工程质量终身责任承诺书，连同法定代表人出具的授权书，报工程质量监督机构备案。</w:t>
      </w:r>
    </w:p>
    <w:p>
      <w:pPr>
        <w:pStyle w:val="6"/>
        <w:spacing w:line="240" w:lineRule="auto"/>
        <w:ind w:firstLine="137"/>
        <w:rPr>
          <w:rFonts w:ascii="Times New Roman" w:hAnsi="Times New Roman"/>
          <w:color w:val="auto"/>
        </w:rPr>
      </w:pPr>
      <w:bookmarkStart w:id="480" w:name="_Toc482188611"/>
      <w:bookmarkStart w:id="481" w:name="_Toc492300900"/>
      <w:r>
        <w:rPr>
          <w:rFonts w:ascii="Times New Roman" w:hAnsi="Times New Roman"/>
          <w:color w:val="auto"/>
        </w:rPr>
        <w:t xml:space="preserve">9.4 </w:t>
      </w:r>
      <w:r>
        <w:rPr>
          <w:rFonts w:hint="eastAsia" w:ascii="Times New Roman" w:hAnsi="Times New Roman"/>
          <w:color w:val="auto"/>
        </w:rPr>
        <w:t>勘察责任保险</w:t>
      </w:r>
      <w:bookmarkEnd w:id="480"/>
      <w:bookmarkEnd w:id="481"/>
    </w:p>
    <w:p>
      <w:pPr>
        <w:spacing w:line="360" w:lineRule="auto"/>
        <w:ind w:firstLine="420" w:firstLineChars="200"/>
        <w:rPr>
          <w:rFonts w:ascii="Times New Roman" w:hAnsi="Times New Roman"/>
          <w:color w:val="auto"/>
        </w:rPr>
      </w:pPr>
      <w:r>
        <w:rPr>
          <w:rFonts w:ascii="Times New Roman" w:hAnsi="Times New Roman"/>
          <w:color w:val="auto"/>
        </w:rPr>
        <w:t>9.4.1 除专用合同条款另有约定外，勘察人应具有发包人认可的、履行本合同所需要的工程勘察责任险，</w:t>
      </w:r>
      <w:r>
        <w:rPr>
          <w:rFonts w:ascii="Times New Roman" w:hAnsi="Times New Roman"/>
          <w:color w:val="auto"/>
          <w:szCs w:val="21"/>
        </w:rPr>
        <w:t>于合同签订后28天内向发包人提交工程勘察责任险的保险单副本或者其他有效证明，</w:t>
      </w:r>
      <w:r>
        <w:rPr>
          <w:rFonts w:ascii="Times New Roman" w:hAnsi="Times New Roman"/>
          <w:color w:val="auto"/>
        </w:rPr>
        <w:t>并在合同履行期间保持足额、有效。</w:t>
      </w:r>
    </w:p>
    <w:p>
      <w:pPr>
        <w:spacing w:line="360" w:lineRule="auto"/>
        <w:ind w:firstLine="420" w:firstLineChars="200"/>
        <w:rPr>
          <w:rFonts w:ascii="Times New Roman" w:hAnsi="Times New Roman"/>
          <w:color w:val="auto"/>
        </w:rPr>
      </w:pPr>
      <w:r>
        <w:rPr>
          <w:rFonts w:ascii="Times New Roman" w:hAnsi="Times New Roman"/>
          <w:color w:val="auto"/>
        </w:rPr>
        <w:t>9.4.2 工程勘察责任险的保险范围，应当包括由于勘察人的疏忽或过失而造成的工程质量事故损失，以及由于事故引发的第三者人身伤亡、财产损失或费用赔偿等。</w:t>
      </w:r>
    </w:p>
    <w:p>
      <w:pPr>
        <w:spacing w:line="360" w:lineRule="auto"/>
        <w:ind w:firstLine="420" w:firstLineChars="200"/>
        <w:rPr>
          <w:rFonts w:ascii="Times New Roman" w:hAnsi="Times New Roman"/>
          <w:color w:val="auto"/>
          <w:szCs w:val="21"/>
        </w:rPr>
      </w:pPr>
      <w:r>
        <w:rPr>
          <w:rFonts w:ascii="Times New Roman" w:hAnsi="Times New Roman"/>
          <w:color w:val="auto"/>
        </w:rPr>
        <w:t>9.4.3 发生工程勘察保险事故后，勘察人应按保险人要求进行报告，并负责办理保险理赔业务；</w:t>
      </w:r>
      <w:r>
        <w:rPr>
          <w:rFonts w:ascii="Times New Roman" w:hAnsi="Times New Roman"/>
          <w:color w:val="auto"/>
          <w:szCs w:val="21"/>
        </w:rPr>
        <w:t>保险金不足以补偿损失的，由勘察人自行补偿。</w:t>
      </w:r>
    </w:p>
    <w:p>
      <w:pPr>
        <w:pStyle w:val="5"/>
        <w:rPr>
          <w:rFonts w:ascii="Times New Roman" w:hAnsi="Times New Roman"/>
          <w:color w:val="auto"/>
        </w:rPr>
      </w:pPr>
      <w:bookmarkStart w:id="482" w:name="_Toc492300901"/>
      <w:bookmarkStart w:id="483" w:name="_Toc482188612"/>
      <w:r>
        <w:rPr>
          <w:rFonts w:ascii="Times New Roman" w:hAnsi="Times New Roman"/>
          <w:color w:val="auto"/>
        </w:rPr>
        <w:t>10. 设计和施工期间配合</w:t>
      </w:r>
      <w:bookmarkEnd w:id="482"/>
      <w:bookmarkEnd w:id="483"/>
    </w:p>
    <w:p>
      <w:pPr>
        <w:pStyle w:val="6"/>
        <w:spacing w:line="240" w:lineRule="auto"/>
        <w:ind w:firstLine="137"/>
        <w:rPr>
          <w:rFonts w:ascii="Times New Roman" w:hAnsi="Times New Roman"/>
          <w:color w:val="auto"/>
        </w:rPr>
      </w:pPr>
      <w:bookmarkStart w:id="484" w:name="_Toc492300902"/>
      <w:bookmarkStart w:id="485" w:name="_Toc482188613"/>
      <w:r>
        <w:rPr>
          <w:rFonts w:ascii="Times New Roman" w:hAnsi="Times New Roman"/>
          <w:color w:val="auto"/>
        </w:rPr>
        <w:t xml:space="preserve">10.1 </w:t>
      </w:r>
      <w:r>
        <w:rPr>
          <w:rFonts w:hint="eastAsia" w:ascii="Times New Roman" w:hAnsi="Times New Roman"/>
          <w:color w:val="auto"/>
        </w:rPr>
        <w:t>设计期间配合</w:t>
      </w:r>
      <w:bookmarkEnd w:id="484"/>
      <w:bookmarkEnd w:id="485"/>
    </w:p>
    <w:p>
      <w:pPr>
        <w:spacing w:line="360" w:lineRule="auto"/>
        <w:ind w:firstLine="420" w:firstLineChars="200"/>
        <w:rPr>
          <w:rFonts w:ascii="Times New Roman" w:hAnsi="Times New Roman"/>
          <w:color w:val="auto"/>
        </w:rPr>
      </w:pPr>
      <w:r>
        <w:rPr>
          <w:rFonts w:ascii="Times New Roman" w:hAnsi="Times New Roman"/>
          <w:color w:val="auto"/>
        </w:rPr>
        <w:t>10.1.1 设计配合指勘察人配合设计人，在设计期间对本工程进行的补充勘察或其他配合工作。</w:t>
      </w:r>
    </w:p>
    <w:p>
      <w:pPr>
        <w:spacing w:line="360" w:lineRule="auto"/>
        <w:ind w:firstLine="420" w:firstLineChars="200"/>
        <w:rPr>
          <w:rFonts w:ascii="Times New Roman" w:hAnsi="Times New Roman"/>
          <w:color w:val="auto"/>
          <w:szCs w:val="21"/>
        </w:rPr>
      </w:pPr>
      <w:bookmarkStart w:id="486" w:name="_Toc56141844"/>
      <w:bookmarkStart w:id="487" w:name="_Toc54329115"/>
      <w:bookmarkStart w:id="488" w:name="_Toc59900920"/>
      <w:bookmarkStart w:id="489" w:name="_Toc53290166"/>
      <w:bookmarkStart w:id="490" w:name="_Toc56409059"/>
      <w:bookmarkStart w:id="491" w:name="_Toc56139034"/>
      <w:bookmarkStart w:id="492" w:name="_Toc54372035"/>
      <w:bookmarkStart w:id="493" w:name="_Toc26108574"/>
      <w:bookmarkStart w:id="494" w:name="_Toc54330944"/>
      <w:bookmarkStart w:id="495" w:name="_Toc56153806"/>
      <w:bookmarkStart w:id="496" w:name="_Toc55705120"/>
      <w:bookmarkStart w:id="497" w:name="_Toc25930148"/>
      <w:bookmarkStart w:id="498" w:name="_Toc402386798"/>
      <w:bookmarkStart w:id="499" w:name="_Toc54368850"/>
      <w:bookmarkStart w:id="500" w:name="_Toc55639357"/>
      <w:bookmarkStart w:id="501" w:name="_Toc54372201"/>
      <w:bookmarkStart w:id="502" w:name="_Toc14102102"/>
      <w:bookmarkStart w:id="503" w:name="_Toc55707625"/>
      <w:bookmarkStart w:id="504" w:name="_Toc54372619"/>
      <w:bookmarkStart w:id="505" w:name="_Toc59896652"/>
      <w:bookmarkStart w:id="506" w:name="_Toc55654492"/>
      <w:r>
        <w:rPr>
          <w:rFonts w:ascii="Times New Roman" w:hAnsi="Times New Roman"/>
          <w:color w:val="auto"/>
        </w:rPr>
        <w:t xml:space="preserve">10.1.2 </w:t>
      </w:r>
      <w:r>
        <w:rPr>
          <w:rFonts w:ascii="Times New Roman" w:hAnsi="Times New Roman"/>
          <w:color w:val="auto"/>
          <w:szCs w:val="21"/>
        </w:rPr>
        <w:t>勘察人</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r>
        <w:rPr>
          <w:rFonts w:ascii="Times New Roman" w:hAnsi="Times New Roman"/>
          <w:color w:val="auto"/>
          <w:szCs w:val="21"/>
        </w:rPr>
        <w:t>应当根据设计工作需要，对勘察报告和资料文件中的不完善或者错误之处，进行验证、补充或者修改；如遇不利的工程地质条件，勘察人应与设计人研讨并提出解决建议。</w:t>
      </w:r>
    </w:p>
    <w:p>
      <w:pPr>
        <w:pStyle w:val="6"/>
        <w:spacing w:line="240" w:lineRule="auto"/>
        <w:ind w:firstLine="137"/>
        <w:rPr>
          <w:rFonts w:ascii="Times New Roman" w:hAnsi="Times New Roman"/>
          <w:color w:val="auto"/>
        </w:rPr>
      </w:pPr>
      <w:bookmarkStart w:id="507" w:name="_Toc492300903"/>
      <w:bookmarkStart w:id="508" w:name="_Toc482188614"/>
      <w:r>
        <w:rPr>
          <w:rFonts w:ascii="Times New Roman" w:hAnsi="Times New Roman"/>
          <w:color w:val="auto"/>
        </w:rPr>
        <w:t>10.2</w:t>
      </w:r>
      <w:r>
        <w:rPr>
          <w:rFonts w:hint="eastAsia" w:ascii="Times New Roman" w:hAnsi="Times New Roman"/>
          <w:color w:val="auto"/>
        </w:rPr>
        <w:t>施工期间配合</w:t>
      </w:r>
      <w:bookmarkEnd w:id="507"/>
      <w:bookmarkEnd w:id="508"/>
    </w:p>
    <w:p>
      <w:pPr>
        <w:spacing w:line="360" w:lineRule="auto"/>
        <w:ind w:firstLine="420" w:firstLineChars="200"/>
        <w:rPr>
          <w:rFonts w:ascii="Times New Roman" w:hAnsi="Times New Roman"/>
          <w:color w:val="auto"/>
        </w:rPr>
      </w:pPr>
      <w:r>
        <w:rPr>
          <w:rFonts w:ascii="Times New Roman" w:hAnsi="Times New Roman"/>
          <w:color w:val="auto"/>
        </w:rPr>
        <w:t>10.2.1 施工配合指勘察人配合施工承包人，在施工期间对本工程进行的补充勘察或其他配合工作，直至</w:t>
      </w:r>
      <w:bookmarkStart w:id="509" w:name="_Toc56141845"/>
      <w:bookmarkStart w:id="510" w:name="_Toc54330945"/>
      <w:bookmarkStart w:id="511" w:name="_Toc402386799"/>
      <w:bookmarkStart w:id="512" w:name="_Toc56153807"/>
      <w:bookmarkStart w:id="513" w:name="_Toc54329116"/>
      <w:bookmarkStart w:id="514" w:name="_Toc54372620"/>
      <w:bookmarkStart w:id="515" w:name="_Toc55705121"/>
      <w:bookmarkStart w:id="516" w:name="_Toc54372036"/>
      <w:bookmarkStart w:id="517" w:name="_Toc54372202"/>
      <w:bookmarkStart w:id="518" w:name="_Toc55639358"/>
      <w:bookmarkStart w:id="519" w:name="_Toc55654493"/>
      <w:bookmarkStart w:id="520" w:name="_Toc55707626"/>
      <w:bookmarkStart w:id="521" w:name="_Toc59896653"/>
      <w:bookmarkStart w:id="522" w:name="_Toc56409060"/>
      <w:bookmarkStart w:id="523" w:name="_Toc53290167"/>
      <w:bookmarkStart w:id="524" w:name="_Toc14102103"/>
      <w:bookmarkStart w:id="525" w:name="_Toc54368851"/>
      <w:bookmarkStart w:id="526" w:name="_Toc59900921"/>
      <w:bookmarkStart w:id="527" w:name="_Toc25930149"/>
      <w:bookmarkStart w:id="528" w:name="_Toc56139035"/>
      <w:bookmarkStart w:id="529" w:name="_Toc26108575"/>
      <w:r>
        <w:rPr>
          <w:rFonts w:ascii="Times New Roman" w:hAnsi="Times New Roman"/>
          <w:color w:val="auto"/>
        </w:rPr>
        <w:t>工程通过</w:t>
      </w:r>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r>
        <w:rPr>
          <w:rFonts w:ascii="Times New Roman" w:hAnsi="Times New Roman"/>
          <w:color w:val="auto"/>
        </w:rPr>
        <w:t>竣工验收为止。</w:t>
      </w:r>
    </w:p>
    <w:p>
      <w:pPr>
        <w:spacing w:line="360" w:lineRule="auto"/>
        <w:ind w:firstLine="420" w:firstLineChars="200"/>
        <w:rPr>
          <w:rFonts w:ascii="Times New Roman" w:hAnsi="Times New Roman"/>
          <w:color w:val="auto"/>
        </w:rPr>
      </w:pPr>
      <w:r>
        <w:rPr>
          <w:rFonts w:ascii="Times New Roman" w:hAnsi="Times New Roman"/>
          <w:color w:val="auto"/>
        </w:rPr>
        <w:t>10.2.2 除专用合同条款另有约定外，发包人应为勘察人派赴施工现场的工作人员，在施工期间提供办公房间、办公桌椅、互联网接口、冷暖设施、生活设施、进出现场交通服务和其他便利条件。</w:t>
      </w:r>
    </w:p>
    <w:p>
      <w:pPr>
        <w:spacing w:line="360" w:lineRule="auto"/>
        <w:ind w:firstLine="420" w:firstLineChars="200"/>
        <w:rPr>
          <w:rFonts w:ascii="Times New Roman" w:hAnsi="Times New Roman"/>
          <w:color w:val="auto"/>
          <w:szCs w:val="21"/>
        </w:rPr>
      </w:pPr>
      <w:r>
        <w:rPr>
          <w:rFonts w:ascii="Times New Roman" w:hAnsi="Times New Roman"/>
          <w:color w:val="auto"/>
          <w:szCs w:val="21"/>
        </w:rPr>
        <w:t>10.2.3 勘察人应在本工程的施工期间，积极提供勘察配合服务，进行勘察技术交底，委派专业人员配合施工承包人及时解决与勘察有关的问题，参与基坑基底验收和工程竣工验收等工作。</w:t>
      </w:r>
    </w:p>
    <w:p>
      <w:pPr>
        <w:spacing w:line="360" w:lineRule="auto"/>
        <w:ind w:firstLine="420" w:firstLineChars="200"/>
        <w:rPr>
          <w:rFonts w:ascii="Times New Roman" w:hAnsi="Times New Roman"/>
          <w:color w:val="auto"/>
        </w:rPr>
      </w:pPr>
      <w:r>
        <w:rPr>
          <w:rFonts w:ascii="Times New Roman" w:hAnsi="Times New Roman"/>
          <w:color w:val="auto"/>
        </w:rPr>
        <w:t>10.2.4 发包人应当组织勘察技术交底会，由勘察人向发包人、监理人和施工承包人等进行勘察交底，对本工程的勘察意图、勘察文件和施工要求等进行系统地说明和解释。</w:t>
      </w:r>
    </w:p>
    <w:p>
      <w:pPr>
        <w:spacing w:line="360" w:lineRule="auto"/>
        <w:ind w:firstLine="420" w:firstLineChars="200"/>
        <w:rPr>
          <w:rFonts w:ascii="Times New Roman" w:hAnsi="Times New Roman"/>
          <w:color w:val="auto"/>
          <w:szCs w:val="21"/>
        </w:rPr>
      </w:pPr>
      <w:r>
        <w:rPr>
          <w:rFonts w:ascii="Times New Roman" w:hAnsi="Times New Roman"/>
          <w:color w:val="auto"/>
        </w:rPr>
        <w:t>10.2.5 工程施工完毕后，发包人应当组织投产试车（试运行）和工程竣工验收，勘察人参加验收并出具本单位的验收结论。</w:t>
      </w:r>
    </w:p>
    <w:p>
      <w:pPr>
        <w:pStyle w:val="5"/>
        <w:rPr>
          <w:rFonts w:ascii="Times New Roman" w:hAnsi="Times New Roman"/>
          <w:color w:val="auto"/>
        </w:rPr>
      </w:pPr>
      <w:bookmarkStart w:id="530" w:name="_Toc482188615"/>
      <w:bookmarkStart w:id="531" w:name="_Toc492300904"/>
      <w:r>
        <w:rPr>
          <w:rFonts w:ascii="Times New Roman" w:hAnsi="Times New Roman"/>
          <w:color w:val="auto"/>
        </w:rPr>
        <w:t>11. 合同变更</w:t>
      </w:r>
      <w:bookmarkEnd w:id="530"/>
      <w:bookmarkEnd w:id="531"/>
    </w:p>
    <w:p>
      <w:pPr>
        <w:pStyle w:val="6"/>
        <w:spacing w:line="240" w:lineRule="auto"/>
        <w:ind w:firstLine="137"/>
        <w:rPr>
          <w:rFonts w:ascii="Times New Roman" w:hAnsi="Times New Roman"/>
          <w:color w:val="auto"/>
        </w:rPr>
      </w:pPr>
      <w:bookmarkStart w:id="532" w:name="_Toc482188616"/>
      <w:bookmarkStart w:id="533" w:name="_Toc492300905"/>
      <w:bookmarkStart w:id="534" w:name="_Toc467651025"/>
      <w:r>
        <w:rPr>
          <w:rFonts w:ascii="Times New Roman" w:hAnsi="Times New Roman"/>
          <w:color w:val="auto"/>
        </w:rPr>
        <w:t xml:space="preserve">11.1 </w:t>
      </w:r>
      <w:r>
        <w:rPr>
          <w:rFonts w:hint="eastAsia" w:ascii="Times New Roman" w:hAnsi="Times New Roman"/>
          <w:color w:val="auto"/>
        </w:rPr>
        <w:t>变更情形</w:t>
      </w:r>
      <w:bookmarkEnd w:id="532"/>
      <w:bookmarkEnd w:id="533"/>
      <w:bookmarkEnd w:id="534"/>
    </w:p>
    <w:p>
      <w:pPr>
        <w:spacing w:line="360" w:lineRule="auto"/>
        <w:ind w:firstLine="420" w:firstLineChars="200"/>
        <w:rPr>
          <w:rFonts w:ascii="Times New Roman" w:hAnsi="Times New Roman"/>
          <w:color w:val="auto"/>
          <w:szCs w:val="21"/>
        </w:rPr>
      </w:pPr>
      <w:r>
        <w:rPr>
          <w:rFonts w:ascii="Times New Roman" w:hAnsi="Times New Roman"/>
          <w:color w:val="auto"/>
          <w:szCs w:val="21"/>
        </w:rPr>
        <w:t>11.1.1 合同履行中发生下述情形时，合同一方均可向对方提出变更请求，经双方协商一致后进行变更，勘察服务期限和勘察费用的调整方法</w:t>
      </w:r>
      <w:r>
        <w:rPr>
          <w:rFonts w:ascii="Times New Roman" w:hAnsi="Times New Roman"/>
          <w:color w:val="auto"/>
          <w:kern w:val="0"/>
          <w:szCs w:val="21"/>
        </w:rPr>
        <w:t>在专用合同条款中约定</w:t>
      </w:r>
      <w:r>
        <w:rPr>
          <w:rFonts w:ascii="Times New Roman" w:hAnsi="Times New Roman"/>
          <w:color w:val="auto"/>
          <w:szCs w:val="21"/>
        </w:rPr>
        <w:t>。</w:t>
      </w:r>
    </w:p>
    <w:p>
      <w:pPr>
        <w:spacing w:line="360" w:lineRule="auto"/>
        <w:ind w:firstLine="420" w:firstLineChars="200"/>
        <w:rPr>
          <w:rFonts w:ascii="Times New Roman" w:hAnsi="Times New Roman"/>
          <w:color w:val="auto"/>
          <w:szCs w:val="21"/>
        </w:rPr>
      </w:pPr>
      <w:r>
        <w:rPr>
          <w:rFonts w:ascii="Times New Roman" w:hAnsi="Times New Roman"/>
          <w:color w:val="auto"/>
          <w:szCs w:val="21"/>
        </w:rPr>
        <w:t>（1）勘察范围发生变化；</w:t>
      </w:r>
    </w:p>
    <w:p>
      <w:pPr>
        <w:spacing w:line="360" w:lineRule="auto"/>
        <w:ind w:firstLine="420" w:firstLineChars="200"/>
        <w:rPr>
          <w:rFonts w:ascii="Times New Roman" w:hAnsi="Times New Roman"/>
          <w:color w:val="auto"/>
          <w:szCs w:val="21"/>
        </w:rPr>
      </w:pPr>
      <w:r>
        <w:rPr>
          <w:rFonts w:ascii="Times New Roman" w:hAnsi="Times New Roman"/>
          <w:color w:val="auto"/>
          <w:szCs w:val="21"/>
        </w:rPr>
        <w:t>（2）除不可抗力外，非勘察人的原因引起的周期延误；</w:t>
      </w:r>
    </w:p>
    <w:p>
      <w:pPr>
        <w:spacing w:line="360" w:lineRule="auto"/>
        <w:ind w:firstLine="420" w:firstLineChars="200"/>
        <w:rPr>
          <w:rFonts w:ascii="Times New Roman" w:hAnsi="Times New Roman"/>
          <w:color w:val="auto"/>
          <w:szCs w:val="21"/>
        </w:rPr>
      </w:pPr>
      <w:r>
        <w:rPr>
          <w:rFonts w:ascii="Times New Roman" w:hAnsi="Times New Roman"/>
          <w:color w:val="auto"/>
          <w:szCs w:val="21"/>
        </w:rPr>
        <w:t>（3）非勘察人的原因，对工程同一部分重复进行勘察；</w:t>
      </w:r>
    </w:p>
    <w:p>
      <w:pPr>
        <w:spacing w:line="360" w:lineRule="auto"/>
        <w:ind w:firstLine="420" w:firstLineChars="200"/>
        <w:rPr>
          <w:rFonts w:ascii="Times New Roman" w:hAnsi="Times New Roman"/>
          <w:color w:val="auto"/>
          <w:szCs w:val="21"/>
        </w:rPr>
      </w:pPr>
      <w:r>
        <w:rPr>
          <w:rFonts w:ascii="Times New Roman" w:hAnsi="Times New Roman"/>
          <w:color w:val="auto"/>
          <w:szCs w:val="21"/>
        </w:rPr>
        <w:t>（4）非勘察人的原因，对工程暂停勘察及恢复勘察。</w:t>
      </w:r>
    </w:p>
    <w:p>
      <w:pPr>
        <w:spacing w:line="360" w:lineRule="auto"/>
        <w:ind w:firstLine="420" w:firstLineChars="200"/>
        <w:rPr>
          <w:rFonts w:ascii="Times New Roman" w:hAnsi="Times New Roman"/>
          <w:color w:val="auto"/>
          <w:szCs w:val="21"/>
        </w:rPr>
      </w:pPr>
      <w:r>
        <w:rPr>
          <w:rFonts w:ascii="Times New Roman" w:hAnsi="Times New Roman"/>
          <w:color w:val="auto"/>
          <w:szCs w:val="21"/>
        </w:rPr>
        <w:t>11.1.2 基准日后，因颁布新的或修订原有法律、法规、规范和标准等引发合同变更情形的，按照上述约定进行调整。</w:t>
      </w:r>
    </w:p>
    <w:p>
      <w:pPr>
        <w:pStyle w:val="6"/>
        <w:spacing w:line="240" w:lineRule="auto"/>
        <w:ind w:firstLine="137"/>
        <w:rPr>
          <w:rFonts w:ascii="Times New Roman" w:hAnsi="Times New Roman"/>
          <w:color w:val="auto"/>
        </w:rPr>
      </w:pPr>
      <w:bookmarkStart w:id="535" w:name="_Toc467651026"/>
      <w:bookmarkStart w:id="536" w:name="_Toc492300906"/>
      <w:bookmarkStart w:id="537" w:name="_Toc482188617"/>
      <w:r>
        <w:rPr>
          <w:rFonts w:ascii="Times New Roman" w:hAnsi="Times New Roman"/>
          <w:color w:val="auto"/>
        </w:rPr>
        <w:t xml:space="preserve">11.2 </w:t>
      </w:r>
      <w:r>
        <w:rPr>
          <w:rFonts w:hint="eastAsia" w:ascii="Times New Roman" w:hAnsi="Times New Roman"/>
          <w:color w:val="auto"/>
        </w:rPr>
        <w:t>合理化建议</w:t>
      </w:r>
      <w:bookmarkEnd w:id="535"/>
      <w:bookmarkEnd w:id="536"/>
      <w:bookmarkEnd w:id="537"/>
    </w:p>
    <w:p>
      <w:pPr>
        <w:spacing w:line="360" w:lineRule="auto"/>
        <w:ind w:firstLine="420" w:firstLineChars="200"/>
        <w:rPr>
          <w:rFonts w:ascii="Times New Roman" w:hAnsi="Times New Roman"/>
          <w:color w:val="auto"/>
          <w:szCs w:val="21"/>
        </w:rPr>
      </w:pPr>
      <w:r>
        <w:rPr>
          <w:rFonts w:ascii="Times New Roman" w:hAnsi="Times New Roman"/>
          <w:color w:val="auto"/>
        </w:rPr>
        <w:t xml:space="preserve">11.2.1 </w:t>
      </w:r>
      <w:r>
        <w:rPr>
          <w:rFonts w:ascii="Times New Roman" w:hAnsi="Times New Roman"/>
          <w:color w:val="auto"/>
          <w:szCs w:val="21"/>
        </w:rPr>
        <w:t>合同履行中，勘察人可对发包人要求提出合理化建议。合理化建议应以书面形式提交发包人，被发包人采纳并构成变更的，执行第</w:t>
      </w:r>
      <w:r>
        <w:rPr>
          <w:rFonts w:ascii="Times New Roman" w:hAnsi="Times New Roman"/>
          <w:color w:val="auto"/>
        </w:rPr>
        <w:t>11.1</w:t>
      </w:r>
      <w:r>
        <w:rPr>
          <w:rFonts w:ascii="Times New Roman" w:hAnsi="Times New Roman"/>
          <w:color w:val="auto"/>
          <w:szCs w:val="21"/>
        </w:rPr>
        <w:t>款约定。</w:t>
      </w:r>
    </w:p>
    <w:p>
      <w:pPr>
        <w:spacing w:line="360" w:lineRule="auto"/>
        <w:ind w:firstLine="420" w:firstLineChars="200"/>
        <w:rPr>
          <w:rFonts w:ascii="Times New Roman" w:hAnsi="Times New Roman"/>
          <w:color w:val="auto"/>
          <w:szCs w:val="21"/>
        </w:rPr>
      </w:pPr>
      <w:r>
        <w:rPr>
          <w:rFonts w:ascii="Times New Roman" w:hAnsi="Times New Roman"/>
          <w:color w:val="auto"/>
        </w:rPr>
        <w:t>11.2.2</w:t>
      </w:r>
      <w:r>
        <w:rPr>
          <w:rFonts w:ascii="Times New Roman" w:hAnsi="Times New Roman"/>
          <w:color w:val="auto"/>
          <w:szCs w:val="21"/>
        </w:rPr>
        <w:t xml:space="preserve"> 勘察人提出的合理化建议降低了工程投资、缩短了施工期限或者提高了工程经济效益的，发包人应按专用合同条款中的约定给予奖励。</w:t>
      </w:r>
    </w:p>
    <w:p>
      <w:pPr>
        <w:pStyle w:val="5"/>
        <w:rPr>
          <w:rFonts w:ascii="Times New Roman" w:hAnsi="Times New Roman"/>
          <w:color w:val="auto"/>
        </w:rPr>
      </w:pPr>
      <w:bookmarkStart w:id="538" w:name="_Toc482188618"/>
      <w:bookmarkStart w:id="539" w:name="_Toc492300907"/>
      <w:r>
        <w:rPr>
          <w:rFonts w:ascii="Times New Roman" w:hAnsi="Times New Roman"/>
          <w:color w:val="auto"/>
        </w:rPr>
        <w:t>12. 合同价格与支付</w:t>
      </w:r>
      <w:bookmarkEnd w:id="538"/>
      <w:bookmarkEnd w:id="539"/>
    </w:p>
    <w:p>
      <w:pPr>
        <w:pStyle w:val="6"/>
        <w:spacing w:line="240" w:lineRule="auto"/>
        <w:ind w:firstLine="137"/>
        <w:rPr>
          <w:rFonts w:ascii="Times New Roman" w:hAnsi="Times New Roman"/>
          <w:color w:val="auto"/>
        </w:rPr>
      </w:pPr>
      <w:bookmarkStart w:id="540" w:name="_Toc492300908"/>
      <w:bookmarkStart w:id="541" w:name="_Toc482188619"/>
      <w:r>
        <w:rPr>
          <w:rFonts w:ascii="Times New Roman" w:hAnsi="Times New Roman"/>
          <w:color w:val="auto"/>
        </w:rPr>
        <w:t xml:space="preserve">12.1 </w:t>
      </w:r>
      <w:r>
        <w:rPr>
          <w:rFonts w:hint="eastAsia" w:ascii="Times New Roman" w:hAnsi="Times New Roman"/>
          <w:color w:val="auto"/>
        </w:rPr>
        <w:t>合同价格</w:t>
      </w:r>
      <w:bookmarkEnd w:id="540"/>
      <w:bookmarkEnd w:id="541"/>
    </w:p>
    <w:p>
      <w:pPr>
        <w:spacing w:line="360" w:lineRule="auto"/>
        <w:ind w:firstLine="420" w:firstLineChars="200"/>
        <w:rPr>
          <w:rFonts w:ascii="Times New Roman" w:hAnsi="Times New Roman"/>
          <w:color w:val="auto"/>
        </w:rPr>
      </w:pPr>
      <w:r>
        <w:rPr>
          <w:rFonts w:ascii="Times New Roman" w:hAnsi="Times New Roman"/>
          <w:color w:val="auto"/>
        </w:rPr>
        <w:t xml:space="preserve">12.1.1 </w:t>
      </w:r>
      <w:r>
        <w:rPr>
          <w:rFonts w:hint="eastAsia" w:ascii="Times New Roman" w:hAnsi="Times New Roman"/>
          <w:color w:val="auto"/>
        </w:rPr>
        <w:t>本合同的价款确定方式、调整方式和风险范围划分，</w:t>
      </w:r>
      <w:r>
        <w:rPr>
          <w:rFonts w:hint="eastAsia" w:ascii="Times New Roman" w:hAnsi="Times New Roman"/>
          <w:color w:val="auto"/>
          <w:kern w:val="0"/>
          <w:szCs w:val="21"/>
        </w:rPr>
        <w:t>在专用合同条款中约定</w:t>
      </w:r>
      <w:r>
        <w:rPr>
          <w:rFonts w:hint="eastAsia" w:ascii="Times New Roman" w:hAnsi="Times New Roman"/>
          <w:color w:val="auto"/>
        </w:rPr>
        <w:t>。</w:t>
      </w:r>
    </w:p>
    <w:p>
      <w:pPr>
        <w:spacing w:line="360" w:lineRule="auto"/>
        <w:ind w:firstLine="420" w:firstLineChars="200"/>
        <w:rPr>
          <w:rFonts w:ascii="Times New Roman" w:hAnsi="Times New Roman"/>
          <w:color w:val="auto"/>
        </w:rPr>
      </w:pPr>
      <w:r>
        <w:rPr>
          <w:rFonts w:ascii="Times New Roman" w:hAnsi="Times New Roman"/>
          <w:color w:val="auto"/>
        </w:rPr>
        <w:t>12.1.2 勘察费用实行发包人签证制度，即勘察人完成勘察项目后通知发包人进行验收，通过验收后由发包人代表对实施的勘察项目、数量、质量和实施时间签字确认，以此作为计算勘察费用的依据之一。</w:t>
      </w:r>
    </w:p>
    <w:p>
      <w:pPr>
        <w:spacing w:line="360" w:lineRule="auto"/>
        <w:ind w:firstLine="420" w:firstLineChars="200"/>
        <w:rPr>
          <w:rFonts w:ascii="Times New Roman" w:hAnsi="Times New Roman"/>
          <w:color w:val="auto"/>
        </w:rPr>
      </w:pPr>
      <w:r>
        <w:rPr>
          <w:rFonts w:ascii="Times New Roman" w:hAnsi="Times New Roman"/>
          <w:color w:val="auto"/>
        </w:rPr>
        <w:t>12.1.3 除专用合同条款另有约定外，合同价格应当包括收集资料，踏勘现场，制订纲要，进行测绘、勘探、取样、试验、测试、分析、评估、配合审查等，编制勘察文件，设计施工配合，青苗和园林绿化补偿，占地补偿，扰民及民扰，占道施工，安全防护、文明施工、环境保护，农民工工伤保险等全部费用和国家规定的增值税税金。</w:t>
      </w:r>
    </w:p>
    <w:p>
      <w:pPr>
        <w:spacing w:line="360" w:lineRule="auto"/>
        <w:ind w:firstLine="420" w:firstLineChars="200"/>
        <w:rPr>
          <w:rFonts w:ascii="Times New Roman" w:hAnsi="Times New Roman"/>
          <w:color w:val="auto"/>
          <w:szCs w:val="21"/>
        </w:rPr>
      </w:pPr>
      <w:r>
        <w:rPr>
          <w:rFonts w:ascii="Times New Roman" w:hAnsi="Times New Roman"/>
          <w:color w:val="auto"/>
        </w:rPr>
        <w:t>12.1.4 发包人要求勘察人进行外出考察、试验检测、专项咨询或专家评审时，相应费用不含在合同价格之中，由发包人另行支付。</w:t>
      </w:r>
    </w:p>
    <w:p>
      <w:pPr>
        <w:pStyle w:val="6"/>
        <w:spacing w:line="240" w:lineRule="auto"/>
        <w:ind w:firstLine="137"/>
        <w:rPr>
          <w:rFonts w:ascii="Times New Roman" w:hAnsi="Times New Roman"/>
          <w:color w:val="auto"/>
        </w:rPr>
      </w:pPr>
      <w:bookmarkStart w:id="542" w:name="_Toc482188620"/>
      <w:bookmarkStart w:id="543" w:name="_Toc492300909"/>
      <w:r>
        <w:rPr>
          <w:rFonts w:ascii="Times New Roman" w:hAnsi="Times New Roman"/>
          <w:color w:val="auto"/>
        </w:rPr>
        <w:t xml:space="preserve">12.2 </w:t>
      </w:r>
      <w:r>
        <w:rPr>
          <w:rFonts w:hint="eastAsia" w:ascii="Times New Roman" w:hAnsi="Times New Roman"/>
          <w:color w:val="auto"/>
        </w:rPr>
        <w:t>定金</w:t>
      </w:r>
      <w:bookmarkEnd w:id="542"/>
      <w:r>
        <w:rPr>
          <w:rFonts w:hint="eastAsia" w:ascii="Times New Roman" w:hAnsi="Times New Roman"/>
          <w:color w:val="auto"/>
        </w:rPr>
        <w:t>或预付款</w:t>
      </w:r>
      <w:bookmarkEnd w:id="543"/>
    </w:p>
    <w:p>
      <w:pPr>
        <w:spacing w:line="360" w:lineRule="auto"/>
        <w:ind w:firstLine="420" w:firstLineChars="200"/>
        <w:rPr>
          <w:rFonts w:ascii="Times New Roman" w:hAnsi="Times New Roman"/>
          <w:color w:val="auto"/>
        </w:rPr>
      </w:pPr>
      <w:r>
        <w:rPr>
          <w:rFonts w:ascii="Times New Roman" w:hAnsi="Times New Roman"/>
          <w:color w:val="auto"/>
        </w:rPr>
        <w:t>12.2.1</w:t>
      </w:r>
      <w:r>
        <w:rPr>
          <w:rFonts w:hint="eastAsia" w:ascii="Times New Roman" w:hAnsi="Times New Roman"/>
          <w:color w:val="auto"/>
          <w:szCs w:val="21"/>
        </w:rPr>
        <w:t>定金或预付款应专用于本工程的勘察。定金或预付款的额度、支付方式及抵扣方式</w:t>
      </w:r>
      <w:r>
        <w:rPr>
          <w:rFonts w:hint="eastAsia" w:ascii="Times New Roman" w:hAnsi="Times New Roman"/>
          <w:color w:val="auto"/>
          <w:kern w:val="0"/>
          <w:szCs w:val="21"/>
        </w:rPr>
        <w:t>在专用合同条款中约定</w:t>
      </w:r>
      <w:r>
        <w:rPr>
          <w:rFonts w:hint="eastAsia" w:ascii="Times New Roman" w:hAnsi="Times New Roman"/>
          <w:color w:val="auto"/>
        </w:rPr>
        <w:t>。</w:t>
      </w:r>
    </w:p>
    <w:p>
      <w:pPr>
        <w:spacing w:line="360" w:lineRule="auto"/>
        <w:ind w:firstLine="420" w:firstLineChars="200"/>
        <w:rPr>
          <w:rFonts w:ascii="Times New Roman" w:hAnsi="Times New Roman"/>
          <w:color w:val="auto"/>
        </w:rPr>
      </w:pPr>
      <w:r>
        <w:rPr>
          <w:rFonts w:ascii="Times New Roman" w:hAnsi="Times New Roman"/>
          <w:color w:val="auto"/>
        </w:rPr>
        <w:t>12.2.2 发包人应在收到定金</w:t>
      </w:r>
      <w:r>
        <w:rPr>
          <w:rFonts w:hint="eastAsia" w:ascii="Times New Roman" w:hAnsi="Times New Roman"/>
          <w:color w:val="auto"/>
        </w:rPr>
        <w:t>或预付款</w:t>
      </w:r>
      <w:r>
        <w:rPr>
          <w:rFonts w:ascii="Times New Roman" w:hAnsi="Times New Roman"/>
          <w:color w:val="auto"/>
        </w:rPr>
        <w:t>支付</w:t>
      </w:r>
      <w:r>
        <w:rPr>
          <w:rFonts w:ascii="Times New Roman" w:hAnsi="Times New Roman"/>
          <w:color w:val="auto"/>
          <w:szCs w:val="21"/>
        </w:rPr>
        <w:t>申请</w:t>
      </w:r>
      <w:r>
        <w:rPr>
          <w:rFonts w:ascii="Times New Roman" w:hAnsi="Times New Roman"/>
          <w:color w:val="auto"/>
        </w:rPr>
        <w:t>后28天内，将定金</w:t>
      </w:r>
      <w:r>
        <w:rPr>
          <w:rFonts w:hint="eastAsia" w:ascii="Times New Roman" w:hAnsi="Times New Roman"/>
          <w:color w:val="auto"/>
        </w:rPr>
        <w:t>或预付款</w:t>
      </w:r>
      <w:r>
        <w:rPr>
          <w:rFonts w:ascii="Times New Roman" w:hAnsi="Times New Roman"/>
          <w:color w:val="auto"/>
        </w:rPr>
        <w:t>支付给勘察人；勘察人应当提供等额的增值税发票。</w:t>
      </w:r>
    </w:p>
    <w:p>
      <w:pPr>
        <w:spacing w:line="360" w:lineRule="auto"/>
        <w:ind w:firstLine="420" w:firstLineChars="200"/>
        <w:rPr>
          <w:rFonts w:ascii="Times New Roman" w:hAnsi="Times New Roman"/>
          <w:color w:val="auto"/>
          <w:szCs w:val="21"/>
        </w:rPr>
      </w:pPr>
      <w:r>
        <w:rPr>
          <w:rFonts w:ascii="Times New Roman" w:hAnsi="Times New Roman"/>
          <w:color w:val="auto"/>
        </w:rPr>
        <w:t xml:space="preserve">12.2.3 </w:t>
      </w:r>
      <w:r>
        <w:rPr>
          <w:rFonts w:ascii="Times New Roman" w:hAnsi="Times New Roman"/>
          <w:color w:val="auto"/>
          <w:szCs w:val="21"/>
        </w:rPr>
        <w:t>勘察服务完成之前，由于不可抗力或其他非勘察人的原因解除合同时，定金不予退还。</w:t>
      </w:r>
    </w:p>
    <w:p>
      <w:pPr>
        <w:pStyle w:val="6"/>
        <w:spacing w:line="240" w:lineRule="auto"/>
        <w:ind w:firstLine="137"/>
        <w:rPr>
          <w:rFonts w:ascii="Times New Roman" w:hAnsi="Times New Roman"/>
          <w:color w:val="auto"/>
        </w:rPr>
      </w:pPr>
      <w:bookmarkStart w:id="544" w:name="_Toc467651035"/>
      <w:bookmarkStart w:id="545" w:name="_Toc482188621"/>
      <w:bookmarkStart w:id="546" w:name="_Toc492300910"/>
      <w:r>
        <w:rPr>
          <w:rFonts w:ascii="Times New Roman" w:hAnsi="Times New Roman"/>
          <w:color w:val="auto"/>
        </w:rPr>
        <w:t xml:space="preserve">12.3 </w:t>
      </w:r>
      <w:r>
        <w:rPr>
          <w:rFonts w:hint="eastAsia" w:ascii="Times New Roman" w:hAnsi="Times New Roman"/>
          <w:color w:val="auto"/>
        </w:rPr>
        <w:t>中期支付</w:t>
      </w:r>
      <w:bookmarkEnd w:id="544"/>
      <w:bookmarkEnd w:id="545"/>
      <w:bookmarkEnd w:id="546"/>
    </w:p>
    <w:p>
      <w:pPr>
        <w:spacing w:line="360" w:lineRule="auto"/>
        <w:ind w:firstLine="420" w:firstLineChars="200"/>
        <w:rPr>
          <w:rFonts w:ascii="Times New Roman" w:hAnsi="Times New Roman"/>
          <w:color w:val="auto"/>
          <w:szCs w:val="21"/>
        </w:rPr>
      </w:pPr>
      <w:r>
        <w:rPr>
          <w:rFonts w:ascii="Times New Roman" w:hAnsi="Times New Roman"/>
          <w:color w:val="auto"/>
        </w:rPr>
        <w:t>12.3.1</w:t>
      </w:r>
      <w:r>
        <w:rPr>
          <w:rFonts w:ascii="Times New Roman" w:hAnsi="Times New Roman"/>
          <w:color w:val="auto"/>
          <w:szCs w:val="21"/>
        </w:rPr>
        <w:t xml:space="preserve"> 勘察人应按发包人批准或专用合同条款约定的格式及份数，向发包人提交中期支付申请，并附相应的支持性证明文件。</w:t>
      </w:r>
    </w:p>
    <w:p>
      <w:pPr>
        <w:spacing w:line="360" w:lineRule="auto"/>
        <w:ind w:firstLine="420" w:firstLineChars="200"/>
        <w:rPr>
          <w:rFonts w:ascii="Times New Roman" w:hAnsi="Times New Roman"/>
          <w:color w:val="auto"/>
        </w:rPr>
      </w:pPr>
      <w:r>
        <w:rPr>
          <w:rFonts w:ascii="Times New Roman" w:hAnsi="Times New Roman"/>
          <w:color w:val="auto"/>
        </w:rPr>
        <w:t>12.3.2 发包人应在收到</w:t>
      </w:r>
      <w:r>
        <w:rPr>
          <w:rFonts w:ascii="Times New Roman" w:hAnsi="Times New Roman"/>
          <w:color w:val="auto"/>
          <w:szCs w:val="21"/>
        </w:rPr>
        <w:t>中期支付申请</w:t>
      </w:r>
      <w:r>
        <w:rPr>
          <w:rFonts w:ascii="Times New Roman" w:hAnsi="Times New Roman"/>
          <w:color w:val="auto"/>
        </w:rPr>
        <w:t>后的28天内，将应付款项支付给勘察人；勘察人应当提供等额的增值税发票。发包人未能在前述时间内完成审批或不予答复的，视为发包人同意</w:t>
      </w:r>
      <w:r>
        <w:rPr>
          <w:rFonts w:ascii="Times New Roman" w:hAnsi="Times New Roman"/>
          <w:color w:val="auto"/>
          <w:szCs w:val="21"/>
        </w:rPr>
        <w:t>中期支付申请</w:t>
      </w:r>
      <w:r>
        <w:rPr>
          <w:rFonts w:ascii="Times New Roman" w:hAnsi="Times New Roman"/>
          <w:color w:val="auto"/>
        </w:rPr>
        <w:t>。发包人不按期支付的，按专用合同条款的约定支付逾期付款违约金。</w:t>
      </w:r>
    </w:p>
    <w:p>
      <w:pPr>
        <w:spacing w:line="360" w:lineRule="auto"/>
        <w:ind w:firstLine="420" w:firstLineChars="200"/>
        <w:rPr>
          <w:rFonts w:ascii="Times New Roman" w:hAnsi="Times New Roman"/>
          <w:color w:val="auto"/>
          <w:szCs w:val="21"/>
        </w:rPr>
      </w:pPr>
      <w:r>
        <w:rPr>
          <w:rFonts w:ascii="Times New Roman" w:hAnsi="Times New Roman"/>
          <w:color w:val="auto"/>
        </w:rPr>
        <w:t xml:space="preserve">12.3.3 </w:t>
      </w:r>
      <w:r>
        <w:rPr>
          <w:rFonts w:ascii="Times New Roman" w:hAnsi="Times New Roman"/>
          <w:color w:val="auto"/>
          <w:szCs w:val="21"/>
        </w:rPr>
        <w:t>中期支付涉及政府投资资金的，按照国库集中支付等国家相关规定和专用合同条款的约定执行。</w:t>
      </w:r>
    </w:p>
    <w:p>
      <w:pPr>
        <w:pStyle w:val="6"/>
        <w:spacing w:line="240" w:lineRule="auto"/>
        <w:ind w:firstLine="137"/>
        <w:rPr>
          <w:rFonts w:ascii="Times New Roman" w:hAnsi="Times New Roman"/>
          <w:color w:val="auto"/>
        </w:rPr>
      </w:pPr>
      <w:bookmarkStart w:id="547" w:name="_Toc467651036"/>
      <w:bookmarkStart w:id="548" w:name="_Toc492300911"/>
      <w:bookmarkStart w:id="549" w:name="_Toc482188622"/>
      <w:r>
        <w:rPr>
          <w:rFonts w:ascii="Times New Roman" w:hAnsi="Times New Roman"/>
          <w:color w:val="auto"/>
        </w:rPr>
        <w:t xml:space="preserve">12.4 </w:t>
      </w:r>
      <w:r>
        <w:rPr>
          <w:rFonts w:hint="eastAsia" w:ascii="Times New Roman" w:hAnsi="Times New Roman"/>
          <w:color w:val="auto"/>
        </w:rPr>
        <w:t>费用结算</w:t>
      </w:r>
      <w:bookmarkEnd w:id="547"/>
      <w:bookmarkEnd w:id="548"/>
      <w:bookmarkEnd w:id="549"/>
    </w:p>
    <w:p>
      <w:pPr>
        <w:spacing w:line="360" w:lineRule="auto"/>
        <w:ind w:firstLine="420" w:firstLineChars="200"/>
        <w:rPr>
          <w:rFonts w:ascii="Times New Roman" w:hAnsi="Times New Roman"/>
          <w:color w:val="auto"/>
        </w:rPr>
      </w:pPr>
      <w:r>
        <w:rPr>
          <w:rFonts w:ascii="Times New Roman" w:hAnsi="Times New Roman"/>
          <w:color w:val="auto"/>
        </w:rPr>
        <w:t>12.4.1</w:t>
      </w:r>
      <w:r>
        <w:rPr>
          <w:rFonts w:ascii="Times New Roman" w:hAnsi="Times New Roman"/>
          <w:color w:val="auto"/>
          <w:szCs w:val="21"/>
        </w:rPr>
        <w:t xml:space="preserve"> 合同工作完成后</w:t>
      </w:r>
      <w:r>
        <w:rPr>
          <w:rFonts w:ascii="Times New Roman" w:hAnsi="Times New Roman"/>
          <w:color w:val="auto"/>
        </w:rPr>
        <w:t>，勘察人可按专用合同条款约定的份数和期限，向发包人提交勘察费用结算申请，并提供相关证明材料。</w:t>
      </w:r>
    </w:p>
    <w:p>
      <w:pPr>
        <w:spacing w:line="360" w:lineRule="auto"/>
        <w:ind w:firstLine="420" w:firstLineChars="200"/>
        <w:rPr>
          <w:rFonts w:ascii="Times New Roman" w:hAnsi="Times New Roman"/>
          <w:color w:val="auto"/>
        </w:rPr>
      </w:pPr>
      <w:r>
        <w:rPr>
          <w:rFonts w:ascii="Times New Roman" w:hAnsi="Times New Roman"/>
          <w:color w:val="auto"/>
        </w:rPr>
        <w:t>12.4.2 发包人应在收到费用结算申请后的28天内，将应付款项支付给勘察人；勘察人应当提供等额的增值税发票。发包人未能在前述时间内完成审批或不予答复的，视为发包人同意费用结算申请。发包人不按期支付的，按专用合同条款的约定支付逾期付款违约金。</w:t>
      </w:r>
    </w:p>
    <w:p>
      <w:pPr>
        <w:spacing w:line="360" w:lineRule="auto"/>
        <w:ind w:firstLine="420" w:firstLineChars="200"/>
        <w:rPr>
          <w:rFonts w:ascii="Times New Roman" w:hAnsi="Times New Roman"/>
          <w:color w:val="auto"/>
        </w:rPr>
      </w:pPr>
      <w:r>
        <w:rPr>
          <w:rFonts w:ascii="Times New Roman" w:hAnsi="Times New Roman"/>
          <w:color w:val="auto"/>
        </w:rPr>
        <w:t>12.4.3 发包人对费用结算申请内容有异议的，有权要求勘察人进行修正和提供补充资料，由勘察人重新提交</w:t>
      </w:r>
      <w:r>
        <w:rPr>
          <w:rFonts w:ascii="Times New Roman" w:hAnsi="Times New Roman"/>
          <w:color w:val="auto"/>
          <w:szCs w:val="21"/>
        </w:rPr>
        <w:t>。</w:t>
      </w:r>
      <w:r>
        <w:rPr>
          <w:rFonts w:ascii="Times New Roman" w:hAnsi="Times New Roman"/>
          <w:color w:val="auto"/>
        </w:rPr>
        <w:t>勘察人对此有异议的，按第15条的约定执行。</w:t>
      </w:r>
    </w:p>
    <w:p>
      <w:pPr>
        <w:spacing w:line="360" w:lineRule="auto"/>
        <w:ind w:firstLine="420" w:firstLineChars="200"/>
        <w:rPr>
          <w:rFonts w:ascii="Times New Roman" w:hAnsi="Times New Roman"/>
          <w:color w:val="auto"/>
          <w:szCs w:val="21"/>
        </w:rPr>
      </w:pPr>
      <w:r>
        <w:rPr>
          <w:rFonts w:ascii="Times New Roman" w:hAnsi="Times New Roman"/>
          <w:color w:val="auto"/>
        </w:rPr>
        <w:t>12.4.4 最终结清</w:t>
      </w:r>
      <w:r>
        <w:rPr>
          <w:rFonts w:ascii="Times New Roman" w:hAnsi="Times New Roman"/>
          <w:color w:val="auto"/>
          <w:szCs w:val="21"/>
        </w:rPr>
        <w:t>付款涉及政府投资资金的，</w:t>
      </w:r>
      <w:r>
        <w:rPr>
          <w:rFonts w:ascii="Times New Roman" w:hAnsi="Times New Roman"/>
          <w:color w:val="auto"/>
        </w:rPr>
        <w:t>按第12.3.3项的</w:t>
      </w:r>
      <w:r>
        <w:rPr>
          <w:rFonts w:ascii="Times New Roman" w:hAnsi="Times New Roman"/>
          <w:color w:val="auto"/>
          <w:szCs w:val="21"/>
        </w:rPr>
        <w:t>约定执行。</w:t>
      </w:r>
    </w:p>
    <w:p>
      <w:pPr>
        <w:pStyle w:val="5"/>
        <w:rPr>
          <w:rFonts w:ascii="Times New Roman" w:hAnsi="Times New Roman"/>
          <w:color w:val="auto"/>
        </w:rPr>
      </w:pPr>
      <w:bookmarkStart w:id="550" w:name="_Toc482188623"/>
      <w:bookmarkStart w:id="551" w:name="_Toc492300912"/>
      <w:r>
        <w:rPr>
          <w:rFonts w:ascii="Times New Roman" w:hAnsi="Times New Roman"/>
          <w:color w:val="auto"/>
        </w:rPr>
        <w:t>13. 不可抗力</w:t>
      </w:r>
      <w:bookmarkEnd w:id="550"/>
      <w:bookmarkEnd w:id="551"/>
    </w:p>
    <w:p>
      <w:pPr>
        <w:pStyle w:val="6"/>
        <w:spacing w:line="240" w:lineRule="auto"/>
        <w:ind w:firstLine="137"/>
        <w:rPr>
          <w:rFonts w:ascii="Times New Roman" w:hAnsi="Times New Roman"/>
          <w:color w:val="auto"/>
        </w:rPr>
      </w:pPr>
      <w:bookmarkStart w:id="552" w:name="_Toc492300913"/>
      <w:bookmarkStart w:id="553" w:name="_Toc482188624"/>
      <w:r>
        <w:rPr>
          <w:rFonts w:ascii="Times New Roman" w:hAnsi="Times New Roman"/>
          <w:color w:val="auto"/>
        </w:rPr>
        <w:t xml:space="preserve">13.1 </w:t>
      </w:r>
      <w:r>
        <w:rPr>
          <w:rFonts w:hint="eastAsia" w:ascii="Times New Roman" w:hAnsi="Times New Roman"/>
          <w:color w:val="auto"/>
        </w:rPr>
        <w:t>不可抗力的确认</w:t>
      </w:r>
      <w:bookmarkEnd w:id="552"/>
      <w:bookmarkEnd w:id="553"/>
    </w:p>
    <w:p>
      <w:pPr>
        <w:spacing w:line="360" w:lineRule="auto"/>
        <w:ind w:firstLine="420" w:firstLineChars="200"/>
        <w:rPr>
          <w:rFonts w:ascii="Times New Roman" w:hAnsi="Times New Roman"/>
          <w:color w:val="auto"/>
        </w:rPr>
      </w:pPr>
      <w:r>
        <w:rPr>
          <w:rFonts w:ascii="Times New Roman" w:hAnsi="Times New Roman"/>
          <w:color w:val="auto"/>
        </w:rPr>
        <w:t>13.1.1</w:t>
      </w:r>
      <w:r>
        <w:rPr>
          <w:rFonts w:ascii="Times New Roman" w:hAnsi="Times New Roman"/>
          <w:color w:val="auto"/>
          <w:szCs w:val="21"/>
        </w:rPr>
        <w:t xml:space="preserve"> 不可抗力是指勘察人和发包人在订立合同时不可预见，在履行合</w:t>
      </w:r>
      <w:bookmarkStart w:id="554" w:name="_Toc300835182"/>
      <w:bookmarkStart w:id="555" w:name="_Toc247514180"/>
      <w:bookmarkStart w:id="556" w:name="_Toc184635118"/>
      <w:bookmarkStart w:id="557" w:name="_Toc247527781"/>
      <w:r>
        <w:rPr>
          <w:rFonts w:ascii="Times New Roman" w:hAnsi="Times New Roman"/>
          <w:color w:val="auto"/>
          <w:szCs w:val="21"/>
        </w:rPr>
        <w:t>同过程中不可避免</w:t>
      </w:r>
      <w:bookmarkEnd w:id="554"/>
      <w:bookmarkEnd w:id="555"/>
      <w:bookmarkEnd w:id="556"/>
      <w:bookmarkEnd w:id="557"/>
      <w:r>
        <w:rPr>
          <w:rFonts w:ascii="Times New Roman" w:hAnsi="Times New Roman"/>
          <w:color w:val="auto"/>
          <w:szCs w:val="21"/>
        </w:rPr>
        <w:t>发</w:t>
      </w:r>
      <w:bookmarkStart w:id="558" w:name="_Toc247514181"/>
      <w:bookmarkStart w:id="559" w:name="_Toc300835183"/>
      <w:bookmarkStart w:id="560" w:name="_Toc247527782"/>
      <w:r>
        <w:rPr>
          <w:rFonts w:ascii="Times New Roman" w:hAnsi="Times New Roman"/>
          <w:color w:val="auto"/>
          <w:szCs w:val="21"/>
        </w:rPr>
        <w:t>生并不能克服的自然灾害和</w:t>
      </w:r>
      <w:bookmarkEnd w:id="558"/>
      <w:bookmarkEnd w:id="559"/>
      <w:bookmarkEnd w:id="560"/>
      <w:r>
        <w:rPr>
          <w:rFonts w:ascii="Times New Roman" w:hAnsi="Times New Roman"/>
          <w:color w:val="auto"/>
          <w:szCs w:val="21"/>
        </w:rPr>
        <w:t>社会性突发事件，如地震、海啸、瘟疫、水灾、骚乱、暴动、战争和专用合同条款约定的其</w:t>
      </w:r>
      <w:r>
        <w:rPr>
          <w:rFonts w:ascii="Times New Roman" w:hAnsi="Times New Roman"/>
          <w:color w:val="auto"/>
        </w:rPr>
        <w:t>他情形。</w:t>
      </w:r>
    </w:p>
    <w:p>
      <w:pPr>
        <w:spacing w:line="360" w:lineRule="auto"/>
        <w:ind w:firstLine="420" w:firstLineChars="200"/>
        <w:rPr>
          <w:rFonts w:ascii="Times New Roman" w:hAnsi="Times New Roman"/>
          <w:color w:val="auto"/>
          <w:szCs w:val="21"/>
        </w:rPr>
      </w:pPr>
      <w:r>
        <w:rPr>
          <w:rFonts w:ascii="Times New Roman" w:hAnsi="Times New Roman"/>
          <w:color w:val="auto"/>
        </w:rPr>
        <w:t>13.1.2</w:t>
      </w:r>
      <w:r>
        <w:rPr>
          <w:rFonts w:ascii="Times New Roman" w:hAnsi="Times New Roman"/>
          <w:color w:val="auto"/>
          <w:szCs w:val="21"/>
        </w:rPr>
        <w:t xml:space="preserve"> 不可抗力发生后，发包人和勘察人应及时认真统计所造成的损失，收集不可抗力造成损失的证据。合同双方对是否属于不可抗力或其损失的意见不一致的，由合同双方协商确定。</w:t>
      </w:r>
    </w:p>
    <w:p>
      <w:pPr>
        <w:pStyle w:val="6"/>
        <w:spacing w:line="240" w:lineRule="auto"/>
        <w:ind w:firstLine="137"/>
        <w:rPr>
          <w:rFonts w:ascii="Times New Roman" w:hAnsi="Times New Roman"/>
          <w:color w:val="auto"/>
        </w:rPr>
      </w:pPr>
      <w:bookmarkStart w:id="561" w:name="_Toc492300914"/>
      <w:bookmarkStart w:id="562" w:name="_Toc482188625"/>
      <w:r>
        <w:rPr>
          <w:rFonts w:ascii="Times New Roman" w:hAnsi="Times New Roman"/>
          <w:color w:val="auto"/>
        </w:rPr>
        <w:t xml:space="preserve">13.2 </w:t>
      </w:r>
      <w:r>
        <w:rPr>
          <w:rFonts w:hint="eastAsia" w:ascii="Times New Roman" w:hAnsi="Times New Roman"/>
          <w:color w:val="auto"/>
        </w:rPr>
        <w:t>不可抗力的通知</w:t>
      </w:r>
      <w:bookmarkEnd w:id="561"/>
      <w:bookmarkEnd w:id="562"/>
    </w:p>
    <w:p>
      <w:pPr>
        <w:spacing w:line="360" w:lineRule="auto"/>
        <w:ind w:firstLine="420" w:firstLineChars="200"/>
        <w:rPr>
          <w:rFonts w:ascii="Times New Roman" w:hAnsi="Times New Roman"/>
          <w:color w:val="auto"/>
          <w:szCs w:val="21"/>
        </w:rPr>
      </w:pPr>
      <w:r>
        <w:rPr>
          <w:rFonts w:ascii="Times New Roman" w:hAnsi="Times New Roman"/>
          <w:color w:val="auto"/>
        </w:rPr>
        <w:t>13.2.1</w:t>
      </w:r>
      <w:r>
        <w:rPr>
          <w:rFonts w:ascii="Times New Roman" w:hAnsi="Times New Roman"/>
          <w:color w:val="auto"/>
          <w:szCs w:val="21"/>
        </w:rPr>
        <w:t xml:space="preserve"> 合同一方当事人遇到不可抗力事件，使其履行合同义务受到阻碍时，应立即通知合同</w:t>
      </w:r>
      <w:bookmarkStart w:id="563" w:name="_Toc247514182"/>
      <w:bookmarkStart w:id="564" w:name="_Toc247527783"/>
      <w:bookmarkStart w:id="565" w:name="_Toc300835184"/>
      <w:r>
        <w:rPr>
          <w:rFonts w:ascii="Times New Roman" w:hAnsi="Times New Roman"/>
          <w:color w:val="auto"/>
          <w:szCs w:val="21"/>
        </w:rPr>
        <w:t>另一方当事人，书面说明不</w:t>
      </w:r>
      <w:bookmarkEnd w:id="563"/>
      <w:bookmarkEnd w:id="564"/>
      <w:bookmarkEnd w:id="565"/>
      <w:r>
        <w:rPr>
          <w:rFonts w:ascii="Times New Roman" w:hAnsi="Times New Roman"/>
          <w:color w:val="auto"/>
          <w:szCs w:val="21"/>
        </w:rPr>
        <w:t>可抗力和受阻碍的详细情况，并提供必要的证明。</w:t>
      </w:r>
    </w:p>
    <w:p>
      <w:pPr>
        <w:spacing w:line="360" w:lineRule="auto"/>
        <w:ind w:firstLine="420" w:firstLineChars="200"/>
        <w:rPr>
          <w:rFonts w:ascii="Times New Roman" w:hAnsi="Times New Roman"/>
          <w:color w:val="auto"/>
          <w:szCs w:val="21"/>
        </w:rPr>
      </w:pPr>
      <w:r>
        <w:rPr>
          <w:rFonts w:ascii="Times New Roman" w:hAnsi="Times New Roman"/>
          <w:color w:val="auto"/>
        </w:rPr>
        <w:t xml:space="preserve">13.2.2 </w:t>
      </w:r>
      <w:r>
        <w:rPr>
          <w:rFonts w:ascii="Times New Roman" w:hAnsi="Times New Roman"/>
          <w:color w:val="auto"/>
          <w:szCs w:val="21"/>
        </w:rPr>
        <w:t>如不可抗力持续发生，合同一方当事人应及时向合同另一方当事人提交中间报告，说明不可抗力和履行合同受阻的情况，并于不可抗力事件结束后28天内提交最终报告及有关资料。</w:t>
      </w:r>
    </w:p>
    <w:p>
      <w:pPr>
        <w:pStyle w:val="6"/>
        <w:spacing w:line="240" w:lineRule="auto"/>
        <w:ind w:firstLine="137"/>
        <w:rPr>
          <w:rFonts w:ascii="Times New Roman" w:hAnsi="Times New Roman"/>
          <w:color w:val="auto"/>
        </w:rPr>
      </w:pPr>
      <w:bookmarkStart w:id="566" w:name="_Toc482188626"/>
      <w:bookmarkStart w:id="567" w:name="_Toc492300915"/>
      <w:r>
        <w:rPr>
          <w:rFonts w:ascii="Times New Roman" w:hAnsi="Times New Roman"/>
          <w:color w:val="auto"/>
        </w:rPr>
        <w:t xml:space="preserve">13.3 </w:t>
      </w:r>
      <w:r>
        <w:rPr>
          <w:rFonts w:hint="eastAsia" w:ascii="Times New Roman" w:hAnsi="Times New Roman"/>
          <w:color w:val="auto"/>
        </w:rPr>
        <w:t>不可抗力后果及其处理</w:t>
      </w:r>
      <w:bookmarkEnd w:id="566"/>
      <w:bookmarkEnd w:id="567"/>
    </w:p>
    <w:p>
      <w:pPr>
        <w:spacing w:line="360" w:lineRule="auto"/>
        <w:ind w:firstLine="420" w:firstLineChars="200"/>
        <w:rPr>
          <w:rFonts w:ascii="Times New Roman" w:hAnsi="Times New Roman"/>
          <w:color w:val="auto"/>
          <w:szCs w:val="21"/>
        </w:rPr>
      </w:pPr>
      <w:r>
        <w:rPr>
          <w:rFonts w:ascii="Times New Roman" w:hAnsi="Times New Roman"/>
          <w:color w:val="auto"/>
          <w:szCs w:val="21"/>
        </w:rPr>
        <w:t>13.3.1 不可抗力引起的后果及其损失，应由合同当事人依据法律规定各自承担。不可抗力发生前已完成的勘察工作，应当按照合同约定进行支付。</w:t>
      </w:r>
    </w:p>
    <w:p>
      <w:pPr>
        <w:spacing w:line="360" w:lineRule="auto"/>
        <w:ind w:firstLine="420" w:firstLineChars="200"/>
        <w:rPr>
          <w:rFonts w:ascii="Times New Roman" w:hAnsi="Times New Roman"/>
          <w:color w:val="auto"/>
          <w:szCs w:val="21"/>
        </w:rPr>
      </w:pPr>
      <w:r>
        <w:rPr>
          <w:rFonts w:ascii="Times New Roman" w:hAnsi="Times New Roman"/>
          <w:color w:val="auto"/>
          <w:szCs w:val="21"/>
        </w:rPr>
        <w:t>13.3.2 不可抗力发生后，合同当事人应当采取有效措施避免损失进一步扩大，如未采取有效措施致使损失扩大的，应当自行承担扩大部分的损失。</w:t>
      </w:r>
    </w:p>
    <w:p>
      <w:pPr>
        <w:spacing w:line="360" w:lineRule="auto"/>
        <w:ind w:firstLine="420" w:firstLineChars="200"/>
        <w:rPr>
          <w:rFonts w:ascii="Times New Roman" w:hAnsi="Times New Roman"/>
          <w:color w:val="auto"/>
          <w:szCs w:val="21"/>
        </w:rPr>
      </w:pPr>
      <w:r>
        <w:rPr>
          <w:rFonts w:ascii="Times New Roman" w:hAnsi="Times New Roman"/>
          <w:color w:val="auto"/>
          <w:szCs w:val="21"/>
        </w:rPr>
        <w:t>13.3.3 因一方当事人迟延履行合同义务，致使迟延履行期间遭遇不可抗力的，应由该当事人承担全部损失。</w:t>
      </w:r>
    </w:p>
    <w:p>
      <w:pPr>
        <w:pStyle w:val="5"/>
        <w:rPr>
          <w:rFonts w:ascii="Times New Roman" w:hAnsi="Times New Roman"/>
          <w:color w:val="auto"/>
        </w:rPr>
      </w:pPr>
      <w:bookmarkStart w:id="568" w:name="_Toc492300916"/>
      <w:bookmarkStart w:id="569" w:name="_Toc482188627"/>
      <w:r>
        <w:rPr>
          <w:rFonts w:ascii="Times New Roman" w:hAnsi="Times New Roman"/>
          <w:color w:val="auto"/>
        </w:rPr>
        <w:t>14. 违约</w:t>
      </w:r>
      <w:bookmarkEnd w:id="568"/>
      <w:bookmarkEnd w:id="569"/>
    </w:p>
    <w:p>
      <w:pPr>
        <w:pStyle w:val="6"/>
        <w:spacing w:line="240" w:lineRule="auto"/>
        <w:ind w:firstLine="137"/>
        <w:rPr>
          <w:rFonts w:ascii="Times New Roman" w:hAnsi="Times New Roman"/>
          <w:color w:val="auto"/>
        </w:rPr>
      </w:pPr>
      <w:bookmarkStart w:id="570" w:name="_Toc482188628"/>
      <w:bookmarkStart w:id="571" w:name="_Toc492300917"/>
      <w:r>
        <w:rPr>
          <w:rFonts w:ascii="Times New Roman" w:hAnsi="Times New Roman"/>
          <w:color w:val="auto"/>
        </w:rPr>
        <w:t xml:space="preserve">14.1 </w:t>
      </w:r>
      <w:r>
        <w:rPr>
          <w:rFonts w:hint="eastAsia" w:ascii="Times New Roman" w:hAnsi="Times New Roman"/>
          <w:color w:val="auto"/>
        </w:rPr>
        <w:t>勘察人违约</w:t>
      </w:r>
      <w:bookmarkEnd w:id="570"/>
      <w:bookmarkEnd w:id="571"/>
    </w:p>
    <w:p>
      <w:pPr>
        <w:spacing w:line="360" w:lineRule="auto"/>
        <w:ind w:firstLine="420" w:firstLineChars="200"/>
        <w:rPr>
          <w:rFonts w:ascii="Times New Roman" w:hAnsi="Times New Roman"/>
          <w:color w:val="auto"/>
          <w:szCs w:val="21"/>
        </w:rPr>
      </w:pPr>
      <w:r>
        <w:rPr>
          <w:rFonts w:ascii="Times New Roman" w:hAnsi="Times New Roman"/>
          <w:color w:val="auto"/>
        </w:rPr>
        <w:t>14.1.1</w:t>
      </w:r>
      <w:r>
        <w:rPr>
          <w:rFonts w:ascii="Times New Roman" w:hAnsi="Times New Roman"/>
          <w:color w:val="auto"/>
          <w:szCs w:val="21"/>
        </w:rPr>
        <w:t>合同履行中发生下列情况之一的，属勘察人违约：</w:t>
      </w:r>
    </w:p>
    <w:p>
      <w:pPr>
        <w:spacing w:line="360" w:lineRule="auto"/>
        <w:ind w:firstLine="420" w:firstLineChars="200"/>
        <w:rPr>
          <w:rFonts w:ascii="Times New Roman" w:hAnsi="Times New Roman"/>
          <w:color w:val="auto"/>
        </w:rPr>
      </w:pPr>
      <w:r>
        <w:rPr>
          <w:rFonts w:ascii="Times New Roman" w:hAnsi="Times New Roman"/>
          <w:color w:val="auto"/>
        </w:rPr>
        <w:t>（1）</w:t>
      </w:r>
      <w:bookmarkStart w:id="572" w:name="_Toc247527786"/>
      <w:bookmarkStart w:id="573" w:name="_Toc247514185"/>
      <w:bookmarkStart w:id="574" w:name="_Toc300835187"/>
      <w:r>
        <w:rPr>
          <w:rFonts w:ascii="Times New Roman" w:hAnsi="Times New Roman"/>
          <w:color w:val="auto"/>
        </w:rPr>
        <w:t>勘察</w:t>
      </w:r>
      <w:bookmarkEnd w:id="572"/>
      <w:bookmarkEnd w:id="573"/>
      <w:bookmarkEnd w:id="574"/>
      <w:r>
        <w:rPr>
          <w:rFonts w:ascii="Times New Roman" w:hAnsi="Times New Roman"/>
          <w:color w:val="auto"/>
        </w:rPr>
        <w:t>文件不符合法律以及合同约定；</w:t>
      </w:r>
    </w:p>
    <w:p>
      <w:pPr>
        <w:spacing w:line="360" w:lineRule="auto"/>
        <w:ind w:firstLine="420" w:firstLineChars="200"/>
        <w:rPr>
          <w:rFonts w:ascii="Times New Roman" w:hAnsi="Times New Roman"/>
          <w:color w:val="auto"/>
        </w:rPr>
      </w:pPr>
      <w:r>
        <w:rPr>
          <w:rFonts w:ascii="Times New Roman" w:hAnsi="Times New Roman"/>
          <w:color w:val="auto"/>
        </w:rPr>
        <w:t>（2）勘察人转包、违法分包或者未经发包人同意擅自分包；</w:t>
      </w:r>
    </w:p>
    <w:p>
      <w:pPr>
        <w:spacing w:line="360" w:lineRule="auto"/>
        <w:ind w:firstLine="420" w:firstLineChars="200"/>
        <w:rPr>
          <w:rFonts w:ascii="Times New Roman" w:hAnsi="Times New Roman"/>
          <w:color w:val="auto"/>
        </w:rPr>
      </w:pPr>
      <w:r>
        <w:rPr>
          <w:rFonts w:ascii="Times New Roman" w:hAnsi="Times New Roman"/>
          <w:color w:val="auto"/>
        </w:rPr>
        <w:t>（3）勘察人未按合同计划完成勘察，从而造成工程损失；</w:t>
      </w:r>
    </w:p>
    <w:p>
      <w:pPr>
        <w:spacing w:line="360" w:lineRule="auto"/>
        <w:ind w:firstLine="420" w:firstLineChars="200"/>
        <w:rPr>
          <w:rFonts w:ascii="Times New Roman" w:hAnsi="Times New Roman"/>
          <w:color w:val="auto"/>
        </w:rPr>
      </w:pPr>
      <w:r>
        <w:rPr>
          <w:rFonts w:ascii="Times New Roman" w:hAnsi="Times New Roman"/>
          <w:color w:val="auto"/>
        </w:rPr>
        <w:t>（4）勘察人无法履行或停止履行合同；</w:t>
      </w:r>
    </w:p>
    <w:p>
      <w:pPr>
        <w:spacing w:line="360" w:lineRule="auto"/>
        <w:ind w:firstLine="420" w:firstLineChars="200"/>
        <w:rPr>
          <w:rFonts w:ascii="Times New Roman" w:hAnsi="Times New Roman"/>
          <w:color w:val="auto"/>
          <w:szCs w:val="21"/>
        </w:rPr>
      </w:pPr>
      <w:r>
        <w:rPr>
          <w:rFonts w:ascii="Times New Roman" w:hAnsi="Times New Roman"/>
          <w:color w:val="auto"/>
        </w:rPr>
        <w:t>（5）勘察人</w:t>
      </w:r>
      <w:r>
        <w:rPr>
          <w:rFonts w:ascii="Times New Roman" w:hAnsi="Times New Roman"/>
          <w:color w:val="auto"/>
          <w:szCs w:val="21"/>
        </w:rPr>
        <w:t>不履行合同约定的其他义务。</w:t>
      </w:r>
    </w:p>
    <w:p>
      <w:pPr>
        <w:spacing w:line="360" w:lineRule="auto"/>
        <w:ind w:firstLine="420" w:firstLineChars="200"/>
        <w:rPr>
          <w:rFonts w:ascii="Times New Roman" w:hAnsi="Times New Roman"/>
          <w:color w:val="auto"/>
        </w:rPr>
      </w:pPr>
      <w:r>
        <w:rPr>
          <w:rFonts w:ascii="Times New Roman" w:hAnsi="Times New Roman"/>
          <w:color w:val="auto"/>
        </w:rPr>
        <w:t>14.1.2</w:t>
      </w:r>
      <w:r>
        <w:rPr>
          <w:rFonts w:ascii="Times New Roman" w:hAnsi="Times New Roman"/>
          <w:color w:val="auto"/>
          <w:szCs w:val="21"/>
        </w:rPr>
        <w:t xml:space="preserve"> </w:t>
      </w:r>
      <w:r>
        <w:rPr>
          <w:rFonts w:ascii="Times New Roman" w:hAnsi="Times New Roman"/>
          <w:color w:val="auto"/>
        </w:rPr>
        <w:t>勘察人发生违约情况时，发包人可向勘察人发出整改通知，要求其在限定期限内纠正；逾期仍不纠正的，</w:t>
      </w:r>
      <w:r>
        <w:rPr>
          <w:rFonts w:ascii="Times New Roman" w:hAnsi="Times New Roman"/>
          <w:color w:val="auto"/>
          <w:szCs w:val="21"/>
        </w:rPr>
        <w:t>发包人有权解除合同并向勘察人发出解除合同通知。</w:t>
      </w:r>
      <w:r>
        <w:rPr>
          <w:rFonts w:ascii="Times New Roman" w:hAnsi="Times New Roman"/>
          <w:color w:val="auto"/>
        </w:rPr>
        <w:t>勘察人应当承担由于违约所造成的费用增加、周期延误和发包人损失等。</w:t>
      </w:r>
    </w:p>
    <w:p>
      <w:pPr>
        <w:pStyle w:val="6"/>
        <w:spacing w:line="240" w:lineRule="auto"/>
        <w:ind w:firstLine="137"/>
        <w:rPr>
          <w:rFonts w:ascii="Times New Roman" w:hAnsi="Times New Roman"/>
          <w:color w:val="auto"/>
        </w:rPr>
      </w:pPr>
      <w:bookmarkStart w:id="575" w:name="_Toc482188629"/>
      <w:bookmarkStart w:id="576" w:name="_Toc492300918"/>
      <w:r>
        <w:rPr>
          <w:rFonts w:ascii="Times New Roman" w:hAnsi="Times New Roman"/>
          <w:color w:val="auto"/>
        </w:rPr>
        <w:t xml:space="preserve">14.2 </w:t>
      </w:r>
      <w:r>
        <w:rPr>
          <w:rFonts w:hint="eastAsia" w:ascii="Times New Roman" w:hAnsi="Times New Roman"/>
          <w:color w:val="auto"/>
        </w:rPr>
        <w:t>发包人违约</w:t>
      </w:r>
      <w:bookmarkEnd w:id="575"/>
      <w:bookmarkEnd w:id="576"/>
    </w:p>
    <w:p>
      <w:pPr>
        <w:spacing w:line="360" w:lineRule="auto"/>
        <w:ind w:firstLine="420" w:firstLineChars="200"/>
        <w:rPr>
          <w:rFonts w:ascii="Times New Roman" w:hAnsi="Times New Roman"/>
          <w:color w:val="auto"/>
          <w:szCs w:val="21"/>
        </w:rPr>
      </w:pPr>
      <w:r>
        <w:rPr>
          <w:rFonts w:ascii="Times New Roman" w:hAnsi="Times New Roman"/>
          <w:color w:val="auto"/>
        </w:rPr>
        <w:t>14.2.1</w:t>
      </w:r>
      <w:r>
        <w:rPr>
          <w:rFonts w:ascii="Times New Roman" w:hAnsi="Times New Roman"/>
          <w:color w:val="auto"/>
          <w:szCs w:val="21"/>
        </w:rPr>
        <w:t>合同履行中发生下列情况之一的，属发包人违约：</w:t>
      </w:r>
    </w:p>
    <w:p>
      <w:pPr>
        <w:spacing w:line="360" w:lineRule="auto"/>
        <w:ind w:firstLine="420" w:firstLineChars="200"/>
        <w:rPr>
          <w:rFonts w:ascii="Times New Roman" w:hAnsi="Times New Roman"/>
          <w:color w:val="auto"/>
        </w:rPr>
      </w:pPr>
      <w:r>
        <w:rPr>
          <w:rFonts w:ascii="Times New Roman" w:hAnsi="Times New Roman"/>
          <w:color w:val="auto"/>
        </w:rPr>
        <w:t>（1）发</w:t>
      </w:r>
      <w:bookmarkStart w:id="577" w:name="_Toc300835188"/>
      <w:bookmarkStart w:id="578" w:name="_Toc247527787"/>
      <w:bookmarkStart w:id="579" w:name="_Toc247514186"/>
      <w:r>
        <w:rPr>
          <w:rFonts w:ascii="Times New Roman" w:hAnsi="Times New Roman"/>
          <w:color w:val="auto"/>
        </w:rPr>
        <w:t>包人未按合同约定支</w:t>
      </w:r>
      <w:bookmarkEnd w:id="577"/>
      <w:bookmarkEnd w:id="578"/>
      <w:bookmarkEnd w:id="579"/>
      <w:r>
        <w:rPr>
          <w:rFonts w:ascii="Times New Roman" w:hAnsi="Times New Roman"/>
          <w:color w:val="auto"/>
        </w:rPr>
        <w:t>付勘察费用；</w:t>
      </w:r>
    </w:p>
    <w:p>
      <w:pPr>
        <w:spacing w:line="360" w:lineRule="auto"/>
        <w:ind w:firstLine="420" w:firstLineChars="200"/>
        <w:rPr>
          <w:rFonts w:ascii="Times New Roman" w:hAnsi="Times New Roman"/>
          <w:color w:val="auto"/>
        </w:rPr>
      </w:pPr>
      <w:r>
        <w:rPr>
          <w:rFonts w:ascii="Times New Roman" w:hAnsi="Times New Roman"/>
          <w:color w:val="auto"/>
        </w:rPr>
        <w:t>（2）发包人原因造成勘察停止；</w:t>
      </w:r>
    </w:p>
    <w:p>
      <w:pPr>
        <w:spacing w:line="360" w:lineRule="auto"/>
        <w:ind w:firstLine="420" w:firstLineChars="200"/>
        <w:rPr>
          <w:rFonts w:ascii="Times New Roman" w:hAnsi="Times New Roman"/>
          <w:color w:val="auto"/>
        </w:rPr>
      </w:pPr>
      <w:r>
        <w:rPr>
          <w:rFonts w:ascii="Times New Roman" w:hAnsi="Times New Roman"/>
          <w:color w:val="auto"/>
        </w:rPr>
        <w:t>（3）发包人无法履行或停止履行合同；</w:t>
      </w:r>
    </w:p>
    <w:p>
      <w:pPr>
        <w:spacing w:line="360" w:lineRule="auto"/>
        <w:ind w:firstLine="420" w:firstLineChars="200"/>
        <w:rPr>
          <w:rFonts w:ascii="Times New Roman" w:hAnsi="Times New Roman"/>
          <w:color w:val="auto"/>
          <w:szCs w:val="21"/>
        </w:rPr>
      </w:pPr>
      <w:r>
        <w:rPr>
          <w:rFonts w:ascii="Times New Roman" w:hAnsi="Times New Roman"/>
          <w:color w:val="auto"/>
        </w:rPr>
        <w:t>（4）发包人不履</w:t>
      </w:r>
      <w:r>
        <w:rPr>
          <w:rFonts w:ascii="Times New Roman" w:hAnsi="Times New Roman"/>
          <w:color w:val="auto"/>
          <w:szCs w:val="21"/>
        </w:rPr>
        <w:t>行合同约定的其他义务。</w:t>
      </w:r>
    </w:p>
    <w:p>
      <w:pPr>
        <w:spacing w:line="360" w:lineRule="auto"/>
        <w:ind w:firstLine="420" w:firstLineChars="200"/>
        <w:rPr>
          <w:rFonts w:ascii="Times New Roman" w:hAnsi="Times New Roman"/>
          <w:color w:val="auto"/>
          <w:szCs w:val="21"/>
        </w:rPr>
      </w:pPr>
      <w:r>
        <w:rPr>
          <w:rFonts w:ascii="Times New Roman" w:hAnsi="Times New Roman"/>
          <w:color w:val="auto"/>
        </w:rPr>
        <w:t>14.2.2发包人发生违约情况时，勘察人可向发包人发出暂停勘察通知，要求其在限定期限内纠正；逾期仍不纠正的，</w:t>
      </w:r>
      <w:r>
        <w:rPr>
          <w:rFonts w:ascii="Times New Roman" w:hAnsi="Times New Roman"/>
          <w:color w:val="auto"/>
          <w:szCs w:val="21"/>
        </w:rPr>
        <w:t>勘察人有权解除合同并向发包人发出解除合同通知。</w:t>
      </w:r>
      <w:r>
        <w:rPr>
          <w:rFonts w:ascii="Times New Roman" w:hAnsi="Times New Roman"/>
          <w:color w:val="auto"/>
        </w:rPr>
        <w:t>发包人应当承担由于违约所造成的费用增加、周期延误和勘察人损失等。</w:t>
      </w:r>
    </w:p>
    <w:p>
      <w:pPr>
        <w:pStyle w:val="6"/>
        <w:spacing w:line="240" w:lineRule="auto"/>
        <w:ind w:firstLine="137"/>
        <w:rPr>
          <w:rFonts w:ascii="Times New Roman" w:hAnsi="Times New Roman"/>
          <w:color w:val="auto"/>
        </w:rPr>
      </w:pPr>
      <w:bookmarkStart w:id="580" w:name="_Toc492300919"/>
      <w:bookmarkStart w:id="581" w:name="_Toc482188630"/>
      <w:r>
        <w:rPr>
          <w:rFonts w:ascii="Times New Roman" w:hAnsi="Times New Roman"/>
          <w:color w:val="auto"/>
        </w:rPr>
        <w:t xml:space="preserve">14.3 </w:t>
      </w:r>
      <w:r>
        <w:rPr>
          <w:rFonts w:hint="eastAsia" w:ascii="Times New Roman" w:hAnsi="Times New Roman"/>
          <w:color w:val="auto"/>
        </w:rPr>
        <w:t>第三人造成的违约</w:t>
      </w:r>
      <w:bookmarkEnd w:id="580"/>
      <w:bookmarkEnd w:id="581"/>
    </w:p>
    <w:p>
      <w:pPr>
        <w:spacing w:line="360" w:lineRule="auto"/>
        <w:ind w:firstLine="420" w:firstLineChars="200"/>
        <w:rPr>
          <w:rFonts w:ascii="Times New Roman" w:hAnsi="Times New Roman"/>
          <w:color w:val="auto"/>
          <w:szCs w:val="21"/>
        </w:rPr>
      </w:pPr>
      <w:r>
        <w:rPr>
          <w:rFonts w:ascii="Times New Roman" w:hAnsi="Times New Roman"/>
          <w:color w:val="auto"/>
          <w:szCs w:val="21"/>
        </w:rPr>
        <w:t>在履行合同过程中，一方当事人因第三人的原因造成违约的，应当向对方当事人承担违约责任。一</w:t>
      </w:r>
      <w:bookmarkStart w:id="582" w:name="_Toc300835189"/>
      <w:bookmarkStart w:id="583" w:name="_Toc247514187"/>
      <w:bookmarkStart w:id="584" w:name="_Toc247527788"/>
      <w:r>
        <w:rPr>
          <w:rFonts w:ascii="Times New Roman" w:hAnsi="Times New Roman"/>
          <w:color w:val="auto"/>
          <w:szCs w:val="21"/>
        </w:rPr>
        <w:t>方当事人和第三人之间的纠纷</w:t>
      </w:r>
      <w:bookmarkEnd w:id="582"/>
      <w:bookmarkEnd w:id="583"/>
      <w:bookmarkEnd w:id="584"/>
      <w:r>
        <w:rPr>
          <w:rFonts w:ascii="Times New Roman" w:hAnsi="Times New Roman"/>
          <w:color w:val="auto"/>
          <w:szCs w:val="21"/>
        </w:rPr>
        <w:t>，依照法律规定或者按照约定解决。</w:t>
      </w:r>
    </w:p>
    <w:p>
      <w:pPr>
        <w:pStyle w:val="5"/>
        <w:rPr>
          <w:rFonts w:ascii="Times New Roman" w:hAnsi="Times New Roman"/>
          <w:color w:val="auto"/>
        </w:rPr>
      </w:pPr>
      <w:bookmarkStart w:id="585" w:name="_Toc492300920"/>
      <w:bookmarkStart w:id="586" w:name="_Toc482188631"/>
      <w:r>
        <w:rPr>
          <w:rFonts w:ascii="Times New Roman" w:hAnsi="Times New Roman"/>
          <w:color w:val="auto"/>
        </w:rPr>
        <w:t>15. 争议的解决</w:t>
      </w:r>
      <w:bookmarkEnd w:id="585"/>
      <w:bookmarkEnd w:id="586"/>
    </w:p>
    <w:p>
      <w:pPr>
        <w:spacing w:line="360" w:lineRule="auto"/>
        <w:ind w:firstLine="420" w:firstLineChars="200"/>
        <w:rPr>
          <w:rFonts w:ascii="Times New Roman" w:hAnsi="Times New Roman"/>
          <w:color w:val="auto"/>
          <w:szCs w:val="21"/>
        </w:rPr>
      </w:pPr>
      <w:r>
        <w:rPr>
          <w:rFonts w:ascii="Times New Roman" w:hAnsi="Times New Roman"/>
          <w:color w:val="auto"/>
          <w:szCs w:val="21"/>
        </w:rPr>
        <w:t>发包人和勘察人在履行合同中发生争议的，可以友好协商解决</w:t>
      </w:r>
      <w:bookmarkStart w:id="587" w:name="_Toc300835195"/>
      <w:bookmarkStart w:id="588" w:name="_Toc247527794"/>
      <w:bookmarkStart w:id="589" w:name="_Toc247514193"/>
      <w:bookmarkStart w:id="590" w:name="_Toc184635121"/>
      <w:r>
        <w:rPr>
          <w:rFonts w:ascii="Times New Roman" w:hAnsi="Times New Roman"/>
          <w:color w:val="auto"/>
          <w:szCs w:val="21"/>
        </w:rPr>
        <w:t>。合同当事</w:t>
      </w:r>
      <w:bookmarkEnd w:id="587"/>
      <w:bookmarkEnd w:id="588"/>
      <w:bookmarkEnd w:id="589"/>
      <w:bookmarkEnd w:id="590"/>
      <w:r>
        <w:rPr>
          <w:rFonts w:ascii="Times New Roman" w:hAnsi="Times New Roman"/>
          <w:color w:val="auto"/>
          <w:szCs w:val="21"/>
        </w:rPr>
        <w:t>人</w:t>
      </w:r>
      <w:bookmarkStart w:id="591" w:name="_Toc300835196"/>
      <w:bookmarkStart w:id="592" w:name="_Toc247527795"/>
      <w:bookmarkStart w:id="593" w:name="_Toc247514194"/>
      <w:r>
        <w:rPr>
          <w:rFonts w:ascii="Times New Roman" w:hAnsi="Times New Roman"/>
          <w:color w:val="auto"/>
          <w:szCs w:val="21"/>
        </w:rPr>
        <w:t>友好协商解决不成</w:t>
      </w:r>
      <w:bookmarkEnd w:id="591"/>
      <w:bookmarkEnd w:id="592"/>
      <w:bookmarkEnd w:id="593"/>
      <w:r>
        <w:rPr>
          <w:rFonts w:ascii="Times New Roman" w:hAnsi="Times New Roman"/>
          <w:color w:val="auto"/>
          <w:szCs w:val="21"/>
        </w:rPr>
        <w:t>的，可在专用合同条款中约定下列一种方式解决：</w:t>
      </w:r>
    </w:p>
    <w:p>
      <w:pPr>
        <w:spacing w:line="360" w:lineRule="auto"/>
        <w:ind w:firstLine="420" w:firstLineChars="200"/>
        <w:rPr>
          <w:rFonts w:ascii="Times New Roman" w:hAnsi="Times New Roman"/>
          <w:color w:val="auto"/>
        </w:rPr>
      </w:pPr>
      <w:r>
        <w:rPr>
          <w:rFonts w:ascii="Times New Roman" w:hAnsi="Times New Roman"/>
          <w:color w:val="auto"/>
        </w:rPr>
        <w:t>（1）向约定的仲裁委员会申请仲裁；</w:t>
      </w:r>
    </w:p>
    <w:p>
      <w:pPr>
        <w:spacing w:line="360" w:lineRule="auto"/>
        <w:ind w:firstLine="420" w:firstLineChars="200"/>
        <w:rPr>
          <w:rFonts w:ascii="Times New Roman" w:hAnsi="Times New Roman"/>
          <w:color w:val="auto"/>
          <w:szCs w:val="21"/>
        </w:rPr>
      </w:pPr>
      <w:r>
        <w:rPr>
          <w:rFonts w:ascii="Times New Roman" w:hAnsi="Times New Roman"/>
          <w:color w:val="auto"/>
        </w:rPr>
        <w:t>（2）向有管</w:t>
      </w:r>
      <w:r>
        <w:rPr>
          <w:rFonts w:ascii="Times New Roman" w:hAnsi="Times New Roman"/>
          <w:color w:val="auto"/>
          <w:szCs w:val="21"/>
        </w:rPr>
        <w:t>辖权的人民法院提起诉讼。</w:t>
      </w:r>
    </w:p>
    <w:p>
      <w:pPr>
        <w:widowControl/>
        <w:jc w:val="left"/>
        <w:rPr>
          <w:rFonts w:ascii="Times New Roman" w:hAnsi="Times New Roman" w:eastAsia="黑体"/>
          <w:b/>
          <w:bCs/>
          <w:color w:val="auto"/>
          <w:sz w:val="32"/>
          <w:szCs w:val="32"/>
        </w:rPr>
      </w:pPr>
      <w:r>
        <w:rPr>
          <w:rFonts w:ascii="Times New Roman" w:hAnsi="Times New Roman"/>
          <w:color w:val="auto"/>
        </w:rPr>
        <w:br w:type="page"/>
      </w:r>
    </w:p>
    <w:p>
      <w:pPr>
        <w:pStyle w:val="5"/>
        <w:ind w:firstLine="643" w:firstLineChars="200"/>
        <w:jc w:val="center"/>
        <w:rPr>
          <w:rFonts w:ascii="Times New Roman" w:hAnsi="Times New Roman"/>
          <w:color w:val="auto"/>
        </w:rPr>
      </w:pPr>
      <w:bookmarkStart w:id="594" w:name="_Toc492300921"/>
      <w:bookmarkStart w:id="595" w:name="_Toc179632785"/>
      <w:bookmarkStart w:id="596" w:name="_Toc152042546"/>
      <w:bookmarkStart w:id="597" w:name="_Toc144974826"/>
      <w:bookmarkStart w:id="598" w:name="_Toc152045767"/>
      <w:bookmarkStart w:id="599" w:name="_Toc247527798"/>
      <w:bookmarkStart w:id="600" w:name="_Toc184635122"/>
      <w:bookmarkStart w:id="601" w:name="_Toc152045610"/>
      <w:bookmarkStart w:id="602" w:name="_Toc247514197"/>
      <w:bookmarkStart w:id="603" w:name="_Toc152042388"/>
      <w:bookmarkStart w:id="604" w:name="_Toc144974578"/>
      <w:bookmarkStart w:id="605" w:name="_Toc300835199"/>
      <w:r>
        <w:rPr>
          <w:rFonts w:ascii="Times New Roman" w:hAnsi="Times New Roman"/>
          <w:color w:val="auto"/>
        </w:rPr>
        <w:t>第二节专用合同条款</w:t>
      </w:r>
      <w:bookmarkEnd w:id="594"/>
    </w:p>
    <w:p>
      <w:pPr>
        <w:pStyle w:val="5"/>
        <w:ind w:firstLine="105"/>
        <w:rPr>
          <w:rFonts w:ascii="Times New Roman" w:hAnsi="Times New Roman"/>
          <w:color w:val="auto"/>
        </w:rPr>
      </w:pPr>
      <w:r>
        <w:rPr>
          <w:rFonts w:ascii="Times New Roman" w:hAnsi="Times New Roman"/>
          <w:color w:val="auto"/>
        </w:rPr>
        <w:br w:type="page"/>
      </w:r>
      <w:bookmarkStart w:id="606" w:name="_Toc246997062"/>
      <w:bookmarkEnd w:id="606"/>
      <w:bookmarkStart w:id="607" w:name="_Toc184635117"/>
      <w:bookmarkEnd w:id="607"/>
      <w:bookmarkStart w:id="608" w:name="_Toc9766"/>
      <w:bookmarkEnd w:id="608"/>
      <w:bookmarkStart w:id="609" w:name="_Toc296602565"/>
      <w:bookmarkEnd w:id="609"/>
      <w:bookmarkStart w:id="610" w:name="_Toc29298"/>
      <w:bookmarkEnd w:id="610"/>
      <w:bookmarkStart w:id="611" w:name="_Toc247085834"/>
      <w:bookmarkEnd w:id="611"/>
      <w:bookmarkStart w:id="612" w:name="_Toc369531675"/>
      <w:bookmarkEnd w:id="612"/>
      <w:bookmarkStart w:id="613" w:name="_Toc246996319"/>
      <w:bookmarkEnd w:id="613"/>
      <w:bookmarkStart w:id="614" w:name="_Toc369531676"/>
      <w:bookmarkEnd w:id="614"/>
    </w:p>
    <w:p>
      <w:pPr>
        <w:pStyle w:val="5"/>
        <w:ind w:firstLine="643" w:firstLineChars="200"/>
        <w:jc w:val="center"/>
        <w:rPr>
          <w:rFonts w:ascii="Times New Roman" w:hAnsi="Times New Roman"/>
          <w:color w:val="auto"/>
        </w:rPr>
      </w:pPr>
      <w:bookmarkStart w:id="615" w:name="_Toc492300922"/>
      <w:r>
        <w:rPr>
          <w:rFonts w:ascii="Times New Roman" w:hAnsi="Times New Roman"/>
          <w:color w:val="auto"/>
        </w:rPr>
        <w:t>第三节合同附件格式</w:t>
      </w:r>
      <w:bookmarkEnd w:id="615"/>
    </w:p>
    <w:p>
      <w:pPr>
        <w:pStyle w:val="6"/>
        <w:ind w:firstLine="137"/>
        <w:jc w:val="left"/>
        <w:rPr>
          <w:rFonts w:ascii="Times New Roman" w:hAnsi="Times New Roman"/>
          <w:color w:val="auto"/>
        </w:rPr>
      </w:pPr>
      <w:r>
        <w:rPr>
          <w:rFonts w:ascii="Times New Roman" w:hAnsi="Times New Roman"/>
          <w:color w:val="auto"/>
        </w:rPr>
        <w:br w:type="page"/>
      </w:r>
      <w:bookmarkStart w:id="616" w:name="_Toc492300923"/>
      <w:r>
        <w:rPr>
          <w:rFonts w:hint="eastAsia" w:ascii="Times New Roman" w:hAnsi="Times New Roman"/>
          <w:color w:val="auto"/>
        </w:rPr>
        <w:t>附件一：合同协议书</w:t>
      </w:r>
      <w:bookmarkEnd w:id="616"/>
    </w:p>
    <w:p>
      <w:pPr>
        <w:spacing w:line="400" w:lineRule="exact"/>
        <w:rPr>
          <w:rFonts w:ascii="Times New Roman" w:hAnsi="Times New Roman"/>
          <w:color w:val="auto"/>
        </w:rPr>
      </w:pPr>
    </w:p>
    <w:p>
      <w:pPr>
        <w:spacing w:line="440" w:lineRule="exact"/>
        <w:jc w:val="center"/>
        <w:rPr>
          <w:rFonts w:ascii="Times New Roman" w:hAnsi="Times New Roman" w:eastAsia="黑体"/>
          <w:color w:val="auto"/>
          <w:sz w:val="28"/>
        </w:rPr>
      </w:pPr>
      <w:r>
        <w:rPr>
          <w:rFonts w:ascii="Times New Roman" w:hAnsi="Times New Roman" w:eastAsia="黑体"/>
          <w:color w:val="auto"/>
          <w:sz w:val="28"/>
        </w:rPr>
        <w:t>合同协议书</w:t>
      </w:r>
    </w:p>
    <w:p>
      <w:pPr>
        <w:spacing w:line="440" w:lineRule="exact"/>
        <w:rPr>
          <w:rFonts w:ascii="Times New Roman" w:hAnsi="Times New Roman"/>
          <w:color w:val="auto"/>
        </w:rPr>
      </w:pPr>
    </w:p>
    <w:p>
      <w:pPr>
        <w:spacing w:line="440" w:lineRule="exact"/>
        <w:ind w:firstLine="359" w:firstLineChars="171"/>
        <w:rPr>
          <w:rFonts w:ascii="Times New Roman" w:hAnsi="Times New Roman"/>
          <w:color w:val="auto"/>
          <w:szCs w:val="21"/>
        </w:rPr>
      </w:pPr>
      <w:r>
        <w:rPr>
          <w:rFonts w:ascii="Times New Roman" w:hAnsi="Times New Roman"/>
          <w:color w:val="auto"/>
          <w:szCs w:val="21"/>
          <w:u w:val="single"/>
        </w:rPr>
        <w:t xml:space="preserve">                   </w:t>
      </w:r>
      <w:r>
        <w:rPr>
          <w:rFonts w:ascii="Times New Roman" w:hAnsi="Times New Roman"/>
          <w:color w:val="auto"/>
          <w:szCs w:val="21"/>
        </w:rPr>
        <w:t>（发包人名称，以下简称“发包人”）为实施</w:t>
      </w:r>
      <w:r>
        <w:rPr>
          <w:rFonts w:ascii="Times New Roman" w:hAnsi="Times New Roman"/>
          <w:color w:val="auto"/>
          <w:szCs w:val="21"/>
          <w:u w:val="single"/>
        </w:rPr>
        <w:t xml:space="preserve">                </w:t>
      </w:r>
      <w:r>
        <w:rPr>
          <w:rFonts w:ascii="Times New Roman" w:hAnsi="Times New Roman"/>
          <w:color w:val="auto"/>
          <w:szCs w:val="21"/>
        </w:rPr>
        <w:t>（项目名称），已接受</w:t>
      </w:r>
      <w:r>
        <w:rPr>
          <w:rFonts w:ascii="Times New Roman" w:hAnsi="Times New Roman"/>
          <w:color w:val="auto"/>
          <w:szCs w:val="21"/>
          <w:u w:val="single"/>
        </w:rPr>
        <w:t xml:space="preserve">                    </w:t>
      </w:r>
      <w:r>
        <w:rPr>
          <w:rFonts w:ascii="Times New Roman" w:hAnsi="Times New Roman"/>
          <w:color w:val="auto"/>
          <w:szCs w:val="21"/>
        </w:rPr>
        <w:t>（勘察人名称，以下简称“勘察人”）对该项目勘察投标。发包人和勘察人共同达成如下协议。</w:t>
      </w:r>
    </w:p>
    <w:p>
      <w:pPr>
        <w:spacing w:line="440" w:lineRule="exact"/>
        <w:ind w:firstLine="420" w:firstLineChars="200"/>
        <w:rPr>
          <w:rFonts w:ascii="Times New Roman" w:hAnsi="Times New Roman"/>
          <w:color w:val="auto"/>
          <w:szCs w:val="21"/>
        </w:rPr>
      </w:pPr>
      <w:r>
        <w:rPr>
          <w:rFonts w:ascii="Times New Roman" w:hAnsi="Times New Roman"/>
          <w:color w:val="auto"/>
          <w:szCs w:val="21"/>
        </w:rPr>
        <w:t>1. 本协议书与下列文件一起构成合同文件：</w:t>
      </w:r>
    </w:p>
    <w:p>
      <w:pPr>
        <w:spacing w:line="440" w:lineRule="exact"/>
        <w:ind w:firstLine="420" w:firstLineChars="200"/>
        <w:rPr>
          <w:rFonts w:ascii="Times New Roman" w:hAnsi="Times New Roman"/>
          <w:color w:val="auto"/>
          <w:szCs w:val="21"/>
        </w:rPr>
      </w:pPr>
      <w:r>
        <w:rPr>
          <w:rFonts w:ascii="Times New Roman" w:hAnsi="Times New Roman"/>
          <w:color w:val="auto"/>
          <w:szCs w:val="21"/>
        </w:rPr>
        <w:t>（1）中标通知书；</w:t>
      </w:r>
    </w:p>
    <w:p>
      <w:pPr>
        <w:spacing w:line="440" w:lineRule="exact"/>
        <w:ind w:firstLine="420" w:firstLineChars="200"/>
        <w:rPr>
          <w:rFonts w:ascii="Times New Roman" w:hAnsi="Times New Roman"/>
          <w:color w:val="auto"/>
          <w:szCs w:val="21"/>
        </w:rPr>
      </w:pPr>
      <w:r>
        <w:rPr>
          <w:rFonts w:ascii="Times New Roman" w:hAnsi="Times New Roman"/>
          <w:color w:val="auto"/>
          <w:szCs w:val="21"/>
        </w:rPr>
        <w:t>（2）投标函及投标函附录；</w:t>
      </w:r>
    </w:p>
    <w:p>
      <w:pPr>
        <w:spacing w:line="440" w:lineRule="exact"/>
        <w:ind w:firstLine="420" w:firstLineChars="200"/>
        <w:rPr>
          <w:rFonts w:ascii="Times New Roman" w:hAnsi="Times New Roman"/>
          <w:color w:val="auto"/>
          <w:szCs w:val="21"/>
        </w:rPr>
      </w:pPr>
      <w:r>
        <w:rPr>
          <w:rFonts w:ascii="Times New Roman" w:hAnsi="Times New Roman"/>
          <w:color w:val="auto"/>
          <w:szCs w:val="21"/>
        </w:rPr>
        <w:t>（3）专用合同条款；</w:t>
      </w:r>
    </w:p>
    <w:p>
      <w:pPr>
        <w:spacing w:line="440" w:lineRule="exact"/>
        <w:ind w:firstLine="420" w:firstLineChars="200"/>
        <w:rPr>
          <w:rFonts w:ascii="Times New Roman" w:hAnsi="Times New Roman"/>
          <w:color w:val="auto"/>
          <w:szCs w:val="21"/>
        </w:rPr>
      </w:pPr>
      <w:r>
        <w:rPr>
          <w:rFonts w:ascii="Times New Roman" w:hAnsi="Times New Roman"/>
          <w:color w:val="auto"/>
          <w:szCs w:val="21"/>
        </w:rPr>
        <w:t>（4）通用合同条款；</w:t>
      </w:r>
    </w:p>
    <w:p>
      <w:pPr>
        <w:spacing w:line="440" w:lineRule="exact"/>
        <w:ind w:firstLine="420" w:firstLineChars="200"/>
        <w:rPr>
          <w:rFonts w:ascii="Times New Roman" w:hAnsi="Times New Roman"/>
          <w:color w:val="auto"/>
          <w:szCs w:val="21"/>
        </w:rPr>
      </w:pPr>
      <w:r>
        <w:rPr>
          <w:rFonts w:ascii="Times New Roman" w:hAnsi="Times New Roman"/>
          <w:color w:val="auto"/>
          <w:szCs w:val="21"/>
        </w:rPr>
        <w:t>（5）发包人要求；</w:t>
      </w:r>
    </w:p>
    <w:p>
      <w:pPr>
        <w:spacing w:line="440" w:lineRule="exact"/>
        <w:ind w:firstLine="420" w:firstLineChars="200"/>
        <w:rPr>
          <w:rFonts w:ascii="Times New Roman" w:hAnsi="Times New Roman"/>
          <w:color w:val="auto"/>
          <w:szCs w:val="21"/>
        </w:rPr>
      </w:pPr>
      <w:r>
        <w:rPr>
          <w:rFonts w:ascii="Times New Roman" w:hAnsi="Times New Roman"/>
          <w:color w:val="auto"/>
          <w:szCs w:val="21"/>
        </w:rPr>
        <w:t>（</w:t>
      </w:r>
      <w:r>
        <w:rPr>
          <w:rFonts w:hint="eastAsia" w:ascii="Times New Roman" w:hAnsi="Times New Roman"/>
          <w:color w:val="auto"/>
          <w:szCs w:val="21"/>
        </w:rPr>
        <w:t>6</w:t>
      </w:r>
      <w:r>
        <w:rPr>
          <w:rFonts w:ascii="Times New Roman" w:hAnsi="Times New Roman"/>
          <w:color w:val="auto"/>
          <w:szCs w:val="21"/>
        </w:rPr>
        <w:t>）勘察费用清单；</w:t>
      </w:r>
    </w:p>
    <w:p>
      <w:pPr>
        <w:spacing w:line="440" w:lineRule="exact"/>
        <w:ind w:firstLine="420" w:firstLineChars="200"/>
        <w:rPr>
          <w:rFonts w:ascii="Times New Roman" w:hAnsi="Times New Roman"/>
          <w:color w:val="auto"/>
          <w:szCs w:val="21"/>
        </w:rPr>
      </w:pPr>
      <w:r>
        <w:rPr>
          <w:rFonts w:ascii="Times New Roman" w:hAnsi="Times New Roman"/>
          <w:color w:val="auto"/>
          <w:szCs w:val="21"/>
        </w:rPr>
        <w:t>（</w:t>
      </w:r>
      <w:r>
        <w:rPr>
          <w:rFonts w:hint="eastAsia" w:ascii="Times New Roman" w:hAnsi="Times New Roman"/>
          <w:color w:val="auto"/>
          <w:szCs w:val="21"/>
        </w:rPr>
        <w:t>7</w:t>
      </w:r>
      <w:r>
        <w:rPr>
          <w:rFonts w:ascii="Times New Roman" w:hAnsi="Times New Roman"/>
          <w:color w:val="auto"/>
          <w:szCs w:val="21"/>
        </w:rPr>
        <w:t>）勘察纲要；</w:t>
      </w:r>
    </w:p>
    <w:p>
      <w:pPr>
        <w:spacing w:line="440" w:lineRule="exact"/>
        <w:ind w:firstLine="420" w:firstLineChars="200"/>
        <w:rPr>
          <w:rFonts w:ascii="Times New Roman" w:hAnsi="Times New Roman"/>
          <w:color w:val="auto"/>
          <w:szCs w:val="21"/>
        </w:rPr>
      </w:pPr>
      <w:r>
        <w:rPr>
          <w:rFonts w:ascii="Times New Roman" w:hAnsi="Times New Roman"/>
          <w:color w:val="auto"/>
          <w:szCs w:val="21"/>
        </w:rPr>
        <w:t>（8）其他合同文件。</w:t>
      </w:r>
    </w:p>
    <w:p>
      <w:pPr>
        <w:spacing w:line="440" w:lineRule="exact"/>
        <w:ind w:firstLine="420" w:firstLineChars="200"/>
        <w:rPr>
          <w:rFonts w:ascii="Times New Roman" w:hAnsi="Times New Roman"/>
          <w:color w:val="auto"/>
          <w:szCs w:val="21"/>
        </w:rPr>
      </w:pPr>
      <w:r>
        <w:rPr>
          <w:rFonts w:ascii="Times New Roman" w:hAnsi="Times New Roman"/>
          <w:color w:val="auto"/>
          <w:szCs w:val="21"/>
        </w:rPr>
        <w:t>2. 上述合同文件互相补充和解释。如果合同文件之间存在矛盾或不一致之处，以上述文件的排列顺序在先者为准。</w:t>
      </w:r>
    </w:p>
    <w:p>
      <w:pPr>
        <w:spacing w:line="440" w:lineRule="exact"/>
        <w:ind w:firstLine="420" w:firstLineChars="200"/>
        <w:rPr>
          <w:rFonts w:ascii="Times New Roman" w:hAnsi="Times New Roman"/>
          <w:color w:val="auto"/>
          <w:szCs w:val="21"/>
        </w:rPr>
      </w:pPr>
      <w:r>
        <w:rPr>
          <w:rFonts w:ascii="Times New Roman" w:hAnsi="Times New Roman"/>
          <w:color w:val="auto"/>
          <w:szCs w:val="21"/>
        </w:rPr>
        <w:t>3. 签约合同价：人民币（大写）</w:t>
      </w:r>
      <w:r>
        <w:rPr>
          <w:rFonts w:ascii="Times New Roman" w:hAnsi="Times New Roman"/>
          <w:color w:val="auto"/>
          <w:u w:val="single"/>
        </w:rPr>
        <w:t xml:space="preserve">              </w:t>
      </w:r>
      <w:r>
        <w:rPr>
          <w:rFonts w:ascii="Times New Roman" w:hAnsi="Times New Roman"/>
          <w:color w:val="auto"/>
          <w:szCs w:val="21"/>
        </w:rPr>
        <w:t>（¥</w:t>
      </w:r>
      <w:r>
        <w:rPr>
          <w:rFonts w:ascii="Times New Roman" w:hAnsi="Times New Roman"/>
          <w:color w:val="auto"/>
          <w:u w:val="single"/>
        </w:rPr>
        <w:t xml:space="preserve">              </w:t>
      </w:r>
      <w:r>
        <w:rPr>
          <w:rFonts w:ascii="Times New Roman" w:hAnsi="Times New Roman"/>
          <w:color w:val="auto"/>
          <w:szCs w:val="21"/>
        </w:rPr>
        <w:t>）。</w:t>
      </w:r>
    </w:p>
    <w:p>
      <w:pPr>
        <w:spacing w:line="440" w:lineRule="exact"/>
        <w:ind w:firstLine="420" w:firstLineChars="200"/>
        <w:rPr>
          <w:rFonts w:ascii="Times New Roman" w:hAnsi="Times New Roman"/>
          <w:color w:val="auto"/>
          <w:szCs w:val="21"/>
        </w:rPr>
      </w:pPr>
      <w:r>
        <w:rPr>
          <w:rFonts w:ascii="Times New Roman" w:hAnsi="Times New Roman"/>
          <w:color w:val="auto"/>
          <w:szCs w:val="21"/>
        </w:rPr>
        <w:t>4. 项目负责人：</w:t>
      </w:r>
      <w:r>
        <w:rPr>
          <w:rFonts w:ascii="Times New Roman" w:hAnsi="Times New Roman"/>
          <w:color w:val="auto"/>
          <w:szCs w:val="21"/>
          <w:u w:val="single"/>
        </w:rPr>
        <w:t xml:space="preserve">          </w:t>
      </w:r>
      <w:r>
        <w:rPr>
          <w:rFonts w:ascii="Times New Roman" w:hAnsi="Times New Roman"/>
          <w:color w:val="auto"/>
          <w:szCs w:val="21"/>
        </w:rPr>
        <w:t>。</w:t>
      </w:r>
    </w:p>
    <w:p>
      <w:pPr>
        <w:spacing w:line="440" w:lineRule="exact"/>
        <w:ind w:firstLine="420" w:firstLineChars="200"/>
        <w:rPr>
          <w:rFonts w:ascii="Times New Roman" w:hAnsi="Times New Roman"/>
          <w:color w:val="auto"/>
          <w:szCs w:val="21"/>
        </w:rPr>
      </w:pPr>
      <w:r>
        <w:rPr>
          <w:rFonts w:ascii="Times New Roman" w:hAnsi="Times New Roman"/>
          <w:color w:val="auto"/>
          <w:szCs w:val="21"/>
        </w:rPr>
        <w:t>5. 勘察工作质量符合的标准和要求：</w:t>
      </w:r>
      <w:r>
        <w:rPr>
          <w:rFonts w:ascii="Times New Roman" w:hAnsi="Times New Roman"/>
          <w:color w:val="auto"/>
          <w:szCs w:val="21"/>
          <w:u w:val="single"/>
        </w:rPr>
        <w:t xml:space="preserve">                       </w:t>
      </w:r>
      <w:r>
        <w:rPr>
          <w:rFonts w:ascii="Times New Roman" w:hAnsi="Times New Roman"/>
          <w:color w:val="auto"/>
          <w:szCs w:val="21"/>
        </w:rPr>
        <w:t>。</w:t>
      </w:r>
    </w:p>
    <w:p>
      <w:pPr>
        <w:spacing w:line="440" w:lineRule="exact"/>
        <w:ind w:firstLine="420" w:firstLineChars="200"/>
        <w:rPr>
          <w:rFonts w:ascii="Times New Roman" w:hAnsi="Times New Roman"/>
          <w:color w:val="auto"/>
          <w:szCs w:val="21"/>
        </w:rPr>
      </w:pPr>
      <w:r>
        <w:rPr>
          <w:rFonts w:ascii="Times New Roman" w:hAnsi="Times New Roman"/>
          <w:color w:val="auto"/>
          <w:szCs w:val="21"/>
        </w:rPr>
        <w:t>6. 勘察人承诺按合同约定承担工程的勘察工作。</w:t>
      </w:r>
    </w:p>
    <w:p>
      <w:pPr>
        <w:spacing w:line="440" w:lineRule="exact"/>
        <w:ind w:firstLine="420" w:firstLineChars="200"/>
        <w:rPr>
          <w:rFonts w:ascii="Times New Roman" w:hAnsi="Times New Roman"/>
          <w:color w:val="auto"/>
          <w:szCs w:val="21"/>
        </w:rPr>
      </w:pPr>
      <w:r>
        <w:rPr>
          <w:rFonts w:ascii="Times New Roman" w:hAnsi="Times New Roman"/>
          <w:color w:val="auto"/>
          <w:szCs w:val="21"/>
        </w:rPr>
        <w:t>7. 发包人承诺按合同约定的条件、时间和方式向勘察人支付合同价款。</w:t>
      </w:r>
    </w:p>
    <w:p>
      <w:pPr>
        <w:spacing w:line="440" w:lineRule="exact"/>
        <w:ind w:firstLine="420" w:firstLineChars="200"/>
        <w:rPr>
          <w:rFonts w:ascii="Times New Roman" w:hAnsi="Times New Roman"/>
          <w:color w:val="auto"/>
          <w:szCs w:val="21"/>
        </w:rPr>
      </w:pPr>
      <w:r>
        <w:rPr>
          <w:rFonts w:ascii="Times New Roman" w:hAnsi="Times New Roman"/>
          <w:color w:val="auto"/>
          <w:szCs w:val="21"/>
        </w:rPr>
        <w:t>8. 勘察人计划开始勘察日期：</w:t>
      </w:r>
      <w:r>
        <w:rPr>
          <w:rFonts w:ascii="Times New Roman" w:hAnsi="Times New Roman"/>
          <w:color w:val="auto"/>
          <w:szCs w:val="21"/>
          <w:u w:val="single"/>
        </w:rPr>
        <w:t xml:space="preserve">             </w:t>
      </w:r>
      <w:r>
        <w:rPr>
          <w:rFonts w:ascii="Times New Roman" w:hAnsi="Times New Roman"/>
          <w:color w:val="auto"/>
          <w:szCs w:val="21"/>
        </w:rPr>
        <w:t>，实际日期按照发包人在开始勘察通知中载明的开始勘察日期为准。勘察服务期限为</w:t>
      </w:r>
      <w:r>
        <w:rPr>
          <w:rFonts w:ascii="Times New Roman" w:hAnsi="Times New Roman"/>
          <w:color w:val="auto"/>
          <w:szCs w:val="21"/>
          <w:u w:val="single"/>
        </w:rPr>
        <w:t xml:space="preserve">    </w:t>
      </w:r>
      <w:r>
        <w:rPr>
          <w:rFonts w:ascii="Times New Roman" w:hAnsi="Times New Roman"/>
          <w:color w:val="auto"/>
          <w:szCs w:val="21"/>
        </w:rPr>
        <w:t>天。</w:t>
      </w:r>
    </w:p>
    <w:p>
      <w:pPr>
        <w:spacing w:line="440" w:lineRule="exact"/>
        <w:ind w:firstLine="420" w:firstLineChars="200"/>
        <w:rPr>
          <w:rFonts w:ascii="Times New Roman" w:hAnsi="Times New Roman"/>
          <w:color w:val="auto"/>
          <w:szCs w:val="21"/>
        </w:rPr>
      </w:pPr>
      <w:bookmarkStart w:id="617" w:name="_Toc152042550"/>
      <w:bookmarkStart w:id="618" w:name="_Toc144974830"/>
      <w:r>
        <w:rPr>
          <w:rFonts w:ascii="Times New Roman" w:hAnsi="Times New Roman"/>
          <w:color w:val="auto"/>
          <w:szCs w:val="21"/>
        </w:rPr>
        <w:t>9. 本合同协议书一式</w:t>
      </w:r>
      <w:r>
        <w:rPr>
          <w:rFonts w:ascii="Times New Roman" w:hAnsi="Times New Roman"/>
          <w:color w:val="auto"/>
          <w:u w:val="single"/>
        </w:rPr>
        <w:t xml:space="preserve">       </w:t>
      </w:r>
      <w:r>
        <w:rPr>
          <w:rFonts w:ascii="Times New Roman" w:hAnsi="Times New Roman"/>
          <w:color w:val="auto"/>
          <w:szCs w:val="21"/>
        </w:rPr>
        <w:t>份，合同双方各执</w:t>
      </w:r>
      <w:r>
        <w:rPr>
          <w:rFonts w:ascii="Times New Roman" w:hAnsi="Times New Roman"/>
          <w:color w:val="auto"/>
          <w:u w:val="single"/>
        </w:rPr>
        <w:t xml:space="preserve">       </w:t>
      </w:r>
      <w:r>
        <w:rPr>
          <w:rFonts w:ascii="Times New Roman" w:hAnsi="Times New Roman"/>
          <w:color w:val="auto"/>
          <w:szCs w:val="21"/>
        </w:rPr>
        <w:t>份。</w:t>
      </w:r>
    </w:p>
    <w:p>
      <w:pPr>
        <w:spacing w:line="440" w:lineRule="exact"/>
        <w:ind w:firstLine="420" w:firstLineChars="200"/>
        <w:rPr>
          <w:rFonts w:ascii="Times New Roman" w:hAnsi="Times New Roman"/>
          <w:color w:val="auto"/>
          <w:szCs w:val="21"/>
        </w:rPr>
      </w:pPr>
      <w:r>
        <w:rPr>
          <w:rFonts w:ascii="Times New Roman" w:hAnsi="Times New Roman"/>
          <w:color w:val="auto"/>
          <w:szCs w:val="21"/>
        </w:rPr>
        <w:t>10. 合同未尽事宜，双方另行签订补充协议。补充协议是合同的组成部分。</w:t>
      </w:r>
      <w:bookmarkEnd w:id="617"/>
      <w:bookmarkEnd w:id="618"/>
    </w:p>
    <w:p>
      <w:pPr>
        <w:spacing w:line="440" w:lineRule="exact"/>
        <w:ind w:firstLine="420" w:firstLineChars="200"/>
        <w:rPr>
          <w:rFonts w:ascii="Times New Roman" w:hAnsi="Times New Roman"/>
          <w:color w:val="auto"/>
          <w:szCs w:val="21"/>
        </w:rPr>
      </w:pPr>
    </w:p>
    <w:p>
      <w:pPr>
        <w:spacing w:line="440" w:lineRule="exact"/>
        <w:ind w:firstLine="420" w:firstLineChars="200"/>
        <w:rPr>
          <w:rFonts w:ascii="Times New Roman" w:hAnsi="Times New Roman"/>
          <w:color w:val="auto"/>
          <w:szCs w:val="21"/>
        </w:rPr>
      </w:pPr>
    </w:p>
    <w:p>
      <w:pPr>
        <w:spacing w:line="440" w:lineRule="exact"/>
        <w:rPr>
          <w:rFonts w:ascii="Times New Roman" w:hAnsi="Times New Roman"/>
          <w:color w:val="auto"/>
          <w:szCs w:val="21"/>
        </w:rPr>
      </w:pPr>
      <w:r>
        <w:rPr>
          <w:rFonts w:ascii="Times New Roman" w:hAnsi="Times New Roman"/>
          <w:color w:val="auto"/>
          <w:szCs w:val="21"/>
        </w:rPr>
        <w:t>发包人：</w:t>
      </w:r>
      <w:r>
        <w:rPr>
          <w:rFonts w:ascii="Times New Roman" w:hAnsi="Times New Roman"/>
          <w:color w:val="auto"/>
          <w:szCs w:val="21"/>
          <w:u w:val="single"/>
        </w:rPr>
        <w:t xml:space="preserve">                </w:t>
      </w:r>
      <w:r>
        <w:rPr>
          <w:rFonts w:ascii="Times New Roman" w:hAnsi="Times New Roman"/>
          <w:color w:val="auto"/>
          <w:szCs w:val="21"/>
        </w:rPr>
        <w:t>（盖单位章）      勘察人：</w:t>
      </w:r>
      <w:r>
        <w:rPr>
          <w:rFonts w:ascii="Times New Roman" w:hAnsi="Times New Roman"/>
          <w:color w:val="auto"/>
          <w:szCs w:val="21"/>
          <w:u w:val="single"/>
        </w:rPr>
        <w:t xml:space="preserve">                   </w:t>
      </w:r>
      <w:r>
        <w:rPr>
          <w:rFonts w:ascii="Times New Roman" w:hAnsi="Times New Roman"/>
          <w:color w:val="auto"/>
          <w:szCs w:val="21"/>
        </w:rPr>
        <w:t>（盖单位章）</w:t>
      </w:r>
    </w:p>
    <w:p>
      <w:pPr>
        <w:spacing w:line="440" w:lineRule="exact"/>
        <w:rPr>
          <w:rFonts w:ascii="Times New Roman" w:hAnsi="Times New Roman"/>
          <w:color w:val="auto"/>
          <w:szCs w:val="21"/>
        </w:rPr>
      </w:pPr>
      <w:r>
        <w:rPr>
          <w:rFonts w:ascii="Times New Roman" w:hAnsi="Times New Roman"/>
          <w:color w:val="auto"/>
          <w:szCs w:val="21"/>
        </w:rPr>
        <w:t>法定代表人或其委托代理人：</w:t>
      </w:r>
      <w:r>
        <w:rPr>
          <w:rFonts w:ascii="Times New Roman" w:hAnsi="Times New Roman"/>
          <w:color w:val="auto"/>
          <w:szCs w:val="21"/>
          <w:u w:val="single"/>
        </w:rPr>
        <w:t xml:space="preserve">    </w:t>
      </w:r>
      <w:r>
        <w:rPr>
          <w:rFonts w:ascii="Times New Roman" w:hAnsi="Times New Roman"/>
          <w:color w:val="auto"/>
          <w:szCs w:val="21"/>
        </w:rPr>
        <w:t>（签字）    法定代表人或其委托代理人：</w:t>
      </w:r>
      <w:r>
        <w:rPr>
          <w:rFonts w:ascii="Times New Roman" w:hAnsi="Times New Roman"/>
          <w:color w:val="auto"/>
          <w:szCs w:val="21"/>
          <w:u w:val="single"/>
        </w:rPr>
        <w:t xml:space="preserve">      </w:t>
      </w:r>
      <w:r>
        <w:rPr>
          <w:rFonts w:ascii="Times New Roman" w:hAnsi="Times New Roman"/>
          <w:color w:val="auto"/>
          <w:szCs w:val="21"/>
        </w:rPr>
        <w:t>（签字）</w:t>
      </w:r>
    </w:p>
    <w:p>
      <w:pPr>
        <w:spacing w:line="440" w:lineRule="exact"/>
        <w:rPr>
          <w:rFonts w:ascii="Times New Roman" w:hAnsi="Times New Roman"/>
          <w:color w:val="auto"/>
          <w:szCs w:val="21"/>
        </w:rPr>
      </w:pPr>
      <w:r>
        <w:rPr>
          <w:rFonts w:ascii="Times New Roman" w:hAnsi="Times New Roman"/>
          <w:color w:val="auto"/>
          <w:szCs w:val="21"/>
          <w:u w:val="single"/>
        </w:rPr>
        <w:t xml:space="preserve">         </w:t>
      </w:r>
      <w:r>
        <w:rPr>
          <w:rFonts w:ascii="Times New Roman" w:hAnsi="Times New Roman"/>
          <w:color w:val="auto"/>
          <w:szCs w:val="21"/>
        </w:rPr>
        <w:t>年</w:t>
      </w:r>
      <w:r>
        <w:rPr>
          <w:rFonts w:ascii="Times New Roman" w:hAnsi="Times New Roman"/>
          <w:color w:val="auto"/>
          <w:szCs w:val="21"/>
          <w:u w:val="single"/>
        </w:rPr>
        <w:t xml:space="preserve">       </w:t>
      </w:r>
      <w:r>
        <w:rPr>
          <w:rFonts w:ascii="Times New Roman" w:hAnsi="Times New Roman"/>
          <w:color w:val="auto"/>
          <w:szCs w:val="21"/>
        </w:rPr>
        <w:t xml:space="preserve">月 </w:t>
      </w:r>
      <w:r>
        <w:rPr>
          <w:rFonts w:ascii="Times New Roman" w:hAnsi="Times New Roman"/>
          <w:color w:val="auto"/>
          <w:szCs w:val="21"/>
          <w:u w:val="single"/>
        </w:rPr>
        <w:t xml:space="preserve">       </w:t>
      </w:r>
      <w:r>
        <w:rPr>
          <w:rFonts w:ascii="Times New Roman" w:hAnsi="Times New Roman"/>
          <w:color w:val="auto"/>
          <w:szCs w:val="21"/>
        </w:rPr>
        <w:t xml:space="preserve"> 日          </w:t>
      </w:r>
      <w:r>
        <w:rPr>
          <w:rFonts w:ascii="Times New Roman" w:hAnsi="Times New Roman"/>
          <w:color w:val="auto"/>
          <w:szCs w:val="21"/>
          <w:u w:val="single"/>
        </w:rPr>
        <w:t xml:space="preserve">        </w:t>
      </w:r>
      <w:r>
        <w:rPr>
          <w:rFonts w:ascii="Times New Roman" w:hAnsi="Times New Roman"/>
          <w:color w:val="auto"/>
          <w:szCs w:val="21"/>
        </w:rPr>
        <w:t>年</w:t>
      </w:r>
      <w:r>
        <w:rPr>
          <w:rFonts w:ascii="Times New Roman" w:hAnsi="Times New Roman"/>
          <w:color w:val="auto"/>
          <w:szCs w:val="21"/>
          <w:u w:val="single"/>
        </w:rPr>
        <w:t xml:space="preserve">         </w:t>
      </w:r>
      <w:r>
        <w:rPr>
          <w:rFonts w:ascii="Times New Roman" w:hAnsi="Times New Roman"/>
          <w:color w:val="auto"/>
          <w:szCs w:val="21"/>
        </w:rPr>
        <w:t xml:space="preserve">月 </w:t>
      </w:r>
      <w:r>
        <w:rPr>
          <w:rFonts w:ascii="Times New Roman" w:hAnsi="Times New Roman"/>
          <w:color w:val="auto"/>
          <w:szCs w:val="21"/>
          <w:u w:val="single"/>
        </w:rPr>
        <w:t xml:space="preserve">         </w:t>
      </w:r>
      <w:r>
        <w:rPr>
          <w:rFonts w:ascii="Times New Roman" w:hAnsi="Times New Roman"/>
          <w:color w:val="auto"/>
          <w:szCs w:val="21"/>
        </w:rPr>
        <w:t>日</w:t>
      </w:r>
    </w:p>
    <w:p>
      <w:pPr>
        <w:spacing w:line="440" w:lineRule="exact"/>
        <w:rPr>
          <w:rFonts w:ascii="Times New Roman" w:hAnsi="Times New Roman"/>
          <w:color w:val="auto"/>
          <w:szCs w:val="21"/>
        </w:rPr>
      </w:pPr>
      <w:bookmarkStart w:id="619" w:name="_Toc144974831"/>
      <w:bookmarkEnd w:id="619"/>
    </w:p>
    <w:p>
      <w:pPr>
        <w:adjustRightInd w:val="0"/>
        <w:snapToGrid w:val="0"/>
        <w:rPr>
          <w:rFonts w:ascii="Times New Roman" w:hAnsi="Times New Roman"/>
          <w:color w:val="auto"/>
          <w:szCs w:val="21"/>
        </w:rPr>
      </w:pPr>
      <w:r>
        <w:rPr>
          <w:rFonts w:ascii="Times New Roman" w:hAnsi="Times New Roman"/>
          <w:color w:val="auto"/>
          <w:szCs w:val="21"/>
        </w:rPr>
        <w:br w:type="page"/>
      </w:r>
    </w:p>
    <w:p>
      <w:pPr>
        <w:spacing w:line="440" w:lineRule="exact"/>
        <w:ind w:firstLine="420" w:firstLineChars="200"/>
        <w:jc w:val="right"/>
        <w:rPr>
          <w:rFonts w:ascii="Times New Roman" w:hAnsi="Times New Roman"/>
          <w:color w:val="auto"/>
          <w:szCs w:val="21"/>
          <w:u w:val="single"/>
        </w:rPr>
      </w:pPr>
    </w:p>
    <w:p>
      <w:pPr>
        <w:pStyle w:val="6"/>
        <w:ind w:firstLine="137"/>
        <w:rPr>
          <w:rFonts w:ascii="Times New Roman" w:hAnsi="Times New Roman"/>
          <w:color w:val="auto"/>
        </w:rPr>
      </w:pPr>
      <w:bookmarkStart w:id="620" w:name="_Toc492300924"/>
      <w:bookmarkStart w:id="621" w:name="_Toc491798523"/>
      <w:r>
        <w:rPr>
          <w:rFonts w:ascii="Times New Roman" w:hAnsi="Times New Roman"/>
          <w:color w:val="auto"/>
        </w:rPr>
        <w:t>附件二：履约保证金格式</w:t>
      </w:r>
      <w:bookmarkEnd w:id="620"/>
      <w:bookmarkEnd w:id="621"/>
    </w:p>
    <w:p>
      <w:pPr>
        <w:spacing w:line="440" w:lineRule="exact"/>
        <w:rPr>
          <w:rFonts w:ascii="Times New Roman" w:hAnsi="Times New Roman"/>
          <w:color w:val="auto"/>
          <w:szCs w:val="21"/>
        </w:rPr>
      </w:pPr>
      <w:r>
        <w:rPr>
          <w:rFonts w:ascii="Times New Roman" w:hAnsi="Times New Roman"/>
          <w:color w:val="auto"/>
          <w:szCs w:val="21"/>
        </w:rPr>
        <w:t>如采用银行保函，格式如下。</w:t>
      </w:r>
    </w:p>
    <w:p>
      <w:pPr>
        <w:spacing w:line="440" w:lineRule="exact"/>
        <w:jc w:val="center"/>
        <w:rPr>
          <w:rFonts w:ascii="Times New Roman" w:hAnsi="Times New Roman" w:eastAsia="黑体"/>
          <w:color w:val="auto"/>
          <w:sz w:val="28"/>
        </w:rPr>
      </w:pPr>
      <w:r>
        <w:rPr>
          <w:rFonts w:ascii="Times New Roman" w:hAnsi="Times New Roman" w:eastAsia="黑体"/>
          <w:color w:val="auto"/>
          <w:sz w:val="28"/>
        </w:rPr>
        <w:t>履约保证金</w:t>
      </w:r>
    </w:p>
    <w:p>
      <w:pPr>
        <w:spacing w:line="440" w:lineRule="exact"/>
        <w:rPr>
          <w:rFonts w:ascii="Times New Roman" w:hAnsi="Times New Roman"/>
          <w:color w:val="auto"/>
          <w:u w:val="single"/>
        </w:rPr>
      </w:pPr>
    </w:p>
    <w:p>
      <w:pPr>
        <w:spacing w:line="440" w:lineRule="exact"/>
        <w:rPr>
          <w:rFonts w:ascii="Times New Roman" w:hAnsi="Times New Roman"/>
          <w:color w:val="auto"/>
        </w:rPr>
      </w:pPr>
      <w:r>
        <w:rPr>
          <w:rFonts w:ascii="Times New Roman" w:hAnsi="Times New Roman"/>
          <w:color w:val="auto"/>
          <w:u w:val="single"/>
        </w:rPr>
        <w:t xml:space="preserve">                     </w:t>
      </w:r>
      <w:r>
        <w:rPr>
          <w:rFonts w:ascii="Times New Roman" w:hAnsi="Times New Roman"/>
          <w:color w:val="auto"/>
        </w:rPr>
        <w:t>（发包人名称）：</w:t>
      </w:r>
    </w:p>
    <w:p>
      <w:pPr>
        <w:spacing w:line="440" w:lineRule="exact"/>
        <w:rPr>
          <w:rFonts w:ascii="Times New Roman" w:hAnsi="Times New Roman"/>
          <w:color w:val="auto"/>
          <w:szCs w:val="21"/>
        </w:rPr>
      </w:pPr>
    </w:p>
    <w:p>
      <w:pPr>
        <w:spacing w:line="440" w:lineRule="exact"/>
        <w:ind w:firstLine="420" w:firstLineChars="200"/>
        <w:rPr>
          <w:rFonts w:ascii="Times New Roman" w:hAnsi="Times New Roman"/>
          <w:color w:val="auto"/>
        </w:rPr>
      </w:pPr>
      <w:r>
        <w:rPr>
          <w:rFonts w:ascii="Times New Roman" w:hAnsi="Times New Roman"/>
          <w:color w:val="auto"/>
        </w:rPr>
        <w:t>鉴于（发包人名称，以下简称“发包人”）接受（</w:t>
      </w:r>
      <w:r>
        <w:rPr>
          <w:rFonts w:ascii="Times New Roman" w:hAnsi="Times New Roman"/>
          <w:color w:val="auto"/>
          <w:szCs w:val="21"/>
        </w:rPr>
        <w:t>勘察人</w:t>
      </w:r>
      <w:r>
        <w:rPr>
          <w:rFonts w:ascii="Times New Roman" w:hAnsi="Times New Roman"/>
          <w:color w:val="auto"/>
        </w:rPr>
        <w:t>名称，以下</w:t>
      </w:r>
      <w:r>
        <w:rPr>
          <w:rFonts w:ascii="Times New Roman" w:hAnsi="Times New Roman"/>
          <w:color w:val="auto"/>
          <w:szCs w:val="21"/>
        </w:rPr>
        <w:t>称“勘察人”</w:t>
      </w:r>
      <w:r>
        <w:rPr>
          <w:rFonts w:ascii="Times New Roman" w:hAnsi="Times New Roman"/>
          <w:color w:val="auto"/>
        </w:rPr>
        <w:t>）于</w:t>
      </w:r>
      <w:r>
        <w:rPr>
          <w:rFonts w:ascii="Times New Roman" w:hAnsi="Times New Roman"/>
          <w:color w:val="auto"/>
          <w:u w:val="single"/>
        </w:rPr>
        <w:t xml:space="preserve">    </w:t>
      </w:r>
      <w:r>
        <w:rPr>
          <w:rFonts w:ascii="Times New Roman" w:hAnsi="Times New Roman"/>
          <w:color w:val="auto"/>
        </w:rPr>
        <w:t>年</w:t>
      </w:r>
      <w:r>
        <w:rPr>
          <w:rFonts w:ascii="Times New Roman" w:hAnsi="Times New Roman"/>
          <w:color w:val="auto"/>
          <w:u w:val="single"/>
        </w:rPr>
        <w:t xml:space="preserve">    </w:t>
      </w:r>
      <w:r>
        <w:rPr>
          <w:rFonts w:ascii="Times New Roman" w:hAnsi="Times New Roman"/>
          <w:color w:val="auto"/>
        </w:rPr>
        <w:t>月</w:t>
      </w:r>
    </w:p>
    <w:p>
      <w:pPr>
        <w:spacing w:line="440" w:lineRule="exact"/>
        <w:rPr>
          <w:rFonts w:ascii="Times New Roman" w:hAnsi="Times New Roman"/>
          <w:color w:val="auto"/>
        </w:rPr>
      </w:pPr>
      <w:r>
        <w:rPr>
          <w:rFonts w:ascii="Times New Roman" w:hAnsi="Times New Roman"/>
          <w:color w:val="auto"/>
          <w:u w:val="single"/>
        </w:rPr>
        <w:t xml:space="preserve">     </w:t>
      </w:r>
      <w:r>
        <w:rPr>
          <w:rFonts w:ascii="Times New Roman" w:hAnsi="Times New Roman"/>
          <w:color w:val="auto"/>
        </w:rPr>
        <w:t>日参加</w:t>
      </w:r>
      <w:r>
        <w:rPr>
          <w:rFonts w:ascii="Times New Roman" w:hAnsi="Times New Roman"/>
          <w:color w:val="auto"/>
          <w:u w:val="single"/>
        </w:rPr>
        <w:t xml:space="preserve">            </w:t>
      </w:r>
      <w:r>
        <w:rPr>
          <w:rFonts w:ascii="Times New Roman" w:hAnsi="Times New Roman"/>
          <w:color w:val="auto"/>
        </w:rPr>
        <w:t>（项目名称）勘察招标项目的投标。我方愿意无条件地、不可撤销地就</w:t>
      </w:r>
      <w:r>
        <w:rPr>
          <w:rFonts w:ascii="Times New Roman" w:hAnsi="Times New Roman"/>
          <w:color w:val="auto"/>
          <w:szCs w:val="21"/>
        </w:rPr>
        <w:t>勘察人</w:t>
      </w:r>
      <w:r>
        <w:rPr>
          <w:rFonts w:ascii="Times New Roman" w:hAnsi="Times New Roman"/>
          <w:color w:val="auto"/>
        </w:rPr>
        <w:t>履行与你方订立的合同，向你方提供担保。</w:t>
      </w:r>
    </w:p>
    <w:p>
      <w:pPr>
        <w:spacing w:line="440" w:lineRule="exact"/>
        <w:ind w:firstLine="420" w:firstLineChars="200"/>
        <w:rPr>
          <w:rFonts w:ascii="Times New Roman" w:hAnsi="Times New Roman"/>
          <w:color w:val="auto"/>
        </w:rPr>
      </w:pPr>
      <w:r>
        <w:rPr>
          <w:rFonts w:ascii="Times New Roman" w:hAnsi="Times New Roman"/>
          <w:color w:val="auto"/>
        </w:rPr>
        <w:t>1. 担保金额人民币（大写）</w:t>
      </w:r>
      <w:r>
        <w:rPr>
          <w:rFonts w:ascii="Times New Roman" w:hAnsi="Times New Roman"/>
          <w:color w:val="auto"/>
          <w:u w:val="single"/>
        </w:rPr>
        <w:t xml:space="preserve">              </w:t>
      </w:r>
      <w:r>
        <w:rPr>
          <w:rFonts w:ascii="Times New Roman" w:hAnsi="Times New Roman"/>
          <w:color w:val="auto"/>
        </w:rPr>
        <w:t>（¥）</w:t>
      </w:r>
      <w:r>
        <w:rPr>
          <w:rFonts w:ascii="Times New Roman" w:hAnsi="Times New Roman"/>
          <w:color w:val="auto"/>
          <w:u w:val="single"/>
        </w:rPr>
        <w:t xml:space="preserve">              </w:t>
      </w:r>
      <w:r>
        <w:rPr>
          <w:rFonts w:ascii="Times New Roman" w:hAnsi="Times New Roman"/>
          <w:color w:val="auto"/>
        </w:rPr>
        <w:t>。</w:t>
      </w:r>
    </w:p>
    <w:p>
      <w:pPr>
        <w:spacing w:line="440" w:lineRule="exact"/>
        <w:ind w:firstLine="420" w:firstLineChars="200"/>
        <w:rPr>
          <w:rFonts w:ascii="Times New Roman" w:hAnsi="Times New Roman"/>
          <w:color w:val="auto"/>
          <w:szCs w:val="21"/>
        </w:rPr>
      </w:pPr>
      <w:r>
        <w:rPr>
          <w:rFonts w:ascii="Times New Roman" w:hAnsi="Times New Roman"/>
          <w:color w:val="auto"/>
          <w:szCs w:val="21"/>
        </w:rPr>
        <w:t xml:space="preserve">2. </w:t>
      </w:r>
      <w:r>
        <w:rPr>
          <w:rFonts w:hint="eastAsia" w:ascii="Times New Roman" w:hAnsi="Times New Roman"/>
          <w:color w:val="auto"/>
          <w:szCs w:val="21"/>
        </w:rPr>
        <w:t>担保有效期自发包人与勘察人签订的合同生效之日起至发包人签收最后一批勘察成果文件之日起</w:t>
      </w:r>
      <w:r>
        <w:rPr>
          <w:rFonts w:ascii="Times New Roman" w:hAnsi="Times New Roman"/>
          <w:color w:val="auto"/>
          <w:szCs w:val="21"/>
        </w:rPr>
        <w:t>28</w:t>
      </w:r>
      <w:r>
        <w:rPr>
          <w:rFonts w:hint="eastAsia" w:ascii="Times New Roman" w:hAnsi="Times New Roman"/>
          <w:color w:val="auto"/>
          <w:szCs w:val="21"/>
        </w:rPr>
        <w:t>日后失效。</w:t>
      </w:r>
    </w:p>
    <w:p>
      <w:pPr>
        <w:spacing w:line="440" w:lineRule="exact"/>
        <w:ind w:firstLine="420" w:firstLineChars="200"/>
        <w:rPr>
          <w:rFonts w:ascii="Times New Roman" w:hAnsi="Times New Roman"/>
          <w:color w:val="auto"/>
        </w:rPr>
      </w:pPr>
      <w:r>
        <w:rPr>
          <w:rFonts w:ascii="Times New Roman" w:hAnsi="Times New Roman"/>
          <w:color w:val="auto"/>
        </w:rPr>
        <w:t>3. 在本担保有效期内，</w:t>
      </w:r>
      <w:r>
        <w:rPr>
          <w:rFonts w:ascii="Times New Roman" w:hAnsi="Times New Roman"/>
          <w:color w:val="auto"/>
          <w:szCs w:val="21"/>
        </w:rPr>
        <w:t>如果勘察人不履行合同约定的义务或其履行不符合合同的约定，</w:t>
      </w:r>
      <w:r>
        <w:rPr>
          <w:rFonts w:ascii="Times New Roman" w:hAnsi="Times New Roman"/>
          <w:color w:val="auto"/>
        </w:rPr>
        <w:t>我方在收到你方以书面形式提出的在担保金额内的赔偿要求后，在7日内无条件支付。</w:t>
      </w:r>
    </w:p>
    <w:p>
      <w:pPr>
        <w:spacing w:line="440" w:lineRule="exact"/>
        <w:ind w:firstLine="420" w:firstLineChars="200"/>
        <w:rPr>
          <w:rFonts w:ascii="Times New Roman" w:hAnsi="Times New Roman"/>
          <w:color w:val="auto"/>
        </w:rPr>
      </w:pPr>
      <w:r>
        <w:rPr>
          <w:rFonts w:ascii="Times New Roman" w:hAnsi="Times New Roman"/>
          <w:color w:val="auto"/>
        </w:rPr>
        <w:t>4. 发包人和</w:t>
      </w:r>
      <w:r>
        <w:rPr>
          <w:rFonts w:ascii="Times New Roman" w:hAnsi="Times New Roman"/>
          <w:color w:val="auto"/>
          <w:szCs w:val="21"/>
        </w:rPr>
        <w:t>勘察人</w:t>
      </w:r>
      <w:r>
        <w:rPr>
          <w:rFonts w:ascii="Times New Roman" w:hAnsi="Times New Roman"/>
          <w:color w:val="auto"/>
        </w:rPr>
        <w:t>变更合同时</w:t>
      </w:r>
      <w:bookmarkStart w:id="622" w:name="_Toc247527799"/>
      <w:bookmarkStart w:id="623" w:name="_Toc361508743"/>
      <w:bookmarkStart w:id="624" w:name="_Toc296602586"/>
      <w:bookmarkStart w:id="625" w:name="_Toc247085851"/>
      <w:bookmarkStart w:id="626" w:name="_Toc384308366"/>
      <w:bookmarkStart w:id="627" w:name="_Toc246996336"/>
      <w:bookmarkStart w:id="628" w:name="_Toc184635123"/>
      <w:bookmarkStart w:id="629" w:name="_Toc246997079"/>
      <w:bookmarkStart w:id="630" w:name="_Toc369531685"/>
      <w:bookmarkStart w:id="631" w:name="_Toc247514198"/>
      <w:bookmarkStart w:id="632" w:name="_Toc361231267"/>
      <w:bookmarkStart w:id="633" w:name="_Toc300835200"/>
      <w:bookmarkStart w:id="634" w:name="_Toc15620"/>
      <w:r>
        <w:rPr>
          <w:rFonts w:ascii="Times New Roman" w:hAnsi="Times New Roman"/>
          <w:color w:val="auto"/>
        </w:rPr>
        <w:t>，无论我方是否收到该</w:t>
      </w:r>
      <w:bookmarkEnd w:id="595"/>
      <w:bookmarkEnd w:id="596"/>
      <w:bookmarkEnd w:id="597"/>
      <w:bookmarkEnd w:id="598"/>
      <w:bookmarkEnd w:id="622"/>
      <w:bookmarkEnd w:id="623"/>
      <w:bookmarkEnd w:id="624"/>
      <w:bookmarkEnd w:id="625"/>
      <w:bookmarkEnd w:id="626"/>
      <w:bookmarkEnd w:id="627"/>
      <w:bookmarkEnd w:id="628"/>
      <w:bookmarkEnd w:id="629"/>
      <w:bookmarkEnd w:id="630"/>
      <w:bookmarkEnd w:id="631"/>
      <w:bookmarkEnd w:id="632"/>
      <w:bookmarkEnd w:id="633"/>
      <w:bookmarkEnd w:id="634"/>
      <w:r>
        <w:rPr>
          <w:rFonts w:ascii="Times New Roman" w:hAnsi="Times New Roman"/>
          <w:color w:val="auto"/>
        </w:rPr>
        <w:t>变</w:t>
      </w:r>
      <w:bookmarkStart w:id="635" w:name="_Toc361508744"/>
      <w:bookmarkStart w:id="636" w:name="_Toc246997080"/>
      <w:bookmarkStart w:id="637" w:name="_Toc152045768"/>
      <w:bookmarkStart w:id="638" w:name="_Toc247527800"/>
      <w:bookmarkStart w:id="639" w:name="_Toc384308367"/>
      <w:bookmarkStart w:id="640" w:name="_Toc300835201"/>
      <w:bookmarkStart w:id="641" w:name="_Toc179632786"/>
      <w:bookmarkStart w:id="642" w:name="_Toc369531686"/>
      <w:bookmarkStart w:id="643" w:name="_Toc152042547"/>
      <w:bookmarkStart w:id="644" w:name="_Toc144974827"/>
      <w:bookmarkStart w:id="645" w:name="_Toc247085852"/>
      <w:bookmarkStart w:id="646" w:name="_Toc5746"/>
      <w:bookmarkStart w:id="647" w:name="_Toc246996337"/>
      <w:bookmarkStart w:id="648" w:name="_Toc247514199"/>
      <w:bookmarkStart w:id="649" w:name="_Toc361231268"/>
      <w:r>
        <w:rPr>
          <w:rFonts w:ascii="Times New Roman" w:hAnsi="Times New Roman"/>
          <w:color w:val="auto"/>
        </w:rPr>
        <w:t>更，我方承担本</w:t>
      </w:r>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r>
        <w:rPr>
          <w:rFonts w:ascii="Times New Roman" w:hAnsi="Times New Roman"/>
          <w:color w:val="auto"/>
        </w:rPr>
        <w:t>担保</w:t>
      </w:r>
      <w:bookmarkStart w:id="650" w:name="_Toc246996338"/>
      <w:bookmarkStart w:id="651" w:name="_Toc246997081"/>
      <w:bookmarkStart w:id="652" w:name="_Toc179632787"/>
      <w:bookmarkStart w:id="653" w:name="_Toc247085853"/>
      <w:r>
        <w:rPr>
          <w:rFonts w:ascii="Times New Roman" w:hAnsi="Times New Roman"/>
          <w:color w:val="auto"/>
        </w:rPr>
        <w:t>规定的义务不变。</w:t>
      </w:r>
    </w:p>
    <w:p>
      <w:pPr>
        <w:spacing w:line="440" w:lineRule="exact"/>
        <w:rPr>
          <w:rFonts w:ascii="Times New Roman" w:hAnsi="Times New Roman"/>
          <w:color w:val="auto"/>
        </w:rPr>
      </w:pPr>
    </w:p>
    <w:p>
      <w:pPr>
        <w:spacing w:line="600" w:lineRule="exact"/>
        <w:ind w:firstLine="2310" w:firstLineChars="1100"/>
        <w:rPr>
          <w:rFonts w:ascii="Times New Roman" w:hAnsi="Times New Roman"/>
          <w:color w:val="auto"/>
        </w:rPr>
      </w:pPr>
      <w:bookmarkStart w:id="654" w:name="_Toc152042549"/>
      <w:bookmarkStart w:id="655" w:name="_Toc144974829"/>
      <w:r>
        <w:rPr>
          <w:rFonts w:hint="eastAsia" w:ascii="Times New Roman" w:hAnsi="Times New Roman"/>
          <w:color w:val="auto"/>
        </w:rPr>
        <w:t>担保人名称</w:t>
      </w:r>
      <w:r>
        <w:rPr>
          <w:rFonts w:ascii="Times New Roman" w:hAnsi="Times New Roman"/>
          <w:color w:val="auto"/>
        </w:rPr>
        <w:t xml:space="preserve"> ：</w:t>
      </w:r>
      <w:r>
        <w:rPr>
          <w:rFonts w:ascii="Times New Roman" w:hAnsi="Times New Roman"/>
          <w:color w:val="auto"/>
          <w:u w:val="single"/>
        </w:rPr>
        <w:t xml:space="preserve">                                      </w:t>
      </w:r>
      <w:r>
        <w:rPr>
          <w:rFonts w:ascii="Times New Roman" w:hAnsi="Times New Roman"/>
          <w:color w:val="auto"/>
        </w:rPr>
        <w:t>（盖单位章）</w:t>
      </w:r>
    </w:p>
    <w:p>
      <w:pPr>
        <w:spacing w:line="600" w:lineRule="exact"/>
        <w:ind w:firstLine="2310" w:firstLineChars="1100"/>
        <w:rPr>
          <w:rFonts w:ascii="Times New Roman" w:hAnsi="Times New Roman"/>
          <w:color w:val="auto"/>
        </w:rPr>
      </w:pPr>
      <w:r>
        <w:rPr>
          <w:rFonts w:ascii="Times New Roman" w:hAnsi="Times New Roman"/>
          <w:color w:val="auto"/>
        </w:rPr>
        <w:t>法定代表人或其委托代理人：</w:t>
      </w:r>
      <w:r>
        <w:rPr>
          <w:rFonts w:ascii="Times New Roman" w:hAnsi="Times New Roman"/>
          <w:color w:val="auto"/>
          <w:u w:val="single"/>
        </w:rPr>
        <w:t xml:space="preserve">              </w:t>
      </w:r>
      <w:r>
        <w:rPr>
          <w:rFonts w:ascii="Times New Roman" w:hAnsi="Times New Roman"/>
          <w:color w:val="auto"/>
        </w:rPr>
        <w:t>（签字）</w:t>
      </w:r>
    </w:p>
    <w:p>
      <w:pPr>
        <w:spacing w:line="600" w:lineRule="exact"/>
        <w:ind w:firstLine="2310" w:firstLineChars="1100"/>
        <w:rPr>
          <w:rFonts w:ascii="Times New Roman" w:hAnsi="Times New Roman"/>
          <w:color w:val="auto"/>
        </w:rPr>
      </w:pPr>
      <w:r>
        <w:rPr>
          <w:rFonts w:ascii="Times New Roman" w:hAnsi="Times New Roman"/>
          <w:color w:val="auto"/>
        </w:rPr>
        <w:t>地    址：</w:t>
      </w:r>
      <w:r>
        <w:rPr>
          <w:rFonts w:ascii="Times New Roman" w:hAnsi="Times New Roman"/>
          <w:color w:val="auto"/>
          <w:u w:val="single"/>
        </w:rPr>
        <w:t xml:space="preserve">                                                  </w:t>
      </w:r>
    </w:p>
    <w:p>
      <w:pPr>
        <w:spacing w:line="600" w:lineRule="exact"/>
        <w:ind w:firstLine="2310" w:firstLineChars="1100"/>
        <w:rPr>
          <w:rFonts w:ascii="Times New Roman" w:hAnsi="Times New Roman"/>
          <w:color w:val="auto"/>
        </w:rPr>
      </w:pPr>
      <w:r>
        <w:rPr>
          <w:rFonts w:ascii="Times New Roman" w:hAnsi="Times New Roman"/>
          <w:color w:val="auto"/>
        </w:rPr>
        <w:t>邮政编码：</w:t>
      </w:r>
      <w:r>
        <w:rPr>
          <w:rFonts w:ascii="Times New Roman" w:hAnsi="Times New Roman"/>
          <w:color w:val="auto"/>
          <w:u w:val="single"/>
        </w:rPr>
        <w:tab/>
      </w:r>
      <w:r>
        <w:rPr>
          <w:rFonts w:ascii="Times New Roman" w:hAnsi="Times New Roman"/>
          <w:color w:val="auto"/>
          <w:u w:val="single"/>
        </w:rPr>
        <w:tab/>
      </w:r>
      <w:r>
        <w:rPr>
          <w:rFonts w:ascii="Times New Roman" w:hAnsi="Times New Roman"/>
          <w:color w:val="auto"/>
          <w:u w:val="single"/>
        </w:rPr>
        <w:tab/>
      </w:r>
      <w:r>
        <w:rPr>
          <w:rFonts w:ascii="Times New Roman" w:hAnsi="Times New Roman"/>
          <w:color w:val="auto"/>
          <w:u w:val="single"/>
        </w:rPr>
        <w:tab/>
      </w:r>
      <w:r>
        <w:rPr>
          <w:rFonts w:ascii="Times New Roman" w:hAnsi="Times New Roman"/>
          <w:color w:val="auto"/>
          <w:u w:val="single"/>
        </w:rPr>
        <w:t xml:space="preserve">              </w:t>
      </w:r>
      <w:r>
        <w:rPr>
          <w:rFonts w:ascii="Times New Roman" w:hAnsi="Times New Roman"/>
          <w:color w:val="auto"/>
          <w:u w:val="single"/>
        </w:rPr>
        <w:tab/>
      </w:r>
      <w:r>
        <w:rPr>
          <w:rFonts w:ascii="Times New Roman" w:hAnsi="Times New Roman"/>
          <w:color w:val="auto"/>
          <w:u w:val="single"/>
        </w:rPr>
        <w:tab/>
      </w:r>
      <w:r>
        <w:rPr>
          <w:rFonts w:ascii="Times New Roman" w:hAnsi="Times New Roman"/>
          <w:color w:val="auto"/>
          <w:u w:val="single"/>
        </w:rPr>
        <w:tab/>
      </w:r>
      <w:r>
        <w:rPr>
          <w:rFonts w:ascii="Times New Roman" w:hAnsi="Times New Roman"/>
          <w:color w:val="auto"/>
          <w:u w:val="single"/>
        </w:rPr>
        <w:t xml:space="preserve">          </w:t>
      </w:r>
    </w:p>
    <w:p>
      <w:pPr>
        <w:spacing w:line="600" w:lineRule="exact"/>
        <w:ind w:firstLine="2310" w:firstLineChars="1100"/>
        <w:rPr>
          <w:rFonts w:ascii="Times New Roman" w:hAnsi="Times New Roman"/>
          <w:color w:val="auto"/>
        </w:rPr>
      </w:pPr>
      <w:r>
        <w:rPr>
          <w:rFonts w:ascii="Times New Roman" w:hAnsi="Times New Roman"/>
          <w:color w:val="auto"/>
        </w:rPr>
        <w:t>电    话：</w:t>
      </w:r>
      <w:r>
        <w:rPr>
          <w:rFonts w:ascii="Times New Roman" w:hAnsi="Times New Roman"/>
          <w:color w:val="auto"/>
          <w:u w:val="single"/>
        </w:rPr>
        <w:t xml:space="preserve">                                                  </w:t>
      </w:r>
    </w:p>
    <w:p>
      <w:pPr>
        <w:spacing w:line="600" w:lineRule="exact"/>
        <w:ind w:firstLine="4258" w:firstLineChars="2028"/>
        <w:jc w:val="right"/>
        <w:rPr>
          <w:rFonts w:ascii="Times New Roman" w:hAnsi="Times New Roman"/>
          <w:b/>
          <w:bCs/>
          <w:color w:val="auto"/>
          <w:sz w:val="44"/>
          <w:szCs w:val="44"/>
        </w:rPr>
      </w:pPr>
      <w:r>
        <w:rPr>
          <w:rFonts w:ascii="Times New Roman" w:hAnsi="Times New Roman"/>
          <w:color w:val="auto"/>
          <w:u w:val="single"/>
        </w:rPr>
        <w:t xml:space="preserve">       </w:t>
      </w:r>
      <w:r>
        <w:rPr>
          <w:rFonts w:ascii="Times New Roman" w:hAnsi="Times New Roman"/>
          <w:color w:val="auto"/>
        </w:rPr>
        <w:t>年</w:t>
      </w:r>
      <w:r>
        <w:rPr>
          <w:rFonts w:ascii="Times New Roman" w:hAnsi="Times New Roman"/>
          <w:color w:val="auto"/>
          <w:u w:val="single"/>
        </w:rPr>
        <w:t xml:space="preserve">       </w:t>
      </w:r>
      <w:r>
        <w:rPr>
          <w:rFonts w:ascii="Times New Roman" w:hAnsi="Times New Roman"/>
          <w:color w:val="auto"/>
        </w:rPr>
        <w:t>月</w:t>
      </w:r>
      <w:r>
        <w:rPr>
          <w:rFonts w:ascii="Times New Roman" w:hAnsi="Times New Roman"/>
          <w:color w:val="auto"/>
          <w:u w:val="single"/>
        </w:rPr>
        <w:t xml:space="preserve">       </w:t>
      </w:r>
      <w:r>
        <w:rPr>
          <w:rFonts w:ascii="Times New Roman" w:hAnsi="Times New Roman"/>
          <w:color w:val="auto"/>
        </w:rPr>
        <w:t>日</w:t>
      </w:r>
      <w:r>
        <w:rPr>
          <w:rFonts w:ascii="Times New Roman" w:hAnsi="Times New Roman"/>
          <w:color w:val="auto"/>
          <w:szCs w:val="21"/>
        </w:rPr>
        <w:br w:type="page"/>
      </w:r>
    </w:p>
    <w:p>
      <w:pPr>
        <w:pStyle w:val="4"/>
        <w:jc w:val="center"/>
        <w:rPr>
          <w:color w:val="auto"/>
        </w:rPr>
      </w:pPr>
    </w:p>
    <w:p>
      <w:pPr>
        <w:pStyle w:val="4"/>
        <w:jc w:val="center"/>
        <w:rPr>
          <w:color w:val="auto"/>
        </w:rPr>
      </w:pPr>
      <w:bookmarkStart w:id="656" w:name="_Toc492300925"/>
      <w:r>
        <w:rPr>
          <w:color w:val="auto"/>
        </w:rPr>
        <w:t>第</w:t>
      </w:r>
      <w:r>
        <w:rPr>
          <w:rFonts w:hint="eastAsia"/>
          <w:color w:val="auto"/>
        </w:rPr>
        <w:t>二</w:t>
      </w:r>
      <w:r>
        <w:rPr>
          <w:color w:val="auto"/>
        </w:rPr>
        <w:t>卷</w:t>
      </w:r>
      <w:bookmarkEnd w:id="656"/>
    </w:p>
    <w:p>
      <w:pPr>
        <w:pStyle w:val="4"/>
        <w:jc w:val="center"/>
        <w:rPr>
          <w:bCs/>
          <w:color w:val="auto"/>
          <w:sz w:val="20"/>
        </w:rPr>
      </w:pPr>
      <w:r>
        <w:rPr>
          <w:bCs/>
          <w:color w:val="auto"/>
        </w:rPr>
        <w:br w:type="page"/>
      </w:r>
    </w:p>
    <w:p>
      <w:pPr>
        <w:spacing w:line="440" w:lineRule="exact"/>
        <w:jc w:val="center"/>
        <w:rPr>
          <w:rFonts w:ascii="Times New Roman" w:hAnsi="Times New Roman"/>
          <w:color w:val="auto"/>
          <w:sz w:val="20"/>
        </w:rPr>
      </w:pPr>
    </w:p>
    <w:p>
      <w:pPr>
        <w:pStyle w:val="4"/>
        <w:jc w:val="center"/>
        <w:rPr>
          <w:color w:val="auto"/>
        </w:rPr>
      </w:pPr>
      <w:bookmarkStart w:id="657" w:name="_Toc492300926"/>
      <w:r>
        <w:rPr>
          <w:rFonts w:hint="eastAsia"/>
          <w:color w:val="auto"/>
        </w:rPr>
        <w:t>第五章发包人要求</w:t>
      </w:r>
      <w:bookmarkEnd w:id="657"/>
    </w:p>
    <w:p>
      <w:pPr>
        <w:topLinePunct/>
        <w:spacing w:line="440" w:lineRule="exact"/>
        <w:jc w:val="center"/>
        <w:rPr>
          <w:rFonts w:ascii="Times New Roman" w:hAnsi="Times New Roman"/>
          <w:color w:val="auto"/>
        </w:rPr>
      </w:pPr>
    </w:p>
    <w:p>
      <w:pPr>
        <w:spacing w:line="400" w:lineRule="exact"/>
        <w:jc w:val="center"/>
        <w:rPr>
          <w:rFonts w:ascii="Times New Roman" w:hAnsi="Times New Roman"/>
          <w:color w:val="auto"/>
        </w:rPr>
      </w:pPr>
      <w:r>
        <w:rPr>
          <w:rFonts w:ascii="Times New Roman" w:hAnsi="Times New Roman"/>
          <w:color w:val="auto"/>
        </w:rPr>
        <w:br w:type="page"/>
      </w:r>
    </w:p>
    <w:p>
      <w:pPr>
        <w:spacing w:line="400" w:lineRule="exact"/>
        <w:jc w:val="center"/>
        <w:rPr>
          <w:rFonts w:ascii="Times New Roman" w:hAnsi="Times New Roman"/>
          <w:b/>
          <w:color w:val="auto"/>
          <w:sz w:val="32"/>
          <w:szCs w:val="32"/>
        </w:rPr>
      </w:pPr>
      <w:r>
        <w:rPr>
          <w:rFonts w:ascii="Times New Roman" w:hAnsi="Times New Roman"/>
          <w:b/>
          <w:color w:val="auto"/>
          <w:sz w:val="32"/>
          <w:szCs w:val="32"/>
        </w:rPr>
        <w:t>发包人要求</w:t>
      </w:r>
    </w:p>
    <w:bookmarkEnd w:id="650"/>
    <w:bookmarkEnd w:id="651"/>
    <w:bookmarkEnd w:id="652"/>
    <w:bookmarkEnd w:id="653"/>
    <w:p>
      <w:pPr>
        <w:spacing w:line="440" w:lineRule="exact"/>
        <w:ind w:firstLine="420" w:firstLineChars="200"/>
        <w:rPr>
          <w:rFonts w:ascii="Times New Roman" w:hAnsi="Times New Roman"/>
          <w:color w:val="auto"/>
          <w:szCs w:val="21"/>
        </w:rPr>
      </w:pPr>
      <w:r>
        <w:rPr>
          <w:rFonts w:ascii="Times New Roman" w:hAnsi="Times New Roman"/>
          <w:color w:val="auto"/>
          <w:szCs w:val="21"/>
        </w:rPr>
        <w:t>发包人要求应尽可能清晰准确，对于可以进行定量评估的工作，发包人要求不仅应明确规定其功能、用途、质量、环境、安全，并且要规定偏差的范围和计算方法，以及检验、试验、试运行的具体要求。对于勘察人负责提供的有关服务，在发包人要求中应一并明确规定。</w:t>
      </w:r>
    </w:p>
    <w:p>
      <w:pPr>
        <w:spacing w:line="440" w:lineRule="exact"/>
        <w:ind w:firstLine="420" w:firstLineChars="200"/>
        <w:rPr>
          <w:rFonts w:ascii="Times New Roman" w:hAnsi="Times New Roman"/>
          <w:b/>
          <w:color w:val="auto"/>
          <w:sz w:val="32"/>
        </w:rPr>
      </w:pPr>
      <w:r>
        <w:rPr>
          <w:rFonts w:ascii="Times New Roman" w:hAnsi="Times New Roman"/>
          <w:color w:val="auto"/>
          <w:szCs w:val="21"/>
        </w:rPr>
        <w:t>发包人要求通常包括但不限于以下内容：</w:t>
      </w:r>
    </w:p>
    <w:p>
      <w:pPr>
        <w:pStyle w:val="5"/>
        <w:spacing w:line="240" w:lineRule="auto"/>
        <w:rPr>
          <w:rFonts w:ascii="Times New Roman" w:hAnsi="Times New Roman"/>
          <w:b w:val="0"/>
          <w:color w:val="auto"/>
          <w:sz w:val="28"/>
          <w:szCs w:val="28"/>
        </w:rPr>
      </w:pPr>
      <w:bookmarkStart w:id="658" w:name="_Toc482188637"/>
      <w:bookmarkStart w:id="659" w:name="_Toc492300927"/>
      <w:r>
        <w:rPr>
          <w:rFonts w:hint="eastAsia" w:ascii="Times New Roman" w:hAnsi="Times New Roman"/>
          <w:b w:val="0"/>
          <w:color w:val="auto"/>
          <w:sz w:val="28"/>
          <w:szCs w:val="28"/>
        </w:rPr>
        <w:t>一、勘察要求</w:t>
      </w:r>
      <w:bookmarkEnd w:id="658"/>
      <w:bookmarkEnd w:id="659"/>
    </w:p>
    <w:p>
      <w:pPr>
        <w:spacing w:line="440" w:lineRule="exact"/>
        <w:ind w:firstLine="359" w:firstLineChars="171"/>
        <w:rPr>
          <w:rFonts w:ascii="Times New Roman" w:hAnsi="Times New Roman"/>
          <w:b/>
          <w:color w:val="auto"/>
        </w:rPr>
      </w:pPr>
      <w:r>
        <w:rPr>
          <w:rFonts w:ascii="Times New Roman" w:hAnsi="Times New Roman"/>
          <w:color w:val="auto"/>
        </w:rPr>
        <w:t>招标人应当根据项目情况在本章中明确相应的勘察要求，一般应包括以下内容：</w:t>
      </w:r>
    </w:p>
    <w:p>
      <w:pPr>
        <w:spacing w:line="440" w:lineRule="exact"/>
        <w:ind w:firstLine="359" w:firstLineChars="171"/>
        <w:rPr>
          <w:rFonts w:ascii="Times New Roman" w:hAnsi="Times New Roman"/>
          <w:color w:val="auto"/>
        </w:rPr>
      </w:pPr>
      <w:r>
        <w:rPr>
          <w:rFonts w:ascii="Times New Roman" w:hAnsi="Times New Roman"/>
          <w:color w:val="auto"/>
        </w:rPr>
        <w:t>1. 项目概况</w:t>
      </w:r>
    </w:p>
    <w:p>
      <w:pPr>
        <w:spacing w:line="440" w:lineRule="exact"/>
        <w:ind w:firstLine="359" w:firstLineChars="171"/>
        <w:rPr>
          <w:rFonts w:ascii="Times New Roman" w:hAnsi="Times New Roman"/>
          <w:color w:val="auto"/>
        </w:rPr>
      </w:pPr>
      <w:r>
        <w:rPr>
          <w:rFonts w:ascii="Times New Roman" w:hAnsi="Times New Roman"/>
          <w:color w:val="auto"/>
        </w:rPr>
        <w:t>包括项目名称、建设单位、建设规模、项目地理位置、周边环境、树木情况、文物情况、地址地貌、气候及气象条件、道路交通状况、市政情况等。</w:t>
      </w:r>
    </w:p>
    <w:p>
      <w:pPr>
        <w:spacing w:line="440" w:lineRule="exact"/>
        <w:ind w:firstLine="359" w:firstLineChars="171"/>
        <w:rPr>
          <w:rFonts w:ascii="Times New Roman" w:hAnsi="Times New Roman"/>
          <w:color w:val="auto"/>
        </w:rPr>
      </w:pPr>
      <w:r>
        <w:rPr>
          <w:rFonts w:ascii="Times New Roman" w:hAnsi="Times New Roman"/>
          <w:color w:val="auto"/>
        </w:rPr>
        <w:t>2. 勘察范围及内容</w:t>
      </w:r>
    </w:p>
    <w:p>
      <w:pPr>
        <w:spacing w:line="440" w:lineRule="exact"/>
        <w:ind w:firstLine="359" w:firstLineChars="171"/>
        <w:rPr>
          <w:rFonts w:ascii="Times New Roman" w:hAnsi="Times New Roman"/>
          <w:color w:val="auto"/>
        </w:rPr>
      </w:pPr>
      <w:r>
        <w:rPr>
          <w:rFonts w:ascii="Times New Roman" w:hAnsi="Times New Roman"/>
          <w:color w:val="auto"/>
        </w:rPr>
        <w:t>3. 勘察依据</w:t>
      </w:r>
    </w:p>
    <w:p>
      <w:pPr>
        <w:spacing w:line="440" w:lineRule="exact"/>
        <w:ind w:firstLine="359" w:firstLineChars="171"/>
        <w:rPr>
          <w:rFonts w:ascii="Times New Roman" w:hAnsi="Times New Roman"/>
          <w:color w:val="auto"/>
        </w:rPr>
      </w:pPr>
      <w:r>
        <w:rPr>
          <w:rFonts w:ascii="Times New Roman" w:hAnsi="Times New Roman"/>
          <w:color w:val="auto"/>
        </w:rPr>
        <w:t>4. 基础资料</w:t>
      </w:r>
    </w:p>
    <w:p>
      <w:pPr>
        <w:spacing w:line="440" w:lineRule="exact"/>
        <w:ind w:firstLine="359" w:firstLineChars="171"/>
        <w:rPr>
          <w:rFonts w:ascii="Times New Roman" w:hAnsi="Times New Roman"/>
          <w:color w:val="auto"/>
        </w:rPr>
      </w:pPr>
      <w:r>
        <w:rPr>
          <w:rFonts w:hint="eastAsia" w:ascii="Times New Roman" w:hAnsi="Times New Roman"/>
          <w:color w:val="auto"/>
        </w:rPr>
        <w:t>5. 勘察人员和设备要求</w:t>
      </w:r>
    </w:p>
    <w:p>
      <w:pPr>
        <w:spacing w:line="440" w:lineRule="exact"/>
        <w:ind w:firstLine="359" w:firstLineChars="171"/>
        <w:rPr>
          <w:rFonts w:ascii="Times New Roman" w:hAnsi="Times New Roman"/>
          <w:color w:val="auto"/>
        </w:rPr>
      </w:pPr>
      <w:r>
        <w:rPr>
          <w:rFonts w:hint="eastAsia" w:ascii="Times New Roman" w:hAnsi="Times New Roman"/>
          <w:color w:val="auto"/>
        </w:rPr>
        <w:t>6</w:t>
      </w:r>
      <w:r>
        <w:rPr>
          <w:rFonts w:ascii="Times New Roman" w:hAnsi="Times New Roman"/>
          <w:color w:val="auto"/>
        </w:rPr>
        <w:t>. 其他要求</w:t>
      </w:r>
    </w:p>
    <w:p>
      <w:pPr>
        <w:pStyle w:val="5"/>
        <w:spacing w:line="240" w:lineRule="auto"/>
        <w:rPr>
          <w:rFonts w:ascii="Times New Roman" w:hAnsi="Times New Roman"/>
          <w:b w:val="0"/>
          <w:color w:val="auto"/>
          <w:sz w:val="28"/>
          <w:szCs w:val="28"/>
        </w:rPr>
      </w:pPr>
      <w:bookmarkStart w:id="660" w:name="_Toc482188638"/>
      <w:bookmarkStart w:id="661" w:name="_Toc492300928"/>
      <w:r>
        <w:rPr>
          <w:rFonts w:ascii="Times New Roman" w:hAnsi="Times New Roman"/>
          <w:b w:val="0"/>
          <w:color w:val="auto"/>
          <w:sz w:val="28"/>
          <w:szCs w:val="28"/>
        </w:rPr>
        <w:t>二、适用规范标准</w:t>
      </w:r>
      <w:bookmarkEnd w:id="660"/>
      <w:bookmarkEnd w:id="661"/>
    </w:p>
    <w:p>
      <w:pPr>
        <w:spacing w:line="360" w:lineRule="auto"/>
        <w:ind w:firstLine="420" w:firstLineChars="200"/>
        <w:rPr>
          <w:rFonts w:ascii="Times New Roman" w:hAnsi="Times New Roman"/>
          <w:color w:val="auto"/>
        </w:rPr>
      </w:pPr>
      <w:r>
        <w:rPr>
          <w:rFonts w:ascii="Times New Roman" w:hAnsi="Times New Roman"/>
          <w:color w:val="auto"/>
        </w:rPr>
        <w:t>1. 国家、行业、项目所在地规范名录</w:t>
      </w:r>
    </w:p>
    <w:p>
      <w:pPr>
        <w:spacing w:line="360" w:lineRule="auto"/>
        <w:ind w:firstLine="420" w:firstLineChars="200"/>
        <w:rPr>
          <w:rFonts w:ascii="Times New Roman" w:hAnsi="Times New Roman"/>
          <w:color w:val="auto"/>
        </w:rPr>
      </w:pPr>
      <w:r>
        <w:rPr>
          <w:rFonts w:ascii="Times New Roman" w:hAnsi="Times New Roman"/>
          <w:color w:val="auto"/>
        </w:rPr>
        <w:t>2. 国家、行业、项目所在地标准名录</w:t>
      </w:r>
    </w:p>
    <w:p>
      <w:pPr>
        <w:spacing w:line="360" w:lineRule="auto"/>
        <w:ind w:firstLine="420" w:firstLineChars="200"/>
        <w:rPr>
          <w:rFonts w:ascii="Times New Roman" w:hAnsi="Times New Roman"/>
          <w:color w:val="auto"/>
        </w:rPr>
      </w:pPr>
      <w:r>
        <w:rPr>
          <w:rFonts w:ascii="Times New Roman" w:hAnsi="Times New Roman"/>
          <w:color w:val="auto"/>
        </w:rPr>
        <w:t>3. 国家、行业、项目所在地规程名录</w:t>
      </w:r>
    </w:p>
    <w:p>
      <w:pPr>
        <w:pStyle w:val="5"/>
        <w:spacing w:line="240" w:lineRule="auto"/>
        <w:rPr>
          <w:rFonts w:ascii="Times New Roman" w:hAnsi="Times New Roman"/>
          <w:b w:val="0"/>
          <w:color w:val="auto"/>
          <w:sz w:val="28"/>
          <w:szCs w:val="28"/>
        </w:rPr>
      </w:pPr>
      <w:bookmarkStart w:id="662" w:name="_Toc492300929"/>
      <w:bookmarkStart w:id="663" w:name="_Toc482188639"/>
      <w:r>
        <w:rPr>
          <w:rFonts w:ascii="Times New Roman" w:hAnsi="Times New Roman"/>
          <w:b w:val="0"/>
          <w:color w:val="auto"/>
          <w:sz w:val="28"/>
          <w:szCs w:val="28"/>
        </w:rPr>
        <w:t>三、成果文件要求</w:t>
      </w:r>
      <w:bookmarkEnd w:id="662"/>
      <w:bookmarkEnd w:id="663"/>
    </w:p>
    <w:p>
      <w:pPr>
        <w:spacing w:line="360" w:lineRule="auto"/>
        <w:ind w:firstLine="420" w:firstLineChars="200"/>
        <w:rPr>
          <w:rFonts w:ascii="Times New Roman" w:hAnsi="Times New Roman"/>
          <w:color w:val="auto"/>
        </w:rPr>
      </w:pPr>
      <w:r>
        <w:rPr>
          <w:rFonts w:ascii="Times New Roman" w:hAnsi="Times New Roman"/>
          <w:color w:val="auto"/>
        </w:rPr>
        <w:t>1. 成果文件的组成：勘察说明、图纸等</w:t>
      </w:r>
    </w:p>
    <w:p>
      <w:pPr>
        <w:spacing w:line="360" w:lineRule="auto"/>
        <w:ind w:firstLine="420" w:firstLineChars="200"/>
        <w:rPr>
          <w:rFonts w:ascii="Times New Roman" w:hAnsi="Times New Roman"/>
          <w:color w:val="auto"/>
        </w:rPr>
      </w:pPr>
      <w:r>
        <w:rPr>
          <w:rFonts w:ascii="Times New Roman" w:hAnsi="Times New Roman"/>
          <w:color w:val="auto"/>
        </w:rPr>
        <w:t>2. 成果文件的深度</w:t>
      </w:r>
    </w:p>
    <w:p>
      <w:pPr>
        <w:spacing w:line="360" w:lineRule="auto"/>
        <w:ind w:firstLine="420" w:firstLineChars="200"/>
        <w:rPr>
          <w:rFonts w:ascii="Times New Roman" w:hAnsi="Times New Roman"/>
          <w:color w:val="auto"/>
        </w:rPr>
      </w:pPr>
      <w:r>
        <w:rPr>
          <w:rFonts w:ascii="Times New Roman" w:hAnsi="Times New Roman"/>
          <w:color w:val="auto"/>
        </w:rPr>
        <w:t>3. 成果文件的格式要求</w:t>
      </w:r>
    </w:p>
    <w:p>
      <w:pPr>
        <w:spacing w:line="360" w:lineRule="auto"/>
        <w:ind w:firstLine="420" w:firstLineChars="200"/>
        <w:rPr>
          <w:rFonts w:ascii="Times New Roman" w:hAnsi="Times New Roman"/>
          <w:color w:val="auto"/>
        </w:rPr>
      </w:pPr>
      <w:r>
        <w:rPr>
          <w:rFonts w:ascii="Times New Roman" w:hAnsi="Times New Roman"/>
          <w:color w:val="auto"/>
        </w:rPr>
        <w:t>4. 成果文件的份数要求</w:t>
      </w:r>
    </w:p>
    <w:p>
      <w:pPr>
        <w:spacing w:line="360" w:lineRule="auto"/>
        <w:ind w:firstLine="420" w:firstLineChars="200"/>
        <w:rPr>
          <w:rFonts w:ascii="Times New Roman" w:hAnsi="Times New Roman"/>
          <w:color w:val="auto"/>
        </w:rPr>
      </w:pPr>
      <w:r>
        <w:rPr>
          <w:rFonts w:ascii="Times New Roman" w:hAnsi="Times New Roman"/>
          <w:color w:val="auto"/>
        </w:rPr>
        <w:t>5. 成果文件的载体要求</w:t>
      </w:r>
    </w:p>
    <w:p>
      <w:pPr>
        <w:spacing w:line="360" w:lineRule="auto"/>
        <w:ind w:firstLine="420" w:firstLineChars="200"/>
        <w:rPr>
          <w:rFonts w:ascii="Times New Roman" w:hAnsi="Times New Roman"/>
          <w:color w:val="auto"/>
        </w:rPr>
      </w:pPr>
      <w:r>
        <w:rPr>
          <w:rFonts w:ascii="Times New Roman" w:hAnsi="Times New Roman"/>
          <w:color w:val="auto"/>
        </w:rPr>
        <w:t>（1）纸质版的要求</w:t>
      </w:r>
      <w:r>
        <w:rPr>
          <w:rFonts w:hint="eastAsia" w:ascii="Times New Roman" w:hAnsi="Times New Roman"/>
          <w:color w:val="auto"/>
        </w:rPr>
        <w:t>；</w:t>
      </w:r>
    </w:p>
    <w:p>
      <w:pPr>
        <w:spacing w:line="360" w:lineRule="auto"/>
        <w:ind w:firstLine="420" w:firstLineChars="200"/>
        <w:rPr>
          <w:rFonts w:ascii="Times New Roman" w:hAnsi="Times New Roman"/>
          <w:color w:val="auto"/>
        </w:rPr>
      </w:pPr>
      <w:r>
        <w:rPr>
          <w:rFonts w:ascii="Times New Roman" w:hAnsi="Times New Roman"/>
          <w:color w:val="auto"/>
        </w:rPr>
        <w:t>（2）电子版的要求</w:t>
      </w:r>
      <w:r>
        <w:rPr>
          <w:rFonts w:hint="eastAsia" w:ascii="Times New Roman" w:hAnsi="Times New Roman"/>
          <w:color w:val="auto"/>
        </w:rPr>
        <w:t>；</w:t>
      </w:r>
    </w:p>
    <w:p>
      <w:pPr>
        <w:spacing w:line="360" w:lineRule="auto"/>
        <w:ind w:firstLine="420" w:firstLineChars="200"/>
        <w:rPr>
          <w:rFonts w:ascii="Times New Roman" w:hAnsi="Times New Roman"/>
          <w:color w:val="auto"/>
        </w:rPr>
      </w:pPr>
      <w:r>
        <w:rPr>
          <w:rFonts w:ascii="Times New Roman" w:hAnsi="Times New Roman"/>
          <w:color w:val="auto"/>
        </w:rPr>
        <w:t>（3）其他要求</w:t>
      </w:r>
      <w:r>
        <w:rPr>
          <w:rFonts w:hint="eastAsia" w:ascii="Times New Roman" w:hAnsi="Times New Roman"/>
          <w:color w:val="auto"/>
        </w:rPr>
        <w:t>。</w:t>
      </w:r>
    </w:p>
    <w:p>
      <w:pPr>
        <w:spacing w:line="360" w:lineRule="auto"/>
        <w:ind w:firstLine="420" w:firstLineChars="200"/>
        <w:rPr>
          <w:rFonts w:ascii="Times New Roman" w:hAnsi="Times New Roman"/>
          <w:color w:val="auto"/>
        </w:rPr>
      </w:pPr>
      <w:r>
        <w:rPr>
          <w:rFonts w:ascii="Times New Roman" w:hAnsi="Times New Roman"/>
          <w:color w:val="auto"/>
        </w:rPr>
        <w:t>6. 成果文件的其他要求</w:t>
      </w:r>
    </w:p>
    <w:p>
      <w:pPr>
        <w:pStyle w:val="5"/>
        <w:spacing w:line="240" w:lineRule="auto"/>
        <w:rPr>
          <w:rFonts w:ascii="Times New Roman" w:hAnsi="Times New Roman"/>
          <w:b w:val="0"/>
          <w:color w:val="auto"/>
          <w:sz w:val="28"/>
          <w:szCs w:val="28"/>
        </w:rPr>
      </w:pPr>
      <w:bookmarkStart w:id="664" w:name="_Toc482188640"/>
      <w:bookmarkStart w:id="665" w:name="_Toc492300930"/>
      <w:r>
        <w:rPr>
          <w:rFonts w:ascii="Times New Roman" w:hAnsi="Times New Roman"/>
          <w:b w:val="0"/>
          <w:color w:val="auto"/>
          <w:sz w:val="28"/>
          <w:szCs w:val="28"/>
        </w:rPr>
        <w:t>四、发包人财产清单</w:t>
      </w:r>
      <w:bookmarkEnd w:id="664"/>
      <w:bookmarkEnd w:id="665"/>
    </w:p>
    <w:p>
      <w:pPr>
        <w:pStyle w:val="6"/>
        <w:ind w:firstLine="137"/>
        <w:rPr>
          <w:rFonts w:ascii="Times New Roman" w:hAnsi="Times New Roman"/>
          <w:color w:val="auto"/>
        </w:rPr>
      </w:pPr>
      <w:bookmarkStart w:id="666" w:name="_Toc482188641"/>
      <w:bookmarkStart w:id="667" w:name="_Toc492300931"/>
      <w:r>
        <w:rPr>
          <w:rFonts w:ascii="Times New Roman" w:hAnsi="Times New Roman"/>
          <w:color w:val="auto"/>
        </w:rPr>
        <w:t>（一）发包人提供的设备、设施</w:t>
      </w:r>
      <w:bookmarkEnd w:id="666"/>
      <w:bookmarkEnd w:id="667"/>
    </w:p>
    <w:p>
      <w:pPr>
        <w:spacing w:line="360" w:lineRule="auto"/>
        <w:ind w:firstLine="420" w:firstLineChars="200"/>
        <w:rPr>
          <w:rFonts w:ascii="Times New Roman" w:hAnsi="Times New Roman"/>
          <w:color w:val="auto"/>
        </w:rPr>
      </w:pPr>
      <w:r>
        <w:rPr>
          <w:rFonts w:ascii="Times New Roman" w:hAnsi="Times New Roman"/>
          <w:color w:val="auto"/>
        </w:rPr>
        <w:t>1. 发包人提供的办公房屋及冷暖设施：如办公室数量及面积、空调等</w:t>
      </w:r>
    </w:p>
    <w:p>
      <w:pPr>
        <w:spacing w:line="360" w:lineRule="auto"/>
        <w:ind w:firstLine="420" w:firstLineChars="200"/>
        <w:rPr>
          <w:rFonts w:ascii="Times New Roman" w:hAnsi="Times New Roman"/>
          <w:color w:val="auto"/>
        </w:rPr>
      </w:pPr>
      <w:r>
        <w:rPr>
          <w:rFonts w:ascii="Times New Roman" w:hAnsi="Times New Roman"/>
          <w:color w:val="auto"/>
        </w:rPr>
        <w:t>2. 发包人提供的设备清单：如电脑、投影、打印机、复印机等</w:t>
      </w:r>
    </w:p>
    <w:p>
      <w:pPr>
        <w:spacing w:line="360" w:lineRule="auto"/>
        <w:ind w:firstLine="420" w:firstLineChars="200"/>
        <w:rPr>
          <w:rFonts w:ascii="Times New Roman" w:hAnsi="Times New Roman"/>
          <w:color w:val="auto"/>
        </w:rPr>
      </w:pPr>
      <w:r>
        <w:rPr>
          <w:rFonts w:ascii="Times New Roman" w:hAnsi="Times New Roman"/>
          <w:color w:val="auto"/>
        </w:rPr>
        <w:t>3. 发包人提供的设施清单：如办公桌椅、文件柜等</w:t>
      </w:r>
    </w:p>
    <w:p>
      <w:pPr>
        <w:spacing w:line="360" w:lineRule="auto"/>
        <w:ind w:firstLine="420" w:firstLineChars="200"/>
        <w:rPr>
          <w:rFonts w:ascii="Times New Roman" w:hAnsi="Times New Roman"/>
          <w:color w:val="auto"/>
        </w:rPr>
      </w:pPr>
      <w:bookmarkStart w:id="668" w:name="_Toc482188642"/>
      <w:r>
        <w:rPr>
          <w:rFonts w:ascii="Times New Roman" w:hAnsi="Times New Roman"/>
          <w:color w:val="auto"/>
        </w:rPr>
        <w:t>……</w:t>
      </w:r>
    </w:p>
    <w:p>
      <w:pPr>
        <w:pStyle w:val="6"/>
        <w:ind w:firstLine="137"/>
        <w:rPr>
          <w:rFonts w:ascii="Times New Roman" w:hAnsi="Times New Roman"/>
          <w:color w:val="auto"/>
        </w:rPr>
      </w:pPr>
      <w:bookmarkStart w:id="669" w:name="_Toc492300932"/>
      <w:r>
        <w:rPr>
          <w:rFonts w:ascii="Times New Roman" w:hAnsi="Times New Roman"/>
          <w:color w:val="auto"/>
        </w:rPr>
        <w:t>（二）发包人提供的资料</w:t>
      </w:r>
      <w:bookmarkEnd w:id="668"/>
      <w:bookmarkEnd w:id="669"/>
    </w:p>
    <w:p>
      <w:pPr>
        <w:spacing w:line="360" w:lineRule="auto"/>
        <w:ind w:firstLine="420" w:firstLineChars="200"/>
        <w:rPr>
          <w:rFonts w:ascii="Times New Roman" w:hAnsi="Times New Roman"/>
          <w:color w:val="auto"/>
        </w:rPr>
      </w:pPr>
      <w:r>
        <w:rPr>
          <w:rFonts w:ascii="Times New Roman" w:hAnsi="Times New Roman"/>
          <w:color w:val="auto"/>
        </w:rPr>
        <w:t>1. 施工场地及毗邻区域内的供水、排水、供电、供气、供热、通信、广播电视等地下管线资料、气象和水文观测资料，相邻建筑物和构筑物、地下工程的有关资料，以及其他与建设工程有关的原始资料</w:t>
      </w:r>
    </w:p>
    <w:p>
      <w:pPr>
        <w:spacing w:line="360" w:lineRule="auto"/>
        <w:ind w:firstLine="420" w:firstLineChars="200"/>
        <w:rPr>
          <w:rFonts w:ascii="Times New Roman" w:hAnsi="Times New Roman"/>
          <w:color w:val="auto"/>
        </w:rPr>
      </w:pPr>
      <w:r>
        <w:rPr>
          <w:rFonts w:ascii="Times New Roman" w:hAnsi="Times New Roman"/>
          <w:color w:val="auto"/>
        </w:rPr>
        <w:t>2. 定位放线的基准点、基准线和基准标高</w:t>
      </w:r>
    </w:p>
    <w:p>
      <w:pPr>
        <w:spacing w:line="360" w:lineRule="auto"/>
        <w:ind w:firstLine="420" w:firstLineChars="200"/>
        <w:rPr>
          <w:rFonts w:ascii="Times New Roman" w:hAnsi="Times New Roman"/>
          <w:color w:val="auto"/>
        </w:rPr>
      </w:pPr>
      <w:r>
        <w:rPr>
          <w:rFonts w:ascii="Times New Roman" w:hAnsi="Times New Roman"/>
          <w:color w:val="auto"/>
        </w:rPr>
        <w:t>3. 发包人取得的有关审批、核准和备案材料，如规划许可证</w:t>
      </w:r>
    </w:p>
    <w:p>
      <w:pPr>
        <w:spacing w:line="360" w:lineRule="auto"/>
        <w:ind w:firstLine="420" w:firstLineChars="200"/>
        <w:rPr>
          <w:rFonts w:ascii="Times New Roman" w:hAnsi="Times New Roman"/>
          <w:color w:val="auto"/>
        </w:rPr>
      </w:pPr>
      <w:r>
        <w:rPr>
          <w:rFonts w:ascii="Times New Roman" w:hAnsi="Times New Roman"/>
          <w:color w:val="auto"/>
        </w:rPr>
        <w:t>4.</w:t>
      </w:r>
      <w:r>
        <w:rPr>
          <w:rFonts w:hint="eastAsia" w:ascii="Times New Roman" w:hAnsi="Times New Roman"/>
          <w:color w:val="auto"/>
        </w:rPr>
        <w:t xml:space="preserve"> </w:t>
      </w:r>
      <w:r>
        <w:rPr>
          <w:rFonts w:ascii="Times New Roman" w:hAnsi="Times New Roman"/>
          <w:color w:val="auto"/>
        </w:rPr>
        <w:t>技术标准、规范</w:t>
      </w:r>
    </w:p>
    <w:p>
      <w:pPr>
        <w:spacing w:line="360" w:lineRule="auto"/>
        <w:ind w:firstLine="420" w:firstLineChars="200"/>
        <w:rPr>
          <w:rFonts w:ascii="Times New Roman" w:hAnsi="Times New Roman"/>
          <w:color w:val="auto"/>
        </w:rPr>
      </w:pPr>
      <w:r>
        <w:rPr>
          <w:rFonts w:ascii="Times New Roman" w:hAnsi="Times New Roman"/>
          <w:color w:val="auto"/>
        </w:rPr>
        <w:t>5. 其他资料</w:t>
      </w:r>
    </w:p>
    <w:p>
      <w:pPr>
        <w:spacing w:line="360" w:lineRule="auto"/>
        <w:ind w:firstLine="420" w:firstLineChars="200"/>
        <w:rPr>
          <w:rFonts w:ascii="Times New Roman" w:hAnsi="Times New Roman"/>
          <w:color w:val="auto"/>
        </w:rPr>
      </w:pPr>
      <w:bookmarkStart w:id="670" w:name="_Toc482188643"/>
      <w:r>
        <w:rPr>
          <w:rFonts w:ascii="Times New Roman" w:hAnsi="Times New Roman"/>
          <w:color w:val="auto"/>
        </w:rPr>
        <w:t>……</w:t>
      </w:r>
    </w:p>
    <w:p>
      <w:pPr>
        <w:pStyle w:val="6"/>
        <w:ind w:firstLine="137"/>
        <w:rPr>
          <w:rFonts w:ascii="Times New Roman" w:hAnsi="Times New Roman"/>
          <w:color w:val="auto"/>
        </w:rPr>
      </w:pPr>
      <w:bookmarkStart w:id="671" w:name="_Toc492300933"/>
      <w:r>
        <w:rPr>
          <w:rFonts w:ascii="Times New Roman" w:hAnsi="Times New Roman"/>
          <w:color w:val="auto"/>
        </w:rPr>
        <w:t>（三）发包人财产使用要求及退还要求</w:t>
      </w:r>
      <w:bookmarkEnd w:id="670"/>
      <w:bookmarkEnd w:id="671"/>
    </w:p>
    <w:p>
      <w:pPr>
        <w:spacing w:line="360" w:lineRule="auto"/>
        <w:ind w:firstLine="420" w:firstLineChars="200"/>
        <w:rPr>
          <w:rFonts w:ascii="Times New Roman" w:hAnsi="Times New Roman"/>
          <w:color w:val="auto"/>
        </w:rPr>
      </w:pPr>
      <w:r>
        <w:rPr>
          <w:rFonts w:ascii="Times New Roman" w:hAnsi="Times New Roman"/>
          <w:color w:val="auto"/>
        </w:rPr>
        <w:t>1. 发包人财产使用要求</w:t>
      </w:r>
    </w:p>
    <w:p>
      <w:pPr>
        <w:spacing w:line="360" w:lineRule="auto"/>
        <w:ind w:firstLine="420" w:firstLineChars="200"/>
        <w:rPr>
          <w:rFonts w:ascii="Times New Roman" w:hAnsi="Times New Roman"/>
          <w:color w:val="auto"/>
        </w:rPr>
      </w:pPr>
      <w:r>
        <w:rPr>
          <w:rFonts w:ascii="Times New Roman" w:hAnsi="Times New Roman"/>
          <w:color w:val="auto"/>
        </w:rPr>
        <w:t>2. 发包人财产退还要求</w:t>
      </w:r>
    </w:p>
    <w:p>
      <w:pPr>
        <w:spacing w:line="360" w:lineRule="auto"/>
        <w:ind w:firstLine="420" w:firstLineChars="200"/>
        <w:rPr>
          <w:rFonts w:ascii="Times New Roman" w:hAnsi="Times New Roman"/>
          <w:color w:val="auto"/>
        </w:rPr>
      </w:pPr>
      <w:bookmarkStart w:id="672" w:name="_Toc482188644"/>
      <w:r>
        <w:rPr>
          <w:rFonts w:ascii="Times New Roman" w:hAnsi="Times New Roman"/>
          <w:color w:val="auto"/>
        </w:rPr>
        <w:t>……</w:t>
      </w:r>
    </w:p>
    <w:p>
      <w:pPr>
        <w:pStyle w:val="5"/>
        <w:spacing w:line="240" w:lineRule="auto"/>
        <w:rPr>
          <w:rFonts w:ascii="Times New Roman" w:hAnsi="Times New Roman"/>
          <w:b w:val="0"/>
          <w:color w:val="auto"/>
          <w:sz w:val="28"/>
          <w:szCs w:val="28"/>
        </w:rPr>
      </w:pPr>
      <w:bookmarkStart w:id="673" w:name="_Toc492300934"/>
      <w:r>
        <w:rPr>
          <w:rFonts w:ascii="Times New Roman" w:hAnsi="Times New Roman"/>
          <w:b w:val="0"/>
          <w:color w:val="auto"/>
          <w:sz w:val="28"/>
          <w:szCs w:val="28"/>
        </w:rPr>
        <w:t>五、发包人提供的便利条件</w:t>
      </w:r>
      <w:bookmarkEnd w:id="672"/>
      <w:bookmarkEnd w:id="673"/>
    </w:p>
    <w:p>
      <w:pPr>
        <w:spacing w:line="360" w:lineRule="auto"/>
        <w:ind w:firstLine="420" w:firstLineChars="200"/>
        <w:rPr>
          <w:rFonts w:ascii="Times New Roman" w:hAnsi="Times New Roman"/>
          <w:color w:val="auto"/>
        </w:rPr>
      </w:pPr>
      <w:bookmarkStart w:id="674" w:name="_Toc482188645"/>
      <w:r>
        <w:rPr>
          <w:rFonts w:ascii="Times New Roman" w:hAnsi="Times New Roman"/>
          <w:color w:val="auto"/>
        </w:rPr>
        <w:t>1. 发包人提供的生活条件</w:t>
      </w:r>
    </w:p>
    <w:p>
      <w:pPr>
        <w:spacing w:line="360" w:lineRule="auto"/>
        <w:ind w:firstLine="420" w:firstLineChars="200"/>
        <w:rPr>
          <w:rFonts w:ascii="Times New Roman" w:hAnsi="Times New Roman"/>
          <w:color w:val="auto"/>
        </w:rPr>
      </w:pPr>
      <w:r>
        <w:rPr>
          <w:rFonts w:ascii="Times New Roman" w:hAnsi="Times New Roman"/>
          <w:color w:val="auto"/>
        </w:rPr>
        <w:t>2. 发包人提供的交通条件</w:t>
      </w:r>
    </w:p>
    <w:p>
      <w:pPr>
        <w:spacing w:line="360" w:lineRule="auto"/>
        <w:ind w:firstLine="420" w:firstLineChars="200"/>
        <w:rPr>
          <w:rFonts w:ascii="Times New Roman" w:hAnsi="Times New Roman"/>
          <w:color w:val="auto"/>
        </w:rPr>
      </w:pPr>
      <w:r>
        <w:rPr>
          <w:rFonts w:ascii="Times New Roman" w:hAnsi="Times New Roman"/>
          <w:color w:val="auto"/>
        </w:rPr>
        <w:t>3. 发包人提供的网络、通讯条件</w:t>
      </w:r>
    </w:p>
    <w:p>
      <w:pPr>
        <w:spacing w:line="360" w:lineRule="auto"/>
        <w:ind w:firstLine="420" w:firstLineChars="200"/>
        <w:rPr>
          <w:rFonts w:ascii="Times New Roman" w:hAnsi="Times New Roman"/>
          <w:color w:val="auto"/>
        </w:rPr>
      </w:pPr>
      <w:r>
        <w:rPr>
          <w:rFonts w:ascii="Times New Roman" w:hAnsi="Times New Roman"/>
          <w:color w:val="auto"/>
        </w:rPr>
        <w:t>4. 发包人提供的协助人员</w:t>
      </w:r>
    </w:p>
    <w:p>
      <w:pPr>
        <w:spacing w:line="360" w:lineRule="auto"/>
        <w:ind w:firstLine="420" w:firstLineChars="200"/>
        <w:rPr>
          <w:rFonts w:ascii="Times New Roman" w:hAnsi="Times New Roman"/>
          <w:color w:val="auto"/>
        </w:rPr>
      </w:pPr>
      <w:r>
        <w:rPr>
          <w:rFonts w:ascii="Times New Roman" w:hAnsi="Times New Roman"/>
          <w:color w:val="auto"/>
        </w:rPr>
        <w:t>……</w:t>
      </w:r>
    </w:p>
    <w:p>
      <w:pPr>
        <w:pStyle w:val="5"/>
        <w:spacing w:line="240" w:lineRule="auto"/>
        <w:rPr>
          <w:rFonts w:ascii="Times New Roman" w:hAnsi="Times New Roman"/>
          <w:b w:val="0"/>
          <w:color w:val="auto"/>
          <w:sz w:val="28"/>
          <w:szCs w:val="28"/>
        </w:rPr>
      </w:pPr>
      <w:bookmarkStart w:id="675" w:name="_Toc492300935"/>
      <w:r>
        <w:rPr>
          <w:rFonts w:hint="eastAsia" w:ascii="Times New Roman" w:hAnsi="Times New Roman"/>
          <w:b w:val="0"/>
          <w:color w:val="auto"/>
          <w:sz w:val="28"/>
          <w:szCs w:val="28"/>
        </w:rPr>
        <w:t>六、勘察人需要自备的工作条件</w:t>
      </w:r>
      <w:bookmarkEnd w:id="674"/>
      <w:bookmarkEnd w:id="675"/>
    </w:p>
    <w:p>
      <w:pPr>
        <w:spacing w:line="360" w:lineRule="auto"/>
        <w:ind w:firstLine="420" w:firstLineChars="200"/>
        <w:rPr>
          <w:rFonts w:ascii="Times New Roman" w:hAnsi="Times New Roman"/>
          <w:color w:val="auto"/>
        </w:rPr>
      </w:pPr>
      <w:r>
        <w:rPr>
          <w:rFonts w:ascii="Times New Roman" w:hAnsi="Times New Roman"/>
          <w:color w:val="auto"/>
        </w:rPr>
        <w:t>1. 勘察人自备的工作手册：如本项目必备的规范标准、图集等</w:t>
      </w:r>
    </w:p>
    <w:p>
      <w:pPr>
        <w:spacing w:line="360" w:lineRule="auto"/>
        <w:ind w:firstLine="420" w:firstLineChars="200"/>
        <w:rPr>
          <w:rFonts w:ascii="Times New Roman" w:hAnsi="Times New Roman"/>
          <w:color w:val="auto"/>
        </w:rPr>
      </w:pPr>
      <w:r>
        <w:rPr>
          <w:rFonts w:ascii="Times New Roman" w:hAnsi="Times New Roman"/>
          <w:color w:val="auto"/>
        </w:rPr>
        <w:t>2. 勘察人自备的办公设备：如电脑、软件、投影、打印机、复印机、照相机等</w:t>
      </w:r>
    </w:p>
    <w:p>
      <w:pPr>
        <w:spacing w:line="360" w:lineRule="auto"/>
        <w:ind w:firstLine="420" w:firstLineChars="200"/>
        <w:rPr>
          <w:rFonts w:ascii="Times New Roman" w:hAnsi="Times New Roman"/>
          <w:color w:val="auto"/>
        </w:rPr>
      </w:pPr>
      <w:r>
        <w:rPr>
          <w:rFonts w:ascii="Times New Roman" w:hAnsi="Times New Roman"/>
          <w:color w:val="auto"/>
        </w:rPr>
        <w:t>3. 勘察人自备的交通工具：如出行车辆等</w:t>
      </w:r>
    </w:p>
    <w:p>
      <w:pPr>
        <w:spacing w:line="360" w:lineRule="auto"/>
        <w:ind w:firstLine="420" w:firstLineChars="200"/>
        <w:rPr>
          <w:rFonts w:ascii="Times New Roman" w:hAnsi="Times New Roman"/>
          <w:color w:val="auto"/>
        </w:rPr>
      </w:pPr>
      <w:r>
        <w:rPr>
          <w:rFonts w:ascii="Times New Roman" w:hAnsi="Times New Roman"/>
          <w:color w:val="auto"/>
        </w:rPr>
        <w:t>4. 勘察人自备的现场办公设施：如办公桌椅、文件柜等</w:t>
      </w:r>
    </w:p>
    <w:p>
      <w:pPr>
        <w:spacing w:line="360" w:lineRule="auto"/>
        <w:ind w:firstLine="420" w:firstLineChars="200"/>
        <w:rPr>
          <w:rFonts w:ascii="Times New Roman" w:hAnsi="Times New Roman"/>
          <w:color w:val="auto"/>
        </w:rPr>
      </w:pPr>
      <w:r>
        <w:rPr>
          <w:rFonts w:ascii="Times New Roman" w:hAnsi="Times New Roman"/>
          <w:color w:val="auto"/>
        </w:rPr>
        <w:t>5. 勘察人自备的安全设施：如安全帽、安全鞋、手电筒等</w:t>
      </w:r>
    </w:p>
    <w:p>
      <w:pPr>
        <w:spacing w:line="360" w:lineRule="auto"/>
        <w:ind w:firstLine="420" w:firstLineChars="200"/>
        <w:rPr>
          <w:rFonts w:ascii="Times New Roman" w:hAnsi="Times New Roman"/>
          <w:color w:val="auto"/>
        </w:rPr>
      </w:pPr>
      <w:r>
        <w:rPr>
          <w:rFonts w:ascii="Times New Roman" w:hAnsi="Times New Roman"/>
          <w:color w:val="auto"/>
        </w:rPr>
        <w:t>6. 勘察人自备的勘察检测仪器</w:t>
      </w:r>
      <w:r>
        <w:rPr>
          <w:rFonts w:hint="eastAsia" w:ascii="Times New Roman" w:hAnsi="Times New Roman"/>
          <w:color w:val="auto"/>
        </w:rPr>
        <w:t>、设备、</w:t>
      </w:r>
      <w:r>
        <w:rPr>
          <w:rFonts w:ascii="Times New Roman" w:hAnsi="Times New Roman"/>
          <w:color w:val="auto"/>
        </w:rPr>
        <w:t>工具</w:t>
      </w:r>
    </w:p>
    <w:p>
      <w:pPr>
        <w:spacing w:line="360" w:lineRule="auto"/>
        <w:ind w:firstLine="420" w:firstLineChars="200"/>
        <w:rPr>
          <w:rFonts w:ascii="Times New Roman" w:hAnsi="Times New Roman"/>
          <w:color w:val="auto"/>
        </w:rPr>
      </w:pPr>
      <w:bookmarkStart w:id="676" w:name="_Toc482188646"/>
      <w:r>
        <w:rPr>
          <w:rFonts w:ascii="Times New Roman" w:hAnsi="Times New Roman"/>
          <w:color w:val="auto"/>
        </w:rPr>
        <w:t>……</w:t>
      </w:r>
    </w:p>
    <w:p>
      <w:pPr>
        <w:pStyle w:val="5"/>
        <w:spacing w:line="240" w:lineRule="auto"/>
        <w:rPr>
          <w:rFonts w:ascii="Times New Roman" w:hAnsi="Times New Roman"/>
          <w:b w:val="0"/>
          <w:color w:val="auto"/>
          <w:sz w:val="28"/>
          <w:szCs w:val="28"/>
        </w:rPr>
      </w:pPr>
      <w:bookmarkStart w:id="677" w:name="_Toc492300936"/>
      <w:r>
        <w:rPr>
          <w:rFonts w:ascii="Times New Roman" w:hAnsi="Times New Roman"/>
          <w:b w:val="0"/>
          <w:color w:val="auto"/>
          <w:sz w:val="28"/>
          <w:szCs w:val="28"/>
        </w:rPr>
        <w:t>七、发包人的其他要求</w:t>
      </w:r>
      <w:bookmarkEnd w:id="676"/>
      <w:bookmarkEnd w:id="677"/>
    </w:p>
    <w:p>
      <w:pPr>
        <w:spacing w:line="360" w:lineRule="auto"/>
        <w:ind w:firstLine="420" w:firstLineChars="200"/>
        <w:rPr>
          <w:rFonts w:ascii="Times New Roman" w:hAnsi="Times New Roman"/>
          <w:color w:val="auto"/>
        </w:rPr>
      </w:pPr>
      <w:r>
        <w:rPr>
          <w:rFonts w:ascii="Times New Roman" w:hAnsi="Times New Roman"/>
          <w:color w:val="auto"/>
        </w:rPr>
        <w:t>发包人的其他要求</w:t>
      </w:r>
    </w:p>
    <w:p>
      <w:pPr>
        <w:spacing w:line="360" w:lineRule="auto"/>
        <w:ind w:firstLine="420" w:firstLineChars="200"/>
        <w:rPr>
          <w:rFonts w:ascii="Times New Roman" w:hAnsi="Times New Roman"/>
          <w:color w:val="auto"/>
        </w:rPr>
      </w:pPr>
      <w:r>
        <w:rPr>
          <w:rFonts w:ascii="Times New Roman" w:hAnsi="Times New Roman"/>
          <w:color w:val="auto"/>
        </w:rPr>
        <w:t>……</w:t>
      </w:r>
    </w:p>
    <w:p>
      <w:pPr>
        <w:spacing w:line="400" w:lineRule="exact"/>
        <w:jc w:val="center"/>
        <w:rPr>
          <w:rFonts w:ascii="Times New Roman" w:hAnsi="Times New Roman"/>
          <w:color w:val="auto"/>
        </w:rPr>
      </w:pPr>
      <w:r>
        <w:rPr>
          <w:rFonts w:ascii="Times New Roman" w:hAnsi="Times New Roman"/>
          <w:color w:val="auto"/>
        </w:rPr>
        <w:br w:type="page"/>
      </w:r>
    </w:p>
    <w:p>
      <w:pPr>
        <w:pStyle w:val="4"/>
        <w:jc w:val="center"/>
        <w:rPr>
          <w:color w:val="auto"/>
        </w:rPr>
      </w:pPr>
    </w:p>
    <w:p>
      <w:pPr>
        <w:pStyle w:val="4"/>
        <w:jc w:val="center"/>
        <w:rPr>
          <w:color w:val="auto"/>
        </w:rPr>
      </w:pPr>
      <w:bookmarkStart w:id="678" w:name="_Toc492300937"/>
      <w:r>
        <w:rPr>
          <w:color w:val="auto"/>
        </w:rPr>
        <w:t>第</w:t>
      </w:r>
      <w:r>
        <w:rPr>
          <w:rFonts w:hint="eastAsia"/>
          <w:color w:val="auto"/>
        </w:rPr>
        <w:t>三</w:t>
      </w:r>
      <w:r>
        <w:rPr>
          <w:color w:val="auto"/>
        </w:rPr>
        <w:t>卷</w:t>
      </w:r>
      <w:bookmarkEnd w:id="678"/>
    </w:p>
    <w:p>
      <w:pPr>
        <w:spacing w:line="400" w:lineRule="exact"/>
        <w:jc w:val="center"/>
        <w:rPr>
          <w:rFonts w:ascii="Times New Roman" w:hAnsi="Times New Roman"/>
          <w:color w:val="auto"/>
        </w:rPr>
      </w:pPr>
      <w:r>
        <w:rPr>
          <w:rFonts w:ascii="Times New Roman" w:hAnsi="Times New Roman"/>
          <w:color w:val="auto"/>
        </w:rPr>
        <w:br w:type="page"/>
      </w:r>
    </w:p>
    <w:p>
      <w:pPr>
        <w:pStyle w:val="4"/>
        <w:jc w:val="center"/>
        <w:rPr>
          <w:color w:val="auto"/>
        </w:rPr>
      </w:pPr>
      <w:bookmarkStart w:id="679" w:name="_Toc492300938"/>
      <w:r>
        <w:rPr>
          <w:rFonts w:hint="eastAsia"/>
          <w:color w:val="auto"/>
        </w:rPr>
        <w:t>第六章投标文件格式</w:t>
      </w:r>
      <w:bookmarkEnd w:id="679"/>
    </w:p>
    <w:p>
      <w:pPr>
        <w:spacing w:line="400" w:lineRule="exact"/>
        <w:rPr>
          <w:rFonts w:ascii="Times New Roman" w:hAnsi="Times New Roman"/>
          <w:color w:val="auto"/>
        </w:rPr>
      </w:pPr>
    </w:p>
    <w:p>
      <w:pPr>
        <w:spacing w:line="400" w:lineRule="exact"/>
        <w:rPr>
          <w:rFonts w:ascii="Times New Roman" w:hAnsi="Times New Roman"/>
          <w:color w:val="auto"/>
        </w:rPr>
      </w:pPr>
      <w:r>
        <w:rPr>
          <w:rFonts w:ascii="Times New Roman" w:hAnsi="Times New Roman"/>
          <w:color w:val="auto"/>
        </w:rPr>
        <w:br w:type="page"/>
      </w:r>
    </w:p>
    <w:p>
      <w:pPr>
        <w:spacing w:line="400" w:lineRule="exact"/>
        <w:rPr>
          <w:rFonts w:ascii="Times New Roman" w:hAnsi="Times New Roman"/>
          <w:color w:val="auto"/>
        </w:rPr>
      </w:pPr>
    </w:p>
    <w:p>
      <w:pPr>
        <w:spacing w:line="400" w:lineRule="exact"/>
        <w:rPr>
          <w:rFonts w:ascii="Times New Roman" w:hAnsi="Times New Roman"/>
          <w:color w:val="auto"/>
        </w:rPr>
      </w:pPr>
    </w:p>
    <w:p>
      <w:pPr>
        <w:spacing w:line="400" w:lineRule="exact"/>
        <w:rPr>
          <w:rFonts w:ascii="Times New Roman" w:hAnsi="Times New Roman"/>
          <w:color w:val="auto"/>
        </w:rPr>
      </w:pPr>
    </w:p>
    <w:p>
      <w:pPr>
        <w:jc w:val="center"/>
        <w:rPr>
          <w:rFonts w:ascii="Times New Roman" w:hAnsi="Times New Roman" w:eastAsia="黑体"/>
          <w:color w:val="auto"/>
          <w:sz w:val="20"/>
        </w:rPr>
      </w:pPr>
    </w:p>
    <w:p>
      <w:pPr>
        <w:jc w:val="center"/>
        <w:rPr>
          <w:rFonts w:ascii="Times New Roman" w:hAnsi="Times New Roman" w:eastAsia="黑体"/>
          <w:color w:val="auto"/>
          <w:sz w:val="28"/>
          <w:szCs w:val="28"/>
        </w:rPr>
      </w:pPr>
      <w:r>
        <w:rPr>
          <w:rFonts w:ascii="Times New Roman" w:hAnsi="Times New Roman" w:eastAsia="黑体"/>
          <w:color w:val="auto"/>
          <w:sz w:val="28"/>
          <w:szCs w:val="28"/>
          <w:u w:val="single"/>
        </w:rPr>
        <w:t xml:space="preserve">        </w:t>
      </w:r>
      <w:r>
        <w:rPr>
          <w:rFonts w:ascii="Times New Roman" w:hAnsi="Times New Roman" w:eastAsia="黑体"/>
          <w:color w:val="auto"/>
          <w:sz w:val="28"/>
          <w:szCs w:val="28"/>
        </w:rPr>
        <w:t>（项目名称）勘察招标项目</w:t>
      </w:r>
    </w:p>
    <w:p>
      <w:pPr>
        <w:rPr>
          <w:rFonts w:ascii="Times New Roman" w:hAnsi="Times New Roman" w:eastAsia="黑体"/>
          <w:color w:val="auto"/>
          <w:sz w:val="20"/>
        </w:rPr>
      </w:pPr>
    </w:p>
    <w:p>
      <w:pPr>
        <w:rPr>
          <w:rFonts w:ascii="Times New Roman" w:hAnsi="Times New Roman" w:eastAsia="黑体"/>
          <w:color w:val="auto"/>
          <w:sz w:val="20"/>
        </w:rPr>
      </w:pPr>
    </w:p>
    <w:p>
      <w:pPr>
        <w:jc w:val="center"/>
        <w:rPr>
          <w:rFonts w:ascii="Times New Roman" w:hAnsi="Times New Roman" w:eastAsia="黑体"/>
          <w:color w:val="auto"/>
          <w:sz w:val="44"/>
        </w:rPr>
      </w:pPr>
      <w:r>
        <w:rPr>
          <w:rFonts w:ascii="Times New Roman" w:hAnsi="Times New Roman" w:eastAsia="黑体"/>
          <w:color w:val="auto"/>
          <w:sz w:val="44"/>
        </w:rPr>
        <w:t>投 标 文 件</w:t>
      </w:r>
    </w:p>
    <w:p>
      <w:pPr>
        <w:jc w:val="center"/>
        <w:rPr>
          <w:rFonts w:ascii="Times New Roman" w:hAnsi="Times New Roman" w:eastAsia="黑体"/>
          <w:color w:val="auto"/>
          <w:sz w:val="44"/>
        </w:rPr>
      </w:pPr>
    </w:p>
    <w:p>
      <w:pPr>
        <w:rPr>
          <w:rFonts w:ascii="Times New Roman" w:hAnsi="Times New Roman" w:eastAsia="黑体"/>
          <w:color w:val="auto"/>
          <w:sz w:val="28"/>
        </w:rPr>
      </w:pPr>
    </w:p>
    <w:p>
      <w:pPr>
        <w:rPr>
          <w:rFonts w:ascii="Times New Roman" w:hAnsi="Times New Roman" w:eastAsia="黑体"/>
          <w:color w:val="auto"/>
          <w:sz w:val="28"/>
        </w:rPr>
      </w:pPr>
    </w:p>
    <w:p>
      <w:pPr>
        <w:rPr>
          <w:rFonts w:ascii="Times New Roman" w:hAnsi="Times New Roman" w:eastAsia="黑体"/>
          <w:color w:val="auto"/>
          <w:sz w:val="28"/>
        </w:rPr>
      </w:pPr>
    </w:p>
    <w:p>
      <w:pPr>
        <w:rPr>
          <w:rFonts w:ascii="Times New Roman" w:hAnsi="Times New Roman" w:eastAsia="黑体"/>
          <w:color w:val="auto"/>
          <w:sz w:val="28"/>
        </w:rPr>
      </w:pPr>
    </w:p>
    <w:p>
      <w:pPr>
        <w:rPr>
          <w:rFonts w:ascii="Times New Roman" w:hAnsi="Times New Roman" w:eastAsia="黑体"/>
          <w:color w:val="auto"/>
          <w:sz w:val="28"/>
        </w:rPr>
      </w:pPr>
    </w:p>
    <w:p>
      <w:pPr>
        <w:rPr>
          <w:rFonts w:ascii="Times New Roman" w:hAnsi="Times New Roman" w:eastAsia="黑体"/>
          <w:color w:val="auto"/>
          <w:sz w:val="28"/>
        </w:rPr>
      </w:pPr>
    </w:p>
    <w:p>
      <w:pPr>
        <w:autoSpaceDE w:val="0"/>
        <w:autoSpaceDN w:val="0"/>
        <w:adjustRightInd w:val="0"/>
        <w:ind w:firstLine="2530" w:firstLineChars="900"/>
        <w:jc w:val="both"/>
        <w:rPr>
          <w:rFonts w:hAnsi="宋体" w:cs="宋体"/>
          <w:b/>
          <w:bCs/>
          <w:color w:val="auto"/>
          <w:sz w:val="28"/>
          <w:szCs w:val="28"/>
        </w:rPr>
      </w:pPr>
      <w:r>
        <w:rPr>
          <w:rFonts w:hint="eastAsia" w:hAnsi="宋体"/>
          <w:b/>
          <w:color w:val="auto"/>
          <w:sz w:val="28"/>
          <w:szCs w:val="28"/>
        </w:rPr>
        <w:t>项目编号：</w:t>
      </w:r>
    </w:p>
    <w:p>
      <w:pPr>
        <w:rPr>
          <w:rFonts w:ascii="Times New Roman" w:hAnsi="Times New Roman" w:eastAsia="黑体"/>
          <w:color w:val="auto"/>
          <w:sz w:val="28"/>
        </w:rPr>
      </w:pPr>
    </w:p>
    <w:p>
      <w:pPr>
        <w:rPr>
          <w:rFonts w:ascii="Times New Roman" w:hAnsi="Times New Roman" w:eastAsia="黑体"/>
          <w:color w:val="auto"/>
          <w:sz w:val="28"/>
        </w:rPr>
      </w:pPr>
    </w:p>
    <w:p>
      <w:pPr>
        <w:rPr>
          <w:rFonts w:ascii="Times New Roman" w:hAnsi="Times New Roman" w:eastAsia="黑体"/>
          <w:color w:val="auto"/>
          <w:sz w:val="28"/>
        </w:rPr>
      </w:pPr>
    </w:p>
    <w:p>
      <w:pPr>
        <w:rPr>
          <w:rFonts w:ascii="Times New Roman" w:hAnsi="Times New Roman" w:eastAsia="黑体"/>
          <w:color w:val="auto"/>
          <w:sz w:val="28"/>
        </w:rPr>
      </w:pPr>
    </w:p>
    <w:p>
      <w:pPr>
        <w:rPr>
          <w:rFonts w:ascii="Times New Roman" w:hAnsi="Times New Roman" w:eastAsia="黑体"/>
          <w:color w:val="auto"/>
          <w:sz w:val="28"/>
        </w:rPr>
      </w:pPr>
    </w:p>
    <w:p>
      <w:pPr>
        <w:rPr>
          <w:rFonts w:ascii="Times New Roman" w:hAnsi="Times New Roman" w:eastAsia="黑体"/>
          <w:color w:val="auto"/>
          <w:sz w:val="28"/>
        </w:rPr>
      </w:pPr>
    </w:p>
    <w:p>
      <w:pPr>
        <w:rPr>
          <w:rFonts w:ascii="Times New Roman" w:hAnsi="Times New Roman" w:eastAsia="黑体"/>
          <w:color w:val="auto"/>
          <w:sz w:val="28"/>
        </w:rPr>
      </w:pPr>
    </w:p>
    <w:p>
      <w:pPr>
        <w:rPr>
          <w:rFonts w:ascii="Times New Roman" w:hAnsi="Times New Roman" w:eastAsia="黑体"/>
          <w:color w:val="auto"/>
          <w:sz w:val="28"/>
        </w:rPr>
      </w:pPr>
    </w:p>
    <w:p>
      <w:pPr>
        <w:rPr>
          <w:rFonts w:ascii="Times New Roman" w:hAnsi="Times New Roman" w:eastAsia="黑体"/>
          <w:color w:val="auto"/>
          <w:sz w:val="28"/>
        </w:rPr>
      </w:pPr>
    </w:p>
    <w:p>
      <w:pPr>
        <w:rPr>
          <w:rFonts w:ascii="Times New Roman" w:hAnsi="Times New Roman" w:eastAsia="黑体"/>
          <w:color w:val="auto"/>
          <w:sz w:val="28"/>
        </w:rPr>
      </w:pPr>
    </w:p>
    <w:p>
      <w:pPr>
        <w:rPr>
          <w:rFonts w:ascii="Times New Roman" w:hAnsi="Times New Roman" w:eastAsia="黑体"/>
          <w:color w:val="auto"/>
          <w:sz w:val="28"/>
        </w:rPr>
      </w:pPr>
    </w:p>
    <w:p>
      <w:pPr>
        <w:rPr>
          <w:rFonts w:ascii="Times New Roman" w:hAnsi="Times New Roman" w:eastAsia="黑体"/>
          <w:color w:val="auto"/>
          <w:sz w:val="28"/>
        </w:rPr>
      </w:pPr>
    </w:p>
    <w:p>
      <w:pPr>
        <w:rPr>
          <w:rFonts w:ascii="Times New Roman" w:hAnsi="Times New Roman" w:eastAsia="黑体"/>
          <w:color w:val="auto"/>
          <w:sz w:val="28"/>
        </w:rPr>
      </w:pPr>
    </w:p>
    <w:p>
      <w:pPr>
        <w:rPr>
          <w:rFonts w:ascii="Times New Roman" w:hAnsi="Times New Roman" w:eastAsia="黑体"/>
          <w:color w:val="auto"/>
          <w:sz w:val="28"/>
        </w:rPr>
      </w:pPr>
    </w:p>
    <w:p>
      <w:pPr>
        <w:rPr>
          <w:rFonts w:ascii="Times New Roman" w:hAnsi="Times New Roman" w:eastAsia="黑体"/>
          <w:color w:val="auto"/>
          <w:sz w:val="28"/>
        </w:rPr>
      </w:pPr>
    </w:p>
    <w:p>
      <w:pPr>
        <w:spacing w:line="360" w:lineRule="auto"/>
        <w:ind w:firstLine="1120" w:firstLineChars="400"/>
        <w:rPr>
          <w:rFonts w:ascii="Times New Roman" w:hAnsi="Times New Roman" w:eastAsia="黑体"/>
          <w:color w:val="auto"/>
          <w:sz w:val="28"/>
          <w:u w:val="single"/>
        </w:rPr>
      </w:pPr>
      <w:r>
        <w:rPr>
          <w:rFonts w:ascii="Times New Roman" w:hAnsi="Times New Roman" w:eastAsia="黑体"/>
          <w:color w:val="auto"/>
          <w:sz w:val="28"/>
        </w:rPr>
        <w:t>投标人：</w:t>
      </w:r>
      <w:r>
        <w:rPr>
          <w:rFonts w:ascii="Times New Roman" w:hAnsi="Times New Roman"/>
          <w:color w:val="auto"/>
          <w:u w:val="single"/>
        </w:rPr>
        <w:t xml:space="preserve">                                            </w:t>
      </w:r>
      <w:r>
        <w:rPr>
          <w:rFonts w:ascii="Times New Roman" w:hAnsi="Times New Roman" w:eastAsia="黑体"/>
          <w:color w:val="auto"/>
          <w:sz w:val="28"/>
        </w:rPr>
        <w:t>（盖单位章）</w:t>
      </w:r>
    </w:p>
    <w:p>
      <w:pPr>
        <w:spacing w:line="360" w:lineRule="auto"/>
        <w:ind w:firstLine="1120" w:firstLineChars="400"/>
        <w:jc w:val="left"/>
        <w:rPr>
          <w:rFonts w:ascii="Times New Roman" w:hAnsi="Times New Roman" w:eastAsia="黑体"/>
          <w:color w:val="auto"/>
          <w:sz w:val="28"/>
        </w:rPr>
      </w:pPr>
      <w:r>
        <w:rPr>
          <w:rFonts w:ascii="Times New Roman" w:hAnsi="Times New Roman" w:eastAsia="黑体"/>
          <w:color w:val="auto"/>
          <w:sz w:val="28"/>
        </w:rPr>
        <w:t>法定代表人或其委托代理人：</w:t>
      </w:r>
      <w:r>
        <w:rPr>
          <w:rFonts w:ascii="Times New Roman" w:hAnsi="Times New Roman"/>
          <w:color w:val="auto"/>
          <w:u w:val="single"/>
        </w:rPr>
        <w:t xml:space="preserve">       </w:t>
      </w:r>
      <w:r>
        <w:rPr>
          <w:rFonts w:ascii="Times New Roman" w:hAnsi="Times New Roman" w:eastAsia="黑体"/>
          <w:color w:val="auto"/>
          <w:sz w:val="28"/>
        </w:rPr>
        <w:t>（签字）</w:t>
      </w:r>
    </w:p>
    <w:p>
      <w:pPr>
        <w:jc w:val="center"/>
        <w:rPr>
          <w:rFonts w:ascii="Times New Roman" w:hAnsi="Times New Roman" w:eastAsia="黑体"/>
          <w:color w:val="auto"/>
          <w:sz w:val="28"/>
        </w:rPr>
      </w:pPr>
    </w:p>
    <w:p>
      <w:pPr>
        <w:spacing w:line="400" w:lineRule="exact"/>
        <w:jc w:val="center"/>
        <w:rPr>
          <w:rFonts w:ascii="Times New Roman" w:hAnsi="Times New Roman"/>
          <w:color w:val="auto"/>
        </w:rPr>
      </w:pPr>
      <w:r>
        <w:rPr>
          <w:rFonts w:ascii="Times New Roman" w:hAnsi="Times New Roman"/>
          <w:color w:val="auto"/>
          <w:u w:val="single"/>
        </w:rPr>
        <w:t xml:space="preserve">       </w:t>
      </w:r>
      <w:r>
        <w:rPr>
          <w:rFonts w:ascii="Times New Roman" w:hAnsi="Times New Roman" w:eastAsia="黑体"/>
          <w:color w:val="auto"/>
          <w:sz w:val="28"/>
        </w:rPr>
        <w:t>年</w:t>
      </w:r>
      <w:r>
        <w:rPr>
          <w:rFonts w:ascii="Times New Roman" w:hAnsi="Times New Roman"/>
          <w:color w:val="auto"/>
          <w:u w:val="single"/>
        </w:rPr>
        <w:t xml:space="preserve">       </w:t>
      </w:r>
      <w:r>
        <w:rPr>
          <w:rFonts w:ascii="Times New Roman" w:hAnsi="Times New Roman" w:eastAsia="黑体"/>
          <w:color w:val="auto"/>
          <w:sz w:val="28"/>
        </w:rPr>
        <w:t>月</w:t>
      </w:r>
      <w:r>
        <w:rPr>
          <w:rFonts w:ascii="Times New Roman" w:hAnsi="Times New Roman"/>
          <w:color w:val="auto"/>
          <w:u w:val="single"/>
        </w:rPr>
        <w:t xml:space="preserve">       </w:t>
      </w:r>
      <w:r>
        <w:rPr>
          <w:rFonts w:ascii="Times New Roman" w:hAnsi="Times New Roman" w:eastAsia="黑体"/>
          <w:color w:val="auto"/>
          <w:sz w:val="28"/>
        </w:rPr>
        <w:t>日</w:t>
      </w:r>
      <w:r>
        <w:rPr>
          <w:rFonts w:ascii="Times New Roman" w:hAnsi="Times New Roman"/>
          <w:color w:val="auto"/>
        </w:rPr>
        <w:br w:type="page"/>
      </w:r>
    </w:p>
    <w:p>
      <w:pPr>
        <w:pStyle w:val="5"/>
        <w:jc w:val="center"/>
        <w:rPr>
          <w:rFonts w:ascii="Times New Roman" w:hAnsi="Times New Roman"/>
          <w:color w:val="auto"/>
        </w:rPr>
      </w:pPr>
      <w:bookmarkStart w:id="680" w:name="_Toc492300939"/>
      <w:r>
        <w:rPr>
          <w:rFonts w:hint="eastAsia" w:ascii="Times New Roman" w:hAnsi="Times New Roman"/>
          <w:color w:val="auto"/>
        </w:rPr>
        <w:t>目录</w:t>
      </w:r>
      <w:bookmarkEnd w:id="680"/>
    </w:p>
    <w:p>
      <w:pPr>
        <w:spacing w:line="540" w:lineRule="exact"/>
        <w:rPr>
          <w:rFonts w:ascii="Times New Roman" w:hAnsi="Times New Roman"/>
          <w:color w:val="auto"/>
        </w:rPr>
      </w:pPr>
    </w:p>
    <w:p>
      <w:pPr>
        <w:numPr>
          <w:ilvl w:val="0"/>
          <w:numId w:val="1"/>
        </w:numPr>
        <w:spacing w:line="540" w:lineRule="exact"/>
        <w:rPr>
          <w:rFonts w:ascii="Times New Roman" w:hAnsi="Times New Roman"/>
          <w:color w:val="auto"/>
        </w:rPr>
      </w:pPr>
      <w:r>
        <w:rPr>
          <w:rFonts w:ascii="Times New Roman" w:hAnsi="Times New Roman"/>
          <w:color w:val="auto"/>
        </w:rPr>
        <w:t>投标函</w:t>
      </w:r>
    </w:p>
    <w:p>
      <w:pPr>
        <w:numPr>
          <w:ilvl w:val="0"/>
          <w:numId w:val="1"/>
        </w:numPr>
        <w:spacing w:line="540" w:lineRule="exact"/>
        <w:rPr>
          <w:rFonts w:ascii="Times New Roman" w:hAnsi="Times New Roman"/>
          <w:color w:val="auto"/>
        </w:rPr>
      </w:pPr>
      <w:r>
        <w:rPr>
          <w:rFonts w:ascii="Times New Roman" w:hAnsi="Times New Roman"/>
          <w:color w:val="auto"/>
        </w:rPr>
        <w:t>投标函附录</w:t>
      </w:r>
    </w:p>
    <w:p>
      <w:pPr>
        <w:spacing w:line="540" w:lineRule="exact"/>
        <w:rPr>
          <w:rFonts w:ascii="Times New Roman" w:hAnsi="Times New Roman"/>
          <w:color w:val="auto"/>
        </w:rPr>
      </w:pPr>
      <w:r>
        <w:rPr>
          <w:rFonts w:hint="eastAsia" w:ascii="Times New Roman" w:hAnsi="Times New Roman"/>
          <w:color w:val="auto"/>
          <w:lang w:eastAsia="zh-CN"/>
        </w:rPr>
        <w:t>三</w:t>
      </w:r>
      <w:r>
        <w:rPr>
          <w:rFonts w:ascii="Times New Roman" w:hAnsi="Times New Roman"/>
          <w:color w:val="auto"/>
        </w:rPr>
        <w:t>、法定代表人身份证明</w:t>
      </w:r>
      <w:r>
        <w:rPr>
          <w:rFonts w:hint="eastAsia" w:ascii="Times New Roman" w:hAnsi="Times New Roman"/>
          <w:color w:val="auto"/>
          <w:lang w:val="en-US" w:eastAsia="zh-CN"/>
        </w:rPr>
        <w:t>及</w:t>
      </w:r>
      <w:r>
        <w:rPr>
          <w:rFonts w:hint="eastAsia" w:ascii="Times New Roman" w:hAnsi="Times New Roman"/>
          <w:color w:val="auto"/>
        </w:rPr>
        <w:t>授权委托书</w:t>
      </w:r>
    </w:p>
    <w:p>
      <w:pPr>
        <w:spacing w:line="540" w:lineRule="exact"/>
        <w:rPr>
          <w:rFonts w:ascii="Times New Roman" w:hAnsi="Times New Roman"/>
          <w:color w:val="auto"/>
        </w:rPr>
      </w:pPr>
      <w:r>
        <w:rPr>
          <w:rFonts w:hint="eastAsia" w:ascii="Times New Roman" w:hAnsi="Times New Roman"/>
          <w:color w:val="auto"/>
          <w:lang w:eastAsia="zh-CN"/>
        </w:rPr>
        <w:t>四</w:t>
      </w:r>
      <w:r>
        <w:rPr>
          <w:rFonts w:ascii="Times New Roman" w:hAnsi="Times New Roman"/>
          <w:color w:val="auto"/>
        </w:rPr>
        <w:t>、联合体协议书</w:t>
      </w:r>
    </w:p>
    <w:p>
      <w:pPr>
        <w:spacing w:line="540" w:lineRule="exact"/>
        <w:rPr>
          <w:rFonts w:ascii="Times New Roman" w:hAnsi="Times New Roman"/>
          <w:color w:val="auto"/>
        </w:rPr>
      </w:pPr>
      <w:r>
        <w:rPr>
          <w:rFonts w:hint="eastAsia" w:ascii="Times New Roman" w:hAnsi="Times New Roman"/>
          <w:color w:val="auto"/>
          <w:lang w:eastAsia="zh-CN"/>
        </w:rPr>
        <w:t>五</w:t>
      </w:r>
      <w:r>
        <w:rPr>
          <w:rFonts w:ascii="Times New Roman" w:hAnsi="Times New Roman"/>
          <w:color w:val="auto"/>
        </w:rPr>
        <w:t>、投标保证金</w:t>
      </w:r>
    </w:p>
    <w:p>
      <w:pPr>
        <w:spacing w:line="540" w:lineRule="exact"/>
        <w:rPr>
          <w:rFonts w:ascii="Times New Roman" w:hAnsi="Times New Roman"/>
          <w:color w:val="auto"/>
        </w:rPr>
      </w:pPr>
      <w:r>
        <w:rPr>
          <w:rFonts w:hint="eastAsia" w:ascii="Times New Roman" w:hAnsi="Times New Roman"/>
          <w:color w:val="auto"/>
          <w:lang w:eastAsia="zh-CN"/>
        </w:rPr>
        <w:t>六</w:t>
      </w:r>
      <w:r>
        <w:rPr>
          <w:rFonts w:ascii="Times New Roman" w:hAnsi="Times New Roman"/>
          <w:color w:val="auto"/>
        </w:rPr>
        <w:t>、勘察费用清单</w:t>
      </w:r>
    </w:p>
    <w:p>
      <w:pPr>
        <w:spacing w:line="540" w:lineRule="exact"/>
        <w:rPr>
          <w:rFonts w:ascii="Times New Roman" w:hAnsi="Times New Roman"/>
          <w:color w:val="auto"/>
        </w:rPr>
      </w:pPr>
      <w:r>
        <w:rPr>
          <w:rFonts w:hint="eastAsia" w:ascii="Times New Roman" w:hAnsi="Times New Roman"/>
          <w:color w:val="auto"/>
          <w:lang w:eastAsia="zh-CN"/>
        </w:rPr>
        <w:t>七</w:t>
      </w:r>
      <w:r>
        <w:rPr>
          <w:rFonts w:ascii="Times New Roman" w:hAnsi="Times New Roman"/>
          <w:color w:val="auto"/>
        </w:rPr>
        <w:t>、资格审查资料</w:t>
      </w:r>
    </w:p>
    <w:p>
      <w:pPr>
        <w:spacing w:line="540" w:lineRule="exact"/>
        <w:rPr>
          <w:rFonts w:ascii="Times New Roman" w:hAnsi="Times New Roman"/>
          <w:color w:val="auto"/>
        </w:rPr>
      </w:pPr>
      <w:r>
        <w:rPr>
          <w:rFonts w:hint="eastAsia" w:ascii="Times New Roman" w:hAnsi="Times New Roman"/>
          <w:color w:val="auto"/>
          <w:lang w:eastAsia="zh-CN"/>
        </w:rPr>
        <w:t>八</w:t>
      </w:r>
      <w:r>
        <w:rPr>
          <w:rFonts w:hint="eastAsia" w:ascii="Times New Roman" w:hAnsi="Times New Roman"/>
          <w:color w:val="auto"/>
        </w:rPr>
        <w:t>、勘察纲要</w:t>
      </w:r>
    </w:p>
    <w:p>
      <w:pPr>
        <w:spacing w:line="540" w:lineRule="exact"/>
        <w:rPr>
          <w:rFonts w:ascii="Times New Roman" w:hAnsi="Times New Roman"/>
          <w:color w:val="auto"/>
        </w:rPr>
      </w:pPr>
      <w:bookmarkStart w:id="681" w:name="_Toc7039"/>
      <w:bookmarkStart w:id="682" w:name="_Toc352691655"/>
      <w:bookmarkStart w:id="683" w:name="_Toc369531691"/>
      <w:r>
        <w:rPr>
          <w:rFonts w:hint="eastAsia" w:ascii="Times New Roman" w:hAnsi="Times New Roman"/>
          <w:color w:val="auto"/>
          <w:lang w:eastAsia="zh-CN"/>
        </w:rPr>
        <w:t>九</w:t>
      </w:r>
      <w:r>
        <w:rPr>
          <w:rFonts w:ascii="Times New Roman" w:hAnsi="Times New Roman"/>
          <w:color w:val="auto"/>
        </w:rPr>
        <w:t>、其他资料</w:t>
      </w:r>
    </w:p>
    <w:p>
      <w:pPr>
        <w:spacing w:line="540" w:lineRule="exact"/>
        <w:rPr>
          <w:rFonts w:ascii="Times New Roman" w:hAnsi="Times New Roman" w:eastAsia="黑体"/>
          <w:color w:val="auto"/>
          <w:sz w:val="20"/>
        </w:rPr>
      </w:pPr>
      <w:r>
        <w:rPr>
          <w:rFonts w:ascii="Times New Roman" w:hAnsi="Times New Roman"/>
          <w:color w:val="auto"/>
        </w:rPr>
        <w:br w:type="page"/>
      </w:r>
    </w:p>
    <w:bookmarkEnd w:id="681"/>
    <w:bookmarkEnd w:id="682"/>
    <w:bookmarkEnd w:id="683"/>
    <w:p>
      <w:pPr>
        <w:pStyle w:val="5"/>
        <w:jc w:val="center"/>
        <w:rPr>
          <w:rFonts w:ascii="Times New Roman" w:hAnsi="Times New Roman"/>
          <w:color w:val="auto"/>
        </w:rPr>
      </w:pPr>
      <w:bookmarkStart w:id="684" w:name="_Toc492300940"/>
      <w:r>
        <w:rPr>
          <w:rFonts w:ascii="Times New Roman" w:hAnsi="Times New Roman"/>
          <w:color w:val="auto"/>
        </w:rPr>
        <w:t>一、投标</w:t>
      </w:r>
      <w:bookmarkStart w:id="685" w:name="_Toc6931"/>
      <w:bookmarkStart w:id="686" w:name="_Toc352691656"/>
      <w:bookmarkStart w:id="687" w:name="_Toc369531692"/>
      <w:r>
        <w:rPr>
          <w:rFonts w:ascii="Times New Roman" w:hAnsi="Times New Roman"/>
          <w:color w:val="auto"/>
        </w:rPr>
        <w:t>函</w:t>
      </w:r>
      <w:bookmarkEnd w:id="684"/>
    </w:p>
    <w:bookmarkEnd w:id="685"/>
    <w:bookmarkEnd w:id="686"/>
    <w:bookmarkEnd w:id="687"/>
    <w:p>
      <w:pPr>
        <w:spacing w:line="440" w:lineRule="exact"/>
        <w:rPr>
          <w:rFonts w:ascii="Times New Roman" w:hAnsi="Times New Roman"/>
          <w:color w:val="auto"/>
          <w:szCs w:val="21"/>
        </w:rPr>
      </w:pPr>
      <w:r>
        <w:rPr>
          <w:rFonts w:ascii="Times New Roman" w:hAnsi="Times New Roman"/>
          <w:color w:val="auto"/>
          <w:szCs w:val="21"/>
          <w:u w:val="single"/>
        </w:rPr>
        <w:t xml:space="preserve">                  </w:t>
      </w:r>
      <w:r>
        <w:rPr>
          <w:rFonts w:ascii="Times New Roman" w:hAnsi="Times New Roman"/>
          <w:color w:val="auto"/>
          <w:szCs w:val="21"/>
        </w:rPr>
        <w:t>（招标人名称）：</w:t>
      </w:r>
    </w:p>
    <w:p>
      <w:pPr>
        <w:spacing w:line="440" w:lineRule="exact"/>
        <w:ind w:firstLine="405"/>
        <w:rPr>
          <w:rFonts w:ascii="Times New Roman" w:hAnsi="Times New Roman"/>
          <w:color w:val="auto"/>
          <w:szCs w:val="21"/>
        </w:rPr>
      </w:pPr>
      <w:r>
        <w:rPr>
          <w:rFonts w:ascii="Times New Roman" w:hAnsi="Times New Roman"/>
          <w:color w:val="auto"/>
          <w:szCs w:val="21"/>
        </w:rPr>
        <w:t>1．我方已仔细研究了</w:t>
      </w:r>
      <w:r>
        <w:rPr>
          <w:rFonts w:ascii="Times New Roman" w:hAnsi="Times New Roman"/>
          <w:color w:val="auto"/>
          <w:szCs w:val="21"/>
          <w:u w:val="single"/>
        </w:rPr>
        <w:t xml:space="preserve">                  </w:t>
      </w:r>
      <w:r>
        <w:rPr>
          <w:rFonts w:ascii="Times New Roman" w:hAnsi="Times New Roman"/>
          <w:color w:val="auto"/>
          <w:szCs w:val="21"/>
        </w:rPr>
        <w:t>（项目名称）勘察招标项目招标文件的全部内容，愿意以人民币（大写）</w:t>
      </w:r>
      <w:r>
        <w:rPr>
          <w:rFonts w:ascii="Times New Roman" w:hAnsi="Times New Roman"/>
          <w:color w:val="auto"/>
          <w:szCs w:val="21"/>
          <w:u w:val="single"/>
        </w:rPr>
        <w:t xml:space="preserve">               </w:t>
      </w:r>
      <w:r>
        <w:rPr>
          <w:rFonts w:ascii="Times New Roman" w:hAnsi="Times New Roman"/>
          <w:color w:val="auto"/>
          <w:szCs w:val="21"/>
        </w:rPr>
        <w:t>（¥</w:t>
      </w:r>
      <w:r>
        <w:rPr>
          <w:rFonts w:ascii="Times New Roman" w:hAnsi="Times New Roman"/>
          <w:color w:val="auto"/>
          <w:szCs w:val="21"/>
          <w:u w:val="single"/>
        </w:rPr>
        <w:t xml:space="preserve">               </w:t>
      </w:r>
      <w:r>
        <w:rPr>
          <w:rFonts w:ascii="Times New Roman" w:hAnsi="Times New Roman"/>
          <w:color w:val="auto"/>
          <w:szCs w:val="21"/>
        </w:rPr>
        <w:t>）的投标总报价（其中，增值税税率为</w:t>
      </w:r>
      <w:r>
        <w:rPr>
          <w:rFonts w:ascii="Times New Roman" w:hAnsi="Times New Roman" w:eastAsia="黑体"/>
          <w:color w:val="auto"/>
          <w:szCs w:val="21"/>
          <w:u w:val="single"/>
        </w:rPr>
        <w:t xml:space="preserve">         </w:t>
      </w:r>
      <w:r>
        <w:rPr>
          <w:rFonts w:ascii="Times New Roman" w:hAnsi="Times New Roman" w:eastAsia="黑体"/>
          <w:color w:val="auto"/>
          <w:szCs w:val="21"/>
        </w:rPr>
        <w:t>），</w:t>
      </w:r>
      <w:r>
        <w:rPr>
          <w:rFonts w:ascii="Times New Roman" w:hAnsi="Times New Roman"/>
          <w:color w:val="auto"/>
          <w:szCs w:val="21"/>
        </w:rPr>
        <w:t>勘察服务期限：</w:t>
      </w:r>
      <w:r>
        <w:rPr>
          <w:rFonts w:ascii="Times New Roman" w:hAnsi="Times New Roman"/>
          <w:color w:val="auto"/>
          <w:szCs w:val="21"/>
          <w:u w:val="single"/>
        </w:rPr>
        <w:t xml:space="preserve">      </w:t>
      </w:r>
      <w:r>
        <w:rPr>
          <w:rFonts w:ascii="Times New Roman" w:hAnsi="Times New Roman"/>
          <w:color w:val="auto"/>
          <w:szCs w:val="21"/>
        </w:rPr>
        <w:t>日历天，按合同约定完成勘察工作。</w:t>
      </w:r>
    </w:p>
    <w:p>
      <w:pPr>
        <w:spacing w:line="440" w:lineRule="exact"/>
        <w:ind w:firstLine="420" w:firstLineChars="200"/>
        <w:rPr>
          <w:rFonts w:ascii="Times New Roman" w:hAnsi="Times New Roman"/>
          <w:color w:val="auto"/>
          <w:szCs w:val="21"/>
        </w:rPr>
      </w:pPr>
      <w:r>
        <w:rPr>
          <w:rFonts w:ascii="Times New Roman" w:hAnsi="Times New Roman"/>
          <w:color w:val="auto"/>
          <w:szCs w:val="21"/>
        </w:rPr>
        <w:t>2. 我方的投标文件包括下列内容：</w:t>
      </w:r>
    </w:p>
    <w:p>
      <w:pPr>
        <w:numPr>
          <w:ilvl w:val="0"/>
          <w:numId w:val="0"/>
        </w:numPr>
        <w:spacing w:line="540" w:lineRule="exact"/>
        <w:rPr>
          <w:rFonts w:ascii="Times New Roman" w:hAnsi="Times New Roman"/>
          <w:color w:val="auto"/>
        </w:rPr>
      </w:pPr>
      <w:r>
        <w:rPr>
          <w:rFonts w:hint="eastAsia" w:ascii="Times New Roman" w:hAnsi="Times New Roman"/>
          <w:color w:val="auto"/>
          <w:lang w:eastAsia="zh-CN"/>
        </w:rPr>
        <w:t>一、</w:t>
      </w:r>
      <w:r>
        <w:rPr>
          <w:rFonts w:ascii="Times New Roman" w:hAnsi="Times New Roman"/>
          <w:color w:val="auto"/>
        </w:rPr>
        <w:t>投标函</w:t>
      </w:r>
    </w:p>
    <w:p>
      <w:pPr>
        <w:numPr>
          <w:ilvl w:val="0"/>
          <w:numId w:val="0"/>
        </w:numPr>
        <w:spacing w:line="540" w:lineRule="exact"/>
        <w:rPr>
          <w:rFonts w:ascii="Times New Roman" w:hAnsi="Times New Roman"/>
          <w:color w:val="auto"/>
        </w:rPr>
      </w:pPr>
      <w:r>
        <w:rPr>
          <w:rFonts w:hint="eastAsia" w:ascii="Times New Roman" w:hAnsi="Times New Roman"/>
          <w:color w:val="auto"/>
          <w:lang w:eastAsia="zh-CN"/>
        </w:rPr>
        <w:t>二、</w:t>
      </w:r>
      <w:r>
        <w:rPr>
          <w:rFonts w:ascii="Times New Roman" w:hAnsi="Times New Roman"/>
          <w:color w:val="auto"/>
        </w:rPr>
        <w:t>投标函附录</w:t>
      </w:r>
    </w:p>
    <w:p>
      <w:pPr>
        <w:spacing w:line="540" w:lineRule="exact"/>
        <w:rPr>
          <w:rFonts w:ascii="Times New Roman" w:hAnsi="Times New Roman"/>
          <w:color w:val="auto"/>
        </w:rPr>
      </w:pPr>
      <w:r>
        <w:rPr>
          <w:rFonts w:hint="eastAsia" w:ascii="Times New Roman" w:hAnsi="Times New Roman"/>
          <w:color w:val="auto"/>
          <w:lang w:eastAsia="zh-CN"/>
        </w:rPr>
        <w:t>三</w:t>
      </w:r>
      <w:r>
        <w:rPr>
          <w:rFonts w:ascii="Times New Roman" w:hAnsi="Times New Roman"/>
          <w:color w:val="auto"/>
        </w:rPr>
        <w:t>、法定代表人身份证明</w:t>
      </w:r>
      <w:r>
        <w:rPr>
          <w:rFonts w:hint="eastAsia" w:ascii="Times New Roman" w:hAnsi="Times New Roman"/>
          <w:color w:val="auto"/>
          <w:lang w:val="en-US" w:eastAsia="zh-CN"/>
        </w:rPr>
        <w:t>及</w:t>
      </w:r>
      <w:r>
        <w:rPr>
          <w:rFonts w:hint="eastAsia" w:ascii="Times New Roman" w:hAnsi="Times New Roman"/>
          <w:color w:val="auto"/>
        </w:rPr>
        <w:t>授权委托书</w:t>
      </w:r>
    </w:p>
    <w:p>
      <w:pPr>
        <w:spacing w:line="540" w:lineRule="exact"/>
        <w:rPr>
          <w:rFonts w:ascii="Times New Roman" w:hAnsi="Times New Roman"/>
          <w:color w:val="auto"/>
        </w:rPr>
      </w:pPr>
      <w:r>
        <w:rPr>
          <w:rFonts w:hint="eastAsia" w:ascii="Times New Roman" w:hAnsi="Times New Roman"/>
          <w:color w:val="auto"/>
          <w:lang w:eastAsia="zh-CN"/>
        </w:rPr>
        <w:t>四</w:t>
      </w:r>
      <w:r>
        <w:rPr>
          <w:rFonts w:ascii="Times New Roman" w:hAnsi="Times New Roman"/>
          <w:color w:val="auto"/>
        </w:rPr>
        <w:t>、联合体协议书</w:t>
      </w:r>
    </w:p>
    <w:p>
      <w:pPr>
        <w:spacing w:line="540" w:lineRule="exact"/>
        <w:rPr>
          <w:rFonts w:ascii="Times New Roman" w:hAnsi="Times New Roman"/>
          <w:color w:val="auto"/>
        </w:rPr>
      </w:pPr>
      <w:r>
        <w:rPr>
          <w:rFonts w:hint="eastAsia" w:ascii="Times New Roman" w:hAnsi="Times New Roman"/>
          <w:color w:val="auto"/>
          <w:lang w:eastAsia="zh-CN"/>
        </w:rPr>
        <w:t>五</w:t>
      </w:r>
      <w:r>
        <w:rPr>
          <w:rFonts w:ascii="Times New Roman" w:hAnsi="Times New Roman"/>
          <w:color w:val="auto"/>
        </w:rPr>
        <w:t>、投标保证金</w:t>
      </w:r>
    </w:p>
    <w:p>
      <w:pPr>
        <w:spacing w:line="540" w:lineRule="exact"/>
        <w:rPr>
          <w:rFonts w:ascii="Times New Roman" w:hAnsi="Times New Roman"/>
          <w:color w:val="auto"/>
        </w:rPr>
      </w:pPr>
      <w:r>
        <w:rPr>
          <w:rFonts w:hint="eastAsia" w:ascii="Times New Roman" w:hAnsi="Times New Roman"/>
          <w:color w:val="auto"/>
          <w:lang w:eastAsia="zh-CN"/>
        </w:rPr>
        <w:t>六</w:t>
      </w:r>
      <w:r>
        <w:rPr>
          <w:rFonts w:ascii="Times New Roman" w:hAnsi="Times New Roman"/>
          <w:color w:val="auto"/>
        </w:rPr>
        <w:t>、勘察费用清单</w:t>
      </w:r>
    </w:p>
    <w:p>
      <w:pPr>
        <w:spacing w:line="540" w:lineRule="exact"/>
        <w:rPr>
          <w:rFonts w:ascii="Times New Roman" w:hAnsi="Times New Roman"/>
          <w:color w:val="auto"/>
        </w:rPr>
      </w:pPr>
      <w:r>
        <w:rPr>
          <w:rFonts w:hint="eastAsia" w:ascii="Times New Roman" w:hAnsi="Times New Roman"/>
          <w:color w:val="auto"/>
          <w:lang w:eastAsia="zh-CN"/>
        </w:rPr>
        <w:t>七</w:t>
      </w:r>
      <w:r>
        <w:rPr>
          <w:rFonts w:ascii="Times New Roman" w:hAnsi="Times New Roman"/>
          <w:color w:val="auto"/>
        </w:rPr>
        <w:t>、资格审查资料</w:t>
      </w:r>
    </w:p>
    <w:p>
      <w:pPr>
        <w:spacing w:line="540" w:lineRule="exact"/>
        <w:rPr>
          <w:rFonts w:ascii="Times New Roman" w:hAnsi="Times New Roman"/>
          <w:color w:val="auto"/>
        </w:rPr>
      </w:pPr>
      <w:r>
        <w:rPr>
          <w:rFonts w:hint="eastAsia" w:ascii="Times New Roman" w:hAnsi="Times New Roman"/>
          <w:color w:val="auto"/>
          <w:lang w:eastAsia="zh-CN"/>
        </w:rPr>
        <w:t>八</w:t>
      </w:r>
      <w:r>
        <w:rPr>
          <w:rFonts w:hint="eastAsia" w:ascii="Times New Roman" w:hAnsi="Times New Roman"/>
          <w:color w:val="auto"/>
        </w:rPr>
        <w:t>、勘察纲要</w:t>
      </w:r>
    </w:p>
    <w:p>
      <w:pPr>
        <w:spacing w:line="540" w:lineRule="exact"/>
        <w:rPr>
          <w:rFonts w:ascii="Times New Roman" w:hAnsi="Times New Roman"/>
          <w:color w:val="auto"/>
        </w:rPr>
      </w:pPr>
      <w:r>
        <w:rPr>
          <w:rFonts w:hint="eastAsia" w:ascii="Times New Roman" w:hAnsi="Times New Roman"/>
          <w:color w:val="auto"/>
          <w:lang w:eastAsia="zh-CN"/>
        </w:rPr>
        <w:t>九</w:t>
      </w:r>
      <w:r>
        <w:rPr>
          <w:rFonts w:ascii="Times New Roman" w:hAnsi="Times New Roman"/>
          <w:color w:val="auto"/>
        </w:rPr>
        <w:t>、其他资料</w:t>
      </w:r>
    </w:p>
    <w:p>
      <w:pPr>
        <w:spacing w:line="440" w:lineRule="exact"/>
        <w:ind w:firstLine="420" w:firstLineChars="200"/>
        <w:rPr>
          <w:rFonts w:ascii="Times New Roman" w:hAnsi="Times New Roman"/>
          <w:color w:val="auto"/>
          <w:szCs w:val="21"/>
        </w:rPr>
      </w:pPr>
      <w:r>
        <w:rPr>
          <w:rFonts w:ascii="Times New Roman" w:hAnsi="Times New Roman"/>
          <w:color w:val="auto"/>
          <w:szCs w:val="21"/>
        </w:rPr>
        <w:t>投标文件的上述组成部分如存在内容不一致的，以投标函为准。</w:t>
      </w:r>
    </w:p>
    <w:p>
      <w:pPr>
        <w:spacing w:line="440" w:lineRule="exact"/>
        <w:ind w:firstLine="420" w:firstLineChars="200"/>
        <w:rPr>
          <w:rFonts w:ascii="Times New Roman" w:hAnsi="Times New Roman"/>
          <w:color w:val="auto"/>
          <w:szCs w:val="21"/>
        </w:rPr>
      </w:pPr>
      <w:r>
        <w:rPr>
          <w:rFonts w:ascii="Times New Roman" w:hAnsi="Times New Roman"/>
          <w:color w:val="auto"/>
          <w:szCs w:val="21"/>
        </w:rPr>
        <w:t>3．我方承诺在招标文件规定的投标有效期内不撤销投标文件。</w:t>
      </w:r>
    </w:p>
    <w:p>
      <w:pPr>
        <w:spacing w:line="440" w:lineRule="exact"/>
        <w:ind w:firstLine="420" w:firstLineChars="200"/>
        <w:rPr>
          <w:rFonts w:ascii="Times New Roman" w:hAnsi="Times New Roman"/>
          <w:color w:val="auto"/>
          <w:szCs w:val="21"/>
        </w:rPr>
      </w:pPr>
      <w:r>
        <w:rPr>
          <w:rFonts w:ascii="Times New Roman" w:hAnsi="Times New Roman"/>
          <w:color w:val="auto"/>
          <w:szCs w:val="21"/>
        </w:rPr>
        <w:t>4．如我方中标，我方承诺：</w:t>
      </w:r>
    </w:p>
    <w:p>
      <w:pPr>
        <w:spacing w:line="440" w:lineRule="exact"/>
        <w:ind w:left="945" w:leftChars="400" w:hanging="105" w:hangingChars="50"/>
        <w:rPr>
          <w:rFonts w:ascii="Times New Roman" w:hAnsi="Times New Roman"/>
          <w:color w:val="auto"/>
          <w:szCs w:val="21"/>
        </w:rPr>
      </w:pPr>
      <w:r>
        <w:rPr>
          <w:rFonts w:ascii="Times New Roman" w:hAnsi="Times New Roman"/>
          <w:color w:val="auto"/>
          <w:szCs w:val="21"/>
        </w:rPr>
        <w:t>（1）在收到中标通知书后，在中标通知书规定的期限内与你方签订合同；</w:t>
      </w:r>
    </w:p>
    <w:p>
      <w:pPr>
        <w:spacing w:line="440" w:lineRule="exact"/>
        <w:ind w:left="945" w:leftChars="400" w:hanging="105" w:hangingChars="50"/>
        <w:rPr>
          <w:rFonts w:ascii="Times New Roman" w:hAnsi="Times New Roman"/>
          <w:color w:val="auto"/>
          <w:szCs w:val="21"/>
        </w:rPr>
      </w:pPr>
      <w:r>
        <w:rPr>
          <w:rFonts w:ascii="Times New Roman" w:hAnsi="Times New Roman"/>
          <w:color w:val="auto"/>
          <w:szCs w:val="21"/>
        </w:rPr>
        <w:t>（2）在签订合同时不向你方提出附加条件；</w:t>
      </w:r>
    </w:p>
    <w:p>
      <w:pPr>
        <w:spacing w:line="440" w:lineRule="exact"/>
        <w:ind w:left="945" w:leftChars="400" w:hanging="105" w:hangingChars="50"/>
        <w:rPr>
          <w:rFonts w:ascii="Times New Roman" w:hAnsi="Times New Roman"/>
          <w:color w:val="auto"/>
          <w:szCs w:val="21"/>
        </w:rPr>
      </w:pPr>
      <w:r>
        <w:rPr>
          <w:rFonts w:ascii="Times New Roman" w:hAnsi="Times New Roman"/>
          <w:color w:val="auto"/>
          <w:szCs w:val="21"/>
        </w:rPr>
        <w:t>（3）按照招标文件要求提交履约保证金；</w:t>
      </w:r>
      <w:bookmarkStart w:id="688" w:name="_Toc1187"/>
      <w:bookmarkStart w:id="689" w:name="_Toc369531694"/>
      <w:bookmarkStart w:id="690" w:name="_Toc352691658"/>
    </w:p>
    <w:p>
      <w:pPr>
        <w:spacing w:line="440" w:lineRule="exact"/>
        <w:ind w:left="945" w:leftChars="400" w:hanging="105" w:hangingChars="50"/>
        <w:rPr>
          <w:rFonts w:ascii="Times New Roman" w:hAnsi="Times New Roman"/>
          <w:color w:val="auto"/>
          <w:szCs w:val="21"/>
        </w:rPr>
      </w:pPr>
      <w:r>
        <w:rPr>
          <w:rFonts w:ascii="Times New Roman" w:hAnsi="Times New Roman"/>
          <w:color w:val="auto"/>
          <w:szCs w:val="21"/>
        </w:rPr>
        <w:t>（4）在合</w:t>
      </w:r>
      <w:bookmarkEnd w:id="688"/>
      <w:bookmarkEnd w:id="689"/>
      <w:bookmarkEnd w:id="690"/>
      <w:r>
        <w:rPr>
          <w:rFonts w:ascii="Times New Roman" w:hAnsi="Times New Roman"/>
          <w:color w:val="auto"/>
          <w:szCs w:val="21"/>
        </w:rPr>
        <w:t>同约定的期限内完成合同规定的全部义务。</w:t>
      </w:r>
    </w:p>
    <w:p>
      <w:pPr>
        <w:spacing w:line="440" w:lineRule="exact"/>
        <w:ind w:firstLine="420" w:firstLineChars="200"/>
        <w:rPr>
          <w:rFonts w:ascii="Times New Roman" w:hAnsi="Times New Roman"/>
          <w:color w:val="auto"/>
          <w:szCs w:val="21"/>
        </w:rPr>
      </w:pPr>
      <w:r>
        <w:rPr>
          <w:rFonts w:ascii="Times New Roman" w:hAnsi="Times New Roman"/>
          <w:color w:val="auto"/>
          <w:szCs w:val="21"/>
        </w:rPr>
        <w:t>5．我方在此声明，所递交的投标文件及有关资料内容完整、真实和准确，且不存在第二章“投标人须知”第1.4.3项规定的任何一种情形。</w:t>
      </w:r>
    </w:p>
    <w:p>
      <w:pPr>
        <w:spacing w:line="440" w:lineRule="exact"/>
        <w:ind w:firstLine="420" w:firstLineChars="200"/>
        <w:rPr>
          <w:rFonts w:ascii="Times New Roman" w:hAnsi="Times New Roman"/>
          <w:color w:val="auto"/>
          <w:szCs w:val="21"/>
        </w:rPr>
      </w:pPr>
      <w:r>
        <w:rPr>
          <w:rFonts w:ascii="Times New Roman" w:hAnsi="Times New Roman"/>
          <w:color w:val="auto"/>
          <w:szCs w:val="21"/>
        </w:rPr>
        <w:t>6．</w:t>
      </w:r>
      <w:r>
        <w:rPr>
          <w:rFonts w:ascii="Times New Roman" w:hAnsi="Times New Roman"/>
          <w:color w:val="auto"/>
          <w:szCs w:val="21"/>
          <w:u w:val="single"/>
        </w:rPr>
        <w:t xml:space="preserve">                            </w:t>
      </w:r>
      <w:r>
        <w:rPr>
          <w:rFonts w:ascii="Times New Roman" w:hAnsi="Times New Roman"/>
          <w:color w:val="auto"/>
          <w:szCs w:val="21"/>
          <w:u w:val="single"/>
        </w:rPr>
        <w:tab/>
      </w:r>
      <w:r>
        <w:rPr>
          <w:rFonts w:ascii="Times New Roman" w:hAnsi="Times New Roman"/>
          <w:color w:val="auto"/>
          <w:szCs w:val="21"/>
        </w:rPr>
        <w:t>（其他补充说明）。</w:t>
      </w:r>
    </w:p>
    <w:p>
      <w:pPr>
        <w:spacing w:line="440" w:lineRule="exact"/>
        <w:ind w:firstLine="420" w:firstLineChars="200"/>
        <w:rPr>
          <w:rFonts w:ascii="Times New Roman" w:hAnsi="Times New Roman"/>
          <w:color w:val="auto"/>
          <w:szCs w:val="21"/>
        </w:rPr>
      </w:pPr>
    </w:p>
    <w:bookmarkEnd w:id="599"/>
    <w:bookmarkEnd w:id="600"/>
    <w:bookmarkEnd w:id="601"/>
    <w:bookmarkEnd w:id="602"/>
    <w:bookmarkEnd w:id="603"/>
    <w:bookmarkEnd w:id="604"/>
    <w:bookmarkEnd w:id="605"/>
    <w:bookmarkEnd w:id="654"/>
    <w:bookmarkEnd w:id="655"/>
    <w:p>
      <w:pPr>
        <w:spacing w:line="440" w:lineRule="exact"/>
        <w:ind w:firstLine="2520" w:firstLineChars="1200"/>
        <w:jc w:val="left"/>
        <w:rPr>
          <w:rFonts w:ascii="Times New Roman" w:hAnsi="Times New Roman"/>
          <w:color w:val="auto"/>
          <w:szCs w:val="21"/>
        </w:rPr>
      </w:pPr>
      <w:bookmarkStart w:id="691" w:name="_Toc369531695"/>
      <w:bookmarkEnd w:id="691"/>
      <w:bookmarkStart w:id="692" w:name="_Toc352691660"/>
      <w:bookmarkEnd w:id="692"/>
      <w:bookmarkStart w:id="693" w:name="_Toc369531696"/>
      <w:bookmarkEnd w:id="693"/>
      <w:bookmarkStart w:id="694" w:name="_Toc16824"/>
      <w:bookmarkEnd w:id="694"/>
      <w:bookmarkStart w:id="695" w:name="_Toc352691659"/>
      <w:bookmarkEnd w:id="695"/>
      <w:bookmarkStart w:id="696" w:name="_Toc16568"/>
      <w:bookmarkEnd w:id="696"/>
      <w:r>
        <w:rPr>
          <w:rFonts w:ascii="Times New Roman" w:hAnsi="Times New Roman"/>
          <w:color w:val="auto"/>
          <w:szCs w:val="21"/>
        </w:rPr>
        <w:t>投 标 人：</w:t>
      </w:r>
      <w:r>
        <w:rPr>
          <w:rFonts w:ascii="Times New Roman" w:hAnsi="Times New Roman"/>
          <w:color w:val="auto"/>
          <w:szCs w:val="21"/>
          <w:u w:val="single"/>
        </w:rPr>
        <w:t xml:space="preserve">                                </w:t>
      </w:r>
      <w:r>
        <w:rPr>
          <w:rFonts w:ascii="Times New Roman" w:hAnsi="Times New Roman"/>
          <w:color w:val="auto"/>
          <w:szCs w:val="21"/>
          <w:u w:val="single"/>
        </w:rPr>
        <w:tab/>
      </w:r>
      <w:r>
        <w:rPr>
          <w:rFonts w:ascii="Times New Roman" w:hAnsi="Times New Roman"/>
          <w:color w:val="auto"/>
          <w:szCs w:val="21"/>
        </w:rPr>
        <w:t>（盖单位章）</w:t>
      </w:r>
    </w:p>
    <w:p>
      <w:pPr>
        <w:spacing w:line="440" w:lineRule="exact"/>
        <w:jc w:val="left"/>
        <w:rPr>
          <w:rFonts w:ascii="Times New Roman" w:hAnsi="Times New Roman"/>
          <w:color w:val="auto"/>
          <w:szCs w:val="21"/>
        </w:rPr>
      </w:pPr>
      <w:r>
        <w:rPr>
          <w:rFonts w:ascii="Times New Roman" w:hAnsi="Times New Roman"/>
          <w:color w:val="auto"/>
        </w:rPr>
        <w:t xml:space="preserve">                        法定代表人</w:t>
      </w:r>
      <w:r>
        <w:rPr>
          <w:rFonts w:ascii="Times New Roman" w:hAnsi="Times New Roman"/>
          <w:color w:val="auto"/>
          <w:szCs w:val="21"/>
        </w:rPr>
        <w:t>或其委托代理人：</w:t>
      </w:r>
      <w:r>
        <w:rPr>
          <w:rFonts w:ascii="Times New Roman" w:hAnsi="Times New Roman"/>
          <w:color w:val="auto"/>
          <w:szCs w:val="21"/>
          <w:u w:val="single"/>
        </w:rPr>
        <w:t xml:space="preserve">       </w:t>
      </w:r>
      <w:r>
        <w:rPr>
          <w:rFonts w:ascii="Times New Roman" w:hAnsi="Times New Roman"/>
          <w:color w:val="auto"/>
          <w:szCs w:val="21"/>
          <w:u w:val="single"/>
        </w:rPr>
        <w:tab/>
      </w:r>
      <w:r>
        <w:rPr>
          <w:rFonts w:ascii="Times New Roman" w:hAnsi="Times New Roman"/>
          <w:color w:val="auto"/>
          <w:szCs w:val="21"/>
        </w:rPr>
        <w:t>（签字）</w:t>
      </w:r>
    </w:p>
    <w:p>
      <w:pPr>
        <w:spacing w:line="440" w:lineRule="exact"/>
        <w:ind w:firstLine="2520" w:firstLineChars="1200"/>
        <w:jc w:val="left"/>
        <w:rPr>
          <w:rFonts w:ascii="Times New Roman" w:hAnsi="Times New Roman"/>
          <w:color w:val="auto"/>
          <w:szCs w:val="21"/>
        </w:rPr>
      </w:pPr>
      <w:r>
        <w:rPr>
          <w:rFonts w:ascii="Times New Roman" w:hAnsi="Times New Roman"/>
          <w:color w:val="auto"/>
          <w:szCs w:val="21"/>
        </w:rPr>
        <w:t>地    址：</w:t>
      </w:r>
      <w:r>
        <w:rPr>
          <w:rFonts w:ascii="Times New Roman" w:hAnsi="Times New Roman"/>
          <w:color w:val="auto"/>
          <w:szCs w:val="21"/>
          <w:u w:val="single"/>
        </w:rPr>
        <w:t xml:space="preserve">          </w:t>
      </w:r>
      <w:r>
        <w:rPr>
          <w:rFonts w:ascii="Times New Roman" w:hAnsi="Times New Roman"/>
          <w:color w:val="auto"/>
          <w:szCs w:val="21"/>
          <w:u w:val="single"/>
        </w:rPr>
        <w:tab/>
      </w:r>
      <w:r>
        <w:rPr>
          <w:rFonts w:ascii="Times New Roman" w:hAnsi="Times New Roman"/>
          <w:color w:val="auto"/>
          <w:szCs w:val="21"/>
          <w:u w:val="single"/>
        </w:rPr>
        <w:t xml:space="preserve">                             </w:t>
      </w:r>
      <w:r>
        <w:rPr>
          <w:rFonts w:ascii="Times New Roman" w:hAnsi="Times New Roman"/>
          <w:color w:val="auto"/>
          <w:szCs w:val="21"/>
          <w:u w:val="single"/>
        </w:rPr>
        <w:tab/>
      </w:r>
    </w:p>
    <w:p>
      <w:pPr>
        <w:spacing w:line="440" w:lineRule="exact"/>
        <w:ind w:firstLine="2520" w:firstLineChars="1200"/>
        <w:jc w:val="left"/>
        <w:rPr>
          <w:rFonts w:ascii="Times New Roman" w:hAnsi="Times New Roman"/>
          <w:color w:val="auto"/>
          <w:szCs w:val="21"/>
        </w:rPr>
      </w:pPr>
      <w:r>
        <w:rPr>
          <w:rFonts w:ascii="Times New Roman" w:hAnsi="Times New Roman"/>
          <w:color w:val="auto"/>
          <w:szCs w:val="21"/>
        </w:rPr>
        <w:t>网    址：</w:t>
      </w:r>
      <w:r>
        <w:rPr>
          <w:rFonts w:ascii="Times New Roman" w:hAnsi="Times New Roman"/>
          <w:color w:val="auto"/>
          <w:szCs w:val="21"/>
          <w:u w:val="single"/>
        </w:rPr>
        <w:t xml:space="preserve">                                       </w:t>
      </w:r>
      <w:r>
        <w:rPr>
          <w:rFonts w:ascii="Times New Roman" w:hAnsi="Times New Roman"/>
          <w:color w:val="auto"/>
          <w:szCs w:val="21"/>
          <w:u w:val="single"/>
        </w:rPr>
        <w:tab/>
      </w:r>
      <w:r>
        <w:rPr>
          <w:rFonts w:ascii="Times New Roman" w:hAnsi="Times New Roman"/>
          <w:color w:val="auto"/>
          <w:szCs w:val="21"/>
          <w:u w:val="single"/>
        </w:rPr>
        <w:t xml:space="preserve">    </w:t>
      </w:r>
    </w:p>
    <w:p>
      <w:pPr>
        <w:spacing w:line="440" w:lineRule="exact"/>
        <w:ind w:firstLine="2520" w:firstLineChars="1200"/>
        <w:jc w:val="left"/>
        <w:rPr>
          <w:rFonts w:ascii="Times New Roman" w:hAnsi="Times New Roman"/>
          <w:color w:val="auto"/>
          <w:szCs w:val="21"/>
        </w:rPr>
      </w:pPr>
      <w:r>
        <w:rPr>
          <w:rFonts w:ascii="Times New Roman" w:hAnsi="Times New Roman"/>
          <w:color w:val="auto"/>
          <w:szCs w:val="21"/>
        </w:rPr>
        <w:t>电    话：</w:t>
      </w:r>
      <w:r>
        <w:rPr>
          <w:rFonts w:ascii="Times New Roman" w:hAnsi="Times New Roman"/>
          <w:color w:val="auto"/>
          <w:szCs w:val="21"/>
          <w:u w:val="single"/>
        </w:rPr>
        <w:t xml:space="preserve">          </w:t>
      </w:r>
      <w:r>
        <w:rPr>
          <w:rFonts w:ascii="Times New Roman" w:hAnsi="Times New Roman"/>
          <w:color w:val="auto"/>
          <w:szCs w:val="21"/>
          <w:u w:val="single"/>
        </w:rPr>
        <w:tab/>
      </w:r>
      <w:r>
        <w:rPr>
          <w:rFonts w:ascii="Times New Roman" w:hAnsi="Times New Roman"/>
          <w:color w:val="auto"/>
          <w:szCs w:val="21"/>
          <w:u w:val="single"/>
        </w:rPr>
        <w:t xml:space="preserve">                          </w:t>
      </w:r>
      <w:r>
        <w:rPr>
          <w:rFonts w:ascii="Times New Roman" w:hAnsi="Times New Roman"/>
          <w:color w:val="auto"/>
          <w:szCs w:val="21"/>
          <w:u w:val="single"/>
        </w:rPr>
        <w:tab/>
      </w:r>
      <w:r>
        <w:rPr>
          <w:rFonts w:ascii="Times New Roman" w:hAnsi="Times New Roman"/>
          <w:color w:val="auto"/>
          <w:szCs w:val="21"/>
          <w:u w:val="single"/>
        </w:rPr>
        <w:t xml:space="preserve">    </w:t>
      </w:r>
    </w:p>
    <w:p>
      <w:pPr>
        <w:spacing w:line="440" w:lineRule="exact"/>
        <w:ind w:firstLine="2520" w:firstLineChars="1200"/>
        <w:jc w:val="left"/>
        <w:rPr>
          <w:rFonts w:ascii="Times New Roman" w:hAnsi="Times New Roman"/>
          <w:color w:val="auto"/>
          <w:szCs w:val="21"/>
        </w:rPr>
      </w:pPr>
      <w:r>
        <w:rPr>
          <w:rFonts w:ascii="Times New Roman" w:hAnsi="Times New Roman"/>
          <w:color w:val="auto"/>
          <w:szCs w:val="21"/>
        </w:rPr>
        <w:t>传    真：</w:t>
      </w:r>
      <w:r>
        <w:rPr>
          <w:rFonts w:ascii="Times New Roman" w:hAnsi="Times New Roman"/>
          <w:color w:val="auto"/>
          <w:szCs w:val="21"/>
          <w:u w:val="single"/>
        </w:rPr>
        <w:t xml:space="preserve">          </w:t>
      </w:r>
      <w:r>
        <w:rPr>
          <w:rFonts w:ascii="Times New Roman" w:hAnsi="Times New Roman"/>
          <w:color w:val="auto"/>
          <w:szCs w:val="21"/>
          <w:u w:val="single"/>
        </w:rPr>
        <w:tab/>
      </w:r>
      <w:r>
        <w:rPr>
          <w:rFonts w:ascii="Times New Roman" w:hAnsi="Times New Roman"/>
          <w:color w:val="auto"/>
          <w:szCs w:val="21"/>
          <w:u w:val="single"/>
        </w:rPr>
        <w:t xml:space="preserve">                                </w:t>
      </w:r>
    </w:p>
    <w:p>
      <w:pPr>
        <w:spacing w:line="440" w:lineRule="exact"/>
        <w:ind w:firstLine="2520" w:firstLineChars="1200"/>
        <w:jc w:val="left"/>
        <w:rPr>
          <w:rFonts w:ascii="Times New Roman" w:hAnsi="Times New Roman"/>
          <w:color w:val="auto"/>
          <w:szCs w:val="21"/>
        </w:rPr>
      </w:pPr>
      <w:r>
        <w:rPr>
          <w:rFonts w:ascii="Times New Roman" w:hAnsi="Times New Roman"/>
          <w:color w:val="auto"/>
          <w:szCs w:val="21"/>
        </w:rPr>
        <w:t>邮政编码：</w:t>
      </w:r>
      <w:r>
        <w:rPr>
          <w:rFonts w:ascii="Times New Roman" w:hAnsi="Times New Roman"/>
          <w:color w:val="auto"/>
          <w:szCs w:val="21"/>
          <w:u w:val="single"/>
        </w:rPr>
        <w:t xml:space="preserve">          </w:t>
      </w:r>
      <w:r>
        <w:rPr>
          <w:rFonts w:ascii="Times New Roman" w:hAnsi="Times New Roman"/>
          <w:color w:val="auto"/>
          <w:szCs w:val="21"/>
          <w:u w:val="single"/>
        </w:rPr>
        <w:tab/>
      </w:r>
      <w:r>
        <w:rPr>
          <w:rFonts w:ascii="Times New Roman" w:hAnsi="Times New Roman"/>
          <w:color w:val="auto"/>
          <w:szCs w:val="21"/>
          <w:u w:val="single"/>
        </w:rPr>
        <w:t xml:space="preserve">                                </w:t>
      </w:r>
    </w:p>
    <w:p>
      <w:pPr>
        <w:spacing w:line="440" w:lineRule="exact"/>
        <w:ind w:firstLine="4725" w:firstLineChars="2250"/>
        <w:jc w:val="right"/>
        <w:rPr>
          <w:rFonts w:ascii="Times New Roman" w:hAnsi="Times New Roman"/>
          <w:color w:val="auto"/>
          <w:szCs w:val="21"/>
        </w:rPr>
      </w:pPr>
      <w:r>
        <w:rPr>
          <w:rFonts w:ascii="Times New Roman" w:hAnsi="Times New Roman"/>
          <w:color w:val="auto"/>
          <w:u w:val="single"/>
        </w:rPr>
        <w:t xml:space="preserve">      </w:t>
      </w:r>
      <w:r>
        <w:rPr>
          <w:rFonts w:ascii="Times New Roman" w:hAnsi="Times New Roman"/>
          <w:color w:val="auto"/>
          <w:szCs w:val="21"/>
        </w:rPr>
        <w:t>年</w:t>
      </w:r>
      <w:r>
        <w:rPr>
          <w:rFonts w:ascii="Times New Roman" w:hAnsi="Times New Roman"/>
          <w:color w:val="auto"/>
          <w:u w:val="single"/>
        </w:rPr>
        <w:t xml:space="preserve">      </w:t>
      </w:r>
      <w:r>
        <w:rPr>
          <w:rFonts w:ascii="Times New Roman" w:hAnsi="Times New Roman"/>
          <w:color w:val="auto"/>
          <w:szCs w:val="21"/>
        </w:rPr>
        <w:t>月</w:t>
      </w:r>
      <w:r>
        <w:rPr>
          <w:rFonts w:ascii="Times New Roman" w:hAnsi="Times New Roman"/>
          <w:color w:val="auto"/>
          <w:u w:val="single"/>
        </w:rPr>
        <w:t xml:space="preserve">      </w:t>
      </w:r>
      <w:r>
        <w:rPr>
          <w:rFonts w:ascii="Times New Roman" w:hAnsi="Times New Roman"/>
          <w:color w:val="auto"/>
          <w:szCs w:val="21"/>
        </w:rPr>
        <w:t>日</w:t>
      </w:r>
    </w:p>
    <w:p>
      <w:pPr>
        <w:spacing w:line="440" w:lineRule="exact"/>
        <w:rPr>
          <w:rFonts w:ascii="Times New Roman" w:hAnsi="Times New Roman"/>
          <w:color w:val="auto"/>
          <w:szCs w:val="21"/>
        </w:rPr>
      </w:pPr>
    </w:p>
    <w:p>
      <w:pPr>
        <w:spacing w:line="440" w:lineRule="exact"/>
        <w:rPr>
          <w:rFonts w:ascii="Times New Roman" w:hAnsi="Times New Roman"/>
          <w:color w:val="auto"/>
          <w:szCs w:val="21"/>
        </w:rPr>
      </w:pPr>
    </w:p>
    <w:p>
      <w:pPr>
        <w:spacing w:line="440" w:lineRule="exact"/>
        <w:rPr>
          <w:rFonts w:ascii="Times New Roman" w:hAnsi="Times New Roman" w:eastAsia="黑体"/>
          <w:color w:val="auto"/>
          <w:sz w:val="20"/>
        </w:rPr>
      </w:pPr>
      <w:bookmarkStart w:id="697" w:name="_Toc369531697"/>
      <w:bookmarkStart w:id="698" w:name="_Toc152042576"/>
      <w:bookmarkStart w:id="699" w:name="_Toc152045787"/>
      <w:bookmarkStart w:id="700" w:name="_Toc17960"/>
      <w:bookmarkStart w:id="701" w:name="_Toc384308375"/>
      <w:bookmarkStart w:id="702" w:name="_Toc352691661"/>
      <w:bookmarkStart w:id="703" w:name="_Toc300835209"/>
      <w:bookmarkStart w:id="704" w:name="_Toc247527827"/>
      <w:bookmarkStart w:id="705" w:name="_Toc144974856"/>
      <w:bookmarkStart w:id="706" w:name="_Toc361508752"/>
      <w:bookmarkStart w:id="707" w:name="_Toc247514246"/>
    </w:p>
    <w:p>
      <w:pPr>
        <w:spacing w:line="440" w:lineRule="exact"/>
        <w:rPr>
          <w:rFonts w:ascii="Times New Roman" w:hAnsi="Times New Roman" w:eastAsia="黑体"/>
          <w:color w:val="auto"/>
          <w:sz w:val="20"/>
        </w:rPr>
      </w:pPr>
      <w:r>
        <w:rPr>
          <w:rFonts w:ascii="Times New Roman" w:hAnsi="Times New Roman"/>
          <w:color w:val="auto"/>
          <w:szCs w:val="21"/>
        </w:rPr>
        <w:br w:type="page"/>
      </w:r>
    </w:p>
    <w:p>
      <w:pPr>
        <w:autoSpaceDE w:val="0"/>
        <w:autoSpaceDN w:val="0"/>
        <w:adjustRightInd w:val="0"/>
        <w:jc w:val="center"/>
        <w:rPr>
          <w:rFonts w:hAnsi="宋体" w:cs="仿宋_GB2312"/>
          <w:b/>
          <w:sz w:val="24"/>
        </w:rPr>
      </w:pPr>
      <w:bookmarkStart w:id="708" w:name="_Toc215282239"/>
      <w:r>
        <w:rPr>
          <w:rFonts w:hint="eastAsia" w:hAnsi="宋体" w:cs="仿宋_GB2312"/>
          <w:b/>
          <w:sz w:val="24"/>
        </w:rPr>
        <w:t>（二）投标函附录</w:t>
      </w:r>
      <w:bookmarkEnd w:id="708"/>
    </w:p>
    <w:p>
      <w:pPr>
        <w:rPr>
          <w:rFonts w:hAnsi="宋体" w:cs="仿宋_GB2312"/>
          <w:sz w:val="24"/>
        </w:rPr>
      </w:pPr>
    </w:p>
    <w:tbl>
      <w:tblPr>
        <w:tblStyle w:val="38"/>
        <w:tblW w:w="8888" w:type="dxa"/>
        <w:tblInd w:w="0" w:type="dxa"/>
        <w:tblLayout w:type="fixed"/>
        <w:tblCellMar>
          <w:top w:w="0" w:type="dxa"/>
          <w:left w:w="108" w:type="dxa"/>
          <w:bottom w:w="0" w:type="dxa"/>
          <w:right w:w="108" w:type="dxa"/>
        </w:tblCellMar>
      </w:tblPr>
      <w:tblGrid>
        <w:gridCol w:w="2988"/>
        <w:gridCol w:w="1440"/>
        <w:gridCol w:w="1800"/>
        <w:gridCol w:w="2660"/>
      </w:tblGrid>
      <w:tr>
        <w:tblPrEx>
          <w:tblLayout w:type="fixed"/>
          <w:tblCellMar>
            <w:top w:w="0" w:type="dxa"/>
            <w:left w:w="108" w:type="dxa"/>
            <w:bottom w:w="0" w:type="dxa"/>
            <w:right w:w="108" w:type="dxa"/>
          </w:tblCellMar>
        </w:tblPrEx>
        <w:trPr>
          <w:trHeight w:val="760" w:hRule="atLeast"/>
        </w:trPr>
        <w:tc>
          <w:tcPr>
            <w:tcW w:w="2988"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cs="仿宋_GB2312"/>
                <w:sz w:val="24"/>
              </w:rPr>
            </w:pPr>
            <w:r>
              <w:rPr>
                <w:rFonts w:hint="eastAsia" w:hAnsi="宋体" w:cs="仿宋_GB2312"/>
                <w:sz w:val="24"/>
              </w:rPr>
              <w:t>工程名称</w:t>
            </w:r>
          </w:p>
        </w:tc>
        <w:tc>
          <w:tcPr>
            <w:tcW w:w="590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Ansi="宋体" w:cs="仿宋_GB2312"/>
                <w:sz w:val="24"/>
              </w:rPr>
            </w:pPr>
          </w:p>
        </w:tc>
      </w:tr>
      <w:tr>
        <w:tblPrEx>
          <w:tblLayout w:type="fixed"/>
          <w:tblCellMar>
            <w:top w:w="0" w:type="dxa"/>
            <w:left w:w="108" w:type="dxa"/>
            <w:bottom w:w="0" w:type="dxa"/>
            <w:right w:w="108" w:type="dxa"/>
          </w:tblCellMar>
        </w:tblPrEx>
        <w:trPr>
          <w:trHeight w:val="783" w:hRule="atLeast"/>
        </w:trPr>
        <w:tc>
          <w:tcPr>
            <w:tcW w:w="2988"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cs="仿宋_GB2312"/>
                <w:sz w:val="24"/>
              </w:rPr>
            </w:pPr>
            <w:r>
              <w:rPr>
                <w:rFonts w:hint="eastAsia" w:hAnsi="宋体" w:cs="仿宋_GB2312"/>
                <w:sz w:val="24"/>
              </w:rPr>
              <w:t>投标人</w:t>
            </w:r>
          </w:p>
        </w:tc>
        <w:tc>
          <w:tcPr>
            <w:tcW w:w="590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Ansi="宋体" w:cs="仿宋_GB2312"/>
                <w:sz w:val="24"/>
              </w:rPr>
            </w:pPr>
          </w:p>
        </w:tc>
      </w:tr>
      <w:tr>
        <w:tblPrEx>
          <w:tblLayout w:type="fixed"/>
          <w:tblCellMar>
            <w:top w:w="0" w:type="dxa"/>
            <w:left w:w="108" w:type="dxa"/>
            <w:bottom w:w="0" w:type="dxa"/>
            <w:right w:w="108" w:type="dxa"/>
          </w:tblCellMar>
        </w:tblPrEx>
        <w:trPr>
          <w:trHeight w:val="784" w:hRule="atLeast"/>
        </w:trPr>
        <w:tc>
          <w:tcPr>
            <w:tcW w:w="29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宋体" w:eastAsia="宋体" w:cs="仿宋_GB2312"/>
                <w:sz w:val="24"/>
                <w:lang w:eastAsia="zh-CN"/>
              </w:rPr>
            </w:pPr>
            <w:r>
              <w:rPr>
                <w:rFonts w:hint="eastAsia" w:hAnsi="宋体" w:cs="仿宋_GB2312"/>
                <w:sz w:val="24"/>
                <w:lang w:eastAsia="zh-CN"/>
              </w:rPr>
              <w:t>项目负责人</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cs="仿宋_GB2312"/>
                <w:sz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cs="仿宋_GB2312"/>
                <w:sz w:val="24"/>
              </w:rPr>
            </w:pPr>
            <w:r>
              <w:rPr>
                <w:rFonts w:hint="eastAsia" w:hAnsi="宋体" w:cs="仿宋_GB2312"/>
                <w:sz w:val="24"/>
              </w:rPr>
              <w:t>证书编号</w:t>
            </w:r>
          </w:p>
        </w:tc>
        <w:tc>
          <w:tcPr>
            <w:tcW w:w="2660"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cs="仿宋_GB2312"/>
                <w:sz w:val="24"/>
              </w:rPr>
            </w:pPr>
          </w:p>
        </w:tc>
      </w:tr>
      <w:tr>
        <w:tblPrEx>
          <w:tblLayout w:type="fixed"/>
          <w:tblCellMar>
            <w:top w:w="0" w:type="dxa"/>
            <w:left w:w="108" w:type="dxa"/>
            <w:bottom w:w="0" w:type="dxa"/>
            <w:right w:w="108" w:type="dxa"/>
          </w:tblCellMar>
        </w:tblPrEx>
        <w:trPr>
          <w:trHeight w:val="833" w:hRule="atLeast"/>
        </w:trPr>
        <w:tc>
          <w:tcPr>
            <w:tcW w:w="2988"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cs="仿宋_GB2312"/>
                <w:sz w:val="24"/>
              </w:rPr>
            </w:pPr>
            <w:r>
              <w:rPr>
                <w:rFonts w:hint="eastAsia" w:hAnsi="宋体" w:cs="仿宋_GB2312"/>
                <w:sz w:val="24"/>
              </w:rPr>
              <w:t>投标总报价</w:t>
            </w:r>
          </w:p>
        </w:tc>
        <w:tc>
          <w:tcPr>
            <w:tcW w:w="3240" w:type="dxa"/>
            <w:gridSpan w:val="2"/>
            <w:tcBorders>
              <w:top w:val="single" w:color="auto" w:sz="4" w:space="0"/>
              <w:left w:val="single" w:color="auto" w:sz="4" w:space="0"/>
              <w:bottom w:val="single" w:color="auto" w:sz="4" w:space="0"/>
              <w:right w:val="single" w:color="auto" w:sz="4" w:space="0"/>
            </w:tcBorders>
            <w:noWrap w:val="0"/>
            <w:vAlign w:val="center"/>
          </w:tcPr>
          <w:p>
            <w:pPr>
              <w:rPr>
                <w:rFonts w:hAnsi="宋体" w:cs="仿宋_GB2312"/>
                <w:sz w:val="24"/>
              </w:rPr>
            </w:pPr>
            <w:r>
              <w:rPr>
                <w:rFonts w:hint="eastAsia" w:hAnsi="宋体" w:cs="仿宋_GB2312"/>
                <w:sz w:val="24"/>
              </w:rPr>
              <w:t>（大写）</w:t>
            </w:r>
          </w:p>
        </w:tc>
        <w:tc>
          <w:tcPr>
            <w:tcW w:w="2660" w:type="dxa"/>
            <w:tcBorders>
              <w:top w:val="single" w:color="auto" w:sz="4" w:space="0"/>
              <w:left w:val="single" w:color="auto" w:sz="4" w:space="0"/>
              <w:bottom w:val="single" w:color="auto" w:sz="4" w:space="0"/>
              <w:right w:val="single" w:color="auto" w:sz="4" w:space="0"/>
            </w:tcBorders>
            <w:noWrap w:val="0"/>
            <w:vAlign w:val="center"/>
          </w:tcPr>
          <w:p>
            <w:pPr>
              <w:rPr>
                <w:rFonts w:hAnsi="宋体" w:cs="仿宋_GB2312"/>
                <w:sz w:val="24"/>
              </w:rPr>
            </w:pPr>
            <w:r>
              <w:rPr>
                <w:rFonts w:hint="eastAsia" w:hAnsi="宋体" w:cs="仿宋_GB2312"/>
                <w:sz w:val="24"/>
              </w:rPr>
              <w:t>（小写）</w:t>
            </w:r>
          </w:p>
        </w:tc>
      </w:tr>
      <w:tr>
        <w:tblPrEx>
          <w:tblLayout w:type="fixed"/>
          <w:tblCellMar>
            <w:top w:w="0" w:type="dxa"/>
            <w:left w:w="108" w:type="dxa"/>
            <w:bottom w:w="0" w:type="dxa"/>
            <w:right w:w="108" w:type="dxa"/>
          </w:tblCellMar>
        </w:tblPrEx>
        <w:trPr>
          <w:trHeight w:val="639" w:hRule="atLeast"/>
        </w:trPr>
        <w:tc>
          <w:tcPr>
            <w:tcW w:w="29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宋体" w:eastAsia="宋体" w:cs="仿宋_GB2312"/>
                <w:sz w:val="24"/>
                <w:lang w:eastAsia="zh-CN"/>
              </w:rPr>
            </w:pPr>
            <w:r>
              <w:rPr>
                <w:rFonts w:hint="eastAsia" w:hAnsi="宋体" w:cs="仿宋_GB2312"/>
                <w:sz w:val="24"/>
              </w:rPr>
              <w:t>投标</w:t>
            </w:r>
            <w:r>
              <w:rPr>
                <w:rFonts w:hint="eastAsia" w:hAnsi="宋体" w:cs="仿宋_GB2312"/>
                <w:sz w:val="24"/>
                <w:lang w:eastAsia="zh-CN"/>
              </w:rPr>
              <w:t>质量等级</w:t>
            </w:r>
          </w:p>
        </w:tc>
        <w:tc>
          <w:tcPr>
            <w:tcW w:w="5900" w:type="dxa"/>
            <w:gridSpan w:val="3"/>
            <w:tcBorders>
              <w:top w:val="single" w:color="auto" w:sz="4" w:space="0"/>
              <w:left w:val="single" w:color="auto" w:sz="4" w:space="0"/>
              <w:bottom w:val="single" w:color="auto" w:sz="4" w:space="0"/>
              <w:right w:val="single" w:color="auto" w:sz="4" w:space="0"/>
            </w:tcBorders>
            <w:noWrap w:val="0"/>
            <w:vAlign w:val="top"/>
          </w:tcPr>
          <w:p>
            <w:pPr>
              <w:widowControl/>
              <w:jc w:val="left"/>
              <w:rPr>
                <w:rFonts w:hAnsi="宋体" w:cs="仿宋_GB2312"/>
                <w:sz w:val="24"/>
              </w:rPr>
            </w:pPr>
          </w:p>
          <w:p>
            <w:pPr>
              <w:widowControl/>
              <w:jc w:val="left"/>
              <w:rPr>
                <w:rFonts w:hAnsi="宋体" w:cs="仿宋_GB2312"/>
                <w:sz w:val="24"/>
              </w:rPr>
            </w:pPr>
          </w:p>
        </w:tc>
      </w:tr>
      <w:tr>
        <w:tblPrEx>
          <w:tblLayout w:type="fixed"/>
          <w:tblCellMar>
            <w:top w:w="0" w:type="dxa"/>
            <w:left w:w="108" w:type="dxa"/>
            <w:bottom w:w="0" w:type="dxa"/>
            <w:right w:w="108" w:type="dxa"/>
          </w:tblCellMar>
        </w:tblPrEx>
        <w:trPr>
          <w:trHeight w:val="639" w:hRule="atLeast"/>
        </w:trPr>
        <w:tc>
          <w:tcPr>
            <w:tcW w:w="29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宋体" w:eastAsia="宋体" w:cs="仿宋_GB2312"/>
                <w:sz w:val="24"/>
                <w:lang w:eastAsia="zh-CN"/>
              </w:rPr>
            </w:pPr>
            <w:r>
              <w:rPr>
                <w:rFonts w:hint="eastAsia" w:hAnsi="宋体" w:cs="仿宋_GB2312"/>
                <w:sz w:val="24"/>
                <w:lang w:eastAsia="zh-CN"/>
              </w:rPr>
              <w:t>服务期限</w:t>
            </w:r>
          </w:p>
        </w:tc>
        <w:tc>
          <w:tcPr>
            <w:tcW w:w="5900" w:type="dxa"/>
            <w:gridSpan w:val="3"/>
            <w:tcBorders>
              <w:top w:val="single" w:color="auto" w:sz="4" w:space="0"/>
              <w:left w:val="single" w:color="auto" w:sz="4" w:space="0"/>
              <w:bottom w:val="single" w:color="auto" w:sz="4" w:space="0"/>
              <w:right w:val="single" w:color="auto" w:sz="4" w:space="0"/>
            </w:tcBorders>
            <w:noWrap w:val="0"/>
            <w:vAlign w:val="top"/>
          </w:tcPr>
          <w:p>
            <w:pPr>
              <w:widowControl/>
              <w:jc w:val="center"/>
              <w:rPr>
                <w:rFonts w:hAnsi="宋体" w:cs="仿宋_GB2312"/>
                <w:sz w:val="24"/>
              </w:rPr>
            </w:pPr>
            <w:r>
              <w:rPr>
                <w:rFonts w:hint="eastAsia" w:hAnsi="宋体" w:cs="仿宋_GB2312"/>
                <w:sz w:val="24"/>
              </w:rPr>
              <w:t>日历天</w:t>
            </w:r>
          </w:p>
          <w:p>
            <w:pPr>
              <w:widowControl/>
              <w:jc w:val="left"/>
              <w:rPr>
                <w:rFonts w:hint="eastAsia" w:hAnsi="宋体" w:eastAsia="宋体" w:cs="仿宋_GB2312"/>
                <w:sz w:val="24"/>
                <w:lang w:eastAsia="zh-CN"/>
              </w:rPr>
            </w:pPr>
          </w:p>
        </w:tc>
      </w:tr>
      <w:tr>
        <w:tblPrEx>
          <w:tblLayout w:type="fixed"/>
          <w:tblCellMar>
            <w:top w:w="0" w:type="dxa"/>
            <w:left w:w="108" w:type="dxa"/>
            <w:bottom w:w="0" w:type="dxa"/>
            <w:right w:w="108" w:type="dxa"/>
          </w:tblCellMar>
        </w:tblPrEx>
        <w:trPr>
          <w:trHeight w:val="639" w:hRule="atLeast"/>
        </w:trPr>
        <w:tc>
          <w:tcPr>
            <w:tcW w:w="29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宋体" w:eastAsia="宋体" w:cs="仿宋_GB2312"/>
                <w:sz w:val="24"/>
                <w:lang w:eastAsia="zh-CN"/>
              </w:rPr>
            </w:pPr>
            <w:r>
              <w:rPr>
                <w:rFonts w:hint="eastAsia" w:hAnsi="宋体" w:cs="仿宋_GB2312"/>
                <w:sz w:val="24"/>
                <w:lang w:eastAsia="zh-CN"/>
              </w:rPr>
              <w:t>投标有效期</w:t>
            </w:r>
          </w:p>
        </w:tc>
        <w:tc>
          <w:tcPr>
            <w:tcW w:w="5900" w:type="dxa"/>
            <w:gridSpan w:val="3"/>
            <w:tcBorders>
              <w:top w:val="single" w:color="auto" w:sz="4" w:space="0"/>
              <w:left w:val="single" w:color="auto" w:sz="4" w:space="0"/>
              <w:bottom w:val="single" w:color="auto" w:sz="4" w:space="0"/>
              <w:right w:val="single" w:color="auto" w:sz="4" w:space="0"/>
            </w:tcBorders>
            <w:noWrap w:val="0"/>
            <w:vAlign w:val="top"/>
          </w:tcPr>
          <w:p>
            <w:pPr>
              <w:widowControl/>
              <w:jc w:val="left"/>
              <w:rPr>
                <w:rFonts w:hAnsi="宋体" w:cs="仿宋_GB2312"/>
                <w:sz w:val="24"/>
              </w:rPr>
            </w:pPr>
          </w:p>
        </w:tc>
      </w:tr>
      <w:tr>
        <w:tblPrEx>
          <w:tblLayout w:type="fixed"/>
          <w:tblCellMar>
            <w:top w:w="0" w:type="dxa"/>
            <w:left w:w="108" w:type="dxa"/>
            <w:bottom w:w="0" w:type="dxa"/>
            <w:right w:w="108" w:type="dxa"/>
          </w:tblCellMar>
        </w:tblPrEx>
        <w:trPr>
          <w:trHeight w:val="1074" w:hRule="atLeast"/>
        </w:trPr>
        <w:tc>
          <w:tcPr>
            <w:tcW w:w="8888" w:type="dxa"/>
            <w:gridSpan w:val="4"/>
            <w:tcBorders>
              <w:top w:val="single" w:color="auto" w:sz="4" w:space="0"/>
              <w:left w:val="single" w:color="auto" w:sz="4" w:space="0"/>
              <w:bottom w:val="single" w:color="auto" w:sz="4" w:space="0"/>
              <w:right w:val="single" w:color="auto" w:sz="4" w:space="0"/>
            </w:tcBorders>
            <w:noWrap w:val="0"/>
            <w:vAlign w:val="center"/>
          </w:tcPr>
          <w:p>
            <w:pPr>
              <w:rPr>
                <w:rFonts w:hAnsi="宋体" w:cs="仿宋_GB2312"/>
                <w:sz w:val="24"/>
              </w:rPr>
            </w:pPr>
            <w:r>
              <w:rPr>
                <w:rFonts w:hint="eastAsia" w:hAnsi="宋体" w:cs="仿宋_GB2312"/>
                <w:sz w:val="24"/>
              </w:rPr>
              <w:t>优惠与服务承诺:</w:t>
            </w:r>
          </w:p>
          <w:p>
            <w:pPr>
              <w:rPr>
                <w:rFonts w:hint="eastAsia" w:hAnsi="宋体" w:cs="仿宋_GB2312"/>
                <w:sz w:val="24"/>
              </w:rPr>
            </w:pPr>
          </w:p>
          <w:p>
            <w:pPr>
              <w:pStyle w:val="2"/>
              <w:ind w:firstLine="0" w:firstLineChars="0"/>
              <w:rPr>
                <w:rFonts w:hint="eastAsia"/>
              </w:rPr>
            </w:pPr>
          </w:p>
          <w:p>
            <w:pPr>
              <w:pStyle w:val="2"/>
              <w:ind w:firstLine="0" w:firstLineChars="0"/>
              <w:rPr>
                <w:rFonts w:hint="eastAsia"/>
              </w:rPr>
            </w:pPr>
          </w:p>
          <w:p>
            <w:pPr>
              <w:pStyle w:val="2"/>
              <w:ind w:firstLine="0" w:firstLineChars="0"/>
            </w:pPr>
          </w:p>
        </w:tc>
      </w:tr>
    </w:tbl>
    <w:p>
      <w:pPr>
        <w:spacing w:line="440" w:lineRule="exact"/>
        <w:ind w:firstLine="2520" w:firstLineChars="1200"/>
        <w:jc w:val="left"/>
        <w:rPr>
          <w:rFonts w:ascii="Times New Roman" w:hAnsi="Times New Roman"/>
          <w:color w:val="auto"/>
          <w:szCs w:val="21"/>
        </w:rPr>
      </w:pPr>
    </w:p>
    <w:p>
      <w:pPr>
        <w:spacing w:line="440" w:lineRule="exact"/>
        <w:ind w:firstLine="2520" w:firstLineChars="1200"/>
        <w:jc w:val="left"/>
        <w:rPr>
          <w:rFonts w:ascii="Times New Roman" w:hAnsi="Times New Roman"/>
          <w:color w:val="auto"/>
          <w:szCs w:val="21"/>
        </w:rPr>
      </w:pPr>
      <w:r>
        <w:rPr>
          <w:rFonts w:ascii="Times New Roman" w:hAnsi="Times New Roman"/>
          <w:color w:val="auto"/>
          <w:szCs w:val="21"/>
        </w:rPr>
        <w:t xml:space="preserve">投 标 </w:t>
      </w:r>
      <w:r>
        <w:rPr>
          <w:rFonts w:hint="eastAsia" w:ascii="Times New Roman" w:hAnsi="Times New Roman"/>
          <w:color w:val="auto"/>
          <w:szCs w:val="21"/>
          <w:lang w:eastAsia="zh-CN"/>
        </w:rPr>
        <w:t>单位</w:t>
      </w:r>
      <w:r>
        <w:rPr>
          <w:rFonts w:ascii="Times New Roman" w:hAnsi="Times New Roman"/>
          <w:color w:val="auto"/>
          <w:szCs w:val="21"/>
        </w:rPr>
        <w:t>（盖章）：</w:t>
      </w:r>
      <w:r>
        <w:rPr>
          <w:rFonts w:ascii="Times New Roman" w:hAnsi="Times New Roman"/>
          <w:color w:val="auto"/>
          <w:szCs w:val="21"/>
          <w:u w:val="single"/>
        </w:rPr>
        <w:t xml:space="preserve">                                </w:t>
      </w:r>
      <w:r>
        <w:rPr>
          <w:rFonts w:ascii="Times New Roman" w:hAnsi="Times New Roman"/>
          <w:color w:val="auto"/>
          <w:szCs w:val="21"/>
          <w:u w:val="single"/>
        </w:rPr>
        <w:tab/>
      </w:r>
    </w:p>
    <w:p>
      <w:pPr>
        <w:spacing w:line="440" w:lineRule="exact"/>
        <w:jc w:val="left"/>
        <w:rPr>
          <w:rFonts w:ascii="Times New Roman" w:hAnsi="Times New Roman"/>
          <w:color w:val="auto"/>
          <w:szCs w:val="21"/>
        </w:rPr>
      </w:pPr>
      <w:r>
        <w:rPr>
          <w:rFonts w:ascii="Times New Roman" w:hAnsi="Times New Roman"/>
          <w:color w:val="auto"/>
        </w:rPr>
        <w:t xml:space="preserve">                        法定代表人</w:t>
      </w:r>
      <w:r>
        <w:rPr>
          <w:rFonts w:ascii="Times New Roman" w:hAnsi="Times New Roman"/>
          <w:color w:val="auto"/>
          <w:szCs w:val="21"/>
        </w:rPr>
        <w:t>或委托代理人（签字）：</w:t>
      </w:r>
      <w:r>
        <w:rPr>
          <w:rFonts w:ascii="Times New Roman" w:hAnsi="Times New Roman"/>
          <w:color w:val="auto"/>
          <w:szCs w:val="21"/>
          <w:u w:val="single"/>
        </w:rPr>
        <w:t xml:space="preserve">       </w:t>
      </w:r>
      <w:r>
        <w:rPr>
          <w:rFonts w:ascii="Times New Roman" w:hAnsi="Times New Roman"/>
          <w:color w:val="auto"/>
          <w:szCs w:val="21"/>
          <w:u w:val="single"/>
        </w:rPr>
        <w:tab/>
      </w:r>
    </w:p>
    <w:p>
      <w:pPr>
        <w:spacing w:line="440" w:lineRule="exact"/>
        <w:jc w:val="center"/>
        <w:rPr>
          <w:rFonts w:ascii="Times New Roman" w:hAnsi="Times New Roman"/>
          <w:color w:val="auto"/>
          <w:szCs w:val="21"/>
        </w:rPr>
      </w:pPr>
      <w:r>
        <w:rPr>
          <w:rFonts w:ascii="Times New Roman" w:hAnsi="Times New Roman"/>
          <w:color w:val="auto"/>
          <w:szCs w:val="21"/>
        </w:rPr>
        <w:t>年</w:t>
      </w:r>
      <w:r>
        <w:rPr>
          <w:rFonts w:ascii="Times New Roman" w:hAnsi="Times New Roman"/>
          <w:color w:val="auto"/>
          <w:u w:val="single"/>
        </w:rPr>
        <w:t xml:space="preserve">      </w:t>
      </w:r>
      <w:r>
        <w:rPr>
          <w:rFonts w:ascii="Times New Roman" w:hAnsi="Times New Roman"/>
          <w:color w:val="auto"/>
          <w:szCs w:val="21"/>
        </w:rPr>
        <w:t>月</w:t>
      </w:r>
      <w:r>
        <w:rPr>
          <w:rFonts w:ascii="Times New Roman" w:hAnsi="Times New Roman"/>
          <w:color w:val="auto"/>
          <w:u w:val="single"/>
        </w:rPr>
        <w:t xml:space="preserve">      </w:t>
      </w:r>
      <w:r>
        <w:rPr>
          <w:rFonts w:ascii="Times New Roman" w:hAnsi="Times New Roman"/>
          <w:color w:val="auto"/>
          <w:szCs w:val="21"/>
        </w:rPr>
        <w:t>日</w:t>
      </w:r>
    </w:p>
    <w:p>
      <w:pPr>
        <w:spacing w:line="440" w:lineRule="exact"/>
        <w:rPr>
          <w:rFonts w:ascii="Times New Roman" w:hAnsi="Times New Roman"/>
          <w:color w:val="auto"/>
          <w:szCs w:val="21"/>
        </w:rPr>
      </w:pPr>
    </w:p>
    <w:p>
      <w:pPr>
        <w:spacing w:line="440" w:lineRule="exact"/>
        <w:rPr>
          <w:rFonts w:ascii="Times New Roman" w:hAnsi="Times New Roman"/>
          <w:color w:val="auto"/>
          <w:sz w:val="20"/>
        </w:rPr>
      </w:pPr>
    </w:p>
    <w:p>
      <w:pPr>
        <w:spacing w:line="440" w:lineRule="exact"/>
        <w:ind w:firstLine="420" w:firstLineChars="200"/>
        <w:rPr>
          <w:rFonts w:ascii="Times New Roman" w:hAnsi="Times New Roman"/>
          <w:color w:val="auto"/>
          <w:szCs w:val="21"/>
        </w:rPr>
      </w:pPr>
      <w:r>
        <w:rPr>
          <w:rFonts w:ascii="Times New Roman" w:hAnsi="Times New Roman"/>
          <w:color w:val="auto"/>
          <w:szCs w:val="21"/>
        </w:rPr>
        <w:br w:type="page"/>
      </w:r>
    </w:p>
    <w:bookmarkEnd w:id="697"/>
    <w:bookmarkEnd w:id="698"/>
    <w:bookmarkEnd w:id="699"/>
    <w:bookmarkEnd w:id="700"/>
    <w:bookmarkEnd w:id="701"/>
    <w:bookmarkEnd w:id="702"/>
    <w:bookmarkEnd w:id="703"/>
    <w:bookmarkEnd w:id="704"/>
    <w:bookmarkEnd w:id="705"/>
    <w:bookmarkEnd w:id="706"/>
    <w:bookmarkEnd w:id="707"/>
    <w:p>
      <w:pPr>
        <w:pStyle w:val="5"/>
        <w:jc w:val="center"/>
        <w:rPr>
          <w:rFonts w:ascii="Times New Roman" w:hAnsi="Times New Roman"/>
          <w:color w:val="auto"/>
        </w:rPr>
      </w:pPr>
      <w:bookmarkStart w:id="709" w:name="_Toc492300943"/>
      <w:r>
        <w:rPr>
          <w:rFonts w:hint="eastAsia" w:ascii="Times New Roman" w:hAnsi="Times New Roman"/>
          <w:color w:val="auto"/>
          <w:lang w:eastAsia="zh-CN"/>
        </w:rPr>
        <w:t>三、</w:t>
      </w:r>
      <w:r>
        <w:rPr>
          <w:rFonts w:ascii="Times New Roman" w:hAnsi="Times New Roman"/>
          <w:color w:val="auto"/>
        </w:rPr>
        <w:t>法定代表人身份证明</w:t>
      </w:r>
      <w:bookmarkEnd w:id="709"/>
      <w:r>
        <w:rPr>
          <w:rFonts w:hint="eastAsia" w:ascii="Times New Roman" w:hAnsi="Times New Roman"/>
          <w:color w:val="auto"/>
          <w:lang w:val="en-US" w:eastAsia="zh-CN"/>
        </w:rPr>
        <w:t>及</w:t>
      </w:r>
      <w:r>
        <w:rPr>
          <w:rFonts w:hint="eastAsia" w:ascii="Times New Roman" w:hAnsi="Times New Roman"/>
          <w:color w:val="auto"/>
        </w:rPr>
        <w:t>授权委托书</w:t>
      </w:r>
    </w:p>
    <w:p>
      <w:pPr>
        <w:pStyle w:val="5"/>
        <w:tabs>
          <w:tab w:val="left" w:pos="2362"/>
        </w:tabs>
        <w:jc w:val="left"/>
        <w:rPr>
          <w:rFonts w:hint="eastAsia" w:ascii="Times New Roman" w:hAnsi="Times New Roman" w:eastAsia="黑体"/>
          <w:color w:val="auto"/>
          <w:lang w:val="en-US" w:eastAsia="zh-CN"/>
        </w:rPr>
      </w:pPr>
      <w:r>
        <w:rPr>
          <w:rFonts w:hint="eastAsia" w:ascii="Times New Roman" w:hAnsi="Times New Roman"/>
          <w:color w:val="auto"/>
          <w:lang w:val="en-US" w:eastAsia="zh-CN"/>
        </w:rPr>
        <w:tab/>
      </w:r>
      <w:r>
        <w:rPr>
          <w:rFonts w:hint="eastAsia" w:ascii="Times New Roman" w:hAnsi="Times New Roman"/>
          <w:color w:val="auto"/>
          <w:lang w:val="en-US" w:eastAsia="zh-CN"/>
        </w:rPr>
        <w:t>（一）</w:t>
      </w:r>
      <w:r>
        <w:rPr>
          <w:rFonts w:ascii="Times New Roman" w:hAnsi="Times New Roman"/>
          <w:color w:val="auto"/>
        </w:rPr>
        <w:t>法定代表人身份证明</w:t>
      </w:r>
    </w:p>
    <w:p>
      <w:pPr>
        <w:spacing w:line="440" w:lineRule="exact"/>
        <w:rPr>
          <w:rFonts w:ascii="Times New Roman" w:hAnsi="Times New Roman"/>
          <w:color w:val="auto"/>
          <w:sz w:val="20"/>
        </w:rPr>
      </w:pPr>
    </w:p>
    <w:p>
      <w:pPr>
        <w:spacing w:line="440" w:lineRule="exact"/>
        <w:rPr>
          <w:rFonts w:ascii="Times New Roman" w:hAnsi="Times New Roman"/>
          <w:color w:val="auto"/>
        </w:rPr>
      </w:pPr>
    </w:p>
    <w:p>
      <w:pPr>
        <w:spacing w:line="440" w:lineRule="exact"/>
        <w:rPr>
          <w:rFonts w:ascii="Times New Roman" w:hAnsi="Times New Roman"/>
          <w:color w:val="auto"/>
        </w:rPr>
      </w:pPr>
      <w:r>
        <w:rPr>
          <w:rFonts w:ascii="Times New Roman" w:hAnsi="Times New Roman"/>
          <w:color w:val="auto"/>
        </w:rPr>
        <w:t>投标人名称：</w:t>
      </w:r>
      <w:r>
        <w:rPr>
          <w:rFonts w:ascii="Times New Roman" w:hAnsi="Times New Roman"/>
          <w:color w:val="auto"/>
          <w:u w:val="single"/>
        </w:rPr>
        <w:t xml:space="preserve">                        </w:t>
      </w:r>
    </w:p>
    <w:p>
      <w:pPr>
        <w:spacing w:line="440" w:lineRule="exact"/>
        <w:rPr>
          <w:rFonts w:ascii="Times New Roman" w:hAnsi="Times New Roman"/>
          <w:color w:val="auto"/>
        </w:rPr>
      </w:pPr>
      <w:r>
        <w:rPr>
          <w:rFonts w:ascii="Times New Roman" w:hAnsi="Times New Roman"/>
          <w:color w:val="auto"/>
        </w:rPr>
        <w:t>姓名：</w:t>
      </w:r>
      <w:r>
        <w:rPr>
          <w:rFonts w:ascii="Times New Roman" w:hAnsi="Times New Roman"/>
          <w:color w:val="auto"/>
          <w:u w:val="single"/>
        </w:rPr>
        <w:t xml:space="preserve">                </w:t>
      </w:r>
      <w:r>
        <w:rPr>
          <w:rFonts w:ascii="Times New Roman" w:hAnsi="Times New Roman"/>
          <w:color w:val="auto"/>
        </w:rPr>
        <w:t>性别：</w:t>
      </w:r>
      <w:bookmarkStart w:id="710" w:name="_Toc27897"/>
      <w:bookmarkStart w:id="711" w:name="_Toc369531698"/>
      <w:bookmarkStart w:id="712" w:name="_Toc352691662"/>
      <w:r>
        <w:rPr>
          <w:rFonts w:ascii="Times New Roman" w:hAnsi="Times New Roman"/>
          <w:color w:val="auto"/>
          <w:u w:val="single"/>
        </w:rPr>
        <w:t xml:space="preserve">        </w:t>
      </w:r>
      <w:r>
        <w:rPr>
          <w:rFonts w:ascii="Times New Roman" w:hAnsi="Times New Roman"/>
          <w:color w:val="auto"/>
        </w:rPr>
        <w:t>年</w:t>
      </w:r>
      <w:bookmarkEnd w:id="710"/>
      <w:bookmarkEnd w:id="711"/>
      <w:bookmarkEnd w:id="712"/>
      <w:r>
        <w:rPr>
          <w:rFonts w:ascii="Times New Roman" w:hAnsi="Times New Roman"/>
          <w:color w:val="auto"/>
        </w:rPr>
        <w:t>龄</w:t>
      </w:r>
      <w:bookmarkStart w:id="713" w:name="_Toc247514248"/>
      <w:bookmarkStart w:id="714" w:name="_Toc384308377"/>
      <w:bookmarkStart w:id="715" w:name="_Toc247527829"/>
      <w:bookmarkStart w:id="716" w:name="_Toc144974858"/>
      <w:bookmarkStart w:id="717" w:name="_Toc152042578"/>
      <w:bookmarkStart w:id="718" w:name="_Toc15573"/>
      <w:bookmarkStart w:id="719" w:name="_Toc300835211"/>
      <w:bookmarkStart w:id="720" w:name="_Toc152045789"/>
      <w:bookmarkStart w:id="721" w:name="_Toc369531699"/>
      <w:bookmarkStart w:id="722" w:name="_Toc361508754"/>
      <w:bookmarkStart w:id="723" w:name="_Toc352691663"/>
      <w:r>
        <w:rPr>
          <w:rFonts w:ascii="Times New Roman" w:hAnsi="Times New Roman"/>
          <w:color w:val="auto"/>
        </w:rPr>
        <w:t>：</w:t>
      </w:r>
      <w:bookmarkEnd w:id="713"/>
      <w:bookmarkEnd w:id="714"/>
      <w:bookmarkEnd w:id="715"/>
      <w:bookmarkEnd w:id="716"/>
      <w:bookmarkEnd w:id="717"/>
      <w:bookmarkEnd w:id="718"/>
      <w:bookmarkEnd w:id="719"/>
      <w:bookmarkEnd w:id="720"/>
      <w:bookmarkEnd w:id="721"/>
      <w:bookmarkEnd w:id="722"/>
      <w:bookmarkEnd w:id="723"/>
      <w:r>
        <w:rPr>
          <w:rFonts w:ascii="Times New Roman" w:hAnsi="Times New Roman"/>
          <w:color w:val="auto"/>
          <w:u w:val="single"/>
        </w:rPr>
        <w:t xml:space="preserve">        </w:t>
      </w:r>
      <w:r>
        <w:rPr>
          <w:rFonts w:ascii="Times New Roman" w:hAnsi="Times New Roman"/>
          <w:color w:val="auto"/>
        </w:rPr>
        <w:t>职务：</w:t>
      </w:r>
      <w:r>
        <w:rPr>
          <w:rFonts w:ascii="Times New Roman" w:hAnsi="Times New Roman"/>
          <w:color w:val="auto"/>
          <w:u w:val="single"/>
        </w:rPr>
        <w:t xml:space="preserve">        </w:t>
      </w:r>
    </w:p>
    <w:p>
      <w:pPr>
        <w:spacing w:line="440" w:lineRule="exact"/>
        <w:rPr>
          <w:rFonts w:ascii="Times New Roman" w:hAnsi="Times New Roman"/>
          <w:color w:val="auto"/>
        </w:rPr>
      </w:pPr>
      <w:r>
        <w:rPr>
          <w:rFonts w:ascii="Times New Roman" w:hAnsi="Times New Roman"/>
          <w:color w:val="auto"/>
        </w:rPr>
        <w:t>系</w:t>
      </w:r>
      <w:r>
        <w:rPr>
          <w:rFonts w:ascii="Times New Roman" w:hAnsi="Times New Roman"/>
          <w:color w:val="auto"/>
          <w:u w:val="single"/>
        </w:rPr>
        <w:t xml:space="preserve">                        </w:t>
      </w:r>
      <w:r>
        <w:rPr>
          <w:rFonts w:ascii="Times New Roman" w:hAnsi="Times New Roman"/>
          <w:color w:val="auto"/>
        </w:rPr>
        <w:t>（投标人名称）的法定代表人。</w:t>
      </w:r>
    </w:p>
    <w:p>
      <w:pPr>
        <w:spacing w:line="440" w:lineRule="exact"/>
        <w:ind w:firstLine="420" w:firstLineChars="200"/>
        <w:rPr>
          <w:rFonts w:ascii="Times New Roman" w:hAnsi="Times New Roman"/>
          <w:color w:val="auto"/>
        </w:rPr>
      </w:pPr>
      <w:r>
        <w:rPr>
          <w:rFonts w:ascii="Times New Roman" w:hAnsi="Times New Roman"/>
          <w:color w:val="auto"/>
        </w:rPr>
        <w:t>特此证明。</w:t>
      </w:r>
    </w:p>
    <w:p>
      <w:pPr>
        <w:spacing w:line="440" w:lineRule="exact"/>
        <w:rPr>
          <w:rFonts w:ascii="Times New Roman" w:hAnsi="Times New Roman"/>
          <w:color w:val="auto"/>
        </w:rPr>
      </w:pPr>
    </w:p>
    <w:p>
      <w:pPr>
        <w:spacing w:line="440" w:lineRule="exact"/>
        <w:rPr>
          <w:rFonts w:ascii="Times New Roman" w:hAnsi="Times New Roman"/>
          <w:color w:val="auto"/>
        </w:rPr>
      </w:pPr>
      <w:r>
        <w:rPr>
          <w:rFonts w:ascii="Times New Roman" w:hAnsi="Times New Roman"/>
          <w:color w:val="auto"/>
        </w:rPr>
        <w:t>附：法定代表人身份证复印件。</w:t>
      </w:r>
    </w:p>
    <w:p>
      <w:pPr>
        <w:spacing w:line="440" w:lineRule="exact"/>
        <w:rPr>
          <w:rFonts w:ascii="Times New Roman" w:hAnsi="Times New Roman"/>
          <w:color w:val="auto"/>
        </w:rPr>
      </w:pPr>
    </w:p>
    <w:p>
      <w:pPr>
        <w:spacing w:line="440" w:lineRule="exact"/>
        <w:rPr>
          <w:rFonts w:ascii="Times New Roman" w:hAnsi="Times New Roman"/>
          <w:color w:val="auto"/>
        </w:rPr>
      </w:pPr>
      <w:r>
        <w:rPr>
          <w:rFonts w:ascii="Times New Roman" w:hAnsi="Times New Roman"/>
          <w:color w:val="auto"/>
        </w:rPr>
        <w:t>注：本身份证明需由投标人加盖单位公章。</w:t>
      </w:r>
    </w:p>
    <w:p>
      <w:pPr>
        <w:spacing w:line="440" w:lineRule="exact"/>
        <w:rPr>
          <w:rFonts w:ascii="Times New Roman" w:hAnsi="Times New Roman"/>
          <w:color w:val="auto"/>
        </w:rPr>
      </w:pPr>
    </w:p>
    <w:p>
      <w:pPr>
        <w:spacing w:line="440" w:lineRule="exact"/>
        <w:rPr>
          <w:rFonts w:ascii="Times New Roman" w:hAnsi="Times New Roman"/>
          <w:color w:val="auto"/>
        </w:rPr>
      </w:pPr>
    </w:p>
    <w:p>
      <w:pPr>
        <w:spacing w:line="440" w:lineRule="exact"/>
        <w:jc w:val="center"/>
        <w:rPr>
          <w:rFonts w:ascii="Times New Roman" w:hAnsi="Times New Roman"/>
          <w:color w:val="auto"/>
        </w:rPr>
      </w:pPr>
      <w:r>
        <w:rPr>
          <w:rFonts w:ascii="Times New Roman" w:hAnsi="Times New Roman"/>
          <w:color w:val="auto"/>
        </w:rPr>
        <w:t xml:space="preserve">                              投标人：</w:t>
      </w:r>
      <w:r>
        <w:rPr>
          <w:rFonts w:ascii="Times New Roman" w:hAnsi="Times New Roman"/>
          <w:color w:val="auto"/>
          <w:szCs w:val="21"/>
          <w:u w:val="single"/>
        </w:rPr>
        <w:t xml:space="preserve">          </w:t>
      </w:r>
      <w:r>
        <w:rPr>
          <w:rFonts w:ascii="Times New Roman" w:hAnsi="Times New Roman"/>
          <w:color w:val="auto"/>
          <w:szCs w:val="21"/>
          <w:u w:val="single"/>
        </w:rPr>
        <w:tab/>
      </w:r>
      <w:r>
        <w:rPr>
          <w:rFonts w:ascii="Times New Roman" w:hAnsi="Times New Roman"/>
          <w:color w:val="auto"/>
        </w:rPr>
        <w:t>（</w:t>
      </w:r>
      <w:r>
        <w:rPr>
          <w:rFonts w:hint="eastAsia" w:ascii="Times New Roman" w:hAnsi="Times New Roman"/>
          <w:color w:val="auto"/>
        </w:rPr>
        <w:t>盖</w:t>
      </w:r>
      <w:r>
        <w:rPr>
          <w:rFonts w:ascii="Times New Roman" w:hAnsi="Times New Roman"/>
          <w:color w:val="auto"/>
        </w:rPr>
        <w:t>单位</w:t>
      </w:r>
      <w:r>
        <w:rPr>
          <w:rFonts w:hint="eastAsia" w:ascii="Times New Roman" w:hAnsi="Times New Roman"/>
          <w:color w:val="auto"/>
        </w:rPr>
        <w:t>章</w:t>
      </w:r>
      <w:r>
        <w:rPr>
          <w:rFonts w:ascii="Times New Roman" w:hAnsi="Times New Roman"/>
          <w:color w:val="auto"/>
        </w:rPr>
        <w:t>）</w:t>
      </w:r>
    </w:p>
    <w:p>
      <w:pPr>
        <w:spacing w:line="440" w:lineRule="exact"/>
        <w:rPr>
          <w:rFonts w:ascii="Times New Roman" w:hAnsi="Times New Roman"/>
          <w:color w:val="auto"/>
        </w:rPr>
      </w:pPr>
    </w:p>
    <w:p>
      <w:pPr>
        <w:spacing w:line="440" w:lineRule="exact"/>
        <w:ind w:firstLine="4620" w:firstLineChars="2200"/>
        <w:rPr>
          <w:rFonts w:ascii="Times New Roman" w:hAnsi="Times New Roman"/>
          <w:color w:val="auto"/>
        </w:rPr>
      </w:pPr>
      <w:r>
        <w:rPr>
          <w:rFonts w:ascii="Times New Roman" w:hAnsi="Times New Roman"/>
          <w:color w:val="auto"/>
          <w:u w:val="single"/>
        </w:rPr>
        <w:t xml:space="preserve">      </w:t>
      </w:r>
      <w:r>
        <w:rPr>
          <w:rFonts w:ascii="Times New Roman" w:hAnsi="Times New Roman"/>
          <w:color w:val="auto"/>
        </w:rPr>
        <w:t>年</w:t>
      </w:r>
      <w:r>
        <w:rPr>
          <w:rFonts w:ascii="Times New Roman" w:hAnsi="Times New Roman"/>
          <w:color w:val="auto"/>
          <w:u w:val="single"/>
        </w:rPr>
        <w:t xml:space="preserve">      </w:t>
      </w:r>
      <w:r>
        <w:rPr>
          <w:rFonts w:ascii="Times New Roman" w:hAnsi="Times New Roman"/>
          <w:color w:val="auto"/>
        </w:rPr>
        <w:t>月</w:t>
      </w:r>
      <w:r>
        <w:rPr>
          <w:rFonts w:ascii="Times New Roman" w:hAnsi="Times New Roman"/>
          <w:color w:val="auto"/>
          <w:u w:val="single"/>
        </w:rPr>
        <w:t xml:space="preserve">      </w:t>
      </w:r>
      <w:r>
        <w:rPr>
          <w:rFonts w:ascii="Times New Roman" w:hAnsi="Times New Roman"/>
          <w:color w:val="auto"/>
        </w:rPr>
        <w:t>日</w:t>
      </w:r>
    </w:p>
    <w:p>
      <w:pPr>
        <w:spacing w:line="440" w:lineRule="exact"/>
        <w:rPr>
          <w:rFonts w:ascii="Times New Roman" w:hAnsi="Times New Roman" w:eastAsia="黑体"/>
          <w:color w:val="auto"/>
          <w:sz w:val="20"/>
        </w:rPr>
      </w:pPr>
    </w:p>
    <w:p>
      <w:pPr>
        <w:spacing w:line="440" w:lineRule="exact"/>
        <w:jc w:val="center"/>
        <w:rPr>
          <w:rFonts w:ascii="Times New Roman" w:hAnsi="Times New Roman" w:eastAsia="黑体"/>
          <w:color w:val="auto"/>
          <w:sz w:val="20"/>
        </w:rPr>
      </w:pPr>
      <w:r>
        <w:rPr>
          <w:rFonts w:ascii="Times New Roman" w:hAnsi="Times New Roman" w:eastAsia="黑体"/>
          <w:color w:val="auto"/>
          <w:sz w:val="20"/>
        </w:rPr>
        <w:br w:type="page"/>
      </w:r>
    </w:p>
    <w:p>
      <w:pPr>
        <w:pStyle w:val="5"/>
        <w:jc w:val="center"/>
        <w:rPr>
          <w:rFonts w:ascii="Times New Roman" w:hAnsi="Times New Roman"/>
          <w:color w:val="auto"/>
        </w:rPr>
      </w:pPr>
      <w:bookmarkStart w:id="724" w:name="_Toc492300944"/>
      <w:r>
        <w:rPr>
          <w:rFonts w:hint="eastAsia" w:ascii="Times New Roman" w:hAnsi="Times New Roman"/>
          <w:color w:val="auto"/>
          <w:lang w:eastAsia="zh-CN"/>
        </w:rPr>
        <w:t>（</w:t>
      </w:r>
      <w:r>
        <w:rPr>
          <w:rFonts w:hint="eastAsia" w:ascii="Times New Roman" w:hAnsi="Times New Roman"/>
          <w:color w:val="auto"/>
          <w:lang w:val="en-US" w:eastAsia="zh-CN"/>
        </w:rPr>
        <w:t>二</w:t>
      </w:r>
      <w:r>
        <w:rPr>
          <w:rFonts w:hint="eastAsia" w:ascii="Times New Roman" w:hAnsi="Times New Roman"/>
          <w:color w:val="auto"/>
          <w:lang w:eastAsia="zh-CN"/>
        </w:rPr>
        <w:t>）</w:t>
      </w:r>
      <w:r>
        <w:rPr>
          <w:rFonts w:hint="eastAsia" w:ascii="Times New Roman" w:hAnsi="Times New Roman"/>
          <w:color w:val="auto"/>
        </w:rPr>
        <w:t>授权委托书</w:t>
      </w:r>
      <w:bookmarkEnd w:id="724"/>
    </w:p>
    <w:p>
      <w:pPr>
        <w:spacing w:line="440" w:lineRule="exact"/>
        <w:rPr>
          <w:rFonts w:ascii="Times New Roman" w:hAnsi="Times New Roman" w:eastAsia="黑体"/>
          <w:color w:val="auto"/>
        </w:rPr>
      </w:pPr>
    </w:p>
    <w:p>
      <w:pPr>
        <w:topLinePunct/>
        <w:spacing w:line="440" w:lineRule="exact"/>
        <w:ind w:firstLine="420" w:firstLineChars="200"/>
        <w:rPr>
          <w:rFonts w:ascii="Times New Roman" w:hAnsi="Times New Roman"/>
          <w:color w:val="auto"/>
        </w:rPr>
      </w:pPr>
      <w:r>
        <w:rPr>
          <w:rFonts w:ascii="Times New Roman" w:hAnsi="Times New Roman"/>
          <w:color w:val="auto"/>
        </w:rPr>
        <w:t>本人</w:t>
      </w:r>
      <w:r>
        <w:rPr>
          <w:rFonts w:ascii="Times New Roman" w:hAnsi="Times New Roman"/>
          <w:color w:val="auto"/>
          <w:u w:val="single"/>
        </w:rPr>
        <w:t xml:space="preserve">              </w:t>
      </w:r>
      <w:r>
        <w:rPr>
          <w:rFonts w:ascii="Times New Roman" w:hAnsi="Times New Roman"/>
          <w:color w:val="auto"/>
        </w:rPr>
        <w:t>（姓名）系</w:t>
      </w:r>
      <w:r>
        <w:rPr>
          <w:rFonts w:ascii="Times New Roman" w:hAnsi="Times New Roman"/>
          <w:color w:val="auto"/>
          <w:u w:val="single"/>
        </w:rPr>
        <w:t xml:space="preserve">                    </w:t>
      </w:r>
      <w:r>
        <w:rPr>
          <w:rFonts w:ascii="Times New Roman" w:hAnsi="Times New Roman"/>
          <w:color w:val="auto"/>
        </w:rPr>
        <w:t>（投标人名称）的法定代表人，现委托</w:t>
      </w:r>
      <w:r>
        <w:rPr>
          <w:rFonts w:ascii="Times New Roman" w:hAnsi="Times New Roman"/>
          <w:color w:val="auto"/>
          <w:u w:val="single"/>
        </w:rPr>
        <w:t xml:space="preserve">            </w:t>
      </w:r>
      <w:r>
        <w:rPr>
          <w:rFonts w:ascii="Times New Roman" w:hAnsi="Times New Roman"/>
          <w:color w:val="auto"/>
        </w:rPr>
        <w:t>（姓名）为我方代理人。代理人根据授权，以我方名义签署、澄清确认、递交、撤回、修改勘察招标项目投标文件、签订合同和处理有关事宜，其法律后果由我方承担。</w:t>
      </w:r>
    </w:p>
    <w:p>
      <w:pPr>
        <w:spacing w:line="440" w:lineRule="exact"/>
        <w:rPr>
          <w:rFonts w:ascii="Times New Roman" w:hAnsi="Times New Roman"/>
          <w:color w:val="auto"/>
        </w:rPr>
      </w:pPr>
      <w:r>
        <w:rPr>
          <w:rFonts w:ascii="Times New Roman" w:hAnsi="Times New Roman"/>
          <w:color w:val="auto"/>
        </w:rPr>
        <w:t>委托期限：</w:t>
      </w:r>
      <w:r>
        <w:rPr>
          <w:rFonts w:ascii="Times New Roman" w:hAnsi="Times New Roman"/>
          <w:color w:val="auto"/>
          <w:u w:val="single"/>
        </w:rPr>
        <w:t xml:space="preserve">                       </w:t>
      </w:r>
      <w:r>
        <w:rPr>
          <w:rFonts w:ascii="Times New Roman" w:hAnsi="Times New Roman"/>
          <w:color w:val="auto"/>
        </w:rPr>
        <w:t>。</w:t>
      </w:r>
    </w:p>
    <w:p>
      <w:pPr>
        <w:spacing w:line="440" w:lineRule="exact"/>
        <w:ind w:firstLine="420" w:firstLineChars="200"/>
        <w:rPr>
          <w:rFonts w:ascii="Times New Roman" w:hAnsi="Times New Roman"/>
          <w:color w:val="auto"/>
        </w:rPr>
      </w:pPr>
      <w:r>
        <w:rPr>
          <w:rFonts w:ascii="Times New Roman" w:hAnsi="Times New Roman"/>
          <w:color w:val="auto"/>
        </w:rPr>
        <w:t>代理人无转委托权。</w:t>
      </w:r>
    </w:p>
    <w:p>
      <w:pPr>
        <w:spacing w:line="440" w:lineRule="exact"/>
        <w:ind w:firstLine="420" w:firstLineChars="200"/>
        <w:rPr>
          <w:rFonts w:ascii="Times New Roman" w:hAnsi="Times New Roman"/>
          <w:color w:val="auto"/>
        </w:rPr>
      </w:pPr>
    </w:p>
    <w:p>
      <w:pPr>
        <w:spacing w:line="440" w:lineRule="exact"/>
        <w:rPr>
          <w:rFonts w:ascii="Times New Roman" w:hAnsi="Times New Roman"/>
          <w:color w:val="auto"/>
        </w:rPr>
      </w:pPr>
      <w:r>
        <w:rPr>
          <w:rFonts w:ascii="Times New Roman" w:hAnsi="Times New Roman"/>
          <w:color w:val="auto"/>
        </w:rPr>
        <w:t>附：法定代表人身份证复印件及委托代理人身份证复印件</w:t>
      </w:r>
    </w:p>
    <w:p>
      <w:pPr>
        <w:spacing w:line="440" w:lineRule="exact"/>
        <w:rPr>
          <w:rFonts w:ascii="Times New Roman" w:hAnsi="Times New Roman"/>
          <w:color w:val="auto"/>
        </w:rPr>
      </w:pPr>
    </w:p>
    <w:p>
      <w:pPr>
        <w:spacing w:line="440" w:lineRule="exact"/>
        <w:rPr>
          <w:rFonts w:ascii="Times New Roman" w:hAnsi="Times New Roman"/>
          <w:color w:val="auto"/>
        </w:rPr>
      </w:pPr>
      <w:r>
        <w:rPr>
          <w:rFonts w:ascii="Times New Roman" w:hAnsi="Times New Roman"/>
          <w:color w:val="auto"/>
        </w:rPr>
        <w:t>注：本授权委托书需由投标人加盖单位公章并由其法定代表人和委托代理人签字。</w:t>
      </w:r>
    </w:p>
    <w:p>
      <w:pPr>
        <w:spacing w:line="440" w:lineRule="exact"/>
        <w:rPr>
          <w:rFonts w:ascii="Times New Roman" w:hAnsi="Times New Roman"/>
          <w:color w:val="auto"/>
        </w:rPr>
      </w:pPr>
    </w:p>
    <w:p>
      <w:pPr>
        <w:spacing w:line="440" w:lineRule="exact"/>
        <w:ind w:firstLine="2692" w:firstLineChars="1282"/>
        <w:rPr>
          <w:rFonts w:ascii="Times New Roman" w:hAnsi="Times New Roman"/>
          <w:color w:val="auto"/>
        </w:rPr>
      </w:pPr>
      <w:r>
        <w:rPr>
          <w:rFonts w:ascii="Times New Roman" w:hAnsi="Times New Roman"/>
          <w:color w:val="auto"/>
        </w:rPr>
        <w:t>投  标  人：</w:t>
      </w:r>
      <w:r>
        <w:rPr>
          <w:rFonts w:ascii="Times New Roman" w:hAnsi="Times New Roman"/>
          <w:color w:val="auto"/>
          <w:szCs w:val="21"/>
          <w:u w:val="single"/>
        </w:rPr>
        <w:tab/>
      </w:r>
      <w:r>
        <w:rPr>
          <w:rFonts w:ascii="Times New Roman" w:hAnsi="Times New Roman"/>
          <w:color w:val="auto"/>
          <w:szCs w:val="21"/>
          <w:u w:val="single"/>
        </w:rPr>
        <w:tab/>
      </w:r>
      <w:r>
        <w:rPr>
          <w:rFonts w:ascii="Times New Roman" w:hAnsi="Times New Roman"/>
          <w:color w:val="auto"/>
          <w:szCs w:val="21"/>
          <w:u w:val="single"/>
        </w:rPr>
        <w:tab/>
      </w:r>
      <w:r>
        <w:rPr>
          <w:rFonts w:ascii="Times New Roman" w:hAnsi="Times New Roman"/>
          <w:color w:val="auto"/>
          <w:szCs w:val="21"/>
          <w:u w:val="single"/>
        </w:rPr>
        <w:t xml:space="preserve">                   </w:t>
      </w:r>
      <w:r>
        <w:rPr>
          <w:rFonts w:ascii="Times New Roman" w:hAnsi="Times New Roman"/>
          <w:color w:val="auto"/>
          <w:szCs w:val="21"/>
          <w:u w:val="single"/>
        </w:rPr>
        <w:tab/>
      </w:r>
      <w:r>
        <w:rPr>
          <w:rFonts w:ascii="Times New Roman" w:hAnsi="Times New Roman"/>
          <w:color w:val="auto"/>
        </w:rPr>
        <w:t>（</w:t>
      </w:r>
      <w:r>
        <w:rPr>
          <w:rFonts w:hint="eastAsia" w:ascii="Times New Roman" w:hAnsi="Times New Roman"/>
          <w:color w:val="auto"/>
        </w:rPr>
        <w:t>盖</w:t>
      </w:r>
      <w:r>
        <w:rPr>
          <w:rFonts w:ascii="Times New Roman" w:hAnsi="Times New Roman"/>
          <w:color w:val="auto"/>
        </w:rPr>
        <w:t>单位</w:t>
      </w:r>
      <w:r>
        <w:rPr>
          <w:rFonts w:hint="eastAsia" w:ascii="Times New Roman" w:hAnsi="Times New Roman"/>
          <w:color w:val="auto"/>
        </w:rPr>
        <w:t>章</w:t>
      </w:r>
      <w:r>
        <w:rPr>
          <w:rFonts w:ascii="Times New Roman" w:hAnsi="Times New Roman"/>
          <w:color w:val="auto"/>
        </w:rPr>
        <w:t>）</w:t>
      </w:r>
    </w:p>
    <w:p>
      <w:pPr>
        <w:spacing w:line="440" w:lineRule="exact"/>
        <w:ind w:firstLine="2692" w:firstLineChars="1282"/>
        <w:rPr>
          <w:rFonts w:ascii="Times New Roman" w:hAnsi="Times New Roman"/>
          <w:color w:val="auto"/>
        </w:rPr>
      </w:pPr>
    </w:p>
    <w:p>
      <w:pPr>
        <w:spacing w:line="440" w:lineRule="exact"/>
        <w:ind w:firstLine="2690" w:firstLineChars="1281"/>
        <w:jc w:val="left"/>
        <w:rPr>
          <w:rFonts w:ascii="Times New Roman" w:hAnsi="Times New Roman"/>
          <w:color w:val="auto"/>
        </w:rPr>
      </w:pPr>
      <w:r>
        <w:rPr>
          <w:rFonts w:ascii="Times New Roman" w:hAnsi="Times New Roman"/>
          <w:color w:val="auto"/>
        </w:rPr>
        <w:t>法定代表人：</w:t>
      </w:r>
      <w:r>
        <w:rPr>
          <w:rFonts w:ascii="Times New Roman" w:hAnsi="Times New Roman"/>
          <w:color w:val="auto"/>
          <w:szCs w:val="21"/>
          <w:u w:val="single"/>
        </w:rPr>
        <w:tab/>
      </w:r>
      <w:r>
        <w:rPr>
          <w:rFonts w:ascii="Times New Roman" w:hAnsi="Times New Roman"/>
          <w:color w:val="auto"/>
          <w:szCs w:val="21"/>
          <w:u w:val="single"/>
        </w:rPr>
        <w:tab/>
      </w:r>
      <w:r>
        <w:rPr>
          <w:rFonts w:ascii="Times New Roman" w:hAnsi="Times New Roman"/>
          <w:color w:val="auto"/>
          <w:szCs w:val="21"/>
          <w:u w:val="single"/>
        </w:rPr>
        <w:tab/>
      </w:r>
      <w:r>
        <w:rPr>
          <w:rFonts w:ascii="Times New Roman" w:hAnsi="Times New Roman"/>
          <w:color w:val="auto"/>
          <w:szCs w:val="21"/>
          <w:u w:val="single"/>
        </w:rPr>
        <w:t xml:space="preserve">        </w:t>
      </w:r>
      <w:r>
        <w:rPr>
          <w:rFonts w:ascii="Times New Roman" w:hAnsi="Times New Roman"/>
          <w:color w:val="auto"/>
          <w:szCs w:val="21"/>
          <w:u w:val="single"/>
        </w:rPr>
        <w:tab/>
      </w:r>
      <w:r>
        <w:rPr>
          <w:rFonts w:ascii="Times New Roman" w:hAnsi="Times New Roman"/>
          <w:color w:val="auto"/>
        </w:rPr>
        <w:t>（签字）</w:t>
      </w:r>
    </w:p>
    <w:p>
      <w:pPr>
        <w:spacing w:line="440" w:lineRule="exact"/>
        <w:ind w:firstLine="2692" w:firstLineChars="1282"/>
        <w:rPr>
          <w:rFonts w:ascii="Times New Roman" w:hAnsi="Times New Roman"/>
          <w:color w:val="auto"/>
        </w:rPr>
      </w:pPr>
    </w:p>
    <w:p>
      <w:pPr>
        <w:spacing w:line="440" w:lineRule="exact"/>
        <w:ind w:firstLine="2692" w:firstLineChars="1282"/>
        <w:rPr>
          <w:rFonts w:ascii="Times New Roman" w:hAnsi="Times New Roman"/>
          <w:color w:val="auto"/>
        </w:rPr>
      </w:pPr>
      <w:r>
        <w:rPr>
          <w:rFonts w:ascii="Times New Roman" w:hAnsi="Times New Roman"/>
          <w:color w:val="auto"/>
        </w:rPr>
        <w:t>身份证号码：</w:t>
      </w:r>
      <w:r>
        <w:rPr>
          <w:rFonts w:ascii="Times New Roman" w:hAnsi="Times New Roman"/>
          <w:color w:val="auto"/>
          <w:szCs w:val="21"/>
          <w:u w:val="single"/>
        </w:rPr>
        <w:tab/>
      </w:r>
      <w:r>
        <w:rPr>
          <w:rFonts w:ascii="Times New Roman" w:hAnsi="Times New Roman"/>
          <w:color w:val="auto"/>
          <w:szCs w:val="21"/>
          <w:u w:val="single"/>
        </w:rPr>
        <w:tab/>
      </w:r>
      <w:r>
        <w:rPr>
          <w:rFonts w:ascii="Times New Roman" w:hAnsi="Times New Roman"/>
          <w:color w:val="auto"/>
          <w:szCs w:val="21"/>
          <w:u w:val="single"/>
        </w:rPr>
        <w:tab/>
      </w:r>
      <w:r>
        <w:rPr>
          <w:rFonts w:ascii="Times New Roman" w:hAnsi="Times New Roman"/>
          <w:color w:val="auto"/>
          <w:szCs w:val="21"/>
          <w:u w:val="single"/>
        </w:rPr>
        <w:t xml:space="preserve">                            </w:t>
      </w:r>
      <w:r>
        <w:rPr>
          <w:rFonts w:ascii="Times New Roman" w:hAnsi="Times New Roman"/>
          <w:color w:val="auto"/>
          <w:szCs w:val="21"/>
          <w:u w:val="single"/>
        </w:rPr>
        <w:tab/>
      </w:r>
    </w:p>
    <w:p>
      <w:pPr>
        <w:spacing w:line="440" w:lineRule="exact"/>
        <w:ind w:firstLine="2692" w:firstLineChars="1282"/>
        <w:rPr>
          <w:rFonts w:ascii="Times New Roman" w:hAnsi="Times New Roman"/>
          <w:color w:val="auto"/>
        </w:rPr>
      </w:pPr>
    </w:p>
    <w:p>
      <w:pPr>
        <w:spacing w:line="440" w:lineRule="exact"/>
        <w:ind w:firstLine="2692" w:firstLineChars="1282"/>
        <w:rPr>
          <w:rFonts w:ascii="Times New Roman" w:hAnsi="Times New Roman"/>
          <w:color w:val="auto"/>
        </w:rPr>
      </w:pPr>
      <w:r>
        <w:rPr>
          <w:rFonts w:ascii="Times New Roman" w:hAnsi="Times New Roman"/>
          <w:color w:val="auto"/>
        </w:rPr>
        <w:t>委托代理人：</w:t>
      </w:r>
      <w:r>
        <w:rPr>
          <w:rFonts w:ascii="Times New Roman" w:hAnsi="Times New Roman"/>
          <w:color w:val="auto"/>
          <w:szCs w:val="21"/>
          <w:u w:val="single"/>
        </w:rPr>
        <w:tab/>
      </w:r>
      <w:r>
        <w:rPr>
          <w:rFonts w:ascii="Times New Roman" w:hAnsi="Times New Roman"/>
          <w:color w:val="auto"/>
          <w:szCs w:val="21"/>
          <w:u w:val="single"/>
        </w:rPr>
        <w:tab/>
      </w:r>
      <w:r>
        <w:rPr>
          <w:rFonts w:ascii="Times New Roman" w:hAnsi="Times New Roman"/>
          <w:color w:val="auto"/>
          <w:szCs w:val="21"/>
          <w:u w:val="single"/>
        </w:rPr>
        <w:tab/>
      </w:r>
      <w:r>
        <w:rPr>
          <w:rFonts w:ascii="Times New Roman" w:hAnsi="Times New Roman"/>
          <w:color w:val="auto"/>
          <w:szCs w:val="21"/>
          <w:u w:val="single"/>
        </w:rPr>
        <w:t xml:space="preserve">                     </w:t>
      </w:r>
      <w:r>
        <w:rPr>
          <w:rFonts w:ascii="Times New Roman" w:hAnsi="Times New Roman"/>
          <w:color w:val="auto"/>
          <w:szCs w:val="21"/>
          <w:u w:val="single"/>
        </w:rPr>
        <w:tab/>
      </w:r>
      <w:r>
        <w:rPr>
          <w:rFonts w:ascii="Times New Roman" w:hAnsi="Times New Roman"/>
          <w:color w:val="auto"/>
        </w:rPr>
        <w:t>（签字）</w:t>
      </w:r>
    </w:p>
    <w:p>
      <w:pPr>
        <w:spacing w:line="440" w:lineRule="exact"/>
        <w:ind w:firstLine="2692" w:firstLineChars="1282"/>
        <w:rPr>
          <w:rFonts w:ascii="Times New Roman" w:hAnsi="Times New Roman"/>
          <w:color w:val="auto"/>
        </w:rPr>
      </w:pPr>
    </w:p>
    <w:p>
      <w:pPr>
        <w:spacing w:line="440" w:lineRule="exact"/>
        <w:ind w:firstLine="2692" w:firstLineChars="1282"/>
        <w:rPr>
          <w:rFonts w:ascii="Times New Roman" w:hAnsi="Times New Roman"/>
          <w:color w:val="auto"/>
        </w:rPr>
      </w:pPr>
      <w:r>
        <w:rPr>
          <w:rFonts w:ascii="Times New Roman" w:hAnsi="Times New Roman"/>
          <w:color w:val="auto"/>
        </w:rPr>
        <w:t>身份证号码：</w:t>
      </w:r>
      <w:r>
        <w:rPr>
          <w:rFonts w:ascii="Times New Roman" w:hAnsi="Times New Roman"/>
          <w:color w:val="auto"/>
          <w:szCs w:val="21"/>
          <w:u w:val="single"/>
        </w:rPr>
        <w:tab/>
      </w:r>
      <w:r>
        <w:rPr>
          <w:rFonts w:ascii="Times New Roman" w:hAnsi="Times New Roman"/>
          <w:color w:val="auto"/>
          <w:szCs w:val="21"/>
          <w:u w:val="single"/>
        </w:rPr>
        <w:tab/>
      </w:r>
      <w:r>
        <w:rPr>
          <w:rFonts w:ascii="Times New Roman" w:hAnsi="Times New Roman"/>
          <w:color w:val="auto"/>
          <w:szCs w:val="21"/>
          <w:u w:val="single"/>
        </w:rPr>
        <w:tab/>
      </w:r>
      <w:r>
        <w:rPr>
          <w:rFonts w:ascii="Times New Roman" w:hAnsi="Times New Roman"/>
          <w:color w:val="auto"/>
          <w:szCs w:val="21"/>
          <w:u w:val="single"/>
        </w:rPr>
        <w:t xml:space="preserve">                            </w:t>
      </w:r>
      <w:r>
        <w:rPr>
          <w:rFonts w:ascii="Times New Roman" w:hAnsi="Times New Roman"/>
          <w:color w:val="auto"/>
          <w:szCs w:val="21"/>
          <w:u w:val="single"/>
        </w:rPr>
        <w:tab/>
      </w:r>
    </w:p>
    <w:p>
      <w:pPr>
        <w:spacing w:line="440" w:lineRule="exact"/>
        <w:ind w:firstLine="2692" w:firstLineChars="1282"/>
        <w:rPr>
          <w:rFonts w:ascii="Times New Roman" w:hAnsi="Times New Roman"/>
          <w:color w:val="auto"/>
        </w:rPr>
      </w:pPr>
    </w:p>
    <w:p>
      <w:pPr>
        <w:spacing w:line="440" w:lineRule="exact"/>
        <w:ind w:firstLine="2692" w:firstLineChars="1282"/>
        <w:rPr>
          <w:rFonts w:ascii="Times New Roman" w:hAnsi="Times New Roman"/>
          <w:color w:val="auto"/>
        </w:rPr>
      </w:pPr>
    </w:p>
    <w:p>
      <w:pPr>
        <w:spacing w:line="440" w:lineRule="exact"/>
        <w:ind w:firstLine="4057" w:firstLineChars="1932"/>
        <w:jc w:val="right"/>
        <w:rPr>
          <w:rFonts w:ascii="Times New Roman" w:hAnsi="Times New Roman"/>
          <w:color w:val="auto"/>
        </w:rPr>
      </w:pPr>
      <w:r>
        <w:rPr>
          <w:rFonts w:ascii="Times New Roman" w:hAnsi="Times New Roman"/>
          <w:color w:val="auto"/>
          <w:u w:val="single"/>
        </w:rPr>
        <w:t xml:space="preserve">       </w:t>
      </w:r>
      <w:r>
        <w:rPr>
          <w:rFonts w:ascii="Times New Roman" w:hAnsi="Times New Roman"/>
          <w:color w:val="auto"/>
        </w:rPr>
        <w:t>年</w:t>
      </w:r>
      <w:r>
        <w:rPr>
          <w:rFonts w:ascii="Times New Roman" w:hAnsi="Times New Roman"/>
          <w:color w:val="auto"/>
          <w:u w:val="single"/>
        </w:rPr>
        <w:t xml:space="preserve">       </w:t>
      </w:r>
      <w:r>
        <w:rPr>
          <w:rFonts w:ascii="Times New Roman" w:hAnsi="Times New Roman"/>
          <w:color w:val="auto"/>
        </w:rPr>
        <w:t>月</w:t>
      </w:r>
      <w:r>
        <w:rPr>
          <w:rFonts w:ascii="Times New Roman" w:hAnsi="Times New Roman"/>
          <w:color w:val="auto"/>
          <w:u w:val="single"/>
        </w:rPr>
        <w:t xml:space="preserve">       </w:t>
      </w:r>
      <w:r>
        <w:rPr>
          <w:rFonts w:ascii="Times New Roman" w:hAnsi="Times New Roman"/>
          <w:color w:val="auto"/>
        </w:rPr>
        <w:t>日</w:t>
      </w:r>
    </w:p>
    <w:p>
      <w:pPr>
        <w:spacing w:line="440" w:lineRule="exact"/>
        <w:ind w:firstLine="4057" w:firstLineChars="1932"/>
        <w:jc w:val="right"/>
        <w:rPr>
          <w:rFonts w:ascii="Times New Roman" w:hAnsi="Times New Roman"/>
          <w:color w:val="auto"/>
        </w:rPr>
      </w:pPr>
      <w:r>
        <w:rPr>
          <w:rFonts w:ascii="Times New Roman" w:hAnsi="Times New Roman"/>
          <w:color w:val="auto"/>
        </w:rPr>
        <w:br w:type="page"/>
      </w:r>
    </w:p>
    <w:p>
      <w:pPr>
        <w:pStyle w:val="5"/>
        <w:jc w:val="center"/>
        <w:rPr>
          <w:rFonts w:ascii="Times New Roman" w:hAnsi="Times New Roman"/>
          <w:color w:val="auto"/>
        </w:rPr>
      </w:pPr>
      <w:bookmarkStart w:id="725" w:name="_Toc492300945"/>
      <w:r>
        <w:rPr>
          <w:rFonts w:hint="eastAsia" w:ascii="Times New Roman" w:hAnsi="Times New Roman"/>
          <w:color w:val="auto"/>
          <w:lang w:eastAsia="zh-CN"/>
        </w:rPr>
        <w:t>四</w:t>
      </w:r>
      <w:r>
        <w:rPr>
          <w:rFonts w:hint="eastAsia" w:ascii="Times New Roman" w:hAnsi="Times New Roman"/>
          <w:color w:val="auto"/>
        </w:rPr>
        <w:t>、联合体协议书</w:t>
      </w:r>
      <w:bookmarkEnd w:id="725"/>
    </w:p>
    <w:p>
      <w:pPr>
        <w:topLinePunct/>
        <w:spacing w:line="440" w:lineRule="exact"/>
        <w:ind w:firstLine="420" w:firstLineChars="200"/>
        <w:rPr>
          <w:rFonts w:ascii="Times New Roman" w:hAnsi="Times New Roman"/>
          <w:color w:val="auto"/>
        </w:rPr>
      </w:pPr>
      <w:r>
        <w:rPr>
          <w:rFonts w:ascii="Times New Roman" w:hAnsi="Times New Roman"/>
          <w:color w:val="auto"/>
          <w:u w:val="single"/>
        </w:rPr>
        <w:t xml:space="preserve">                </w:t>
      </w:r>
      <w:r>
        <w:rPr>
          <w:rFonts w:ascii="Times New Roman" w:hAnsi="Times New Roman"/>
          <w:color w:val="auto"/>
        </w:rPr>
        <w:t>（所有成员单位名称）自愿组成</w:t>
      </w:r>
      <w:r>
        <w:rPr>
          <w:rFonts w:ascii="Times New Roman" w:hAnsi="Times New Roman"/>
          <w:color w:val="auto"/>
          <w:u w:val="single"/>
        </w:rPr>
        <w:t xml:space="preserve">        </w:t>
      </w:r>
      <w:r>
        <w:rPr>
          <w:rFonts w:ascii="Times New Roman" w:hAnsi="Times New Roman"/>
          <w:color w:val="auto"/>
        </w:rPr>
        <w:t>（联合体名称）联合体，共同参加</w:t>
      </w:r>
      <w:r>
        <w:rPr>
          <w:rFonts w:ascii="Times New Roman" w:hAnsi="Times New Roman"/>
          <w:color w:val="auto"/>
          <w:u w:val="single"/>
        </w:rPr>
        <w:t xml:space="preserve">                 </w:t>
      </w:r>
      <w:r>
        <w:rPr>
          <w:rFonts w:ascii="Times New Roman" w:hAnsi="Times New Roman"/>
          <w:color w:val="auto"/>
        </w:rPr>
        <w:t>（项目名称）勘察招标项目</w:t>
      </w:r>
      <w:r>
        <w:rPr>
          <w:rFonts w:ascii="Times New Roman" w:hAnsi="Times New Roman"/>
          <w:color w:val="auto"/>
          <w:szCs w:val="21"/>
        </w:rPr>
        <w:t>投标。现就联</w:t>
      </w:r>
      <w:r>
        <w:rPr>
          <w:rFonts w:ascii="Times New Roman" w:hAnsi="Times New Roman"/>
          <w:color w:val="auto"/>
        </w:rPr>
        <w:t>合体投标事宜订立如下协议。</w:t>
      </w:r>
    </w:p>
    <w:p>
      <w:pPr>
        <w:topLinePunct/>
        <w:spacing w:line="440" w:lineRule="exact"/>
        <w:ind w:firstLine="420" w:firstLineChars="200"/>
        <w:rPr>
          <w:rFonts w:ascii="Times New Roman" w:hAnsi="Times New Roman"/>
          <w:color w:val="auto"/>
        </w:rPr>
      </w:pPr>
      <w:r>
        <w:rPr>
          <w:rFonts w:ascii="Times New Roman" w:hAnsi="Times New Roman"/>
          <w:color w:val="auto"/>
        </w:rPr>
        <w:t xml:space="preserve">1. </w:t>
      </w:r>
      <w:r>
        <w:rPr>
          <w:rFonts w:ascii="Times New Roman" w:hAnsi="Times New Roman"/>
          <w:color w:val="auto"/>
          <w:u w:val="single"/>
        </w:rPr>
        <w:t xml:space="preserve">                  </w:t>
      </w:r>
      <w:r>
        <w:rPr>
          <w:rFonts w:ascii="Times New Roman" w:hAnsi="Times New Roman"/>
          <w:color w:val="auto"/>
        </w:rPr>
        <w:t>（某成员单位名称）为</w:t>
      </w:r>
      <w:r>
        <w:rPr>
          <w:rFonts w:ascii="Times New Roman" w:hAnsi="Times New Roman"/>
          <w:color w:val="auto"/>
          <w:u w:val="single"/>
        </w:rPr>
        <w:t xml:space="preserve">        </w:t>
      </w:r>
      <w:r>
        <w:rPr>
          <w:rFonts w:ascii="Times New Roman" w:hAnsi="Times New Roman"/>
          <w:color w:val="auto"/>
        </w:rPr>
        <w:t>（联合体名称）牵头人。</w:t>
      </w:r>
    </w:p>
    <w:p>
      <w:pPr>
        <w:topLinePunct/>
        <w:spacing w:line="440" w:lineRule="exact"/>
        <w:ind w:firstLine="420" w:firstLineChars="200"/>
        <w:rPr>
          <w:rFonts w:ascii="Times New Roman" w:hAnsi="Times New Roman"/>
          <w:color w:val="auto"/>
        </w:rPr>
      </w:pPr>
      <w:r>
        <w:rPr>
          <w:rFonts w:ascii="Times New Roman" w:hAnsi="Times New Roman"/>
          <w:color w:val="auto"/>
        </w:rPr>
        <w:t>2. 联合体各成员授权牵头人代表联合体参加投标活动，签署文件，提交和接收相</w:t>
      </w:r>
      <w:bookmarkStart w:id="726" w:name="_Toc152045790"/>
      <w:bookmarkStart w:id="727" w:name="_Toc384308378"/>
      <w:bookmarkStart w:id="728" w:name="_Toc247527830"/>
      <w:bookmarkStart w:id="729" w:name="_Toc152042579"/>
      <w:bookmarkStart w:id="730" w:name="_Toc247514249"/>
      <w:bookmarkStart w:id="731" w:name="_Toc361508755"/>
      <w:bookmarkStart w:id="732" w:name="_Toc300835212"/>
      <w:bookmarkStart w:id="733" w:name="_Toc144974859"/>
      <w:r>
        <w:rPr>
          <w:rFonts w:ascii="Times New Roman" w:hAnsi="Times New Roman"/>
          <w:color w:val="auto"/>
        </w:rPr>
        <w:t>关的</w:t>
      </w:r>
      <w:bookmarkStart w:id="734" w:name="_Toc7749"/>
      <w:bookmarkStart w:id="735" w:name="_Toc352691664"/>
      <w:bookmarkStart w:id="736" w:name="_Toc369531700"/>
      <w:r>
        <w:rPr>
          <w:rFonts w:ascii="Times New Roman" w:hAnsi="Times New Roman"/>
          <w:color w:val="auto"/>
        </w:rPr>
        <w:t>资料、信息及</w:t>
      </w:r>
      <w:bookmarkEnd w:id="734"/>
      <w:bookmarkEnd w:id="735"/>
      <w:bookmarkEnd w:id="736"/>
      <w:r>
        <w:rPr>
          <w:rFonts w:ascii="Times New Roman" w:hAnsi="Times New Roman"/>
          <w:color w:val="auto"/>
        </w:rPr>
        <w:t>指</w:t>
      </w:r>
      <w:bookmarkEnd w:id="726"/>
      <w:bookmarkEnd w:id="727"/>
      <w:bookmarkEnd w:id="728"/>
      <w:bookmarkEnd w:id="729"/>
      <w:bookmarkEnd w:id="730"/>
      <w:bookmarkEnd w:id="731"/>
      <w:bookmarkEnd w:id="732"/>
      <w:bookmarkEnd w:id="733"/>
      <w:r>
        <w:rPr>
          <w:rFonts w:ascii="Times New Roman" w:hAnsi="Times New Roman"/>
          <w:color w:val="auto"/>
        </w:rPr>
        <w:t>示，进行合同谈判活动，负责合同实施阶段的组织和协调工作，以及处理与本招标项目有关的一切事宜。</w:t>
      </w:r>
    </w:p>
    <w:p>
      <w:pPr>
        <w:topLinePunct/>
        <w:spacing w:line="440" w:lineRule="exact"/>
        <w:ind w:firstLine="420" w:firstLineChars="200"/>
        <w:rPr>
          <w:rFonts w:ascii="Times New Roman" w:hAnsi="Times New Roman"/>
          <w:color w:val="auto"/>
        </w:rPr>
      </w:pPr>
      <w:r>
        <w:rPr>
          <w:rFonts w:ascii="Times New Roman" w:hAnsi="Times New Roman"/>
          <w:color w:val="auto"/>
        </w:rPr>
        <w:t>3</w:t>
      </w:r>
      <w:bookmarkStart w:id="737" w:name="_Toc352691665"/>
      <w:bookmarkStart w:id="738" w:name="_Toc247514283"/>
      <w:bookmarkStart w:id="739" w:name="_Toc361508756"/>
      <w:bookmarkStart w:id="740" w:name="_Toc144974860"/>
      <w:bookmarkStart w:id="741" w:name="_Toc384308380"/>
      <w:bookmarkStart w:id="742" w:name="_Toc300835213"/>
      <w:bookmarkStart w:id="743" w:name="_Toc27930"/>
      <w:bookmarkStart w:id="744" w:name="_Toc247527831"/>
      <w:bookmarkStart w:id="745" w:name="_Toc152045791"/>
      <w:bookmarkStart w:id="746" w:name="_Toc369531701"/>
      <w:bookmarkStart w:id="747" w:name="_Toc152042580"/>
      <w:r>
        <w:rPr>
          <w:rFonts w:ascii="Times New Roman" w:hAnsi="Times New Roman"/>
          <w:color w:val="auto"/>
        </w:rPr>
        <w:t>. 联合体牵头人在本项目中签署的一切文件和处理</w:t>
      </w:r>
      <w:bookmarkEnd w:id="737"/>
      <w:bookmarkEnd w:id="738"/>
      <w:bookmarkEnd w:id="739"/>
      <w:bookmarkEnd w:id="740"/>
      <w:bookmarkEnd w:id="741"/>
      <w:bookmarkEnd w:id="742"/>
      <w:bookmarkEnd w:id="743"/>
      <w:bookmarkEnd w:id="744"/>
      <w:bookmarkEnd w:id="745"/>
      <w:bookmarkEnd w:id="746"/>
      <w:bookmarkEnd w:id="747"/>
      <w:r>
        <w:rPr>
          <w:rFonts w:ascii="Times New Roman" w:hAnsi="Times New Roman"/>
          <w:color w:val="auto"/>
        </w:rPr>
        <w:t>的一切事宜，联合体各成员均予以承认。联合体各成员将严格按照招标文件、投标文件和合同的要求全面履行义务，并向招标人承担连带责任。</w:t>
      </w:r>
    </w:p>
    <w:p>
      <w:pPr>
        <w:topLinePunct/>
        <w:spacing w:line="440" w:lineRule="exact"/>
        <w:ind w:firstLine="420" w:firstLineChars="200"/>
        <w:rPr>
          <w:rFonts w:ascii="Times New Roman" w:hAnsi="Times New Roman"/>
          <w:color w:val="auto"/>
        </w:rPr>
      </w:pPr>
      <w:r>
        <w:rPr>
          <w:rFonts w:ascii="Times New Roman" w:hAnsi="Times New Roman"/>
          <w:color w:val="auto"/>
        </w:rPr>
        <w:t>4. 联合体各成员单位内部的职责分工如下：</w:t>
      </w:r>
      <w:r>
        <w:rPr>
          <w:rFonts w:ascii="Times New Roman" w:hAnsi="Times New Roman"/>
          <w:color w:val="auto"/>
          <w:u w:val="single"/>
        </w:rPr>
        <w:t xml:space="preserve">                                        </w:t>
      </w:r>
      <w:r>
        <w:rPr>
          <w:rFonts w:ascii="Times New Roman" w:hAnsi="Times New Roman"/>
          <w:color w:val="auto"/>
        </w:rPr>
        <w:t>。</w:t>
      </w:r>
    </w:p>
    <w:p>
      <w:pPr>
        <w:topLinePunct/>
        <w:spacing w:line="440" w:lineRule="exact"/>
        <w:ind w:firstLine="420" w:firstLineChars="200"/>
        <w:rPr>
          <w:rFonts w:ascii="Times New Roman" w:hAnsi="Times New Roman"/>
          <w:color w:val="auto"/>
        </w:rPr>
      </w:pPr>
      <w:r>
        <w:rPr>
          <w:rFonts w:ascii="Times New Roman" w:hAnsi="Times New Roman"/>
          <w:color w:val="auto"/>
        </w:rPr>
        <w:t>5. 本协议书自所有成员单位法定代表人或其委托代理人签字或盖单位章之日起生效，</w:t>
      </w:r>
      <w:r>
        <w:rPr>
          <w:rFonts w:ascii="Times New Roman" w:hAnsi="Times New Roman"/>
          <w:color w:val="auto"/>
          <w:szCs w:val="21"/>
        </w:rPr>
        <w:t>合同履行完毕后自动失效</w:t>
      </w:r>
      <w:r>
        <w:rPr>
          <w:rFonts w:ascii="Times New Roman" w:hAnsi="Times New Roman"/>
          <w:color w:val="auto"/>
        </w:rPr>
        <w:t>。</w:t>
      </w:r>
    </w:p>
    <w:p>
      <w:pPr>
        <w:topLinePunct/>
        <w:spacing w:line="440" w:lineRule="exact"/>
        <w:ind w:firstLine="420" w:firstLineChars="200"/>
        <w:rPr>
          <w:rFonts w:ascii="Times New Roman" w:hAnsi="Times New Roman"/>
          <w:color w:val="auto"/>
        </w:rPr>
      </w:pPr>
      <w:r>
        <w:rPr>
          <w:rFonts w:ascii="Times New Roman" w:hAnsi="Times New Roman"/>
          <w:color w:val="auto"/>
        </w:rPr>
        <w:t>6. 本协议书一式</w:t>
      </w:r>
      <w:r>
        <w:rPr>
          <w:rFonts w:ascii="Times New Roman" w:hAnsi="Times New Roman"/>
          <w:color w:val="auto"/>
          <w:u w:val="single"/>
        </w:rPr>
        <w:t xml:space="preserve">    </w:t>
      </w:r>
      <w:r>
        <w:rPr>
          <w:rFonts w:ascii="Times New Roman" w:hAnsi="Times New Roman"/>
          <w:color w:val="auto"/>
        </w:rPr>
        <w:t>份，联合体成员和招标人各执一份。</w:t>
      </w:r>
    </w:p>
    <w:p>
      <w:pPr>
        <w:topLinePunct/>
        <w:spacing w:line="440" w:lineRule="exact"/>
        <w:ind w:firstLine="420" w:firstLineChars="200"/>
        <w:rPr>
          <w:rFonts w:ascii="Times New Roman" w:hAnsi="Times New Roman"/>
          <w:color w:val="auto"/>
        </w:rPr>
      </w:pPr>
    </w:p>
    <w:p>
      <w:pPr>
        <w:topLinePunct/>
        <w:spacing w:line="440" w:lineRule="exact"/>
        <w:ind w:firstLine="420" w:firstLineChars="200"/>
        <w:rPr>
          <w:rFonts w:ascii="Times New Roman" w:hAnsi="Times New Roman"/>
          <w:color w:val="auto"/>
        </w:rPr>
      </w:pPr>
      <w:r>
        <w:rPr>
          <w:rFonts w:ascii="Times New Roman" w:hAnsi="Times New Roman"/>
          <w:color w:val="auto"/>
        </w:rPr>
        <w:t>注：本协议书由法定代表人签字的，应附法定代表人身份证明；由委托代理人签字的，应附授权委托书。</w:t>
      </w:r>
    </w:p>
    <w:p>
      <w:pPr>
        <w:topLinePunct/>
        <w:spacing w:line="440" w:lineRule="exact"/>
        <w:rPr>
          <w:rFonts w:ascii="Times New Roman" w:hAnsi="Times New Roman"/>
          <w:color w:val="auto"/>
        </w:rPr>
      </w:pPr>
    </w:p>
    <w:p>
      <w:pPr>
        <w:topLinePunct/>
        <w:spacing w:line="440" w:lineRule="exact"/>
        <w:ind w:firstLine="2408" w:firstLineChars="1147"/>
        <w:rPr>
          <w:rFonts w:ascii="Times New Roman" w:hAnsi="Times New Roman"/>
          <w:color w:val="auto"/>
        </w:rPr>
      </w:pPr>
      <w:r>
        <w:rPr>
          <w:rFonts w:ascii="Times New Roman" w:hAnsi="Times New Roman"/>
          <w:color w:val="auto"/>
        </w:rPr>
        <w:t>联合体牵头人名称：</w:t>
      </w:r>
      <w:r>
        <w:rPr>
          <w:rFonts w:ascii="Times New Roman" w:hAnsi="Times New Roman"/>
          <w:color w:val="auto"/>
          <w:szCs w:val="21"/>
          <w:u w:val="single"/>
        </w:rPr>
        <w:tab/>
      </w:r>
      <w:r>
        <w:rPr>
          <w:rFonts w:ascii="Times New Roman" w:hAnsi="Times New Roman"/>
          <w:color w:val="auto"/>
          <w:szCs w:val="21"/>
          <w:u w:val="single"/>
        </w:rPr>
        <w:t xml:space="preserve">  </w:t>
      </w:r>
      <w:r>
        <w:rPr>
          <w:rFonts w:ascii="Times New Roman" w:hAnsi="Times New Roman"/>
          <w:color w:val="auto"/>
          <w:szCs w:val="21"/>
          <w:u w:val="single"/>
        </w:rPr>
        <w:tab/>
      </w:r>
      <w:r>
        <w:rPr>
          <w:rFonts w:ascii="Times New Roman" w:hAnsi="Times New Roman"/>
          <w:color w:val="auto"/>
          <w:szCs w:val="21"/>
          <w:u w:val="single"/>
        </w:rPr>
        <w:tab/>
      </w:r>
      <w:r>
        <w:rPr>
          <w:rFonts w:ascii="Times New Roman" w:hAnsi="Times New Roman"/>
          <w:color w:val="auto"/>
          <w:szCs w:val="21"/>
          <w:u w:val="single"/>
        </w:rPr>
        <w:t xml:space="preserve">            </w:t>
      </w:r>
      <w:r>
        <w:rPr>
          <w:rFonts w:ascii="Times New Roman" w:hAnsi="Times New Roman"/>
          <w:color w:val="auto"/>
          <w:szCs w:val="21"/>
          <w:u w:val="single"/>
        </w:rPr>
        <w:tab/>
      </w:r>
      <w:r>
        <w:rPr>
          <w:rFonts w:ascii="Times New Roman" w:hAnsi="Times New Roman"/>
          <w:color w:val="auto"/>
        </w:rPr>
        <w:t>（盖单位章）</w:t>
      </w:r>
    </w:p>
    <w:p>
      <w:pPr>
        <w:topLinePunct/>
        <w:spacing w:line="440" w:lineRule="exact"/>
        <w:ind w:firstLine="2408" w:firstLineChars="1147"/>
        <w:jc w:val="left"/>
        <w:rPr>
          <w:rFonts w:ascii="Times New Roman" w:hAnsi="Times New Roman"/>
          <w:color w:val="auto"/>
        </w:rPr>
      </w:pPr>
      <w:r>
        <w:rPr>
          <w:rFonts w:ascii="Times New Roman" w:hAnsi="Times New Roman"/>
          <w:color w:val="auto"/>
        </w:rPr>
        <w:t>法定代表人或其委托代理人：</w:t>
      </w:r>
      <w:r>
        <w:rPr>
          <w:rFonts w:ascii="Times New Roman" w:hAnsi="Times New Roman"/>
          <w:color w:val="auto"/>
          <w:szCs w:val="21"/>
          <w:u w:val="single"/>
        </w:rPr>
        <w:t xml:space="preserve">         </w:t>
      </w:r>
      <w:r>
        <w:rPr>
          <w:rFonts w:ascii="Times New Roman" w:hAnsi="Times New Roman"/>
          <w:color w:val="auto"/>
          <w:szCs w:val="21"/>
          <w:u w:val="single"/>
        </w:rPr>
        <w:tab/>
      </w:r>
      <w:r>
        <w:rPr>
          <w:rFonts w:ascii="Times New Roman" w:hAnsi="Times New Roman"/>
          <w:color w:val="auto"/>
        </w:rPr>
        <w:t>（签字）</w:t>
      </w:r>
    </w:p>
    <w:p>
      <w:pPr>
        <w:topLinePunct/>
        <w:spacing w:line="440" w:lineRule="exact"/>
        <w:ind w:firstLine="2408" w:firstLineChars="1147"/>
        <w:jc w:val="left"/>
        <w:rPr>
          <w:rFonts w:ascii="Times New Roman" w:hAnsi="Times New Roman"/>
          <w:color w:val="auto"/>
        </w:rPr>
      </w:pPr>
    </w:p>
    <w:p>
      <w:pPr>
        <w:topLinePunct/>
        <w:spacing w:line="440" w:lineRule="exact"/>
        <w:ind w:firstLine="2408" w:firstLineChars="1147"/>
        <w:jc w:val="left"/>
        <w:rPr>
          <w:rFonts w:ascii="Times New Roman" w:hAnsi="Times New Roman"/>
          <w:color w:val="auto"/>
        </w:rPr>
      </w:pPr>
      <w:r>
        <w:rPr>
          <w:rFonts w:ascii="Times New Roman" w:hAnsi="Times New Roman"/>
          <w:color w:val="auto"/>
        </w:rPr>
        <w:t>联合体成员名称：</w:t>
      </w:r>
      <w:r>
        <w:rPr>
          <w:rFonts w:ascii="Times New Roman" w:hAnsi="Times New Roman"/>
          <w:color w:val="auto"/>
          <w:szCs w:val="21"/>
          <w:u w:val="single"/>
        </w:rPr>
        <w:t xml:space="preserve">                          </w:t>
      </w:r>
      <w:r>
        <w:rPr>
          <w:rFonts w:ascii="Times New Roman" w:hAnsi="Times New Roman"/>
          <w:color w:val="auto"/>
          <w:szCs w:val="21"/>
          <w:u w:val="single"/>
        </w:rPr>
        <w:tab/>
      </w:r>
      <w:r>
        <w:rPr>
          <w:rFonts w:ascii="Times New Roman" w:hAnsi="Times New Roman"/>
          <w:color w:val="auto"/>
        </w:rPr>
        <w:t>（盖单位章）</w:t>
      </w:r>
    </w:p>
    <w:p>
      <w:pPr>
        <w:topLinePunct/>
        <w:spacing w:line="440" w:lineRule="exact"/>
        <w:ind w:firstLine="2408" w:firstLineChars="1147"/>
        <w:jc w:val="left"/>
        <w:rPr>
          <w:rFonts w:ascii="Times New Roman" w:hAnsi="Times New Roman"/>
          <w:color w:val="auto"/>
        </w:rPr>
      </w:pPr>
      <w:r>
        <w:rPr>
          <w:rFonts w:ascii="Times New Roman" w:hAnsi="Times New Roman"/>
          <w:color w:val="auto"/>
        </w:rPr>
        <w:t>法定代表人或其委托代理人：</w:t>
      </w:r>
      <w:r>
        <w:rPr>
          <w:rFonts w:ascii="Times New Roman" w:hAnsi="Times New Roman"/>
          <w:color w:val="auto"/>
          <w:szCs w:val="21"/>
          <w:u w:val="single"/>
        </w:rPr>
        <w:t xml:space="preserve">         </w:t>
      </w:r>
      <w:r>
        <w:rPr>
          <w:rFonts w:ascii="Times New Roman" w:hAnsi="Times New Roman"/>
          <w:color w:val="auto"/>
        </w:rPr>
        <w:t>（签字）</w:t>
      </w:r>
    </w:p>
    <w:p>
      <w:pPr>
        <w:topLinePunct/>
        <w:spacing w:line="440" w:lineRule="exact"/>
        <w:ind w:firstLine="2408" w:firstLineChars="1147"/>
        <w:jc w:val="left"/>
        <w:rPr>
          <w:rFonts w:ascii="Times New Roman" w:hAnsi="Times New Roman"/>
          <w:color w:val="auto"/>
        </w:rPr>
      </w:pPr>
    </w:p>
    <w:p>
      <w:pPr>
        <w:topLinePunct/>
        <w:spacing w:line="440" w:lineRule="exact"/>
        <w:ind w:firstLine="2408" w:firstLineChars="1147"/>
        <w:jc w:val="left"/>
        <w:rPr>
          <w:rFonts w:ascii="Times New Roman" w:hAnsi="Times New Roman"/>
          <w:color w:val="auto"/>
        </w:rPr>
      </w:pPr>
      <w:r>
        <w:rPr>
          <w:rFonts w:ascii="Times New Roman" w:hAnsi="Times New Roman"/>
          <w:color w:val="auto"/>
        </w:rPr>
        <w:t>联合体成员名称：</w:t>
      </w:r>
      <w:r>
        <w:rPr>
          <w:rFonts w:ascii="Times New Roman" w:hAnsi="Times New Roman"/>
          <w:color w:val="auto"/>
          <w:szCs w:val="21"/>
          <w:u w:val="single"/>
        </w:rPr>
        <w:t xml:space="preserve">                          </w:t>
      </w:r>
      <w:r>
        <w:rPr>
          <w:rFonts w:ascii="Times New Roman" w:hAnsi="Times New Roman"/>
          <w:color w:val="auto"/>
          <w:szCs w:val="21"/>
          <w:u w:val="single"/>
        </w:rPr>
        <w:tab/>
      </w:r>
      <w:r>
        <w:rPr>
          <w:rFonts w:ascii="Times New Roman" w:hAnsi="Times New Roman"/>
          <w:color w:val="auto"/>
        </w:rPr>
        <w:t>（盖单位章）</w:t>
      </w:r>
    </w:p>
    <w:p>
      <w:pPr>
        <w:topLinePunct/>
        <w:spacing w:line="440" w:lineRule="exact"/>
        <w:ind w:firstLine="2408" w:firstLineChars="1147"/>
        <w:jc w:val="left"/>
        <w:rPr>
          <w:rFonts w:ascii="Times New Roman" w:hAnsi="Times New Roman"/>
          <w:color w:val="auto"/>
        </w:rPr>
      </w:pPr>
      <w:r>
        <w:rPr>
          <w:rFonts w:ascii="Times New Roman" w:hAnsi="Times New Roman"/>
          <w:color w:val="auto"/>
        </w:rPr>
        <w:t>法定代表人或其委托代理人：</w:t>
      </w:r>
      <w:r>
        <w:rPr>
          <w:rFonts w:ascii="Times New Roman" w:hAnsi="Times New Roman"/>
          <w:color w:val="auto"/>
          <w:szCs w:val="21"/>
          <w:u w:val="single"/>
        </w:rPr>
        <w:t xml:space="preserve">         </w:t>
      </w:r>
      <w:r>
        <w:rPr>
          <w:rFonts w:ascii="Times New Roman" w:hAnsi="Times New Roman"/>
          <w:color w:val="auto"/>
        </w:rPr>
        <w:t>（签字）</w:t>
      </w:r>
    </w:p>
    <w:p>
      <w:pPr>
        <w:topLinePunct/>
        <w:spacing w:line="440" w:lineRule="exact"/>
        <w:ind w:firstLine="3700" w:firstLineChars="1762"/>
        <w:rPr>
          <w:rFonts w:ascii="Times New Roman" w:hAnsi="Times New Roman"/>
          <w:color w:val="auto"/>
        </w:rPr>
      </w:pPr>
      <w:r>
        <w:rPr>
          <w:rFonts w:ascii="Times New Roman" w:hAnsi="Times New Roman"/>
          <w:color w:val="auto"/>
          <w:u w:val="single"/>
        </w:rPr>
        <w:t xml:space="preserve">       </w:t>
      </w:r>
      <w:r>
        <w:rPr>
          <w:rFonts w:ascii="Times New Roman" w:hAnsi="Times New Roman"/>
          <w:color w:val="auto"/>
        </w:rPr>
        <w:t>年</w:t>
      </w:r>
      <w:r>
        <w:rPr>
          <w:rFonts w:ascii="Times New Roman" w:hAnsi="Times New Roman"/>
          <w:color w:val="auto"/>
          <w:u w:val="single"/>
        </w:rPr>
        <w:t xml:space="preserve">       </w:t>
      </w:r>
      <w:r>
        <w:rPr>
          <w:rFonts w:ascii="Times New Roman" w:hAnsi="Times New Roman"/>
          <w:color w:val="auto"/>
        </w:rPr>
        <w:t>月</w:t>
      </w:r>
      <w:r>
        <w:rPr>
          <w:rFonts w:ascii="Times New Roman" w:hAnsi="Times New Roman"/>
          <w:color w:val="auto"/>
          <w:u w:val="single"/>
        </w:rPr>
        <w:t xml:space="preserve">       </w:t>
      </w:r>
      <w:r>
        <w:rPr>
          <w:rFonts w:ascii="Times New Roman" w:hAnsi="Times New Roman"/>
          <w:color w:val="auto"/>
        </w:rPr>
        <w:t>日</w:t>
      </w:r>
      <w:r>
        <w:rPr>
          <w:rFonts w:ascii="Times New Roman" w:hAnsi="Times New Roman"/>
          <w:color w:val="auto"/>
        </w:rPr>
        <w:br w:type="page"/>
      </w:r>
    </w:p>
    <w:p>
      <w:pPr>
        <w:pStyle w:val="5"/>
        <w:jc w:val="center"/>
        <w:rPr>
          <w:rFonts w:ascii="Times New Roman" w:hAnsi="Times New Roman"/>
          <w:color w:val="auto"/>
        </w:rPr>
      </w:pPr>
      <w:bookmarkStart w:id="748" w:name="_Toc492300946"/>
      <w:r>
        <w:rPr>
          <w:rFonts w:hint="eastAsia" w:ascii="Times New Roman" w:hAnsi="Times New Roman"/>
          <w:color w:val="auto"/>
          <w:lang w:eastAsia="zh-CN"/>
        </w:rPr>
        <w:t>五</w:t>
      </w:r>
      <w:r>
        <w:rPr>
          <w:rFonts w:hint="eastAsia" w:ascii="Times New Roman" w:hAnsi="Times New Roman"/>
          <w:color w:val="auto"/>
        </w:rPr>
        <w:t>、</w:t>
      </w:r>
      <w:bookmarkStart w:id="749" w:name="_Toc152042581"/>
      <w:bookmarkStart w:id="750" w:name="_Toc152045792"/>
      <w:bookmarkStart w:id="751" w:name="_Toc144974861"/>
      <w:bookmarkStart w:id="752" w:name="_Toc369531702"/>
      <w:bookmarkStart w:id="753" w:name="_Toc247527832"/>
      <w:bookmarkStart w:id="754" w:name="_Toc300835214"/>
      <w:bookmarkStart w:id="755" w:name="_Toc361508757"/>
      <w:bookmarkStart w:id="756" w:name="_Toc13469"/>
      <w:bookmarkStart w:id="757" w:name="_Toc384308381"/>
      <w:bookmarkStart w:id="758" w:name="_Toc247514284"/>
      <w:bookmarkStart w:id="759" w:name="_Toc352691666"/>
      <w:r>
        <w:rPr>
          <w:rFonts w:hint="eastAsia" w:ascii="Times New Roman" w:hAnsi="Times New Roman"/>
          <w:color w:val="auto"/>
        </w:rPr>
        <w:t>投标保证金</w:t>
      </w:r>
      <w:bookmarkEnd w:id="748"/>
    </w:p>
    <w:bookmarkEnd w:id="749"/>
    <w:bookmarkEnd w:id="750"/>
    <w:bookmarkEnd w:id="751"/>
    <w:bookmarkEnd w:id="752"/>
    <w:bookmarkEnd w:id="753"/>
    <w:bookmarkEnd w:id="754"/>
    <w:bookmarkEnd w:id="755"/>
    <w:bookmarkEnd w:id="756"/>
    <w:bookmarkEnd w:id="757"/>
    <w:bookmarkEnd w:id="758"/>
    <w:bookmarkEnd w:id="759"/>
    <w:p>
      <w:pPr>
        <w:autoSpaceDE w:val="0"/>
        <w:autoSpaceDN w:val="0"/>
        <w:adjustRightInd w:val="0"/>
        <w:spacing w:line="420" w:lineRule="exact"/>
        <w:jc w:val="center"/>
        <w:rPr>
          <w:rFonts w:hAnsi="宋体" w:cs="仿宋_GB2312"/>
          <w:color w:val="000000"/>
          <w:sz w:val="24"/>
          <w:szCs w:val="24"/>
        </w:rPr>
      </w:pPr>
      <w:r>
        <w:rPr>
          <w:rFonts w:hint="eastAsia" w:hAnsi="宋体" w:cs="仿宋_GB2312"/>
          <w:color w:val="000000"/>
          <w:sz w:val="24"/>
          <w:szCs w:val="24"/>
        </w:rPr>
        <w:t>附许昌公共资源交易中心投标保证金缴纳回执单、开户许可证并加盖公章</w:t>
      </w:r>
    </w:p>
    <w:p>
      <w:pPr>
        <w:spacing w:line="440" w:lineRule="exact"/>
        <w:ind w:firstLine="420" w:firstLineChars="200"/>
        <w:rPr>
          <w:rFonts w:ascii="Times New Roman" w:hAnsi="Times New Roman"/>
          <w:color w:val="auto"/>
          <w:szCs w:val="21"/>
        </w:rPr>
      </w:pPr>
    </w:p>
    <w:p>
      <w:pPr>
        <w:spacing w:line="440" w:lineRule="exact"/>
        <w:rPr>
          <w:rFonts w:ascii="Times New Roman" w:hAnsi="Times New Roman"/>
          <w:color w:val="auto"/>
          <w:szCs w:val="21"/>
        </w:rPr>
      </w:pPr>
    </w:p>
    <w:p>
      <w:pPr>
        <w:spacing w:line="440" w:lineRule="exact"/>
        <w:rPr>
          <w:rFonts w:ascii="Times New Roman" w:hAnsi="Times New Roman"/>
          <w:color w:val="auto"/>
          <w:szCs w:val="21"/>
        </w:rPr>
      </w:pPr>
    </w:p>
    <w:p>
      <w:pPr>
        <w:spacing w:line="440" w:lineRule="exact"/>
        <w:rPr>
          <w:rFonts w:ascii="Times New Roman" w:hAnsi="Times New Roman"/>
          <w:color w:val="auto"/>
          <w:szCs w:val="21"/>
        </w:rPr>
      </w:pPr>
    </w:p>
    <w:p>
      <w:pPr>
        <w:spacing w:line="440" w:lineRule="exact"/>
        <w:ind w:firstLine="2158" w:firstLineChars="1028"/>
        <w:jc w:val="right"/>
        <w:rPr>
          <w:rFonts w:ascii="Times New Roman" w:hAnsi="Times New Roman"/>
          <w:color w:val="auto"/>
          <w:u w:val="single"/>
        </w:rPr>
      </w:pPr>
    </w:p>
    <w:p>
      <w:pPr>
        <w:spacing w:line="440" w:lineRule="exact"/>
        <w:ind w:firstLine="2158" w:firstLineChars="1028"/>
        <w:rPr>
          <w:rFonts w:ascii="Times New Roman" w:hAnsi="Times New Roman"/>
          <w:color w:val="auto"/>
        </w:rPr>
      </w:pPr>
    </w:p>
    <w:p>
      <w:pPr>
        <w:pStyle w:val="5"/>
        <w:jc w:val="center"/>
        <w:rPr>
          <w:rFonts w:ascii="Times New Roman" w:hAnsi="Times New Roman"/>
          <w:color w:val="auto"/>
        </w:rPr>
      </w:pPr>
      <w:bookmarkStart w:id="760" w:name="_Toc492300947"/>
      <w:r>
        <w:rPr>
          <w:rFonts w:ascii="Times New Roman" w:hAnsi="Times New Roman"/>
          <w:color w:val="auto"/>
        </w:rPr>
        <w:br w:type="page"/>
      </w:r>
    </w:p>
    <w:p>
      <w:pPr>
        <w:pStyle w:val="5"/>
        <w:jc w:val="center"/>
        <w:rPr>
          <w:rFonts w:ascii="Times New Roman" w:hAnsi="Times New Roman"/>
          <w:color w:val="auto"/>
        </w:rPr>
      </w:pPr>
      <w:r>
        <w:rPr>
          <w:rFonts w:hint="eastAsia" w:ascii="Times New Roman" w:hAnsi="Times New Roman"/>
          <w:color w:val="auto"/>
          <w:lang w:eastAsia="zh-CN"/>
        </w:rPr>
        <w:t>六</w:t>
      </w:r>
      <w:r>
        <w:rPr>
          <w:rFonts w:ascii="Times New Roman" w:hAnsi="Times New Roman"/>
          <w:color w:val="auto"/>
        </w:rPr>
        <w:t>、勘察费用清单</w:t>
      </w:r>
      <w:bookmarkEnd w:id="760"/>
    </w:p>
    <w:p>
      <w:pPr>
        <w:spacing w:line="440" w:lineRule="exact"/>
        <w:ind w:firstLine="420" w:firstLineChars="200"/>
        <w:rPr>
          <w:rFonts w:ascii="Times New Roman" w:hAnsi="Times New Roman"/>
          <w:color w:val="auto"/>
          <w:szCs w:val="21"/>
        </w:rPr>
      </w:pPr>
      <w:r>
        <w:rPr>
          <w:rFonts w:ascii="Times New Roman" w:hAnsi="Times New Roman"/>
          <w:color w:val="auto"/>
          <w:szCs w:val="21"/>
        </w:rPr>
        <w:t>1. 勘察费用清单说明</w:t>
      </w:r>
    </w:p>
    <w:p>
      <w:pPr>
        <w:spacing w:line="440" w:lineRule="exact"/>
        <w:ind w:firstLine="420" w:firstLineChars="200"/>
        <w:rPr>
          <w:rFonts w:ascii="Times New Roman" w:hAnsi="Times New Roman"/>
          <w:color w:val="auto"/>
          <w:szCs w:val="21"/>
        </w:rPr>
      </w:pPr>
      <w:r>
        <w:rPr>
          <w:rFonts w:ascii="Times New Roman" w:hAnsi="Times New Roman"/>
          <w:color w:val="auto"/>
          <w:szCs w:val="21"/>
        </w:rPr>
        <w:t>2. 勘察费用清单</w:t>
      </w:r>
    </w:p>
    <w:p>
      <w:pPr>
        <w:spacing w:line="440" w:lineRule="exact"/>
        <w:ind w:firstLine="420" w:firstLineChars="200"/>
        <w:jc w:val="right"/>
        <w:rPr>
          <w:rFonts w:ascii="Times New Roman" w:hAnsi="Times New Roman"/>
          <w:color w:val="auto"/>
          <w:szCs w:val="21"/>
        </w:rPr>
      </w:pPr>
      <w:r>
        <w:rPr>
          <w:rFonts w:ascii="Times New Roman" w:hAnsi="Times New Roman"/>
          <w:color w:val="auto"/>
          <w:szCs w:val="21"/>
        </w:rPr>
        <w:t>单位：人民币元</w:t>
      </w:r>
    </w:p>
    <w:tbl>
      <w:tblPr>
        <w:tblStyle w:val="38"/>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410"/>
        <w:gridCol w:w="2268"/>
        <w:gridCol w:w="1322"/>
        <w:gridCol w:w="1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trPr>
        <w:tc>
          <w:tcPr>
            <w:tcW w:w="817" w:type="dxa"/>
            <w:vAlign w:val="center"/>
          </w:tcPr>
          <w:p>
            <w:pPr>
              <w:widowControl/>
              <w:jc w:val="center"/>
              <w:rPr>
                <w:rFonts w:ascii="Times New Roman" w:hAnsi="Times New Roman"/>
                <w:b/>
                <w:color w:val="auto"/>
                <w:kern w:val="0"/>
                <w:szCs w:val="21"/>
              </w:rPr>
            </w:pPr>
            <w:bookmarkStart w:id="761" w:name="_Toc361508760"/>
            <w:r>
              <w:rPr>
                <w:rFonts w:ascii="Times New Roman" w:hAnsi="Times New Roman"/>
                <w:b/>
                <w:color w:val="auto"/>
                <w:kern w:val="0"/>
                <w:szCs w:val="21"/>
              </w:rPr>
              <w:t>序号</w:t>
            </w:r>
          </w:p>
        </w:tc>
        <w:tc>
          <w:tcPr>
            <w:tcW w:w="2410" w:type="dxa"/>
            <w:vAlign w:val="center"/>
          </w:tcPr>
          <w:p>
            <w:pPr>
              <w:widowControl/>
              <w:jc w:val="center"/>
              <w:rPr>
                <w:rFonts w:ascii="Times New Roman" w:hAnsi="Times New Roman"/>
                <w:b/>
                <w:color w:val="auto"/>
                <w:kern w:val="0"/>
                <w:szCs w:val="21"/>
              </w:rPr>
            </w:pPr>
            <w:r>
              <w:rPr>
                <w:rFonts w:ascii="Times New Roman" w:hAnsi="Times New Roman"/>
                <w:b/>
                <w:color w:val="auto"/>
                <w:kern w:val="0"/>
                <w:szCs w:val="21"/>
              </w:rPr>
              <w:t>勘察费用分项名称</w:t>
            </w:r>
          </w:p>
        </w:tc>
        <w:tc>
          <w:tcPr>
            <w:tcW w:w="2268" w:type="dxa"/>
            <w:vAlign w:val="center"/>
          </w:tcPr>
          <w:p>
            <w:pPr>
              <w:widowControl/>
              <w:jc w:val="center"/>
              <w:rPr>
                <w:rFonts w:ascii="Times New Roman" w:hAnsi="Times New Roman"/>
                <w:b/>
                <w:color w:val="auto"/>
                <w:kern w:val="0"/>
                <w:szCs w:val="21"/>
              </w:rPr>
            </w:pPr>
            <w:r>
              <w:rPr>
                <w:rFonts w:ascii="Times New Roman" w:hAnsi="Times New Roman"/>
                <w:b/>
                <w:color w:val="auto"/>
                <w:kern w:val="0"/>
                <w:szCs w:val="21"/>
              </w:rPr>
              <w:t>计算依据、过程和公式</w:t>
            </w:r>
          </w:p>
        </w:tc>
        <w:tc>
          <w:tcPr>
            <w:tcW w:w="1322" w:type="dxa"/>
            <w:vAlign w:val="center"/>
          </w:tcPr>
          <w:p>
            <w:pPr>
              <w:widowControl/>
              <w:jc w:val="center"/>
              <w:rPr>
                <w:rFonts w:ascii="Times New Roman" w:hAnsi="Times New Roman"/>
                <w:b/>
                <w:color w:val="auto"/>
                <w:kern w:val="0"/>
                <w:szCs w:val="21"/>
              </w:rPr>
            </w:pPr>
            <w:r>
              <w:rPr>
                <w:rFonts w:ascii="Times New Roman" w:hAnsi="Times New Roman"/>
                <w:b/>
                <w:color w:val="auto"/>
                <w:kern w:val="0"/>
                <w:szCs w:val="21"/>
              </w:rPr>
              <w:t>金额（元）</w:t>
            </w:r>
          </w:p>
        </w:tc>
        <w:tc>
          <w:tcPr>
            <w:tcW w:w="1938" w:type="dxa"/>
            <w:vAlign w:val="center"/>
          </w:tcPr>
          <w:p>
            <w:pPr>
              <w:widowControl/>
              <w:jc w:val="center"/>
              <w:rPr>
                <w:rFonts w:ascii="Times New Roman" w:hAnsi="Times New Roman"/>
                <w:b/>
                <w:color w:val="auto"/>
                <w:kern w:val="0"/>
                <w:szCs w:val="21"/>
              </w:rPr>
            </w:pPr>
            <w:r>
              <w:rPr>
                <w:rFonts w:ascii="Times New Roman" w:hAnsi="Times New Roman"/>
                <w:b/>
                <w:color w:val="auto"/>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pacing w:line="360" w:lineRule="auto"/>
              <w:jc w:val="center"/>
              <w:rPr>
                <w:rFonts w:ascii="Times New Roman" w:hAnsi="Times New Roman"/>
                <w:color w:val="auto"/>
              </w:rPr>
            </w:pPr>
            <w:r>
              <w:rPr>
                <w:rFonts w:ascii="Times New Roman" w:hAnsi="Times New Roman"/>
                <w:color w:val="auto"/>
              </w:rPr>
              <w:t>1</w:t>
            </w:r>
          </w:p>
        </w:tc>
        <w:tc>
          <w:tcPr>
            <w:tcW w:w="2410" w:type="dxa"/>
            <w:vAlign w:val="center"/>
          </w:tcPr>
          <w:p>
            <w:pPr>
              <w:spacing w:line="360" w:lineRule="auto"/>
              <w:jc w:val="center"/>
              <w:rPr>
                <w:rFonts w:ascii="Times New Roman" w:hAnsi="Times New Roman"/>
                <w:color w:val="auto"/>
              </w:rPr>
            </w:pPr>
          </w:p>
        </w:tc>
        <w:tc>
          <w:tcPr>
            <w:tcW w:w="2268" w:type="dxa"/>
            <w:vAlign w:val="center"/>
          </w:tcPr>
          <w:p>
            <w:pPr>
              <w:spacing w:line="360" w:lineRule="auto"/>
              <w:jc w:val="center"/>
              <w:rPr>
                <w:rFonts w:ascii="Times New Roman" w:hAnsi="Times New Roman"/>
                <w:color w:val="auto"/>
              </w:rPr>
            </w:pPr>
          </w:p>
        </w:tc>
        <w:tc>
          <w:tcPr>
            <w:tcW w:w="1322" w:type="dxa"/>
            <w:vAlign w:val="center"/>
          </w:tcPr>
          <w:p>
            <w:pPr>
              <w:spacing w:line="360" w:lineRule="auto"/>
              <w:jc w:val="center"/>
              <w:rPr>
                <w:rFonts w:ascii="Times New Roman" w:hAnsi="Times New Roman"/>
                <w:color w:val="auto"/>
              </w:rPr>
            </w:pPr>
          </w:p>
        </w:tc>
        <w:tc>
          <w:tcPr>
            <w:tcW w:w="1938" w:type="dxa"/>
            <w:vAlign w:val="center"/>
          </w:tcPr>
          <w:p>
            <w:pPr>
              <w:spacing w:line="360" w:lineRule="auto"/>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pacing w:before="100" w:beforeAutospacing="1" w:after="100" w:afterAutospacing="1" w:line="360" w:lineRule="auto"/>
              <w:jc w:val="center"/>
              <w:rPr>
                <w:rFonts w:ascii="Times New Roman" w:hAnsi="Times New Roman"/>
                <w:color w:val="auto"/>
              </w:rPr>
            </w:pPr>
            <w:r>
              <w:rPr>
                <w:rFonts w:ascii="Times New Roman" w:hAnsi="Times New Roman"/>
                <w:color w:val="auto"/>
              </w:rPr>
              <w:t>2</w:t>
            </w:r>
          </w:p>
        </w:tc>
        <w:tc>
          <w:tcPr>
            <w:tcW w:w="2410" w:type="dxa"/>
            <w:vAlign w:val="center"/>
          </w:tcPr>
          <w:p>
            <w:pPr>
              <w:spacing w:line="360" w:lineRule="auto"/>
              <w:jc w:val="center"/>
              <w:rPr>
                <w:rFonts w:ascii="Times New Roman" w:hAnsi="Times New Roman"/>
                <w:color w:val="auto"/>
              </w:rPr>
            </w:pPr>
          </w:p>
        </w:tc>
        <w:tc>
          <w:tcPr>
            <w:tcW w:w="2268" w:type="dxa"/>
            <w:vAlign w:val="center"/>
          </w:tcPr>
          <w:p>
            <w:pPr>
              <w:spacing w:line="360" w:lineRule="auto"/>
              <w:jc w:val="center"/>
              <w:rPr>
                <w:rFonts w:ascii="Times New Roman" w:hAnsi="Times New Roman"/>
                <w:color w:val="auto"/>
              </w:rPr>
            </w:pPr>
          </w:p>
        </w:tc>
        <w:tc>
          <w:tcPr>
            <w:tcW w:w="1322" w:type="dxa"/>
            <w:vAlign w:val="center"/>
          </w:tcPr>
          <w:p>
            <w:pPr>
              <w:spacing w:line="360" w:lineRule="auto"/>
              <w:jc w:val="center"/>
              <w:rPr>
                <w:rFonts w:ascii="Times New Roman" w:hAnsi="Times New Roman"/>
                <w:color w:val="auto"/>
              </w:rPr>
            </w:pPr>
          </w:p>
        </w:tc>
        <w:tc>
          <w:tcPr>
            <w:tcW w:w="1938" w:type="dxa"/>
            <w:vAlign w:val="center"/>
          </w:tcPr>
          <w:p>
            <w:pPr>
              <w:spacing w:line="360" w:lineRule="auto"/>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pacing w:before="100" w:beforeAutospacing="1" w:after="100" w:afterAutospacing="1" w:line="360" w:lineRule="auto"/>
              <w:jc w:val="center"/>
              <w:rPr>
                <w:rFonts w:ascii="Times New Roman" w:hAnsi="Times New Roman"/>
                <w:color w:val="auto"/>
              </w:rPr>
            </w:pPr>
            <w:r>
              <w:rPr>
                <w:rFonts w:ascii="Times New Roman" w:hAnsi="Times New Roman"/>
                <w:color w:val="auto"/>
              </w:rPr>
              <w:t>3</w:t>
            </w:r>
          </w:p>
        </w:tc>
        <w:tc>
          <w:tcPr>
            <w:tcW w:w="2410" w:type="dxa"/>
            <w:vAlign w:val="center"/>
          </w:tcPr>
          <w:p>
            <w:pPr>
              <w:spacing w:line="360" w:lineRule="auto"/>
              <w:jc w:val="center"/>
              <w:rPr>
                <w:rFonts w:ascii="Times New Roman" w:hAnsi="Times New Roman"/>
                <w:color w:val="auto"/>
              </w:rPr>
            </w:pPr>
          </w:p>
        </w:tc>
        <w:tc>
          <w:tcPr>
            <w:tcW w:w="2268" w:type="dxa"/>
            <w:vAlign w:val="center"/>
          </w:tcPr>
          <w:p>
            <w:pPr>
              <w:spacing w:line="360" w:lineRule="auto"/>
              <w:jc w:val="center"/>
              <w:rPr>
                <w:rFonts w:ascii="Times New Roman" w:hAnsi="Times New Roman"/>
                <w:color w:val="auto"/>
              </w:rPr>
            </w:pPr>
          </w:p>
        </w:tc>
        <w:tc>
          <w:tcPr>
            <w:tcW w:w="1322" w:type="dxa"/>
            <w:vAlign w:val="center"/>
          </w:tcPr>
          <w:p>
            <w:pPr>
              <w:spacing w:line="360" w:lineRule="auto"/>
              <w:jc w:val="center"/>
              <w:rPr>
                <w:rFonts w:ascii="Times New Roman" w:hAnsi="Times New Roman"/>
                <w:color w:val="auto"/>
              </w:rPr>
            </w:pPr>
          </w:p>
        </w:tc>
        <w:tc>
          <w:tcPr>
            <w:tcW w:w="1938" w:type="dxa"/>
            <w:vAlign w:val="center"/>
          </w:tcPr>
          <w:p>
            <w:pPr>
              <w:spacing w:line="360" w:lineRule="auto"/>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pacing w:before="100" w:beforeAutospacing="1" w:after="100" w:afterAutospacing="1" w:line="360" w:lineRule="auto"/>
              <w:jc w:val="center"/>
              <w:rPr>
                <w:rFonts w:ascii="Times New Roman" w:hAnsi="Times New Roman"/>
                <w:color w:val="auto"/>
              </w:rPr>
            </w:pPr>
            <w:r>
              <w:rPr>
                <w:rFonts w:ascii="Times New Roman" w:hAnsi="Times New Roman"/>
                <w:color w:val="auto"/>
              </w:rPr>
              <w:t>4</w:t>
            </w:r>
          </w:p>
        </w:tc>
        <w:tc>
          <w:tcPr>
            <w:tcW w:w="2410" w:type="dxa"/>
            <w:vAlign w:val="center"/>
          </w:tcPr>
          <w:p>
            <w:pPr>
              <w:spacing w:line="360" w:lineRule="auto"/>
              <w:jc w:val="center"/>
              <w:rPr>
                <w:rFonts w:ascii="Times New Roman" w:hAnsi="Times New Roman"/>
                <w:color w:val="auto"/>
              </w:rPr>
            </w:pPr>
          </w:p>
        </w:tc>
        <w:tc>
          <w:tcPr>
            <w:tcW w:w="2268" w:type="dxa"/>
            <w:vAlign w:val="center"/>
          </w:tcPr>
          <w:p>
            <w:pPr>
              <w:spacing w:line="360" w:lineRule="auto"/>
              <w:jc w:val="center"/>
              <w:rPr>
                <w:rFonts w:ascii="Times New Roman" w:hAnsi="Times New Roman"/>
                <w:color w:val="auto"/>
              </w:rPr>
            </w:pPr>
          </w:p>
        </w:tc>
        <w:tc>
          <w:tcPr>
            <w:tcW w:w="1322" w:type="dxa"/>
            <w:vAlign w:val="center"/>
          </w:tcPr>
          <w:p>
            <w:pPr>
              <w:spacing w:line="360" w:lineRule="auto"/>
              <w:jc w:val="center"/>
              <w:rPr>
                <w:rFonts w:ascii="Times New Roman" w:hAnsi="Times New Roman"/>
                <w:color w:val="auto"/>
              </w:rPr>
            </w:pPr>
          </w:p>
        </w:tc>
        <w:tc>
          <w:tcPr>
            <w:tcW w:w="1938" w:type="dxa"/>
            <w:vAlign w:val="center"/>
          </w:tcPr>
          <w:p>
            <w:pPr>
              <w:spacing w:line="360" w:lineRule="auto"/>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pacing w:before="100" w:beforeAutospacing="1" w:after="100" w:afterAutospacing="1" w:line="360" w:lineRule="auto"/>
              <w:jc w:val="center"/>
              <w:rPr>
                <w:rFonts w:ascii="Times New Roman" w:hAnsi="Times New Roman"/>
                <w:color w:val="auto"/>
              </w:rPr>
            </w:pPr>
            <w:r>
              <w:rPr>
                <w:rFonts w:ascii="Times New Roman" w:hAnsi="Times New Roman"/>
                <w:color w:val="auto"/>
              </w:rPr>
              <w:t>5</w:t>
            </w:r>
          </w:p>
        </w:tc>
        <w:tc>
          <w:tcPr>
            <w:tcW w:w="2410" w:type="dxa"/>
            <w:vAlign w:val="center"/>
          </w:tcPr>
          <w:p>
            <w:pPr>
              <w:spacing w:line="360" w:lineRule="auto"/>
              <w:jc w:val="center"/>
              <w:rPr>
                <w:rFonts w:ascii="Times New Roman" w:hAnsi="Times New Roman"/>
                <w:color w:val="auto"/>
              </w:rPr>
            </w:pPr>
          </w:p>
        </w:tc>
        <w:tc>
          <w:tcPr>
            <w:tcW w:w="2268" w:type="dxa"/>
            <w:vAlign w:val="center"/>
          </w:tcPr>
          <w:p>
            <w:pPr>
              <w:spacing w:line="360" w:lineRule="auto"/>
              <w:jc w:val="center"/>
              <w:rPr>
                <w:rFonts w:ascii="Times New Roman" w:hAnsi="Times New Roman"/>
                <w:color w:val="auto"/>
              </w:rPr>
            </w:pPr>
          </w:p>
        </w:tc>
        <w:tc>
          <w:tcPr>
            <w:tcW w:w="1322" w:type="dxa"/>
            <w:vAlign w:val="center"/>
          </w:tcPr>
          <w:p>
            <w:pPr>
              <w:spacing w:line="360" w:lineRule="auto"/>
              <w:jc w:val="center"/>
              <w:rPr>
                <w:rFonts w:ascii="Times New Roman" w:hAnsi="Times New Roman"/>
                <w:color w:val="auto"/>
              </w:rPr>
            </w:pPr>
          </w:p>
        </w:tc>
        <w:tc>
          <w:tcPr>
            <w:tcW w:w="1938" w:type="dxa"/>
            <w:vAlign w:val="center"/>
          </w:tcPr>
          <w:p>
            <w:pPr>
              <w:spacing w:line="360" w:lineRule="auto"/>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widowControl/>
              <w:jc w:val="center"/>
              <w:rPr>
                <w:rFonts w:ascii="Times New Roman" w:hAnsi="Times New Roman"/>
                <w:color w:val="auto"/>
                <w:kern w:val="0"/>
                <w:szCs w:val="21"/>
              </w:rPr>
            </w:pPr>
            <w:r>
              <w:rPr>
                <w:rFonts w:ascii="Times New Roman" w:hAnsi="Times New Roman"/>
                <w:color w:val="auto"/>
                <w:kern w:val="0"/>
                <w:szCs w:val="21"/>
              </w:rPr>
              <w:t>……</w:t>
            </w:r>
          </w:p>
        </w:tc>
        <w:tc>
          <w:tcPr>
            <w:tcW w:w="2410" w:type="dxa"/>
            <w:vAlign w:val="center"/>
          </w:tcPr>
          <w:p>
            <w:pPr>
              <w:widowControl/>
              <w:jc w:val="center"/>
              <w:rPr>
                <w:rFonts w:ascii="Times New Roman" w:hAnsi="Times New Roman"/>
                <w:color w:val="auto"/>
                <w:kern w:val="0"/>
                <w:szCs w:val="21"/>
              </w:rPr>
            </w:pPr>
            <w:r>
              <w:rPr>
                <w:rFonts w:ascii="Times New Roman" w:hAnsi="Times New Roman"/>
                <w:color w:val="auto"/>
                <w:kern w:val="0"/>
                <w:szCs w:val="21"/>
              </w:rPr>
              <w:t>……</w:t>
            </w:r>
          </w:p>
        </w:tc>
        <w:tc>
          <w:tcPr>
            <w:tcW w:w="2268" w:type="dxa"/>
            <w:vAlign w:val="center"/>
          </w:tcPr>
          <w:p>
            <w:pPr>
              <w:spacing w:line="360" w:lineRule="auto"/>
              <w:jc w:val="center"/>
              <w:rPr>
                <w:rFonts w:ascii="Times New Roman" w:hAnsi="Times New Roman"/>
                <w:color w:val="auto"/>
              </w:rPr>
            </w:pPr>
          </w:p>
        </w:tc>
        <w:tc>
          <w:tcPr>
            <w:tcW w:w="1322" w:type="dxa"/>
            <w:vAlign w:val="center"/>
          </w:tcPr>
          <w:p>
            <w:pPr>
              <w:spacing w:line="360" w:lineRule="auto"/>
              <w:jc w:val="center"/>
              <w:rPr>
                <w:rFonts w:ascii="Times New Roman" w:hAnsi="Times New Roman"/>
                <w:color w:val="auto"/>
              </w:rPr>
            </w:pPr>
          </w:p>
        </w:tc>
        <w:tc>
          <w:tcPr>
            <w:tcW w:w="1938" w:type="dxa"/>
            <w:vAlign w:val="center"/>
          </w:tcPr>
          <w:p>
            <w:pPr>
              <w:spacing w:line="360" w:lineRule="auto"/>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95" w:type="dxa"/>
            <w:gridSpan w:val="3"/>
            <w:vAlign w:val="center"/>
          </w:tcPr>
          <w:p>
            <w:pPr>
              <w:widowControl/>
              <w:jc w:val="center"/>
              <w:rPr>
                <w:rFonts w:ascii="Times New Roman" w:hAnsi="Times New Roman"/>
                <w:color w:val="auto"/>
              </w:rPr>
            </w:pPr>
            <w:r>
              <w:rPr>
                <w:rFonts w:hint="eastAsia" w:ascii="Times New Roman" w:hAnsi="Times New Roman"/>
                <w:b/>
                <w:color w:val="auto"/>
                <w:kern w:val="0"/>
                <w:szCs w:val="21"/>
              </w:rPr>
              <w:t>合计报价</w:t>
            </w:r>
          </w:p>
        </w:tc>
        <w:tc>
          <w:tcPr>
            <w:tcW w:w="1322" w:type="dxa"/>
            <w:vAlign w:val="center"/>
          </w:tcPr>
          <w:p>
            <w:pPr>
              <w:spacing w:line="360" w:lineRule="auto"/>
              <w:jc w:val="center"/>
              <w:rPr>
                <w:rFonts w:ascii="Times New Roman" w:hAnsi="Times New Roman"/>
                <w:color w:val="auto"/>
              </w:rPr>
            </w:pPr>
          </w:p>
        </w:tc>
        <w:tc>
          <w:tcPr>
            <w:tcW w:w="1938" w:type="dxa"/>
            <w:vAlign w:val="center"/>
          </w:tcPr>
          <w:p>
            <w:pPr>
              <w:spacing w:line="360" w:lineRule="auto"/>
              <w:jc w:val="center"/>
              <w:rPr>
                <w:rFonts w:ascii="Times New Roman" w:hAnsi="Times New Roman"/>
                <w:color w:val="auto"/>
              </w:rPr>
            </w:pPr>
          </w:p>
        </w:tc>
      </w:tr>
    </w:tbl>
    <w:p>
      <w:pPr>
        <w:widowControl/>
        <w:ind w:right="105"/>
        <w:jc w:val="right"/>
        <w:rPr>
          <w:rFonts w:ascii="Times New Roman" w:hAnsi="Times New Roman"/>
          <w:color w:val="auto"/>
          <w:kern w:val="0"/>
        </w:rPr>
      </w:pPr>
    </w:p>
    <w:p>
      <w:pPr>
        <w:widowControl/>
        <w:ind w:right="105"/>
        <w:jc w:val="right"/>
        <w:rPr>
          <w:rFonts w:ascii="Times New Roman" w:hAnsi="Times New Roman"/>
          <w:color w:val="auto"/>
          <w:kern w:val="0"/>
        </w:rPr>
      </w:pPr>
    </w:p>
    <w:p>
      <w:pPr>
        <w:spacing w:line="400" w:lineRule="exact"/>
        <w:ind w:firstLine="420" w:firstLineChars="200"/>
        <w:rPr>
          <w:rFonts w:ascii="Times New Roman" w:hAnsi="Times New Roman"/>
          <w:color w:val="auto"/>
        </w:rPr>
      </w:pPr>
    </w:p>
    <w:p>
      <w:pPr>
        <w:widowControl/>
        <w:ind w:right="105"/>
        <w:jc w:val="left"/>
        <w:rPr>
          <w:rFonts w:ascii="Times New Roman" w:hAnsi="Times New Roman"/>
          <w:color w:val="auto"/>
          <w:kern w:val="0"/>
        </w:rPr>
      </w:pPr>
    </w:p>
    <w:p>
      <w:pPr>
        <w:pStyle w:val="5"/>
        <w:spacing w:after="0"/>
        <w:jc w:val="center"/>
        <w:rPr>
          <w:rFonts w:ascii="Times New Roman" w:hAnsi="Times New Roman"/>
          <w:color w:val="auto"/>
        </w:rPr>
      </w:pPr>
      <w:r>
        <w:rPr>
          <w:rFonts w:ascii="Times New Roman" w:hAnsi="Times New Roman"/>
          <w:color w:val="auto"/>
        </w:rPr>
        <w:br w:type="page"/>
      </w:r>
      <w:bookmarkStart w:id="762" w:name="_Toc492300948"/>
      <w:r>
        <w:rPr>
          <w:rFonts w:hint="eastAsia" w:ascii="Times New Roman" w:hAnsi="Times New Roman"/>
          <w:color w:val="auto"/>
          <w:lang w:eastAsia="zh-CN"/>
        </w:rPr>
        <w:t>七</w:t>
      </w:r>
      <w:r>
        <w:rPr>
          <w:rFonts w:hint="eastAsia" w:ascii="Times New Roman" w:hAnsi="Times New Roman"/>
          <w:color w:val="auto"/>
        </w:rPr>
        <w:t>、资格审查资料</w:t>
      </w:r>
      <w:bookmarkEnd w:id="762"/>
    </w:p>
    <w:p>
      <w:pPr>
        <w:pStyle w:val="6"/>
        <w:spacing w:before="20" w:after="0"/>
        <w:ind w:firstLine="137"/>
        <w:rPr>
          <w:rFonts w:ascii="Times New Roman" w:hAnsi="Times New Roman"/>
          <w:color w:val="auto"/>
        </w:rPr>
      </w:pPr>
      <w:bookmarkStart w:id="763" w:name="_Toc492300949"/>
      <w:r>
        <w:rPr>
          <w:rFonts w:hint="eastAsia" w:ascii="Times New Roman" w:hAnsi="Times New Roman"/>
          <w:color w:val="auto"/>
        </w:rPr>
        <w:t>（一）基本情况表</w:t>
      </w:r>
      <w:bookmarkEnd w:id="763"/>
    </w:p>
    <w:tbl>
      <w:tblPr>
        <w:tblStyle w:val="38"/>
        <w:tblW w:w="8886"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6"/>
        <w:gridCol w:w="898"/>
        <w:gridCol w:w="1026"/>
        <w:gridCol w:w="1287"/>
        <w:gridCol w:w="414"/>
        <w:gridCol w:w="873"/>
        <w:gridCol w:w="828"/>
        <w:gridCol w:w="284"/>
        <w:gridCol w:w="12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rPr>
            </w:pPr>
            <w:r>
              <w:rPr>
                <w:rFonts w:hint="eastAsia" w:ascii="Times New Roman" w:hAnsi="Times New Roman"/>
                <w:color w:val="auto"/>
              </w:rPr>
              <w:t>投标人名称</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rPr>
            </w:pPr>
            <w:r>
              <w:rPr>
                <w:rFonts w:hint="eastAsia" w:ascii="Times New Roman" w:hAnsi="Times New Roman"/>
                <w:color w:val="auto"/>
              </w:rPr>
              <w:t>注册地址</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color w:val="auto"/>
              </w:rPr>
            </w:pPr>
            <w:r>
              <w:rPr>
                <w:rFonts w:hint="eastAsia" w:ascii="Times New Roman" w:hAnsi="Times New Roman"/>
                <w:color w:val="auto"/>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rPr>
            </w:pPr>
            <w:r>
              <w:rPr>
                <w:rFonts w:hint="eastAsia" w:ascii="Times New Roman" w:hAnsi="Times New Roman"/>
                <w:color w:val="auto"/>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color w:val="auto"/>
              </w:rPr>
            </w:pPr>
            <w:r>
              <w:rPr>
                <w:rFonts w:hint="eastAsia" w:ascii="Times New Roman" w:hAnsi="Times New Roman"/>
                <w:color w:val="auto"/>
              </w:rPr>
              <w:t>联系人</w:t>
            </w:r>
          </w:p>
        </w:tc>
        <w:tc>
          <w:tcPr>
            <w:tcW w:w="231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color w:val="auto"/>
              </w:rPr>
            </w:pPr>
            <w:r>
              <w:rPr>
                <w:rFonts w:hint="eastAsia" w:ascii="Times New Roman" w:hAnsi="Times New Roman"/>
                <w:color w:val="auto"/>
              </w:rPr>
              <w:t>电</w:t>
            </w:r>
            <w:r>
              <w:rPr>
                <w:rFonts w:ascii="Times New Roman" w:hAnsi="Times New Roman"/>
                <w:color w:val="auto"/>
              </w:rPr>
              <w:t xml:space="preserve"> </w:t>
            </w:r>
            <w:r>
              <w:rPr>
                <w:rFonts w:hint="eastAsia" w:ascii="Times New Roman" w:hAnsi="Times New Roman"/>
                <w:color w:val="auto"/>
              </w:rPr>
              <w:t>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rPr>
            </w:pP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color w:val="auto"/>
              </w:rPr>
            </w:pPr>
            <w:r>
              <w:rPr>
                <w:rFonts w:hint="eastAsia" w:ascii="Times New Roman" w:hAnsi="Times New Roman"/>
                <w:color w:val="auto"/>
              </w:rPr>
              <w:t>传</w:t>
            </w:r>
            <w:r>
              <w:rPr>
                <w:rFonts w:ascii="Times New Roman" w:hAnsi="Times New Roman"/>
                <w:color w:val="auto"/>
              </w:rPr>
              <w:t xml:space="preserve">  </w:t>
            </w:r>
            <w:r>
              <w:rPr>
                <w:rFonts w:hint="eastAsia" w:ascii="Times New Roman" w:hAnsi="Times New Roman"/>
                <w:color w:val="auto"/>
              </w:rPr>
              <w:t>真</w:t>
            </w:r>
          </w:p>
        </w:tc>
        <w:tc>
          <w:tcPr>
            <w:tcW w:w="231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color w:val="auto"/>
              </w:rPr>
            </w:pPr>
            <w:r>
              <w:rPr>
                <w:rFonts w:hint="eastAsia" w:ascii="Times New Roman" w:hAnsi="Times New Roman"/>
                <w:color w:val="auto"/>
              </w:rPr>
              <w:t>网</w:t>
            </w:r>
            <w:r>
              <w:rPr>
                <w:rFonts w:ascii="Times New Roman" w:hAnsi="Times New Roman"/>
                <w:color w:val="auto"/>
              </w:rPr>
              <w:t xml:space="preserve"> </w:t>
            </w:r>
            <w:r>
              <w:rPr>
                <w:rFonts w:hint="eastAsia" w:ascii="Times New Roman" w:hAnsi="Times New Roman"/>
                <w:color w:val="auto"/>
              </w:rPr>
              <w:t>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color w:val="auto"/>
              </w:rPr>
            </w:pPr>
            <w:r>
              <w:rPr>
                <w:rFonts w:hint="eastAsia" w:ascii="Times New Roman" w:hAnsi="Times New Roman"/>
                <w:color w:val="auto"/>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color w:val="auto"/>
              </w:rPr>
            </w:pPr>
            <w:r>
              <w:rPr>
                <w:rFonts w:hint="eastAsia" w:ascii="Times New Roman" w:hAnsi="Times New Roman"/>
                <w:color w:val="auto"/>
              </w:rPr>
              <w:t>姓名</w:t>
            </w:r>
          </w:p>
        </w:tc>
        <w:tc>
          <w:tcPr>
            <w:tcW w:w="10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rPr>
            </w:pPr>
          </w:p>
        </w:tc>
        <w:tc>
          <w:tcPr>
            <w:tcW w:w="1287"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color w:val="auto"/>
              </w:rPr>
            </w:pPr>
            <w:r>
              <w:rPr>
                <w:rFonts w:hint="eastAsia" w:ascii="Times New Roman" w:hAnsi="Times New Roman"/>
                <w:color w:val="auto"/>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color w:val="auto"/>
              </w:rPr>
            </w:pPr>
            <w:r>
              <w:rPr>
                <w:rFonts w:hint="eastAsia" w:ascii="Times New Roman" w:hAnsi="Times New Roman"/>
                <w:color w:val="auto"/>
              </w:rPr>
              <w:t>电话</w:t>
            </w:r>
          </w:p>
        </w:tc>
        <w:tc>
          <w:tcPr>
            <w:tcW w:w="123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rPr>
            </w:pPr>
            <w:r>
              <w:rPr>
                <w:rFonts w:hint="eastAsia" w:ascii="Times New Roman" w:hAnsi="Times New Roman"/>
                <w:color w:val="auto"/>
                <w:szCs w:val="21"/>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color w:val="auto"/>
              </w:rPr>
            </w:pPr>
            <w:r>
              <w:rPr>
                <w:rFonts w:hint="eastAsia" w:ascii="Times New Roman" w:hAnsi="Times New Roman"/>
                <w:color w:val="auto"/>
              </w:rPr>
              <w:t>姓名</w:t>
            </w:r>
          </w:p>
        </w:tc>
        <w:tc>
          <w:tcPr>
            <w:tcW w:w="10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rPr>
            </w:pPr>
          </w:p>
        </w:tc>
        <w:tc>
          <w:tcPr>
            <w:tcW w:w="1287"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color w:val="auto"/>
              </w:rPr>
            </w:pPr>
            <w:r>
              <w:rPr>
                <w:rFonts w:hint="eastAsia" w:ascii="Times New Roman" w:hAnsi="Times New Roman"/>
                <w:color w:val="auto"/>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color w:val="auto"/>
              </w:rPr>
            </w:pPr>
            <w:r>
              <w:rPr>
                <w:rFonts w:hint="eastAsia" w:ascii="Times New Roman" w:hAnsi="Times New Roman"/>
                <w:color w:val="auto"/>
              </w:rPr>
              <w:t>电话</w:t>
            </w:r>
          </w:p>
        </w:tc>
        <w:tc>
          <w:tcPr>
            <w:tcW w:w="123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color w:val="auto"/>
              </w:rPr>
            </w:pPr>
            <w:r>
              <w:rPr>
                <w:rFonts w:hint="eastAsia" w:ascii="Times New Roman" w:hAnsi="Times New Roman"/>
                <w:color w:val="auto"/>
              </w:rPr>
              <w:t>企业</w:t>
            </w:r>
            <w:r>
              <w:rPr>
                <w:rFonts w:hint="eastAsia" w:ascii="Times New Roman" w:hAnsi="Times New Roman"/>
                <w:color w:val="auto"/>
                <w:szCs w:val="21"/>
              </w:rPr>
              <w:t>勘察</w:t>
            </w:r>
            <w:r>
              <w:rPr>
                <w:rFonts w:hint="eastAsia" w:ascii="Times New Roman" w:hAnsi="Times New Roman"/>
                <w:color w:val="auto"/>
              </w:rPr>
              <w:t>资质证书</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ind w:firstLine="105" w:firstLineChars="50"/>
              <w:jc w:val="center"/>
              <w:rPr>
                <w:rFonts w:ascii="Times New Roman" w:hAnsi="Times New Roman"/>
                <w:color w:val="auto"/>
              </w:rPr>
            </w:pPr>
            <w:r>
              <w:rPr>
                <w:rFonts w:hint="eastAsia" w:ascii="Times New Roman" w:hAnsi="Times New Roman"/>
                <w:color w:val="auto"/>
              </w:rPr>
              <w:t>类型：</w:t>
            </w:r>
            <w:r>
              <w:rPr>
                <w:rFonts w:ascii="Times New Roman" w:hAnsi="Times New Roman"/>
                <w:color w:val="auto"/>
              </w:rPr>
              <w:t xml:space="preserve">                    </w:t>
            </w:r>
            <w:r>
              <w:rPr>
                <w:rFonts w:hint="eastAsia" w:ascii="Times New Roman" w:hAnsi="Times New Roman"/>
                <w:color w:val="auto"/>
              </w:rPr>
              <w:t>等级：</w:t>
            </w:r>
            <w:r>
              <w:rPr>
                <w:rFonts w:ascii="Times New Roman" w:hAnsi="Times New Roman"/>
                <w:color w:val="auto"/>
              </w:rPr>
              <w:t xml:space="preserve">      </w:t>
            </w:r>
            <w:r>
              <w:rPr>
                <w:rFonts w:hint="eastAsia" w:ascii="Times New Roman" w:hAnsi="Times New Roman"/>
                <w:color w:val="auto"/>
              </w:rPr>
              <w:t>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color w:val="auto"/>
              </w:rPr>
            </w:pPr>
            <w:r>
              <w:rPr>
                <w:rFonts w:hint="eastAsia" w:ascii="Times New Roman" w:hAnsi="Times New Roman"/>
                <w:color w:val="auto"/>
              </w:rPr>
              <w:t>质量管理体系证书（如有）</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ind w:firstLine="105" w:firstLineChars="50"/>
              <w:jc w:val="center"/>
              <w:rPr>
                <w:rFonts w:ascii="Times New Roman" w:hAnsi="Times New Roman"/>
                <w:color w:val="auto"/>
              </w:rPr>
            </w:pPr>
            <w:r>
              <w:rPr>
                <w:rFonts w:hint="eastAsia" w:ascii="Times New Roman" w:hAnsi="Times New Roman"/>
                <w:color w:val="auto"/>
              </w:rPr>
              <w:t>类型：</w:t>
            </w:r>
            <w:r>
              <w:rPr>
                <w:rFonts w:ascii="Times New Roman" w:hAnsi="Times New Roman"/>
                <w:color w:val="auto"/>
              </w:rPr>
              <w:t xml:space="preserve">                    </w:t>
            </w:r>
            <w:r>
              <w:rPr>
                <w:rFonts w:hint="eastAsia" w:ascii="Times New Roman" w:hAnsi="Times New Roman"/>
                <w:color w:val="auto"/>
              </w:rPr>
              <w:t>等级：</w:t>
            </w:r>
            <w:r>
              <w:rPr>
                <w:rFonts w:ascii="Times New Roman" w:hAnsi="Times New Roman"/>
                <w:color w:val="auto"/>
              </w:rPr>
              <w:t xml:space="preserve">      </w:t>
            </w:r>
            <w:r>
              <w:rPr>
                <w:rFonts w:hint="eastAsia" w:ascii="Times New Roman" w:hAnsi="Times New Roman"/>
                <w:color w:val="auto"/>
              </w:rPr>
              <w:t>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color w:val="auto"/>
              </w:rPr>
            </w:pPr>
            <w:r>
              <w:rPr>
                <w:rFonts w:hint="eastAsia" w:ascii="Times New Roman" w:hAnsi="Times New Roman"/>
                <w:color w:val="auto"/>
              </w:rPr>
              <w:t>营业执照号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rPr>
            </w:pPr>
          </w:p>
        </w:tc>
        <w:tc>
          <w:tcPr>
            <w:tcW w:w="3629" w:type="dxa"/>
            <w:gridSpan w:val="5"/>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color w:val="auto"/>
              </w:rPr>
            </w:pPr>
            <w:r>
              <w:rPr>
                <w:rFonts w:hint="eastAsia" w:ascii="Times New Roman" w:hAnsi="Times New Roman"/>
                <w:color w:val="auto"/>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color w:val="auto"/>
              </w:rPr>
            </w:pPr>
            <w:r>
              <w:rPr>
                <w:rFonts w:hint="eastAsia" w:ascii="Times New Roman" w:hAnsi="Times New Roman"/>
                <w:color w:val="auto"/>
              </w:rPr>
              <w:t>注册资本</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rPr>
            </w:pPr>
          </w:p>
        </w:tc>
        <w:tc>
          <w:tcPr>
            <w:tcW w:w="414" w:type="dxa"/>
            <w:vMerge w:val="restart"/>
            <w:tcBorders>
              <w:top w:val="single" w:color="auto" w:sz="4" w:space="0"/>
              <w:left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color w:val="auto"/>
              </w:rPr>
            </w:pPr>
            <w:r>
              <w:rPr>
                <w:rFonts w:hint="eastAsia" w:ascii="Times New Roman" w:hAnsi="Times New Roman"/>
                <w:color w:val="auto"/>
              </w:rPr>
              <w:t>其中</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color w:val="auto"/>
              </w:rPr>
            </w:pPr>
            <w:r>
              <w:rPr>
                <w:rFonts w:hint="eastAsia" w:ascii="Times New Roman" w:hAnsi="Times New Roman"/>
                <w:color w:val="auto"/>
              </w:rPr>
              <w:t>高级职称人员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color w:val="auto"/>
              </w:rPr>
            </w:pPr>
            <w:r>
              <w:rPr>
                <w:rFonts w:hint="eastAsia" w:ascii="Times New Roman" w:hAnsi="Times New Roman"/>
                <w:color w:val="auto"/>
              </w:rPr>
              <w:t>成立日期</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rPr>
            </w:pPr>
          </w:p>
        </w:tc>
        <w:tc>
          <w:tcPr>
            <w:tcW w:w="414" w:type="dxa"/>
            <w:vMerge w:val="continue"/>
            <w:tcBorders>
              <w:left w:val="single" w:color="auto" w:sz="4" w:space="0"/>
              <w:right w:val="single" w:color="auto" w:sz="4" w:space="0"/>
            </w:tcBorders>
            <w:vAlign w:val="center"/>
          </w:tcPr>
          <w:p>
            <w:pPr>
              <w:jc w:val="center"/>
              <w:rPr>
                <w:rFonts w:ascii="Times New Roman" w:hAnsi="Times New Roman"/>
                <w:color w:val="auto"/>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color w:val="auto"/>
              </w:rPr>
            </w:pPr>
            <w:r>
              <w:rPr>
                <w:rFonts w:hint="eastAsia" w:ascii="Times New Roman" w:hAnsi="Times New Roman"/>
                <w:color w:val="auto"/>
              </w:rPr>
              <w:t>中级职称人员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color w:val="auto"/>
              </w:rPr>
            </w:pPr>
            <w:r>
              <w:rPr>
                <w:rFonts w:hint="eastAsia" w:ascii="Times New Roman" w:hAnsi="Times New Roman"/>
                <w:color w:val="auto"/>
              </w:rPr>
              <w:t>基本账户开户银行</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rPr>
            </w:pPr>
          </w:p>
        </w:tc>
        <w:tc>
          <w:tcPr>
            <w:tcW w:w="414" w:type="dxa"/>
            <w:vMerge w:val="continue"/>
            <w:tcBorders>
              <w:left w:val="single" w:color="auto" w:sz="4" w:space="0"/>
              <w:right w:val="single" w:color="auto" w:sz="4" w:space="0"/>
            </w:tcBorders>
            <w:vAlign w:val="center"/>
          </w:tcPr>
          <w:p>
            <w:pPr>
              <w:jc w:val="center"/>
              <w:rPr>
                <w:rFonts w:ascii="Times New Roman" w:hAnsi="Times New Roman"/>
                <w:color w:val="auto"/>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color w:val="auto"/>
              </w:rPr>
            </w:pPr>
            <w:r>
              <w:rPr>
                <w:rFonts w:hint="eastAsia" w:ascii="Times New Roman" w:hAnsi="Times New Roman"/>
                <w:color w:val="auto"/>
              </w:rPr>
              <w:t>技术人员数量</w:t>
            </w:r>
          </w:p>
        </w:tc>
        <w:tc>
          <w:tcPr>
            <w:tcW w:w="1514"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color w:val="auto"/>
              </w:rPr>
            </w:pPr>
            <w:r>
              <w:rPr>
                <w:rFonts w:hint="eastAsia" w:ascii="Times New Roman" w:hAnsi="Times New Roman"/>
                <w:color w:val="auto"/>
              </w:rPr>
              <w:t>基本账户银行账号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rPr>
            </w:pPr>
          </w:p>
        </w:tc>
        <w:tc>
          <w:tcPr>
            <w:tcW w:w="414" w:type="dxa"/>
            <w:vMerge w:val="continue"/>
            <w:tcBorders>
              <w:left w:val="single" w:color="auto" w:sz="4" w:space="0"/>
              <w:right w:val="single" w:color="auto" w:sz="4" w:space="0"/>
            </w:tcBorders>
            <w:vAlign w:val="center"/>
          </w:tcPr>
          <w:p>
            <w:pPr>
              <w:jc w:val="center"/>
              <w:rPr>
                <w:rFonts w:ascii="Times New Roman" w:hAnsi="Times New Roman"/>
                <w:color w:val="auto"/>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color w:val="auto"/>
              </w:rPr>
            </w:pPr>
            <w:r>
              <w:rPr>
                <w:rFonts w:hint="eastAsia" w:ascii="Times New Roman" w:hAnsi="Times New Roman"/>
                <w:color w:val="auto"/>
                <w:szCs w:val="21"/>
              </w:rPr>
              <w:t>各类注册人员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right w:val="single" w:color="auto" w:sz="4" w:space="0"/>
            </w:tcBorders>
            <w:vAlign w:val="center"/>
          </w:tcPr>
          <w:p>
            <w:pPr>
              <w:topLinePunct/>
              <w:spacing w:before="100" w:beforeAutospacing="1" w:after="100" w:afterAutospacing="1" w:line="440" w:lineRule="exact"/>
              <w:ind w:firstLine="210" w:firstLineChars="100"/>
              <w:jc w:val="center"/>
              <w:rPr>
                <w:rFonts w:ascii="Times New Roman" w:hAnsi="Times New Roman"/>
                <w:color w:val="auto"/>
              </w:rPr>
            </w:pPr>
            <w:r>
              <w:rPr>
                <w:rFonts w:hint="eastAsia" w:ascii="Times New Roman" w:hAnsi="Times New Roman"/>
                <w:color w:val="auto"/>
              </w:rPr>
              <w:t>经营范围</w:t>
            </w:r>
          </w:p>
        </w:tc>
        <w:tc>
          <w:tcPr>
            <w:tcW w:w="6840" w:type="dxa"/>
            <w:gridSpan w:val="8"/>
            <w:tcBorders>
              <w:top w:val="single" w:color="auto" w:sz="4" w:space="0"/>
              <w:left w:val="single" w:color="auto" w:sz="4" w:space="0"/>
              <w:right w:val="single" w:color="auto" w:sz="4" w:space="0"/>
            </w:tcBorders>
            <w:vAlign w:val="center"/>
          </w:tcPr>
          <w:p>
            <w:pPr>
              <w:topLinePunct/>
              <w:spacing w:line="440" w:lineRule="exact"/>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color w:val="auto"/>
              </w:rPr>
            </w:pPr>
            <w:r>
              <w:rPr>
                <w:rFonts w:hint="eastAsia" w:ascii="Times New Roman" w:hAnsi="Times New Roman"/>
                <w:color w:val="auto"/>
                <w:szCs w:val="21"/>
              </w:rPr>
              <w:t>投标人关联企业情况（包括但不限于与投标人法定代表人为同一人或者存在控股、管理关系的不同单位）</w:t>
            </w:r>
          </w:p>
        </w:tc>
        <w:tc>
          <w:tcPr>
            <w:tcW w:w="6840" w:type="dxa"/>
            <w:gridSpan w:val="8"/>
            <w:tcBorders>
              <w:top w:val="single" w:color="auto" w:sz="4" w:space="0"/>
              <w:left w:val="single" w:color="auto" w:sz="4" w:space="0"/>
              <w:right w:val="single" w:color="auto" w:sz="4" w:space="0"/>
            </w:tcBorders>
            <w:vAlign w:val="center"/>
          </w:tcPr>
          <w:p>
            <w:pPr>
              <w:topLinePunct/>
              <w:spacing w:line="440" w:lineRule="exact"/>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color w:val="auto"/>
              </w:rPr>
            </w:pPr>
            <w:r>
              <w:rPr>
                <w:rFonts w:hint="eastAsia" w:ascii="Times New Roman" w:hAnsi="Times New Roman"/>
                <w:color w:val="auto"/>
              </w:rPr>
              <w:t>备注</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rPr>
            </w:pPr>
          </w:p>
        </w:tc>
      </w:tr>
    </w:tbl>
    <w:p>
      <w:pPr>
        <w:spacing w:line="400" w:lineRule="exact"/>
        <w:rPr>
          <w:rFonts w:ascii="Times New Roman" w:hAnsi="Times New Roman"/>
          <w:color w:val="auto"/>
        </w:rPr>
      </w:pPr>
      <w:r>
        <w:rPr>
          <w:rFonts w:ascii="Times New Roman" w:hAnsi="Times New Roman"/>
          <w:color w:val="auto"/>
        </w:rPr>
        <w:t>注：投标人应根据投标人须知第3.5.1项的要求在本表后附相关证明材料。境内投标人以现金或者支票形式提交投标保证金的，还应附基本账户开户许可证复印件。</w:t>
      </w:r>
    </w:p>
    <w:p>
      <w:pPr>
        <w:spacing w:line="440" w:lineRule="exact"/>
        <w:rPr>
          <w:rFonts w:ascii="Times New Roman" w:hAnsi="Times New Roman"/>
          <w:color w:val="auto"/>
          <w:u w:val="single"/>
        </w:rPr>
      </w:pPr>
    </w:p>
    <w:p>
      <w:pPr>
        <w:pStyle w:val="6"/>
        <w:ind w:firstLine="137"/>
        <w:rPr>
          <w:rFonts w:ascii="Times New Roman" w:hAnsi="Times New Roman"/>
          <w:color w:val="auto"/>
        </w:rPr>
      </w:pPr>
      <w:bookmarkStart w:id="764" w:name="_Toc492300950"/>
      <w:r>
        <w:rPr>
          <w:rFonts w:hint="eastAsia" w:ascii="Times New Roman" w:hAnsi="Times New Roman"/>
          <w:color w:val="auto"/>
        </w:rPr>
        <w:t>（二）近年财务状况表</w:t>
      </w:r>
      <w:bookmarkEnd w:id="764"/>
    </w:p>
    <w:p>
      <w:pPr>
        <w:topLinePunct/>
        <w:spacing w:line="440" w:lineRule="exact"/>
        <w:ind w:firstLine="420" w:firstLineChars="200"/>
        <w:rPr>
          <w:rFonts w:ascii="Times New Roman" w:hAnsi="Times New Roman"/>
          <w:color w:val="auto"/>
        </w:rPr>
      </w:pPr>
      <w:r>
        <w:rPr>
          <w:rFonts w:ascii="Times New Roman" w:hAnsi="Times New Roman"/>
          <w:color w:val="auto"/>
        </w:rPr>
        <w:t>投标人应根据投标人须知第3.5.2项的要求在本表后附相关证明材料。</w:t>
      </w:r>
    </w:p>
    <w:p>
      <w:pPr>
        <w:topLinePunct/>
        <w:spacing w:line="440" w:lineRule="exact"/>
        <w:ind w:firstLine="420" w:firstLineChars="200"/>
        <w:rPr>
          <w:rFonts w:ascii="Times New Roman" w:hAnsi="Times New Roman"/>
          <w:color w:val="auto"/>
          <w:sz w:val="20"/>
        </w:rPr>
      </w:pPr>
      <w:r>
        <w:rPr>
          <w:rFonts w:ascii="Times New Roman" w:hAnsi="Times New Roman"/>
          <w:color w:val="auto"/>
        </w:rPr>
        <w:br w:type="page"/>
      </w:r>
    </w:p>
    <w:p>
      <w:pPr>
        <w:pStyle w:val="6"/>
        <w:ind w:firstLine="137"/>
        <w:rPr>
          <w:rFonts w:ascii="Times New Roman" w:hAnsi="Times New Roman"/>
          <w:color w:val="auto"/>
        </w:rPr>
      </w:pPr>
      <w:bookmarkStart w:id="765" w:name="_Toc492300951"/>
      <w:r>
        <w:rPr>
          <w:rFonts w:hint="eastAsia" w:ascii="Times New Roman" w:hAnsi="Times New Roman"/>
          <w:color w:val="auto"/>
        </w:rPr>
        <w:t>（三）近年完成的类似项目情况表</w:t>
      </w:r>
      <w:bookmarkEnd w:id="765"/>
    </w:p>
    <w:tbl>
      <w:tblPr>
        <w:tblStyle w:val="3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rPr>
            </w:pPr>
            <w:r>
              <w:rPr>
                <w:rFonts w:hint="eastAsia" w:ascii="Times New Roman" w:hAnsi="Times New Roman"/>
                <w:color w:val="auto"/>
              </w:rPr>
              <w:t>项目名称</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rPr>
            </w:pPr>
            <w:r>
              <w:rPr>
                <w:rFonts w:hint="eastAsia" w:ascii="Times New Roman" w:hAnsi="Times New Roman"/>
                <w:color w:val="auto"/>
              </w:rPr>
              <w:t>项目所在地</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rPr>
            </w:pPr>
            <w:r>
              <w:rPr>
                <w:rFonts w:hint="eastAsia" w:ascii="Times New Roman" w:hAnsi="Times New Roman"/>
                <w:color w:val="auto"/>
              </w:rPr>
              <w:t>发包人名称</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rPr>
            </w:pPr>
            <w:r>
              <w:rPr>
                <w:rFonts w:hint="eastAsia" w:ascii="Times New Roman" w:hAnsi="Times New Roman"/>
                <w:color w:val="auto"/>
              </w:rPr>
              <w:t>发包人地址</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rPr>
            </w:pPr>
            <w:r>
              <w:rPr>
                <w:rFonts w:hint="eastAsia" w:ascii="Times New Roman" w:hAnsi="Times New Roman"/>
                <w:color w:val="auto"/>
              </w:rPr>
              <w:t>发包人电话</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rPr>
            </w:pPr>
            <w:r>
              <w:rPr>
                <w:rFonts w:hint="eastAsia" w:ascii="Times New Roman" w:hAnsi="Times New Roman"/>
                <w:color w:val="auto"/>
              </w:rPr>
              <w:t>合同价格</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rPr>
            </w:pPr>
            <w:r>
              <w:rPr>
                <w:rFonts w:hint="eastAsia" w:ascii="Times New Roman" w:hAnsi="Times New Roman"/>
                <w:color w:val="auto"/>
              </w:rPr>
              <w:t>勘察服务期限</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rPr>
            </w:pPr>
            <w:r>
              <w:rPr>
                <w:rFonts w:hint="eastAsia" w:ascii="Times New Roman" w:hAnsi="Times New Roman"/>
                <w:color w:val="auto"/>
              </w:rPr>
              <w:t>勘察内容</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rPr>
            </w:pPr>
            <w:r>
              <w:rPr>
                <w:rFonts w:hint="eastAsia" w:ascii="Times New Roman" w:hAnsi="Times New Roman"/>
                <w:color w:val="auto"/>
              </w:rPr>
              <w:t>项目负责人</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rPr>
            </w:pPr>
            <w:r>
              <w:rPr>
                <w:rFonts w:hint="eastAsia" w:ascii="Times New Roman" w:hAnsi="Times New Roman"/>
                <w:color w:val="auto"/>
              </w:rPr>
              <w:t>项目描述</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color w:val="auto"/>
              </w:rPr>
            </w:pPr>
          </w:p>
          <w:p>
            <w:pPr>
              <w:topLinePunct/>
              <w:spacing w:line="440" w:lineRule="exact"/>
              <w:rPr>
                <w:rFonts w:ascii="Times New Roman" w:hAnsi="Times New Roman"/>
                <w:color w:val="auto"/>
              </w:rPr>
            </w:pPr>
          </w:p>
          <w:p>
            <w:pPr>
              <w:topLinePunct/>
              <w:spacing w:line="440" w:lineRule="exact"/>
              <w:rPr>
                <w:rFonts w:ascii="Times New Roman" w:hAnsi="Times New Roman"/>
                <w:color w:val="auto"/>
              </w:rPr>
            </w:pPr>
          </w:p>
          <w:p>
            <w:pPr>
              <w:topLinePunct/>
              <w:spacing w:line="440" w:lineRule="exact"/>
              <w:rPr>
                <w:rFonts w:ascii="Times New Roman" w:hAnsi="Times New Roman"/>
                <w:color w:val="auto"/>
              </w:rPr>
            </w:pPr>
          </w:p>
          <w:p>
            <w:pPr>
              <w:topLinePunct/>
              <w:spacing w:line="440" w:lineRule="exact"/>
              <w:rPr>
                <w:rFonts w:ascii="Times New Roman" w:hAnsi="Times New Roman"/>
                <w:color w:val="auto"/>
              </w:rPr>
            </w:pPr>
          </w:p>
          <w:p>
            <w:pPr>
              <w:topLinePunct/>
              <w:spacing w:line="440" w:lineRule="exact"/>
              <w:rPr>
                <w:rFonts w:ascii="Times New Roman" w:hAnsi="Times New Roman"/>
                <w:color w:val="auto"/>
              </w:rPr>
            </w:pPr>
          </w:p>
          <w:p>
            <w:pPr>
              <w:topLinePunct/>
              <w:spacing w:line="440" w:lineRule="exact"/>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rPr>
            </w:pPr>
            <w:r>
              <w:rPr>
                <w:rFonts w:hint="eastAsia" w:ascii="Times New Roman" w:hAnsi="Times New Roman"/>
                <w:color w:val="auto"/>
              </w:rPr>
              <w:t>备注</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color w:val="auto"/>
              </w:rPr>
            </w:pPr>
          </w:p>
        </w:tc>
      </w:tr>
    </w:tbl>
    <w:p>
      <w:pPr>
        <w:spacing w:line="440" w:lineRule="exact"/>
        <w:rPr>
          <w:rFonts w:ascii="Times New Roman" w:hAnsi="Times New Roman"/>
          <w:color w:val="auto"/>
        </w:rPr>
      </w:pPr>
      <w:r>
        <w:rPr>
          <w:rFonts w:ascii="Times New Roman" w:hAnsi="Times New Roman"/>
          <w:color w:val="auto"/>
        </w:rPr>
        <w:t>注：投标人应根据投标人须知第3.5.3项的要求在本表后附相关证明材料。</w:t>
      </w:r>
    </w:p>
    <w:p>
      <w:pPr>
        <w:spacing w:line="440" w:lineRule="exact"/>
        <w:rPr>
          <w:rFonts w:ascii="Times New Roman" w:hAnsi="Times New Roman"/>
          <w:color w:val="auto"/>
        </w:rPr>
      </w:pPr>
    </w:p>
    <w:p>
      <w:pPr>
        <w:spacing w:line="440" w:lineRule="exact"/>
        <w:rPr>
          <w:rFonts w:ascii="Times New Roman" w:hAnsi="Times New Roman"/>
          <w:color w:val="auto"/>
        </w:rPr>
      </w:pPr>
    </w:p>
    <w:p>
      <w:pPr>
        <w:topLinePunct/>
        <w:spacing w:line="440" w:lineRule="exact"/>
        <w:rPr>
          <w:rFonts w:ascii="Times New Roman" w:hAnsi="Times New Roman"/>
          <w:color w:val="auto"/>
        </w:rPr>
      </w:pPr>
      <w:r>
        <w:rPr>
          <w:rFonts w:ascii="Times New Roman" w:hAnsi="Times New Roman"/>
          <w:color w:val="auto"/>
        </w:rPr>
        <w:br w:type="page"/>
      </w:r>
    </w:p>
    <w:p>
      <w:pPr>
        <w:pStyle w:val="6"/>
        <w:ind w:firstLine="137"/>
        <w:rPr>
          <w:rFonts w:ascii="Times New Roman" w:hAnsi="Times New Roman"/>
          <w:color w:val="auto"/>
        </w:rPr>
      </w:pPr>
      <w:bookmarkStart w:id="766" w:name="_Toc152045810"/>
      <w:bookmarkStart w:id="767" w:name="_Toc144974878"/>
      <w:bookmarkStart w:id="768" w:name="_Toc359594247"/>
      <w:bookmarkStart w:id="769" w:name="_Toc361508766"/>
      <w:bookmarkStart w:id="770" w:name="_Toc247527850"/>
      <w:bookmarkStart w:id="771" w:name="_Toc247514302"/>
      <w:bookmarkStart w:id="772" w:name="_Toc370676438"/>
      <w:bookmarkStart w:id="773" w:name="_Toc152042599"/>
      <w:bookmarkStart w:id="774" w:name="_Toc300835226"/>
      <w:bookmarkStart w:id="775" w:name="_Toc384308388"/>
      <w:bookmarkStart w:id="776" w:name="_Toc492300952"/>
      <w:bookmarkStart w:id="777" w:name="_Toc152042600"/>
      <w:bookmarkStart w:id="778" w:name="_Toc247514303"/>
      <w:bookmarkStart w:id="779" w:name="_Toc152045811"/>
      <w:bookmarkStart w:id="780" w:name="_Toc144974879"/>
      <w:bookmarkStart w:id="781" w:name="_Toc247527851"/>
      <w:r>
        <w:rPr>
          <w:rFonts w:hint="eastAsia" w:ascii="Times New Roman" w:hAnsi="Times New Roman"/>
          <w:color w:val="auto"/>
        </w:rPr>
        <w:t>（四）正在勘察和新承接的项目情况表</w:t>
      </w:r>
      <w:bookmarkEnd w:id="766"/>
      <w:bookmarkEnd w:id="767"/>
      <w:bookmarkEnd w:id="768"/>
      <w:bookmarkEnd w:id="769"/>
      <w:bookmarkEnd w:id="770"/>
      <w:bookmarkEnd w:id="771"/>
      <w:bookmarkEnd w:id="772"/>
      <w:bookmarkEnd w:id="773"/>
      <w:bookmarkEnd w:id="774"/>
      <w:bookmarkEnd w:id="775"/>
      <w:bookmarkEnd w:id="776"/>
    </w:p>
    <w:tbl>
      <w:tblPr>
        <w:tblStyle w:val="3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szCs w:val="21"/>
              </w:rPr>
            </w:pPr>
            <w:r>
              <w:rPr>
                <w:rFonts w:ascii="Times New Roman" w:hAnsi="Times New Roman"/>
                <w:color w:val="auto"/>
                <w:szCs w:val="21"/>
              </w:rPr>
              <w:t>项目名称</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szCs w:val="21"/>
              </w:rPr>
            </w:pPr>
            <w:r>
              <w:rPr>
                <w:rFonts w:ascii="Times New Roman" w:hAnsi="Times New Roman"/>
                <w:color w:val="auto"/>
                <w:szCs w:val="21"/>
              </w:rPr>
              <w:t>项目所在地</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szCs w:val="21"/>
              </w:rPr>
            </w:pPr>
            <w:r>
              <w:rPr>
                <w:rFonts w:ascii="Times New Roman" w:hAnsi="Times New Roman"/>
                <w:color w:val="auto"/>
                <w:szCs w:val="21"/>
              </w:rPr>
              <w:t>发包人名称</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szCs w:val="21"/>
              </w:rPr>
            </w:pPr>
            <w:r>
              <w:rPr>
                <w:rFonts w:ascii="Times New Roman" w:hAnsi="Times New Roman"/>
                <w:color w:val="auto"/>
                <w:szCs w:val="21"/>
              </w:rPr>
              <w:t>发包人地址</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szCs w:val="21"/>
              </w:rPr>
            </w:pPr>
            <w:r>
              <w:rPr>
                <w:rFonts w:ascii="Times New Roman" w:hAnsi="Times New Roman"/>
                <w:color w:val="auto"/>
                <w:szCs w:val="21"/>
              </w:rPr>
              <w:t>发包人电话</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szCs w:val="21"/>
              </w:rPr>
            </w:pPr>
            <w:r>
              <w:rPr>
                <w:rFonts w:hint="eastAsia" w:ascii="Times New Roman" w:hAnsi="Times New Roman"/>
                <w:color w:val="auto"/>
                <w:szCs w:val="21"/>
              </w:rPr>
              <w:t>签约合同价</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szCs w:val="21"/>
              </w:rPr>
            </w:pPr>
            <w:r>
              <w:rPr>
                <w:rFonts w:ascii="Times New Roman" w:hAnsi="Times New Roman"/>
                <w:color w:val="auto"/>
                <w:szCs w:val="21"/>
              </w:rPr>
              <w:t>勘察服务期限</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szCs w:val="21"/>
              </w:rPr>
            </w:pPr>
            <w:r>
              <w:rPr>
                <w:rFonts w:ascii="Times New Roman" w:hAnsi="Times New Roman"/>
                <w:color w:val="auto"/>
                <w:szCs w:val="21"/>
              </w:rPr>
              <w:t>勘察内容</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szCs w:val="21"/>
              </w:rPr>
            </w:pPr>
            <w:r>
              <w:rPr>
                <w:rFonts w:ascii="Times New Roman" w:hAnsi="Times New Roman"/>
                <w:color w:val="auto"/>
                <w:szCs w:val="21"/>
              </w:rPr>
              <w:t>项目负责人</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szCs w:val="21"/>
              </w:rPr>
            </w:pPr>
            <w:r>
              <w:rPr>
                <w:rFonts w:ascii="Times New Roman" w:hAnsi="Times New Roman"/>
                <w:color w:val="auto"/>
                <w:szCs w:val="21"/>
              </w:rPr>
              <w:t>项目描述</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color w:val="auto"/>
              </w:rPr>
            </w:pPr>
          </w:p>
          <w:p>
            <w:pPr>
              <w:topLinePunct/>
              <w:spacing w:line="440" w:lineRule="exact"/>
              <w:rPr>
                <w:rFonts w:ascii="Times New Roman" w:hAnsi="Times New Roman"/>
                <w:color w:val="auto"/>
              </w:rPr>
            </w:pPr>
          </w:p>
          <w:p>
            <w:pPr>
              <w:topLinePunct/>
              <w:spacing w:line="440" w:lineRule="exact"/>
              <w:rPr>
                <w:rFonts w:ascii="Times New Roman" w:hAnsi="Times New Roman"/>
                <w:color w:val="auto"/>
              </w:rPr>
            </w:pPr>
          </w:p>
          <w:p>
            <w:pPr>
              <w:topLinePunct/>
              <w:spacing w:line="440" w:lineRule="exact"/>
              <w:rPr>
                <w:rFonts w:ascii="Times New Roman" w:hAnsi="Times New Roman"/>
                <w:color w:val="auto"/>
              </w:rPr>
            </w:pPr>
          </w:p>
          <w:p>
            <w:pPr>
              <w:topLinePunct/>
              <w:spacing w:line="440" w:lineRule="exact"/>
              <w:rPr>
                <w:rFonts w:ascii="Times New Roman" w:hAnsi="Times New Roman"/>
                <w:color w:val="auto"/>
              </w:rPr>
            </w:pPr>
          </w:p>
          <w:p>
            <w:pPr>
              <w:topLinePunct/>
              <w:spacing w:line="440" w:lineRule="exact"/>
              <w:rPr>
                <w:rFonts w:ascii="Times New Roman" w:hAnsi="Times New Roman"/>
                <w:color w:val="auto"/>
              </w:rPr>
            </w:pPr>
          </w:p>
          <w:p>
            <w:pPr>
              <w:topLinePunct/>
              <w:spacing w:line="440" w:lineRule="exact"/>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szCs w:val="21"/>
              </w:rPr>
            </w:pPr>
            <w:r>
              <w:rPr>
                <w:rFonts w:ascii="Times New Roman" w:hAnsi="Times New Roman"/>
                <w:color w:val="auto"/>
                <w:szCs w:val="21"/>
              </w:rPr>
              <w:t>备注</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color w:val="auto"/>
              </w:rPr>
            </w:pPr>
          </w:p>
        </w:tc>
      </w:tr>
      <w:bookmarkEnd w:id="777"/>
      <w:bookmarkEnd w:id="778"/>
      <w:bookmarkEnd w:id="779"/>
      <w:bookmarkEnd w:id="780"/>
      <w:bookmarkEnd w:id="781"/>
    </w:tbl>
    <w:p>
      <w:pPr>
        <w:spacing w:line="440" w:lineRule="exact"/>
        <w:rPr>
          <w:rFonts w:ascii="Times New Roman" w:hAnsi="Times New Roman"/>
          <w:color w:val="auto"/>
        </w:rPr>
      </w:pPr>
      <w:r>
        <w:rPr>
          <w:rFonts w:ascii="Times New Roman" w:hAnsi="Times New Roman"/>
          <w:color w:val="auto"/>
        </w:rPr>
        <w:t>注：投标人应根据投标人须知第3.5.4项的要求在本表后附相关证明材料。</w:t>
      </w:r>
    </w:p>
    <w:p>
      <w:pPr>
        <w:spacing w:line="440" w:lineRule="exact"/>
        <w:rPr>
          <w:rFonts w:ascii="Times New Roman" w:hAnsi="Times New Roman"/>
          <w:color w:val="auto"/>
        </w:rPr>
      </w:pPr>
      <w:r>
        <w:rPr>
          <w:rFonts w:ascii="Times New Roman" w:hAnsi="Times New Roman"/>
          <w:color w:val="auto"/>
        </w:rPr>
        <w:br w:type="page"/>
      </w:r>
    </w:p>
    <w:bookmarkEnd w:id="761"/>
    <w:p>
      <w:pPr>
        <w:pStyle w:val="6"/>
        <w:spacing w:line="440" w:lineRule="exact"/>
        <w:ind w:firstLine="137"/>
        <w:rPr>
          <w:rFonts w:ascii="Times New Roman" w:hAnsi="Times New Roman"/>
          <w:color w:val="auto"/>
        </w:rPr>
      </w:pPr>
      <w:bookmarkStart w:id="782" w:name="_Toc492300953"/>
      <w:r>
        <w:rPr>
          <w:rFonts w:hint="eastAsia" w:ascii="Times New Roman" w:hAnsi="Times New Roman"/>
          <w:color w:val="auto"/>
        </w:rPr>
        <w:t>（五）近年发生的诉讼及仲裁情况</w:t>
      </w:r>
      <w:bookmarkEnd w:id="782"/>
    </w:p>
    <w:p>
      <w:pPr>
        <w:spacing w:line="440" w:lineRule="exact"/>
        <w:rPr>
          <w:rFonts w:ascii="Times New Roman" w:hAnsi="Times New Roman"/>
          <w:color w:val="auto"/>
        </w:rPr>
      </w:pPr>
      <w:r>
        <w:rPr>
          <w:rFonts w:ascii="Times New Roman" w:hAnsi="Times New Roman"/>
          <w:color w:val="auto"/>
        </w:rPr>
        <w:t>注：投标人应根据投标人须知第3.5.5项的要求附相关证明材料。</w:t>
      </w:r>
    </w:p>
    <w:p>
      <w:pPr>
        <w:pStyle w:val="6"/>
        <w:spacing w:line="440" w:lineRule="exact"/>
        <w:ind w:firstLine="137"/>
        <w:rPr>
          <w:rFonts w:ascii="Times New Roman" w:hAnsi="Times New Roman"/>
          <w:color w:val="auto"/>
        </w:rPr>
      </w:pPr>
      <w:r>
        <w:rPr>
          <w:rFonts w:ascii="Times New Roman" w:hAnsi="Times New Roman"/>
          <w:color w:val="auto"/>
        </w:rPr>
        <w:br w:type="page"/>
      </w:r>
    </w:p>
    <w:p>
      <w:pPr>
        <w:pStyle w:val="6"/>
        <w:ind w:firstLine="0" w:firstLineChars="0"/>
        <w:rPr>
          <w:rFonts w:ascii="Times New Roman" w:hAnsi="Times New Roman"/>
          <w:color w:val="auto"/>
        </w:rPr>
      </w:pPr>
      <w:bookmarkStart w:id="783" w:name="_Toc482188667"/>
      <w:bookmarkStart w:id="784" w:name="_Toc492300954"/>
      <w:r>
        <w:rPr>
          <w:rFonts w:hint="eastAsia" w:ascii="Times New Roman" w:hAnsi="Times New Roman"/>
          <w:color w:val="auto"/>
        </w:rPr>
        <w:t>（六）拟委任的主要人员汇总表</w:t>
      </w:r>
      <w:bookmarkEnd w:id="783"/>
      <w:bookmarkEnd w:id="784"/>
    </w:p>
    <w:tbl>
      <w:tblPr>
        <w:tblStyle w:val="38"/>
        <w:tblW w:w="80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5"/>
        <w:gridCol w:w="992"/>
        <w:gridCol w:w="603"/>
        <w:gridCol w:w="488"/>
        <w:gridCol w:w="1134"/>
        <w:gridCol w:w="709"/>
        <w:gridCol w:w="87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Merge w:val="restart"/>
            <w:vAlign w:val="center"/>
          </w:tcPr>
          <w:p>
            <w:pPr>
              <w:spacing w:line="440" w:lineRule="exact"/>
              <w:jc w:val="center"/>
              <w:rPr>
                <w:rFonts w:ascii="Times New Roman" w:hAnsi="Times New Roman"/>
                <w:color w:val="auto"/>
              </w:rPr>
            </w:pPr>
            <w:r>
              <w:rPr>
                <w:rFonts w:hint="eastAsia" w:ascii="Times New Roman" w:hAnsi="Times New Roman"/>
                <w:color w:val="auto"/>
              </w:rPr>
              <w:t>序号</w:t>
            </w:r>
          </w:p>
        </w:tc>
        <w:tc>
          <w:tcPr>
            <w:tcW w:w="1275" w:type="dxa"/>
            <w:vMerge w:val="restart"/>
            <w:vAlign w:val="center"/>
          </w:tcPr>
          <w:p>
            <w:pPr>
              <w:spacing w:line="440" w:lineRule="exact"/>
              <w:jc w:val="center"/>
              <w:rPr>
                <w:rFonts w:ascii="Times New Roman" w:hAnsi="Times New Roman"/>
                <w:color w:val="auto"/>
              </w:rPr>
            </w:pPr>
            <w:r>
              <w:rPr>
                <w:rFonts w:hint="eastAsia" w:ascii="Times New Roman" w:hAnsi="Times New Roman"/>
                <w:color w:val="auto"/>
              </w:rPr>
              <w:t>本项目任职</w:t>
            </w:r>
          </w:p>
        </w:tc>
        <w:tc>
          <w:tcPr>
            <w:tcW w:w="992" w:type="dxa"/>
            <w:vMerge w:val="restart"/>
            <w:vAlign w:val="center"/>
          </w:tcPr>
          <w:p>
            <w:pPr>
              <w:spacing w:line="440" w:lineRule="exact"/>
              <w:jc w:val="center"/>
              <w:rPr>
                <w:rFonts w:ascii="Times New Roman" w:hAnsi="Times New Roman"/>
                <w:color w:val="auto"/>
              </w:rPr>
            </w:pPr>
            <w:r>
              <w:rPr>
                <w:rFonts w:hint="eastAsia" w:ascii="Times New Roman" w:hAnsi="Times New Roman"/>
                <w:color w:val="auto"/>
              </w:rPr>
              <w:t>姓名</w:t>
            </w:r>
          </w:p>
        </w:tc>
        <w:tc>
          <w:tcPr>
            <w:tcW w:w="603" w:type="dxa"/>
            <w:vMerge w:val="restart"/>
            <w:vAlign w:val="center"/>
          </w:tcPr>
          <w:p>
            <w:pPr>
              <w:spacing w:line="440" w:lineRule="exact"/>
              <w:jc w:val="center"/>
              <w:rPr>
                <w:rFonts w:ascii="Times New Roman" w:hAnsi="Times New Roman"/>
                <w:color w:val="auto"/>
              </w:rPr>
            </w:pPr>
            <w:r>
              <w:rPr>
                <w:rFonts w:hint="eastAsia" w:ascii="Times New Roman" w:hAnsi="Times New Roman"/>
                <w:color w:val="auto"/>
              </w:rPr>
              <w:t>职称</w:t>
            </w:r>
          </w:p>
        </w:tc>
        <w:tc>
          <w:tcPr>
            <w:tcW w:w="488" w:type="dxa"/>
            <w:vMerge w:val="restart"/>
            <w:vAlign w:val="center"/>
          </w:tcPr>
          <w:p>
            <w:pPr>
              <w:spacing w:line="440" w:lineRule="exact"/>
              <w:jc w:val="center"/>
              <w:rPr>
                <w:rFonts w:ascii="Times New Roman" w:hAnsi="Times New Roman"/>
                <w:color w:val="auto"/>
              </w:rPr>
            </w:pPr>
            <w:r>
              <w:rPr>
                <w:rFonts w:hint="eastAsia" w:ascii="Times New Roman" w:hAnsi="Times New Roman"/>
                <w:color w:val="auto"/>
              </w:rPr>
              <w:t>专业</w:t>
            </w:r>
          </w:p>
        </w:tc>
        <w:tc>
          <w:tcPr>
            <w:tcW w:w="2714" w:type="dxa"/>
            <w:gridSpan w:val="3"/>
            <w:vAlign w:val="center"/>
          </w:tcPr>
          <w:p>
            <w:pPr>
              <w:spacing w:line="440" w:lineRule="exact"/>
              <w:jc w:val="center"/>
              <w:rPr>
                <w:rFonts w:ascii="Times New Roman" w:hAnsi="Times New Roman"/>
                <w:color w:val="auto"/>
              </w:rPr>
            </w:pPr>
            <w:r>
              <w:rPr>
                <w:rFonts w:hint="eastAsia" w:ascii="Times New Roman" w:hAnsi="Times New Roman"/>
                <w:color w:val="auto"/>
              </w:rPr>
              <w:t>执业或职业资格证明</w:t>
            </w:r>
          </w:p>
        </w:tc>
        <w:tc>
          <w:tcPr>
            <w:tcW w:w="1134" w:type="dxa"/>
            <w:vAlign w:val="center"/>
          </w:tcPr>
          <w:p>
            <w:pPr>
              <w:spacing w:line="440" w:lineRule="exact"/>
              <w:jc w:val="center"/>
              <w:rPr>
                <w:rFonts w:ascii="Times New Roman" w:hAnsi="Times New Roman"/>
                <w:color w:val="auto"/>
              </w:rPr>
            </w:pPr>
            <w:r>
              <w:rPr>
                <w:rFonts w:hint="eastAsia" w:ascii="Times New Roman" w:hAnsi="Times New Roman"/>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Merge w:val="continue"/>
            <w:vAlign w:val="center"/>
          </w:tcPr>
          <w:p>
            <w:pPr>
              <w:rPr>
                <w:rFonts w:ascii="Times New Roman" w:hAnsi="Times New Roman"/>
                <w:color w:val="auto"/>
              </w:rPr>
            </w:pPr>
          </w:p>
        </w:tc>
        <w:tc>
          <w:tcPr>
            <w:tcW w:w="1275" w:type="dxa"/>
            <w:vMerge w:val="continue"/>
          </w:tcPr>
          <w:p>
            <w:pPr>
              <w:rPr>
                <w:rFonts w:ascii="Times New Roman" w:hAnsi="Times New Roman"/>
                <w:color w:val="auto"/>
              </w:rPr>
            </w:pPr>
          </w:p>
        </w:tc>
        <w:tc>
          <w:tcPr>
            <w:tcW w:w="992" w:type="dxa"/>
            <w:vMerge w:val="continue"/>
            <w:vAlign w:val="center"/>
          </w:tcPr>
          <w:p>
            <w:pPr>
              <w:rPr>
                <w:rFonts w:ascii="Times New Roman" w:hAnsi="Times New Roman"/>
                <w:color w:val="auto"/>
              </w:rPr>
            </w:pPr>
          </w:p>
        </w:tc>
        <w:tc>
          <w:tcPr>
            <w:tcW w:w="603" w:type="dxa"/>
            <w:vMerge w:val="continue"/>
            <w:vAlign w:val="center"/>
          </w:tcPr>
          <w:p>
            <w:pPr>
              <w:rPr>
                <w:rFonts w:ascii="Times New Roman" w:hAnsi="Times New Roman"/>
                <w:color w:val="auto"/>
              </w:rPr>
            </w:pPr>
          </w:p>
        </w:tc>
        <w:tc>
          <w:tcPr>
            <w:tcW w:w="488" w:type="dxa"/>
            <w:vMerge w:val="continue"/>
            <w:vAlign w:val="center"/>
          </w:tcPr>
          <w:p>
            <w:pPr>
              <w:spacing w:line="440" w:lineRule="exact"/>
              <w:jc w:val="center"/>
              <w:rPr>
                <w:rFonts w:ascii="Times New Roman" w:hAnsi="Times New Roman"/>
                <w:color w:val="auto"/>
              </w:rPr>
            </w:pPr>
          </w:p>
        </w:tc>
        <w:tc>
          <w:tcPr>
            <w:tcW w:w="1134" w:type="dxa"/>
            <w:vAlign w:val="center"/>
          </w:tcPr>
          <w:p>
            <w:pPr>
              <w:spacing w:before="100" w:beforeAutospacing="1" w:after="100" w:afterAutospacing="1" w:line="440" w:lineRule="exact"/>
              <w:jc w:val="center"/>
              <w:rPr>
                <w:rFonts w:ascii="Times New Roman" w:hAnsi="Times New Roman"/>
                <w:color w:val="auto"/>
              </w:rPr>
            </w:pPr>
            <w:r>
              <w:rPr>
                <w:rFonts w:hint="eastAsia" w:ascii="Times New Roman" w:hAnsi="Times New Roman"/>
                <w:color w:val="auto"/>
              </w:rPr>
              <w:t>证书名称</w:t>
            </w:r>
          </w:p>
        </w:tc>
        <w:tc>
          <w:tcPr>
            <w:tcW w:w="709" w:type="dxa"/>
            <w:vAlign w:val="center"/>
          </w:tcPr>
          <w:p>
            <w:pPr>
              <w:spacing w:before="100" w:beforeAutospacing="1" w:after="100" w:afterAutospacing="1" w:line="440" w:lineRule="exact"/>
              <w:jc w:val="center"/>
              <w:rPr>
                <w:rFonts w:ascii="Times New Roman" w:hAnsi="Times New Roman"/>
                <w:color w:val="auto"/>
              </w:rPr>
            </w:pPr>
            <w:r>
              <w:rPr>
                <w:rFonts w:hint="eastAsia" w:ascii="Times New Roman" w:hAnsi="Times New Roman"/>
                <w:color w:val="auto"/>
              </w:rPr>
              <w:t>级别</w:t>
            </w:r>
          </w:p>
        </w:tc>
        <w:tc>
          <w:tcPr>
            <w:tcW w:w="871" w:type="dxa"/>
            <w:vAlign w:val="center"/>
          </w:tcPr>
          <w:p>
            <w:pPr>
              <w:spacing w:before="100" w:beforeAutospacing="1" w:after="100" w:afterAutospacing="1" w:line="440" w:lineRule="exact"/>
              <w:jc w:val="center"/>
              <w:rPr>
                <w:rFonts w:ascii="Times New Roman" w:hAnsi="Times New Roman"/>
                <w:color w:val="auto"/>
              </w:rPr>
            </w:pPr>
            <w:r>
              <w:rPr>
                <w:rFonts w:hint="eastAsia" w:ascii="Times New Roman" w:hAnsi="Times New Roman"/>
                <w:color w:val="auto"/>
              </w:rPr>
              <w:t>证号</w:t>
            </w:r>
          </w:p>
        </w:tc>
        <w:tc>
          <w:tcPr>
            <w:tcW w:w="1134" w:type="dxa"/>
            <w:vAlign w:val="center"/>
          </w:tcPr>
          <w:p>
            <w:pPr>
              <w:spacing w:line="440" w:lineRule="exact"/>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center"/>
          </w:tcPr>
          <w:p>
            <w:pPr>
              <w:spacing w:line="440" w:lineRule="exact"/>
              <w:jc w:val="center"/>
              <w:rPr>
                <w:rFonts w:ascii="Times New Roman" w:hAnsi="Times New Roman"/>
                <w:color w:val="auto"/>
              </w:rPr>
            </w:pPr>
          </w:p>
        </w:tc>
        <w:tc>
          <w:tcPr>
            <w:tcW w:w="1275" w:type="dxa"/>
          </w:tcPr>
          <w:p>
            <w:pPr>
              <w:spacing w:line="440" w:lineRule="exact"/>
              <w:jc w:val="center"/>
              <w:rPr>
                <w:rFonts w:ascii="Times New Roman" w:hAnsi="Times New Roman"/>
                <w:color w:val="auto"/>
              </w:rPr>
            </w:pPr>
          </w:p>
        </w:tc>
        <w:tc>
          <w:tcPr>
            <w:tcW w:w="992" w:type="dxa"/>
            <w:vAlign w:val="center"/>
          </w:tcPr>
          <w:p>
            <w:pPr>
              <w:spacing w:line="440" w:lineRule="exact"/>
              <w:jc w:val="center"/>
              <w:rPr>
                <w:rFonts w:ascii="Times New Roman" w:hAnsi="Times New Roman"/>
                <w:color w:val="auto"/>
              </w:rPr>
            </w:pPr>
          </w:p>
        </w:tc>
        <w:tc>
          <w:tcPr>
            <w:tcW w:w="603" w:type="dxa"/>
            <w:vAlign w:val="center"/>
          </w:tcPr>
          <w:p>
            <w:pPr>
              <w:spacing w:line="440" w:lineRule="exact"/>
              <w:jc w:val="center"/>
              <w:rPr>
                <w:rFonts w:ascii="Times New Roman" w:hAnsi="Times New Roman"/>
                <w:color w:val="auto"/>
              </w:rPr>
            </w:pPr>
          </w:p>
        </w:tc>
        <w:tc>
          <w:tcPr>
            <w:tcW w:w="488" w:type="dxa"/>
            <w:vAlign w:val="center"/>
          </w:tcPr>
          <w:p>
            <w:pPr>
              <w:spacing w:line="440" w:lineRule="exact"/>
              <w:jc w:val="center"/>
              <w:rPr>
                <w:rFonts w:ascii="Times New Roman" w:hAnsi="Times New Roman"/>
                <w:color w:val="auto"/>
              </w:rPr>
            </w:pPr>
          </w:p>
        </w:tc>
        <w:tc>
          <w:tcPr>
            <w:tcW w:w="1134" w:type="dxa"/>
            <w:vAlign w:val="center"/>
          </w:tcPr>
          <w:p>
            <w:pPr>
              <w:spacing w:line="440" w:lineRule="exact"/>
              <w:jc w:val="center"/>
              <w:rPr>
                <w:rFonts w:ascii="Times New Roman" w:hAnsi="Times New Roman"/>
                <w:color w:val="auto"/>
              </w:rPr>
            </w:pPr>
          </w:p>
        </w:tc>
        <w:tc>
          <w:tcPr>
            <w:tcW w:w="709" w:type="dxa"/>
            <w:vAlign w:val="center"/>
          </w:tcPr>
          <w:p>
            <w:pPr>
              <w:spacing w:line="440" w:lineRule="exact"/>
              <w:jc w:val="center"/>
              <w:rPr>
                <w:rFonts w:ascii="Times New Roman" w:hAnsi="Times New Roman"/>
                <w:color w:val="auto"/>
              </w:rPr>
            </w:pPr>
          </w:p>
        </w:tc>
        <w:tc>
          <w:tcPr>
            <w:tcW w:w="871" w:type="dxa"/>
            <w:vAlign w:val="center"/>
          </w:tcPr>
          <w:p>
            <w:pPr>
              <w:spacing w:line="440" w:lineRule="exact"/>
              <w:jc w:val="center"/>
              <w:rPr>
                <w:rFonts w:ascii="Times New Roman" w:hAnsi="Times New Roman"/>
                <w:color w:val="auto"/>
              </w:rPr>
            </w:pPr>
          </w:p>
        </w:tc>
        <w:tc>
          <w:tcPr>
            <w:tcW w:w="1134" w:type="dxa"/>
            <w:vAlign w:val="center"/>
          </w:tcPr>
          <w:p>
            <w:pPr>
              <w:spacing w:line="440" w:lineRule="exact"/>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color w:val="auto"/>
              </w:rPr>
            </w:pPr>
          </w:p>
        </w:tc>
        <w:tc>
          <w:tcPr>
            <w:tcW w:w="1275" w:type="dxa"/>
          </w:tcPr>
          <w:p>
            <w:pPr>
              <w:spacing w:line="440" w:lineRule="exact"/>
              <w:jc w:val="center"/>
              <w:rPr>
                <w:rFonts w:ascii="Times New Roman" w:hAnsi="Times New Roman"/>
                <w:color w:val="auto"/>
              </w:rPr>
            </w:pPr>
          </w:p>
        </w:tc>
        <w:tc>
          <w:tcPr>
            <w:tcW w:w="992" w:type="dxa"/>
          </w:tcPr>
          <w:p>
            <w:pPr>
              <w:spacing w:line="440" w:lineRule="exact"/>
              <w:jc w:val="center"/>
              <w:rPr>
                <w:rFonts w:ascii="Times New Roman" w:hAnsi="Times New Roman"/>
                <w:color w:val="auto"/>
              </w:rPr>
            </w:pPr>
          </w:p>
        </w:tc>
        <w:tc>
          <w:tcPr>
            <w:tcW w:w="603" w:type="dxa"/>
          </w:tcPr>
          <w:p>
            <w:pPr>
              <w:spacing w:line="440" w:lineRule="exact"/>
              <w:jc w:val="center"/>
              <w:rPr>
                <w:rFonts w:ascii="Times New Roman" w:hAnsi="Times New Roman"/>
                <w:color w:val="auto"/>
              </w:rPr>
            </w:pPr>
          </w:p>
        </w:tc>
        <w:tc>
          <w:tcPr>
            <w:tcW w:w="488" w:type="dxa"/>
          </w:tcPr>
          <w:p>
            <w:pPr>
              <w:spacing w:line="440" w:lineRule="exact"/>
              <w:jc w:val="center"/>
              <w:rPr>
                <w:rFonts w:ascii="Times New Roman" w:hAnsi="Times New Roman"/>
                <w:color w:val="auto"/>
              </w:rPr>
            </w:pPr>
          </w:p>
        </w:tc>
        <w:tc>
          <w:tcPr>
            <w:tcW w:w="1134" w:type="dxa"/>
          </w:tcPr>
          <w:p>
            <w:pPr>
              <w:spacing w:line="440" w:lineRule="exact"/>
              <w:jc w:val="center"/>
              <w:rPr>
                <w:rFonts w:ascii="Times New Roman" w:hAnsi="Times New Roman"/>
                <w:color w:val="auto"/>
              </w:rPr>
            </w:pPr>
          </w:p>
        </w:tc>
        <w:tc>
          <w:tcPr>
            <w:tcW w:w="709" w:type="dxa"/>
          </w:tcPr>
          <w:p>
            <w:pPr>
              <w:spacing w:line="440" w:lineRule="exact"/>
              <w:jc w:val="center"/>
              <w:rPr>
                <w:rFonts w:ascii="Times New Roman" w:hAnsi="Times New Roman"/>
                <w:color w:val="auto"/>
              </w:rPr>
            </w:pPr>
          </w:p>
        </w:tc>
        <w:tc>
          <w:tcPr>
            <w:tcW w:w="871" w:type="dxa"/>
          </w:tcPr>
          <w:p>
            <w:pPr>
              <w:spacing w:line="440" w:lineRule="exact"/>
              <w:jc w:val="center"/>
              <w:rPr>
                <w:rFonts w:ascii="Times New Roman" w:hAnsi="Times New Roman"/>
                <w:color w:val="auto"/>
              </w:rPr>
            </w:pPr>
          </w:p>
        </w:tc>
        <w:tc>
          <w:tcPr>
            <w:tcW w:w="1134" w:type="dxa"/>
          </w:tcPr>
          <w:p>
            <w:pPr>
              <w:spacing w:line="440" w:lineRule="exact"/>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color w:val="auto"/>
              </w:rPr>
            </w:pPr>
          </w:p>
        </w:tc>
        <w:tc>
          <w:tcPr>
            <w:tcW w:w="1275" w:type="dxa"/>
          </w:tcPr>
          <w:p>
            <w:pPr>
              <w:spacing w:line="440" w:lineRule="exact"/>
              <w:jc w:val="center"/>
              <w:rPr>
                <w:rFonts w:ascii="Times New Roman" w:hAnsi="Times New Roman"/>
                <w:color w:val="auto"/>
              </w:rPr>
            </w:pPr>
          </w:p>
        </w:tc>
        <w:tc>
          <w:tcPr>
            <w:tcW w:w="992" w:type="dxa"/>
          </w:tcPr>
          <w:p>
            <w:pPr>
              <w:spacing w:line="440" w:lineRule="exact"/>
              <w:jc w:val="center"/>
              <w:rPr>
                <w:rFonts w:ascii="Times New Roman" w:hAnsi="Times New Roman"/>
                <w:color w:val="auto"/>
              </w:rPr>
            </w:pPr>
          </w:p>
        </w:tc>
        <w:tc>
          <w:tcPr>
            <w:tcW w:w="603" w:type="dxa"/>
          </w:tcPr>
          <w:p>
            <w:pPr>
              <w:spacing w:line="440" w:lineRule="exact"/>
              <w:jc w:val="center"/>
              <w:rPr>
                <w:rFonts w:ascii="Times New Roman" w:hAnsi="Times New Roman"/>
                <w:color w:val="auto"/>
              </w:rPr>
            </w:pPr>
          </w:p>
        </w:tc>
        <w:tc>
          <w:tcPr>
            <w:tcW w:w="488" w:type="dxa"/>
          </w:tcPr>
          <w:p>
            <w:pPr>
              <w:spacing w:line="440" w:lineRule="exact"/>
              <w:jc w:val="center"/>
              <w:rPr>
                <w:rFonts w:ascii="Times New Roman" w:hAnsi="Times New Roman"/>
                <w:color w:val="auto"/>
              </w:rPr>
            </w:pPr>
          </w:p>
        </w:tc>
        <w:tc>
          <w:tcPr>
            <w:tcW w:w="1134" w:type="dxa"/>
          </w:tcPr>
          <w:p>
            <w:pPr>
              <w:spacing w:line="440" w:lineRule="exact"/>
              <w:jc w:val="center"/>
              <w:rPr>
                <w:rFonts w:ascii="Times New Roman" w:hAnsi="Times New Roman"/>
                <w:color w:val="auto"/>
              </w:rPr>
            </w:pPr>
          </w:p>
        </w:tc>
        <w:tc>
          <w:tcPr>
            <w:tcW w:w="709" w:type="dxa"/>
          </w:tcPr>
          <w:p>
            <w:pPr>
              <w:spacing w:line="440" w:lineRule="exact"/>
              <w:jc w:val="center"/>
              <w:rPr>
                <w:rFonts w:ascii="Times New Roman" w:hAnsi="Times New Roman"/>
                <w:color w:val="auto"/>
              </w:rPr>
            </w:pPr>
          </w:p>
        </w:tc>
        <w:tc>
          <w:tcPr>
            <w:tcW w:w="871" w:type="dxa"/>
          </w:tcPr>
          <w:p>
            <w:pPr>
              <w:spacing w:line="440" w:lineRule="exact"/>
              <w:jc w:val="center"/>
              <w:rPr>
                <w:rFonts w:ascii="Times New Roman" w:hAnsi="Times New Roman"/>
                <w:color w:val="auto"/>
              </w:rPr>
            </w:pPr>
          </w:p>
        </w:tc>
        <w:tc>
          <w:tcPr>
            <w:tcW w:w="1134" w:type="dxa"/>
          </w:tcPr>
          <w:p>
            <w:pPr>
              <w:spacing w:line="440" w:lineRule="exact"/>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color w:val="auto"/>
              </w:rPr>
            </w:pPr>
          </w:p>
        </w:tc>
        <w:tc>
          <w:tcPr>
            <w:tcW w:w="1275" w:type="dxa"/>
          </w:tcPr>
          <w:p>
            <w:pPr>
              <w:spacing w:line="440" w:lineRule="exact"/>
              <w:jc w:val="center"/>
              <w:rPr>
                <w:rFonts w:ascii="Times New Roman" w:hAnsi="Times New Roman"/>
                <w:color w:val="auto"/>
              </w:rPr>
            </w:pPr>
          </w:p>
        </w:tc>
        <w:tc>
          <w:tcPr>
            <w:tcW w:w="992" w:type="dxa"/>
          </w:tcPr>
          <w:p>
            <w:pPr>
              <w:spacing w:line="440" w:lineRule="exact"/>
              <w:jc w:val="center"/>
              <w:rPr>
                <w:rFonts w:ascii="Times New Roman" w:hAnsi="Times New Roman"/>
                <w:color w:val="auto"/>
              </w:rPr>
            </w:pPr>
          </w:p>
        </w:tc>
        <w:tc>
          <w:tcPr>
            <w:tcW w:w="603" w:type="dxa"/>
          </w:tcPr>
          <w:p>
            <w:pPr>
              <w:spacing w:line="440" w:lineRule="exact"/>
              <w:jc w:val="center"/>
              <w:rPr>
                <w:rFonts w:ascii="Times New Roman" w:hAnsi="Times New Roman"/>
                <w:color w:val="auto"/>
              </w:rPr>
            </w:pPr>
          </w:p>
        </w:tc>
        <w:tc>
          <w:tcPr>
            <w:tcW w:w="488" w:type="dxa"/>
          </w:tcPr>
          <w:p>
            <w:pPr>
              <w:spacing w:line="440" w:lineRule="exact"/>
              <w:jc w:val="center"/>
              <w:rPr>
                <w:rFonts w:ascii="Times New Roman" w:hAnsi="Times New Roman"/>
                <w:color w:val="auto"/>
              </w:rPr>
            </w:pPr>
          </w:p>
        </w:tc>
        <w:tc>
          <w:tcPr>
            <w:tcW w:w="1134" w:type="dxa"/>
          </w:tcPr>
          <w:p>
            <w:pPr>
              <w:spacing w:line="440" w:lineRule="exact"/>
              <w:jc w:val="center"/>
              <w:rPr>
                <w:rFonts w:ascii="Times New Roman" w:hAnsi="Times New Roman"/>
                <w:color w:val="auto"/>
              </w:rPr>
            </w:pPr>
          </w:p>
        </w:tc>
        <w:tc>
          <w:tcPr>
            <w:tcW w:w="709" w:type="dxa"/>
          </w:tcPr>
          <w:p>
            <w:pPr>
              <w:spacing w:line="440" w:lineRule="exact"/>
              <w:jc w:val="center"/>
              <w:rPr>
                <w:rFonts w:ascii="Times New Roman" w:hAnsi="Times New Roman"/>
                <w:color w:val="auto"/>
              </w:rPr>
            </w:pPr>
          </w:p>
        </w:tc>
        <w:tc>
          <w:tcPr>
            <w:tcW w:w="871" w:type="dxa"/>
          </w:tcPr>
          <w:p>
            <w:pPr>
              <w:spacing w:line="440" w:lineRule="exact"/>
              <w:jc w:val="center"/>
              <w:rPr>
                <w:rFonts w:ascii="Times New Roman" w:hAnsi="Times New Roman"/>
                <w:color w:val="auto"/>
              </w:rPr>
            </w:pPr>
          </w:p>
        </w:tc>
        <w:tc>
          <w:tcPr>
            <w:tcW w:w="1134" w:type="dxa"/>
          </w:tcPr>
          <w:p>
            <w:pPr>
              <w:spacing w:line="440" w:lineRule="exact"/>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color w:val="auto"/>
              </w:rPr>
            </w:pPr>
          </w:p>
        </w:tc>
        <w:tc>
          <w:tcPr>
            <w:tcW w:w="1275" w:type="dxa"/>
          </w:tcPr>
          <w:p>
            <w:pPr>
              <w:spacing w:line="440" w:lineRule="exact"/>
              <w:jc w:val="center"/>
              <w:rPr>
                <w:rFonts w:ascii="Times New Roman" w:hAnsi="Times New Roman"/>
                <w:color w:val="auto"/>
              </w:rPr>
            </w:pPr>
          </w:p>
        </w:tc>
        <w:tc>
          <w:tcPr>
            <w:tcW w:w="992" w:type="dxa"/>
          </w:tcPr>
          <w:p>
            <w:pPr>
              <w:spacing w:line="440" w:lineRule="exact"/>
              <w:jc w:val="center"/>
              <w:rPr>
                <w:rFonts w:ascii="Times New Roman" w:hAnsi="Times New Roman"/>
                <w:color w:val="auto"/>
              </w:rPr>
            </w:pPr>
          </w:p>
        </w:tc>
        <w:tc>
          <w:tcPr>
            <w:tcW w:w="603" w:type="dxa"/>
          </w:tcPr>
          <w:p>
            <w:pPr>
              <w:spacing w:line="440" w:lineRule="exact"/>
              <w:jc w:val="center"/>
              <w:rPr>
                <w:rFonts w:ascii="Times New Roman" w:hAnsi="Times New Roman"/>
                <w:color w:val="auto"/>
              </w:rPr>
            </w:pPr>
          </w:p>
        </w:tc>
        <w:tc>
          <w:tcPr>
            <w:tcW w:w="488" w:type="dxa"/>
          </w:tcPr>
          <w:p>
            <w:pPr>
              <w:spacing w:line="440" w:lineRule="exact"/>
              <w:jc w:val="center"/>
              <w:rPr>
                <w:rFonts w:ascii="Times New Roman" w:hAnsi="Times New Roman"/>
                <w:color w:val="auto"/>
              </w:rPr>
            </w:pPr>
          </w:p>
        </w:tc>
        <w:tc>
          <w:tcPr>
            <w:tcW w:w="1134" w:type="dxa"/>
          </w:tcPr>
          <w:p>
            <w:pPr>
              <w:spacing w:line="440" w:lineRule="exact"/>
              <w:jc w:val="center"/>
              <w:rPr>
                <w:rFonts w:ascii="Times New Roman" w:hAnsi="Times New Roman"/>
                <w:color w:val="auto"/>
              </w:rPr>
            </w:pPr>
          </w:p>
        </w:tc>
        <w:tc>
          <w:tcPr>
            <w:tcW w:w="709" w:type="dxa"/>
          </w:tcPr>
          <w:p>
            <w:pPr>
              <w:spacing w:line="440" w:lineRule="exact"/>
              <w:jc w:val="center"/>
              <w:rPr>
                <w:rFonts w:ascii="Times New Roman" w:hAnsi="Times New Roman"/>
                <w:color w:val="auto"/>
              </w:rPr>
            </w:pPr>
          </w:p>
        </w:tc>
        <w:tc>
          <w:tcPr>
            <w:tcW w:w="871" w:type="dxa"/>
          </w:tcPr>
          <w:p>
            <w:pPr>
              <w:spacing w:line="440" w:lineRule="exact"/>
              <w:jc w:val="center"/>
              <w:rPr>
                <w:rFonts w:ascii="Times New Roman" w:hAnsi="Times New Roman"/>
                <w:color w:val="auto"/>
              </w:rPr>
            </w:pPr>
          </w:p>
        </w:tc>
        <w:tc>
          <w:tcPr>
            <w:tcW w:w="1134" w:type="dxa"/>
          </w:tcPr>
          <w:p>
            <w:pPr>
              <w:spacing w:line="440" w:lineRule="exact"/>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color w:val="auto"/>
              </w:rPr>
            </w:pPr>
          </w:p>
        </w:tc>
        <w:tc>
          <w:tcPr>
            <w:tcW w:w="1275" w:type="dxa"/>
          </w:tcPr>
          <w:p>
            <w:pPr>
              <w:spacing w:line="440" w:lineRule="exact"/>
              <w:jc w:val="center"/>
              <w:rPr>
                <w:rFonts w:ascii="Times New Roman" w:hAnsi="Times New Roman"/>
                <w:color w:val="auto"/>
              </w:rPr>
            </w:pPr>
          </w:p>
        </w:tc>
        <w:tc>
          <w:tcPr>
            <w:tcW w:w="992" w:type="dxa"/>
          </w:tcPr>
          <w:p>
            <w:pPr>
              <w:spacing w:line="440" w:lineRule="exact"/>
              <w:jc w:val="center"/>
              <w:rPr>
                <w:rFonts w:ascii="Times New Roman" w:hAnsi="Times New Roman"/>
                <w:color w:val="auto"/>
              </w:rPr>
            </w:pPr>
          </w:p>
        </w:tc>
        <w:tc>
          <w:tcPr>
            <w:tcW w:w="603" w:type="dxa"/>
          </w:tcPr>
          <w:p>
            <w:pPr>
              <w:spacing w:line="440" w:lineRule="exact"/>
              <w:jc w:val="center"/>
              <w:rPr>
                <w:rFonts w:ascii="Times New Roman" w:hAnsi="Times New Roman"/>
                <w:color w:val="auto"/>
              </w:rPr>
            </w:pPr>
          </w:p>
        </w:tc>
        <w:tc>
          <w:tcPr>
            <w:tcW w:w="488" w:type="dxa"/>
          </w:tcPr>
          <w:p>
            <w:pPr>
              <w:spacing w:line="440" w:lineRule="exact"/>
              <w:jc w:val="center"/>
              <w:rPr>
                <w:rFonts w:ascii="Times New Roman" w:hAnsi="Times New Roman"/>
                <w:color w:val="auto"/>
              </w:rPr>
            </w:pPr>
          </w:p>
        </w:tc>
        <w:tc>
          <w:tcPr>
            <w:tcW w:w="1134" w:type="dxa"/>
          </w:tcPr>
          <w:p>
            <w:pPr>
              <w:spacing w:line="440" w:lineRule="exact"/>
              <w:jc w:val="center"/>
              <w:rPr>
                <w:rFonts w:ascii="Times New Roman" w:hAnsi="Times New Roman"/>
                <w:color w:val="auto"/>
              </w:rPr>
            </w:pPr>
          </w:p>
        </w:tc>
        <w:tc>
          <w:tcPr>
            <w:tcW w:w="709" w:type="dxa"/>
          </w:tcPr>
          <w:p>
            <w:pPr>
              <w:spacing w:line="440" w:lineRule="exact"/>
              <w:jc w:val="center"/>
              <w:rPr>
                <w:rFonts w:ascii="Times New Roman" w:hAnsi="Times New Roman"/>
                <w:color w:val="auto"/>
              </w:rPr>
            </w:pPr>
          </w:p>
        </w:tc>
        <w:tc>
          <w:tcPr>
            <w:tcW w:w="871" w:type="dxa"/>
          </w:tcPr>
          <w:p>
            <w:pPr>
              <w:spacing w:line="440" w:lineRule="exact"/>
              <w:jc w:val="center"/>
              <w:rPr>
                <w:rFonts w:ascii="Times New Roman" w:hAnsi="Times New Roman"/>
                <w:color w:val="auto"/>
              </w:rPr>
            </w:pPr>
          </w:p>
        </w:tc>
        <w:tc>
          <w:tcPr>
            <w:tcW w:w="1134" w:type="dxa"/>
          </w:tcPr>
          <w:p>
            <w:pPr>
              <w:spacing w:line="440" w:lineRule="exact"/>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color w:val="auto"/>
              </w:rPr>
            </w:pPr>
          </w:p>
        </w:tc>
        <w:tc>
          <w:tcPr>
            <w:tcW w:w="1275" w:type="dxa"/>
          </w:tcPr>
          <w:p>
            <w:pPr>
              <w:spacing w:line="440" w:lineRule="exact"/>
              <w:jc w:val="center"/>
              <w:rPr>
                <w:rFonts w:ascii="Times New Roman" w:hAnsi="Times New Roman"/>
                <w:color w:val="auto"/>
              </w:rPr>
            </w:pPr>
          </w:p>
        </w:tc>
        <w:tc>
          <w:tcPr>
            <w:tcW w:w="992" w:type="dxa"/>
          </w:tcPr>
          <w:p>
            <w:pPr>
              <w:spacing w:line="440" w:lineRule="exact"/>
              <w:jc w:val="center"/>
              <w:rPr>
                <w:rFonts w:ascii="Times New Roman" w:hAnsi="Times New Roman"/>
                <w:color w:val="auto"/>
              </w:rPr>
            </w:pPr>
          </w:p>
        </w:tc>
        <w:tc>
          <w:tcPr>
            <w:tcW w:w="603" w:type="dxa"/>
          </w:tcPr>
          <w:p>
            <w:pPr>
              <w:spacing w:line="440" w:lineRule="exact"/>
              <w:jc w:val="center"/>
              <w:rPr>
                <w:rFonts w:ascii="Times New Roman" w:hAnsi="Times New Roman"/>
                <w:color w:val="auto"/>
              </w:rPr>
            </w:pPr>
          </w:p>
        </w:tc>
        <w:tc>
          <w:tcPr>
            <w:tcW w:w="488" w:type="dxa"/>
          </w:tcPr>
          <w:p>
            <w:pPr>
              <w:spacing w:line="440" w:lineRule="exact"/>
              <w:jc w:val="center"/>
              <w:rPr>
                <w:rFonts w:ascii="Times New Roman" w:hAnsi="Times New Roman"/>
                <w:color w:val="auto"/>
              </w:rPr>
            </w:pPr>
          </w:p>
        </w:tc>
        <w:tc>
          <w:tcPr>
            <w:tcW w:w="1134" w:type="dxa"/>
          </w:tcPr>
          <w:p>
            <w:pPr>
              <w:spacing w:line="440" w:lineRule="exact"/>
              <w:jc w:val="center"/>
              <w:rPr>
                <w:rFonts w:ascii="Times New Roman" w:hAnsi="Times New Roman"/>
                <w:color w:val="auto"/>
              </w:rPr>
            </w:pPr>
          </w:p>
        </w:tc>
        <w:tc>
          <w:tcPr>
            <w:tcW w:w="709" w:type="dxa"/>
          </w:tcPr>
          <w:p>
            <w:pPr>
              <w:spacing w:line="440" w:lineRule="exact"/>
              <w:jc w:val="center"/>
              <w:rPr>
                <w:rFonts w:ascii="Times New Roman" w:hAnsi="Times New Roman"/>
                <w:color w:val="auto"/>
              </w:rPr>
            </w:pPr>
          </w:p>
        </w:tc>
        <w:tc>
          <w:tcPr>
            <w:tcW w:w="871" w:type="dxa"/>
          </w:tcPr>
          <w:p>
            <w:pPr>
              <w:spacing w:line="440" w:lineRule="exact"/>
              <w:jc w:val="center"/>
              <w:rPr>
                <w:rFonts w:ascii="Times New Roman" w:hAnsi="Times New Roman"/>
                <w:color w:val="auto"/>
              </w:rPr>
            </w:pPr>
          </w:p>
        </w:tc>
        <w:tc>
          <w:tcPr>
            <w:tcW w:w="1134" w:type="dxa"/>
          </w:tcPr>
          <w:p>
            <w:pPr>
              <w:spacing w:line="440" w:lineRule="exact"/>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color w:val="auto"/>
              </w:rPr>
            </w:pPr>
          </w:p>
        </w:tc>
        <w:tc>
          <w:tcPr>
            <w:tcW w:w="1275" w:type="dxa"/>
          </w:tcPr>
          <w:p>
            <w:pPr>
              <w:spacing w:line="440" w:lineRule="exact"/>
              <w:jc w:val="center"/>
              <w:rPr>
                <w:rFonts w:ascii="Times New Roman" w:hAnsi="Times New Roman"/>
                <w:color w:val="auto"/>
              </w:rPr>
            </w:pPr>
          </w:p>
        </w:tc>
        <w:tc>
          <w:tcPr>
            <w:tcW w:w="992" w:type="dxa"/>
          </w:tcPr>
          <w:p>
            <w:pPr>
              <w:spacing w:line="440" w:lineRule="exact"/>
              <w:jc w:val="center"/>
              <w:rPr>
                <w:rFonts w:ascii="Times New Roman" w:hAnsi="Times New Roman"/>
                <w:color w:val="auto"/>
              </w:rPr>
            </w:pPr>
          </w:p>
        </w:tc>
        <w:tc>
          <w:tcPr>
            <w:tcW w:w="603" w:type="dxa"/>
          </w:tcPr>
          <w:p>
            <w:pPr>
              <w:spacing w:line="440" w:lineRule="exact"/>
              <w:jc w:val="center"/>
              <w:rPr>
                <w:rFonts w:ascii="Times New Roman" w:hAnsi="Times New Roman"/>
                <w:color w:val="auto"/>
              </w:rPr>
            </w:pPr>
          </w:p>
        </w:tc>
        <w:tc>
          <w:tcPr>
            <w:tcW w:w="488" w:type="dxa"/>
          </w:tcPr>
          <w:p>
            <w:pPr>
              <w:spacing w:line="440" w:lineRule="exact"/>
              <w:jc w:val="center"/>
              <w:rPr>
                <w:rFonts w:ascii="Times New Roman" w:hAnsi="Times New Roman"/>
                <w:color w:val="auto"/>
              </w:rPr>
            </w:pPr>
          </w:p>
        </w:tc>
        <w:tc>
          <w:tcPr>
            <w:tcW w:w="1134" w:type="dxa"/>
          </w:tcPr>
          <w:p>
            <w:pPr>
              <w:spacing w:line="440" w:lineRule="exact"/>
              <w:jc w:val="center"/>
              <w:rPr>
                <w:rFonts w:ascii="Times New Roman" w:hAnsi="Times New Roman"/>
                <w:color w:val="auto"/>
              </w:rPr>
            </w:pPr>
          </w:p>
        </w:tc>
        <w:tc>
          <w:tcPr>
            <w:tcW w:w="709" w:type="dxa"/>
          </w:tcPr>
          <w:p>
            <w:pPr>
              <w:spacing w:line="440" w:lineRule="exact"/>
              <w:jc w:val="center"/>
              <w:rPr>
                <w:rFonts w:ascii="Times New Roman" w:hAnsi="Times New Roman"/>
                <w:color w:val="auto"/>
              </w:rPr>
            </w:pPr>
          </w:p>
        </w:tc>
        <w:tc>
          <w:tcPr>
            <w:tcW w:w="871" w:type="dxa"/>
          </w:tcPr>
          <w:p>
            <w:pPr>
              <w:spacing w:line="440" w:lineRule="exact"/>
              <w:jc w:val="center"/>
              <w:rPr>
                <w:rFonts w:ascii="Times New Roman" w:hAnsi="Times New Roman"/>
                <w:color w:val="auto"/>
              </w:rPr>
            </w:pPr>
          </w:p>
        </w:tc>
        <w:tc>
          <w:tcPr>
            <w:tcW w:w="1134" w:type="dxa"/>
          </w:tcPr>
          <w:p>
            <w:pPr>
              <w:spacing w:line="440" w:lineRule="exact"/>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color w:val="auto"/>
              </w:rPr>
            </w:pPr>
          </w:p>
        </w:tc>
        <w:tc>
          <w:tcPr>
            <w:tcW w:w="1275" w:type="dxa"/>
          </w:tcPr>
          <w:p>
            <w:pPr>
              <w:spacing w:line="440" w:lineRule="exact"/>
              <w:jc w:val="center"/>
              <w:rPr>
                <w:rFonts w:ascii="Times New Roman" w:hAnsi="Times New Roman"/>
                <w:color w:val="auto"/>
              </w:rPr>
            </w:pPr>
          </w:p>
        </w:tc>
        <w:tc>
          <w:tcPr>
            <w:tcW w:w="992" w:type="dxa"/>
          </w:tcPr>
          <w:p>
            <w:pPr>
              <w:spacing w:line="440" w:lineRule="exact"/>
              <w:jc w:val="center"/>
              <w:rPr>
                <w:rFonts w:ascii="Times New Roman" w:hAnsi="Times New Roman"/>
                <w:color w:val="auto"/>
              </w:rPr>
            </w:pPr>
          </w:p>
        </w:tc>
        <w:tc>
          <w:tcPr>
            <w:tcW w:w="603" w:type="dxa"/>
          </w:tcPr>
          <w:p>
            <w:pPr>
              <w:spacing w:line="440" w:lineRule="exact"/>
              <w:jc w:val="center"/>
              <w:rPr>
                <w:rFonts w:ascii="Times New Roman" w:hAnsi="Times New Roman"/>
                <w:color w:val="auto"/>
              </w:rPr>
            </w:pPr>
          </w:p>
        </w:tc>
        <w:tc>
          <w:tcPr>
            <w:tcW w:w="488" w:type="dxa"/>
          </w:tcPr>
          <w:p>
            <w:pPr>
              <w:spacing w:line="440" w:lineRule="exact"/>
              <w:jc w:val="center"/>
              <w:rPr>
                <w:rFonts w:ascii="Times New Roman" w:hAnsi="Times New Roman"/>
                <w:color w:val="auto"/>
              </w:rPr>
            </w:pPr>
          </w:p>
        </w:tc>
        <w:tc>
          <w:tcPr>
            <w:tcW w:w="1134" w:type="dxa"/>
          </w:tcPr>
          <w:p>
            <w:pPr>
              <w:spacing w:line="440" w:lineRule="exact"/>
              <w:jc w:val="center"/>
              <w:rPr>
                <w:rFonts w:ascii="Times New Roman" w:hAnsi="Times New Roman"/>
                <w:color w:val="auto"/>
              </w:rPr>
            </w:pPr>
          </w:p>
        </w:tc>
        <w:tc>
          <w:tcPr>
            <w:tcW w:w="709" w:type="dxa"/>
          </w:tcPr>
          <w:p>
            <w:pPr>
              <w:spacing w:line="440" w:lineRule="exact"/>
              <w:jc w:val="center"/>
              <w:rPr>
                <w:rFonts w:ascii="Times New Roman" w:hAnsi="Times New Roman"/>
                <w:color w:val="auto"/>
              </w:rPr>
            </w:pPr>
          </w:p>
        </w:tc>
        <w:tc>
          <w:tcPr>
            <w:tcW w:w="871" w:type="dxa"/>
          </w:tcPr>
          <w:p>
            <w:pPr>
              <w:spacing w:line="440" w:lineRule="exact"/>
              <w:jc w:val="center"/>
              <w:rPr>
                <w:rFonts w:ascii="Times New Roman" w:hAnsi="Times New Roman"/>
                <w:color w:val="auto"/>
              </w:rPr>
            </w:pPr>
          </w:p>
        </w:tc>
        <w:tc>
          <w:tcPr>
            <w:tcW w:w="1134" w:type="dxa"/>
          </w:tcPr>
          <w:p>
            <w:pPr>
              <w:spacing w:line="440" w:lineRule="exact"/>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color w:val="auto"/>
              </w:rPr>
            </w:pPr>
          </w:p>
        </w:tc>
        <w:tc>
          <w:tcPr>
            <w:tcW w:w="1275" w:type="dxa"/>
          </w:tcPr>
          <w:p>
            <w:pPr>
              <w:spacing w:line="440" w:lineRule="exact"/>
              <w:jc w:val="center"/>
              <w:rPr>
                <w:rFonts w:ascii="Times New Roman" w:hAnsi="Times New Roman"/>
                <w:color w:val="auto"/>
              </w:rPr>
            </w:pPr>
          </w:p>
        </w:tc>
        <w:tc>
          <w:tcPr>
            <w:tcW w:w="992" w:type="dxa"/>
          </w:tcPr>
          <w:p>
            <w:pPr>
              <w:spacing w:line="440" w:lineRule="exact"/>
              <w:jc w:val="center"/>
              <w:rPr>
                <w:rFonts w:ascii="Times New Roman" w:hAnsi="Times New Roman"/>
                <w:color w:val="auto"/>
              </w:rPr>
            </w:pPr>
          </w:p>
        </w:tc>
        <w:tc>
          <w:tcPr>
            <w:tcW w:w="603" w:type="dxa"/>
          </w:tcPr>
          <w:p>
            <w:pPr>
              <w:spacing w:line="440" w:lineRule="exact"/>
              <w:jc w:val="center"/>
              <w:rPr>
                <w:rFonts w:ascii="Times New Roman" w:hAnsi="Times New Roman"/>
                <w:color w:val="auto"/>
              </w:rPr>
            </w:pPr>
          </w:p>
        </w:tc>
        <w:tc>
          <w:tcPr>
            <w:tcW w:w="488" w:type="dxa"/>
          </w:tcPr>
          <w:p>
            <w:pPr>
              <w:spacing w:line="440" w:lineRule="exact"/>
              <w:jc w:val="center"/>
              <w:rPr>
                <w:rFonts w:ascii="Times New Roman" w:hAnsi="Times New Roman"/>
                <w:color w:val="auto"/>
              </w:rPr>
            </w:pPr>
          </w:p>
        </w:tc>
        <w:tc>
          <w:tcPr>
            <w:tcW w:w="1134" w:type="dxa"/>
          </w:tcPr>
          <w:p>
            <w:pPr>
              <w:spacing w:line="440" w:lineRule="exact"/>
              <w:jc w:val="center"/>
              <w:rPr>
                <w:rFonts w:ascii="Times New Roman" w:hAnsi="Times New Roman"/>
                <w:color w:val="auto"/>
              </w:rPr>
            </w:pPr>
          </w:p>
        </w:tc>
        <w:tc>
          <w:tcPr>
            <w:tcW w:w="709" w:type="dxa"/>
          </w:tcPr>
          <w:p>
            <w:pPr>
              <w:spacing w:line="440" w:lineRule="exact"/>
              <w:jc w:val="center"/>
              <w:rPr>
                <w:rFonts w:ascii="Times New Roman" w:hAnsi="Times New Roman"/>
                <w:color w:val="auto"/>
              </w:rPr>
            </w:pPr>
          </w:p>
        </w:tc>
        <w:tc>
          <w:tcPr>
            <w:tcW w:w="871" w:type="dxa"/>
          </w:tcPr>
          <w:p>
            <w:pPr>
              <w:spacing w:line="440" w:lineRule="exact"/>
              <w:jc w:val="center"/>
              <w:rPr>
                <w:rFonts w:ascii="Times New Roman" w:hAnsi="Times New Roman"/>
                <w:color w:val="auto"/>
              </w:rPr>
            </w:pPr>
          </w:p>
        </w:tc>
        <w:tc>
          <w:tcPr>
            <w:tcW w:w="1134" w:type="dxa"/>
          </w:tcPr>
          <w:p>
            <w:pPr>
              <w:spacing w:line="440" w:lineRule="exact"/>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color w:val="auto"/>
              </w:rPr>
            </w:pPr>
          </w:p>
        </w:tc>
        <w:tc>
          <w:tcPr>
            <w:tcW w:w="1275" w:type="dxa"/>
          </w:tcPr>
          <w:p>
            <w:pPr>
              <w:spacing w:line="440" w:lineRule="exact"/>
              <w:jc w:val="center"/>
              <w:rPr>
                <w:rFonts w:ascii="Times New Roman" w:hAnsi="Times New Roman"/>
                <w:color w:val="auto"/>
              </w:rPr>
            </w:pPr>
          </w:p>
        </w:tc>
        <w:tc>
          <w:tcPr>
            <w:tcW w:w="992" w:type="dxa"/>
          </w:tcPr>
          <w:p>
            <w:pPr>
              <w:spacing w:line="440" w:lineRule="exact"/>
              <w:jc w:val="center"/>
              <w:rPr>
                <w:rFonts w:ascii="Times New Roman" w:hAnsi="Times New Roman"/>
                <w:color w:val="auto"/>
              </w:rPr>
            </w:pPr>
          </w:p>
        </w:tc>
        <w:tc>
          <w:tcPr>
            <w:tcW w:w="603" w:type="dxa"/>
          </w:tcPr>
          <w:p>
            <w:pPr>
              <w:spacing w:line="440" w:lineRule="exact"/>
              <w:jc w:val="center"/>
              <w:rPr>
                <w:rFonts w:ascii="Times New Roman" w:hAnsi="Times New Roman"/>
                <w:color w:val="auto"/>
              </w:rPr>
            </w:pPr>
          </w:p>
        </w:tc>
        <w:tc>
          <w:tcPr>
            <w:tcW w:w="488" w:type="dxa"/>
          </w:tcPr>
          <w:p>
            <w:pPr>
              <w:spacing w:line="440" w:lineRule="exact"/>
              <w:jc w:val="center"/>
              <w:rPr>
                <w:rFonts w:ascii="Times New Roman" w:hAnsi="Times New Roman"/>
                <w:color w:val="auto"/>
              </w:rPr>
            </w:pPr>
          </w:p>
        </w:tc>
        <w:tc>
          <w:tcPr>
            <w:tcW w:w="1134" w:type="dxa"/>
          </w:tcPr>
          <w:p>
            <w:pPr>
              <w:spacing w:line="440" w:lineRule="exact"/>
              <w:jc w:val="center"/>
              <w:rPr>
                <w:rFonts w:ascii="Times New Roman" w:hAnsi="Times New Roman"/>
                <w:color w:val="auto"/>
              </w:rPr>
            </w:pPr>
          </w:p>
        </w:tc>
        <w:tc>
          <w:tcPr>
            <w:tcW w:w="709" w:type="dxa"/>
          </w:tcPr>
          <w:p>
            <w:pPr>
              <w:spacing w:line="440" w:lineRule="exact"/>
              <w:jc w:val="center"/>
              <w:rPr>
                <w:rFonts w:ascii="Times New Roman" w:hAnsi="Times New Roman"/>
                <w:color w:val="auto"/>
              </w:rPr>
            </w:pPr>
          </w:p>
        </w:tc>
        <w:tc>
          <w:tcPr>
            <w:tcW w:w="871" w:type="dxa"/>
          </w:tcPr>
          <w:p>
            <w:pPr>
              <w:spacing w:line="440" w:lineRule="exact"/>
              <w:jc w:val="center"/>
              <w:rPr>
                <w:rFonts w:ascii="Times New Roman" w:hAnsi="Times New Roman"/>
                <w:color w:val="auto"/>
              </w:rPr>
            </w:pPr>
          </w:p>
        </w:tc>
        <w:tc>
          <w:tcPr>
            <w:tcW w:w="1134" w:type="dxa"/>
          </w:tcPr>
          <w:p>
            <w:pPr>
              <w:spacing w:line="440" w:lineRule="exact"/>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color w:val="auto"/>
              </w:rPr>
            </w:pPr>
          </w:p>
        </w:tc>
        <w:tc>
          <w:tcPr>
            <w:tcW w:w="1275" w:type="dxa"/>
          </w:tcPr>
          <w:p>
            <w:pPr>
              <w:spacing w:line="440" w:lineRule="exact"/>
              <w:jc w:val="center"/>
              <w:rPr>
                <w:rFonts w:ascii="Times New Roman" w:hAnsi="Times New Roman"/>
                <w:color w:val="auto"/>
              </w:rPr>
            </w:pPr>
          </w:p>
        </w:tc>
        <w:tc>
          <w:tcPr>
            <w:tcW w:w="992" w:type="dxa"/>
          </w:tcPr>
          <w:p>
            <w:pPr>
              <w:spacing w:line="440" w:lineRule="exact"/>
              <w:jc w:val="center"/>
              <w:rPr>
                <w:rFonts w:ascii="Times New Roman" w:hAnsi="Times New Roman"/>
                <w:color w:val="auto"/>
              </w:rPr>
            </w:pPr>
          </w:p>
        </w:tc>
        <w:tc>
          <w:tcPr>
            <w:tcW w:w="603" w:type="dxa"/>
          </w:tcPr>
          <w:p>
            <w:pPr>
              <w:spacing w:line="440" w:lineRule="exact"/>
              <w:jc w:val="center"/>
              <w:rPr>
                <w:rFonts w:ascii="Times New Roman" w:hAnsi="Times New Roman"/>
                <w:color w:val="auto"/>
              </w:rPr>
            </w:pPr>
          </w:p>
        </w:tc>
        <w:tc>
          <w:tcPr>
            <w:tcW w:w="488" w:type="dxa"/>
          </w:tcPr>
          <w:p>
            <w:pPr>
              <w:spacing w:line="440" w:lineRule="exact"/>
              <w:jc w:val="center"/>
              <w:rPr>
                <w:rFonts w:ascii="Times New Roman" w:hAnsi="Times New Roman"/>
                <w:color w:val="auto"/>
              </w:rPr>
            </w:pPr>
          </w:p>
        </w:tc>
        <w:tc>
          <w:tcPr>
            <w:tcW w:w="1134" w:type="dxa"/>
          </w:tcPr>
          <w:p>
            <w:pPr>
              <w:spacing w:line="440" w:lineRule="exact"/>
              <w:jc w:val="center"/>
              <w:rPr>
                <w:rFonts w:ascii="Times New Roman" w:hAnsi="Times New Roman"/>
                <w:color w:val="auto"/>
              </w:rPr>
            </w:pPr>
          </w:p>
        </w:tc>
        <w:tc>
          <w:tcPr>
            <w:tcW w:w="709" w:type="dxa"/>
          </w:tcPr>
          <w:p>
            <w:pPr>
              <w:spacing w:line="440" w:lineRule="exact"/>
              <w:jc w:val="center"/>
              <w:rPr>
                <w:rFonts w:ascii="Times New Roman" w:hAnsi="Times New Roman"/>
                <w:color w:val="auto"/>
              </w:rPr>
            </w:pPr>
          </w:p>
        </w:tc>
        <w:tc>
          <w:tcPr>
            <w:tcW w:w="871" w:type="dxa"/>
          </w:tcPr>
          <w:p>
            <w:pPr>
              <w:spacing w:line="440" w:lineRule="exact"/>
              <w:jc w:val="center"/>
              <w:rPr>
                <w:rFonts w:ascii="Times New Roman" w:hAnsi="Times New Roman"/>
                <w:color w:val="auto"/>
              </w:rPr>
            </w:pPr>
          </w:p>
        </w:tc>
        <w:tc>
          <w:tcPr>
            <w:tcW w:w="1134" w:type="dxa"/>
          </w:tcPr>
          <w:p>
            <w:pPr>
              <w:spacing w:line="440" w:lineRule="exact"/>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color w:val="auto"/>
              </w:rPr>
            </w:pPr>
          </w:p>
        </w:tc>
        <w:tc>
          <w:tcPr>
            <w:tcW w:w="1275" w:type="dxa"/>
          </w:tcPr>
          <w:p>
            <w:pPr>
              <w:spacing w:line="440" w:lineRule="exact"/>
              <w:jc w:val="center"/>
              <w:rPr>
                <w:rFonts w:ascii="Times New Roman" w:hAnsi="Times New Roman"/>
                <w:color w:val="auto"/>
              </w:rPr>
            </w:pPr>
          </w:p>
        </w:tc>
        <w:tc>
          <w:tcPr>
            <w:tcW w:w="992" w:type="dxa"/>
          </w:tcPr>
          <w:p>
            <w:pPr>
              <w:spacing w:line="440" w:lineRule="exact"/>
              <w:jc w:val="center"/>
              <w:rPr>
                <w:rFonts w:ascii="Times New Roman" w:hAnsi="Times New Roman"/>
                <w:color w:val="auto"/>
              </w:rPr>
            </w:pPr>
          </w:p>
        </w:tc>
        <w:tc>
          <w:tcPr>
            <w:tcW w:w="603" w:type="dxa"/>
          </w:tcPr>
          <w:p>
            <w:pPr>
              <w:spacing w:line="440" w:lineRule="exact"/>
              <w:jc w:val="center"/>
              <w:rPr>
                <w:rFonts w:ascii="Times New Roman" w:hAnsi="Times New Roman"/>
                <w:color w:val="auto"/>
              </w:rPr>
            </w:pPr>
          </w:p>
        </w:tc>
        <w:tc>
          <w:tcPr>
            <w:tcW w:w="488" w:type="dxa"/>
          </w:tcPr>
          <w:p>
            <w:pPr>
              <w:spacing w:line="440" w:lineRule="exact"/>
              <w:jc w:val="center"/>
              <w:rPr>
                <w:rFonts w:ascii="Times New Roman" w:hAnsi="Times New Roman"/>
                <w:color w:val="auto"/>
              </w:rPr>
            </w:pPr>
          </w:p>
        </w:tc>
        <w:tc>
          <w:tcPr>
            <w:tcW w:w="1134" w:type="dxa"/>
          </w:tcPr>
          <w:p>
            <w:pPr>
              <w:spacing w:line="440" w:lineRule="exact"/>
              <w:jc w:val="center"/>
              <w:rPr>
                <w:rFonts w:ascii="Times New Roman" w:hAnsi="Times New Roman"/>
                <w:color w:val="auto"/>
              </w:rPr>
            </w:pPr>
          </w:p>
        </w:tc>
        <w:tc>
          <w:tcPr>
            <w:tcW w:w="709" w:type="dxa"/>
          </w:tcPr>
          <w:p>
            <w:pPr>
              <w:spacing w:line="440" w:lineRule="exact"/>
              <w:jc w:val="center"/>
              <w:rPr>
                <w:rFonts w:ascii="Times New Roman" w:hAnsi="Times New Roman"/>
                <w:color w:val="auto"/>
              </w:rPr>
            </w:pPr>
          </w:p>
        </w:tc>
        <w:tc>
          <w:tcPr>
            <w:tcW w:w="871" w:type="dxa"/>
          </w:tcPr>
          <w:p>
            <w:pPr>
              <w:spacing w:line="440" w:lineRule="exact"/>
              <w:jc w:val="center"/>
              <w:rPr>
                <w:rFonts w:ascii="Times New Roman" w:hAnsi="Times New Roman"/>
                <w:color w:val="auto"/>
              </w:rPr>
            </w:pPr>
          </w:p>
        </w:tc>
        <w:tc>
          <w:tcPr>
            <w:tcW w:w="1134" w:type="dxa"/>
          </w:tcPr>
          <w:p>
            <w:pPr>
              <w:spacing w:line="440" w:lineRule="exact"/>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color w:val="auto"/>
              </w:rPr>
            </w:pPr>
          </w:p>
        </w:tc>
        <w:tc>
          <w:tcPr>
            <w:tcW w:w="1275" w:type="dxa"/>
          </w:tcPr>
          <w:p>
            <w:pPr>
              <w:spacing w:line="440" w:lineRule="exact"/>
              <w:jc w:val="center"/>
              <w:rPr>
                <w:rFonts w:ascii="Times New Roman" w:hAnsi="Times New Roman"/>
                <w:color w:val="auto"/>
              </w:rPr>
            </w:pPr>
          </w:p>
        </w:tc>
        <w:tc>
          <w:tcPr>
            <w:tcW w:w="992" w:type="dxa"/>
          </w:tcPr>
          <w:p>
            <w:pPr>
              <w:spacing w:line="440" w:lineRule="exact"/>
              <w:jc w:val="center"/>
              <w:rPr>
                <w:rFonts w:ascii="Times New Roman" w:hAnsi="Times New Roman"/>
                <w:color w:val="auto"/>
              </w:rPr>
            </w:pPr>
          </w:p>
        </w:tc>
        <w:tc>
          <w:tcPr>
            <w:tcW w:w="603" w:type="dxa"/>
          </w:tcPr>
          <w:p>
            <w:pPr>
              <w:spacing w:line="440" w:lineRule="exact"/>
              <w:jc w:val="center"/>
              <w:rPr>
                <w:rFonts w:ascii="Times New Roman" w:hAnsi="Times New Roman"/>
                <w:color w:val="auto"/>
              </w:rPr>
            </w:pPr>
          </w:p>
        </w:tc>
        <w:tc>
          <w:tcPr>
            <w:tcW w:w="488" w:type="dxa"/>
          </w:tcPr>
          <w:p>
            <w:pPr>
              <w:spacing w:line="440" w:lineRule="exact"/>
              <w:jc w:val="center"/>
              <w:rPr>
                <w:rFonts w:ascii="Times New Roman" w:hAnsi="Times New Roman"/>
                <w:color w:val="auto"/>
              </w:rPr>
            </w:pPr>
          </w:p>
        </w:tc>
        <w:tc>
          <w:tcPr>
            <w:tcW w:w="1134" w:type="dxa"/>
          </w:tcPr>
          <w:p>
            <w:pPr>
              <w:spacing w:line="440" w:lineRule="exact"/>
              <w:jc w:val="center"/>
              <w:rPr>
                <w:rFonts w:ascii="Times New Roman" w:hAnsi="Times New Roman"/>
                <w:color w:val="auto"/>
              </w:rPr>
            </w:pPr>
          </w:p>
        </w:tc>
        <w:tc>
          <w:tcPr>
            <w:tcW w:w="709" w:type="dxa"/>
          </w:tcPr>
          <w:p>
            <w:pPr>
              <w:spacing w:line="440" w:lineRule="exact"/>
              <w:jc w:val="center"/>
              <w:rPr>
                <w:rFonts w:ascii="Times New Roman" w:hAnsi="Times New Roman"/>
                <w:color w:val="auto"/>
              </w:rPr>
            </w:pPr>
          </w:p>
        </w:tc>
        <w:tc>
          <w:tcPr>
            <w:tcW w:w="871" w:type="dxa"/>
          </w:tcPr>
          <w:p>
            <w:pPr>
              <w:spacing w:line="440" w:lineRule="exact"/>
              <w:jc w:val="center"/>
              <w:rPr>
                <w:rFonts w:ascii="Times New Roman" w:hAnsi="Times New Roman"/>
                <w:color w:val="auto"/>
              </w:rPr>
            </w:pPr>
          </w:p>
        </w:tc>
        <w:tc>
          <w:tcPr>
            <w:tcW w:w="1134" w:type="dxa"/>
          </w:tcPr>
          <w:p>
            <w:pPr>
              <w:spacing w:line="440" w:lineRule="exact"/>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color w:val="auto"/>
              </w:rPr>
            </w:pPr>
          </w:p>
        </w:tc>
        <w:tc>
          <w:tcPr>
            <w:tcW w:w="1275" w:type="dxa"/>
          </w:tcPr>
          <w:p>
            <w:pPr>
              <w:spacing w:line="440" w:lineRule="exact"/>
              <w:jc w:val="center"/>
              <w:rPr>
                <w:rFonts w:ascii="Times New Roman" w:hAnsi="Times New Roman"/>
                <w:color w:val="auto"/>
              </w:rPr>
            </w:pPr>
          </w:p>
        </w:tc>
        <w:tc>
          <w:tcPr>
            <w:tcW w:w="992" w:type="dxa"/>
          </w:tcPr>
          <w:p>
            <w:pPr>
              <w:spacing w:line="440" w:lineRule="exact"/>
              <w:jc w:val="center"/>
              <w:rPr>
                <w:rFonts w:ascii="Times New Roman" w:hAnsi="Times New Roman"/>
                <w:color w:val="auto"/>
              </w:rPr>
            </w:pPr>
          </w:p>
        </w:tc>
        <w:tc>
          <w:tcPr>
            <w:tcW w:w="603" w:type="dxa"/>
          </w:tcPr>
          <w:p>
            <w:pPr>
              <w:spacing w:line="440" w:lineRule="exact"/>
              <w:jc w:val="center"/>
              <w:rPr>
                <w:rFonts w:ascii="Times New Roman" w:hAnsi="Times New Roman"/>
                <w:color w:val="auto"/>
              </w:rPr>
            </w:pPr>
          </w:p>
        </w:tc>
        <w:tc>
          <w:tcPr>
            <w:tcW w:w="488" w:type="dxa"/>
          </w:tcPr>
          <w:p>
            <w:pPr>
              <w:spacing w:line="440" w:lineRule="exact"/>
              <w:jc w:val="center"/>
              <w:rPr>
                <w:rFonts w:ascii="Times New Roman" w:hAnsi="Times New Roman"/>
                <w:color w:val="auto"/>
              </w:rPr>
            </w:pPr>
          </w:p>
        </w:tc>
        <w:tc>
          <w:tcPr>
            <w:tcW w:w="1134" w:type="dxa"/>
          </w:tcPr>
          <w:p>
            <w:pPr>
              <w:spacing w:line="440" w:lineRule="exact"/>
              <w:jc w:val="center"/>
              <w:rPr>
                <w:rFonts w:ascii="Times New Roman" w:hAnsi="Times New Roman"/>
                <w:color w:val="auto"/>
              </w:rPr>
            </w:pPr>
          </w:p>
        </w:tc>
        <w:tc>
          <w:tcPr>
            <w:tcW w:w="709" w:type="dxa"/>
          </w:tcPr>
          <w:p>
            <w:pPr>
              <w:spacing w:line="440" w:lineRule="exact"/>
              <w:jc w:val="center"/>
              <w:rPr>
                <w:rFonts w:ascii="Times New Roman" w:hAnsi="Times New Roman"/>
                <w:color w:val="auto"/>
              </w:rPr>
            </w:pPr>
          </w:p>
        </w:tc>
        <w:tc>
          <w:tcPr>
            <w:tcW w:w="871" w:type="dxa"/>
          </w:tcPr>
          <w:p>
            <w:pPr>
              <w:spacing w:line="440" w:lineRule="exact"/>
              <w:jc w:val="center"/>
              <w:rPr>
                <w:rFonts w:ascii="Times New Roman" w:hAnsi="Times New Roman"/>
                <w:color w:val="auto"/>
              </w:rPr>
            </w:pPr>
          </w:p>
        </w:tc>
        <w:tc>
          <w:tcPr>
            <w:tcW w:w="1134" w:type="dxa"/>
          </w:tcPr>
          <w:p>
            <w:pPr>
              <w:spacing w:line="440" w:lineRule="exact"/>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color w:val="auto"/>
              </w:rPr>
            </w:pPr>
          </w:p>
        </w:tc>
        <w:tc>
          <w:tcPr>
            <w:tcW w:w="1275" w:type="dxa"/>
          </w:tcPr>
          <w:p>
            <w:pPr>
              <w:spacing w:line="440" w:lineRule="exact"/>
              <w:jc w:val="center"/>
              <w:rPr>
                <w:rFonts w:ascii="Times New Roman" w:hAnsi="Times New Roman"/>
                <w:color w:val="auto"/>
              </w:rPr>
            </w:pPr>
          </w:p>
        </w:tc>
        <w:tc>
          <w:tcPr>
            <w:tcW w:w="992" w:type="dxa"/>
          </w:tcPr>
          <w:p>
            <w:pPr>
              <w:spacing w:line="440" w:lineRule="exact"/>
              <w:jc w:val="center"/>
              <w:rPr>
                <w:rFonts w:ascii="Times New Roman" w:hAnsi="Times New Roman"/>
                <w:color w:val="auto"/>
              </w:rPr>
            </w:pPr>
          </w:p>
        </w:tc>
        <w:tc>
          <w:tcPr>
            <w:tcW w:w="603" w:type="dxa"/>
          </w:tcPr>
          <w:p>
            <w:pPr>
              <w:spacing w:line="440" w:lineRule="exact"/>
              <w:jc w:val="center"/>
              <w:rPr>
                <w:rFonts w:ascii="Times New Roman" w:hAnsi="Times New Roman"/>
                <w:color w:val="auto"/>
              </w:rPr>
            </w:pPr>
          </w:p>
        </w:tc>
        <w:tc>
          <w:tcPr>
            <w:tcW w:w="488" w:type="dxa"/>
          </w:tcPr>
          <w:p>
            <w:pPr>
              <w:spacing w:line="440" w:lineRule="exact"/>
              <w:jc w:val="center"/>
              <w:rPr>
                <w:rFonts w:ascii="Times New Roman" w:hAnsi="Times New Roman"/>
                <w:color w:val="auto"/>
              </w:rPr>
            </w:pPr>
          </w:p>
        </w:tc>
        <w:tc>
          <w:tcPr>
            <w:tcW w:w="1134" w:type="dxa"/>
          </w:tcPr>
          <w:p>
            <w:pPr>
              <w:spacing w:line="440" w:lineRule="exact"/>
              <w:jc w:val="center"/>
              <w:rPr>
                <w:rFonts w:ascii="Times New Roman" w:hAnsi="Times New Roman"/>
                <w:color w:val="auto"/>
              </w:rPr>
            </w:pPr>
          </w:p>
        </w:tc>
        <w:tc>
          <w:tcPr>
            <w:tcW w:w="709" w:type="dxa"/>
          </w:tcPr>
          <w:p>
            <w:pPr>
              <w:spacing w:line="440" w:lineRule="exact"/>
              <w:jc w:val="center"/>
              <w:rPr>
                <w:rFonts w:ascii="Times New Roman" w:hAnsi="Times New Roman"/>
                <w:color w:val="auto"/>
              </w:rPr>
            </w:pPr>
          </w:p>
        </w:tc>
        <w:tc>
          <w:tcPr>
            <w:tcW w:w="871" w:type="dxa"/>
          </w:tcPr>
          <w:p>
            <w:pPr>
              <w:spacing w:line="440" w:lineRule="exact"/>
              <w:jc w:val="center"/>
              <w:rPr>
                <w:rFonts w:ascii="Times New Roman" w:hAnsi="Times New Roman"/>
                <w:color w:val="auto"/>
              </w:rPr>
            </w:pPr>
          </w:p>
        </w:tc>
        <w:tc>
          <w:tcPr>
            <w:tcW w:w="1134" w:type="dxa"/>
          </w:tcPr>
          <w:p>
            <w:pPr>
              <w:spacing w:line="440" w:lineRule="exact"/>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color w:val="auto"/>
              </w:rPr>
            </w:pPr>
          </w:p>
        </w:tc>
        <w:tc>
          <w:tcPr>
            <w:tcW w:w="1275" w:type="dxa"/>
          </w:tcPr>
          <w:p>
            <w:pPr>
              <w:spacing w:line="440" w:lineRule="exact"/>
              <w:jc w:val="center"/>
              <w:rPr>
                <w:rFonts w:ascii="Times New Roman" w:hAnsi="Times New Roman"/>
                <w:color w:val="auto"/>
              </w:rPr>
            </w:pPr>
          </w:p>
        </w:tc>
        <w:tc>
          <w:tcPr>
            <w:tcW w:w="992" w:type="dxa"/>
          </w:tcPr>
          <w:p>
            <w:pPr>
              <w:spacing w:line="440" w:lineRule="exact"/>
              <w:jc w:val="center"/>
              <w:rPr>
                <w:rFonts w:ascii="Times New Roman" w:hAnsi="Times New Roman"/>
                <w:color w:val="auto"/>
              </w:rPr>
            </w:pPr>
          </w:p>
        </w:tc>
        <w:tc>
          <w:tcPr>
            <w:tcW w:w="603" w:type="dxa"/>
          </w:tcPr>
          <w:p>
            <w:pPr>
              <w:spacing w:line="440" w:lineRule="exact"/>
              <w:jc w:val="center"/>
              <w:rPr>
                <w:rFonts w:ascii="Times New Roman" w:hAnsi="Times New Roman"/>
                <w:color w:val="auto"/>
              </w:rPr>
            </w:pPr>
          </w:p>
        </w:tc>
        <w:tc>
          <w:tcPr>
            <w:tcW w:w="488" w:type="dxa"/>
          </w:tcPr>
          <w:p>
            <w:pPr>
              <w:spacing w:line="440" w:lineRule="exact"/>
              <w:jc w:val="center"/>
              <w:rPr>
                <w:rFonts w:ascii="Times New Roman" w:hAnsi="Times New Roman"/>
                <w:color w:val="auto"/>
              </w:rPr>
            </w:pPr>
          </w:p>
        </w:tc>
        <w:tc>
          <w:tcPr>
            <w:tcW w:w="1134" w:type="dxa"/>
          </w:tcPr>
          <w:p>
            <w:pPr>
              <w:spacing w:line="440" w:lineRule="exact"/>
              <w:jc w:val="center"/>
              <w:rPr>
                <w:rFonts w:ascii="Times New Roman" w:hAnsi="Times New Roman"/>
                <w:color w:val="auto"/>
              </w:rPr>
            </w:pPr>
          </w:p>
        </w:tc>
        <w:tc>
          <w:tcPr>
            <w:tcW w:w="709" w:type="dxa"/>
          </w:tcPr>
          <w:p>
            <w:pPr>
              <w:spacing w:line="440" w:lineRule="exact"/>
              <w:jc w:val="center"/>
              <w:rPr>
                <w:rFonts w:ascii="Times New Roman" w:hAnsi="Times New Roman"/>
                <w:color w:val="auto"/>
              </w:rPr>
            </w:pPr>
          </w:p>
        </w:tc>
        <w:tc>
          <w:tcPr>
            <w:tcW w:w="871" w:type="dxa"/>
          </w:tcPr>
          <w:p>
            <w:pPr>
              <w:spacing w:line="440" w:lineRule="exact"/>
              <w:jc w:val="center"/>
              <w:rPr>
                <w:rFonts w:ascii="Times New Roman" w:hAnsi="Times New Roman"/>
                <w:color w:val="auto"/>
              </w:rPr>
            </w:pPr>
          </w:p>
        </w:tc>
        <w:tc>
          <w:tcPr>
            <w:tcW w:w="1134" w:type="dxa"/>
          </w:tcPr>
          <w:p>
            <w:pPr>
              <w:spacing w:line="440" w:lineRule="exact"/>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color w:val="auto"/>
              </w:rPr>
            </w:pPr>
          </w:p>
        </w:tc>
        <w:tc>
          <w:tcPr>
            <w:tcW w:w="1275" w:type="dxa"/>
          </w:tcPr>
          <w:p>
            <w:pPr>
              <w:spacing w:line="440" w:lineRule="exact"/>
              <w:jc w:val="center"/>
              <w:rPr>
                <w:rFonts w:ascii="Times New Roman" w:hAnsi="Times New Roman"/>
                <w:color w:val="auto"/>
              </w:rPr>
            </w:pPr>
          </w:p>
        </w:tc>
        <w:tc>
          <w:tcPr>
            <w:tcW w:w="992" w:type="dxa"/>
          </w:tcPr>
          <w:p>
            <w:pPr>
              <w:spacing w:line="440" w:lineRule="exact"/>
              <w:jc w:val="center"/>
              <w:rPr>
                <w:rFonts w:ascii="Times New Roman" w:hAnsi="Times New Roman"/>
                <w:color w:val="auto"/>
              </w:rPr>
            </w:pPr>
          </w:p>
        </w:tc>
        <w:tc>
          <w:tcPr>
            <w:tcW w:w="603" w:type="dxa"/>
          </w:tcPr>
          <w:p>
            <w:pPr>
              <w:spacing w:line="440" w:lineRule="exact"/>
              <w:jc w:val="center"/>
              <w:rPr>
                <w:rFonts w:ascii="Times New Roman" w:hAnsi="Times New Roman"/>
                <w:color w:val="auto"/>
              </w:rPr>
            </w:pPr>
          </w:p>
        </w:tc>
        <w:tc>
          <w:tcPr>
            <w:tcW w:w="488" w:type="dxa"/>
          </w:tcPr>
          <w:p>
            <w:pPr>
              <w:spacing w:line="440" w:lineRule="exact"/>
              <w:jc w:val="center"/>
              <w:rPr>
                <w:rFonts w:ascii="Times New Roman" w:hAnsi="Times New Roman"/>
                <w:color w:val="auto"/>
              </w:rPr>
            </w:pPr>
          </w:p>
        </w:tc>
        <w:tc>
          <w:tcPr>
            <w:tcW w:w="1134" w:type="dxa"/>
          </w:tcPr>
          <w:p>
            <w:pPr>
              <w:spacing w:line="440" w:lineRule="exact"/>
              <w:jc w:val="center"/>
              <w:rPr>
                <w:rFonts w:ascii="Times New Roman" w:hAnsi="Times New Roman"/>
                <w:color w:val="auto"/>
              </w:rPr>
            </w:pPr>
          </w:p>
        </w:tc>
        <w:tc>
          <w:tcPr>
            <w:tcW w:w="709" w:type="dxa"/>
          </w:tcPr>
          <w:p>
            <w:pPr>
              <w:spacing w:line="440" w:lineRule="exact"/>
              <w:jc w:val="center"/>
              <w:rPr>
                <w:rFonts w:ascii="Times New Roman" w:hAnsi="Times New Roman"/>
                <w:color w:val="auto"/>
              </w:rPr>
            </w:pPr>
          </w:p>
        </w:tc>
        <w:tc>
          <w:tcPr>
            <w:tcW w:w="871" w:type="dxa"/>
          </w:tcPr>
          <w:p>
            <w:pPr>
              <w:spacing w:line="440" w:lineRule="exact"/>
              <w:jc w:val="center"/>
              <w:rPr>
                <w:rFonts w:ascii="Times New Roman" w:hAnsi="Times New Roman"/>
                <w:color w:val="auto"/>
              </w:rPr>
            </w:pPr>
          </w:p>
        </w:tc>
        <w:tc>
          <w:tcPr>
            <w:tcW w:w="1134" w:type="dxa"/>
          </w:tcPr>
          <w:p>
            <w:pPr>
              <w:spacing w:line="440" w:lineRule="exact"/>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color w:val="auto"/>
              </w:rPr>
            </w:pPr>
          </w:p>
        </w:tc>
        <w:tc>
          <w:tcPr>
            <w:tcW w:w="1275" w:type="dxa"/>
          </w:tcPr>
          <w:p>
            <w:pPr>
              <w:spacing w:line="440" w:lineRule="exact"/>
              <w:jc w:val="center"/>
              <w:rPr>
                <w:rFonts w:ascii="Times New Roman" w:hAnsi="Times New Roman"/>
                <w:color w:val="auto"/>
              </w:rPr>
            </w:pPr>
          </w:p>
        </w:tc>
        <w:tc>
          <w:tcPr>
            <w:tcW w:w="992" w:type="dxa"/>
          </w:tcPr>
          <w:p>
            <w:pPr>
              <w:spacing w:line="440" w:lineRule="exact"/>
              <w:jc w:val="center"/>
              <w:rPr>
                <w:rFonts w:ascii="Times New Roman" w:hAnsi="Times New Roman"/>
                <w:color w:val="auto"/>
              </w:rPr>
            </w:pPr>
          </w:p>
        </w:tc>
        <w:tc>
          <w:tcPr>
            <w:tcW w:w="603" w:type="dxa"/>
          </w:tcPr>
          <w:p>
            <w:pPr>
              <w:spacing w:line="440" w:lineRule="exact"/>
              <w:jc w:val="center"/>
              <w:rPr>
                <w:rFonts w:ascii="Times New Roman" w:hAnsi="Times New Roman"/>
                <w:color w:val="auto"/>
              </w:rPr>
            </w:pPr>
          </w:p>
        </w:tc>
        <w:tc>
          <w:tcPr>
            <w:tcW w:w="488" w:type="dxa"/>
          </w:tcPr>
          <w:p>
            <w:pPr>
              <w:spacing w:line="440" w:lineRule="exact"/>
              <w:jc w:val="center"/>
              <w:rPr>
                <w:rFonts w:ascii="Times New Roman" w:hAnsi="Times New Roman"/>
                <w:color w:val="auto"/>
              </w:rPr>
            </w:pPr>
          </w:p>
        </w:tc>
        <w:tc>
          <w:tcPr>
            <w:tcW w:w="1134" w:type="dxa"/>
          </w:tcPr>
          <w:p>
            <w:pPr>
              <w:spacing w:line="440" w:lineRule="exact"/>
              <w:jc w:val="center"/>
              <w:rPr>
                <w:rFonts w:ascii="Times New Roman" w:hAnsi="Times New Roman"/>
                <w:color w:val="auto"/>
              </w:rPr>
            </w:pPr>
          </w:p>
        </w:tc>
        <w:tc>
          <w:tcPr>
            <w:tcW w:w="709" w:type="dxa"/>
          </w:tcPr>
          <w:p>
            <w:pPr>
              <w:spacing w:line="440" w:lineRule="exact"/>
              <w:jc w:val="center"/>
              <w:rPr>
                <w:rFonts w:ascii="Times New Roman" w:hAnsi="Times New Roman"/>
                <w:color w:val="auto"/>
              </w:rPr>
            </w:pPr>
          </w:p>
        </w:tc>
        <w:tc>
          <w:tcPr>
            <w:tcW w:w="871" w:type="dxa"/>
          </w:tcPr>
          <w:p>
            <w:pPr>
              <w:spacing w:line="440" w:lineRule="exact"/>
              <w:jc w:val="center"/>
              <w:rPr>
                <w:rFonts w:ascii="Times New Roman" w:hAnsi="Times New Roman"/>
                <w:color w:val="auto"/>
              </w:rPr>
            </w:pPr>
          </w:p>
        </w:tc>
        <w:tc>
          <w:tcPr>
            <w:tcW w:w="1134" w:type="dxa"/>
          </w:tcPr>
          <w:p>
            <w:pPr>
              <w:spacing w:line="440" w:lineRule="exact"/>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color w:val="auto"/>
              </w:rPr>
            </w:pPr>
          </w:p>
        </w:tc>
        <w:tc>
          <w:tcPr>
            <w:tcW w:w="1275" w:type="dxa"/>
          </w:tcPr>
          <w:p>
            <w:pPr>
              <w:spacing w:line="440" w:lineRule="exact"/>
              <w:jc w:val="center"/>
              <w:rPr>
                <w:rFonts w:ascii="Times New Roman" w:hAnsi="Times New Roman"/>
                <w:color w:val="auto"/>
              </w:rPr>
            </w:pPr>
          </w:p>
        </w:tc>
        <w:tc>
          <w:tcPr>
            <w:tcW w:w="992" w:type="dxa"/>
          </w:tcPr>
          <w:p>
            <w:pPr>
              <w:spacing w:line="440" w:lineRule="exact"/>
              <w:jc w:val="center"/>
              <w:rPr>
                <w:rFonts w:ascii="Times New Roman" w:hAnsi="Times New Roman"/>
                <w:color w:val="auto"/>
              </w:rPr>
            </w:pPr>
          </w:p>
        </w:tc>
        <w:tc>
          <w:tcPr>
            <w:tcW w:w="603" w:type="dxa"/>
          </w:tcPr>
          <w:p>
            <w:pPr>
              <w:spacing w:line="440" w:lineRule="exact"/>
              <w:jc w:val="center"/>
              <w:rPr>
                <w:rFonts w:ascii="Times New Roman" w:hAnsi="Times New Roman"/>
                <w:color w:val="auto"/>
              </w:rPr>
            </w:pPr>
          </w:p>
        </w:tc>
        <w:tc>
          <w:tcPr>
            <w:tcW w:w="488" w:type="dxa"/>
          </w:tcPr>
          <w:p>
            <w:pPr>
              <w:spacing w:line="440" w:lineRule="exact"/>
              <w:jc w:val="center"/>
              <w:rPr>
                <w:rFonts w:ascii="Times New Roman" w:hAnsi="Times New Roman"/>
                <w:color w:val="auto"/>
              </w:rPr>
            </w:pPr>
          </w:p>
        </w:tc>
        <w:tc>
          <w:tcPr>
            <w:tcW w:w="1134" w:type="dxa"/>
          </w:tcPr>
          <w:p>
            <w:pPr>
              <w:spacing w:line="440" w:lineRule="exact"/>
              <w:jc w:val="center"/>
              <w:rPr>
                <w:rFonts w:ascii="Times New Roman" w:hAnsi="Times New Roman"/>
                <w:color w:val="auto"/>
              </w:rPr>
            </w:pPr>
          </w:p>
        </w:tc>
        <w:tc>
          <w:tcPr>
            <w:tcW w:w="709" w:type="dxa"/>
          </w:tcPr>
          <w:p>
            <w:pPr>
              <w:spacing w:line="440" w:lineRule="exact"/>
              <w:jc w:val="center"/>
              <w:rPr>
                <w:rFonts w:ascii="Times New Roman" w:hAnsi="Times New Roman"/>
                <w:color w:val="auto"/>
              </w:rPr>
            </w:pPr>
          </w:p>
        </w:tc>
        <w:tc>
          <w:tcPr>
            <w:tcW w:w="871" w:type="dxa"/>
          </w:tcPr>
          <w:p>
            <w:pPr>
              <w:spacing w:line="440" w:lineRule="exact"/>
              <w:jc w:val="center"/>
              <w:rPr>
                <w:rFonts w:ascii="Times New Roman" w:hAnsi="Times New Roman"/>
                <w:color w:val="auto"/>
              </w:rPr>
            </w:pPr>
          </w:p>
        </w:tc>
        <w:tc>
          <w:tcPr>
            <w:tcW w:w="1134" w:type="dxa"/>
          </w:tcPr>
          <w:p>
            <w:pPr>
              <w:spacing w:line="440" w:lineRule="exact"/>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color w:val="auto"/>
              </w:rPr>
            </w:pPr>
          </w:p>
        </w:tc>
        <w:tc>
          <w:tcPr>
            <w:tcW w:w="1275" w:type="dxa"/>
          </w:tcPr>
          <w:p>
            <w:pPr>
              <w:spacing w:line="440" w:lineRule="exact"/>
              <w:jc w:val="center"/>
              <w:rPr>
                <w:rFonts w:ascii="Times New Roman" w:hAnsi="Times New Roman"/>
                <w:color w:val="auto"/>
              </w:rPr>
            </w:pPr>
          </w:p>
        </w:tc>
        <w:tc>
          <w:tcPr>
            <w:tcW w:w="992" w:type="dxa"/>
          </w:tcPr>
          <w:p>
            <w:pPr>
              <w:spacing w:line="440" w:lineRule="exact"/>
              <w:jc w:val="center"/>
              <w:rPr>
                <w:rFonts w:ascii="Times New Roman" w:hAnsi="Times New Roman"/>
                <w:color w:val="auto"/>
              </w:rPr>
            </w:pPr>
          </w:p>
        </w:tc>
        <w:tc>
          <w:tcPr>
            <w:tcW w:w="603" w:type="dxa"/>
          </w:tcPr>
          <w:p>
            <w:pPr>
              <w:spacing w:line="440" w:lineRule="exact"/>
              <w:jc w:val="center"/>
              <w:rPr>
                <w:rFonts w:ascii="Times New Roman" w:hAnsi="Times New Roman"/>
                <w:color w:val="auto"/>
              </w:rPr>
            </w:pPr>
          </w:p>
        </w:tc>
        <w:tc>
          <w:tcPr>
            <w:tcW w:w="488" w:type="dxa"/>
          </w:tcPr>
          <w:p>
            <w:pPr>
              <w:spacing w:line="440" w:lineRule="exact"/>
              <w:jc w:val="center"/>
              <w:rPr>
                <w:rFonts w:ascii="Times New Roman" w:hAnsi="Times New Roman"/>
                <w:color w:val="auto"/>
              </w:rPr>
            </w:pPr>
          </w:p>
        </w:tc>
        <w:tc>
          <w:tcPr>
            <w:tcW w:w="1134" w:type="dxa"/>
          </w:tcPr>
          <w:p>
            <w:pPr>
              <w:spacing w:line="440" w:lineRule="exact"/>
              <w:jc w:val="center"/>
              <w:rPr>
                <w:rFonts w:ascii="Times New Roman" w:hAnsi="Times New Roman"/>
                <w:color w:val="auto"/>
              </w:rPr>
            </w:pPr>
          </w:p>
        </w:tc>
        <w:tc>
          <w:tcPr>
            <w:tcW w:w="709" w:type="dxa"/>
          </w:tcPr>
          <w:p>
            <w:pPr>
              <w:spacing w:line="440" w:lineRule="exact"/>
              <w:jc w:val="center"/>
              <w:rPr>
                <w:rFonts w:ascii="Times New Roman" w:hAnsi="Times New Roman"/>
                <w:color w:val="auto"/>
              </w:rPr>
            </w:pPr>
          </w:p>
        </w:tc>
        <w:tc>
          <w:tcPr>
            <w:tcW w:w="871" w:type="dxa"/>
          </w:tcPr>
          <w:p>
            <w:pPr>
              <w:spacing w:line="440" w:lineRule="exact"/>
              <w:jc w:val="center"/>
              <w:rPr>
                <w:rFonts w:ascii="Times New Roman" w:hAnsi="Times New Roman"/>
                <w:color w:val="auto"/>
              </w:rPr>
            </w:pPr>
          </w:p>
        </w:tc>
        <w:tc>
          <w:tcPr>
            <w:tcW w:w="1134" w:type="dxa"/>
          </w:tcPr>
          <w:p>
            <w:pPr>
              <w:spacing w:line="440" w:lineRule="exact"/>
              <w:jc w:val="center"/>
              <w:rPr>
                <w:rFonts w:ascii="Times New Roman" w:hAnsi="Times New Roman"/>
                <w:color w:val="auto"/>
              </w:rPr>
            </w:pPr>
          </w:p>
        </w:tc>
      </w:tr>
    </w:tbl>
    <w:p>
      <w:pPr>
        <w:spacing w:line="440" w:lineRule="exact"/>
        <w:rPr>
          <w:rFonts w:ascii="Times New Roman" w:hAnsi="Times New Roman"/>
          <w:color w:val="auto"/>
        </w:rPr>
      </w:pPr>
      <w:r>
        <w:rPr>
          <w:rFonts w:ascii="Times New Roman" w:hAnsi="Times New Roman"/>
          <w:color w:val="auto"/>
        </w:rPr>
        <w:br w:type="page"/>
      </w:r>
      <w:bookmarkStart w:id="785" w:name="_Toc152042594"/>
      <w:bookmarkStart w:id="786" w:name="_Toc152045805"/>
      <w:bookmarkStart w:id="787" w:name="_Toc144974873"/>
      <w:bookmarkStart w:id="788" w:name="_Toc179632825"/>
    </w:p>
    <w:p>
      <w:pPr>
        <w:pStyle w:val="6"/>
        <w:ind w:firstLine="137"/>
        <w:rPr>
          <w:rFonts w:ascii="Times New Roman" w:hAnsi="Times New Roman"/>
          <w:color w:val="auto"/>
        </w:rPr>
      </w:pPr>
      <w:bookmarkStart w:id="789" w:name="_Toc385943079"/>
      <w:bookmarkStart w:id="790" w:name="_Toc482188668"/>
      <w:bookmarkStart w:id="791" w:name="_Toc300835232"/>
      <w:bookmarkStart w:id="792" w:name="_Toc391394125"/>
      <w:bookmarkStart w:id="793" w:name="_Toc370676440"/>
      <w:bookmarkStart w:id="794" w:name="_Toc384308390"/>
      <w:bookmarkStart w:id="795" w:name="_Toc492300955"/>
      <w:bookmarkStart w:id="796" w:name="_Toc359594249"/>
      <w:r>
        <w:rPr>
          <w:rFonts w:hint="eastAsia" w:ascii="Times New Roman" w:hAnsi="Times New Roman"/>
          <w:color w:val="auto"/>
        </w:rPr>
        <w:t>（七）主要人员简历表</w:t>
      </w:r>
      <w:bookmarkEnd w:id="785"/>
      <w:bookmarkEnd w:id="786"/>
      <w:bookmarkEnd w:id="787"/>
      <w:bookmarkEnd w:id="788"/>
      <w:bookmarkEnd w:id="789"/>
      <w:bookmarkEnd w:id="790"/>
      <w:bookmarkEnd w:id="791"/>
      <w:bookmarkEnd w:id="792"/>
      <w:bookmarkEnd w:id="793"/>
      <w:bookmarkEnd w:id="794"/>
      <w:bookmarkEnd w:id="795"/>
      <w:bookmarkEnd w:id="796"/>
    </w:p>
    <w:p>
      <w:pPr>
        <w:topLinePunct/>
        <w:spacing w:line="440" w:lineRule="exact"/>
        <w:jc w:val="center"/>
        <w:rPr>
          <w:rFonts w:ascii="Times New Roman" w:hAnsi="Times New Roman"/>
          <w:color w:val="auto"/>
          <w:sz w:val="23"/>
        </w:rPr>
      </w:pPr>
    </w:p>
    <w:tbl>
      <w:tblPr>
        <w:tblStyle w:val="3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57"/>
        <w:gridCol w:w="691"/>
        <w:gridCol w:w="958"/>
        <w:gridCol w:w="1065"/>
        <w:gridCol w:w="706"/>
        <w:gridCol w:w="1261"/>
        <w:gridCol w:w="401"/>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1187" w:type="dxa"/>
            <w:vAlign w:val="center"/>
          </w:tcPr>
          <w:p>
            <w:pPr>
              <w:spacing w:line="440" w:lineRule="exact"/>
              <w:jc w:val="center"/>
              <w:rPr>
                <w:rFonts w:ascii="Times New Roman" w:hAnsi="Times New Roman"/>
                <w:color w:val="auto"/>
              </w:rPr>
            </w:pPr>
            <w:r>
              <w:rPr>
                <w:rFonts w:hint="eastAsia" w:ascii="Times New Roman" w:hAnsi="Times New Roman"/>
                <w:color w:val="auto"/>
              </w:rPr>
              <w:t>姓</w:t>
            </w:r>
            <w:r>
              <w:rPr>
                <w:rFonts w:ascii="Times New Roman" w:hAnsi="Times New Roman"/>
                <w:color w:val="auto"/>
              </w:rPr>
              <w:t xml:space="preserve">  </w:t>
            </w:r>
            <w:r>
              <w:rPr>
                <w:rFonts w:hint="eastAsia" w:ascii="Times New Roman" w:hAnsi="Times New Roman"/>
                <w:color w:val="auto"/>
              </w:rPr>
              <w:t>名</w:t>
            </w:r>
          </w:p>
        </w:tc>
        <w:tc>
          <w:tcPr>
            <w:tcW w:w="1048" w:type="dxa"/>
            <w:gridSpan w:val="2"/>
            <w:vAlign w:val="center"/>
          </w:tcPr>
          <w:p>
            <w:pPr>
              <w:spacing w:line="440" w:lineRule="exact"/>
              <w:jc w:val="center"/>
              <w:rPr>
                <w:rFonts w:ascii="Times New Roman" w:hAnsi="Times New Roman"/>
                <w:color w:val="auto"/>
              </w:rPr>
            </w:pPr>
          </w:p>
        </w:tc>
        <w:tc>
          <w:tcPr>
            <w:tcW w:w="958" w:type="dxa"/>
            <w:vAlign w:val="center"/>
          </w:tcPr>
          <w:p>
            <w:pPr>
              <w:spacing w:line="440" w:lineRule="exact"/>
              <w:jc w:val="center"/>
              <w:rPr>
                <w:rFonts w:ascii="Times New Roman" w:hAnsi="Times New Roman"/>
                <w:color w:val="auto"/>
              </w:rPr>
            </w:pPr>
            <w:r>
              <w:rPr>
                <w:rFonts w:hint="eastAsia" w:ascii="Times New Roman" w:hAnsi="Times New Roman"/>
                <w:color w:val="auto"/>
              </w:rPr>
              <w:t>年龄</w:t>
            </w:r>
          </w:p>
        </w:tc>
        <w:tc>
          <w:tcPr>
            <w:tcW w:w="1065" w:type="dxa"/>
            <w:vAlign w:val="center"/>
          </w:tcPr>
          <w:p>
            <w:pPr>
              <w:spacing w:line="440" w:lineRule="exact"/>
              <w:jc w:val="center"/>
              <w:rPr>
                <w:rFonts w:ascii="Times New Roman" w:hAnsi="Times New Roman"/>
                <w:color w:val="auto"/>
              </w:rPr>
            </w:pPr>
          </w:p>
        </w:tc>
        <w:tc>
          <w:tcPr>
            <w:tcW w:w="2368" w:type="dxa"/>
            <w:gridSpan w:val="3"/>
            <w:vAlign w:val="center"/>
          </w:tcPr>
          <w:p>
            <w:pPr>
              <w:spacing w:line="440" w:lineRule="exact"/>
              <w:jc w:val="center"/>
              <w:rPr>
                <w:rFonts w:ascii="Times New Roman" w:hAnsi="Times New Roman"/>
                <w:color w:val="auto"/>
              </w:rPr>
            </w:pPr>
            <w:r>
              <w:rPr>
                <w:rFonts w:hint="eastAsia" w:ascii="Times New Roman" w:hAnsi="Times New Roman"/>
                <w:color w:val="auto"/>
              </w:rPr>
              <w:t>执业资格证书（或上岗证书）名称</w:t>
            </w:r>
          </w:p>
        </w:tc>
        <w:tc>
          <w:tcPr>
            <w:tcW w:w="1896" w:type="dxa"/>
            <w:vAlign w:val="center"/>
          </w:tcPr>
          <w:p>
            <w:pPr>
              <w:spacing w:line="440" w:lineRule="exact"/>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1187" w:type="dxa"/>
            <w:vAlign w:val="center"/>
          </w:tcPr>
          <w:p>
            <w:pPr>
              <w:spacing w:line="440" w:lineRule="exact"/>
              <w:jc w:val="center"/>
              <w:rPr>
                <w:rFonts w:ascii="Times New Roman" w:hAnsi="Times New Roman"/>
                <w:color w:val="auto"/>
              </w:rPr>
            </w:pPr>
            <w:r>
              <w:rPr>
                <w:rFonts w:hint="eastAsia" w:ascii="Times New Roman" w:hAnsi="Times New Roman"/>
                <w:color w:val="auto"/>
              </w:rPr>
              <w:t>职</w:t>
            </w:r>
            <w:r>
              <w:rPr>
                <w:rFonts w:ascii="Times New Roman" w:hAnsi="Times New Roman"/>
                <w:color w:val="auto"/>
              </w:rPr>
              <w:t xml:space="preserve">  </w:t>
            </w:r>
            <w:r>
              <w:rPr>
                <w:rFonts w:hint="eastAsia" w:ascii="Times New Roman" w:hAnsi="Times New Roman"/>
                <w:color w:val="auto"/>
              </w:rPr>
              <w:t>称</w:t>
            </w:r>
          </w:p>
        </w:tc>
        <w:tc>
          <w:tcPr>
            <w:tcW w:w="1048" w:type="dxa"/>
            <w:gridSpan w:val="2"/>
            <w:vAlign w:val="center"/>
          </w:tcPr>
          <w:p>
            <w:pPr>
              <w:spacing w:line="440" w:lineRule="exact"/>
              <w:jc w:val="center"/>
              <w:rPr>
                <w:rFonts w:ascii="Times New Roman" w:hAnsi="Times New Roman"/>
                <w:color w:val="auto"/>
              </w:rPr>
            </w:pPr>
          </w:p>
        </w:tc>
        <w:tc>
          <w:tcPr>
            <w:tcW w:w="958" w:type="dxa"/>
            <w:vAlign w:val="center"/>
          </w:tcPr>
          <w:p>
            <w:pPr>
              <w:spacing w:before="100" w:beforeAutospacing="1" w:after="100" w:afterAutospacing="1" w:line="440" w:lineRule="exact"/>
              <w:jc w:val="center"/>
              <w:rPr>
                <w:rFonts w:ascii="Times New Roman" w:hAnsi="Times New Roman"/>
                <w:color w:val="auto"/>
              </w:rPr>
            </w:pPr>
            <w:r>
              <w:rPr>
                <w:rFonts w:hint="eastAsia" w:ascii="Times New Roman" w:hAnsi="Times New Roman"/>
                <w:color w:val="auto"/>
              </w:rPr>
              <w:t>学历</w:t>
            </w:r>
          </w:p>
        </w:tc>
        <w:tc>
          <w:tcPr>
            <w:tcW w:w="1065" w:type="dxa"/>
            <w:vAlign w:val="center"/>
          </w:tcPr>
          <w:p>
            <w:pPr>
              <w:spacing w:line="440" w:lineRule="exact"/>
              <w:jc w:val="center"/>
              <w:rPr>
                <w:rFonts w:ascii="Times New Roman" w:hAnsi="Times New Roman"/>
                <w:color w:val="auto"/>
              </w:rPr>
            </w:pPr>
          </w:p>
        </w:tc>
        <w:tc>
          <w:tcPr>
            <w:tcW w:w="2368" w:type="dxa"/>
            <w:gridSpan w:val="3"/>
            <w:vAlign w:val="center"/>
          </w:tcPr>
          <w:p>
            <w:pPr>
              <w:spacing w:before="100" w:beforeAutospacing="1" w:after="100" w:afterAutospacing="1" w:line="440" w:lineRule="exact"/>
              <w:jc w:val="center"/>
              <w:rPr>
                <w:rFonts w:ascii="Times New Roman" w:hAnsi="Times New Roman"/>
                <w:color w:val="auto"/>
              </w:rPr>
            </w:pPr>
            <w:r>
              <w:rPr>
                <w:rFonts w:hint="eastAsia" w:ascii="Times New Roman" w:hAnsi="Times New Roman"/>
                <w:color w:val="auto"/>
              </w:rPr>
              <w:t>拟在本项目任职</w:t>
            </w:r>
          </w:p>
        </w:tc>
        <w:tc>
          <w:tcPr>
            <w:tcW w:w="1896" w:type="dxa"/>
            <w:vAlign w:val="center"/>
          </w:tcPr>
          <w:p>
            <w:pPr>
              <w:spacing w:line="440" w:lineRule="exact"/>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1187" w:type="dxa"/>
            <w:vAlign w:val="center"/>
          </w:tcPr>
          <w:p>
            <w:pPr>
              <w:spacing w:before="100" w:beforeAutospacing="1" w:after="100" w:afterAutospacing="1" w:line="440" w:lineRule="exact"/>
              <w:jc w:val="center"/>
              <w:rPr>
                <w:rFonts w:ascii="Times New Roman" w:hAnsi="Times New Roman"/>
                <w:color w:val="auto"/>
              </w:rPr>
            </w:pPr>
            <w:r>
              <w:rPr>
                <w:rFonts w:hint="eastAsia" w:ascii="Times New Roman" w:hAnsi="Times New Roman"/>
                <w:color w:val="auto"/>
              </w:rPr>
              <w:t>工作年限</w:t>
            </w:r>
          </w:p>
        </w:tc>
        <w:tc>
          <w:tcPr>
            <w:tcW w:w="3071" w:type="dxa"/>
            <w:gridSpan w:val="4"/>
            <w:vAlign w:val="center"/>
          </w:tcPr>
          <w:p>
            <w:pPr>
              <w:spacing w:line="440" w:lineRule="exact"/>
              <w:jc w:val="center"/>
              <w:rPr>
                <w:rFonts w:ascii="Times New Roman" w:hAnsi="Times New Roman"/>
                <w:color w:val="auto"/>
              </w:rPr>
            </w:pPr>
          </w:p>
        </w:tc>
        <w:tc>
          <w:tcPr>
            <w:tcW w:w="2368" w:type="dxa"/>
            <w:gridSpan w:val="3"/>
            <w:vAlign w:val="center"/>
          </w:tcPr>
          <w:p>
            <w:pPr>
              <w:spacing w:before="100" w:beforeAutospacing="1" w:after="100" w:afterAutospacing="1" w:line="440" w:lineRule="exact"/>
              <w:jc w:val="center"/>
              <w:rPr>
                <w:rFonts w:ascii="Times New Roman" w:hAnsi="Times New Roman"/>
                <w:color w:val="auto"/>
              </w:rPr>
            </w:pPr>
            <w:r>
              <w:rPr>
                <w:rFonts w:hint="eastAsia" w:ascii="Times New Roman" w:hAnsi="Times New Roman"/>
                <w:color w:val="auto"/>
              </w:rPr>
              <w:t>从事勘察工作年限</w:t>
            </w:r>
          </w:p>
        </w:tc>
        <w:tc>
          <w:tcPr>
            <w:tcW w:w="1896" w:type="dxa"/>
            <w:vAlign w:val="center"/>
          </w:tcPr>
          <w:p>
            <w:pPr>
              <w:spacing w:line="440" w:lineRule="exact"/>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jc w:val="center"/>
        </w:trPr>
        <w:tc>
          <w:tcPr>
            <w:tcW w:w="1187" w:type="dxa"/>
            <w:vAlign w:val="center"/>
          </w:tcPr>
          <w:p>
            <w:pPr>
              <w:spacing w:before="100" w:beforeAutospacing="1" w:after="100" w:afterAutospacing="1" w:line="440" w:lineRule="exact"/>
              <w:jc w:val="center"/>
              <w:rPr>
                <w:rFonts w:ascii="Times New Roman" w:hAnsi="Times New Roman"/>
                <w:color w:val="auto"/>
              </w:rPr>
            </w:pPr>
            <w:r>
              <w:rPr>
                <w:rFonts w:hint="eastAsia" w:ascii="Times New Roman" w:hAnsi="Times New Roman"/>
                <w:color w:val="auto"/>
              </w:rPr>
              <w:t>毕业学校</w:t>
            </w:r>
          </w:p>
        </w:tc>
        <w:tc>
          <w:tcPr>
            <w:tcW w:w="7335" w:type="dxa"/>
            <w:gridSpan w:val="8"/>
            <w:vAlign w:val="center"/>
          </w:tcPr>
          <w:p>
            <w:pPr>
              <w:spacing w:before="100" w:beforeAutospacing="1" w:after="100" w:afterAutospacing="1" w:line="440" w:lineRule="exact"/>
              <w:ind w:firstLine="1155" w:firstLineChars="550"/>
              <w:rPr>
                <w:rFonts w:ascii="Times New Roman" w:hAnsi="Times New Roman"/>
                <w:color w:val="auto"/>
              </w:rPr>
            </w:pPr>
            <w:r>
              <w:rPr>
                <w:rFonts w:hint="eastAsia" w:ascii="Times New Roman" w:hAnsi="Times New Roman"/>
                <w:color w:val="auto"/>
              </w:rPr>
              <w:t>年毕业于</w:t>
            </w:r>
            <w:r>
              <w:rPr>
                <w:rFonts w:ascii="Times New Roman" w:hAnsi="Times New Roman"/>
                <w:color w:val="auto"/>
              </w:rPr>
              <w:t xml:space="preserve">            </w:t>
            </w:r>
            <w:r>
              <w:rPr>
                <w:rFonts w:hint="eastAsia" w:ascii="Times New Roman" w:hAnsi="Times New Roman"/>
                <w:color w:val="auto"/>
              </w:rPr>
              <w:t>学校</w:t>
            </w:r>
            <w:r>
              <w:rPr>
                <w:rFonts w:ascii="Times New Roman" w:hAnsi="Times New Roman"/>
                <w:color w:val="auto"/>
              </w:rPr>
              <w:t xml:space="preserve">        </w:t>
            </w:r>
            <w:r>
              <w:rPr>
                <w:rFonts w:hint="eastAsia" w:ascii="Times New Roman" w:hAnsi="Times New Roman"/>
                <w:color w:val="auto"/>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8522" w:type="dxa"/>
            <w:gridSpan w:val="9"/>
            <w:vAlign w:val="center"/>
          </w:tcPr>
          <w:p>
            <w:pPr>
              <w:spacing w:before="100" w:beforeAutospacing="1" w:after="100" w:afterAutospacing="1" w:line="440" w:lineRule="exact"/>
              <w:jc w:val="left"/>
              <w:rPr>
                <w:rFonts w:ascii="Times New Roman" w:hAnsi="Times New Roman"/>
                <w:color w:val="auto"/>
              </w:rPr>
            </w:pPr>
            <w:r>
              <w:rPr>
                <w:rFonts w:hint="eastAsia" w:ascii="Times New Roman" w:hAnsi="Times New Roman"/>
                <w:color w:val="auto"/>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1544" w:type="dxa"/>
            <w:gridSpan w:val="2"/>
            <w:vAlign w:val="center"/>
          </w:tcPr>
          <w:p>
            <w:pPr>
              <w:spacing w:before="100" w:beforeAutospacing="1" w:after="100" w:afterAutospacing="1" w:line="440" w:lineRule="exact"/>
              <w:jc w:val="center"/>
              <w:rPr>
                <w:rFonts w:ascii="Times New Roman" w:hAnsi="Times New Roman"/>
                <w:color w:val="auto"/>
              </w:rPr>
            </w:pPr>
            <w:r>
              <w:rPr>
                <w:rFonts w:hint="eastAsia" w:ascii="Times New Roman" w:hAnsi="Times New Roman"/>
                <w:color w:val="auto"/>
              </w:rPr>
              <w:t>时</w:t>
            </w:r>
            <w:r>
              <w:rPr>
                <w:rFonts w:ascii="Times New Roman" w:hAnsi="Times New Roman"/>
                <w:color w:val="auto"/>
              </w:rPr>
              <w:t xml:space="preserve">  </w:t>
            </w:r>
            <w:r>
              <w:rPr>
                <w:rFonts w:hint="eastAsia" w:ascii="Times New Roman" w:hAnsi="Times New Roman"/>
                <w:color w:val="auto"/>
              </w:rPr>
              <w:t>间</w:t>
            </w:r>
          </w:p>
        </w:tc>
        <w:tc>
          <w:tcPr>
            <w:tcW w:w="3420" w:type="dxa"/>
            <w:gridSpan w:val="4"/>
            <w:vAlign w:val="center"/>
          </w:tcPr>
          <w:p>
            <w:pPr>
              <w:spacing w:before="100" w:beforeAutospacing="1" w:after="100" w:afterAutospacing="1" w:line="440" w:lineRule="exact"/>
              <w:jc w:val="center"/>
              <w:rPr>
                <w:rFonts w:ascii="Times New Roman" w:hAnsi="Times New Roman"/>
                <w:color w:val="auto"/>
              </w:rPr>
            </w:pPr>
            <w:r>
              <w:rPr>
                <w:rFonts w:hint="eastAsia" w:ascii="Times New Roman" w:hAnsi="Times New Roman"/>
                <w:color w:val="auto"/>
              </w:rPr>
              <w:t>参加过的类似项目</w:t>
            </w:r>
          </w:p>
        </w:tc>
        <w:tc>
          <w:tcPr>
            <w:tcW w:w="1261" w:type="dxa"/>
            <w:vAlign w:val="center"/>
          </w:tcPr>
          <w:p>
            <w:pPr>
              <w:spacing w:before="100" w:beforeAutospacing="1" w:after="100" w:afterAutospacing="1" w:line="440" w:lineRule="exact"/>
              <w:jc w:val="center"/>
              <w:rPr>
                <w:rFonts w:ascii="Times New Roman" w:hAnsi="Times New Roman"/>
                <w:color w:val="auto"/>
              </w:rPr>
            </w:pPr>
            <w:r>
              <w:rPr>
                <w:rFonts w:hint="eastAsia" w:ascii="Times New Roman" w:hAnsi="Times New Roman"/>
                <w:color w:val="auto"/>
              </w:rPr>
              <w:t>担任职务</w:t>
            </w:r>
          </w:p>
        </w:tc>
        <w:tc>
          <w:tcPr>
            <w:tcW w:w="2297" w:type="dxa"/>
            <w:gridSpan w:val="2"/>
            <w:vAlign w:val="center"/>
          </w:tcPr>
          <w:p>
            <w:pPr>
              <w:spacing w:before="100" w:beforeAutospacing="1" w:after="100" w:afterAutospacing="1" w:line="440" w:lineRule="exact"/>
              <w:jc w:val="center"/>
              <w:rPr>
                <w:rFonts w:ascii="Times New Roman" w:hAnsi="Times New Roman"/>
                <w:color w:val="auto"/>
              </w:rPr>
            </w:pPr>
            <w:r>
              <w:rPr>
                <w:rFonts w:hint="eastAsia" w:ascii="Times New Roman" w:hAnsi="Times New Roman"/>
                <w:color w:val="auto"/>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4" w:type="dxa"/>
            <w:gridSpan w:val="2"/>
          </w:tcPr>
          <w:p>
            <w:pPr>
              <w:spacing w:line="440" w:lineRule="exact"/>
              <w:rPr>
                <w:rFonts w:ascii="Times New Roman" w:hAnsi="Times New Roman"/>
                <w:color w:val="auto"/>
              </w:rPr>
            </w:pPr>
          </w:p>
        </w:tc>
        <w:tc>
          <w:tcPr>
            <w:tcW w:w="3420" w:type="dxa"/>
            <w:gridSpan w:val="4"/>
          </w:tcPr>
          <w:p>
            <w:pPr>
              <w:spacing w:line="440" w:lineRule="exact"/>
              <w:rPr>
                <w:rFonts w:ascii="Times New Roman" w:hAnsi="Times New Roman"/>
                <w:color w:val="auto"/>
              </w:rPr>
            </w:pPr>
          </w:p>
        </w:tc>
        <w:tc>
          <w:tcPr>
            <w:tcW w:w="1261" w:type="dxa"/>
          </w:tcPr>
          <w:p>
            <w:pPr>
              <w:spacing w:line="440" w:lineRule="exact"/>
              <w:rPr>
                <w:rFonts w:ascii="Times New Roman" w:hAnsi="Times New Roman"/>
                <w:color w:val="auto"/>
              </w:rPr>
            </w:pPr>
          </w:p>
        </w:tc>
        <w:tc>
          <w:tcPr>
            <w:tcW w:w="2297" w:type="dxa"/>
            <w:gridSpan w:val="2"/>
          </w:tcPr>
          <w:p>
            <w:pPr>
              <w:spacing w:line="440" w:lineRule="exact"/>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4" w:type="dxa"/>
            <w:gridSpan w:val="2"/>
          </w:tcPr>
          <w:p>
            <w:pPr>
              <w:spacing w:line="440" w:lineRule="exact"/>
              <w:rPr>
                <w:rFonts w:ascii="Times New Roman" w:hAnsi="Times New Roman"/>
                <w:color w:val="auto"/>
              </w:rPr>
            </w:pPr>
          </w:p>
        </w:tc>
        <w:tc>
          <w:tcPr>
            <w:tcW w:w="3420" w:type="dxa"/>
            <w:gridSpan w:val="4"/>
          </w:tcPr>
          <w:p>
            <w:pPr>
              <w:spacing w:line="440" w:lineRule="exact"/>
              <w:rPr>
                <w:rFonts w:ascii="Times New Roman" w:hAnsi="Times New Roman"/>
                <w:color w:val="auto"/>
              </w:rPr>
            </w:pPr>
          </w:p>
        </w:tc>
        <w:tc>
          <w:tcPr>
            <w:tcW w:w="1261" w:type="dxa"/>
          </w:tcPr>
          <w:p>
            <w:pPr>
              <w:spacing w:line="440" w:lineRule="exact"/>
              <w:rPr>
                <w:rFonts w:ascii="Times New Roman" w:hAnsi="Times New Roman"/>
                <w:color w:val="auto"/>
              </w:rPr>
            </w:pPr>
          </w:p>
        </w:tc>
        <w:tc>
          <w:tcPr>
            <w:tcW w:w="2297" w:type="dxa"/>
            <w:gridSpan w:val="2"/>
          </w:tcPr>
          <w:p>
            <w:pPr>
              <w:spacing w:line="440" w:lineRule="exact"/>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4" w:type="dxa"/>
            <w:gridSpan w:val="2"/>
          </w:tcPr>
          <w:p>
            <w:pPr>
              <w:spacing w:line="440" w:lineRule="exact"/>
              <w:rPr>
                <w:rFonts w:ascii="Times New Roman" w:hAnsi="Times New Roman"/>
                <w:color w:val="auto"/>
              </w:rPr>
            </w:pPr>
          </w:p>
        </w:tc>
        <w:tc>
          <w:tcPr>
            <w:tcW w:w="3420" w:type="dxa"/>
            <w:gridSpan w:val="4"/>
          </w:tcPr>
          <w:p>
            <w:pPr>
              <w:spacing w:line="440" w:lineRule="exact"/>
              <w:rPr>
                <w:rFonts w:ascii="Times New Roman" w:hAnsi="Times New Roman"/>
                <w:color w:val="auto"/>
              </w:rPr>
            </w:pPr>
          </w:p>
        </w:tc>
        <w:tc>
          <w:tcPr>
            <w:tcW w:w="1261" w:type="dxa"/>
          </w:tcPr>
          <w:p>
            <w:pPr>
              <w:spacing w:line="440" w:lineRule="exact"/>
              <w:rPr>
                <w:rFonts w:ascii="Times New Roman" w:hAnsi="Times New Roman"/>
                <w:color w:val="auto"/>
              </w:rPr>
            </w:pPr>
          </w:p>
        </w:tc>
        <w:tc>
          <w:tcPr>
            <w:tcW w:w="2297" w:type="dxa"/>
            <w:gridSpan w:val="2"/>
          </w:tcPr>
          <w:p>
            <w:pPr>
              <w:spacing w:line="440" w:lineRule="exact"/>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4" w:type="dxa"/>
            <w:gridSpan w:val="2"/>
            <w:vAlign w:val="center"/>
          </w:tcPr>
          <w:p>
            <w:pPr>
              <w:spacing w:line="440" w:lineRule="exact"/>
              <w:rPr>
                <w:rFonts w:ascii="Times New Roman" w:hAnsi="Times New Roman"/>
                <w:color w:val="auto"/>
              </w:rPr>
            </w:pPr>
          </w:p>
        </w:tc>
        <w:tc>
          <w:tcPr>
            <w:tcW w:w="3420" w:type="dxa"/>
            <w:gridSpan w:val="4"/>
            <w:vAlign w:val="center"/>
          </w:tcPr>
          <w:p>
            <w:pPr>
              <w:spacing w:line="440" w:lineRule="exact"/>
              <w:rPr>
                <w:rFonts w:ascii="Times New Roman" w:hAnsi="Times New Roman"/>
                <w:color w:val="auto"/>
              </w:rPr>
            </w:pPr>
          </w:p>
        </w:tc>
        <w:tc>
          <w:tcPr>
            <w:tcW w:w="1261" w:type="dxa"/>
            <w:vAlign w:val="center"/>
          </w:tcPr>
          <w:p>
            <w:pPr>
              <w:spacing w:line="440" w:lineRule="exact"/>
              <w:rPr>
                <w:rFonts w:ascii="Times New Roman" w:hAnsi="Times New Roman"/>
                <w:color w:val="auto"/>
              </w:rPr>
            </w:pPr>
          </w:p>
        </w:tc>
        <w:tc>
          <w:tcPr>
            <w:tcW w:w="2297" w:type="dxa"/>
            <w:gridSpan w:val="2"/>
            <w:vAlign w:val="center"/>
          </w:tcPr>
          <w:p>
            <w:pPr>
              <w:spacing w:line="440" w:lineRule="exact"/>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4" w:type="dxa"/>
            <w:gridSpan w:val="2"/>
            <w:vAlign w:val="center"/>
          </w:tcPr>
          <w:p>
            <w:pPr>
              <w:spacing w:line="440" w:lineRule="exact"/>
              <w:rPr>
                <w:rFonts w:ascii="Times New Roman" w:hAnsi="Times New Roman"/>
                <w:color w:val="auto"/>
              </w:rPr>
            </w:pPr>
          </w:p>
        </w:tc>
        <w:tc>
          <w:tcPr>
            <w:tcW w:w="3420" w:type="dxa"/>
            <w:gridSpan w:val="4"/>
            <w:vAlign w:val="center"/>
          </w:tcPr>
          <w:p>
            <w:pPr>
              <w:spacing w:line="440" w:lineRule="exact"/>
              <w:rPr>
                <w:rFonts w:ascii="Times New Roman" w:hAnsi="Times New Roman"/>
                <w:color w:val="auto"/>
              </w:rPr>
            </w:pPr>
          </w:p>
        </w:tc>
        <w:tc>
          <w:tcPr>
            <w:tcW w:w="1261" w:type="dxa"/>
            <w:vAlign w:val="center"/>
          </w:tcPr>
          <w:p>
            <w:pPr>
              <w:spacing w:line="440" w:lineRule="exact"/>
              <w:rPr>
                <w:rFonts w:ascii="Times New Roman" w:hAnsi="Times New Roman"/>
                <w:color w:val="auto"/>
              </w:rPr>
            </w:pPr>
          </w:p>
        </w:tc>
        <w:tc>
          <w:tcPr>
            <w:tcW w:w="2297" w:type="dxa"/>
            <w:gridSpan w:val="2"/>
            <w:vAlign w:val="center"/>
          </w:tcPr>
          <w:p>
            <w:pPr>
              <w:spacing w:line="440" w:lineRule="exact"/>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4" w:type="dxa"/>
            <w:gridSpan w:val="2"/>
            <w:vAlign w:val="center"/>
          </w:tcPr>
          <w:p>
            <w:pPr>
              <w:spacing w:line="440" w:lineRule="exact"/>
              <w:rPr>
                <w:rFonts w:ascii="Times New Roman" w:hAnsi="Times New Roman"/>
                <w:color w:val="auto"/>
              </w:rPr>
            </w:pPr>
          </w:p>
        </w:tc>
        <w:tc>
          <w:tcPr>
            <w:tcW w:w="3420" w:type="dxa"/>
            <w:gridSpan w:val="4"/>
            <w:vAlign w:val="center"/>
          </w:tcPr>
          <w:p>
            <w:pPr>
              <w:spacing w:line="440" w:lineRule="exact"/>
              <w:rPr>
                <w:rFonts w:ascii="Times New Roman" w:hAnsi="Times New Roman"/>
                <w:color w:val="auto"/>
              </w:rPr>
            </w:pPr>
          </w:p>
        </w:tc>
        <w:tc>
          <w:tcPr>
            <w:tcW w:w="1261" w:type="dxa"/>
            <w:vAlign w:val="center"/>
          </w:tcPr>
          <w:p>
            <w:pPr>
              <w:spacing w:line="440" w:lineRule="exact"/>
              <w:rPr>
                <w:rFonts w:ascii="Times New Roman" w:hAnsi="Times New Roman"/>
                <w:color w:val="auto"/>
              </w:rPr>
            </w:pPr>
          </w:p>
        </w:tc>
        <w:tc>
          <w:tcPr>
            <w:tcW w:w="2297" w:type="dxa"/>
            <w:gridSpan w:val="2"/>
            <w:vAlign w:val="center"/>
          </w:tcPr>
          <w:p>
            <w:pPr>
              <w:spacing w:line="440" w:lineRule="exact"/>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4" w:type="dxa"/>
            <w:gridSpan w:val="2"/>
            <w:vAlign w:val="center"/>
          </w:tcPr>
          <w:p>
            <w:pPr>
              <w:spacing w:line="440" w:lineRule="exact"/>
              <w:rPr>
                <w:rFonts w:ascii="Times New Roman" w:hAnsi="Times New Roman"/>
                <w:color w:val="auto"/>
              </w:rPr>
            </w:pPr>
          </w:p>
        </w:tc>
        <w:tc>
          <w:tcPr>
            <w:tcW w:w="3420" w:type="dxa"/>
            <w:gridSpan w:val="4"/>
            <w:vAlign w:val="center"/>
          </w:tcPr>
          <w:p>
            <w:pPr>
              <w:spacing w:line="440" w:lineRule="exact"/>
              <w:rPr>
                <w:rFonts w:ascii="Times New Roman" w:hAnsi="Times New Roman"/>
                <w:color w:val="auto"/>
              </w:rPr>
            </w:pPr>
          </w:p>
        </w:tc>
        <w:tc>
          <w:tcPr>
            <w:tcW w:w="1261" w:type="dxa"/>
            <w:vAlign w:val="center"/>
          </w:tcPr>
          <w:p>
            <w:pPr>
              <w:spacing w:line="440" w:lineRule="exact"/>
              <w:rPr>
                <w:rFonts w:ascii="Times New Roman" w:hAnsi="Times New Roman"/>
                <w:color w:val="auto"/>
              </w:rPr>
            </w:pPr>
          </w:p>
        </w:tc>
        <w:tc>
          <w:tcPr>
            <w:tcW w:w="2297" w:type="dxa"/>
            <w:gridSpan w:val="2"/>
            <w:vAlign w:val="center"/>
          </w:tcPr>
          <w:p>
            <w:pPr>
              <w:spacing w:line="440" w:lineRule="exact"/>
              <w:rPr>
                <w:rFonts w:ascii="Times New Roman" w:hAnsi="Times New Roman"/>
                <w:color w:val="auto"/>
              </w:rPr>
            </w:pPr>
          </w:p>
        </w:tc>
      </w:tr>
    </w:tbl>
    <w:p>
      <w:pPr>
        <w:spacing w:line="440" w:lineRule="exact"/>
        <w:rPr>
          <w:rFonts w:ascii="Times New Roman" w:hAnsi="Times New Roman"/>
          <w:color w:val="auto"/>
        </w:rPr>
      </w:pPr>
      <w:r>
        <w:rPr>
          <w:rFonts w:ascii="Times New Roman" w:hAnsi="Times New Roman"/>
          <w:color w:val="auto"/>
        </w:rPr>
        <w:t>注：投标人应根据投标人须知第3.5.</w:t>
      </w:r>
      <w:r>
        <w:rPr>
          <w:rFonts w:hint="eastAsia" w:ascii="Times New Roman" w:hAnsi="Times New Roman"/>
          <w:color w:val="auto"/>
        </w:rPr>
        <w:t>6</w:t>
      </w:r>
      <w:r>
        <w:rPr>
          <w:rFonts w:ascii="Times New Roman" w:hAnsi="Times New Roman"/>
          <w:color w:val="auto"/>
        </w:rPr>
        <w:t>项的要求在本表后附相关证明材料。</w:t>
      </w:r>
    </w:p>
    <w:p>
      <w:pPr>
        <w:spacing w:line="440" w:lineRule="exact"/>
        <w:rPr>
          <w:rFonts w:ascii="Times New Roman" w:hAnsi="Times New Roman"/>
          <w:color w:val="auto"/>
        </w:rPr>
      </w:pPr>
      <w:r>
        <w:rPr>
          <w:rFonts w:ascii="Times New Roman" w:hAnsi="Times New Roman"/>
          <w:color w:val="auto"/>
        </w:rPr>
        <w:br w:type="page"/>
      </w:r>
      <w:bookmarkStart w:id="797" w:name="_Toc352703741"/>
      <w:bookmarkStart w:id="798" w:name="_Toc300835229"/>
    </w:p>
    <w:bookmarkEnd w:id="797"/>
    <w:bookmarkEnd w:id="798"/>
    <w:p>
      <w:pPr>
        <w:pStyle w:val="6"/>
        <w:ind w:firstLine="137"/>
        <w:rPr>
          <w:rFonts w:ascii="Times New Roman" w:hAnsi="Times New Roman"/>
          <w:color w:val="auto"/>
        </w:rPr>
      </w:pPr>
      <w:bookmarkStart w:id="799" w:name="_Toc482188666"/>
      <w:bookmarkStart w:id="800" w:name="_Toc492300956"/>
      <w:r>
        <w:rPr>
          <w:rFonts w:hint="eastAsia" w:ascii="Times New Roman" w:hAnsi="Times New Roman"/>
          <w:color w:val="auto"/>
        </w:rPr>
        <w:t>（八）拟投入本项目的主要勘察设备表</w:t>
      </w:r>
      <w:bookmarkEnd w:id="799"/>
      <w:bookmarkEnd w:id="800"/>
    </w:p>
    <w:tbl>
      <w:tblPr>
        <w:tblStyle w:val="38"/>
        <w:tblW w:w="88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240"/>
        <w:gridCol w:w="1323"/>
        <w:gridCol w:w="1132"/>
        <w:gridCol w:w="1132"/>
        <w:gridCol w:w="1294"/>
        <w:gridCol w:w="1132"/>
        <w:gridCol w:w="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759" w:type="dxa"/>
            <w:vAlign w:val="center"/>
          </w:tcPr>
          <w:p>
            <w:pPr>
              <w:spacing w:line="440" w:lineRule="exact"/>
              <w:rPr>
                <w:rFonts w:ascii="Times New Roman" w:hAnsi="Times New Roman"/>
                <w:color w:val="auto"/>
                <w:szCs w:val="21"/>
              </w:rPr>
            </w:pPr>
            <w:r>
              <w:rPr>
                <w:rFonts w:hint="eastAsia" w:ascii="Times New Roman" w:hAnsi="Times New Roman"/>
                <w:color w:val="auto"/>
                <w:szCs w:val="21"/>
              </w:rPr>
              <w:t>序号</w:t>
            </w:r>
          </w:p>
        </w:tc>
        <w:tc>
          <w:tcPr>
            <w:tcW w:w="1240" w:type="dxa"/>
            <w:vAlign w:val="center"/>
          </w:tcPr>
          <w:p>
            <w:pPr>
              <w:spacing w:line="440" w:lineRule="exact"/>
              <w:jc w:val="center"/>
              <w:rPr>
                <w:rFonts w:ascii="Times New Roman" w:hAnsi="Times New Roman"/>
                <w:color w:val="auto"/>
                <w:szCs w:val="21"/>
              </w:rPr>
            </w:pPr>
            <w:r>
              <w:rPr>
                <w:rFonts w:hint="eastAsia" w:ascii="Times New Roman" w:hAnsi="Times New Roman"/>
                <w:color w:val="auto"/>
                <w:szCs w:val="21"/>
              </w:rPr>
              <w:t>设备名称</w:t>
            </w:r>
          </w:p>
        </w:tc>
        <w:tc>
          <w:tcPr>
            <w:tcW w:w="1323" w:type="dxa"/>
            <w:vAlign w:val="center"/>
          </w:tcPr>
          <w:p>
            <w:pPr>
              <w:spacing w:line="440" w:lineRule="exact"/>
              <w:jc w:val="center"/>
              <w:rPr>
                <w:rFonts w:ascii="Times New Roman" w:hAnsi="Times New Roman"/>
                <w:color w:val="auto"/>
                <w:szCs w:val="21"/>
              </w:rPr>
            </w:pPr>
            <w:r>
              <w:rPr>
                <w:rFonts w:hint="eastAsia" w:ascii="Times New Roman" w:hAnsi="Times New Roman"/>
                <w:color w:val="auto"/>
                <w:szCs w:val="21"/>
              </w:rPr>
              <w:t>型号规格</w:t>
            </w:r>
          </w:p>
        </w:tc>
        <w:tc>
          <w:tcPr>
            <w:tcW w:w="1132" w:type="dxa"/>
            <w:vAlign w:val="center"/>
          </w:tcPr>
          <w:p>
            <w:pPr>
              <w:spacing w:line="440" w:lineRule="exact"/>
              <w:jc w:val="center"/>
              <w:rPr>
                <w:rFonts w:ascii="Times New Roman" w:hAnsi="Times New Roman"/>
                <w:color w:val="auto"/>
                <w:szCs w:val="21"/>
              </w:rPr>
            </w:pPr>
            <w:r>
              <w:rPr>
                <w:rFonts w:hint="eastAsia" w:ascii="Times New Roman" w:hAnsi="Times New Roman"/>
                <w:color w:val="auto"/>
                <w:szCs w:val="21"/>
              </w:rPr>
              <w:t>单位</w:t>
            </w:r>
          </w:p>
        </w:tc>
        <w:tc>
          <w:tcPr>
            <w:tcW w:w="1132" w:type="dxa"/>
            <w:vAlign w:val="center"/>
          </w:tcPr>
          <w:p>
            <w:pPr>
              <w:spacing w:line="440" w:lineRule="exact"/>
              <w:jc w:val="center"/>
              <w:rPr>
                <w:rFonts w:ascii="Times New Roman" w:hAnsi="Times New Roman"/>
                <w:color w:val="auto"/>
                <w:szCs w:val="21"/>
              </w:rPr>
            </w:pPr>
            <w:r>
              <w:rPr>
                <w:rFonts w:hint="eastAsia" w:ascii="Times New Roman" w:hAnsi="Times New Roman"/>
                <w:color w:val="auto"/>
                <w:szCs w:val="21"/>
              </w:rPr>
              <w:t>数量</w:t>
            </w:r>
          </w:p>
        </w:tc>
        <w:tc>
          <w:tcPr>
            <w:tcW w:w="1294" w:type="dxa"/>
            <w:vAlign w:val="center"/>
          </w:tcPr>
          <w:p>
            <w:pPr>
              <w:spacing w:line="440" w:lineRule="exact"/>
              <w:jc w:val="center"/>
              <w:rPr>
                <w:rFonts w:ascii="Times New Roman" w:hAnsi="Times New Roman"/>
                <w:color w:val="auto"/>
                <w:szCs w:val="21"/>
              </w:rPr>
            </w:pPr>
            <w:r>
              <w:rPr>
                <w:rFonts w:hint="eastAsia" w:ascii="Times New Roman" w:hAnsi="Times New Roman"/>
                <w:color w:val="auto"/>
                <w:szCs w:val="21"/>
              </w:rPr>
              <w:t>制造年份</w:t>
            </w:r>
          </w:p>
        </w:tc>
        <w:tc>
          <w:tcPr>
            <w:tcW w:w="1132" w:type="dxa"/>
            <w:vAlign w:val="center"/>
          </w:tcPr>
          <w:p>
            <w:pPr>
              <w:spacing w:line="440" w:lineRule="exact"/>
              <w:jc w:val="center"/>
              <w:rPr>
                <w:rFonts w:ascii="Times New Roman" w:hAnsi="Times New Roman"/>
                <w:color w:val="auto"/>
                <w:szCs w:val="21"/>
              </w:rPr>
            </w:pPr>
            <w:r>
              <w:rPr>
                <w:rFonts w:ascii="Times New Roman" w:hAnsi="Times New Roman"/>
                <w:color w:val="auto"/>
              </w:rPr>
              <w:t>……</w:t>
            </w:r>
          </w:p>
        </w:tc>
        <w:tc>
          <w:tcPr>
            <w:tcW w:w="807" w:type="dxa"/>
            <w:vAlign w:val="center"/>
          </w:tcPr>
          <w:p>
            <w:pPr>
              <w:spacing w:line="440" w:lineRule="exact"/>
              <w:jc w:val="center"/>
              <w:rPr>
                <w:rFonts w:ascii="Times New Roman" w:hAnsi="Times New Roman"/>
                <w:color w:val="auto"/>
                <w:szCs w:val="21"/>
              </w:rPr>
            </w:pPr>
            <w:r>
              <w:rPr>
                <w:rFonts w:hint="eastAsia" w:ascii="Times New Roman" w:hAnsi="Times New Roman"/>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759" w:type="dxa"/>
            <w:vAlign w:val="center"/>
          </w:tcPr>
          <w:p>
            <w:pPr>
              <w:spacing w:line="440" w:lineRule="exact"/>
              <w:jc w:val="center"/>
              <w:rPr>
                <w:rFonts w:ascii="Times New Roman" w:hAnsi="Times New Roman"/>
                <w:color w:val="auto"/>
                <w:szCs w:val="21"/>
              </w:rPr>
            </w:pPr>
          </w:p>
        </w:tc>
        <w:tc>
          <w:tcPr>
            <w:tcW w:w="1240" w:type="dxa"/>
            <w:vAlign w:val="center"/>
          </w:tcPr>
          <w:p>
            <w:pPr>
              <w:spacing w:line="440" w:lineRule="exact"/>
              <w:jc w:val="center"/>
              <w:rPr>
                <w:rFonts w:ascii="Times New Roman" w:hAnsi="Times New Roman"/>
                <w:color w:val="auto"/>
                <w:szCs w:val="21"/>
              </w:rPr>
            </w:pPr>
          </w:p>
        </w:tc>
        <w:tc>
          <w:tcPr>
            <w:tcW w:w="1323" w:type="dxa"/>
            <w:vAlign w:val="center"/>
          </w:tcPr>
          <w:p>
            <w:pPr>
              <w:spacing w:line="440" w:lineRule="exact"/>
              <w:jc w:val="center"/>
              <w:rPr>
                <w:rFonts w:ascii="Times New Roman" w:hAnsi="Times New Roman"/>
                <w:color w:val="auto"/>
                <w:szCs w:val="21"/>
              </w:rPr>
            </w:pPr>
          </w:p>
        </w:tc>
        <w:tc>
          <w:tcPr>
            <w:tcW w:w="1132" w:type="dxa"/>
            <w:vAlign w:val="center"/>
          </w:tcPr>
          <w:p>
            <w:pPr>
              <w:spacing w:line="440" w:lineRule="exact"/>
              <w:jc w:val="center"/>
              <w:rPr>
                <w:rFonts w:ascii="Times New Roman" w:hAnsi="Times New Roman"/>
                <w:color w:val="auto"/>
                <w:szCs w:val="21"/>
              </w:rPr>
            </w:pPr>
          </w:p>
        </w:tc>
        <w:tc>
          <w:tcPr>
            <w:tcW w:w="1132" w:type="dxa"/>
            <w:vAlign w:val="center"/>
          </w:tcPr>
          <w:p>
            <w:pPr>
              <w:spacing w:line="440" w:lineRule="exact"/>
              <w:jc w:val="center"/>
              <w:rPr>
                <w:rFonts w:ascii="Times New Roman" w:hAnsi="Times New Roman"/>
                <w:color w:val="auto"/>
                <w:szCs w:val="21"/>
              </w:rPr>
            </w:pPr>
          </w:p>
        </w:tc>
        <w:tc>
          <w:tcPr>
            <w:tcW w:w="1294" w:type="dxa"/>
            <w:vAlign w:val="center"/>
          </w:tcPr>
          <w:p>
            <w:pPr>
              <w:spacing w:line="440" w:lineRule="exact"/>
              <w:jc w:val="center"/>
              <w:rPr>
                <w:rFonts w:ascii="Times New Roman" w:hAnsi="Times New Roman"/>
                <w:color w:val="auto"/>
                <w:szCs w:val="21"/>
              </w:rPr>
            </w:pPr>
          </w:p>
        </w:tc>
        <w:tc>
          <w:tcPr>
            <w:tcW w:w="1132" w:type="dxa"/>
            <w:vAlign w:val="center"/>
          </w:tcPr>
          <w:p>
            <w:pPr>
              <w:spacing w:line="440" w:lineRule="exact"/>
              <w:jc w:val="center"/>
              <w:rPr>
                <w:rFonts w:ascii="Times New Roman" w:hAnsi="Times New Roman"/>
                <w:color w:val="auto"/>
                <w:szCs w:val="21"/>
              </w:rPr>
            </w:pPr>
          </w:p>
        </w:tc>
        <w:tc>
          <w:tcPr>
            <w:tcW w:w="807" w:type="dxa"/>
            <w:vAlign w:val="center"/>
          </w:tcPr>
          <w:p>
            <w:pPr>
              <w:spacing w:line="440" w:lineRule="exact"/>
              <w:jc w:val="cente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759" w:type="dxa"/>
            <w:vAlign w:val="center"/>
          </w:tcPr>
          <w:p>
            <w:pPr>
              <w:spacing w:line="440" w:lineRule="exact"/>
              <w:jc w:val="center"/>
              <w:rPr>
                <w:rFonts w:ascii="Times New Roman" w:hAnsi="Times New Roman"/>
                <w:color w:val="auto"/>
                <w:szCs w:val="21"/>
              </w:rPr>
            </w:pPr>
          </w:p>
        </w:tc>
        <w:tc>
          <w:tcPr>
            <w:tcW w:w="1240" w:type="dxa"/>
            <w:vAlign w:val="center"/>
          </w:tcPr>
          <w:p>
            <w:pPr>
              <w:spacing w:line="440" w:lineRule="exact"/>
              <w:jc w:val="center"/>
              <w:rPr>
                <w:rFonts w:ascii="Times New Roman" w:hAnsi="Times New Roman"/>
                <w:color w:val="auto"/>
                <w:szCs w:val="21"/>
              </w:rPr>
            </w:pPr>
          </w:p>
        </w:tc>
        <w:tc>
          <w:tcPr>
            <w:tcW w:w="1323" w:type="dxa"/>
            <w:vAlign w:val="center"/>
          </w:tcPr>
          <w:p>
            <w:pPr>
              <w:spacing w:line="440" w:lineRule="exact"/>
              <w:jc w:val="center"/>
              <w:rPr>
                <w:rFonts w:ascii="Times New Roman" w:hAnsi="Times New Roman"/>
                <w:color w:val="auto"/>
                <w:szCs w:val="21"/>
              </w:rPr>
            </w:pPr>
          </w:p>
        </w:tc>
        <w:tc>
          <w:tcPr>
            <w:tcW w:w="1132" w:type="dxa"/>
            <w:vAlign w:val="center"/>
          </w:tcPr>
          <w:p>
            <w:pPr>
              <w:spacing w:line="440" w:lineRule="exact"/>
              <w:jc w:val="center"/>
              <w:rPr>
                <w:rFonts w:ascii="Times New Roman" w:hAnsi="Times New Roman"/>
                <w:color w:val="auto"/>
                <w:szCs w:val="21"/>
              </w:rPr>
            </w:pPr>
          </w:p>
        </w:tc>
        <w:tc>
          <w:tcPr>
            <w:tcW w:w="1132" w:type="dxa"/>
            <w:vAlign w:val="center"/>
          </w:tcPr>
          <w:p>
            <w:pPr>
              <w:spacing w:line="440" w:lineRule="exact"/>
              <w:jc w:val="center"/>
              <w:rPr>
                <w:rFonts w:ascii="Times New Roman" w:hAnsi="Times New Roman"/>
                <w:color w:val="auto"/>
                <w:szCs w:val="21"/>
              </w:rPr>
            </w:pPr>
          </w:p>
        </w:tc>
        <w:tc>
          <w:tcPr>
            <w:tcW w:w="1294" w:type="dxa"/>
            <w:vAlign w:val="center"/>
          </w:tcPr>
          <w:p>
            <w:pPr>
              <w:spacing w:line="440" w:lineRule="exact"/>
              <w:jc w:val="center"/>
              <w:rPr>
                <w:rFonts w:ascii="Times New Roman" w:hAnsi="Times New Roman"/>
                <w:color w:val="auto"/>
                <w:szCs w:val="21"/>
              </w:rPr>
            </w:pPr>
          </w:p>
        </w:tc>
        <w:tc>
          <w:tcPr>
            <w:tcW w:w="1132" w:type="dxa"/>
            <w:vAlign w:val="center"/>
          </w:tcPr>
          <w:p>
            <w:pPr>
              <w:spacing w:line="440" w:lineRule="exact"/>
              <w:jc w:val="center"/>
              <w:rPr>
                <w:rFonts w:ascii="Times New Roman" w:hAnsi="Times New Roman"/>
                <w:color w:val="auto"/>
                <w:szCs w:val="21"/>
              </w:rPr>
            </w:pPr>
          </w:p>
        </w:tc>
        <w:tc>
          <w:tcPr>
            <w:tcW w:w="807" w:type="dxa"/>
            <w:vAlign w:val="center"/>
          </w:tcPr>
          <w:p>
            <w:pPr>
              <w:spacing w:line="440" w:lineRule="exact"/>
              <w:jc w:val="cente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759" w:type="dxa"/>
          </w:tcPr>
          <w:p>
            <w:pPr>
              <w:spacing w:line="440" w:lineRule="exact"/>
              <w:jc w:val="center"/>
              <w:rPr>
                <w:rFonts w:ascii="Times New Roman" w:hAnsi="Times New Roman"/>
                <w:color w:val="auto"/>
                <w:szCs w:val="21"/>
              </w:rPr>
            </w:pPr>
          </w:p>
        </w:tc>
        <w:tc>
          <w:tcPr>
            <w:tcW w:w="1240" w:type="dxa"/>
          </w:tcPr>
          <w:p>
            <w:pPr>
              <w:spacing w:line="440" w:lineRule="exact"/>
              <w:jc w:val="center"/>
              <w:rPr>
                <w:rFonts w:ascii="Times New Roman" w:hAnsi="Times New Roman"/>
                <w:color w:val="auto"/>
                <w:szCs w:val="21"/>
              </w:rPr>
            </w:pPr>
          </w:p>
        </w:tc>
        <w:tc>
          <w:tcPr>
            <w:tcW w:w="1323" w:type="dxa"/>
          </w:tcPr>
          <w:p>
            <w:pPr>
              <w:spacing w:line="440" w:lineRule="exact"/>
              <w:jc w:val="center"/>
              <w:rPr>
                <w:rFonts w:ascii="Times New Roman" w:hAnsi="Times New Roman"/>
                <w:color w:val="auto"/>
                <w:szCs w:val="21"/>
              </w:rPr>
            </w:pPr>
          </w:p>
        </w:tc>
        <w:tc>
          <w:tcPr>
            <w:tcW w:w="1132" w:type="dxa"/>
          </w:tcPr>
          <w:p>
            <w:pPr>
              <w:spacing w:line="440" w:lineRule="exact"/>
              <w:jc w:val="center"/>
              <w:rPr>
                <w:rFonts w:ascii="Times New Roman" w:hAnsi="Times New Roman"/>
                <w:color w:val="auto"/>
                <w:szCs w:val="21"/>
              </w:rPr>
            </w:pPr>
          </w:p>
        </w:tc>
        <w:tc>
          <w:tcPr>
            <w:tcW w:w="1132" w:type="dxa"/>
          </w:tcPr>
          <w:p>
            <w:pPr>
              <w:spacing w:line="440" w:lineRule="exact"/>
              <w:jc w:val="center"/>
              <w:rPr>
                <w:rFonts w:ascii="Times New Roman" w:hAnsi="Times New Roman"/>
                <w:color w:val="auto"/>
                <w:szCs w:val="21"/>
              </w:rPr>
            </w:pPr>
          </w:p>
        </w:tc>
        <w:tc>
          <w:tcPr>
            <w:tcW w:w="1294" w:type="dxa"/>
          </w:tcPr>
          <w:p>
            <w:pPr>
              <w:spacing w:line="440" w:lineRule="exact"/>
              <w:jc w:val="center"/>
              <w:rPr>
                <w:rFonts w:ascii="Times New Roman" w:hAnsi="Times New Roman"/>
                <w:color w:val="auto"/>
                <w:szCs w:val="21"/>
              </w:rPr>
            </w:pPr>
          </w:p>
        </w:tc>
        <w:tc>
          <w:tcPr>
            <w:tcW w:w="1132" w:type="dxa"/>
          </w:tcPr>
          <w:p>
            <w:pPr>
              <w:spacing w:line="440" w:lineRule="exact"/>
              <w:jc w:val="center"/>
              <w:rPr>
                <w:rFonts w:ascii="Times New Roman" w:hAnsi="Times New Roman"/>
                <w:color w:val="auto"/>
                <w:szCs w:val="21"/>
              </w:rPr>
            </w:pPr>
          </w:p>
        </w:tc>
        <w:tc>
          <w:tcPr>
            <w:tcW w:w="807" w:type="dxa"/>
          </w:tcPr>
          <w:p>
            <w:pPr>
              <w:spacing w:line="440" w:lineRule="exact"/>
              <w:jc w:val="cente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759" w:type="dxa"/>
          </w:tcPr>
          <w:p>
            <w:pPr>
              <w:spacing w:line="440" w:lineRule="exact"/>
              <w:jc w:val="center"/>
              <w:rPr>
                <w:rFonts w:ascii="Times New Roman" w:hAnsi="Times New Roman"/>
                <w:color w:val="auto"/>
                <w:szCs w:val="21"/>
              </w:rPr>
            </w:pPr>
          </w:p>
        </w:tc>
        <w:tc>
          <w:tcPr>
            <w:tcW w:w="1240" w:type="dxa"/>
          </w:tcPr>
          <w:p>
            <w:pPr>
              <w:spacing w:line="440" w:lineRule="exact"/>
              <w:jc w:val="center"/>
              <w:rPr>
                <w:rFonts w:ascii="Times New Roman" w:hAnsi="Times New Roman"/>
                <w:color w:val="auto"/>
                <w:szCs w:val="21"/>
              </w:rPr>
            </w:pPr>
          </w:p>
        </w:tc>
        <w:tc>
          <w:tcPr>
            <w:tcW w:w="1323" w:type="dxa"/>
          </w:tcPr>
          <w:p>
            <w:pPr>
              <w:spacing w:line="440" w:lineRule="exact"/>
              <w:jc w:val="center"/>
              <w:rPr>
                <w:rFonts w:ascii="Times New Roman" w:hAnsi="Times New Roman"/>
                <w:color w:val="auto"/>
                <w:szCs w:val="21"/>
              </w:rPr>
            </w:pPr>
          </w:p>
        </w:tc>
        <w:tc>
          <w:tcPr>
            <w:tcW w:w="1132" w:type="dxa"/>
          </w:tcPr>
          <w:p>
            <w:pPr>
              <w:spacing w:line="440" w:lineRule="exact"/>
              <w:jc w:val="center"/>
              <w:rPr>
                <w:rFonts w:ascii="Times New Roman" w:hAnsi="Times New Roman"/>
                <w:color w:val="auto"/>
                <w:szCs w:val="21"/>
              </w:rPr>
            </w:pPr>
          </w:p>
        </w:tc>
        <w:tc>
          <w:tcPr>
            <w:tcW w:w="1132" w:type="dxa"/>
          </w:tcPr>
          <w:p>
            <w:pPr>
              <w:spacing w:line="440" w:lineRule="exact"/>
              <w:jc w:val="center"/>
              <w:rPr>
                <w:rFonts w:ascii="Times New Roman" w:hAnsi="Times New Roman"/>
                <w:color w:val="auto"/>
                <w:szCs w:val="21"/>
              </w:rPr>
            </w:pPr>
          </w:p>
        </w:tc>
        <w:tc>
          <w:tcPr>
            <w:tcW w:w="1294" w:type="dxa"/>
          </w:tcPr>
          <w:p>
            <w:pPr>
              <w:spacing w:line="440" w:lineRule="exact"/>
              <w:jc w:val="center"/>
              <w:rPr>
                <w:rFonts w:ascii="Times New Roman" w:hAnsi="Times New Roman"/>
                <w:color w:val="auto"/>
                <w:szCs w:val="21"/>
              </w:rPr>
            </w:pPr>
          </w:p>
        </w:tc>
        <w:tc>
          <w:tcPr>
            <w:tcW w:w="1132" w:type="dxa"/>
          </w:tcPr>
          <w:p>
            <w:pPr>
              <w:spacing w:line="440" w:lineRule="exact"/>
              <w:jc w:val="center"/>
              <w:rPr>
                <w:rFonts w:ascii="Times New Roman" w:hAnsi="Times New Roman"/>
                <w:color w:val="auto"/>
                <w:szCs w:val="21"/>
              </w:rPr>
            </w:pPr>
          </w:p>
        </w:tc>
        <w:tc>
          <w:tcPr>
            <w:tcW w:w="807" w:type="dxa"/>
          </w:tcPr>
          <w:p>
            <w:pPr>
              <w:spacing w:line="440" w:lineRule="exact"/>
              <w:jc w:val="cente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759" w:type="dxa"/>
          </w:tcPr>
          <w:p>
            <w:pPr>
              <w:spacing w:line="440" w:lineRule="exact"/>
              <w:jc w:val="center"/>
              <w:rPr>
                <w:rFonts w:ascii="Times New Roman" w:hAnsi="Times New Roman"/>
                <w:color w:val="auto"/>
                <w:szCs w:val="21"/>
              </w:rPr>
            </w:pPr>
          </w:p>
        </w:tc>
        <w:tc>
          <w:tcPr>
            <w:tcW w:w="1240" w:type="dxa"/>
          </w:tcPr>
          <w:p>
            <w:pPr>
              <w:spacing w:line="440" w:lineRule="exact"/>
              <w:jc w:val="center"/>
              <w:rPr>
                <w:rFonts w:ascii="Times New Roman" w:hAnsi="Times New Roman"/>
                <w:color w:val="auto"/>
                <w:szCs w:val="21"/>
              </w:rPr>
            </w:pPr>
          </w:p>
        </w:tc>
        <w:tc>
          <w:tcPr>
            <w:tcW w:w="1323" w:type="dxa"/>
          </w:tcPr>
          <w:p>
            <w:pPr>
              <w:spacing w:line="440" w:lineRule="exact"/>
              <w:jc w:val="center"/>
              <w:rPr>
                <w:rFonts w:ascii="Times New Roman" w:hAnsi="Times New Roman"/>
                <w:color w:val="auto"/>
                <w:szCs w:val="21"/>
              </w:rPr>
            </w:pPr>
          </w:p>
        </w:tc>
        <w:tc>
          <w:tcPr>
            <w:tcW w:w="1132" w:type="dxa"/>
          </w:tcPr>
          <w:p>
            <w:pPr>
              <w:spacing w:line="440" w:lineRule="exact"/>
              <w:jc w:val="center"/>
              <w:rPr>
                <w:rFonts w:ascii="Times New Roman" w:hAnsi="Times New Roman"/>
                <w:color w:val="auto"/>
                <w:szCs w:val="21"/>
              </w:rPr>
            </w:pPr>
          </w:p>
        </w:tc>
        <w:tc>
          <w:tcPr>
            <w:tcW w:w="1132" w:type="dxa"/>
          </w:tcPr>
          <w:p>
            <w:pPr>
              <w:spacing w:line="440" w:lineRule="exact"/>
              <w:jc w:val="center"/>
              <w:rPr>
                <w:rFonts w:ascii="Times New Roman" w:hAnsi="Times New Roman"/>
                <w:color w:val="auto"/>
                <w:szCs w:val="21"/>
              </w:rPr>
            </w:pPr>
          </w:p>
        </w:tc>
        <w:tc>
          <w:tcPr>
            <w:tcW w:w="1294" w:type="dxa"/>
          </w:tcPr>
          <w:p>
            <w:pPr>
              <w:spacing w:line="440" w:lineRule="exact"/>
              <w:jc w:val="center"/>
              <w:rPr>
                <w:rFonts w:ascii="Times New Roman" w:hAnsi="Times New Roman"/>
                <w:color w:val="auto"/>
                <w:szCs w:val="21"/>
              </w:rPr>
            </w:pPr>
          </w:p>
        </w:tc>
        <w:tc>
          <w:tcPr>
            <w:tcW w:w="1132" w:type="dxa"/>
          </w:tcPr>
          <w:p>
            <w:pPr>
              <w:spacing w:line="440" w:lineRule="exact"/>
              <w:jc w:val="center"/>
              <w:rPr>
                <w:rFonts w:ascii="Times New Roman" w:hAnsi="Times New Roman"/>
                <w:color w:val="auto"/>
                <w:szCs w:val="21"/>
              </w:rPr>
            </w:pPr>
          </w:p>
        </w:tc>
        <w:tc>
          <w:tcPr>
            <w:tcW w:w="807" w:type="dxa"/>
          </w:tcPr>
          <w:p>
            <w:pPr>
              <w:spacing w:line="440" w:lineRule="exact"/>
              <w:jc w:val="cente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759" w:type="dxa"/>
          </w:tcPr>
          <w:p>
            <w:pPr>
              <w:spacing w:line="440" w:lineRule="exact"/>
              <w:jc w:val="center"/>
              <w:rPr>
                <w:rFonts w:ascii="Times New Roman" w:hAnsi="Times New Roman"/>
                <w:color w:val="auto"/>
                <w:szCs w:val="21"/>
              </w:rPr>
            </w:pPr>
          </w:p>
        </w:tc>
        <w:tc>
          <w:tcPr>
            <w:tcW w:w="1240" w:type="dxa"/>
          </w:tcPr>
          <w:p>
            <w:pPr>
              <w:spacing w:line="440" w:lineRule="exact"/>
              <w:jc w:val="center"/>
              <w:rPr>
                <w:rFonts w:ascii="Times New Roman" w:hAnsi="Times New Roman"/>
                <w:color w:val="auto"/>
                <w:szCs w:val="21"/>
              </w:rPr>
            </w:pPr>
          </w:p>
        </w:tc>
        <w:tc>
          <w:tcPr>
            <w:tcW w:w="1323" w:type="dxa"/>
          </w:tcPr>
          <w:p>
            <w:pPr>
              <w:spacing w:line="440" w:lineRule="exact"/>
              <w:jc w:val="center"/>
              <w:rPr>
                <w:rFonts w:ascii="Times New Roman" w:hAnsi="Times New Roman"/>
                <w:color w:val="auto"/>
                <w:szCs w:val="21"/>
              </w:rPr>
            </w:pPr>
          </w:p>
        </w:tc>
        <w:tc>
          <w:tcPr>
            <w:tcW w:w="1132" w:type="dxa"/>
          </w:tcPr>
          <w:p>
            <w:pPr>
              <w:spacing w:line="440" w:lineRule="exact"/>
              <w:jc w:val="center"/>
              <w:rPr>
                <w:rFonts w:ascii="Times New Roman" w:hAnsi="Times New Roman"/>
                <w:color w:val="auto"/>
                <w:szCs w:val="21"/>
              </w:rPr>
            </w:pPr>
          </w:p>
        </w:tc>
        <w:tc>
          <w:tcPr>
            <w:tcW w:w="1132" w:type="dxa"/>
          </w:tcPr>
          <w:p>
            <w:pPr>
              <w:spacing w:line="440" w:lineRule="exact"/>
              <w:jc w:val="center"/>
              <w:rPr>
                <w:rFonts w:ascii="Times New Roman" w:hAnsi="Times New Roman"/>
                <w:color w:val="auto"/>
                <w:szCs w:val="21"/>
              </w:rPr>
            </w:pPr>
          </w:p>
        </w:tc>
        <w:tc>
          <w:tcPr>
            <w:tcW w:w="1294" w:type="dxa"/>
          </w:tcPr>
          <w:p>
            <w:pPr>
              <w:spacing w:line="440" w:lineRule="exact"/>
              <w:jc w:val="center"/>
              <w:rPr>
                <w:rFonts w:ascii="Times New Roman" w:hAnsi="Times New Roman"/>
                <w:color w:val="auto"/>
                <w:szCs w:val="21"/>
              </w:rPr>
            </w:pPr>
          </w:p>
        </w:tc>
        <w:tc>
          <w:tcPr>
            <w:tcW w:w="1132" w:type="dxa"/>
          </w:tcPr>
          <w:p>
            <w:pPr>
              <w:spacing w:line="440" w:lineRule="exact"/>
              <w:jc w:val="center"/>
              <w:rPr>
                <w:rFonts w:ascii="Times New Roman" w:hAnsi="Times New Roman"/>
                <w:color w:val="auto"/>
                <w:szCs w:val="21"/>
              </w:rPr>
            </w:pPr>
          </w:p>
        </w:tc>
        <w:tc>
          <w:tcPr>
            <w:tcW w:w="807" w:type="dxa"/>
          </w:tcPr>
          <w:p>
            <w:pPr>
              <w:spacing w:line="440" w:lineRule="exact"/>
              <w:jc w:val="cente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759" w:type="dxa"/>
          </w:tcPr>
          <w:p>
            <w:pPr>
              <w:spacing w:line="440" w:lineRule="exact"/>
              <w:jc w:val="center"/>
              <w:rPr>
                <w:rFonts w:ascii="Times New Roman" w:hAnsi="Times New Roman"/>
                <w:color w:val="auto"/>
                <w:szCs w:val="21"/>
              </w:rPr>
            </w:pPr>
          </w:p>
        </w:tc>
        <w:tc>
          <w:tcPr>
            <w:tcW w:w="1240" w:type="dxa"/>
          </w:tcPr>
          <w:p>
            <w:pPr>
              <w:spacing w:line="440" w:lineRule="exact"/>
              <w:jc w:val="center"/>
              <w:rPr>
                <w:rFonts w:ascii="Times New Roman" w:hAnsi="Times New Roman"/>
                <w:color w:val="auto"/>
                <w:szCs w:val="21"/>
              </w:rPr>
            </w:pPr>
          </w:p>
        </w:tc>
        <w:tc>
          <w:tcPr>
            <w:tcW w:w="1323" w:type="dxa"/>
          </w:tcPr>
          <w:p>
            <w:pPr>
              <w:spacing w:line="440" w:lineRule="exact"/>
              <w:jc w:val="center"/>
              <w:rPr>
                <w:rFonts w:ascii="Times New Roman" w:hAnsi="Times New Roman"/>
                <w:color w:val="auto"/>
                <w:szCs w:val="21"/>
              </w:rPr>
            </w:pPr>
          </w:p>
        </w:tc>
        <w:tc>
          <w:tcPr>
            <w:tcW w:w="1132" w:type="dxa"/>
          </w:tcPr>
          <w:p>
            <w:pPr>
              <w:spacing w:line="440" w:lineRule="exact"/>
              <w:jc w:val="center"/>
              <w:rPr>
                <w:rFonts w:ascii="Times New Roman" w:hAnsi="Times New Roman"/>
                <w:color w:val="auto"/>
                <w:szCs w:val="21"/>
              </w:rPr>
            </w:pPr>
          </w:p>
        </w:tc>
        <w:tc>
          <w:tcPr>
            <w:tcW w:w="1132" w:type="dxa"/>
          </w:tcPr>
          <w:p>
            <w:pPr>
              <w:spacing w:line="440" w:lineRule="exact"/>
              <w:jc w:val="center"/>
              <w:rPr>
                <w:rFonts w:ascii="Times New Roman" w:hAnsi="Times New Roman"/>
                <w:color w:val="auto"/>
                <w:szCs w:val="21"/>
              </w:rPr>
            </w:pPr>
          </w:p>
        </w:tc>
        <w:tc>
          <w:tcPr>
            <w:tcW w:w="1294" w:type="dxa"/>
          </w:tcPr>
          <w:p>
            <w:pPr>
              <w:spacing w:line="440" w:lineRule="exact"/>
              <w:jc w:val="center"/>
              <w:rPr>
                <w:rFonts w:ascii="Times New Roman" w:hAnsi="Times New Roman"/>
                <w:color w:val="auto"/>
                <w:szCs w:val="21"/>
              </w:rPr>
            </w:pPr>
          </w:p>
        </w:tc>
        <w:tc>
          <w:tcPr>
            <w:tcW w:w="1132" w:type="dxa"/>
          </w:tcPr>
          <w:p>
            <w:pPr>
              <w:spacing w:line="440" w:lineRule="exact"/>
              <w:jc w:val="center"/>
              <w:rPr>
                <w:rFonts w:ascii="Times New Roman" w:hAnsi="Times New Roman"/>
                <w:color w:val="auto"/>
                <w:szCs w:val="21"/>
              </w:rPr>
            </w:pPr>
          </w:p>
        </w:tc>
        <w:tc>
          <w:tcPr>
            <w:tcW w:w="807" w:type="dxa"/>
          </w:tcPr>
          <w:p>
            <w:pPr>
              <w:spacing w:line="440" w:lineRule="exact"/>
              <w:jc w:val="cente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759" w:type="dxa"/>
          </w:tcPr>
          <w:p>
            <w:pPr>
              <w:spacing w:line="440" w:lineRule="exact"/>
              <w:jc w:val="center"/>
              <w:rPr>
                <w:rFonts w:ascii="Times New Roman" w:hAnsi="Times New Roman"/>
                <w:color w:val="auto"/>
                <w:szCs w:val="21"/>
              </w:rPr>
            </w:pPr>
          </w:p>
        </w:tc>
        <w:tc>
          <w:tcPr>
            <w:tcW w:w="1240" w:type="dxa"/>
          </w:tcPr>
          <w:p>
            <w:pPr>
              <w:spacing w:line="440" w:lineRule="exact"/>
              <w:jc w:val="center"/>
              <w:rPr>
                <w:rFonts w:ascii="Times New Roman" w:hAnsi="Times New Roman"/>
                <w:color w:val="auto"/>
                <w:szCs w:val="21"/>
              </w:rPr>
            </w:pPr>
          </w:p>
        </w:tc>
        <w:tc>
          <w:tcPr>
            <w:tcW w:w="1323" w:type="dxa"/>
          </w:tcPr>
          <w:p>
            <w:pPr>
              <w:spacing w:line="440" w:lineRule="exact"/>
              <w:jc w:val="center"/>
              <w:rPr>
                <w:rFonts w:ascii="Times New Roman" w:hAnsi="Times New Roman"/>
                <w:color w:val="auto"/>
                <w:szCs w:val="21"/>
              </w:rPr>
            </w:pPr>
          </w:p>
        </w:tc>
        <w:tc>
          <w:tcPr>
            <w:tcW w:w="1132" w:type="dxa"/>
          </w:tcPr>
          <w:p>
            <w:pPr>
              <w:spacing w:line="440" w:lineRule="exact"/>
              <w:jc w:val="center"/>
              <w:rPr>
                <w:rFonts w:ascii="Times New Roman" w:hAnsi="Times New Roman"/>
                <w:color w:val="auto"/>
                <w:szCs w:val="21"/>
              </w:rPr>
            </w:pPr>
          </w:p>
        </w:tc>
        <w:tc>
          <w:tcPr>
            <w:tcW w:w="1132" w:type="dxa"/>
          </w:tcPr>
          <w:p>
            <w:pPr>
              <w:spacing w:line="440" w:lineRule="exact"/>
              <w:jc w:val="center"/>
              <w:rPr>
                <w:rFonts w:ascii="Times New Roman" w:hAnsi="Times New Roman"/>
                <w:color w:val="auto"/>
                <w:szCs w:val="21"/>
              </w:rPr>
            </w:pPr>
          </w:p>
        </w:tc>
        <w:tc>
          <w:tcPr>
            <w:tcW w:w="1294" w:type="dxa"/>
          </w:tcPr>
          <w:p>
            <w:pPr>
              <w:spacing w:line="440" w:lineRule="exact"/>
              <w:jc w:val="center"/>
              <w:rPr>
                <w:rFonts w:ascii="Times New Roman" w:hAnsi="Times New Roman"/>
                <w:color w:val="auto"/>
                <w:szCs w:val="21"/>
              </w:rPr>
            </w:pPr>
          </w:p>
        </w:tc>
        <w:tc>
          <w:tcPr>
            <w:tcW w:w="1132" w:type="dxa"/>
          </w:tcPr>
          <w:p>
            <w:pPr>
              <w:spacing w:line="440" w:lineRule="exact"/>
              <w:jc w:val="center"/>
              <w:rPr>
                <w:rFonts w:ascii="Times New Roman" w:hAnsi="Times New Roman"/>
                <w:color w:val="auto"/>
                <w:szCs w:val="21"/>
              </w:rPr>
            </w:pPr>
          </w:p>
        </w:tc>
        <w:tc>
          <w:tcPr>
            <w:tcW w:w="807" w:type="dxa"/>
          </w:tcPr>
          <w:p>
            <w:pPr>
              <w:spacing w:line="440" w:lineRule="exact"/>
              <w:jc w:val="cente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759" w:type="dxa"/>
          </w:tcPr>
          <w:p>
            <w:pPr>
              <w:spacing w:line="440" w:lineRule="exact"/>
              <w:jc w:val="center"/>
              <w:rPr>
                <w:rFonts w:ascii="Times New Roman" w:hAnsi="Times New Roman"/>
                <w:color w:val="auto"/>
                <w:szCs w:val="21"/>
              </w:rPr>
            </w:pPr>
          </w:p>
        </w:tc>
        <w:tc>
          <w:tcPr>
            <w:tcW w:w="1240" w:type="dxa"/>
          </w:tcPr>
          <w:p>
            <w:pPr>
              <w:spacing w:line="440" w:lineRule="exact"/>
              <w:jc w:val="center"/>
              <w:rPr>
                <w:rFonts w:ascii="Times New Roman" w:hAnsi="Times New Roman"/>
                <w:color w:val="auto"/>
                <w:szCs w:val="21"/>
              </w:rPr>
            </w:pPr>
          </w:p>
        </w:tc>
        <w:tc>
          <w:tcPr>
            <w:tcW w:w="1323" w:type="dxa"/>
          </w:tcPr>
          <w:p>
            <w:pPr>
              <w:spacing w:line="440" w:lineRule="exact"/>
              <w:jc w:val="center"/>
              <w:rPr>
                <w:rFonts w:ascii="Times New Roman" w:hAnsi="Times New Roman"/>
                <w:color w:val="auto"/>
                <w:szCs w:val="21"/>
              </w:rPr>
            </w:pPr>
          </w:p>
        </w:tc>
        <w:tc>
          <w:tcPr>
            <w:tcW w:w="1132" w:type="dxa"/>
          </w:tcPr>
          <w:p>
            <w:pPr>
              <w:spacing w:line="440" w:lineRule="exact"/>
              <w:jc w:val="center"/>
              <w:rPr>
                <w:rFonts w:ascii="Times New Roman" w:hAnsi="Times New Roman"/>
                <w:color w:val="auto"/>
                <w:szCs w:val="21"/>
              </w:rPr>
            </w:pPr>
          </w:p>
        </w:tc>
        <w:tc>
          <w:tcPr>
            <w:tcW w:w="1132" w:type="dxa"/>
          </w:tcPr>
          <w:p>
            <w:pPr>
              <w:spacing w:line="440" w:lineRule="exact"/>
              <w:jc w:val="center"/>
              <w:rPr>
                <w:rFonts w:ascii="Times New Roman" w:hAnsi="Times New Roman"/>
                <w:color w:val="auto"/>
                <w:szCs w:val="21"/>
              </w:rPr>
            </w:pPr>
          </w:p>
        </w:tc>
        <w:tc>
          <w:tcPr>
            <w:tcW w:w="1294" w:type="dxa"/>
          </w:tcPr>
          <w:p>
            <w:pPr>
              <w:spacing w:line="440" w:lineRule="exact"/>
              <w:jc w:val="center"/>
              <w:rPr>
                <w:rFonts w:ascii="Times New Roman" w:hAnsi="Times New Roman"/>
                <w:color w:val="auto"/>
                <w:szCs w:val="21"/>
              </w:rPr>
            </w:pPr>
          </w:p>
        </w:tc>
        <w:tc>
          <w:tcPr>
            <w:tcW w:w="1132" w:type="dxa"/>
          </w:tcPr>
          <w:p>
            <w:pPr>
              <w:spacing w:line="440" w:lineRule="exact"/>
              <w:jc w:val="center"/>
              <w:rPr>
                <w:rFonts w:ascii="Times New Roman" w:hAnsi="Times New Roman"/>
                <w:color w:val="auto"/>
                <w:szCs w:val="21"/>
              </w:rPr>
            </w:pPr>
          </w:p>
        </w:tc>
        <w:tc>
          <w:tcPr>
            <w:tcW w:w="807" w:type="dxa"/>
          </w:tcPr>
          <w:p>
            <w:pPr>
              <w:spacing w:line="440" w:lineRule="exact"/>
              <w:jc w:val="cente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759" w:type="dxa"/>
          </w:tcPr>
          <w:p>
            <w:pPr>
              <w:spacing w:line="440" w:lineRule="exact"/>
              <w:jc w:val="center"/>
              <w:rPr>
                <w:rFonts w:ascii="Times New Roman" w:hAnsi="Times New Roman"/>
                <w:color w:val="auto"/>
                <w:szCs w:val="21"/>
              </w:rPr>
            </w:pPr>
          </w:p>
        </w:tc>
        <w:tc>
          <w:tcPr>
            <w:tcW w:w="1240" w:type="dxa"/>
          </w:tcPr>
          <w:p>
            <w:pPr>
              <w:spacing w:line="440" w:lineRule="exact"/>
              <w:jc w:val="center"/>
              <w:rPr>
                <w:rFonts w:ascii="Times New Roman" w:hAnsi="Times New Roman"/>
                <w:color w:val="auto"/>
                <w:szCs w:val="21"/>
              </w:rPr>
            </w:pPr>
          </w:p>
        </w:tc>
        <w:tc>
          <w:tcPr>
            <w:tcW w:w="1323" w:type="dxa"/>
          </w:tcPr>
          <w:p>
            <w:pPr>
              <w:spacing w:line="440" w:lineRule="exact"/>
              <w:jc w:val="center"/>
              <w:rPr>
                <w:rFonts w:ascii="Times New Roman" w:hAnsi="Times New Roman"/>
                <w:color w:val="auto"/>
                <w:szCs w:val="21"/>
              </w:rPr>
            </w:pPr>
          </w:p>
        </w:tc>
        <w:tc>
          <w:tcPr>
            <w:tcW w:w="1132" w:type="dxa"/>
          </w:tcPr>
          <w:p>
            <w:pPr>
              <w:spacing w:line="440" w:lineRule="exact"/>
              <w:jc w:val="center"/>
              <w:rPr>
                <w:rFonts w:ascii="Times New Roman" w:hAnsi="Times New Roman"/>
                <w:color w:val="auto"/>
                <w:szCs w:val="21"/>
              </w:rPr>
            </w:pPr>
          </w:p>
        </w:tc>
        <w:tc>
          <w:tcPr>
            <w:tcW w:w="1132" w:type="dxa"/>
          </w:tcPr>
          <w:p>
            <w:pPr>
              <w:spacing w:line="440" w:lineRule="exact"/>
              <w:jc w:val="center"/>
              <w:rPr>
                <w:rFonts w:ascii="Times New Roman" w:hAnsi="Times New Roman"/>
                <w:color w:val="auto"/>
                <w:szCs w:val="21"/>
              </w:rPr>
            </w:pPr>
          </w:p>
        </w:tc>
        <w:tc>
          <w:tcPr>
            <w:tcW w:w="1294" w:type="dxa"/>
          </w:tcPr>
          <w:p>
            <w:pPr>
              <w:spacing w:line="440" w:lineRule="exact"/>
              <w:jc w:val="center"/>
              <w:rPr>
                <w:rFonts w:ascii="Times New Roman" w:hAnsi="Times New Roman"/>
                <w:color w:val="auto"/>
                <w:szCs w:val="21"/>
              </w:rPr>
            </w:pPr>
          </w:p>
        </w:tc>
        <w:tc>
          <w:tcPr>
            <w:tcW w:w="1132" w:type="dxa"/>
          </w:tcPr>
          <w:p>
            <w:pPr>
              <w:spacing w:line="440" w:lineRule="exact"/>
              <w:jc w:val="center"/>
              <w:rPr>
                <w:rFonts w:ascii="Times New Roman" w:hAnsi="Times New Roman"/>
                <w:color w:val="auto"/>
                <w:szCs w:val="21"/>
              </w:rPr>
            </w:pPr>
          </w:p>
        </w:tc>
        <w:tc>
          <w:tcPr>
            <w:tcW w:w="807" w:type="dxa"/>
          </w:tcPr>
          <w:p>
            <w:pPr>
              <w:spacing w:line="440" w:lineRule="exact"/>
              <w:jc w:val="cente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759" w:type="dxa"/>
          </w:tcPr>
          <w:p>
            <w:pPr>
              <w:spacing w:line="440" w:lineRule="exact"/>
              <w:jc w:val="center"/>
              <w:rPr>
                <w:rFonts w:ascii="Times New Roman" w:hAnsi="Times New Roman"/>
                <w:color w:val="auto"/>
                <w:szCs w:val="21"/>
              </w:rPr>
            </w:pPr>
          </w:p>
        </w:tc>
        <w:tc>
          <w:tcPr>
            <w:tcW w:w="1240" w:type="dxa"/>
          </w:tcPr>
          <w:p>
            <w:pPr>
              <w:spacing w:line="440" w:lineRule="exact"/>
              <w:jc w:val="center"/>
              <w:rPr>
                <w:rFonts w:ascii="Times New Roman" w:hAnsi="Times New Roman"/>
                <w:color w:val="auto"/>
                <w:szCs w:val="21"/>
              </w:rPr>
            </w:pPr>
          </w:p>
        </w:tc>
        <w:tc>
          <w:tcPr>
            <w:tcW w:w="1323" w:type="dxa"/>
          </w:tcPr>
          <w:p>
            <w:pPr>
              <w:spacing w:line="440" w:lineRule="exact"/>
              <w:jc w:val="center"/>
              <w:rPr>
                <w:rFonts w:ascii="Times New Roman" w:hAnsi="Times New Roman"/>
                <w:color w:val="auto"/>
                <w:szCs w:val="21"/>
              </w:rPr>
            </w:pPr>
          </w:p>
        </w:tc>
        <w:tc>
          <w:tcPr>
            <w:tcW w:w="1132" w:type="dxa"/>
          </w:tcPr>
          <w:p>
            <w:pPr>
              <w:spacing w:line="440" w:lineRule="exact"/>
              <w:jc w:val="center"/>
              <w:rPr>
                <w:rFonts w:ascii="Times New Roman" w:hAnsi="Times New Roman"/>
                <w:color w:val="auto"/>
                <w:szCs w:val="21"/>
              </w:rPr>
            </w:pPr>
          </w:p>
        </w:tc>
        <w:tc>
          <w:tcPr>
            <w:tcW w:w="1132" w:type="dxa"/>
          </w:tcPr>
          <w:p>
            <w:pPr>
              <w:spacing w:line="440" w:lineRule="exact"/>
              <w:jc w:val="center"/>
              <w:rPr>
                <w:rFonts w:ascii="Times New Roman" w:hAnsi="Times New Roman"/>
                <w:color w:val="auto"/>
                <w:szCs w:val="21"/>
              </w:rPr>
            </w:pPr>
          </w:p>
        </w:tc>
        <w:tc>
          <w:tcPr>
            <w:tcW w:w="1294" w:type="dxa"/>
          </w:tcPr>
          <w:p>
            <w:pPr>
              <w:spacing w:line="440" w:lineRule="exact"/>
              <w:jc w:val="center"/>
              <w:rPr>
                <w:rFonts w:ascii="Times New Roman" w:hAnsi="Times New Roman"/>
                <w:color w:val="auto"/>
                <w:szCs w:val="21"/>
              </w:rPr>
            </w:pPr>
          </w:p>
        </w:tc>
        <w:tc>
          <w:tcPr>
            <w:tcW w:w="1132" w:type="dxa"/>
          </w:tcPr>
          <w:p>
            <w:pPr>
              <w:spacing w:line="440" w:lineRule="exact"/>
              <w:jc w:val="center"/>
              <w:rPr>
                <w:rFonts w:ascii="Times New Roman" w:hAnsi="Times New Roman"/>
                <w:color w:val="auto"/>
                <w:szCs w:val="21"/>
              </w:rPr>
            </w:pPr>
          </w:p>
        </w:tc>
        <w:tc>
          <w:tcPr>
            <w:tcW w:w="807" w:type="dxa"/>
          </w:tcPr>
          <w:p>
            <w:pPr>
              <w:spacing w:line="440" w:lineRule="exact"/>
              <w:jc w:val="cente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759" w:type="dxa"/>
          </w:tcPr>
          <w:p>
            <w:pPr>
              <w:spacing w:line="440" w:lineRule="exact"/>
              <w:jc w:val="center"/>
              <w:rPr>
                <w:rFonts w:ascii="Times New Roman" w:hAnsi="Times New Roman"/>
                <w:color w:val="auto"/>
                <w:szCs w:val="21"/>
              </w:rPr>
            </w:pPr>
          </w:p>
        </w:tc>
        <w:tc>
          <w:tcPr>
            <w:tcW w:w="1240" w:type="dxa"/>
          </w:tcPr>
          <w:p>
            <w:pPr>
              <w:spacing w:line="440" w:lineRule="exact"/>
              <w:jc w:val="center"/>
              <w:rPr>
                <w:rFonts w:ascii="Times New Roman" w:hAnsi="Times New Roman"/>
                <w:color w:val="auto"/>
                <w:szCs w:val="21"/>
              </w:rPr>
            </w:pPr>
          </w:p>
        </w:tc>
        <w:tc>
          <w:tcPr>
            <w:tcW w:w="1323" w:type="dxa"/>
          </w:tcPr>
          <w:p>
            <w:pPr>
              <w:spacing w:line="440" w:lineRule="exact"/>
              <w:jc w:val="center"/>
              <w:rPr>
                <w:rFonts w:ascii="Times New Roman" w:hAnsi="Times New Roman"/>
                <w:color w:val="auto"/>
                <w:szCs w:val="21"/>
              </w:rPr>
            </w:pPr>
          </w:p>
        </w:tc>
        <w:tc>
          <w:tcPr>
            <w:tcW w:w="1132" w:type="dxa"/>
          </w:tcPr>
          <w:p>
            <w:pPr>
              <w:spacing w:line="440" w:lineRule="exact"/>
              <w:jc w:val="center"/>
              <w:rPr>
                <w:rFonts w:ascii="Times New Roman" w:hAnsi="Times New Roman"/>
                <w:color w:val="auto"/>
                <w:szCs w:val="21"/>
              </w:rPr>
            </w:pPr>
          </w:p>
        </w:tc>
        <w:tc>
          <w:tcPr>
            <w:tcW w:w="1132" w:type="dxa"/>
          </w:tcPr>
          <w:p>
            <w:pPr>
              <w:spacing w:line="440" w:lineRule="exact"/>
              <w:jc w:val="center"/>
              <w:rPr>
                <w:rFonts w:ascii="Times New Roman" w:hAnsi="Times New Roman"/>
                <w:color w:val="auto"/>
                <w:szCs w:val="21"/>
              </w:rPr>
            </w:pPr>
          </w:p>
        </w:tc>
        <w:tc>
          <w:tcPr>
            <w:tcW w:w="1294" w:type="dxa"/>
          </w:tcPr>
          <w:p>
            <w:pPr>
              <w:spacing w:line="440" w:lineRule="exact"/>
              <w:jc w:val="center"/>
              <w:rPr>
                <w:rFonts w:ascii="Times New Roman" w:hAnsi="Times New Roman"/>
                <w:color w:val="auto"/>
                <w:szCs w:val="21"/>
              </w:rPr>
            </w:pPr>
          </w:p>
        </w:tc>
        <w:tc>
          <w:tcPr>
            <w:tcW w:w="1132" w:type="dxa"/>
          </w:tcPr>
          <w:p>
            <w:pPr>
              <w:spacing w:line="440" w:lineRule="exact"/>
              <w:jc w:val="center"/>
              <w:rPr>
                <w:rFonts w:ascii="Times New Roman" w:hAnsi="Times New Roman"/>
                <w:color w:val="auto"/>
                <w:szCs w:val="21"/>
              </w:rPr>
            </w:pPr>
          </w:p>
        </w:tc>
        <w:tc>
          <w:tcPr>
            <w:tcW w:w="807" w:type="dxa"/>
          </w:tcPr>
          <w:p>
            <w:pPr>
              <w:spacing w:line="440" w:lineRule="exact"/>
              <w:jc w:val="cente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759" w:type="dxa"/>
          </w:tcPr>
          <w:p>
            <w:pPr>
              <w:spacing w:line="440" w:lineRule="exact"/>
              <w:jc w:val="center"/>
              <w:rPr>
                <w:rFonts w:ascii="Times New Roman" w:hAnsi="Times New Roman"/>
                <w:color w:val="auto"/>
                <w:szCs w:val="21"/>
              </w:rPr>
            </w:pPr>
          </w:p>
        </w:tc>
        <w:tc>
          <w:tcPr>
            <w:tcW w:w="1240" w:type="dxa"/>
          </w:tcPr>
          <w:p>
            <w:pPr>
              <w:spacing w:line="440" w:lineRule="exact"/>
              <w:jc w:val="center"/>
              <w:rPr>
                <w:rFonts w:ascii="Times New Roman" w:hAnsi="Times New Roman"/>
                <w:color w:val="auto"/>
                <w:szCs w:val="21"/>
              </w:rPr>
            </w:pPr>
          </w:p>
        </w:tc>
        <w:tc>
          <w:tcPr>
            <w:tcW w:w="1323" w:type="dxa"/>
          </w:tcPr>
          <w:p>
            <w:pPr>
              <w:spacing w:line="440" w:lineRule="exact"/>
              <w:jc w:val="center"/>
              <w:rPr>
                <w:rFonts w:ascii="Times New Roman" w:hAnsi="Times New Roman"/>
                <w:color w:val="auto"/>
                <w:szCs w:val="21"/>
              </w:rPr>
            </w:pPr>
          </w:p>
        </w:tc>
        <w:tc>
          <w:tcPr>
            <w:tcW w:w="1132" w:type="dxa"/>
          </w:tcPr>
          <w:p>
            <w:pPr>
              <w:spacing w:line="440" w:lineRule="exact"/>
              <w:jc w:val="center"/>
              <w:rPr>
                <w:rFonts w:ascii="Times New Roman" w:hAnsi="Times New Roman"/>
                <w:color w:val="auto"/>
                <w:szCs w:val="21"/>
              </w:rPr>
            </w:pPr>
          </w:p>
        </w:tc>
        <w:tc>
          <w:tcPr>
            <w:tcW w:w="1132" w:type="dxa"/>
          </w:tcPr>
          <w:p>
            <w:pPr>
              <w:spacing w:line="440" w:lineRule="exact"/>
              <w:jc w:val="center"/>
              <w:rPr>
                <w:rFonts w:ascii="Times New Roman" w:hAnsi="Times New Roman"/>
                <w:color w:val="auto"/>
                <w:szCs w:val="21"/>
              </w:rPr>
            </w:pPr>
          </w:p>
        </w:tc>
        <w:tc>
          <w:tcPr>
            <w:tcW w:w="1294" w:type="dxa"/>
          </w:tcPr>
          <w:p>
            <w:pPr>
              <w:spacing w:line="440" w:lineRule="exact"/>
              <w:jc w:val="center"/>
              <w:rPr>
                <w:rFonts w:ascii="Times New Roman" w:hAnsi="Times New Roman"/>
                <w:color w:val="auto"/>
                <w:szCs w:val="21"/>
              </w:rPr>
            </w:pPr>
          </w:p>
        </w:tc>
        <w:tc>
          <w:tcPr>
            <w:tcW w:w="1132" w:type="dxa"/>
          </w:tcPr>
          <w:p>
            <w:pPr>
              <w:spacing w:line="440" w:lineRule="exact"/>
              <w:jc w:val="center"/>
              <w:rPr>
                <w:rFonts w:ascii="Times New Roman" w:hAnsi="Times New Roman"/>
                <w:color w:val="auto"/>
                <w:szCs w:val="21"/>
              </w:rPr>
            </w:pPr>
          </w:p>
        </w:tc>
        <w:tc>
          <w:tcPr>
            <w:tcW w:w="807" w:type="dxa"/>
          </w:tcPr>
          <w:p>
            <w:pPr>
              <w:spacing w:line="440" w:lineRule="exact"/>
              <w:jc w:val="cente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759" w:type="dxa"/>
          </w:tcPr>
          <w:p>
            <w:pPr>
              <w:spacing w:line="440" w:lineRule="exact"/>
              <w:jc w:val="center"/>
              <w:rPr>
                <w:rFonts w:ascii="Times New Roman" w:hAnsi="Times New Roman"/>
                <w:color w:val="auto"/>
                <w:szCs w:val="21"/>
              </w:rPr>
            </w:pPr>
          </w:p>
        </w:tc>
        <w:tc>
          <w:tcPr>
            <w:tcW w:w="1240" w:type="dxa"/>
          </w:tcPr>
          <w:p>
            <w:pPr>
              <w:spacing w:line="440" w:lineRule="exact"/>
              <w:jc w:val="center"/>
              <w:rPr>
                <w:rFonts w:ascii="Times New Roman" w:hAnsi="Times New Roman"/>
                <w:color w:val="auto"/>
                <w:szCs w:val="21"/>
              </w:rPr>
            </w:pPr>
          </w:p>
        </w:tc>
        <w:tc>
          <w:tcPr>
            <w:tcW w:w="1323" w:type="dxa"/>
          </w:tcPr>
          <w:p>
            <w:pPr>
              <w:spacing w:line="440" w:lineRule="exact"/>
              <w:jc w:val="center"/>
              <w:rPr>
                <w:rFonts w:ascii="Times New Roman" w:hAnsi="Times New Roman"/>
                <w:color w:val="auto"/>
                <w:szCs w:val="21"/>
              </w:rPr>
            </w:pPr>
          </w:p>
        </w:tc>
        <w:tc>
          <w:tcPr>
            <w:tcW w:w="1132" w:type="dxa"/>
          </w:tcPr>
          <w:p>
            <w:pPr>
              <w:spacing w:line="440" w:lineRule="exact"/>
              <w:jc w:val="center"/>
              <w:rPr>
                <w:rFonts w:ascii="Times New Roman" w:hAnsi="Times New Roman"/>
                <w:color w:val="auto"/>
                <w:szCs w:val="21"/>
              </w:rPr>
            </w:pPr>
          </w:p>
        </w:tc>
        <w:tc>
          <w:tcPr>
            <w:tcW w:w="1132" w:type="dxa"/>
          </w:tcPr>
          <w:p>
            <w:pPr>
              <w:spacing w:line="440" w:lineRule="exact"/>
              <w:jc w:val="center"/>
              <w:rPr>
                <w:rFonts w:ascii="Times New Roman" w:hAnsi="Times New Roman"/>
                <w:color w:val="auto"/>
                <w:szCs w:val="21"/>
              </w:rPr>
            </w:pPr>
          </w:p>
        </w:tc>
        <w:tc>
          <w:tcPr>
            <w:tcW w:w="1294" w:type="dxa"/>
          </w:tcPr>
          <w:p>
            <w:pPr>
              <w:spacing w:line="440" w:lineRule="exact"/>
              <w:jc w:val="center"/>
              <w:rPr>
                <w:rFonts w:ascii="Times New Roman" w:hAnsi="Times New Roman"/>
                <w:color w:val="auto"/>
                <w:szCs w:val="21"/>
              </w:rPr>
            </w:pPr>
          </w:p>
        </w:tc>
        <w:tc>
          <w:tcPr>
            <w:tcW w:w="1132" w:type="dxa"/>
          </w:tcPr>
          <w:p>
            <w:pPr>
              <w:spacing w:line="440" w:lineRule="exact"/>
              <w:jc w:val="center"/>
              <w:rPr>
                <w:rFonts w:ascii="Times New Roman" w:hAnsi="Times New Roman"/>
                <w:color w:val="auto"/>
                <w:szCs w:val="21"/>
              </w:rPr>
            </w:pPr>
          </w:p>
        </w:tc>
        <w:tc>
          <w:tcPr>
            <w:tcW w:w="807" w:type="dxa"/>
          </w:tcPr>
          <w:p>
            <w:pPr>
              <w:spacing w:line="440" w:lineRule="exact"/>
              <w:jc w:val="cente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759" w:type="dxa"/>
          </w:tcPr>
          <w:p>
            <w:pPr>
              <w:spacing w:line="440" w:lineRule="exact"/>
              <w:jc w:val="center"/>
              <w:rPr>
                <w:rFonts w:ascii="Times New Roman" w:hAnsi="Times New Roman"/>
                <w:color w:val="auto"/>
                <w:szCs w:val="21"/>
              </w:rPr>
            </w:pPr>
          </w:p>
        </w:tc>
        <w:tc>
          <w:tcPr>
            <w:tcW w:w="1240" w:type="dxa"/>
          </w:tcPr>
          <w:p>
            <w:pPr>
              <w:spacing w:line="440" w:lineRule="exact"/>
              <w:jc w:val="center"/>
              <w:rPr>
                <w:rFonts w:ascii="Times New Roman" w:hAnsi="Times New Roman"/>
                <w:color w:val="auto"/>
                <w:szCs w:val="21"/>
              </w:rPr>
            </w:pPr>
          </w:p>
        </w:tc>
        <w:tc>
          <w:tcPr>
            <w:tcW w:w="1323" w:type="dxa"/>
          </w:tcPr>
          <w:p>
            <w:pPr>
              <w:spacing w:line="440" w:lineRule="exact"/>
              <w:jc w:val="center"/>
              <w:rPr>
                <w:rFonts w:ascii="Times New Roman" w:hAnsi="Times New Roman"/>
                <w:color w:val="auto"/>
                <w:szCs w:val="21"/>
              </w:rPr>
            </w:pPr>
          </w:p>
        </w:tc>
        <w:tc>
          <w:tcPr>
            <w:tcW w:w="1132" w:type="dxa"/>
          </w:tcPr>
          <w:p>
            <w:pPr>
              <w:spacing w:line="440" w:lineRule="exact"/>
              <w:jc w:val="center"/>
              <w:rPr>
                <w:rFonts w:ascii="Times New Roman" w:hAnsi="Times New Roman"/>
                <w:color w:val="auto"/>
                <w:szCs w:val="21"/>
              </w:rPr>
            </w:pPr>
          </w:p>
        </w:tc>
        <w:tc>
          <w:tcPr>
            <w:tcW w:w="1132" w:type="dxa"/>
          </w:tcPr>
          <w:p>
            <w:pPr>
              <w:spacing w:line="440" w:lineRule="exact"/>
              <w:jc w:val="center"/>
              <w:rPr>
                <w:rFonts w:ascii="Times New Roman" w:hAnsi="Times New Roman"/>
                <w:color w:val="auto"/>
                <w:szCs w:val="21"/>
              </w:rPr>
            </w:pPr>
          </w:p>
        </w:tc>
        <w:tc>
          <w:tcPr>
            <w:tcW w:w="1294" w:type="dxa"/>
          </w:tcPr>
          <w:p>
            <w:pPr>
              <w:spacing w:line="440" w:lineRule="exact"/>
              <w:jc w:val="center"/>
              <w:rPr>
                <w:rFonts w:ascii="Times New Roman" w:hAnsi="Times New Roman"/>
                <w:color w:val="auto"/>
                <w:szCs w:val="21"/>
              </w:rPr>
            </w:pPr>
          </w:p>
        </w:tc>
        <w:tc>
          <w:tcPr>
            <w:tcW w:w="1132" w:type="dxa"/>
          </w:tcPr>
          <w:p>
            <w:pPr>
              <w:spacing w:line="440" w:lineRule="exact"/>
              <w:jc w:val="center"/>
              <w:rPr>
                <w:rFonts w:ascii="Times New Roman" w:hAnsi="Times New Roman"/>
                <w:color w:val="auto"/>
                <w:szCs w:val="21"/>
              </w:rPr>
            </w:pPr>
          </w:p>
        </w:tc>
        <w:tc>
          <w:tcPr>
            <w:tcW w:w="807" w:type="dxa"/>
          </w:tcPr>
          <w:p>
            <w:pPr>
              <w:spacing w:line="440" w:lineRule="exact"/>
              <w:jc w:val="cente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759" w:type="dxa"/>
          </w:tcPr>
          <w:p>
            <w:pPr>
              <w:spacing w:line="440" w:lineRule="exact"/>
              <w:jc w:val="center"/>
              <w:rPr>
                <w:rFonts w:ascii="Times New Roman" w:hAnsi="Times New Roman"/>
                <w:color w:val="auto"/>
                <w:szCs w:val="21"/>
              </w:rPr>
            </w:pPr>
          </w:p>
        </w:tc>
        <w:tc>
          <w:tcPr>
            <w:tcW w:w="1240" w:type="dxa"/>
          </w:tcPr>
          <w:p>
            <w:pPr>
              <w:spacing w:line="440" w:lineRule="exact"/>
              <w:jc w:val="center"/>
              <w:rPr>
                <w:rFonts w:ascii="Times New Roman" w:hAnsi="Times New Roman"/>
                <w:color w:val="auto"/>
                <w:szCs w:val="21"/>
              </w:rPr>
            </w:pPr>
          </w:p>
        </w:tc>
        <w:tc>
          <w:tcPr>
            <w:tcW w:w="1323" w:type="dxa"/>
          </w:tcPr>
          <w:p>
            <w:pPr>
              <w:spacing w:line="440" w:lineRule="exact"/>
              <w:jc w:val="center"/>
              <w:rPr>
                <w:rFonts w:ascii="Times New Roman" w:hAnsi="Times New Roman"/>
                <w:color w:val="auto"/>
                <w:szCs w:val="21"/>
              </w:rPr>
            </w:pPr>
          </w:p>
        </w:tc>
        <w:tc>
          <w:tcPr>
            <w:tcW w:w="1132" w:type="dxa"/>
          </w:tcPr>
          <w:p>
            <w:pPr>
              <w:spacing w:line="440" w:lineRule="exact"/>
              <w:jc w:val="center"/>
              <w:rPr>
                <w:rFonts w:ascii="Times New Roman" w:hAnsi="Times New Roman"/>
                <w:color w:val="auto"/>
                <w:szCs w:val="21"/>
              </w:rPr>
            </w:pPr>
          </w:p>
        </w:tc>
        <w:tc>
          <w:tcPr>
            <w:tcW w:w="1132" w:type="dxa"/>
          </w:tcPr>
          <w:p>
            <w:pPr>
              <w:spacing w:line="440" w:lineRule="exact"/>
              <w:jc w:val="center"/>
              <w:rPr>
                <w:rFonts w:ascii="Times New Roman" w:hAnsi="Times New Roman"/>
                <w:color w:val="auto"/>
                <w:szCs w:val="21"/>
              </w:rPr>
            </w:pPr>
          </w:p>
        </w:tc>
        <w:tc>
          <w:tcPr>
            <w:tcW w:w="1294" w:type="dxa"/>
          </w:tcPr>
          <w:p>
            <w:pPr>
              <w:spacing w:line="440" w:lineRule="exact"/>
              <w:jc w:val="center"/>
              <w:rPr>
                <w:rFonts w:ascii="Times New Roman" w:hAnsi="Times New Roman"/>
                <w:color w:val="auto"/>
                <w:szCs w:val="21"/>
              </w:rPr>
            </w:pPr>
          </w:p>
        </w:tc>
        <w:tc>
          <w:tcPr>
            <w:tcW w:w="1132" w:type="dxa"/>
          </w:tcPr>
          <w:p>
            <w:pPr>
              <w:spacing w:line="440" w:lineRule="exact"/>
              <w:jc w:val="center"/>
              <w:rPr>
                <w:rFonts w:ascii="Times New Roman" w:hAnsi="Times New Roman"/>
                <w:color w:val="auto"/>
                <w:szCs w:val="21"/>
              </w:rPr>
            </w:pPr>
          </w:p>
        </w:tc>
        <w:tc>
          <w:tcPr>
            <w:tcW w:w="807" w:type="dxa"/>
          </w:tcPr>
          <w:p>
            <w:pPr>
              <w:spacing w:line="440" w:lineRule="exact"/>
              <w:jc w:val="cente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759" w:type="dxa"/>
          </w:tcPr>
          <w:p>
            <w:pPr>
              <w:spacing w:line="440" w:lineRule="exact"/>
              <w:jc w:val="center"/>
              <w:rPr>
                <w:rFonts w:ascii="Times New Roman" w:hAnsi="Times New Roman"/>
                <w:color w:val="auto"/>
                <w:szCs w:val="21"/>
              </w:rPr>
            </w:pPr>
          </w:p>
        </w:tc>
        <w:tc>
          <w:tcPr>
            <w:tcW w:w="1240" w:type="dxa"/>
          </w:tcPr>
          <w:p>
            <w:pPr>
              <w:spacing w:line="440" w:lineRule="exact"/>
              <w:jc w:val="center"/>
              <w:rPr>
                <w:rFonts w:ascii="Times New Roman" w:hAnsi="Times New Roman"/>
                <w:color w:val="auto"/>
                <w:szCs w:val="21"/>
              </w:rPr>
            </w:pPr>
          </w:p>
        </w:tc>
        <w:tc>
          <w:tcPr>
            <w:tcW w:w="1323" w:type="dxa"/>
          </w:tcPr>
          <w:p>
            <w:pPr>
              <w:spacing w:line="440" w:lineRule="exact"/>
              <w:jc w:val="center"/>
              <w:rPr>
                <w:rFonts w:ascii="Times New Roman" w:hAnsi="Times New Roman"/>
                <w:color w:val="auto"/>
                <w:szCs w:val="21"/>
              </w:rPr>
            </w:pPr>
          </w:p>
        </w:tc>
        <w:tc>
          <w:tcPr>
            <w:tcW w:w="1132" w:type="dxa"/>
          </w:tcPr>
          <w:p>
            <w:pPr>
              <w:spacing w:line="440" w:lineRule="exact"/>
              <w:jc w:val="center"/>
              <w:rPr>
                <w:rFonts w:ascii="Times New Roman" w:hAnsi="Times New Roman"/>
                <w:color w:val="auto"/>
                <w:szCs w:val="21"/>
              </w:rPr>
            </w:pPr>
          </w:p>
        </w:tc>
        <w:tc>
          <w:tcPr>
            <w:tcW w:w="1132" w:type="dxa"/>
          </w:tcPr>
          <w:p>
            <w:pPr>
              <w:spacing w:line="440" w:lineRule="exact"/>
              <w:jc w:val="center"/>
              <w:rPr>
                <w:rFonts w:ascii="Times New Roman" w:hAnsi="Times New Roman"/>
                <w:color w:val="auto"/>
                <w:szCs w:val="21"/>
              </w:rPr>
            </w:pPr>
          </w:p>
        </w:tc>
        <w:tc>
          <w:tcPr>
            <w:tcW w:w="1294" w:type="dxa"/>
          </w:tcPr>
          <w:p>
            <w:pPr>
              <w:spacing w:line="440" w:lineRule="exact"/>
              <w:jc w:val="center"/>
              <w:rPr>
                <w:rFonts w:ascii="Times New Roman" w:hAnsi="Times New Roman"/>
                <w:color w:val="auto"/>
                <w:szCs w:val="21"/>
              </w:rPr>
            </w:pPr>
          </w:p>
        </w:tc>
        <w:tc>
          <w:tcPr>
            <w:tcW w:w="1132" w:type="dxa"/>
          </w:tcPr>
          <w:p>
            <w:pPr>
              <w:spacing w:line="440" w:lineRule="exact"/>
              <w:jc w:val="center"/>
              <w:rPr>
                <w:rFonts w:ascii="Times New Roman" w:hAnsi="Times New Roman"/>
                <w:color w:val="auto"/>
                <w:szCs w:val="21"/>
              </w:rPr>
            </w:pPr>
          </w:p>
        </w:tc>
        <w:tc>
          <w:tcPr>
            <w:tcW w:w="807" w:type="dxa"/>
          </w:tcPr>
          <w:p>
            <w:pPr>
              <w:spacing w:line="440" w:lineRule="exact"/>
              <w:jc w:val="cente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759" w:type="dxa"/>
          </w:tcPr>
          <w:p>
            <w:pPr>
              <w:spacing w:line="440" w:lineRule="exact"/>
              <w:jc w:val="center"/>
              <w:rPr>
                <w:rFonts w:ascii="Times New Roman" w:hAnsi="Times New Roman"/>
                <w:color w:val="auto"/>
                <w:szCs w:val="21"/>
              </w:rPr>
            </w:pPr>
          </w:p>
        </w:tc>
        <w:tc>
          <w:tcPr>
            <w:tcW w:w="1240" w:type="dxa"/>
          </w:tcPr>
          <w:p>
            <w:pPr>
              <w:spacing w:line="440" w:lineRule="exact"/>
              <w:jc w:val="center"/>
              <w:rPr>
                <w:rFonts w:ascii="Times New Roman" w:hAnsi="Times New Roman"/>
                <w:color w:val="auto"/>
                <w:szCs w:val="21"/>
              </w:rPr>
            </w:pPr>
          </w:p>
        </w:tc>
        <w:tc>
          <w:tcPr>
            <w:tcW w:w="1323" w:type="dxa"/>
          </w:tcPr>
          <w:p>
            <w:pPr>
              <w:spacing w:line="440" w:lineRule="exact"/>
              <w:jc w:val="center"/>
              <w:rPr>
                <w:rFonts w:ascii="Times New Roman" w:hAnsi="Times New Roman"/>
                <w:color w:val="auto"/>
                <w:szCs w:val="21"/>
              </w:rPr>
            </w:pPr>
          </w:p>
        </w:tc>
        <w:tc>
          <w:tcPr>
            <w:tcW w:w="1132" w:type="dxa"/>
          </w:tcPr>
          <w:p>
            <w:pPr>
              <w:spacing w:line="440" w:lineRule="exact"/>
              <w:jc w:val="center"/>
              <w:rPr>
                <w:rFonts w:ascii="Times New Roman" w:hAnsi="Times New Roman"/>
                <w:color w:val="auto"/>
                <w:szCs w:val="21"/>
              </w:rPr>
            </w:pPr>
          </w:p>
        </w:tc>
        <w:tc>
          <w:tcPr>
            <w:tcW w:w="1132" w:type="dxa"/>
          </w:tcPr>
          <w:p>
            <w:pPr>
              <w:spacing w:line="440" w:lineRule="exact"/>
              <w:jc w:val="center"/>
              <w:rPr>
                <w:rFonts w:ascii="Times New Roman" w:hAnsi="Times New Roman"/>
                <w:color w:val="auto"/>
                <w:szCs w:val="21"/>
              </w:rPr>
            </w:pPr>
          </w:p>
        </w:tc>
        <w:tc>
          <w:tcPr>
            <w:tcW w:w="1294" w:type="dxa"/>
          </w:tcPr>
          <w:p>
            <w:pPr>
              <w:spacing w:line="440" w:lineRule="exact"/>
              <w:jc w:val="center"/>
              <w:rPr>
                <w:rFonts w:ascii="Times New Roman" w:hAnsi="Times New Roman"/>
                <w:color w:val="auto"/>
                <w:szCs w:val="21"/>
              </w:rPr>
            </w:pPr>
          </w:p>
        </w:tc>
        <w:tc>
          <w:tcPr>
            <w:tcW w:w="1132" w:type="dxa"/>
          </w:tcPr>
          <w:p>
            <w:pPr>
              <w:spacing w:line="440" w:lineRule="exact"/>
              <w:jc w:val="center"/>
              <w:rPr>
                <w:rFonts w:ascii="Times New Roman" w:hAnsi="Times New Roman"/>
                <w:color w:val="auto"/>
                <w:szCs w:val="21"/>
              </w:rPr>
            </w:pPr>
          </w:p>
        </w:tc>
        <w:tc>
          <w:tcPr>
            <w:tcW w:w="807" w:type="dxa"/>
          </w:tcPr>
          <w:p>
            <w:pPr>
              <w:spacing w:line="440" w:lineRule="exact"/>
              <w:jc w:val="cente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759" w:type="dxa"/>
          </w:tcPr>
          <w:p>
            <w:pPr>
              <w:spacing w:line="440" w:lineRule="exact"/>
              <w:jc w:val="center"/>
              <w:rPr>
                <w:rFonts w:ascii="Times New Roman" w:hAnsi="Times New Roman"/>
                <w:color w:val="auto"/>
                <w:szCs w:val="21"/>
              </w:rPr>
            </w:pPr>
          </w:p>
        </w:tc>
        <w:tc>
          <w:tcPr>
            <w:tcW w:w="1240" w:type="dxa"/>
          </w:tcPr>
          <w:p>
            <w:pPr>
              <w:spacing w:line="440" w:lineRule="exact"/>
              <w:jc w:val="center"/>
              <w:rPr>
                <w:rFonts w:ascii="Times New Roman" w:hAnsi="Times New Roman"/>
                <w:color w:val="auto"/>
                <w:szCs w:val="21"/>
              </w:rPr>
            </w:pPr>
          </w:p>
        </w:tc>
        <w:tc>
          <w:tcPr>
            <w:tcW w:w="1323" w:type="dxa"/>
          </w:tcPr>
          <w:p>
            <w:pPr>
              <w:spacing w:line="440" w:lineRule="exact"/>
              <w:jc w:val="center"/>
              <w:rPr>
                <w:rFonts w:ascii="Times New Roman" w:hAnsi="Times New Roman"/>
                <w:color w:val="auto"/>
                <w:szCs w:val="21"/>
              </w:rPr>
            </w:pPr>
          </w:p>
        </w:tc>
        <w:tc>
          <w:tcPr>
            <w:tcW w:w="1132" w:type="dxa"/>
          </w:tcPr>
          <w:p>
            <w:pPr>
              <w:spacing w:line="440" w:lineRule="exact"/>
              <w:jc w:val="center"/>
              <w:rPr>
                <w:rFonts w:ascii="Times New Roman" w:hAnsi="Times New Roman"/>
                <w:color w:val="auto"/>
                <w:szCs w:val="21"/>
              </w:rPr>
            </w:pPr>
          </w:p>
        </w:tc>
        <w:tc>
          <w:tcPr>
            <w:tcW w:w="1132" w:type="dxa"/>
          </w:tcPr>
          <w:p>
            <w:pPr>
              <w:spacing w:line="440" w:lineRule="exact"/>
              <w:jc w:val="center"/>
              <w:rPr>
                <w:rFonts w:ascii="Times New Roman" w:hAnsi="Times New Roman"/>
                <w:color w:val="auto"/>
                <w:szCs w:val="21"/>
              </w:rPr>
            </w:pPr>
          </w:p>
        </w:tc>
        <w:tc>
          <w:tcPr>
            <w:tcW w:w="1294" w:type="dxa"/>
          </w:tcPr>
          <w:p>
            <w:pPr>
              <w:spacing w:line="440" w:lineRule="exact"/>
              <w:jc w:val="center"/>
              <w:rPr>
                <w:rFonts w:ascii="Times New Roman" w:hAnsi="Times New Roman"/>
                <w:color w:val="auto"/>
                <w:szCs w:val="21"/>
              </w:rPr>
            </w:pPr>
          </w:p>
        </w:tc>
        <w:tc>
          <w:tcPr>
            <w:tcW w:w="1132" w:type="dxa"/>
          </w:tcPr>
          <w:p>
            <w:pPr>
              <w:spacing w:line="440" w:lineRule="exact"/>
              <w:jc w:val="center"/>
              <w:rPr>
                <w:rFonts w:ascii="Times New Roman" w:hAnsi="Times New Roman"/>
                <w:color w:val="auto"/>
                <w:szCs w:val="21"/>
              </w:rPr>
            </w:pPr>
          </w:p>
        </w:tc>
        <w:tc>
          <w:tcPr>
            <w:tcW w:w="807" w:type="dxa"/>
          </w:tcPr>
          <w:p>
            <w:pPr>
              <w:spacing w:line="440" w:lineRule="exact"/>
              <w:jc w:val="cente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759" w:type="dxa"/>
          </w:tcPr>
          <w:p>
            <w:pPr>
              <w:spacing w:line="440" w:lineRule="exact"/>
              <w:jc w:val="center"/>
              <w:rPr>
                <w:rFonts w:ascii="Times New Roman" w:hAnsi="Times New Roman"/>
                <w:color w:val="auto"/>
                <w:szCs w:val="21"/>
              </w:rPr>
            </w:pPr>
          </w:p>
        </w:tc>
        <w:tc>
          <w:tcPr>
            <w:tcW w:w="1240" w:type="dxa"/>
          </w:tcPr>
          <w:p>
            <w:pPr>
              <w:spacing w:line="440" w:lineRule="exact"/>
              <w:jc w:val="center"/>
              <w:rPr>
                <w:rFonts w:ascii="Times New Roman" w:hAnsi="Times New Roman"/>
                <w:color w:val="auto"/>
                <w:szCs w:val="21"/>
              </w:rPr>
            </w:pPr>
          </w:p>
        </w:tc>
        <w:tc>
          <w:tcPr>
            <w:tcW w:w="1323" w:type="dxa"/>
          </w:tcPr>
          <w:p>
            <w:pPr>
              <w:spacing w:line="440" w:lineRule="exact"/>
              <w:jc w:val="center"/>
              <w:rPr>
                <w:rFonts w:ascii="Times New Roman" w:hAnsi="Times New Roman"/>
                <w:color w:val="auto"/>
                <w:szCs w:val="21"/>
              </w:rPr>
            </w:pPr>
          </w:p>
        </w:tc>
        <w:tc>
          <w:tcPr>
            <w:tcW w:w="1132" w:type="dxa"/>
          </w:tcPr>
          <w:p>
            <w:pPr>
              <w:spacing w:line="440" w:lineRule="exact"/>
              <w:jc w:val="center"/>
              <w:rPr>
                <w:rFonts w:ascii="Times New Roman" w:hAnsi="Times New Roman"/>
                <w:color w:val="auto"/>
                <w:szCs w:val="21"/>
              </w:rPr>
            </w:pPr>
          </w:p>
        </w:tc>
        <w:tc>
          <w:tcPr>
            <w:tcW w:w="1132" w:type="dxa"/>
          </w:tcPr>
          <w:p>
            <w:pPr>
              <w:spacing w:line="440" w:lineRule="exact"/>
              <w:jc w:val="center"/>
              <w:rPr>
                <w:rFonts w:ascii="Times New Roman" w:hAnsi="Times New Roman"/>
                <w:color w:val="auto"/>
                <w:szCs w:val="21"/>
              </w:rPr>
            </w:pPr>
          </w:p>
        </w:tc>
        <w:tc>
          <w:tcPr>
            <w:tcW w:w="1294" w:type="dxa"/>
          </w:tcPr>
          <w:p>
            <w:pPr>
              <w:spacing w:line="440" w:lineRule="exact"/>
              <w:jc w:val="center"/>
              <w:rPr>
                <w:rFonts w:ascii="Times New Roman" w:hAnsi="Times New Roman"/>
                <w:color w:val="auto"/>
                <w:szCs w:val="21"/>
              </w:rPr>
            </w:pPr>
          </w:p>
        </w:tc>
        <w:tc>
          <w:tcPr>
            <w:tcW w:w="1132" w:type="dxa"/>
          </w:tcPr>
          <w:p>
            <w:pPr>
              <w:spacing w:line="440" w:lineRule="exact"/>
              <w:jc w:val="center"/>
              <w:rPr>
                <w:rFonts w:ascii="Times New Roman" w:hAnsi="Times New Roman"/>
                <w:color w:val="auto"/>
                <w:szCs w:val="21"/>
              </w:rPr>
            </w:pPr>
          </w:p>
        </w:tc>
        <w:tc>
          <w:tcPr>
            <w:tcW w:w="807" w:type="dxa"/>
          </w:tcPr>
          <w:p>
            <w:pPr>
              <w:spacing w:line="440" w:lineRule="exact"/>
              <w:jc w:val="cente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759" w:type="dxa"/>
          </w:tcPr>
          <w:p>
            <w:pPr>
              <w:spacing w:line="440" w:lineRule="exact"/>
              <w:jc w:val="center"/>
              <w:rPr>
                <w:rFonts w:ascii="Times New Roman" w:hAnsi="Times New Roman"/>
                <w:color w:val="auto"/>
                <w:szCs w:val="21"/>
              </w:rPr>
            </w:pPr>
          </w:p>
        </w:tc>
        <w:tc>
          <w:tcPr>
            <w:tcW w:w="1240" w:type="dxa"/>
          </w:tcPr>
          <w:p>
            <w:pPr>
              <w:spacing w:line="440" w:lineRule="exact"/>
              <w:jc w:val="center"/>
              <w:rPr>
                <w:rFonts w:ascii="Times New Roman" w:hAnsi="Times New Roman"/>
                <w:color w:val="auto"/>
                <w:szCs w:val="21"/>
              </w:rPr>
            </w:pPr>
          </w:p>
        </w:tc>
        <w:tc>
          <w:tcPr>
            <w:tcW w:w="1323" w:type="dxa"/>
          </w:tcPr>
          <w:p>
            <w:pPr>
              <w:spacing w:line="440" w:lineRule="exact"/>
              <w:jc w:val="center"/>
              <w:rPr>
                <w:rFonts w:ascii="Times New Roman" w:hAnsi="Times New Roman"/>
                <w:color w:val="auto"/>
                <w:szCs w:val="21"/>
              </w:rPr>
            </w:pPr>
          </w:p>
        </w:tc>
        <w:tc>
          <w:tcPr>
            <w:tcW w:w="1132" w:type="dxa"/>
          </w:tcPr>
          <w:p>
            <w:pPr>
              <w:spacing w:line="440" w:lineRule="exact"/>
              <w:jc w:val="center"/>
              <w:rPr>
                <w:rFonts w:ascii="Times New Roman" w:hAnsi="Times New Roman"/>
                <w:color w:val="auto"/>
                <w:szCs w:val="21"/>
              </w:rPr>
            </w:pPr>
          </w:p>
        </w:tc>
        <w:tc>
          <w:tcPr>
            <w:tcW w:w="1132" w:type="dxa"/>
          </w:tcPr>
          <w:p>
            <w:pPr>
              <w:spacing w:line="440" w:lineRule="exact"/>
              <w:jc w:val="center"/>
              <w:rPr>
                <w:rFonts w:ascii="Times New Roman" w:hAnsi="Times New Roman"/>
                <w:color w:val="auto"/>
                <w:szCs w:val="21"/>
              </w:rPr>
            </w:pPr>
          </w:p>
        </w:tc>
        <w:tc>
          <w:tcPr>
            <w:tcW w:w="1294" w:type="dxa"/>
          </w:tcPr>
          <w:p>
            <w:pPr>
              <w:spacing w:line="440" w:lineRule="exact"/>
              <w:jc w:val="center"/>
              <w:rPr>
                <w:rFonts w:ascii="Times New Roman" w:hAnsi="Times New Roman"/>
                <w:color w:val="auto"/>
                <w:szCs w:val="21"/>
              </w:rPr>
            </w:pPr>
          </w:p>
        </w:tc>
        <w:tc>
          <w:tcPr>
            <w:tcW w:w="1132" w:type="dxa"/>
          </w:tcPr>
          <w:p>
            <w:pPr>
              <w:spacing w:line="440" w:lineRule="exact"/>
              <w:jc w:val="center"/>
              <w:rPr>
                <w:rFonts w:ascii="Times New Roman" w:hAnsi="Times New Roman"/>
                <w:color w:val="auto"/>
                <w:szCs w:val="21"/>
              </w:rPr>
            </w:pPr>
          </w:p>
        </w:tc>
        <w:tc>
          <w:tcPr>
            <w:tcW w:w="807" w:type="dxa"/>
          </w:tcPr>
          <w:p>
            <w:pPr>
              <w:spacing w:line="440" w:lineRule="exact"/>
              <w:jc w:val="center"/>
              <w:rPr>
                <w:rFonts w:ascii="Times New Roman" w:hAnsi="Times New Roman"/>
                <w:color w:val="auto"/>
                <w:szCs w:val="21"/>
              </w:rPr>
            </w:pPr>
          </w:p>
        </w:tc>
      </w:tr>
    </w:tbl>
    <w:p>
      <w:pPr>
        <w:rPr>
          <w:rFonts w:ascii="Times New Roman" w:hAnsi="Times New Roman"/>
          <w:color w:val="auto"/>
          <w:sz w:val="28"/>
          <w:szCs w:val="28"/>
        </w:rPr>
      </w:pPr>
    </w:p>
    <w:p>
      <w:pPr>
        <w:rPr>
          <w:rFonts w:ascii="Times New Roman" w:hAnsi="Times New Roman"/>
          <w:color w:val="auto"/>
          <w:sz w:val="28"/>
          <w:szCs w:val="28"/>
        </w:rPr>
      </w:pPr>
      <w:r>
        <w:rPr>
          <w:rFonts w:ascii="Times New Roman" w:hAnsi="Times New Roman"/>
          <w:color w:val="auto"/>
          <w:sz w:val="28"/>
          <w:szCs w:val="28"/>
        </w:rPr>
        <w:br w:type="page"/>
      </w:r>
    </w:p>
    <w:p>
      <w:pPr>
        <w:pStyle w:val="5"/>
        <w:spacing w:after="0"/>
        <w:jc w:val="center"/>
        <w:rPr>
          <w:rFonts w:ascii="Times New Roman" w:hAnsi="Times New Roman"/>
          <w:color w:val="auto"/>
        </w:rPr>
      </w:pPr>
      <w:bookmarkStart w:id="801" w:name="_Toc492300957"/>
      <w:r>
        <w:rPr>
          <w:rFonts w:hint="eastAsia" w:ascii="Times New Roman" w:hAnsi="Times New Roman"/>
          <w:color w:val="auto"/>
          <w:lang w:eastAsia="zh-CN"/>
        </w:rPr>
        <w:t>八</w:t>
      </w:r>
      <w:r>
        <w:rPr>
          <w:rFonts w:ascii="Times New Roman" w:hAnsi="Times New Roman"/>
          <w:color w:val="auto"/>
        </w:rPr>
        <w:t>、勘察纲要</w:t>
      </w:r>
      <w:bookmarkEnd w:id="801"/>
    </w:p>
    <w:p>
      <w:pPr>
        <w:spacing w:line="360" w:lineRule="auto"/>
        <w:ind w:firstLine="474" w:firstLineChars="226"/>
        <w:rPr>
          <w:rFonts w:ascii="Times New Roman" w:hAnsi="Times New Roman"/>
          <w:color w:val="auto"/>
          <w:szCs w:val="21"/>
        </w:rPr>
      </w:pPr>
      <w:r>
        <w:rPr>
          <w:rFonts w:hint="eastAsia" w:ascii="Times New Roman" w:hAnsi="Times New Roman"/>
          <w:color w:val="auto"/>
          <w:szCs w:val="21"/>
        </w:rPr>
        <w:t>勘察纲要应包括（但不限于）下列内容：</w:t>
      </w:r>
    </w:p>
    <w:p>
      <w:pPr>
        <w:spacing w:line="360" w:lineRule="auto"/>
        <w:ind w:firstLine="474" w:firstLineChars="226"/>
        <w:rPr>
          <w:rFonts w:ascii="Times New Roman" w:hAnsi="Times New Roman"/>
          <w:color w:val="auto"/>
          <w:szCs w:val="21"/>
        </w:rPr>
      </w:pPr>
      <w:r>
        <w:rPr>
          <w:rFonts w:hint="eastAsia" w:ascii="Times New Roman" w:hAnsi="Times New Roman"/>
          <w:color w:val="auto"/>
          <w:szCs w:val="21"/>
        </w:rPr>
        <w:t>一、勘察工程概况；</w:t>
      </w:r>
    </w:p>
    <w:p>
      <w:pPr>
        <w:spacing w:line="360" w:lineRule="auto"/>
        <w:ind w:firstLine="474" w:firstLineChars="226"/>
        <w:rPr>
          <w:rFonts w:ascii="Times New Roman" w:hAnsi="Times New Roman"/>
          <w:color w:val="auto"/>
          <w:szCs w:val="21"/>
        </w:rPr>
      </w:pPr>
      <w:r>
        <w:rPr>
          <w:rFonts w:hint="eastAsia" w:ascii="Times New Roman" w:hAnsi="Times New Roman"/>
          <w:color w:val="auto"/>
          <w:szCs w:val="21"/>
        </w:rPr>
        <w:t>二、勘察范围、勘察内容；</w:t>
      </w:r>
    </w:p>
    <w:p>
      <w:pPr>
        <w:spacing w:line="360" w:lineRule="auto"/>
        <w:ind w:firstLine="474" w:firstLineChars="226"/>
        <w:rPr>
          <w:rFonts w:ascii="Times New Roman" w:hAnsi="Times New Roman"/>
          <w:color w:val="auto"/>
          <w:szCs w:val="21"/>
        </w:rPr>
      </w:pPr>
      <w:r>
        <w:rPr>
          <w:rFonts w:hint="eastAsia" w:ascii="Times New Roman" w:hAnsi="Times New Roman"/>
          <w:color w:val="auto"/>
          <w:szCs w:val="21"/>
        </w:rPr>
        <w:t>三、勘察依据、</w:t>
      </w:r>
      <w:r>
        <w:rPr>
          <w:rFonts w:hint="eastAsia" w:ascii="Times New Roman" w:hAnsi="Times New Roman"/>
          <w:color w:val="auto"/>
        </w:rPr>
        <w:t>勘察工作目标</w:t>
      </w:r>
      <w:r>
        <w:rPr>
          <w:rFonts w:hint="eastAsia" w:ascii="Times New Roman" w:hAnsi="Times New Roman"/>
          <w:color w:val="auto"/>
          <w:szCs w:val="21"/>
        </w:rPr>
        <w:t>；</w:t>
      </w:r>
    </w:p>
    <w:p>
      <w:pPr>
        <w:spacing w:line="360" w:lineRule="auto"/>
        <w:ind w:firstLine="474" w:firstLineChars="226"/>
        <w:rPr>
          <w:rFonts w:ascii="Times New Roman" w:hAnsi="Times New Roman"/>
          <w:color w:val="auto"/>
          <w:szCs w:val="21"/>
        </w:rPr>
      </w:pPr>
      <w:r>
        <w:rPr>
          <w:rFonts w:hint="eastAsia" w:ascii="Times New Roman" w:hAnsi="Times New Roman"/>
          <w:color w:val="auto"/>
          <w:szCs w:val="21"/>
        </w:rPr>
        <w:t>四、勘察机构设置（框图）、岗位职责；</w:t>
      </w:r>
    </w:p>
    <w:p>
      <w:pPr>
        <w:spacing w:line="360" w:lineRule="auto"/>
        <w:ind w:firstLine="474" w:firstLineChars="226"/>
        <w:rPr>
          <w:rFonts w:ascii="Times New Roman" w:hAnsi="Times New Roman"/>
          <w:color w:val="auto"/>
          <w:szCs w:val="21"/>
        </w:rPr>
      </w:pPr>
      <w:r>
        <w:rPr>
          <w:rFonts w:hint="eastAsia" w:ascii="Times New Roman" w:hAnsi="Times New Roman"/>
          <w:color w:val="auto"/>
          <w:szCs w:val="21"/>
        </w:rPr>
        <w:t>五、勘察说明和勘察方案；</w:t>
      </w:r>
    </w:p>
    <w:p>
      <w:pPr>
        <w:spacing w:line="360" w:lineRule="auto"/>
        <w:ind w:firstLine="474" w:firstLineChars="226"/>
        <w:rPr>
          <w:rFonts w:ascii="Times New Roman" w:hAnsi="Times New Roman"/>
          <w:color w:val="auto"/>
          <w:szCs w:val="21"/>
        </w:rPr>
      </w:pPr>
      <w:r>
        <w:rPr>
          <w:rFonts w:hint="eastAsia" w:ascii="Times New Roman" w:hAnsi="Times New Roman"/>
          <w:color w:val="auto"/>
          <w:szCs w:val="21"/>
        </w:rPr>
        <w:t>六、拟投入的勘察人员、勘察设备；</w:t>
      </w:r>
    </w:p>
    <w:p>
      <w:pPr>
        <w:spacing w:line="360" w:lineRule="auto"/>
        <w:ind w:firstLine="474" w:firstLineChars="226"/>
        <w:rPr>
          <w:rFonts w:ascii="Times New Roman" w:hAnsi="Times New Roman"/>
          <w:color w:val="auto"/>
          <w:szCs w:val="21"/>
        </w:rPr>
      </w:pPr>
      <w:r>
        <w:rPr>
          <w:rFonts w:hint="eastAsia" w:ascii="Times New Roman" w:hAnsi="Times New Roman"/>
          <w:color w:val="auto"/>
          <w:szCs w:val="21"/>
        </w:rPr>
        <w:t>七、勘察质量、进度、保密等保证措施；</w:t>
      </w:r>
      <w:r>
        <w:rPr>
          <w:rFonts w:ascii="Times New Roman" w:hAnsi="Times New Roman"/>
          <w:color w:val="auto"/>
          <w:szCs w:val="21"/>
        </w:rPr>
        <w:t xml:space="preserve"> </w:t>
      </w:r>
    </w:p>
    <w:p>
      <w:pPr>
        <w:spacing w:line="360" w:lineRule="auto"/>
        <w:ind w:firstLine="474" w:firstLineChars="226"/>
        <w:rPr>
          <w:rFonts w:ascii="Times New Roman" w:hAnsi="Times New Roman"/>
          <w:color w:val="auto"/>
          <w:szCs w:val="21"/>
        </w:rPr>
      </w:pPr>
      <w:r>
        <w:rPr>
          <w:rFonts w:hint="eastAsia" w:ascii="Times New Roman" w:hAnsi="Times New Roman"/>
          <w:color w:val="auto"/>
          <w:szCs w:val="21"/>
        </w:rPr>
        <w:t>八、勘察安全保证措施；</w:t>
      </w:r>
    </w:p>
    <w:p>
      <w:pPr>
        <w:spacing w:line="360" w:lineRule="auto"/>
        <w:ind w:firstLine="474" w:firstLineChars="226"/>
        <w:rPr>
          <w:rFonts w:ascii="Times New Roman" w:hAnsi="Times New Roman"/>
          <w:color w:val="auto"/>
          <w:szCs w:val="21"/>
        </w:rPr>
      </w:pPr>
      <w:r>
        <w:rPr>
          <w:rFonts w:hint="eastAsia" w:ascii="Times New Roman" w:hAnsi="Times New Roman"/>
          <w:color w:val="auto"/>
          <w:szCs w:val="21"/>
        </w:rPr>
        <w:t>九、勘察工作重点、难点分析；</w:t>
      </w:r>
    </w:p>
    <w:p>
      <w:pPr>
        <w:spacing w:line="360" w:lineRule="auto"/>
        <w:ind w:firstLine="474" w:firstLineChars="226"/>
        <w:rPr>
          <w:rFonts w:ascii="Times New Roman" w:hAnsi="Times New Roman"/>
          <w:color w:val="auto"/>
        </w:rPr>
      </w:pPr>
      <w:r>
        <w:rPr>
          <w:rFonts w:hint="eastAsia" w:ascii="Times New Roman" w:hAnsi="Times New Roman"/>
          <w:color w:val="auto"/>
          <w:szCs w:val="21"/>
        </w:rPr>
        <w:t>十、对本工程勘察的合理化建议。</w:t>
      </w:r>
    </w:p>
    <w:p>
      <w:pPr>
        <w:rPr>
          <w:rFonts w:ascii="Times New Roman" w:hAnsi="Times New Roman"/>
          <w:color w:val="auto"/>
        </w:rPr>
      </w:pPr>
    </w:p>
    <w:p>
      <w:pPr>
        <w:pStyle w:val="5"/>
        <w:spacing w:line="400" w:lineRule="exact"/>
        <w:jc w:val="center"/>
        <w:rPr>
          <w:rFonts w:ascii="Times New Roman" w:hAnsi="Times New Roman"/>
          <w:color w:val="auto"/>
        </w:rPr>
      </w:pPr>
      <w:r>
        <w:rPr>
          <w:rFonts w:ascii="Times New Roman" w:hAnsi="Times New Roman"/>
          <w:color w:val="auto"/>
        </w:rPr>
        <w:br w:type="page"/>
      </w:r>
    </w:p>
    <w:p>
      <w:pPr>
        <w:pStyle w:val="5"/>
        <w:spacing w:after="0"/>
        <w:jc w:val="center"/>
        <w:rPr>
          <w:rFonts w:ascii="Times New Roman" w:hAnsi="Times New Roman"/>
          <w:color w:val="auto"/>
        </w:rPr>
      </w:pPr>
      <w:bookmarkStart w:id="802" w:name="_Toc492300958"/>
      <w:r>
        <w:rPr>
          <w:rFonts w:hint="eastAsia" w:ascii="Times New Roman" w:hAnsi="Times New Roman"/>
          <w:color w:val="auto"/>
          <w:lang w:eastAsia="zh-CN"/>
        </w:rPr>
        <w:t>九</w:t>
      </w:r>
      <w:r>
        <w:rPr>
          <w:rFonts w:ascii="Times New Roman" w:hAnsi="Times New Roman"/>
          <w:color w:val="auto"/>
        </w:rPr>
        <w:t>、其他资料</w:t>
      </w:r>
      <w:bookmarkEnd w:id="802"/>
    </w:p>
    <w:p>
      <w:pPr>
        <w:rPr>
          <w:rFonts w:ascii="Times New Roman" w:hAnsi="Times New Roman"/>
          <w:color w:val="auto"/>
        </w:rPr>
      </w:pPr>
    </w:p>
    <w:p>
      <w:pPr>
        <w:rPr>
          <w:rFonts w:ascii="Times New Roman" w:hAnsi="Times New Roman"/>
          <w:color w:val="auto"/>
        </w:rPr>
      </w:pPr>
    </w:p>
    <w:p>
      <w:pPr>
        <w:rPr>
          <w:rFonts w:ascii="Times New Roman" w:hAnsi="Times New Roman"/>
          <w:color w:val="auto"/>
        </w:rPr>
      </w:pPr>
    </w:p>
    <w:p>
      <w:pPr>
        <w:rPr>
          <w:rFonts w:ascii="Times New Roman" w:hAnsi="Times New Roman"/>
          <w:color w:val="auto"/>
        </w:rPr>
      </w:pPr>
    </w:p>
    <w:p>
      <w:pPr>
        <w:rPr>
          <w:rFonts w:ascii="Times New Roman" w:hAnsi="Times New Roman"/>
          <w:color w:val="auto"/>
        </w:rPr>
      </w:pPr>
    </w:p>
    <w:p>
      <w:pPr>
        <w:rPr>
          <w:rFonts w:ascii="Times New Roman" w:hAnsi="Times New Roman"/>
          <w:color w:val="auto"/>
        </w:rPr>
      </w:pPr>
    </w:p>
    <w:p>
      <w:pPr>
        <w:pStyle w:val="25"/>
        <w:rPr>
          <w:rFonts w:ascii="Times New Roman" w:hAnsi="Times New Roman"/>
          <w:color w:val="auto"/>
        </w:rPr>
      </w:pPr>
    </w:p>
    <w:p>
      <w:pPr>
        <w:rPr>
          <w:rFonts w:ascii="Times New Roman" w:hAnsi="Times New Roman"/>
          <w:color w:val="auto"/>
        </w:rPr>
      </w:pPr>
    </w:p>
    <w:p>
      <w:pPr>
        <w:pStyle w:val="25"/>
        <w:rPr>
          <w:rFonts w:ascii="Times New Roman" w:hAnsi="Times New Roman"/>
          <w:color w:val="auto"/>
        </w:rPr>
      </w:pPr>
    </w:p>
    <w:p>
      <w:pPr>
        <w:rPr>
          <w:rFonts w:ascii="Times New Roman" w:hAnsi="Times New Roman"/>
          <w:color w:val="auto"/>
        </w:rPr>
      </w:pPr>
    </w:p>
    <w:p>
      <w:pPr>
        <w:rPr>
          <w:rFonts w:ascii="Times New Roman" w:hAnsi="Times New Roman"/>
          <w:color w:val="auto"/>
        </w:rPr>
      </w:pPr>
    </w:p>
    <w:p>
      <w:pPr>
        <w:rPr>
          <w:rFonts w:ascii="Times New Roman" w:hAnsi="Times New Roman"/>
          <w:color w:val="auto"/>
        </w:rPr>
      </w:pPr>
    </w:p>
    <w:p>
      <w:pPr>
        <w:rPr>
          <w:rFonts w:ascii="Times New Roman" w:hAnsi="Times New Roman"/>
          <w:color w:val="auto"/>
        </w:rPr>
      </w:pPr>
    </w:p>
    <w:p>
      <w:pPr>
        <w:pStyle w:val="5"/>
        <w:spacing w:line="400" w:lineRule="exact"/>
        <w:jc w:val="both"/>
        <w:rPr>
          <w:color w:val="auto"/>
        </w:rPr>
      </w:pPr>
    </w:p>
    <w:sectPr>
      <w:headerReference r:id="rId3" w:type="default"/>
      <w:footerReference r:id="rId4" w:type="default"/>
      <w:type w:val="continuous"/>
      <w:pgSz w:w="12240" w:h="15840"/>
      <w:pgMar w:top="1440" w:right="780" w:bottom="1440" w:left="1800" w:header="720" w:footer="720" w:gutter="0"/>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Microsoft JhengHei">
    <w:panose1 w:val="020B0604030504040204"/>
    <w:charset w:val="88"/>
    <w:family w:val="swiss"/>
    <w:pitch w:val="default"/>
    <w:sig w:usb0="00000087" w:usb1="28AF4000" w:usb2="00000016" w:usb3="00000000" w:csb0="00100009"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fldChar w:fldCharType="begin"/>
    </w:r>
    <w:r>
      <w:instrText xml:space="preserve"> PAGE   \* MERGEFORMAT </w:instrText>
    </w:r>
    <w:r>
      <w:fldChar w:fldCharType="separate"/>
    </w:r>
    <w:r>
      <w:rPr>
        <w:lang w:val="zh-CN"/>
      </w:rPr>
      <w:t>1</w:t>
    </w:r>
    <w:r>
      <w:rPr>
        <w:lang w:val="zh-CN"/>
      </w:rPr>
      <w:fldChar w:fldCharType="end"/>
    </w:r>
  </w:p>
  <w:p>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single" w:color="auto" w:sz="4" w:space="1"/>
      </w:pBdr>
      <w:ind w:left="1802" w:hanging="1802" w:hangingChars="1000"/>
      <w:jc w:val="both"/>
      <w:rPr>
        <w:rFonts w:hint="eastAsia" w:ascii="华文新魏" w:eastAsia="华文新魏"/>
        <w:b/>
        <w:i/>
        <w:lang w:val="en-US" w:eastAsia="zh-CN"/>
      </w:rPr>
    </w:pPr>
    <w:r>
      <w:rPr>
        <w:rFonts w:hint="eastAsia" w:ascii="华文新魏" w:eastAsia="华文新魏"/>
        <w:b/>
        <w:i/>
      </w:rPr>
      <w:t>★</w:t>
    </w:r>
    <w:r>
      <w:rPr>
        <w:rFonts w:hint="eastAsia" w:ascii="华文新魏" w:eastAsia="华文新魏"/>
        <w:b/>
        <w:i/>
        <w:lang w:val="en-US" w:eastAsia="zh-CN"/>
      </w:rPr>
      <w:t>许昌市城乡一体化示范区永昌佳苑（庞庄棚户区改造）地勘工程项目</w:t>
    </w:r>
  </w:p>
  <w:p>
    <w:pPr>
      <w:pStyle w:val="26"/>
      <w:pBdr>
        <w:bottom w:val="single" w:color="auto" w:sz="4" w:space="1"/>
      </w:pBdr>
      <w:ind w:left="1802" w:hanging="1802" w:hangingChars="1000"/>
      <w:jc w:val="both"/>
    </w:pPr>
    <w:r>
      <w:rPr>
        <w:rFonts w:hint="eastAsia" w:ascii="华文新魏" w:eastAsia="华文新魏"/>
        <w:b/>
        <w:i/>
      </w:rPr>
      <w:t xml:space="preserve">                       </w:t>
    </w:r>
    <w:r>
      <w:rPr>
        <w:rFonts w:hint="eastAsia" w:ascii="华文新魏" w:eastAsia="华文新魏"/>
        <w:b/>
        <w:i/>
        <w:lang w:val="en-US" w:eastAsia="zh-CN"/>
      </w:rPr>
      <w:t xml:space="preserve">                       </w:t>
    </w:r>
    <w:r>
      <w:rPr>
        <w:rFonts w:hint="eastAsia" w:ascii="华文新魏" w:eastAsia="华文新魏"/>
        <w:b/>
        <w:i/>
      </w:rPr>
      <w:t xml:space="preserve">  </w:t>
    </w:r>
    <w:r>
      <w:rPr>
        <w:rFonts w:hint="eastAsia" w:ascii="华文新魏" w:eastAsia="华文新魏"/>
        <w:b/>
        <w:i/>
        <w:lang w:val="en-US" w:eastAsia="zh-CN"/>
      </w:rPr>
      <w:t xml:space="preserve">                  </w:t>
    </w:r>
    <w:r>
      <w:rPr>
        <w:rFonts w:hint="eastAsia" w:ascii="华文新魏" w:eastAsia="华文新魏"/>
        <w:b/>
        <w:i/>
        <w:lang w:eastAsia="zh-CN"/>
      </w:rPr>
      <w:t>勘察</w:t>
    </w:r>
    <w:r>
      <w:rPr>
        <w:rFonts w:hint="eastAsia" w:ascii="华文新魏" w:eastAsia="华文新魏"/>
        <w:b/>
        <w:i/>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1609F7"/>
    <w:multiLevelType w:val="singleLevel"/>
    <w:tmpl w:val="261609F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A60"/>
    <w:rsid w:val="00004603"/>
    <w:rsid w:val="00007319"/>
    <w:rsid w:val="000106AE"/>
    <w:rsid w:val="000109BA"/>
    <w:rsid w:val="00012703"/>
    <w:rsid w:val="0001485E"/>
    <w:rsid w:val="00020140"/>
    <w:rsid w:val="00021BFE"/>
    <w:rsid w:val="000250D6"/>
    <w:rsid w:val="00025ACC"/>
    <w:rsid w:val="00026171"/>
    <w:rsid w:val="00026AA0"/>
    <w:rsid w:val="000315B2"/>
    <w:rsid w:val="00032762"/>
    <w:rsid w:val="000351AE"/>
    <w:rsid w:val="00043778"/>
    <w:rsid w:val="00062AC6"/>
    <w:rsid w:val="00065A9E"/>
    <w:rsid w:val="000668F1"/>
    <w:rsid w:val="00067035"/>
    <w:rsid w:val="0007298C"/>
    <w:rsid w:val="00072BE3"/>
    <w:rsid w:val="0008132B"/>
    <w:rsid w:val="00081360"/>
    <w:rsid w:val="0008253E"/>
    <w:rsid w:val="0008737B"/>
    <w:rsid w:val="00087558"/>
    <w:rsid w:val="0009240C"/>
    <w:rsid w:val="000943B0"/>
    <w:rsid w:val="00094C66"/>
    <w:rsid w:val="000A287B"/>
    <w:rsid w:val="000A5C81"/>
    <w:rsid w:val="000A76B3"/>
    <w:rsid w:val="000B2B51"/>
    <w:rsid w:val="000B65E2"/>
    <w:rsid w:val="000B676B"/>
    <w:rsid w:val="000C0018"/>
    <w:rsid w:val="000C1A9B"/>
    <w:rsid w:val="000C2AB5"/>
    <w:rsid w:val="000C4710"/>
    <w:rsid w:val="000D204D"/>
    <w:rsid w:val="000D4336"/>
    <w:rsid w:val="000D49B4"/>
    <w:rsid w:val="000E08CB"/>
    <w:rsid w:val="000E5673"/>
    <w:rsid w:val="000E7006"/>
    <w:rsid w:val="000E7256"/>
    <w:rsid w:val="000F2186"/>
    <w:rsid w:val="000F2A12"/>
    <w:rsid w:val="000F2ECC"/>
    <w:rsid w:val="000F3520"/>
    <w:rsid w:val="001011FC"/>
    <w:rsid w:val="00102618"/>
    <w:rsid w:val="00102F0B"/>
    <w:rsid w:val="00105423"/>
    <w:rsid w:val="00107E51"/>
    <w:rsid w:val="001119B6"/>
    <w:rsid w:val="00111D4F"/>
    <w:rsid w:val="00115124"/>
    <w:rsid w:val="00117F0F"/>
    <w:rsid w:val="00130BA5"/>
    <w:rsid w:val="0014098E"/>
    <w:rsid w:val="001530C6"/>
    <w:rsid w:val="00164211"/>
    <w:rsid w:val="00170389"/>
    <w:rsid w:val="00172A27"/>
    <w:rsid w:val="001735B4"/>
    <w:rsid w:val="001748A3"/>
    <w:rsid w:val="00182B11"/>
    <w:rsid w:val="00183B4A"/>
    <w:rsid w:val="00186361"/>
    <w:rsid w:val="00193C1D"/>
    <w:rsid w:val="001A093D"/>
    <w:rsid w:val="001A0CCF"/>
    <w:rsid w:val="001A2E05"/>
    <w:rsid w:val="001A4491"/>
    <w:rsid w:val="001A4684"/>
    <w:rsid w:val="001B1289"/>
    <w:rsid w:val="001B5478"/>
    <w:rsid w:val="001B688F"/>
    <w:rsid w:val="001B7FEF"/>
    <w:rsid w:val="001C30C7"/>
    <w:rsid w:val="001E1433"/>
    <w:rsid w:val="001E3035"/>
    <w:rsid w:val="001F2208"/>
    <w:rsid w:val="001F285E"/>
    <w:rsid w:val="001F4134"/>
    <w:rsid w:val="001F45EE"/>
    <w:rsid w:val="001F4850"/>
    <w:rsid w:val="001F7889"/>
    <w:rsid w:val="00204A5C"/>
    <w:rsid w:val="00207A0B"/>
    <w:rsid w:val="002103C1"/>
    <w:rsid w:val="00212A53"/>
    <w:rsid w:val="0021322F"/>
    <w:rsid w:val="00213B90"/>
    <w:rsid w:val="00215AF0"/>
    <w:rsid w:val="00216DB1"/>
    <w:rsid w:val="002229E2"/>
    <w:rsid w:val="0022434B"/>
    <w:rsid w:val="00230CFA"/>
    <w:rsid w:val="0023423F"/>
    <w:rsid w:val="00235F63"/>
    <w:rsid w:val="00237B0E"/>
    <w:rsid w:val="002430C2"/>
    <w:rsid w:val="002460C5"/>
    <w:rsid w:val="00250CB7"/>
    <w:rsid w:val="00251A49"/>
    <w:rsid w:val="002521B3"/>
    <w:rsid w:val="0025316D"/>
    <w:rsid w:val="0025460A"/>
    <w:rsid w:val="00255D0D"/>
    <w:rsid w:val="00260C77"/>
    <w:rsid w:val="00261352"/>
    <w:rsid w:val="00263F0B"/>
    <w:rsid w:val="00264EB1"/>
    <w:rsid w:val="00276C71"/>
    <w:rsid w:val="00281526"/>
    <w:rsid w:val="00285406"/>
    <w:rsid w:val="0029714F"/>
    <w:rsid w:val="002A552C"/>
    <w:rsid w:val="002A65ED"/>
    <w:rsid w:val="002C0C29"/>
    <w:rsid w:val="002C31DD"/>
    <w:rsid w:val="002C3CD8"/>
    <w:rsid w:val="002C65CA"/>
    <w:rsid w:val="002C7B9B"/>
    <w:rsid w:val="002D2B90"/>
    <w:rsid w:val="002D6F32"/>
    <w:rsid w:val="002D7B78"/>
    <w:rsid w:val="002E1DAC"/>
    <w:rsid w:val="002E6D05"/>
    <w:rsid w:val="002F0FD3"/>
    <w:rsid w:val="002F2CBD"/>
    <w:rsid w:val="002F72A0"/>
    <w:rsid w:val="00311324"/>
    <w:rsid w:val="003122C4"/>
    <w:rsid w:val="0032031D"/>
    <w:rsid w:val="003214BA"/>
    <w:rsid w:val="00321647"/>
    <w:rsid w:val="00321989"/>
    <w:rsid w:val="003243EC"/>
    <w:rsid w:val="003247CD"/>
    <w:rsid w:val="003362AD"/>
    <w:rsid w:val="00342688"/>
    <w:rsid w:val="0034440E"/>
    <w:rsid w:val="00347899"/>
    <w:rsid w:val="003518D6"/>
    <w:rsid w:val="00351C98"/>
    <w:rsid w:val="00354B7A"/>
    <w:rsid w:val="00363966"/>
    <w:rsid w:val="00370FFD"/>
    <w:rsid w:val="00373BD0"/>
    <w:rsid w:val="003741B0"/>
    <w:rsid w:val="00375481"/>
    <w:rsid w:val="0038240C"/>
    <w:rsid w:val="0038359A"/>
    <w:rsid w:val="00386AA0"/>
    <w:rsid w:val="00387996"/>
    <w:rsid w:val="00391F03"/>
    <w:rsid w:val="0039407B"/>
    <w:rsid w:val="003A2368"/>
    <w:rsid w:val="003A593E"/>
    <w:rsid w:val="003A6775"/>
    <w:rsid w:val="003B1B15"/>
    <w:rsid w:val="003C0D7D"/>
    <w:rsid w:val="003C4858"/>
    <w:rsid w:val="003C5BB3"/>
    <w:rsid w:val="003D1170"/>
    <w:rsid w:val="003D1B8E"/>
    <w:rsid w:val="003D2D72"/>
    <w:rsid w:val="003D30BC"/>
    <w:rsid w:val="003D36EE"/>
    <w:rsid w:val="003D6E0A"/>
    <w:rsid w:val="003F1938"/>
    <w:rsid w:val="003F3518"/>
    <w:rsid w:val="003F504F"/>
    <w:rsid w:val="003F5B69"/>
    <w:rsid w:val="004009FA"/>
    <w:rsid w:val="004105EF"/>
    <w:rsid w:val="00415A1A"/>
    <w:rsid w:val="0042326A"/>
    <w:rsid w:val="00423F96"/>
    <w:rsid w:val="00431F4F"/>
    <w:rsid w:val="0043351E"/>
    <w:rsid w:val="00433676"/>
    <w:rsid w:val="00436504"/>
    <w:rsid w:val="00436C93"/>
    <w:rsid w:val="00437C7D"/>
    <w:rsid w:val="004405C7"/>
    <w:rsid w:val="00441D39"/>
    <w:rsid w:val="00442AF8"/>
    <w:rsid w:val="0044514A"/>
    <w:rsid w:val="00447E59"/>
    <w:rsid w:val="00457DC2"/>
    <w:rsid w:val="00466339"/>
    <w:rsid w:val="004733D3"/>
    <w:rsid w:val="00487315"/>
    <w:rsid w:val="00494530"/>
    <w:rsid w:val="00494624"/>
    <w:rsid w:val="00495001"/>
    <w:rsid w:val="004A112E"/>
    <w:rsid w:val="004A4DCE"/>
    <w:rsid w:val="004A63B8"/>
    <w:rsid w:val="004A76F2"/>
    <w:rsid w:val="004B4C84"/>
    <w:rsid w:val="004B51C9"/>
    <w:rsid w:val="004B51E3"/>
    <w:rsid w:val="004B553D"/>
    <w:rsid w:val="004B6ED7"/>
    <w:rsid w:val="004C58E9"/>
    <w:rsid w:val="004D1209"/>
    <w:rsid w:val="004D2ABE"/>
    <w:rsid w:val="004D4247"/>
    <w:rsid w:val="004D7237"/>
    <w:rsid w:val="004D794D"/>
    <w:rsid w:val="004D7FCB"/>
    <w:rsid w:val="004E0C05"/>
    <w:rsid w:val="004E3473"/>
    <w:rsid w:val="004F0052"/>
    <w:rsid w:val="004F1425"/>
    <w:rsid w:val="004F2BD3"/>
    <w:rsid w:val="004F2DCE"/>
    <w:rsid w:val="004F3309"/>
    <w:rsid w:val="00501AEF"/>
    <w:rsid w:val="005034E3"/>
    <w:rsid w:val="00504116"/>
    <w:rsid w:val="00506A2D"/>
    <w:rsid w:val="0050739A"/>
    <w:rsid w:val="005100DC"/>
    <w:rsid w:val="00511660"/>
    <w:rsid w:val="00512A0D"/>
    <w:rsid w:val="00517CCE"/>
    <w:rsid w:val="005229A0"/>
    <w:rsid w:val="00522D50"/>
    <w:rsid w:val="00527D92"/>
    <w:rsid w:val="00531BAF"/>
    <w:rsid w:val="00534A8A"/>
    <w:rsid w:val="00537781"/>
    <w:rsid w:val="005405BA"/>
    <w:rsid w:val="005409DB"/>
    <w:rsid w:val="00542C62"/>
    <w:rsid w:val="00543F5F"/>
    <w:rsid w:val="005445A3"/>
    <w:rsid w:val="00545698"/>
    <w:rsid w:val="00546149"/>
    <w:rsid w:val="00555089"/>
    <w:rsid w:val="005565F1"/>
    <w:rsid w:val="00562259"/>
    <w:rsid w:val="005624CD"/>
    <w:rsid w:val="005655BD"/>
    <w:rsid w:val="00571C27"/>
    <w:rsid w:val="00573B46"/>
    <w:rsid w:val="00573C8F"/>
    <w:rsid w:val="005749D9"/>
    <w:rsid w:val="00576C5E"/>
    <w:rsid w:val="00577C17"/>
    <w:rsid w:val="00580957"/>
    <w:rsid w:val="005824FB"/>
    <w:rsid w:val="005827A7"/>
    <w:rsid w:val="00585B39"/>
    <w:rsid w:val="00586041"/>
    <w:rsid w:val="00586955"/>
    <w:rsid w:val="005955BA"/>
    <w:rsid w:val="005A0B59"/>
    <w:rsid w:val="005A245A"/>
    <w:rsid w:val="005A2C7B"/>
    <w:rsid w:val="005A328C"/>
    <w:rsid w:val="005B0F9A"/>
    <w:rsid w:val="005B1A42"/>
    <w:rsid w:val="005B367D"/>
    <w:rsid w:val="005B46BD"/>
    <w:rsid w:val="005B4DB1"/>
    <w:rsid w:val="005B6D33"/>
    <w:rsid w:val="005B6F6B"/>
    <w:rsid w:val="005C162E"/>
    <w:rsid w:val="005C1B19"/>
    <w:rsid w:val="005C2862"/>
    <w:rsid w:val="005C417A"/>
    <w:rsid w:val="005D22FC"/>
    <w:rsid w:val="005D3D41"/>
    <w:rsid w:val="005D3E60"/>
    <w:rsid w:val="005D736F"/>
    <w:rsid w:val="005E4F70"/>
    <w:rsid w:val="005E7CE8"/>
    <w:rsid w:val="005F162E"/>
    <w:rsid w:val="005F16C3"/>
    <w:rsid w:val="005F328B"/>
    <w:rsid w:val="005F74F3"/>
    <w:rsid w:val="00600043"/>
    <w:rsid w:val="0060161F"/>
    <w:rsid w:val="00605A28"/>
    <w:rsid w:val="00614DD5"/>
    <w:rsid w:val="00614E98"/>
    <w:rsid w:val="006151CA"/>
    <w:rsid w:val="0062295C"/>
    <w:rsid w:val="00623AD2"/>
    <w:rsid w:val="00632B51"/>
    <w:rsid w:val="00633021"/>
    <w:rsid w:val="00636962"/>
    <w:rsid w:val="00644C71"/>
    <w:rsid w:val="00645246"/>
    <w:rsid w:val="006462FA"/>
    <w:rsid w:val="006566A6"/>
    <w:rsid w:val="00660EBB"/>
    <w:rsid w:val="00661021"/>
    <w:rsid w:val="00663CC5"/>
    <w:rsid w:val="00664354"/>
    <w:rsid w:val="00670660"/>
    <w:rsid w:val="006713E0"/>
    <w:rsid w:val="00684D69"/>
    <w:rsid w:val="00686AF3"/>
    <w:rsid w:val="006873BC"/>
    <w:rsid w:val="006928F3"/>
    <w:rsid w:val="006952F5"/>
    <w:rsid w:val="006A350C"/>
    <w:rsid w:val="006A5596"/>
    <w:rsid w:val="006B4620"/>
    <w:rsid w:val="006B4ED2"/>
    <w:rsid w:val="006B6E3B"/>
    <w:rsid w:val="006C1B42"/>
    <w:rsid w:val="006C27FB"/>
    <w:rsid w:val="006C56C9"/>
    <w:rsid w:val="006D144F"/>
    <w:rsid w:val="006D567B"/>
    <w:rsid w:val="006D72C7"/>
    <w:rsid w:val="006E0B76"/>
    <w:rsid w:val="006E1CF0"/>
    <w:rsid w:val="006E2EB3"/>
    <w:rsid w:val="006E3EAB"/>
    <w:rsid w:val="006E521B"/>
    <w:rsid w:val="006E798E"/>
    <w:rsid w:val="006F30B4"/>
    <w:rsid w:val="006F3F8C"/>
    <w:rsid w:val="006F46C3"/>
    <w:rsid w:val="006F6E12"/>
    <w:rsid w:val="007009AA"/>
    <w:rsid w:val="00701A84"/>
    <w:rsid w:val="007026E3"/>
    <w:rsid w:val="007036C3"/>
    <w:rsid w:val="00705859"/>
    <w:rsid w:val="00706041"/>
    <w:rsid w:val="007123AF"/>
    <w:rsid w:val="00712A96"/>
    <w:rsid w:val="00721056"/>
    <w:rsid w:val="00723914"/>
    <w:rsid w:val="00723E55"/>
    <w:rsid w:val="00724B69"/>
    <w:rsid w:val="00725C94"/>
    <w:rsid w:val="00726A6C"/>
    <w:rsid w:val="00726B23"/>
    <w:rsid w:val="00726DB7"/>
    <w:rsid w:val="00727E29"/>
    <w:rsid w:val="00733083"/>
    <w:rsid w:val="00742B21"/>
    <w:rsid w:val="00744517"/>
    <w:rsid w:val="00750137"/>
    <w:rsid w:val="0075115C"/>
    <w:rsid w:val="0075210B"/>
    <w:rsid w:val="007525B7"/>
    <w:rsid w:val="00752BB4"/>
    <w:rsid w:val="00755157"/>
    <w:rsid w:val="0075605F"/>
    <w:rsid w:val="00762F64"/>
    <w:rsid w:val="00766147"/>
    <w:rsid w:val="00766DD4"/>
    <w:rsid w:val="00770518"/>
    <w:rsid w:val="007724D2"/>
    <w:rsid w:val="00772E30"/>
    <w:rsid w:val="007769FC"/>
    <w:rsid w:val="00780470"/>
    <w:rsid w:val="00790A94"/>
    <w:rsid w:val="007911B2"/>
    <w:rsid w:val="007939AE"/>
    <w:rsid w:val="00797ACE"/>
    <w:rsid w:val="007A08F7"/>
    <w:rsid w:val="007A1E5B"/>
    <w:rsid w:val="007A36C9"/>
    <w:rsid w:val="007A5188"/>
    <w:rsid w:val="007A6512"/>
    <w:rsid w:val="007A67FD"/>
    <w:rsid w:val="007B0DEE"/>
    <w:rsid w:val="007B329F"/>
    <w:rsid w:val="007B3D71"/>
    <w:rsid w:val="007B5213"/>
    <w:rsid w:val="007B70CB"/>
    <w:rsid w:val="007B7DDF"/>
    <w:rsid w:val="007C292F"/>
    <w:rsid w:val="007C5D44"/>
    <w:rsid w:val="007D07A2"/>
    <w:rsid w:val="007D0A0C"/>
    <w:rsid w:val="007D16DC"/>
    <w:rsid w:val="007D4C26"/>
    <w:rsid w:val="007D5CBB"/>
    <w:rsid w:val="007D6572"/>
    <w:rsid w:val="007E0563"/>
    <w:rsid w:val="007E078E"/>
    <w:rsid w:val="007E122C"/>
    <w:rsid w:val="007E6590"/>
    <w:rsid w:val="007E78FD"/>
    <w:rsid w:val="007F33A5"/>
    <w:rsid w:val="007F6A96"/>
    <w:rsid w:val="008016DA"/>
    <w:rsid w:val="00803D1B"/>
    <w:rsid w:val="00804854"/>
    <w:rsid w:val="00805D01"/>
    <w:rsid w:val="00814ACE"/>
    <w:rsid w:val="00822B05"/>
    <w:rsid w:val="00823971"/>
    <w:rsid w:val="00826534"/>
    <w:rsid w:val="00826C28"/>
    <w:rsid w:val="008326B6"/>
    <w:rsid w:val="008331F8"/>
    <w:rsid w:val="00833E5B"/>
    <w:rsid w:val="00842D0A"/>
    <w:rsid w:val="0084522A"/>
    <w:rsid w:val="0084602F"/>
    <w:rsid w:val="0084716F"/>
    <w:rsid w:val="00847755"/>
    <w:rsid w:val="00851FB3"/>
    <w:rsid w:val="0085267C"/>
    <w:rsid w:val="008567AE"/>
    <w:rsid w:val="008602E0"/>
    <w:rsid w:val="008625DD"/>
    <w:rsid w:val="008631FE"/>
    <w:rsid w:val="00865A18"/>
    <w:rsid w:val="00877B50"/>
    <w:rsid w:val="00880C4E"/>
    <w:rsid w:val="00884568"/>
    <w:rsid w:val="00886D39"/>
    <w:rsid w:val="00891482"/>
    <w:rsid w:val="008936E5"/>
    <w:rsid w:val="008946EA"/>
    <w:rsid w:val="008A0C4A"/>
    <w:rsid w:val="008A3781"/>
    <w:rsid w:val="008A4F8A"/>
    <w:rsid w:val="008A6265"/>
    <w:rsid w:val="008B4958"/>
    <w:rsid w:val="008C4D93"/>
    <w:rsid w:val="008C5DE5"/>
    <w:rsid w:val="008D0EA5"/>
    <w:rsid w:val="008D1879"/>
    <w:rsid w:val="008D2B4F"/>
    <w:rsid w:val="008E0C18"/>
    <w:rsid w:val="008E236A"/>
    <w:rsid w:val="008F2DB6"/>
    <w:rsid w:val="008F601C"/>
    <w:rsid w:val="008F6AF6"/>
    <w:rsid w:val="008F78BF"/>
    <w:rsid w:val="0090152F"/>
    <w:rsid w:val="00905AE6"/>
    <w:rsid w:val="009102B1"/>
    <w:rsid w:val="009117AF"/>
    <w:rsid w:val="00913DA9"/>
    <w:rsid w:val="00915BD0"/>
    <w:rsid w:val="009165B6"/>
    <w:rsid w:val="0091764F"/>
    <w:rsid w:val="00920D0D"/>
    <w:rsid w:val="0092112D"/>
    <w:rsid w:val="00922D1D"/>
    <w:rsid w:val="0092507A"/>
    <w:rsid w:val="0092577B"/>
    <w:rsid w:val="00926831"/>
    <w:rsid w:val="00931126"/>
    <w:rsid w:val="00937163"/>
    <w:rsid w:val="00942FF5"/>
    <w:rsid w:val="00943B39"/>
    <w:rsid w:val="00943F58"/>
    <w:rsid w:val="0094443B"/>
    <w:rsid w:val="0094469F"/>
    <w:rsid w:val="0094784E"/>
    <w:rsid w:val="0094793B"/>
    <w:rsid w:val="00953D09"/>
    <w:rsid w:val="00956336"/>
    <w:rsid w:val="00956DCC"/>
    <w:rsid w:val="0096197F"/>
    <w:rsid w:val="00964882"/>
    <w:rsid w:val="009678EF"/>
    <w:rsid w:val="0097011E"/>
    <w:rsid w:val="00972737"/>
    <w:rsid w:val="009727B4"/>
    <w:rsid w:val="00972D10"/>
    <w:rsid w:val="00976894"/>
    <w:rsid w:val="0098095B"/>
    <w:rsid w:val="00981293"/>
    <w:rsid w:val="009816BB"/>
    <w:rsid w:val="00984168"/>
    <w:rsid w:val="0098473F"/>
    <w:rsid w:val="0098548A"/>
    <w:rsid w:val="009857A5"/>
    <w:rsid w:val="00987946"/>
    <w:rsid w:val="009914DB"/>
    <w:rsid w:val="00993DD3"/>
    <w:rsid w:val="0099765D"/>
    <w:rsid w:val="009A21F7"/>
    <w:rsid w:val="009A32F4"/>
    <w:rsid w:val="009A3BA2"/>
    <w:rsid w:val="009A6828"/>
    <w:rsid w:val="009B115E"/>
    <w:rsid w:val="009B54E6"/>
    <w:rsid w:val="009C42F0"/>
    <w:rsid w:val="009C5D2B"/>
    <w:rsid w:val="009D0A6C"/>
    <w:rsid w:val="009E280D"/>
    <w:rsid w:val="009E2B97"/>
    <w:rsid w:val="009E77CE"/>
    <w:rsid w:val="009F1AC6"/>
    <w:rsid w:val="009F3D52"/>
    <w:rsid w:val="009F46DE"/>
    <w:rsid w:val="009F7053"/>
    <w:rsid w:val="00A00218"/>
    <w:rsid w:val="00A01035"/>
    <w:rsid w:val="00A01041"/>
    <w:rsid w:val="00A013E6"/>
    <w:rsid w:val="00A059CF"/>
    <w:rsid w:val="00A1079F"/>
    <w:rsid w:val="00A11BDA"/>
    <w:rsid w:val="00A125A0"/>
    <w:rsid w:val="00A136B7"/>
    <w:rsid w:val="00A13F01"/>
    <w:rsid w:val="00A14161"/>
    <w:rsid w:val="00A161A9"/>
    <w:rsid w:val="00A20C87"/>
    <w:rsid w:val="00A214E6"/>
    <w:rsid w:val="00A236AA"/>
    <w:rsid w:val="00A239C4"/>
    <w:rsid w:val="00A24AE5"/>
    <w:rsid w:val="00A27544"/>
    <w:rsid w:val="00A27AD2"/>
    <w:rsid w:val="00A31FBE"/>
    <w:rsid w:val="00A35C1C"/>
    <w:rsid w:val="00A40975"/>
    <w:rsid w:val="00A443E0"/>
    <w:rsid w:val="00A5054E"/>
    <w:rsid w:val="00A51D94"/>
    <w:rsid w:val="00A549E2"/>
    <w:rsid w:val="00A63A79"/>
    <w:rsid w:val="00A6464F"/>
    <w:rsid w:val="00A64CFB"/>
    <w:rsid w:val="00A660F9"/>
    <w:rsid w:val="00A7108D"/>
    <w:rsid w:val="00A71821"/>
    <w:rsid w:val="00A71884"/>
    <w:rsid w:val="00A74B5E"/>
    <w:rsid w:val="00A75A0E"/>
    <w:rsid w:val="00A75AAB"/>
    <w:rsid w:val="00A77C2A"/>
    <w:rsid w:val="00A8150A"/>
    <w:rsid w:val="00A8366F"/>
    <w:rsid w:val="00A8379A"/>
    <w:rsid w:val="00A83DE4"/>
    <w:rsid w:val="00A86BC1"/>
    <w:rsid w:val="00A909F4"/>
    <w:rsid w:val="00A90FFC"/>
    <w:rsid w:val="00A93CEE"/>
    <w:rsid w:val="00A95DBF"/>
    <w:rsid w:val="00A97ECB"/>
    <w:rsid w:val="00AA77E6"/>
    <w:rsid w:val="00AB22FD"/>
    <w:rsid w:val="00AB249C"/>
    <w:rsid w:val="00AB3141"/>
    <w:rsid w:val="00AB5EF7"/>
    <w:rsid w:val="00AB609D"/>
    <w:rsid w:val="00AB65AB"/>
    <w:rsid w:val="00AB66B8"/>
    <w:rsid w:val="00AB6EDE"/>
    <w:rsid w:val="00AC12CA"/>
    <w:rsid w:val="00AC2268"/>
    <w:rsid w:val="00AC6253"/>
    <w:rsid w:val="00AD75D8"/>
    <w:rsid w:val="00AD7CAC"/>
    <w:rsid w:val="00AD7DE4"/>
    <w:rsid w:val="00AE0A9B"/>
    <w:rsid w:val="00AE3D01"/>
    <w:rsid w:val="00AE4FC4"/>
    <w:rsid w:val="00AE5260"/>
    <w:rsid w:val="00AE5CF7"/>
    <w:rsid w:val="00AE67B6"/>
    <w:rsid w:val="00AF08A4"/>
    <w:rsid w:val="00AF0D29"/>
    <w:rsid w:val="00AF3442"/>
    <w:rsid w:val="00AF49A0"/>
    <w:rsid w:val="00AF5D13"/>
    <w:rsid w:val="00AF702F"/>
    <w:rsid w:val="00AF7CFA"/>
    <w:rsid w:val="00B05EB7"/>
    <w:rsid w:val="00B0641E"/>
    <w:rsid w:val="00B06DD5"/>
    <w:rsid w:val="00B17226"/>
    <w:rsid w:val="00B1739F"/>
    <w:rsid w:val="00B20435"/>
    <w:rsid w:val="00B2193F"/>
    <w:rsid w:val="00B22D70"/>
    <w:rsid w:val="00B24609"/>
    <w:rsid w:val="00B34169"/>
    <w:rsid w:val="00B40AC5"/>
    <w:rsid w:val="00B40DB4"/>
    <w:rsid w:val="00B43529"/>
    <w:rsid w:val="00B45828"/>
    <w:rsid w:val="00B51807"/>
    <w:rsid w:val="00B51D11"/>
    <w:rsid w:val="00B52304"/>
    <w:rsid w:val="00B568D1"/>
    <w:rsid w:val="00B56F9E"/>
    <w:rsid w:val="00B57165"/>
    <w:rsid w:val="00B6040F"/>
    <w:rsid w:val="00B60D18"/>
    <w:rsid w:val="00B70AB4"/>
    <w:rsid w:val="00B82CF7"/>
    <w:rsid w:val="00B82E6C"/>
    <w:rsid w:val="00B83E5B"/>
    <w:rsid w:val="00B840FF"/>
    <w:rsid w:val="00B84A8B"/>
    <w:rsid w:val="00B850F5"/>
    <w:rsid w:val="00B868A4"/>
    <w:rsid w:val="00B8792A"/>
    <w:rsid w:val="00B87E24"/>
    <w:rsid w:val="00B923D8"/>
    <w:rsid w:val="00B924CB"/>
    <w:rsid w:val="00B969B7"/>
    <w:rsid w:val="00BA1742"/>
    <w:rsid w:val="00BA4A15"/>
    <w:rsid w:val="00BA6A1E"/>
    <w:rsid w:val="00BA779B"/>
    <w:rsid w:val="00BA78C7"/>
    <w:rsid w:val="00BB14E3"/>
    <w:rsid w:val="00BB1BAE"/>
    <w:rsid w:val="00BB6955"/>
    <w:rsid w:val="00BC0F2F"/>
    <w:rsid w:val="00BC31D7"/>
    <w:rsid w:val="00BC3D20"/>
    <w:rsid w:val="00BC5091"/>
    <w:rsid w:val="00BC7BDB"/>
    <w:rsid w:val="00BD0888"/>
    <w:rsid w:val="00BD16CC"/>
    <w:rsid w:val="00BD2382"/>
    <w:rsid w:val="00BD38A7"/>
    <w:rsid w:val="00BD4CB1"/>
    <w:rsid w:val="00BD5685"/>
    <w:rsid w:val="00BD58EC"/>
    <w:rsid w:val="00BD6AE4"/>
    <w:rsid w:val="00BD6C5E"/>
    <w:rsid w:val="00BD7122"/>
    <w:rsid w:val="00BE11E1"/>
    <w:rsid w:val="00BE1F7A"/>
    <w:rsid w:val="00BE2FB8"/>
    <w:rsid w:val="00BE52C6"/>
    <w:rsid w:val="00BF1EA6"/>
    <w:rsid w:val="00BF1F32"/>
    <w:rsid w:val="00BF2871"/>
    <w:rsid w:val="00BF4EBD"/>
    <w:rsid w:val="00BF7CA8"/>
    <w:rsid w:val="00C000E6"/>
    <w:rsid w:val="00C05B25"/>
    <w:rsid w:val="00C10A53"/>
    <w:rsid w:val="00C11B1A"/>
    <w:rsid w:val="00C136A3"/>
    <w:rsid w:val="00C1558A"/>
    <w:rsid w:val="00C16E65"/>
    <w:rsid w:val="00C318D6"/>
    <w:rsid w:val="00C33549"/>
    <w:rsid w:val="00C409F2"/>
    <w:rsid w:val="00C40EFF"/>
    <w:rsid w:val="00C42012"/>
    <w:rsid w:val="00C426BD"/>
    <w:rsid w:val="00C473A5"/>
    <w:rsid w:val="00C50F27"/>
    <w:rsid w:val="00C561A1"/>
    <w:rsid w:val="00C57185"/>
    <w:rsid w:val="00C60374"/>
    <w:rsid w:val="00C65F10"/>
    <w:rsid w:val="00C74CE6"/>
    <w:rsid w:val="00C750F1"/>
    <w:rsid w:val="00C75D0D"/>
    <w:rsid w:val="00C77D07"/>
    <w:rsid w:val="00C8014F"/>
    <w:rsid w:val="00C8459E"/>
    <w:rsid w:val="00C91F2A"/>
    <w:rsid w:val="00C9312C"/>
    <w:rsid w:val="00C97B27"/>
    <w:rsid w:val="00CA039A"/>
    <w:rsid w:val="00CA54D2"/>
    <w:rsid w:val="00CB2000"/>
    <w:rsid w:val="00CB48A6"/>
    <w:rsid w:val="00CB621C"/>
    <w:rsid w:val="00CB684E"/>
    <w:rsid w:val="00CC02F2"/>
    <w:rsid w:val="00CC0597"/>
    <w:rsid w:val="00CC69FA"/>
    <w:rsid w:val="00CC6B34"/>
    <w:rsid w:val="00CD09B4"/>
    <w:rsid w:val="00CD6EE8"/>
    <w:rsid w:val="00CD737F"/>
    <w:rsid w:val="00CD7773"/>
    <w:rsid w:val="00CE55EB"/>
    <w:rsid w:val="00CE691B"/>
    <w:rsid w:val="00CE78B9"/>
    <w:rsid w:val="00CF1A27"/>
    <w:rsid w:val="00CF48A1"/>
    <w:rsid w:val="00CF5CD9"/>
    <w:rsid w:val="00CF67F1"/>
    <w:rsid w:val="00D011B8"/>
    <w:rsid w:val="00D019DB"/>
    <w:rsid w:val="00D01E73"/>
    <w:rsid w:val="00D0314D"/>
    <w:rsid w:val="00D05F0E"/>
    <w:rsid w:val="00D1028B"/>
    <w:rsid w:val="00D13DA8"/>
    <w:rsid w:val="00D14BFE"/>
    <w:rsid w:val="00D14EBF"/>
    <w:rsid w:val="00D17DD0"/>
    <w:rsid w:val="00D17F26"/>
    <w:rsid w:val="00D2665C"/>
    <w:rsid w:val="00D311D6"/>
    <w:rsid w:val="00D31A22"/>
    <w:rsid w:val="00D32CD6"/>
    <w:rsid w:val="00D355AF"/>
    <w:rsid w:val="00D4185E"/>
    <w:rsid w:val="00D424F4"/>
    <w:rsid w:val="00D5118D"/>
    <w:rsid w:val="00D57F85"/>
    <w:rsid w:val="00D61E00"/>
    <w:rsid w:val="00D63B31"/>
    <w:rsid w:val="00D67157"/>
    <w:rsid w:val="00D70579"/>
    <w:rsid w:val="00D70B9C"/>
    <w:rsid w:val="00D71AF2"/>
    <w:rsid w:val="00D73671"/>
    <w:rsid w:val="00D74914"/>
    <w:rsid w:val="00D7651E"/>
    <w:rsid w:val="00D765FC"/>
    <w:rsid w:val="00D772A5"/>
    <w:rsid w:val="00D80CDC"/>
    <w:rsid w:val="00D8264B"/>
    <w:rsid w:val="00D8511D"/>
    <w:rsid w:val="00D879E6"/>
    <w:rsid w:val="00D9028D"/>
    <w:rsid w:val="00D90E2B"/>
    <w:rsid w:val="00D91F21"/>
    <w:rsid w:val="00D935CD"/>
    <w:rsid w:val="00D94273"/>
    <w:rsid w:val="00D944A0"/>
    <w:rsid w:val="00D946E9"/>
    <w:rsid w:val="00DA0BED"/>
    <w:rsid w:val="00DA47F3"/>
    <w:rsid w:val="00DA64C8"/>
    <w:rsid w:val="00DA718A"/>
    <w:rsid w:val="00DA7EB6"/>
    <w:rsid w:val="00DB2502"/>
    <w:rsid w:val="00DB3E0B"/>
    <w:rsid w:val="00DB45CC"/>
    <w:rsid w:val="00DB7E41"/>
    <w:rsid w:val="00DC0195"/>
    <w:rsid w:val="00DC1BF6"/>
    <w:rsid w:val="00DC3A4D"/>
    <w:rsid w:val="00DC4FA6"/>
    <w:rsid w:val="00DC500F"/>
    <w:rsid w:val="00DC6B3E"/>
    <w:rsid w:val="00DC76AE"/>
    <w:rsid w:val="00DD230C"/>
    <w:rsid w:val="00DD2358"/>
    <w:rsid w:val="00DE0C34"/>
    <w:rsid w:val="00DE2DF3"/>
    <w:rsid w:val="00DE3B31"/>
    <w:rsid w:val="00DE7014"/>
    <w:rsid w:val="00E00B48"/>
    <w:rsid w:val="00E030EE"/>
    <w:rsid w:val="00E0723B"/>
    <w:rsid w:val="00E108C3"/>
    <w:rsid w:val="00E11F03"/>
    <w:rsid w:val="00E120B9"/>
    <w:rsid w:val="00E13758"/>
    <w:rsid w:val="00E148F3"/>
    <w:rsid w:val="00E151DA"/>
    <w:rsid w:val="00E15382"/>
    <w:rsid w:val="00E20944"/>
    <w:rsid w:val="00E238A2"/>
    <w:rsid w:val="00E308F0"/>
    <w:rsid w:val="00E3243B"/>
    <w:rsid w:val="00E335D8"/>
    <w:rsid w:val="00E33707"/>
    <w:rsid w:val="00E34005"/>
    <w:rsid w:val="00E413AB"/>
    <w:rsid w:val="00E43274"/>
    <w:rsid w:val="00E4665E"/>
    <w:rsid w:val="00E53F38"/>
    <w:rsid w:val="00E552EB"/>
    <w:rsid w:val="00E64E71"/>
    <w:rsid w:val="00E73E35"/>
    <w:rsid w:val="00E740D3"/>
    <w:rsid w:val="00E807BA"/>
    <w:rsid w:val="00E80F7E"/>
    <w:rsid w:val="00E8164C"/>
    <w:rsid w:val="00E82B5F"/>
    <w:rsid w:val="00E90D94"/>
    <w:rsid w:val="00E94541"/>
    <w:rsid w:val="00E95194"/>
    <w:rsid w:val="00E96F65"/>
    <w:rsid w:val="00EA0C28"/>
    <w:rsid w:val="00EA5BBB"/>
    <w:rsid w:val="00EA6EBD"/>
    <w:rsid w:val="00EB10A7"/>
    <w:rsid w:val="00EB2328"/>
    <w:rsid w:val="00EB48A2"/>
    <w:rsid w:val="00EB6DE7"/>
    <w:rsid w:val="00EB6F63"/>
    <w:rsid w:val="00EB71F5"/>
    <w:rsid w:val="00EC1E5C"/>
    <w:rsid w:val="00EC6890"/>
    <w:rsid w:val="00EC72A4"/>
    <w:rsid w:val="00ED694A"/>
    <w:rsid w:val="00ED76D9"/>
    <w:rsid w:val="00EE4722"/>
    <w:rsid w:val="00EE5655"/>
    <w:rsid w:val="00F060A4"/>
    <w:rsid w:val="00F06124"/>
    <w:rsid w:val="00F07523"/>
    <w:rsid w:val="00F10A93"/>
    <w:rsid w:val="00F1326E"/>
    <w:rsid w:val="00F155B4"/>
    <w:rsid w:val="00F15D39"/>
    <w:rsid w:val="00F16B10"/>
    <w:rsid w:val="00F231AB"/>
    <w:rsid w:val="00F24BB1"/>
    <w:rsid w:val="00F27459"/>
    <w:rsid w:val="00F30325"/>
    <w:rsid w:val="00F304EE"/>
    <w:rsid w:val="00F31887"/>
    <w:rsid w:val="00F34D7E"/>
    <w:rsid w:val="00F35671"/>
    <w:rsid w:val="00F400C4"/>
    <w:rsid w:val="00F405D8"/>
    <w:rsid w:val="00F41E90"/>
    <w:rsid w:val="00F4710F"/>
    <w:rsid w:val="00F53A81"/>
    <w:rsid w:val="00F54159"/>
    <w:rsid w:val="00F57D8D"/>
    <w:rsid w:val="00F60E88"/>
    <w:rsid w:val="00F725CC"/>
    <w:rsid w:val="00F73B29"/>
    <w:rsid w:val="00F757F6"/>
    <w:rsid w:val="00F77B43"/>
    <w:rsid w:val="00F823B7"/>
    <w:rsid w:val="00F82B69"/>
    <w:rsid w:val="00F86321"/>
    <w:rsid w:val="00F91188"/>
    <w:rsid w:val="00F9546C"/>
    <w:rsid w:val="00F96CF9"/>
    <w:rsid w:val="00F974A1"/>
    <w:rsid w:val="00F97B72"/>
    <w:rsid w:val="00FA10A8"/>
    <w:rsid w:val="00FA1427"/>
    <w:rsid w:val="00FA45BA"/>
    <w:rsid w:val="00FA5296"/>
    <w:rsid w:val="00FB0B5A"/>
    <w:rsid w:val="00FB1F93"/>
    <w:rsid w:val="00FB48DF"/>
    <w:rsid w:val="00FB5972"/>
    <w:rsid w:val="00FB632F"/>
    <w:rsid w:val="00FC3BAF"/>
    <w:rsid w:val="00FC5824"/>
    <w:rsid w:val="00FC5AFE"/>
    <w:rsid w:val="00FC5D22"/>
    <w:rsid w:val="00FD01BA"/>
    <w:rsid w:val="00FD0CA5"/>
    <w:rsid w:val="00FD4012"/>
    <w:rsid w:val="00FD6942"/>
    <w:rsid w:val="00FE03DE"/>
    <w:rsid w:val="00FE20F3"/>
    <w:rsid w:val="00FE4D45"/>
    <w:rsid w:val="00FE5412"/>
    <w:rsid w:val="00FE6874"/>
    <w:rsid w:val="00FE71EC"/>
    <w:rsid w:val="00FF0084"/>
    <w:rsid w:val="00FF4F25"/>
    <w:rsid w:val="00FF5A7C"/>
    <w:rsid w:val="00FF6B57"/>
    <w:rsid w:val="032E5866"/>
    <w:rsid w:val="040E38AD"/>
    <w:rsid w:val="05904C0E"/>
    <w:rsid w:val="08B408FE"/>
    <w:rsid w:val="09DF48F1"/>
    <w:rsid w:val="0A4811BF"/>
    <w:rsid w:val="0DCE53F5"/>
    <w:rsid w:val="0E1D07E9"/>
    <w:rsid w:val="0E7E7270"/>
    <w:rsid w:val="0E9D6AA3"/>
    <w:rsid w:val="1141420A"/>
    <w:rsid w:val="12384885"/>
    <w:rsid w:val="12391016"/>
    <w:rsid w:val="16BF259A"/>
    <w:rsid w:val="1AD4351B"/>
    <w:rsid w:val="1DDA5195"/>
    <w:rsid w:val="1EE13A44"/>
    <w:rsid w:val="1F085AFC"/>
    <w:rsid w:val="219D54D1"/>
    <w:rsid w:val="23500857"/>
    <w:rsid w:val="23EB08FC"/>
    <w:rsid w:val="23F01FBD"/>
    <w:rsid w:val="24036E31"/>
    <w:rsid w:val="26D53CD9"/>
    <w:rsid w:val="281E0CE2"/>
    <w:rsid w:val="28E34F06"/>
    <w:rsid w:val="2AB36289"/>
    <w:rsid w:val="2BA43B62"/>
    <w:rsid w:val="2C7C6F8B"/>
    <w:rsid w:val="2E322A55"/>
    <w:rsid w:val="2FAF0489"/>
    <w:rsid w:val="31472444"/>
    <w:rsid w:val="32AC260D"/>
    <w:rsid w:val="34506D9E"/>
    <w:rsid w:val="37B17A29"/>
    <w:rsid w:val="380D3989"/>
    <w:rsid w:val="3A5243E4"/>
    <w:rsid w:val="3AA16AE7"/>
    <w:rsid w:val="3B7E6569"/>
    <w:rsid w:val="3CDE6F22"/>
    <w:rsid w:val="422E7086"/>
    <w:rsid w:val="43920933"/>
    <w:rsid w:val="446C2C6D"/>
    <w:rsid w:val="45695408"/>
    <w:rsid w:val="49283470"/>
    <w:rsid w:val="4B28241B"/>
    <w:rsid w:val="4BB942DC"/>
    <w:rsid w:val="4C3F2B4F"/>
    <w:rsid w:val="4F44628A"/>
    <w:rsid w:val="4FC5343D"/>
    <w:rsid w:val="50320CB3"/>
    <w:rsid w:val="51CD7A6D"/>
    <w:rsid w:val="55B52294"/>
    <w:rsid w:val="58CE47E0"/>
    <w:rsid w:val="5AD578FD"/>
    <w:rsid w:val="5AE955F5"/>
    <w:rsid w:val="5EC70737"/>
    <w:rsid w:val="60EC5044"/>
    <w:rsid w:val="62CB508E"/>
    <w:rsid w:val="661351E0"/>
    <w:rsid w:val="67312C65"/>
    <w:rsid w:val="68DD7195"/>
    <w:rsid w:val="69F56C57"/>
    <w:rsid w:val="6D031FD1"/>
    <w:rsid w:val="6D3B019C"/>
    <w:rsid w:val="6E805DCC"/>
    <w:rsid w:val="6FAE3790"/>
    <w:rsid w:val="719E7459"/>
    <w:rsid w:val="71D76F65"/>
    <w:rsid w:val="734A79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qFormat="1" w:unhideWhenUsed="0" w:uiPriority="0" w:semiHidden="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47"/>
    <w:qFormat/>
    <w:uiPriority w:val="0"/>
    <w:pPr>
      <w:keepNext/>
      <w:keepLines/>
      <w:spacing w:before="340" w:after="330" w:line="576" w:lineRule="auto"/>
      <w:outlineLvl w:val="0"/>
    </w:pPr>
    <w:rPr>
      <w:rFonts w:ascii="Times New Roman" w:hAnsi="Times New Roman"/>
      <w:b/>
      <w:kern w:val="44"/>
      <w:sz w:val="44"/>
      <w:szCs w:val="20"/>
    </w:rPr>
  </w:style>
  <w:style w:type="paragraph" w:styleId="5">
    <w:name w:val="heading 2"/>
    <w:basedOn w:val="1"/>
    <w:next w:val="1"/>
    <w:link w:val="48"/>
    <w:qFormat/>
    <w:uiPriority w:val="0"/>
    <w:pPr>
      <w:keepNext/>
      <w:keepLines/>
      <w:spacing w:before="260" w:after="260" w:line="412" w:lineRule="auto"/>
      <w:outlineLvl w:val="1"/>
    </w:pPr>
    <w:rPr>
      <w:rFonts w:ascii="Arial" w:hAnsi="Arial" w:eastAsia="黑体"/>
      <w:b/>
      <w:sz w:val="32"/>
      <w:szCs w:val="20"/>
    </w:rPr>
  </w:style>
  <w:style w:type="paragraph" w:styleId="6">
    <w:name w:val="heading 3"/>
    <w:basedOn w:val="1"/>
    <w:next w:val="1"/>
    <w:link w:val="49"/>
    <w:qFormat/>
    <w:uiPriority w:val="0"/>
    <w:pPr>
      <w:keepNext/>
      <w:keepLines/>
      <w:spacing w:before="260" w:after="260" w:line="412" w:lineRule="auto"/>
      <w:ind w:firstLine="49" w:firstLineChars="49"/>
      <w:outlineLvl w:val="2"/>
    </w:pPr>
    <w:rPr>
      <w:rFonts w:ascii="黑体" w:eastAsia="黑体"/>
      <w:sz w:val="28"/>
      <w:szCs w:val="20"/>
    </w:rPr>
  </w:style>
  <w:style w:type="paragraph" w:styleId="7">
    <w:name w:val="heading 4"/>
    <w:basedOn w:val="1"/>
    <w:next w:val="1"/>
    <w:link w:val="50"/>
    <w:qFormat/>
    <w:uiPriority w:val="0"/>
    <w:pPr>
      <w:keepNext/>
      <w:keepLines/>
      <w:spacing w:before="280" w:after="290" w:line="374" w:lineRule="auto"/>
      <w:outlineLvl w:val="3"/>
    </w:pPr>
    <w:rPr>
      <w:rFonts w:ascii="Arial" w:hAnsi="Arial" w:eastAsia="黑体"/>
      <w:b/>
      <w:bCs/>
      <w:sz w:val="28"/>
      <w:szCs w:val="28"/>
    </w:rPr>
  </w:style>
  <w:style w:type="paragraph" w:styleId="8">
    <w:name w:val="heading 5"/>
    <w:basedOn w:val="1"/>
    <w:next w:val="1"/>
    <w:link w:val="71"/>
    <w:semiHidden/>
    <w:unhideWhenUsed/>
    <w:qFormat/>
    <w:uiPriority w:val="9"/>
    <w:pPr>
      <w:keepNext/>
      <w:keepLines/>
      <w:spacing w:before="280" w:after="290" w:line="376" w:lineRule="auto"/>
      <w:outlineLvl w:val="4"/>
    </w:pPr>
    <w:rPr>
      <w:rFonts w:ascii="Times New Roman" w:hAnsi="Times New Roman"/>
      <w:b/>
      <w:bCs/>
      <w:sz w:val="28"/>
      <w:szCs w:val="28"/>
    </w:rPr>
  </w:style>
  <w:style w:type="paragraph" w:styleId="9">
    <w:name w:val="heading 6"/>
    <w:basedOn w:val="1"/>
    <w:next w:val="1"/>
    <w:link w:val="51"/>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0"/>
    </w:rPr>
  </w:style>
  <w:style w:type="paragraph" w:styleId="10">
    <w:name w:val="heading 7"/>
    <w:basedOn w:val="1"/>
    <w:next w:val="1"/>
    <w:link w:val="52"/>
    <w:qFormat/>
    <w:uiPriority w:val="0"/>
    <w:pPr>
      <w:keepNext/>
      <w:keepLines/>
      <w:widowControl/>
      <w:tabs>
        <w:tab w:val="left" w:pos="2520"/>
      </w:tabs>
      <w:spacing w:before="240" w:after="64" w:line="319" w:lineRule="auto"/>
      <w:ind w:left="1296" w:hanging="1296"/>
      <w:jc w:val="left"/>
      <w:outlineLvl w:val="6"/>
    </w:pPr>
    <w:rPr>
      <w:rFonts w:ascii="Times New Roman" w:hAnsi="Times New Roman"/>
      <w:b/>
      <w:bCs/>
      <w:kern w:val="0"/>
      <w:sz w:val="24"/>
      <w:szCs w:val="20"/>
    </w:rPr>
  </w:style>
  <w:style w:type="paragraph" w:styleId="11">
    <w:name w:val="heading 8"/>
    <w:basedOn w:val="1"/>
    <w:next w:val="1"/>
    <w:link w:val="53"/>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szCs w:val="20"/>
    </w:rPr>
  </w:style>
  <w:style w:type="paragraph" w:styleId="12">
    <w:name w:val="heading 9"/>
    <w:basedOn w:val="1"/>
    <w:next w:val="1"/>
    <w:link w:val="54"/>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39">
    <w:name w:val="Default Paragraph Font"/>
    <w:semiHidden/>
    <w:unhideWhenUsed/>
    <w:qFormat/>
    <w:uiPriority w:val="1"/>
  </w:style>
  <w:style w:type="table" w:default="1" w:styleId="3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78"/>
    <w:qFormat/>
    <w:uiPriority w:val="0"/>
    <w:pPr>
      <w:spacing w:line="312" w:lineRule="auto"/>
      <w:ind w:firstLine="420"/>
    </w:pPr>
    <w:rPr>
      <w:rFonts w:ascii="Times New Roman" w:hAnsi="Times New Roman"/>
      <w:szCs w:val="24"/>
    </w:rPr>
  </w:style>
  <w:style w:type="paragraph" w:styleId="3">
    <w:name w:val="Body Text"/>
    <w:basedOn w:val="1"/>
    <w:link w:val="77"/>
    <w:unhideWhenUsed/>
    <w:qFormat/>
    <w:uiPriority w:val="0"/>
    <w:pPr>
      <w:spacing w:after="120"/>
    </w:pPr>
    <w:rPr>
      <w:rFonts w:ascii="Times New Roman" w:hAnsi="Times New Roman"/>
      <w:szCs w:val="20"/>
    </w:rPr>
  </w:style>
  <w:style w:type="paragraph" w:styleId="13">
    <w:name w:val="toc 7"/>
    <w:basedOn w:val="1"/>
    <w:next w:val="1"/>
    <w:qFormat/>
    <w:uiPriority w:val="39"/>
    <w:pPr>
      <w:ind w:left="1200" w:leftChars="1200"/>
    </w:pPr>
  </w:style>
  <w:style w:type="paragraph" w:styleId="14">
    <w:name w:val="Normal Indent"/>
    <w:basedOn w:val="1"/>
    <w:qFormat/>
    <w:uiPriority w:val="0"/>
    <w:pPr>
      <w:ind w:firstLine="420"/>
    </w:pPr>
  </w:style>
  <w:style w:type="paragraph" w:styleId="15">
    <w:name w:val="Document Map"/>
    <w:basedOn w:val="1"/>
    <w:link w:val="60"/>
    <w:qFormat/>
    <w:uiPriority w:val="0"/>
    <w:rPr>
      <w:rFonts w:ascii="宋体" w:cs="宋体"/>
      <w:sz w:val="18"/>
      <w:szCs w:val="18"/>
    </w:rPr>
  </w:style>
  <w:style w:type="paragraph" w:styleId="16">
    <w:name w:val="annotation text"/>
    <w:basedOn w:val="1"/>
    <w:link w:val="58"/>
    <w:qFormat/>
    <w:uiPriority w:val="0"/>
    <w:pPr>
      <w:jc w:val="left"/>
    </w:pPr>
    <w:rPr>
      <w:rFonts w:ascii="Times New Roman" w:hAnsi="Times New Roman"/>
      <w:szCs w:val="20"/>
    </w:rPr>
  </w:style>
  <w:style w:type="paragraph" w:styleId="17">
    <w:name w:val="Body Text 3"/>
    <w:basedOn w:val="1"/>
    <w:link w:val="62"/>
    <w:qFormat/>
    <w:uiPriority w:val="0"/>
    <w:rPr>
      <w:rFonts w:ascii="宋体"/>
      <w:sz w:val="24"/>
      <w:szCs w:val="20"/>
    </w:rPr>
  </w:style>
  <w:style w:type="paragraph" w:styleId="18">
    <w:name w:val="Body Text Indent"/>
    <w:basedOn w:val="1"/>
    <w:link w:val="79"/>
    <w:qFormat/>
    <w:uiPriority w:val="0"/>
    <w:pPr>
      <w:spacing w:after="120"/>
      <w:ind w:left="420" w:leftChars="200"/>
    </w:pPr>
    <w:rPr>
      <w:rFonts w:ascii="Times New Roman" w:hAnsi="Times New Roman"/>
      <w:szCs w:val="20"/>
    </w:rPr>
  </w:style>
  <w:style w:type="paragraph" w:styleId="19">
    <w:name w:val="toc 5"/>
    <w:basedOn w:val="1"/>
    <w:next w:val="1"/>
    <w:qFormat/>
    <w:uiPriority w:val="39"/>
    <w:pPr>
      <w:ind w:left="800" w:leftChars="800"/>
    </w:pPr>
  </w:style>
  <w:style w:type="paragraph" w:styleId="20">
    <w:name w:val="toc 3"/>
    <w:basedOn w:val="1"/>
    <w:next w:val="1"/>
    <w:qFormat/>
    <w:uiPriority w:val="39"/>
    <w:pPr>
      <w:ind w:left="400" w:leftChars="400"/>
    </w:pPr>
  </w:style>
  <w:style w:type="paragraph" w:styleId="21">
    <w:name w:val="Plain Text"/>
    <w:basedOn w:val="1"/>
    <w:qFormat/>
    <w:uiPriority w:val="0"/>
    <w:rPr>
      <w:rFonts w:ascii="宋体"/>
    </w:rPr>
  </w:style>
  <w:style w:type="paragraph" w:styleId="22">
    <w:name w:val="toc 8"/>
    <w:basedOn w:val="1"/>
    <w:next w:val="1"/>
    <w:qFormat/>
    <w:uiPriority w:val="39"/>
    <w:pPr>
      <w:ind w:left="1400" w:leftChars="1400"/>
    </w:pPr>
  </w:style>
  <w:style w:type="paragraph" w:styleId="23">
    <w:name w:val="Date"/>
    <w:basedOn w:val="1"/>
    <w:next w:val="1"/>
    <w:link w:val="66"/>
    <w:qFormat/>
    <w:uiPriority w:val="0"/>
    <w:pPr>
      <w:ind w:left="2500" w:leftChars="2500"/>
    </w:pPr>
    <w:rPr>
      <w:rFonts w:ascii="Times New Roman" w:hAnsi="Times New Roman"/>
      <w:szCs w:val="20"/>
    </w:rPr>
  </w:style>
  <w:style w:type="paragraph" w:styleId="24">
    <w:name w:val="Balloon Text"/>
    <w:basedOn w:val="1"/>
    <w:link w:val="65"/>
    <w:qFormat/>
    <w:uiPriority w:val="0"/>
    <w:rPr>
      <w:rFonts w:ascii="Times New Roman" w:hAnsi="Times New Roman"/>
      <w:sz w:val="18"/>
      <w:szCs w:val="20"/>
    </w:rPr>
  </w:style>
  <w:style w:type="paragraph" w:styleId="25">
    <w:name w:val="footer"/>
    <w:basedOn w:val="1"/>
    <w:link w:val="61"/>
    <w:qFormat/>
    <w:uiPriority w:val="0"/>
    <w:pPr>
      <w:tabs>
        <w:tab w:val="center" w:pos="4153"/>
        <w:tab w:val="right" w:pos="8306"/>
      </w:tabs>
      <w:snapToGrid w:val="0"/>
      <w:jc w:val="left"/>
    </w:pPr>
    <w:rPr>
      <w:sz w:val="18"/>
    </w:rPr>
  </w:style>
  <w:style w:type="paragraph" w:styleId="26">
    <w:name w:val="header"/>
    <w:basedOn w:val="1"/>
    <w:link w:val="64"/>
    <w:qFormat/>
    <w:uiPriority w:val="0"/>
    <w:pPr>
      <w:tabs>
        <w:tab w:val="center" w:pos="4153"/>
        <w:tab w:val="right" w:pos="8306"/>
      </w:tabs>
      <w:snapToGrid w:val="0"/>
    </w:pPr>
    <w:rPr>
      <w:rFonts w:ascii="Times New Roman" w:hAnsi="Times New Roman"/>
      <w:sz w:val="18"/>
      <w:szCs w:val="20"/>
    </w:rPr>
  </w:style>
  <w:style w:type="paragraph" w:styleId="27">
    <w:name w:val="toc 1"/>
    <w:basedOn w:val="1"/>
    <w:next w:val="1"/>
    <w:qFormat/>
    <w:uiPriority w:val="39"/>
  </w:style>
  <w:style w:type="paragraph" w:styleId="28">
    <w:name w:val="toc 4"/>
    <w:basedOn w:val="1"/>
    <w:next w:val="1"/>
    <w:qFormat/>
    <w:uiPriority w:val="39"/>
    <w:pPr>
      <w:ind w:left="600" w:leftChars="600"/>
    </w:pPr>
  </w:style>
  <w:style w:type="paragraph" w:styleId="29">
    <w:name w:val="toc 6"/>
    <w:basedOn w:val="1"/>
    <w:next w:val="1"/>
    <w:qFormat/>
    <w:uiPriority w:val="39"/>
    <w:pPr>
      <w:ind w:left="1000" w:leftChars="1000"/>
    </w:pPr>
  </w:style>
  <w:style w:type="paragraph" w:styleId="30">
    <w:name w:val="Body Text Indent 3"/>
    <w:basedOn w:val="1"/>
    <w:link w:val="63"/>
    <w:qFormat/>
    <w:uiPriority w:val="0"/>
    <w:pPr>
      <w:spacing w:after="120"/>
      <w:ind w:left="200" w:leftChars="200"/>
    </w:pPr>
    <w:rPr>
      <w:sz w:val="16"/>
      <w:szCs w:val="16"/>
    </w:rPr>
  </w:style>
  <w:style w:type="paragraph" w:styleId="31">
    <w:name w:val="toc 2"/>
    <w:basedOn w:val="1"/>
    <w:next w:val="1"/>
    <w:qFormat/>
    <w:uiPriority w:val="39"/>
    <w:pPr>
      <w:ind w:left="200" w:leftChars="200"/>
    </w:pPr>
  </w:style>
  <w:style w:type="paragraph" w:styleId="32">
    <w:name w:val="toc 9"/>
    <w:basedOn w:val="1"/>
    <w:next w:val="1"/>
    <w:qFormat/>
    <w:uiPriority w:val="39"/>
    <w:pPr>
      <w:ind w:left="1600" w:leftChars="1600"/>
    </w:pPr>
  </w:style>
  <w:style w:type="paragraph" w:styleId="33">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34">
    <w:name w:val="Normal (Web)"/>
    <w:basedOn w:val="1"/>
    <w:qFormat/>
    <w:uiPriority w:val="99"/>
    <w:pPr>
      <w:widowControl/>
      <w:spacing w:before="100" w:beforeAutospacing="1" w:after="100" w:afterAutospacing="1"/>
      <w:jc w:val="left"/>
    </w:pPr>
    <w:rPr>
      <w:rFonts w:ascii="宋体" w:hAnsi="宋体" w:cs="宋体"/>
      <w:color w:val="000000"/>
      <w:kern w:val="0"/>
      <w:sz w:val="24"/>
      <w:szCs w:val="20"/>
    </w:rPr>
  </w:style>
  <w:style w:type="paragraph" w:styleId="35">
    <w:name w:val="index 1"/>
    <w:basedOn w:val="1"/>
    <w:next w:val="1"/>
    <w:qFormat/>
    <w:uiPriority w:val="0"/>
    <w:pPr>
      <w:spacing w:line="220" w:lineRule="exact"/>
      <w:jc w:val="center"/>
    </w:pPr>
    <w:rPr>
      <w:rFonts w:ascii="仿宋_GB2312" w:hAnsi="Times New Roman" w:eastAsia="仿宋_GB2312"/>
      <w:szCs w:val="21"/>
    </w:rPr>
  </w:style>
  <w:style w:type="paragraph" w:styleId="36">
    <w:name w:val="Title"/>
    <w:basedOn w:val="1"/>
    <w:link w:val="83"/>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7">
    <w:name w:val="annotation subject"/>
    <w:basedOn w:val="16"/>
    <w:next w:val="16"/>
    <w:link w:val="59"/>
    <w:qFormat/>
    <w:uiPriority w:val="0"/>
  </w:style>
  <w:style w:type="character" w:styleId="40">
    <w:name w:val="Strong"/>
    <w:qFormat/>
    <w:uiPriority w:val="0"/>
    <w:rPr>
      <w:b/>
      <w:bCs/>
    </w:rPr>
  </w:style>
  <w:style w:type="character" w:styleId="41">
    <w:name w:val="page number"/>
    <w:basedOn w:val="39"/>
    <w:qFormat/>
    <w:uiPriority w:val="0"/>
  </w:style>
  <w:style w:type="character" w:styleId="42">
    <w:name w:val="FollowedHyperlink"/>
    <w:basedOn w:val="39"/>
    <w:semiHidden/>
    <w:unhideWhenUsed/>
    <w:qFormat/>
    <w:uiPriority w:val="99"/>
    <w:rPr>
      <w:color w:val="000000"/>
      <w:u w:val="none"/>
    </w:rPr>
  </w:style>
  <w:style w:type="character" w:styleId="43">
    <w:name w:val="Emphasis"/>
    <w:basedOn w:val="39"/>
    <w:qFormat/>
    <w:uiPriority w:val="0"/>
  </w:style>
  <w:style w:type="character" w:styleId="44">
    <w:name w:val="Hyperlink"/>
    <w:basedOn w:val="39"/>
    <w:qFormat/>
    <w:uiPriority w:val="99"/>
    <w:rPr>
      <w:color w:val="0000FF"/>
      <w:u w:val="single"/>
    </w:rPr>
  </w:style>
  <w:style w:type="character" w:styleId="45">
    <w:name w:val="annotation reference"/>
    <w:qFormat/>
    <w:uiPriority w:val="0"/>
    <w:rPr>
      <w:sz w:val="21"/>
    </w:rPr>
  </w:style>
  <w:style w:type="character" w:styleId="46">
    <w:name w:val="footnote reference"/>
    <w:qFormat/>
    <w:uiPriority w:val="0"/>
    <w:rPr>
      <w:vertAlign w:val="superscript"/>
    </w:rPr>
  </w:style>
  <w:style w:type="character" w:customStyle="1" w:styleId="47">
    <w:name w:val="标题 1 Char"/>
    <w:basedOn w:val="39"/>
    <w:link w:val="4"/>
    <w:qFormat/>
    <w:uiPriority w:val="0"/>
    <w:rPr>
      <w:rFonts w:eastAsia="宋体"/>
      <w:b/>
      <w:kern w:val="44"/>
      <w:sz w:val="44"/>
    </w:rPr>
  </w:style>
  <w:style w:type="character" w:customStyle="1" w:styleId="48">
    <w:name w:val="标题 2 Char"/>
    <w:basedOn w:val="39"/>
    <w:link w:val="5"/>
    <w:qFormat/>
    <w:uiPriority w:val="0"/>
    <w:rPr>
      <w:rFonts w:ascii="Arial" w:hAnsi="Arial" w:eastAsia="黑体"/>
      <w:b/>
      <w:kern w:val="2"/>
      <w:sz w:val="32"/>
    </w:rPr>
  </w:style>
  <w:style w:type="character" w:customStyle="1" w:styleId="49">
    <w:name w:val="标题 3 Char"/>
    <w:basedOn w:val="39"/>
    <w:link w:val="6"/>
    <w:qFormat/>
    <w:uiPriority w:val="0"/>
    <w:rPr>
      <w:rFonts w:ascii="黑体" w:hAnsi="Calibri" w:eastAsia="黑体"/>
      <w:kern w:val="2"/>
      <w:sz w:val="28"/>
    </w:rPr>
  </w:style>
  <w:style w:type="character" w:customStyle="1" w:styleId="50">
    <w:name w:val="标题 4 Char"/>
    <w:basedOn w:val="39"/>
    <w:link w:val="7"/>
    <w:qFormat/>
    <w:uiPriority w:val="0"/>
    <w:rPr>
      <w:rFonts w:ascii="Arial" w:hAnsi="Arial" w:eastAsia="黑体"/>
      <w:b/>
      <w:bCs/>
      <w:kern w:val="2"/>
      <w:sz w:val="28"/>
      <w:szCs w:val="28"/>
    </w:rPr>
  </w:style>
  <w:style w:type="character" w:customStyle="1" w:styleId="51">
    <w:name w:val="标题 6 Char"/>
    <w:basedOn w:val="39"/>
    <w:link w:val="9"/>
    <w:qFormat/>
    <w:uiPriority w:val="0"/>
    <w:rPr>
      <w:rFonts w:ascii="Arial" w:hAnsi="Arial" w:eastAsia="黑体"/>
      <w:b/>
      <w:bCs/>
      <w:sz w:val="24"/>
    </w:rPr>
  </w:style>
  <w:style w:type="character" w:customStyle="1" w:styleId="52">
    <w:name w:val="标题 7 Char"/>
    <w:basedOn w:val="39"/>
    <w:link w:val="10"/>
    <w:qFormat/>
    <w:uiPriority w:val="0"/>
    <w:rPr>
      <w:rFonts w:eastAsia="宋体"/>
      <w:b/>
      <w:bCs/>
      <w:sz w:val="24"/>
    </w:rPr>
  </w:style>
  <w:style w:type="character" w:customStyle="1" w:styleId="53">
    <w:name w:val="标题 8 Char"/>
    <w:basedOn w:val="39"/>
    <w:link w:val="11"/>
    <w:qFormat/>
    <w:uiPriority w:val="0"/>
    <w:rPr>
      <w:rFonts w:ascii="Arial" w:hAnsi="Arial" w:eastAsia="黑体"/>
      <w:sz w:val="24"/>
    </w:rPr>
  </w:style>
  <w:style w:type="character" w:customStyle="1" w:styleId="54">
    <w:name w:val="标题 9 Char"/>
    <w:basedOn w:val="39"/>
    <w:link w:val="12"/>
    <w:qFormat/>
    <w:uiPriority w:val="0"/>
    <w:rPr>
      <w:rFonts w:ascii="Arial" w:hAnsi="Arial" w:eastAsia="黑体"/>
      <w:sz w:val="21"/>
      <w:szCs w:val="21"/>
    </w:rPr>
  </w:style>
  <w:style w:type="character" w:customStyle="1" w:styleId="55">
    <w:name w:val="style_kwd"/>
    <w:basedOn w:val="39"/>
    <w:qFormat/>
    <w:uiPriority w:val="0"/>
  </w:style>
  <w:style w:type="character" w:customStyle="1" w:styleId="56">
    <w:name w:val="批注文字 Char1"/>
    <w:qFormat/>
    <w:uiPriority w:val="0"/>
    <w:rPr>
      <w:rFonts w:ascii="Times New Roman" w:hAnsi="Times New Roman" w:eastAsia="宋体" w:cs="Times New Roman"/>
      <w:sz w:val="20"/>
      <w:szCs w:val="20"/>
      <w:lang w:bidi="ar-SA"/>
    </w:rPr>
  </w:style>
  <w:style w:type="character" w:customStyle="1" w:styleId="57">
    <w:name w:val="Comment Text Char"/>
    <w:qFormat/>
    <w:uiPriority w:val="0"/>
  </w:style>
  <w:style w:type="character" w:customStyle="1" w:styleId="58">
    <w:name w:val="批注文字 Char"/>
    <w:basedOn w:val="39"/>
    <w:link w:val="16"/>
    <w:qFormat/>
    <w:uiPriority w:val="0"/>
    <w:rPr>
      <w:rFonts w:eastAsia="宋体"/>
      <w:kern w:val="2"/>
      <w:sz w:val="21"/>
    </w:rPr>
  </w:style>
  <w:style w:type="character" w:customStyle="1" w:styleId="59">
    <w:name w:val="批注主题 Char"/>
    <w:link w:val="37"/>
    <w:qFormat/>
    <w:uiPriority w:val="0"/>
    <w:rPr>
      <w:rFonts w:eastAsia="宋体"/>
      <w:kern w:val="2"/>
      <w:sz w:val="21"/>
    </w:rPr>
  </w:style>
  <w:style w:type="character" w:customStyle="1" w:styleId="60">
    <w:name w:val="文档结构图 Char"/>
    <w:link w:val="15"/>
    <w:qFormat/>
    <w:uiPriority w:val="0"/>
    <w:rPr>
      <w:rFonts w:ascii="宋体" w:hAnsi="Calibri" w:eastAsia="宋体" w:cs="宋体"/>
      <w:kern w:val="2"/>
      <w:sz w:val="18"/>
      <w:szCs w:val="18"/>
    </w:rPr>
  </w:style>
  <w:style w:type="character" w:customStyle="1" w:styleId="61">
    <w:name w:val="页脚 Char"/>
    <w:link w:val="25"/>
    <w:qFormat/>
    <w:uiPriority w:val="0"/>
    <w:rPr>
      <w:rFonts w:ascii="Calibri" w:hAnsi="Calibri" w:eastAsia="宋体"/>
      <w:kern w:val="2"/>
      <w:sz w:val="18"/>
      <w:szCs w:val="22"/>
    </w:rPr>
  </w:style>
  <w:style w:type="character" w:customStyle="1" w:styleId="62">
    <w:name w:val="正文文本 3 Char"/>
    <w:basedOn w:val="39"/>
    <w:link w:val="17"/>
    <w:qFormat/>
    <w:uiPriority w:val="0"/>
    <w:rPr>
      <w:rFonts w:ascii="宋体" w:hAnsi="Calibri" w:eastAsia="宋体"/>
      <w:kern w:val="2"/>
      <w:sz w:val="24"/>
    </w:rPr>
  </w:style>
  <w:style w:type="character" w:customStyle="1" w:styleId="63">
    <w:name w:val="正文文本缩进 3 Char"/>
    <w:basedOn w:val="39"/>
    <w:link w:val="30"/>
    <w:qFormat/>
    <w:uiPriority w:val="0"/>
    <w:rPr>
      <w:rFonts w:ascii="Calibri" w:hAnsi="Calibri" w:eastAsia="宋体"/>
      <w:kern w:val="2"/>
      <w:sz w:val="16"/>
      <w:szCs w:val="16"/>
    </w:rPr>
  </w:style>
  <w:style w:type="character" w:customStyle="1" w:styleId="64">
    <w:name w:val="页眉 Char"/>
    <w:link w:val="26"/>
    <w:qFormat/>
    <w:uiPriority w:val="0"/>
    <w:rPr>
      <w:rFonts w:eastAsia="宋体"/>
      <w:kern w:val="2"/>
      <w:sz w:val="18"/>
    </w:rPr>
  </w:style>
  <w:style w:type="character" w:customStyle="1" w:styleId="65">
    <w:name w:val="批注框文本 Char"/>
    <w:link w:val="24"/>
    <w:qFormat/>
    <w:uiPriority w:val="0"/>
    <w:rPr>
      <w:rFonts w:eastAsia="宋体"/>
      <w:kern w:val="2"/>
      <w:sz w:val="18"/>
    </w:rPr>
  </w:style>
  <w:style w:type="character" w:customStyle="1" w:styleId="66">
    <w:name w:val="日期 Char"/>
    <w:link w:val="23"/>
    <w:qFormat/>
    <w:uiPriority w:val="0"/>
    <w:rPr>
      <w:rFonts w:eastAsia="宋体"/>
      <w:kern w:val="2"/>
      <w:sz w:val="21"/>
    </w:rPr>
  </w:style>
  <w:style w:type="paragraph" w:customStyle="1" w:styleId="67">
    <w:name w:val="Revision"/>
    <w:qFormat/>
    <w:uiPriority w:val="0"/>
    <w:rPr>
      <w:rFonts w:ascii="Times New Roman" w:hAnsi="Times New Roman" w:eastAsia="宋体" w:cs="Times New Roman"/>
      <w:kern w:val="2"/>
      <w:sz w:val="21"/>
      <w:lang w:val="en-US" w:eastAsia="zh-CN" w:bidi="ar-SA"/>
    </w:rPr>
  </w:style>
  <w:style w:type="paragraph" w:customStyle="1" w:styleId="68">
    <w:name w:val="_Style 23"/>
    <w:basedOn w:val="1"/>
    <w:qFormat/>
    <w:uiPriority w:val="0"/>
    <w:pPr>
      <w:widowControl/>
      <w:spacing w:after="160" w:line="240" w:lineRule="exact"/>
      <w:jc w:val="left"/>
    </w:pPr>
  </w:style>
  <w:style w:type="paragraph" w:customStyle="1" w:styleId="69">
    <w:name w:val="TOC Heading"/>
    <w:basedOn w:val="4"/>
    <w:next w:val="1"/>
    <w:qFormat/>
    <w:uiPriority w:val="0"/>
    <w:pPr>
      <w:widowControl/>
      <w:spacing w:before="480" w:after="0" w:line="276" w:lineRule="auto"/>
      <w:jc w:val="left"/>
      <w:outlineLvl w:val="9"/>
    </w:pPr>
    <w:rPr>
      <w:rFonts w:ascii="Cambria" w:hAnsi="Cambria"/>
      <w:color w:val="365F91"/>
      <w:kern w:val="0"/>
      <w:sz w:val="28"/>
    </w:rPr>
  </w:style>
  <w:style w:type="character" w:customStyle="1" w:styleId="70">
    <w:name w:val="font161"/>
    <w:qFormat/>
    <w:uiPriority w:val="0"/>
    <w:rPr>
      <w:b/>
      <w:bCs/>
      <w:sz w:val="32"/>
      <w:szCs w:val="32"/>
    </w:rPr>
  </w:style>
  <w:style w:type="character" w:customStyle="1" w:styleId="71">
    <w:name w:val="标题 5 Char"/>
    <w:basedOn w:val="39"/>
    <w:link w:val="8"/>
    <w:semiHidden/>
    <w:qFormat/>
    <w:uiPriority w:val="9"/>
    <w:rPr>
      <w:rFonts w:eastAsia="宋体"/>
      <w:b/>
      <w:bCs/>
      <w:kern w:val="2"/>
      <w:sz w:val="28"/>
      <w:szCs w:val="28"/>
    </w:rPr>
  </w:style>
  <w:style w:type="character" w:customStyle="1" w:styleId="72">
    <w:name w:val="正文首行缩进 Char"/>
    <w:basedOn w:val="73"/>
    <w:link w:val="2"/>
    <w:qFormat/>
    <w:uiPriority w:val="0"/>
  </w:style>
  <w:style w:type="character" w:customStyle="1" w:styleId="73">
    <w:name w:val="正文文本 Char"/>
    <w:qFormat/>
    <w:uiPriority w:val="0"/>
    <w:rPr>
      <w:rFonts w:eastAsia="宋体"/>
      <w:kern w:val="2"/>
      <w:sz w:val="21"/>
      <w:szCs w:val="24"/>
      <w:lang w:val="en-US" w:eastAsia="zh-CN" w:bidi="ar-SA"/>
    </w:rPr>
  </w:style>
  <w:style w:type="paragraph" w:customStyle="1" w:styleId="74">
    <w:name w:val="表格文字"/>
    <w:basedOn w:val="1"/>
    <w:qFormat/>
    <w:uiPriority w:val="0"/>
    <w:pPr>
      <w:adjustRightInd w:val="0"/>
      <w:spacing w:line="420" w:lineRule="atLeast"/>
      <w:jc w:val="left"/>
      <w:textAlignment w:val="baseline"/>
    </w:pPr>
    <w:rPr>
      <w:rFonts w:ascii="Times New Roman" w:hAnsi="Times New Roman"/>
      <w:kern w:val="0"/>
      <w:szCs w:val="20"/>
    </w:rPr>
  </w:style>
  <w:style w:type="paragraph" w:customStyle="1" w:styleId="75">
    <w:name w:val="Char"/>
    <w:basedOn w:val="1"/>
    <w:qFormat/>
    <w:uiPriority w:val="0"/>
    <w:pPr>
      <w:widowControl/>
      <w:spacing w:after="160" w:line="240" w:lineRule="exact"/>
      <w:jc w:val="left"/>
    </w:pPr>
    <w:rPr>
      <w:rFonts w:ascii="Verdana" w:hAnsi="Verdana"/>
      <w:kern w:val="0"/>
      <w:sz w:val="20"/>
      <w:szCs w:val="20"/>
      <w:lang w:eastAsia="en-US"/>
    </w:rPr>
  </w:style>
  <w:style w:type="paragraph" w:styleId="76">
    <w:name w:val="List Paragraph"/>
    <w:basedOn w:val="1"/>
    <w:qFormat/>
    <w:uiPriority w:val="0"/>
    <w:pPr>
      <w:ind w:firstLine="420" w:firstLineChars="200"/>
    </w:pPr>
  </w:style>
  <w:style w:type="character" w:customStyle="1" w:styleId="77">
    <w:name w:val="正文文本 Char1"/>
    <w:basedOn w:val="39"/>
    <w:link w:val="3"/>
    <w:qFormat/>
    <w:uiPriority w:val="0"/>
    <w:rPr>
      <w:rFonts w:eastAsia="宋体"/>
      <w:kern w:val="2"/>
      <w:sz w:val="21"/>
    </w:rPr>
  </w:style>
  <w:style w:type="character" w:customStyle="1" w:styleId="78">
    <w:name w:val="正文首行缩进 Char1"/>
    <w:basedOn w:val="77"/>
    <w:link w:val="2"/>
    <w:qFormat/>
    <w:uiPriority w:val="99"/>
  </w:style>
  <w:style w:type="character" w:customStyle="1" w:styleId="79">
    <w:name w:val="正文文本缩进 Char"/>
    <w:basedOn w:val="39"/>
    <w:link w:val="18"/>
    <w:qFormat/>
    <w:uiPriority w:val="0"/>
    <w:rPr>
      <w:rFonts w:eastAsia="宋体"/>
      <w:kern w:val="2"/>
      <w:sz w:val="21"/>
    </w:rPr>
  </w:style>
  <w:style w:type="paragraph" w:customStyle="1" w:styleId="80">
    <w:name w:val="我的正文"/>
    <w:basedOn w:val="1"/>
    <w:qFormat/>
    <w:uiPriority w:val="0"/>
    <w:rPr>
      <w:rFonts w:ascii="宋体" w:hAnsi="宋体"/>
      <w:sz w:val="24"/>
      <w:szCs w:val="24"/>
    </w:rPr>
  </w:style>
  <w:style w:type="paragraph" w:customStyle="1" w:styleId="81">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sz w:val="28"/>
    </w:rPr>
  </w:style>
  <w:style w:type="paragraph" w:customStyle="1" w:styleId="82">
    <w:name w:val="样式2"/>
    <w:basedOn w:val="6"/>
    <w:qFormat/>
    <w:uiPriority w:val="0"/>
    <w:pPr>
      <w:spacing w:line="415" w:lineRule="auto"/>
      <w:ind w:firstLine="137"/>
    </w:pPr>
    <w:rPr>
      <w:rFonts w:hAnsi="Times New Roman"/>
      <w:bCs/>
      <w:i/>
      <w:szCs w:val="28"/>
    </w:rPr>
  </w:style>
  <w:style w:type="character" w:customStyle="1" w:styleId="83">
    <w:name w:val="标题 Char"/>
    <w:basedOn w:val="39"/>
    <w:link w:val="36"/>
    <w:qFormat/>
    <w:uiPriority w:val="0"/>
    <w:rPr>
      <w:rFonts w:ascii="Arial" w:hAnsi="Arial" w:eastAsia="宋体"/>
      <w:b/>
      <w:sz w:val="32"/>
    </w:rPr>
  </w:style>
  <w:style w:type="paragraph" w:customStyle="1" w:styleId="84">
    <w:name w:val="Char1"/>
    <w:basedOn w:val="1"/>
    <w:qFormat/>
    <w:uiPriority w:val="0"/>
    <w:pPr>
      <w:tabs>
        <w:tab w:val="left" w:pos="360"/>
      </w:tabs>
    </w:pPr>
    <w:rPr>
      <w:rFonts w:ascii="Times New Roman" w:hAnsi="Times New Roman"/>
      <w:sz w:val="24"/>
      <w:szCs w:val="20"/>
    </w:rPr>
  </w:style>
  <w:style w:type="paragraph" w:customStyle="1" w:styleId="85">
    <w:name w:val="修订1"/>
    <w:qFormat/>
    <w:uiPriority w:val="0"/>
    <w:rPr>
      <w:rFonts w:ascii="Times New Roman" w:hAnsi="Times New Roman" w:eastAsia="宋体" w:cs="Times New Roman"/>
      <w:kern w:val="2"/>
      <w:sz w:val="21"/>
      <w:szCs w:val="24"/>
      <w:lang w:val="en-US" w:eastAsia="zh-CN" w:bidi="ar-SA"/>
    </w:rPr>
  </w:style>
  <w:style w:type="paragraph" w:customStyle="1" w:styleId="86">
    <w:name w:val="样式1"/>
    <w:basedOn w:val="1"/>
    <w:next w:val="7"/>
    <w:qFormat/>
    <w:uiPriority w:val="0"/>
    <w:pPr>
      <w:spacing w:line="360" w:lineRule="auto"/>
      <w:ind w:firstLine="420" w:firstLineChars="200"/>
    </w:pPr>
    <w:rPr>
      <w:rFonts w:ascii="宋体" w:hAnsi="宋体"/>
      <w:szCs w:val="21"/>
    </w:rPr>
  </w:style>
  <w:style w:type="paragraph" w:customStyle="1" w:styleId="87">
    <w:name w:val="6'"/>
    <w:basedOn w:val="1"/>
    <w:qFormat/>
    <w:uiPriority w:val="0"/>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88">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sz w:val="32"/>
    </w:rPr>
  </w:style>
  <w:style w:type="paragraph" w:customStyle="1" w:styleId="89">
    <w:name w:val="样式 标题 3 + (中文) 黑体 小四 非加粗 段前: 7.8 磅 段后: 0 磅 行距: 固定值 20 磅"/>
    <w:basedOn w:val="6"/>
    <w:qFormat/>
    <w:uiPriority w:val="0"/>
    <w:pPr>
      <w:spacing w:before="0" w:after="0" w:line="400" w:lineRule="exact"/>
      <w:ind w:firstLine="137"/>
    </w:pPr>
    <w:rPr>
      <w:rFonts w:hAnsi="Times New Roman" w:cs="宋体"/>
      <w:sz w:val="24"/>
    </w:rPr>
  </w:style>
  <w:style w:type="paragraph" w:customStyle="1" w:styleId="90">
    <w:name w:val="1"/>
    <w:basedOn w:val="1"/>
    <w:qFormat/>
    <w:uiPriority w:val="0"/>
    <w:rPr>
      <w:rFonts w:ascii="Times New Roman" w:hAnsi="Times New Roman"/>
      <w:szCs w:val="20"/>
    </w:rPr>
  </w:style>
  <w:style w:type="paragraph" w:customStyle="1" w:styleId="91">
    <w:name w:val="表格"/>
    <w:basedOn w:val="1"/>
    <w:qFormat/>
    <w:uiPriority w:val="0"/>
    <w:pPr>
      <w:jc w:val="center"/>
      <w:textAlignment w:val="center"/>
    </w:pPr>
    <w:rPr>
      <w:rFonts w:ascii="华文细黑" w:hAnsi="华文细黑"/>
      <w:kern w:val="0"/>
      <w:szCs w:val="20"/>
    </w:rPr>
  </w:style>
  <w:style w:type="paragraph" w:customStyle="1" w:styleId="92">
    <w:name w:val="修订2"/>
    <w:qFormat/>
    <w:uiPriority w:val="0"/>
    <w:rPr>
      <w:rFonts w:ascii="Times New Roman" w:hAnsi="Times New Roman" w:eastAsia="宋体" w:cs="Times New Roman"/>
      <w:kern w:val="2"/>
      <w:sz w:val="21"/>
      <w:szCs w:val="24"/>
      <w:lang w:val="en-US" w:eastAsia="zh-CN" w:bidi="ar-SA"/>
    </w:rPr>
  </w:style>
  <w:style w:type="paragraph" w:customStyle="1" w:styleId="93">
    <w:name w:val="Table Paragraph"/>
    <w:basedOn w:val="1"/>
    <w:qFormat/>
    <w:uiPriority w:val="1"/>
  </w:style>
  <w:style w:type="paragraph" w:customStyle="1" w:styleId="94">
    <w:name w:val="Default"/>
    <w:basedOn w:val="1"/>
    <w:qFormat/>
    <w:uiPriority w:val="0"/>
    <w:pPr>
      <w:autoSpaceDE w:val="0"/>
      <w:autoSpaceDN w:val="0"/>
      <w:adjustRightInd w:val="0"/>
      <w:ind w:firstLine="0" w:firstLineChars="0"/>
    </w:pPr>
    <w:rPr>
      <w:rFonts w:ascii="宋体" w:hAnsi="宋体" w:eastAsia="宋体" w:cs="宋体"/>
      <w:color w:val="000000"/>
      <w:sz w:val="24"/>
      <w:szCs w:val="24"/>
    </w:rPr>
  </w:style>
  <w:style w:type="character" w:customStyle="1" w:styleId="95">
    <w:name w:val="red"/>
    <w:basedOn w:val="39"/>
    <w:qFormat/>
    <w:uiPriority w:val="0"/>
    <w:rPr>
      <w:color w:val="FF0000"/>
      <w:sz w:val="18"/>
      <w:szCs w:val="18"/>
    </w:rPr>
  </w:style>
  <w:style w:type="character" w:customStyle="1" w:styleId="96">
    <w:name w:val="red1"/>
    <w:basedOn w:val="39"/>
    <w:qFormat/>
    <w:uiPriority w:val="0"/>
    <w:rPr>
      <w:color w:val="FF0000"/>
      <w:sz w:val="18"/>
      <w:szCs w:val="18"/>
    </w:rPr>
  </w:style>
  <w:style w:type="character" w:customStyle="1" w:styleId="97">
    <w:name w:val="red2"/>
    <w:basedOn w:val="39"/>
    <w:qFormat/>
    <w:uiPriority w:val="0"/>
    <w:rPr>
      <w:color w:val="CC0000"/>
    </w:rPr>
  </w:style>
  <w:style w:type="character" w:customStyle="1" w:styleId="98">
    <w:name w:val="red3"/>
    <w:basedOn w:val="39"/>
    <w:qFormat/>
    <w:uiPriority w:val="0"/>
    <w:rPr>
      <w:color w:val="FF0000"/>
    </w:rPr>
  </w:style>
  <w:style w:type="character" w:customStyle="1" w:styleId="99">
    <w:name w:val="blue"/>
    <w:basedOn w:val="39"/>
    <w:uiPriority w:val="0"/>
    <w:rPr>
      <w:color w:val="0371C6"/>
      <w:sz w:val="21"/>
      <w:szCs w:val="21"/>
    </w:rPr>
  </w:style>
  <w:style w:type="character" w:customStyle="1" w:styleId="100">
    <w:name w:val="green"/>
    <w:basedOn w:val="39"/>
    <w:qFormat/>
    <w:uiPriority w:val="0"/>
    <w:rPr>
      <w:color w:val="66AE00"/>
      <w:sz w:val="18"/>
      <w:szCs w:val="18"/>
    </w:rPr>
  </w:style>
  <w:style w:type="character" w:customStyle="1" w:styleId="101">
    <w:name w:val="green1"/>
    <w:basedOn w:val="39"/>
    <w:qFormat/>
    <w:uiPriority w:val="0"/>
    <w:rPr>
      <w:color w:val="66AE00"/>
      <w:sz w:val="18"/>
      <w:szCs w:val="18"/>
    </w:rPr>
  </w:style>
  <w:style w:type="character" w:customStyle="1" w:styleId="102">
    <w:name w:val="hover25"/>
    <w:basedOn w:val="39"/>
    <w:qFormat/>
    <w:uiPriority w:val="0"/>
  </w:style>
  <w:style w:type="character" w:customStyle="1" w:styleId="103">
    <w:name w:val="gb-jt"/>
    <w:basedOn w:val="39"/>
    <w:qFormat/>
    <w:uiPriority w:val="0"/>
  </w:style>
  <w:style w:type="character" w:customStyle="1" w:styleId="104">
    <w:name w:val="right"/>
    <w:basedOn w:val="39"/>
    <w:qFormat/>
    <w:uiPriority w:val="0"/>
    <w:rPr>
      <w:color w:val="999999"/>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30363F-3BBD-4A9E-82BF-967BF821D34B}">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103</Pages>
  <Words>38857</Words>
  <Characters>25678</Characters>
  <Lines>213</Lines>
  <Paragraphs>128</Paragraphs>
  <TotalTime>28</TotalTime>
  <ScaleCrop>false</ScaleCrop>
  <LinksUpToDate>false</LinksUpToDate>
  <CharactersWithSpaces>64407</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2018-07-10T05:56:00Z</dcterms:created>
  <dc:creator>袁静</dc:creator>
  <cp:lastModifiedBy>风轻云淡</cp:lastModifiedBy>
  <cp:lastPrinted>2018-07-13T02:20:00Z</cp:lastPrinted>
  <dcterms:modified xsi:type="dcterms:W3CDTF">2019-05-10T09:45:36Z</dcterms:modified>
  <dc:title>中华人民共和国</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