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楷体" w:hAnsi="楷体" w:eastAsia="楷体" w:cs="宋体"/>
          <w:b/>
          <w:bCs/>
          <w:kern w:val="0"/>
          <w:sz w:val="44"/>
          <w:szCs w:val="40"/>
        </w:rPr>
      </w:pPr>
    </w:p>
    <w:p>
      <w:pPr>
        <w:pStyle w:val="2"/>
        <w:ind w:firstLine="210"/>
      </w:pPr>
    </w:p>
    <w:p>
      <w:pPr>
        <w:widowControl/>
        <w:spacing w:line="360" w:lineRule="auto"/>
        <w:jc w:val="center"/>
        <w:rPr>
          <w:rFonts w:ascii="楷体" w:hAnsi="楷体" w:eastAsia="楷体" w:cs="宋体"/>
          <w:b/>
          <w:bCs/>
          <w:kern w:val="0"/>
          <w:sz w:val="48"/>
          <w:szCs w:val="44"/>
        </w:rPr>
      </w:pPr>
      <w:r>
        <w:rPr>
          <w:rFonts w:hint="eastAsia" w:ascii="楷体" w:hAnsi="楷体" w:eastAsia="楷体" w:cs="宋体"/>
          <w:b/>
          <w:bCs/>
          <w:kern w:val="0"/>
          <w:sz w:val="48"/>
          <w:szCs w:val="44"/>
        </w:rPr>
        <w:t>建安区建设工程</w:t>
      </w:r>
    </w:p>
    <w:p>
      <w:pPr>
        <w:widowControl/>
        <w:spacing w:line="360" w:lineRule="auto"/>
        <w:jc w:val="center"/>
        <w:rPr>
          <w:rFonts w:ascii="楷体" w:hAnsi="楷体" w:eastAsia="楷体" w:cs="宋体"/>
          <w:b/>
          <w:bCs/>
          <w:kern w:val="0"/>
          <w:sz w:val="44"/>
          <w:szCs w:val="40"/>
        </w:rPr>
      </w:pP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招</w:t>
      </w: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标</w:t>
      </w: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文</w:t>
      </w:r>
    </w:p>
    <w:p>
      <w:pPr>
        <w:widowControl/>
        <w:spacing w:line="0" w:lineRule="atLeast"/>
        <w:jc w:val="center"/>
        <w:rPr>
          <w:rFonts w:ascii="黑体" w:hAnsi="黑体" w:eastAsia="黑体" w:cs="黑体"/>
          <w:kern w:val="0"/>
          <w:sz w:val="144"/>
          <w:szCs w:val="144"/>
        </w:rPr>
      </w:pPr>
      <w:r>
        <w:rPr>
          <w:rFonts w:hint="eastAsia" w:ascii="黑体" w:hAnsi="黑体" w:eastAsia="黑体" w:cs="黑体"/>
          <w:b/>
          <w:bCs/>
          <w:kern w:val="0"/>
          <w:sz w:val="96"/>
          <w:szCs w:val="96"/>
        </w:rPr>
        <w:t>件</w:t>
      </w:r>
    </w:p>
    <w:p>
      <w:pPr>
        <w:widowControl/>
        <w:spacing w:line="360" w:lineRule="auto"/>
        <w:jc w:val="center"/>
        <w:rPr>
          <w:rFonts w:ascii="楷体" w:hAnsi="楷体" w:eastAsia="楷体" w:cs="宋体"/>
          <w:b/>
          <w:bCs/>
          <w:kern w:val="0"/>
          <w:sz w:val="48"/>
          <w:szCs w:val="44"/>
        </w:rPr>
      </w:pPr>
    </w:p>
    <w:p>
      <w:pPr>
        <w:widowControl/>
        <w:spacing w:line="360" w:lineRule="auto"/>
        <w:jc w:val="center"/>
        <w:rPr>
          <w:rFonts w:ascii="楷体" w:hAnsi="楷体" w:eastAsia="楷体" w:cs="宋体"/>
          <w:b/>
          <w:bCs/>
          <w:kern w:val="0"/>
          <w:sz w:val="48"/>
          <w:szCs w:val="44"/>
        </w:rPr>
      </w:pPr>
      <w:r>
        <w:rPr>
          <w:rFonts w:hint="eastAsia" w:ascii="楷体" w:hAnsi="楷体" w:eastAsia="楷体" w:cs="宋体"/>
          <w:b/>
          <w:bCs/>
          <w:kern w:val="0"/>
          <w:sz w:val="48"/>
          <w:szCs w:val="44"/>
        </w:rPr>
        <w:t>（二标段）</w:t>
      </w:r>
    </w:p>
    <w:p>
      <w:pPr>
        <w:autoSpaceDE w:val="0"/>
        <w:autoSpaceDN w:val="0"/>
        <w:adjustRightInd w:val="0"/>
        <w:spacing w:line="420" w:lineRule="exact"/>
        <w:ind w:firstLine="301" w:firstLineChars="200"/>
        <w:jc w:val="left"/>
        <w:outlineLvl w:val="0"/>
        <w:rPr>
          <w:rFonts w:ascii="宋体" w:hAnsi="宋体" w:cs="宋体"/>
          <w:b/>
          <w:bCs/>
          <w:kern w:val="0"/>
          <w:sz w:val="15"/>
          <w:szCs w:val="15"/>
        </w:rPr>
      </w:pPr>
    </w:p>
    <w:p>
      <w:pPr>
        <w:autoSpaceDE w:val="0"/>
        <w:autoSpaceDN w:val="0"/>
        <w:adjustRightInd w:val="0"/>
        <w:spacing w:line="360" w:lineRule="auto"/>
        <w:ind w:firstLine="643" w:firstLineChars="200"/>
        <w:jc w:val="left"/>
        <w:outlineLvl w:val="0"/>
        <w:rPr>
          <w:rFonts w:ascii="宋体" w:hAnsi="宋体" w:cs="宋体"/>
          <w:b/>
          <w:bCs/>
          <w:kern w:val="0"/>
          <w:sz w:val="32"/>
          <w:szCs w:val="32"/>
        </w:rPr>
      </w:pPr>
      <w:r>
        <w:rPr>
          <w:rFonts w:hint="eastAsia" w:ascii="宋体" w:hAnsi="宋体" w:cs="宋体"/>
          <w:b/>
          <w:bCs/>
          <w:kern w:val="0"/>
          <w:sz w:val="32"/>
          <w:szCs w:val="32"/>
        </w:rPr>
        <w:t>项目编号：建安建工公字〔2019〕79号</w:t>
      </w:r>
    </w:p>
    <w:p>
      <w:pPr>
        <w:autoSpaceDE w:val="0"/>
        <w:autoSpaceDN w:val="0"/>
        <w:adjustRightInd w:val="0"/>
        <w:spacing w:line="360" w:lineRule="auto"/>
        <w:ind w:firstLine="643" w:firstLineChars="200"/>
        <w:jc w:val="left"/>
        <w:outlineLvl w:val="0"/>
        <w:rPr>
          <w:rFonts w:hint="eastAsia" w:ascii="宋体" w:hAnsi="宋体" w:eastAsia="宋体" w:cs="宋体"/>
          <w:b/>
          <w:bCs/>
          <w:kern w:val="0"/>
          <w:sz w:val="32"/>
          <w:szCs w:val="32"/>
          <w:lang w:eastAsia="zh-CN"/>
        </w:rPr>
      </w:pPr>
      <w:r>
        <w:rPr>
          <w:rFonts w:hint="eastAsia" w:ascii="宋体" w:hAnsi="宋体" w:cs="宋体"/>
          <w:b/>
          <w:bCs/>
          <w:kern w:val="0"/>
          <w:sz w:val="32"/>
          <w:szCs w:val="32"/>
        </w:rPr>
        <w:t>项目名称：</w:t>
      </w:r>
      <w:r>
        <w:rPr>
          <w:rFonts w:hint="eastAsia" w:ascii="宋体" w:hAnsi="宋体" w:cs="宋体"/>
          <w:b/>
          <w:bCs/>
          <w:kern w:val="0"/>
          <w:sz w:val="32"/>
          <w:szCs w:val="32"/>
          <w:lang w:eastAsia="zh-CN"/>
        </w:rPr>
        <w:t>建安区第一高级中学新校区建设项目</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招 标 人：许昌市建安区教育体育局</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代理机构：深圳市合创建设工程顾问有限公司</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日    期：二〇一九年五月</w:t>
      </w:r>
    </w:p>
    <w:p>
      <w:pPr>
        <w:widowControl/>
        <w:jc w:val="left"/>
        <w:rPr>
          <w:rFonts w:ascii="宋体" w:hAnsi="宋体" w:cs="宋体"/>
          <w:b/>
          <w:sz w:val="48"/>
          <w:szCs w:val="48"/>
        </w:rPr>
      </w:pPr>
    </w:p>
    <w:p>
      <w:pPr>
        <w:spacing w:beforeLines="100" w:line="360" w:lineRule="auto"/>
        <w:jc w:val="center"/>
        <w:rPr>
          <w:rFonts w:ascii="宋体" w:hAnsi="宋体" w:cs="宋体"/>
          <w:b/>
          <w:sz w:val="30"/>
          <w:szCs w:val="30"/>
        </w:rPr>
      </w:pPr>
      <w:r>
        <w:rPr>
          <w:rFonts w:hint="eastAsia" w:ascii="宋体" w:hAnsi="宋体" w:cs="宋体"/>
          <w:b/>
          <w:sz w:val="48"/>
          <w:szCs w:val="48"/>
        </w:rPr>
        <w:t>目  录</w:t>
      </w:r>
    </w:p>
    <w:p>
      <w:pPr>
        <w:spacing w:line="480" w:lineRule="auto"/>
        <w:ind w:firstLine="280" w:firstLineChars="100"/>
        <w:jc w:val="left"/>
        <w:rPr>
          <w:rFonts w:ascii="宋体" w:hAnsi="宋体" w:cs="宋体"/>
          <w:sz w:val="28"/>
        </w:rPr>
      </w:pPr>
      <w:r>
        <w:rPr>
          <w:rFonts w:hint="eastAsia" w:ascii="宋体" w:hAnsi="宋体" w:cs="宋体"/>
          <w:sz w:val="28"/>
        </w:rPr>
        <w:t>第一章 招标公告…………………………………………………………02</w:t>
      </w:r>
    </w:p>
    <w:p>
      <w:pPr>
        <w:spacing w:line="480" w:lineRule="auto"/>
        <w:ind w:firstLine="280" w:firstLineChars="100"/>
        <w:jc w:val="left"/>
        <w:rPr>
          <w:rFonts w:ascii="宋体" w:hAnsi="宋体" w:cs="宋体"/>
          <w:sz w:val="28"/>
        </w:rPr>
      </w:pPr>
      <w:r>
        <w:rPr>
          <w:rFonts w:hint="eastAsia" w:ascii="宋体" w:hAnsi="宋体" w:cs="宋体"/>
          <w:sz w:val="28"/>
        </w:rPr>
        <w:t>第二章 投标人须知………………………………………………………06</w:t>
      </w:r>
    </w:p>
    <w:p>
      <w:pPr>
        <w:spacing w:line="480" w:lineRule="auto"/>
        <w:ind w:firstLine="280" w:firstLineChars="100"/>
        <w:jc w:val="left"/>
        <w:rPr>
          <w:rFonts w:ascii="宋体" w:hAnsi="宋体" w:cs="宋体"/>
          <w:sz w:val="28"/>
        </w:rPr>
      </w:pPr>
      <w:r>
        <w:rPr>
          <w:rFonts w:hint="eastAsia" w:ascii="宋体" w:hAnsi="宋体" w:cs="宋体"/>
          <w:sz w:val="28"/>
        </w:rPr>
        <w:t>第三章 评标办法…………………………………………………………23</w:t>
      </w:r>
    </w:p>
    <w:p>
      <w:pPr>
        <w:spacing w:line="480" w:lineRule="auto"/>
        <w:ind w:firstLine="280" w:firstLineChars="100"/>
        <w:jc w:val="left"/>
        <w:rPr>
          <w:rFonts w:ascii="宋体" w:hAnsi="宋体" w:cs="宋体"/>
          <w:sz w:val="28"/>
        </w:rPr>
      </w:pPr>
      <w:r>
        <w:rPr>
          <w:rFonts w:hint="eastAsia" w:ascii="宋体" w:hAnsi="宋体" w:cs="宋体"/>
          <w:sz w:val="28"/>
        </w:rPr>
        <w:t>第四章 合同条款及格式…………………………………………………27</w:t>
      </w:r>
    </w:p>
    <w:p>
      <w:pPr>
        <w:spacing w:line="480" w:lineRule="auto"/>
        <w:ind w:firstLine="280" w:firstLineChars="100"/>
        <w:jc w:val="left"/>
        <w:rPr>
          <w:rFonts w:ascii="宋体" w:hAnsi="宋体" w:cs="宋体"/>
          <w:sz w:val="28"/>
        </w:rPr>
      </w:pPr>
      <w:r>
        <w:rPr>
          <w:rFonts w:hint="eastAsia" w:ascii="宋体" w:hAnsi="宋体" w:cs="宋体"/>
          <w:sz w:val="28"/>
        </w:rPr>
        <w:t>第五章 投标文件格式……………………………………………………45</w:t>
      </w:r>
    </w:p>
    <w:p>
      <w:pPr>
        <w:spacing w:line="800" w:lineRule="exact"/>
        <w:ind w:firstLine="1648" w:firstLineChars="513"/>
        <w:rPr>
          <w:rFonts w:ascii="宋体" w:hAnsi="宋体" w:cs="宋体"/>
          <w:b/>
          <w:sz w:val="32"/>
          <w:szCs w:val="32"/>
        </w:rPr>
      </w:pPr>
    </w:p>
    <w:p>
      <w:pPr>
        <w:spacing w:line="800" w:lineRule="exact"/>
        <w:ind w:firstLine="1648" w:firstLineChars="513"/>
        <w:rPr>
          <w:rFonts w:ascii="宋体" w:hAnsi="宋体" w:cs="宋体"/>
          <w:b/>
          <w:sz w:val="32"/>
          <w:szCs w:val="32"/>
        </w:rPr>
      </w:pPr>
    </w:p>
    <w:p>
      <w:pPr>
        <w:autoSpaceDE w:val="0"/>
        <w:autoSpaceDN w:val="0"/>
        <w:spacing w:line="360" w:lineRule="auto"/>
        <w:jc w:val="center"/>
        <w:rPr>
          <w:rFonts w:ascii="宋体" w:hAnsi="宋体" w:cs="宋体"/>
          <w:kern w:val="0"/>
          <w:sz w:val="32"/>
          <w:szCs w:val="32"/>
        </w:rPr>
      </w:pPr>
    </w:p>
    <w:p>
      <w:pPr>
        <w:autoSpaceDE w:val="0"/>
        <w:autoSpaceDN w:val="0"/>
        <w:spacing w:line="360" w:lineRule="auto"/>
        <w:jc w:val="center"/>
        <w:rPr>
          <w:rFonts w:ascii="宋体" w:hAnsi="宋体" w:cs="宋体"/>
          <w:b/>
          <w:bCs/>
          <w:sz w:val="32"/>
          <w:szCs w:val="32"/>
        </w:rPr>
      </w:pPr>
      <w:bookmarkStart w:id="0" w:name="_Toc430591958"/>
      <w:r>
        <w:rPr>
          <w:rFonts w:hint="eastAsia" w:ascii="宋体" w:hAnsi="宋体" w:cs="宋体"/>
          <w:b/>
          <w:bCs/>
          <w:sz w:val="32"/>
          <w:szCs w:val="32"/>
        </w:rPr>
        <w:br w:type="page"/>
      </w:r>
      <w:r>
        <w:rPr>
          <w:rFonts w:hint="eastAsia" w:ascii="宋体" w:hAnsi="宋体" w:cs="宋体"/>
          <w:b/>
          <w:bCs/>
          <w:sz w:val="32"/>
          <w:szCs w:val="32"/>
        </w:rPr>
        <w:t>第一章 招标公告</w:t>
      </w:r>
      <w:bookmarkEnd w:id="0"/>
      <w:bookmarkStart w:id="1" w:name="_Toc430591959"/>
    </w:p>
    <w:p>
      <w:pPr>
        <w:spacing w:line="360" w:lineRule="auto"/>
        <w:jc w:val="center"/>
        <w:rPr>
          <w:rFonts w:ascii="宋体" w:hAnsi="宋体" w:cs="宋体"/>
          <w:b/>
          <w:sz w:val="32"/>
          <w:szCs w:val="32"/>
        </w:rPr>
      </w:pPr>
      <w:r>
        <w:rPr>
          <w:rFonts w:hint="eastAsia" w:ascii="宋体" w:hAnsi="宋体" w:cs="宋体"/>
          <w:b/>
          <w:sz w:val="32"/>
          <w:szCs w:val="32"/>
        </w:rPr>
        <w:t>建安建工公字〔2019〕79号</w:t>
      </w:r>
    </w:p>
    <w:p>
      <w:pPr>
        <w:spacing w:line="360" w:lineRule="auto"/>
        <w:jc w:val="center"/>
        <w:rPr>
          <w:rFonts w:ascii="宋体" w:hAnsi="宋体" w:cs="宋体"/>
          <w:b/>
          <w:sz w:val="32"/>
          <w:szCs w:val="32"/>
        </w:rPr>
      </w:pPr>
      <w:r>
        <w:rPr>
          <w:rFonts w:hint="eastAsia" w:ascii="宋体" w:hAnsi="宋体" w:cs="宋体"/>
          <w:b/>
          <w:sz w:val="32"/>
          <w:szCs w:val="32"/>
        </w:rPr>
        <w:t>许昌市建安区教育体育局</w:t>
      </w:r>
    </w:p>
    <w:p>
      <w:pPr>
        <w:spacing w:line="360" w:lineRule="auto"/>
        <w:jc w:val="center"/>
        <w:rPr>
          <w:rFonts w:ascii="宋体" w:hAnsi="宋体" w:cs="宋体"/>
          <w:b/>
          <w:sz w:val="32"/>
          <w:szCs w:val="32"/>
        </w:rPr>
      </w:pPr>
      <w:r>
        <w:rPr>
          <w:rFonts w:hint="eastAsia" w:ascii="宋体" w:hAnsi="宋体" w:cs="宋体"/>
          <w:b/>
          <w:sz w:val="32"/>
          <w:szCs w:val="32"/>
          <w:lang w:eastAsia="zh-CN"/>
        </w:rPr>
        <w:t>建安区第一高级中学新校区建设项目</w:t>
      </w:r>
      <w:r>
        <w:rPr>
          <w:rFonts w:hint="eastAsia" w:ascii="宋体" w:hAnsi="宋体" w:cs="宋体"/>
          <w:b/>
          <w:sz w:val="32"/>
          <w:szCs w:val="32"/>
        </w:rPr>
        <w:t>公开招标公告</w:t>
      </w:r>
    </w:p>
    <w:p>
      <w:pPr>
        <w:spacing w:line="360" w:lineRule="auto"/>
        <w:ind w:firstLine="442" w:firstLineChars="200"/>
        <w:rPr>
          <w:rFonts w:ascii="宋体" w:hAnsi="宋体" w:cs="宋体"/>
          <w:b/>
          <w:sz w:val="22"/>
          <w:szCs w:val="22"/>
        </w:rPr>
      </w:pPr>
    </w:p>
    <w:p>
      <w:pPr>
        <w:spacing w:line="360" w:lineRule="auto"/>
        <w:ind w:firstLine="482" w:firstLineChars="200"/>
        <w:rPr>
          <w:rFonts w:ascii="宋体" w:hAnsi="宋体" w:cs="宋体"/>
          <w:b/>
          <w:sz w:val="24"/>
        </w:rPr>
      </w:pPr>
      <w:r>
        <w:rPr>
          <w:rFonts w:hint="eastAsia" w:ascii="宋体" w:hAnsi="宋体" w:cs="宋体"/>
          <w:b/>
          <w:sz w:val="24"/>
        </w:rPr>
        <w:t>一、项目概况</w:t>
      </w:r>
    </w:p>
    <w:p>
      <w:pPr>
        <w:spacing w:line="360" w:lineRule="auto"/>
        <w:ind w:firstLine="480" w:firstLineChars="200"/>
        <w:rPr>
          <w:rFonts w:ascii="宋体" w:hAnsi="宋体" w:cs="宋体"/>
          <w:sz w:val="24"/>
        </w:rPr>
      </w:pPr>
      <w:r>
        <w:rPr>
          <w:rFonts w:hint="eastAsia" w:ascii="宋体" w:hAnsi="宋体" w:cs="宋体"/>
          <w:sz w:val="24"/>
        </w:rPr>
        <w:t>1、项目编号：建安建工公字〔2019〕79 号。</w:t>
      </w:r>
    </w:p>
    <w:p>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lang w:eastAsia="zh-CN"/>
        </w:rPr>
        <w:t>建安区第一高级中学新校区建设项目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3、招标单位：许昌市建安区教育体育局。</w:t>
      </w:r>
    </w:p>
    <w:p>
      <w:pPr>
        <w:spacing w:line="360" w:lineRule="auto"/>
        <w:ind w:firstLine="480" w:firstLineChars="200"/>
        <w:rPr>
          <w:rFonts w:ascii="宋体" w:hAnsi="宋体" w:cs="宋体"/>
          <w:sz w:val="24"/>
        </w:rPr>
      </w:pPr>
      <w:r>
        <w:rPr>
          <w:rFonts w:hint="eastAsia" w:ascii="宋体" w:hAnsi="宋体" w:cs="宋体"/>
          <w:sz w:val="24"/>
        </w:rPr>
        <w:t>4、项目简介：本项目位于清河西路以西，汉林路以东，农大路以北，规划道路以南。占地面积约442亩，概算总投资约5.6亿元，建设寄宿制高中120班。</w:t>
      </w:r>
    </w:p>
    <w:p>
      <w:pPr>
        <w:spacing w:line="360" w:lineRule="auto"/>
        <w:ind w:firstLine="480" w:firstLineChars="200"/>
        <w:rPr>
          <w:rFonts w:ascii="宋体" w:hAnsi="宋体" w:cs="宋体"/>
          <w:sz w:val="24"/>
        </w:rPr>
      </w:pPr>
      <w:r>
        <w:rPr>
          <w:rFonts w:hint="eastAsia" w:ascii="宋体" w:hAnsi="宋体" w:cs="宋体"/>
          <w:sz w:val="24"/>
        </w:rPr>
        <w:t>5、招标控制费率：工程总承包标：财政主管部门评审结论的98%。监理标：工程总承包中施工费中标价的0.7%。</w:t>
      </w:r>
    </w:p>
    <w:p>
      <w:pPr>
        <w:spacing w:line="360" w:lineRule="auto"/>
        <w:ind w:firstLine="480" w:firstLineChars="200"/>
        <w:rPr>
          <w:rFonts w:ascii="宋体" w:hAnsi="宋体" w:cs="宋体"/>
          <w:sz w:val="24"/>
        </w:rPr>
      </w:pPr>
      <w:r>
        <w:rPr>
          <w:rFonts w:hint="eastAsia" w:ascii="宋体" w:hAnsi="宋体" w:cs="宋体"/>
          <w:sz w:val="24"/>
        </w:rPr>
        <w:t>6、计划工期：工程总承包标：30个月。</w:t>
      </w:r>
      <w:r>
        <w:rPr>
          <w:rFonts w:hint="eastAsia" w:hAnsi="宋体" w:cs="宋体"/>
          <w:sz w:val="24"/>
        </w:rPr>
        <w:t>监理服务期</w:t>
      </w:r>
      <w:r>
        <w:rPr>
          <w:rFonts w:hint="eastAsia" w:ascii="宋体" w:hAnsi="宋体" w:cs="宋体"/>
          <w:sz w:val="24"/>
        </w:rPr>
        <w:t>：同施工工期+质保期。</w:t>
      </w:r>
    </w:p>
    <w:p>
      <w:pPr>
        <w:spacing w:line="360" w:lineRule="auto"/>
        <w:ind w:firstLine="480" w:firstLineChars="200"/>
        <w:rPr>
          <w:rFonts w:ascii="宋体" w:hAnsi="宋体" w:cs="宋体"/>
          <w:sz w:val="24"/>
        </w:rPr>
      </w:pPr>
      <w:r>
        <w:rPr>
          <w:rFonts w:hint="eastAsia" w:ascii="宋体" w:hAnsi="宋体" w:cs="宋体"/>
          <w:sz w:val="24"/>
        </w:rPr>
        <w:t>7、质量要求：工程总承包标：合格（达到国家建设工程质量验收的规范和标准），</w:t>
      </w:r>
      <w:r>
        <w:rPr>
          <w:rFonts w:hint="eastAsia" w:ascii="宋体" w:hAnsi="宋体" w:cs="宋体"/>
          <w:sz w:val="24"/>
          <w:lang w:eastAsia="zh-CN"/>
        </w:rPr>
        <w:t>勘察、</w:t>
      </w:r>
      <w:r>
        <w:rPr>
          <w:rFonts w:hint="eastAsia" w:ascii="宋体" w:hAnsi="宋体" w:cs="宋体"/>
          <w:sz w:val="24"/>
        </w:rPr>
        <w:t>设计</w:t>
      </w:r>
      <w:r>
        <w:rPr>
          <w:rFonts w:ascii="宋体" w:hAnsi="宋体" w:cs="宋体"/>
          <w:sz w:val="24"/>
        </w:rPr>
        <w:t>符合国家现行设计规范、规程、规定、标准等</w:t>
      </w:r>
      <w:r>
        <w:rPr>
          <w:rFonts w:hint="eastAsia" w:ascii="宋体" w:hAnsi="宋体" w:cs="宋体"/>
          <w:sz w:val="24"/>
        </w:rPr>
        <w:t>。监理标：合格（达到国家建设工程质量验收的规范和标准）。</w:t>
      </w:r>
    </w:p>
    <w:p>
      <w:pPr>
        <w:spacing w:line="360" w:lineRule="auto"/>
        <w:ind w:firstLine="480" w:firstLineChars="200"/>
        <w:rPr>
          <w:rFonts w:ascii="宋体" w:hAnsi="宋体" w:cs="宋体"/>
          <w:sz w:val="24"/>
        </w:rPr>
      </w:pPr>
      <w:r>
        <w:rPr>
          <w:rFonts w:hint="eastAsia" w:ascii="宋体" w:hAnsi="宋体" w:cs="宋体"/>
          <w:sz w:val="24"/>
        </w:rPr>
        <w:t>8、招标范围：工程总承包标：招标文件、设计（含方案设计、技术设计或施工图设计等相关设计）、地勘、施工、调试、验收、保修及配合招标人对手续办理等全过程工程总承包及相关后续工作、补充文件（如有）、答疑纪要（如有）等范围内的所有内容。监理标：招标文件、答疑纪要（如有）和补充文件（如有）等范围内的全部内容。</w:t>
      </w:r>
    </w:p>
    <w:p>
      <w:pPr>
        <w:spacing w:line="360" w:lineRule="auto"/>
        <w:ind w:firstLine="480" w:firstLineChars="200"/>
        <w:rPr>
          <w:rFonts w:ascii="宋体" w:hAnsi="宋体" w:cs="宋体"/>
          <w:sz w:val="24"/>
        </w:rPr>
      </w:pPr>
      <w:r>
        <w:rPr>
          <w:rFonts w:hint="eastAsia" w:ascii="宋体" w:hAnsi="宋体" w:cs="宋体"/>
          <w:sz w:val="24"/>
        </w:rPr>
        <w:t>9、标段划分：本项目共设两个标段。</w:t>
      </w:r>
      <w:r>
        <w:rPr>
          <w:rFonts w:hint="eastAsia" w:hAnsi="宋体" w:cs="宋体"/>
          <w:sz w:val="24"/>
        </w:rPr>
        <w:t>一标段：</w:t>
      </w:r>
      <w:r>
        <w:rPr>
          <w:rFonts w:hint="eastAsia" w:ascii="宋体" w:hAnsi="宋体" w:cs="宋体"/>
          <w:sz w:val="24"/>
        </w:rPr>
        <w:t>工程总承包标</w:t>
      </w:r>
      <w:r>
        <w:rPr>
          <w:rFonts w:hint="eastAsia" w:hAnsi="宋体" w:cs="宋体"/>
          <w:sz w:val="24"/>
        </w:rPr>
        <w:t>；二标段：</w:t>
      </w:r>
      <w:r>
        <w:rPr>
          <w:rFonts w:hint="eastAsia" w:ascii="宋体" w:hAnsi="宋体" w:cs="宋体"/>
          <w:sz w:val="24"/>
        </w:rPr>
        <w:t>监理标。</w:t>
      </w:r>
    </w:p>
    <w:p>
      <w:pPr>
        <w:spacing w:line="360" w:lineRule="auto"/>
        <w:ind w:firstLine="480" w:firstLineChars="200"/>
        <w:rPr>
          <w:rFonts w:ascii="宋体" w:hAnsi="宋体" w:cs="宋体"/>
          <w:sz w:val="24"/>
        </w:rPr>
      </w:pPr>
      <w:r>
        <w:rPr>
          <w:rFonts w:hint="eastAsia" w:ascii="宋体" w:hAnsi="宋体" w:cs="宋体"/>
          <w:sz w:val="24"/>
        </w:rPr>
        <w:t>10、不组织勘察现场。</w:t>
      </w:r>
    </w:p>
    <w:p>
      <w:pPr>
        <w:spacing w:line="360" w:lineRule="auto"/>
        <w:ind w:firstLine="482" w:firstLineChars="200"/>
        <w:rPr>
          <w:rFonts w:ascii="宋体" w:hAnsi="宋体" w:cs="宋体"/>
          <w:b/>
          <w:sz w:val="24"/>
        </w:rPr>
      </w:pPr>
      <w:r>
        <w:rPr>
          <w:rFonts w:hint="eastAsia" w:ascii="宋体" w:hAnsi="宋体" w:cs="宋体"/>
          <w:b/>
          <w:sz w:val="24"/>
        </w:rPr>
        <w:t>二、投标人资格要求</w:t>
      </w:r>
    </w:p>
    <w:p>
      <w:pPr>
        <w:spacing w:line="360" w:lineRule="auto"/>
        <w:ind w:firstLine="480" w:firstLineChars="200"/>
        <w:rPr>
          <w:rFonts w:ascii="宋体" w:hAnsi="宋体" w:cs="宋体"/>
          <w:sz w:val="24"/>
        </w:rPr>
      </w:pPr>
      <w:r>
        <w:rPr>
          <w:rFonts w:hint="eastAsia" w:ascii="宋体" w:hAnsi="宋体" w:cs="宋体"/>
          <w:sz w:val="24"/>
        </w:rPr>
        <w:t>工程总承包标：</w:t>
      </w:r>
    </w:p>
    <w:p>
      <w:pPr>
        <w:spacing w:line="360" w:lineRule="auto"/>
        <w:ind w:firstLine="480" w:firstLineChars="200"/>
        <w:rPr>
          <w:rFonts w:ascii="宋体" w:hAnsi="宋体" w:cs="宋体"/>
          <w:sz w:val="24"/>
        </w:rPr>
      </w:pPr>
      <w:r>
        <w:rPr>
          <w:rFonts w:hint="eastAsia" w:ascii="宋体" w:hAnsi="宋体" w:cs="宋体"/>
          <w:sz w:val="24"/>
        </w:rPr>
        <w:t>1、须具备独立的法人资格；</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0"/>
          <w:sz w:val="24"/>
        </w:rPr>
        <w:t>具备建设行政主管部门颁发的建筑工程施工总承包壹级及以上资质和工程设计综合甲级资质或建筑工程施工总承包壹级及以上资质和建筑工程设计甲级资质，具备建筑工程施工总承包资质的须具有</w:t>
      </w:r>
      <w:r>
        <w:rPr>
          <w:rFonts w:hint="eastAsia" w:ascii="宋体" w:hAnsi="宋体" w:cs="宋体"/>
          <w:sz w:val="24"/>
        </w:rPr>
        <w:t>有效的安全生产许可证。且在人员、设备、资金等方面具备相应的工程总承包实施能力；</w:t>
      </w:r>
    </w:p>
    <w:p>
      <w:pPr>
        <w:spacing w:line="360" w:lineRule="auto"/>
        <w:ind w:firstLine="480" w:firstLineChars="200"/>
        <w:rPr>
          <w:rFonts w:ascii="宋体" w:hAnsi="宋体" w:cs="宋体"/>
          <w:sz w:val="24"/>
        </w:rPr>
      </w:pPr>
      <w:r>
        <w:rPr>
          <w:rFonts w:hint="eastAsia" w:ascii="宋体" w:hAnsi="宋体" w:cs="宋体"/>
          <w:sz w:val="24"/>
        </w:rPr>
        <w:t>3、拟派项目负责人须具备建筑工程专业壹级注册建造师执业资格，且具有有效的安全生产考核合格证书，且未担任其它在施建设工程的项目负责人；</w:t>
      </w:r>
    </w:p>
    <w:p>
      <w:pPr>
        <w:spacing w:line="360" w:lineRule="auto"/>
        <w:ind w:firstLine="480" w:firstLineChars="200"/>
        <w:rPr>
          <w:rFonts w:ascii="宋体" w:hAnsi="宋体" w:cs="宋体"/>
          <w:sz w:val="24"/>
        </w:rPr>
      </w:pPr>
      <w:r>
        <w:rPr>
          <w:rFonts w:hint="eastAsia" w:ascii="宋体" w:hAnsi="宋体" w:cs="宋体"/>
          <w:sz w:val="24"/>
        </w:rPr>
        <w:t>4、不接受投标人被“信用中国”和“信用河南”网站信用信息栏列入黑名单，以及被“国家企业信用信息公示系统”列入经营异常名录或严重失信黑名单的投标；</w:t>
      </w:r>
    </w:p>
    <w:p>
      <w:pPr>
        <w:spacing w:line="360" w:lineRule="auto"/>
        <w:ind w:firstLine="480" w:firstLineChars="200"/>
        <w:rPr>
          <w:rFonts w:ascii="宋体" w:hAnsi="宋体" w:cs="宋体"/>
          <w:sz w:val="24"/>
        </w:rPr>
      </w:pPr>
      <w:r>
        <w:rPr>
          <w:rFonts w:hint="eastAsia" w:ascii="宋体" w:hAnsi="宋体" w:cs="宋体"/>
          <w:sz w:val="24"/>
        </w:rPr>
        <w:t>5、不接受失信被执行人的投标；</w:t>
      </w:r>
    </w:p>
    <w:p>
      <w:pPr>
        <w:spacing w:line="360" w:lineRule="auto"/>
        <w:ind w:firstLine="480" w:firstLineChars="200"/>
        <w:rPr>
          <w:rFonts w:ascii="宋体" w:hAnsi="宋体" w:cs="宋体"/>
          <w:sz w:val="24"/>
        </w:rPr>
      </w:pPr>
      <w:r>
        <w:rPr>
          <w:rFonts w:hint="eastAsia" w:ascii="宋体" w:hAnsi="宋体" w:cs="宋体"/>
          <w:sz w:val="24"/>
        </w:rPr>
        <w:t>6、本次招标实行资格后审。</w:t>
      </w:r>
    </w:p>
    <w:p>
      <w:pPr>
        <w:spacing w:line="360" w:lineRule="auto"/>
        <w:ind w:firstLine="480" w:firstLineChars="200"/>
        <w:rPr>
          <w:rFonts w:ascii="宋体" w:hAnsi="宋体" w:cs="宋体"/>
          <w:sz w:val="24"/>
        </w:rPr>
      </w:pPr>
      <w:r>
        <w:rPr>
          <w:rFonts w:hint="eastAsia" w:ascii="宋体" w:hAnsi="宋体" w:cs="宋体"/>
          <w:sz w:val="24"/>
        </w:rPr>
        <w:t>监理标：</w:t>
      </w:r>
    </w:p>
    <w:p>
      <w:pPr>
        <w:spacing w:line="360" w:lineRule="auto"/>
        <w:ind w:firstLine="480" w:firstLineChars="200"/>
        <w:rPr>
          <w:rFonts w:ascii="宋体" w:hAnsi="宋体" w:cs="宋体"/>
          <w:sz w:val="24"/>
        </w:rPr>
      </w:pPr>
      <w:r>
        <w:rPr>
          <w:rFonts w:hint="eastAsia" w:ascii="宋体" w:hAnsi="宋体" w:cs="宋体"/>
          <w:sz w:val="24"/>
        </w:rPr>
        <w:t>1、须具备独立的法人资格；</w:t>
      </w:r>
    </w:p>
    <w:p>
      <w:pPr>
        <w:spacing w:line="360" w:lineRule="auto"/>
        <w:ind w:firstLine="480" w:firstLineChars="200"/>
        <w:rPr>
          <w:rFonts w:ascii="宋体" w:hAnsi="宋体" w:cs="宋体"/>
          <w:sz w:val="24"/>
        </w:rPr>
      </w:pPr>
      <w:r>
        <w:rPr>
          <w:rFonts w:hint="eastAsia" w:ascii="宋体" w:hAnsi="宋体" w:cs="宋体"/>
          <w:sz w:val="24"/>
        </w:rPr>
        <w:t>2、须具备建设行政主管部门颁发的监理综合甲级资质或建筑工程专业甲级监理资质；</w:t>
      </w:r>
    </w:p>
    <w:p>
      <w:pPr>
        <w:spacing w:line="360" w:lineRule="auto"/>
        <w:ind w:firstLine="480" w:firstLineChars="200"/>
        <w:rPr>
          <w:rFonts w:ascii="宋体" w:hAnsi="宋体" w:cs="宋体"/>
          <w:sz w:val="24"/>
        </w:rPr>
      </w:pPr>
      <w:r>
        <w:rPr>
          <w:rFonts w:hint="eastAsia" w:ascii="宋体" w:hAnsi="宋体" w:cs="宋体"/>
          <w:sz w:val="24"/>
        </w:rPr>
        <w:t>3、拟派项目负责人须具备建筑专业注册监理工程师资格；</w:t>
      </w:r>
    </w:p>
    <w:p>
      <w:pPr>
        <w:spacing w:line="360" w:lineRule="auto"/>
        <w:ind w:firstLine="480" w:firstLineChars="200"/>
        <w:rPr>
          <w:rFonts w:ascii="宋体" w:hAnsi="宋体" w:cs="宋体"/>
          <w:sz w:val="24"/>
        </w:rPr>
      </w:pPr>
      <w:r>
        <w:rPr>
          <w:rFonts w:hint="eastAsia" w:ascii="宋体" w:hAnsi="宋体" w:cs="宋体"/>
          <w:sz w:val="24"/>
        </w:rPr>
        <w:t>4、不接受投标人被“信用中国”和“信用河南”网站信用信息栏列入黑名单，以及被“国家企业信用信息公示系统”列入经营异常名录或严重失信黑名单的投标；</w:t>
      </w:r>
    </w:p>
    <w:p>
      <w:pPr>
        <w:spacing w:line="360" w:lineRule="auto"/>
        <w:ind w:firstLine="480" w:firstLineChars="200"/>
        <w:rPr>
          <w:rFonts w:ascii="宋体" w:hAnsi="宋体" w:cs="宋体"/>
          <w:sz w:val="24"/>
        </w:rPr>
      </w:pPr>
      <w:r>
        <w:rPr>
          <w:rFonts w:hint="eastAsia" w:ascii="宋体" w:hAnsi="宋体" w:cs="宋体"/>
          <w:sz w:val="24"/>
        </w:rPr>
        <w:t>5、本标段不接受联合体承包；</w:t>
      </w:r>
    </w:p>
    <w:p>
      <w:pPr>
        <w:spacing w:line="360" w:lineRule="auto"/>
        <w:ind w:firstLine="480" w:firstLineChars="200"/>
        <w:rPr>
          <w:rFonts w:ascii="宋体" w:hAnsi="宋体" w:cs="宋体"/>
          <w:sz w:val="24"/>
        </w:rPr>
      </w:pPr>
      <w:r>
        <w:rPr>
          <w:rFonts w:hint="eastAsia" w:ascii="宋体" w:hAnsi="宋体" w:cs="宋体"/>
          <w:sz w:val="24"/>
        </w:rPr>
        <w:t>6、不接受失信被执行人的投标；</w:t>
      </w:r>
    </w:p>
    <w:p>
      <w:pPr>
        <w:spacing w:line="360" w:lineRule="auto"/>
        <w:ind w:firstLine="480" w:firstLineChars="200"/>
      </w:pPr>
      <w:r>
        <w:rPr>
          <w:rFonts w:hint="eastAsia" w:ascii="宋体" w:hAnsi="宋体" w:cs="宋体"/>
          <w:sz w:val="24"/>
        </w:rPr>
        <w:t>7、本次招标实行资格后审。</w:t>
      </w:r>
    </w:p>
    <w:p>
      <w:pPr>
        <w:spacing w:line="360" w:lineRule="auto"/>
        <w:ind w:firstLine="482" w:firstLineChars="200"/>
        <w:rPr>
          <w:rFonts w:ascii="宋体" w:hAnsi="宋体" w:cs="宋体"/>
          <w:b/>
          <w:sz w:val="24"/>
        </w:rPr>
      </w:pPr>
      <w:r>
        <w:rPr>
          <w:rFonts w:hint="eastAsia" w:ascii="宋体" w:hAnsi="宋体" w:cs="宋体"/>
          <w:b/>
          <w:sz w:val="24"/>
        </w:rPr>
        <w:t>三、投标报名时间及方式</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1、投标文件提交的截止时间及开标时间：2019年6月4日9时30分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3、在投标截止时间前均可登录【全国公共资源交易平台（河南省·许昌市）】“投标人/供应商登录”入口（http://221.14.6.70:8088/ggzy/）自行下载招标文件等（详见“常见问题解答-交易系统操作手册”）。</w:t>
      </w:r>
    </w:p>
    <w:p>
      <w:pPr>
        <w:spacing w:line="360" w:lineRule="auto"/>
        <w:ind w:firstLine="482" w:firstLineChars="200"/>
        <w:rPr>
          <w:rFonts w:ascii="宋体" w:hAnsi="宋体" w:cs="宋体"/>
          <w:b/>
          <w:sz w:val="24"/>
        </w:rPr>
      </w:pPr>
      <w:r>
        <w:rPr>
          <w:rFonts w:hint="eastAsia" w:ascii="宋体" w:hAnsi="宋体" w:cs="宋体"/>
          <w:b/>
          <w:sz w:val="24"/>
        </w:rPr>
        <w:t xml:space="preserve">四、招标文件、工程量清单和施工图纸的获取                                                                                                                                                                                                                                 </w:t>
      </w:r>
    </w:p>
    <w:p>
      <w:pPr>
        <w:spacing w:line="360" w:lineRule="auto"/>
        <w:ind w:firstLine="480" w:firstLineChars="200"/>
        <w:jc w:val="left"/>
        <w:rPr>
          <w:rFonts w:hAnsi="宋体" w:cs="宋体"/>
          <w:sz w:val="24"/>
        </w:rPr>
      </w:pPr>
      <w:r>
        <w:rPr>
          <w:rFonts w:hint="eastAsia" w:hAnsi="宋体" w:cs="宋体"/>
          <w:sz w:val="24"/>
        </w:rPr>
        <w:t>1、招标文件的获取：投标人于投标文件递交截止时间前均可登录《全国公共资源交易平台(河南省▪许昌市)》（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rPr>
        <w:t>http://www.xczbtb.com/</w:t>
      </w:r>
      <w:r>
        <w:rPr>
          <w:rFonts w:hint="eastAsia" w:hAnsi="宋体" w:cs="宋体"/>
          <w:sz w:val="24"/>
        </w:rPr>
        <w:fldChar w:fldCharType="end"/>
      </w:r>
      <w:r>
        <w:rPr>
          <w:rFonts w:hint="eastAsia" w:hAnsi="宋体" w:cs="宋体"/>
          <w:sz w:val="24"/>
        </w:rPr>
        <w:t>），通过“投标人/供应商登录” 入口自行下载。</w:t>
      </w:r>
    </w:p>
    <w:p>
      <w:pPr>
        <w:spacing w:line="360" w:lineRule="auto"/>
        <w:ind w:firstLine="480" w:firstLineChars="200"/>
        <w:jc w:val="left"/>
        <w:rPr>
          <w:rFonts w:hAnsi="宋体" w:cs="宋体"/>
          <w:sz w:val="24"/>
        </w:rPr>
      </w:pPr>
      <w:r>
        <w:rPr>
          <w:rFonts w:hint="eastAsia" w:hAnsi="宋体" w:cs="宋体"/>
          <w:sz w:val="24"/>
        </w:rPr>
        <w:t>2、招标文件每套售价300元，于递交投标文件时缴纳给招标代理机构，售后不退。</w:t>
      </w:r>
    </w:p>
    <w:p>
      <w:pPr>
        <w:spacing w:line="360" w:lineRule="auto"/>
        <w:ind w:firstLine="482" w:firstLineChars="200"/>
        <w:rPr>
          <w:rFonts w:ascii="宋体" w:hAnsi="宋体" w:cs="宋体"/>
          <w:b/>
          <w:sz w:val="24"/>
        </w:rPr>
      </w:pPr>
      <w:r>
        <w:rPr>
          <w:rFonts w:hint="eastAsia" w:ascii="宋体" w:hAnsi="宋体" w:cs="宋体"/>
          <w:b/>
          <w:sz w:val="24"/>
        </w:rPr>
        <w:t>五、投标文件的递交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1、本项目为全流程电子化交易项目，须提交电子投标文件和纸质投标文件（正本1份、副本1份）。</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2、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3、纸质投标文件提交地点：许昌市建安区新元大道兴业大厦4楼4167室。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4、逾期送达的或者未送达指定地点的纸质投标文件、及仅提供纸质投标文件的，招标人不予受理。</w:t>
      </w:r>
    </w:p>
    <w:p>
      <w:pPr>
        <w:spacing w:line="360" w:lineRule="auto"/>
        <w:ind w:firstLine="482" w:firstLineChars="200"/>
        <w:rPr>
          <w:rFonts w:ascii="宋体" w:hAnsi="宋体" w:cs="宋体"/>
          <w:b/>
          <w:sz w:val="24"/>
        </w:rPr>
      </w:pPr>
      <w:r>
        <w:rPr>
          <w:rFonts w:hint="eastAsia" w:ascii="宋体" w:hAnsi="宋体" w:cs="宋体"/>
          <w:b/>
          <w:sz w:val="24"/>
        </w:rPr>
        <w:t>六、发布公告的媒介</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本公告同时在《全国公共资源交易平台(河南省▪许昌市)》、《河南省电子招标投标公共服务平台》上发布。</w:t>
      </w:r>
    </w:p>
    <w:p>
      <w:pPr>
        <w:spacing w:line="360" w:lineRule="auto"/>
        <w:ind w:firstLine="482" w:firstLineChars="200"/>
        <w:rPr>
          <w:rFonts w:ascii="宋体" w:hAnsi="宋体" w:cs="宋体"/>
          <w:b/>
          <w:sz w:val="24"/>
        </w:rPr>
      </w:pPr>
      <w:r>
        <w:rPr>
          <w:rFonts w:hint="eastAsia" w:ascii="宋体" w:hAnsi="宋体" w:cs="宋体"/>
          <w:b/>
          <w:sz w:val="24"/>
        </w:rPr>
        <w:t>七、联系方式</w:t>
      </w:r>
    </w:p>
    <w:p>
      <w:pPr>
        <w:spacing w:line="360" w:lineRule="auto"/>
        <w:ind w:firstLine="480" w:firstLineChars="200"/>
        <w:rPr>
          <w:rFonts w:ascii="宋体" w:hAnsi="宋体" w:cs="宋体"/>
          <w:sz w:val="24"/>
        </w:rPr>
      </w:pPr>
      <w:r>
        <w:rPr>
          <w:rFonts w:hint="eastAsia" w:ascii="宋体" w:hAnsi="宋体" w:cs="宋体"/>
          <w:sz w:val="24"/>
        </w:rPr>
        <w:t>招 标 人：许昌市建安区教育体育局</w:t>
      </w:r>
    </w:p>
    <w:p>
      <w:pPr>
        <w:spacing w:line="360" w:lineRule="auto"/>
        <w:ind w:firstLine="480" w:firstLineChars="200"/>
        <w:rPr>
          <w:rFonts w:ascii="宋体" w:hAnsi="宋体" w:cs="宋体"/>
          <w:sz w:val="24"/>
        </w:rPr>
      </w:pPr>
      <w:r>
        <w:rPr>
          <w:rFonts w:hint="eastAsia" w:ascii="宋体" w:hAnsi="宋体" w:cs="宋体"/>
          <w:sz w:val="24"/>
        </w:rPr>
        <w:t xml:space="preserve">项目负责人：崔清芳  </w:t>
      </w:r>
    </w:p>
    <w:p>
      <w:pPr>
        <w:spacing w:line="360" w:lineRule="auto"/>
        <w:ind w:firstLine="480" w:firstLineChars="200"/>
        <w:rPr>
          <w:rFonts w:ascii="宋体" w:hAnsi="宋体" w:cs="宋体"/>
          <w:sz w:val="24"/>
        </w:rPr>
      </w:pPr>
      <w:r>
        <w:rPr>
          <w:rFonts w:hint="eastAsia" w:ascii="宋体" w:hAnsi="宋体" w:cs="宋体"/>
          <w:sz w:val="24"/>
        </w:rPr>
        <w:t>联系电话：13849893348</w:t>
      </w:r>
    </w:p>
    <w:p>
      <w:pPr>
        <w:spacing w:line="360" w:lineRule="auto"/>
        <w:ind w:firstLine="480" w:firstLineChars="200"/>
        <w:rPr>
          <w:rFonts w:ascii="宋体" w:hAnsi="宋体" w:cs="宋体"/>
          <w:sz w:val="24"/>
        </w:rPr>
      </w:pPr>
      <w:r>
        <w:rPr>
          <w:rFonts w:hint="eastAsia" w:ascii="宋体" w:hAnsi="宋体" w:cs="宋体"/>
          <w:sz w:val="24"/>
        </w:rPr>
        <w:t>代 理 机 构：深圳市合创建设工程顾问有限公司</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cs="宋体"/>
          <w:sz w:val="24"/>
          <w:lang w:eastAsia="zh-CN"/>
        </w:rPr>
        <w:t>陈瑞芳</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电    话：</w:t>
      </w:r>
      <w:r>
        <w:rPr>
          <w:rFonts w:ascii="宋体" w:hAnsi="宋体" w:cs="宋体"/>
          <w:sz w:val="24"/>
        </w:rPr>
        <w:t xml:space="preserve">13783742799  </w:t>
      </w:r>
      <w:r>
        <w:rPr>
          <w:rFonts w:hint="eastAsia" w:ascii="宋体" w:hAnsi="宋体" w:cs="宋体"/>
          <w:sz w:val="24"/>
        </w:rPr>
        <w:t xml:space="preserve">     </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 xml:space="preserve">                                       许昌市建安区教育体育局</w:t>
      </w:r>
    </w:p>
    <w:p>
      <w:pPr>
        <w:spacing w:line="360" w:lineRule="auto"/>
        <w:ind w:firstLine="480" w:firstLineChars="200"/>
        <w:jc w:val="center"/>
        <w:rPr>
          <w:rFonts w:ascii="宋体" w:hAnsi="宋体" w:cs="宋体"/>
          <w:sz w:val="24"/>
        </w:rPr>
      </w:pPr>
      <w:r>
        <w:rPr>
          <w:rFonts w:hint="eastAsia" w:ascii="宋体" w:hAnsi="宋体" w:cs="宋体"/>
          <w:sz w:val="24"/>
        </w:rPr>
        <w:t xml:space="preserve">                                                 2019年5月10日</w:t>
      </w:r>
    </w:p>
    <w:p>
      <w:pPr>
        <w:widowControl/>
        <w:spacing w:line="312" w:lineRule="auto"/>
        <w:rPr>
          <w:rFonts w:hAnsi="宋体"/>
          <w:b/>
          <w:sz w:val="28"/>
          <w:szCs w:val="21"/>
        </w:rPr>
      </w:pPr>
      <w:r>
        <w:rPr>
          <w:rFonts w:hint="eastAsia" w:hAnsi="宋体"/>
          <w:b/>
          <w:sz w:val="28"/>
          <w:szCs w:val="21"/>
        </w:rPr>
        <w:t>温馨提示：</w:t>
      </w:r>
    </w:p>
    <w:p>
      <w:pPr>
        <w:widowControl/>
        <w:spacing w:line="360" w:lineRule="auto"/>
        <w:ind w:firstLine="482" w:firstLineChars="200"/>
        <w:rPr>
          <w:rFonts w:hAnsi="宋体"/>
          <w:b/>
          <w:sz w:val="24"/>
        </w:rPr>
      </w:pPr>
      <w:r>
        <w:rPr>
          <w:rFonts w:hint="eastAsia" w:hAnsi="宋体"/>
          <w:b/>
          <w:sz w:val="24"/>
        </w:rPr>
        <w:t>本项目为全流程电子化交易项目，请认真阅读招标文件，并注意以下事项。</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1.投标人应按招标文件规定下载、编制、提交电子投标文件和纸质投标文件。开、评标现场不接受投标人递交的电子投标文件和纸质投标文件以外的其他资料。</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3.电子投标文件的制作</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360" w:lineRule="auto"/>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360" w:lineRule="auto"/>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4.电子投标文件的提交</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360" w:lineRule="auto"/>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5.评标依据</w:t>
      </w:r>
    </w:p>
    <w:p>
      <w:pPr>
        <w:snapToGrid w:val="0"/>
        <w:spacing w:line="360" w:lineRule="auto"/>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snapToGrid w:val="0"/>
        <w:spacing w:line="360" w:lineRule="auto"/>
        <w:ind w:left="-105" w:leftChars="-50" w:right="-105" w:rightChars="-50" w:firstLine="480" w:firstLineChars="200"/>
        <w:rPr>
          <w:rFonts w:hAnsi="宋体" w:cs="宋体"/>
          <w:sz w:val="24"/>
        </w:rPr>
      </w:pPr>
      <w:r>
        <w:rPr>
          <w:rFonts w:hint="eastAsia" w:hAnsi="宋体" w:cs="宋体"/>
          <w:sz w:val="24"/>
        </w:rPr>
        <w:t>5.2全流程电子化交易如因系统异常情况无法完成，将以人工方式进行。评标委员会以纸质投标文件为依据评标。</w:t>
      </w:r>
    </w:p>
    <w:p>
      <w:pPr>
        <w:snapToGrid w:val="0"/>
        <w:spacing w:line="540" w:lineRule="exact"/>
        <w:ind w:left="-105" w:leftChars="-50" w:right="-105" w:rightChars="-50" w:firstLine="480" w:firstLineChars="200"/>
        <w:rPr>
          <w:rFonts w:hAnsi="宋体" w:cs="宋体"/>
          <w:sz w:val="24"/>
        </w:rPr>
      </w:pPr>
    </w:p>
    <w:p>
      <w:pPr>
        <w:pStyle w:val="5"/>
        <w:spacing w:before="0" w:after="0"/>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第二章 投标人须知</w:t>
      </w:r>
      <w:bookmarkEnd w:id="1"/>
    </w:p>
    <w:p>
      <w:pPr>
        <w:rPr>
          <w:b/>
        </w:rPr>
      </w:pPr>
      <w:r>
        <w:rPr>
          <w:rFonts w:hint="eastAsia" w:ascii="宋体" w:hAnsi="宋体" w:cs="宋体"/>
          <w:b/>
        </w:rPr>
        <w:t>投标人须知前附表</w:t>
      </w:r>
    </w:p>
    <w:tbl>
      <w:tblPr>
        <w:tblStyle w:val="38"/>
        <w:tblW w:w="9286" w:type="dxa"/>
        <w:tblInd w:w="0" w:type="dxa"/>
        <w:tblLayout w:type="fixed"/>
        <w:tblCellMar>
          <w:top w:w="57" w:type="dxa"/>
          <w:left w:w="108" w:type="dxa"/>
          <w:bottom w:w="57" w:type="dxa"/>
          <w:right w:w="108" w:type="dxa"/>
        </w:tblCellMar>
      </w:tblPr>
      <w:tblGrid>
        <w:gridCol w:w="866"/>
        <w:gridCol w:w="2102"/>
        <w:gridCol w:w="6318"/>
      </w:tblGrid>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条款号</w:t>
            </w:r>
          </w:p>
        </w:tc>
        <w:tc>
          <w:tcPr>
            <w:tcW w:w="21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条  款  名  称</w:t>
            </w:r>
          </w:p>
        </w:tc>
        <w:tc>
          <w:tcPr>
            <w:tcW w:w="63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编  列  内  容</w:t>
            </w:r>
          </w:p>
        </w:tc>
      </w:tr>
      <w:tr>
        <w:tblPrEx>
          <w:tblLayout w:type="fixed"/>
          <w:tblCellMar>
            <w:top w:w="57" w:type="dxa"/>
            <w:left w:w="108" w:type="dxa"/>
            <w:bottom w:w="57" w:type="dxa"/>
            <w:right w:w="108" w:type="dxa"/>
          </w:tblCellMar>
        </w:tblPrEx>
        <w:trPr>
          <w:trHeight w:val="101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招   标   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2"/>
                <w:szCs w:val="22"/>
              </w:rPr>
            </w:pPr>
            <w:r>
              <w:rPr>
                <w:rFonts w:hint="eastAsia" w:ascii="宋体" w:hAnsi="宋体" w:cs="宋体"/>
                <w:sz w:val="22"/>
                <w:szCs w:val="22"/>
              </w:rPr>
              <w:t>名  称:许昌市建安区教育体育局</w:t>
            </w:r>
          </w:p>
          <w:p>
            <w:pPr>
              <w:autoSpaceDE w:val="0"/>
              <w:autoSpaceDN w:val="0"/>
              <w:adjustRightInd w:val="0"/>
              <w:spacing w:line="360" w:lineRule="auto"/>
              <w:jc w:val="left"/>
              <w:rPr>
                <w:rFonts w:ascii="宋体" w:hAnsi="宋体" w:cs="宋体"/>
                <w:sz w:val="22"/>
                <w:szCs w:val="22"/>
              </w:rPr>
            </w:pPr>
            <w:r>
              <w:rPr>
                <w:rFonts w:hint="eastAsia" w:ascii="宋体" w:hAnsi="宋体" w:cs="宋体"/>
                <w:sz w:val="22"/>
                <w:szCs w:val="22"/>
              </w:rPr>
              <w:t xml:space="preserve">项目负责人：崔清芳  </w:t>
            </w:r>
          </w:p>
          <w:p>
            <w:pPr>
              <w:autoSpaceDE w:val="0"/>
              <w:autoSpaceDN w:val="0"/>
              <w:adjustRightInd w:val="0"/>
              <w:spacing w:line="360" w:lineRule="auto"/>
              <w:jc w:val="left"/>
              <w:rPr>
                <w:rFonts w:ascii="宋体" w:hAnsi="宋体" w:cs="宋体"/>
                <w:kern w:val="0"/>
                <w:szCs w:val="21"/>
              </w:rPr>
            </w:pPr>
            <w:r>
              <w:rPr>
                <w:rFonts w:hint="eastAsia" w:ascii="宋体" w:hAnsi="宋体" w:cs="宋体"/>
                <w:sz w:val="22"/>
                <w:szCs w:val="22"/>
              </w:rPr>
              <w:t>联系电话：13849893348</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招标代理机构</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名      称：深圳市合创建设工程顾问有限公司</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项目负责人：</w:t>
            </w:r>
            <w:r>
              <w:rPr>
                <w:rFonts w:hint="eastAsia" w:ascii="宋体" w:hAnsi="宋体" w:cs="宋体"/>
                <w:kern w:val="0"/>
                <w:szCs w:val="21"/>
                <w:lang w:eastAsia="zh-CN"/>
              </w:rPr>
              <w:t>陈瑞芳</w:t>
            </w:r>
            <w:r>
              <w:rPr>
                <w:rFonts w:hint="eastAsia" w:ascii="宋体" w:hAnsi="宋体" w:cs="宋体"/>
                <w:kern w:val="0"/>
                <w:szCs w:val="21"/>
              </w:rPr>
              <w:t xml:space="preserve">   </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电    话：13783742799   </w:t>
            </w:r>
            <w:r>
              <w:rPr>
                <w:rFonts w:hint="eastAsia" w:ascii="宋体" w:hAnsi="宋体" w:cs="宋体"/>
                <w:sz w:val="22"/>
                <w:szCs w:val="22"/>
              </w:rPr>
              <w:t xml:space="preserve">  </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项 目 名 称</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宋体"/>
                <w:kern w:val="0"/>
                <w:szCs w:val="21"/>
                <w:lang w:eastAsia="zh-CN"/>
              </w:rPr>
              <w:t>建安区第一高级中学新校区建设项目</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建 设 地 点</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本项目位于清河西路以西，汉林路以东，农大路以北，规划道路以南。</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资 金 来 源</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自筹资金</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资金落实情况</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已落实</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1.3.1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招 标 范 围</w:t>
            </w:r>
          </w:p>
        </w:tc>
        <w:tc>
          <w:tcPr>
            <w:tcW w:w="631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kern w:val="0"/>
                <w:szCs w:val="21"/>
              </w:rPr>
              <w:t>招标文件、答疑纪要（如有）和补充文件（如有）等范围内的全部内容。</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1.3.2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服务期</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宋体"/>
                <w:kern w:val="0"/>
                <w:szCs w:val="21"/>
              </w:rPr>
              <w:t>同施工工期+</w:t>
            </w:r>
            <w:r>
              <w:rPr>
                <w:rFonts w:hint="eastAsia" w:ascii="宋体" w:hAnsi="宋体" w:cs="宋体"/>
                <w:kern w:val="0"/>
                <w:szCs w:val="21"/>
                <w:lang w:eastAsia="zh-CN"/>
              </w:rPr>
              <w:t>质保期</w:t>
            </w:r>
          </w:p>
        </w:tc>
      </w:tr>
      <w:tr>
        <w:tblPrEx>
          <w:tblLayout w:type="fixed"/>
          <w:tblCellMar>
            <w:top w:w="57" w:type="dxa"/>
            <w:left w:w="108" w:type="dxa"/>
            <w:bottom w:w="57" w:type="dxa"/>
            <w:right w:w="108" w:type="dxa"/>
          </w:tblCellMar>
        </w:tblPrEx>
        <w:trPr>
          <w:trHeight w:val="30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1.3.3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质 量 要 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合格（达到国家建设工程质量验收的规范和标准）</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1.4.1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投标人资质条件、</w:t>
            </w:r>
          </w:p>
          <w:p>
            <w:pPr>
              <w:autoSpaceDE w:val="0"/>
              <w:autoSpaceDN w:val="0"/>
              <w:adjustRightInd w:val="0"/>
              <w:jc w:val="center"/>
              <w:rPr>
                <w:rFonts w:ascii="宋体" w:hAnsi="宋体" w:cs="宋体"/>
                <w:kern w:val="0"/>
                <w:szCs w:val="21"/>
              </w:rPr>
            </w:pPr>
            <w:r>
              <w:rPr>
                <w:rFonts w:hint="eastAsia" w:ascii="宋体" w:hAnsi="宋体" w:cs="宋体"/>
                <w:kern w:val="0"/>
                <w:szCs w:val="21"/>
              </w:rPr>
              <w:t>能力和信誉</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1、须具备独立的法人资格；</w:t>
            </w:r>
          </w:p>
          <w:p>
            <w:pPr>
              <w:autoSpaceDE w:val="0"/>
              <w:autoSpaceDN w:val="0"/>
              <w:adjustRightInd w:val="0"/>
              <w:jc w:val="left"/>
              <w:rPr>
                <w:rFonts w:ascii="宋体" w:hAnsi="宋体" w:cs="宋体"/>
                <w:kern w:val="0"/>
                <w:szCs w:val="21"/>
              </w:rPr>
            </w:pPr>
            <w:r>
              <w:rPr>
                <w:rFonts w:hint="eastAsia" w:ascii="宋体" w:hAnsi="宋体" w:cs="宋体"/>
                <w:kern w:val="0"/>
                <w:szCs w:val="21"/>
              </w:rPr>
              <w:t>2、须具备建设行政主管部门颁发的监理综合甲级资质或建筑工程专业甲级监理资质；</w:t>
            </w:r>
          </w:p>
          <w:p>
            <w:pPr>
              <w:autoSpaceDE w:val="0"/>
              <w:autoSpaceDN w:val="0"/>
              <w:adjustRightInd w:val="0"/>
              <w:jc w:val="left"/>
              <w:rPr>
                <w:rFonts w:ascii="宋体" w:hAnsi="宋体" w:cs="宋体"/>
                <w:kern w:val="0"/>
                <w:szCs w:val="21"/>
              </w:rPr>
            </w:pPr>
            <w:r>
              <w:rPr>
                <w:rFonts w:hint="eastAsia" w:ascii="宋体" w:hAnsi="宋体" w:cs="宋体"/>
                <w:kern w:val="0"/>
                <w:szCs w:val="21"/>
              </w:rPr>
              <w:t>3、拟派项目负责人须具备建筑专业注册监理工程师资格；</w:t>
            </w:r>
          </w:p>
          <w:p>
            <w:pPr>
              <w:autoSpaceDE w:val="0"/>
              <w:autoSpaceDN w:val="0"/>
              <w:adjustRightInd w:val="0"/>
              <w:jc w:val="left"/>
              <w:rPr>
                <w:rFonts w:ascii="宋体" w:hAnsi="宋体" w:cs="宋体"/>
                <w:kern w:val="0"/>
                <w:szCs w:val="21"/>
              </w:rPr>
            </w:pPr>
            <w:r>
              <w:rPr>
                <w:rFonts w:hint="eastAsia" w:ascii="宋体" w:hAnsi="宋体" w:cs="宋体"/>
                <w:kern w:val="0"/>
                <w:szCs w:val="21"/>
              </w:rPr>
              <w:t>4、不接受投标人被“信用中国”和“信用河南”网站信用信息栏列入黑名单，以及被“国家企业信用信息公示系统”列入经营异常名录或严重失信黑名单的投标；</w:t>
            </w:r>
          </w:p>
          <w:p>
            <w:pPr>
              <w:autoSpaceDE w:val="0"/>
              <w:autoSpaceDN w:val="0"/>
              <w:adjustRightInd w:val="0"/>
              <w:jc w:val="left"/>
              <w:rPr>
                <w:rFonts w:ascii="宋体" w:hAnsi="宋体" w:cs="宋体"/>
                <w:kern w:val="0"/>
                <w:szCs w:val="21"/>
              </w:rPr>
            </w:pPr>
            <w:r>
              <w:rPr>
                <w:rFonts w:hint="eastAsia" w:ascii="宋体" w:hAnsi="宋体" w:cs="宋体"/>
                <w:kern w:val="0"/>
                <w:szCs w:val="21"/>
              </w:rPr>
              <w:t>5、本标段不接受联合体承包；</w:t>
            </w:r>
          </w:p>
          <w:p>
            <w:pPr>
              <w:autoSpaceDE w:val="0"/>
              <w:autoSpaceDN w:val="0"/>
              <w:adjustRightInd w:val="0"/>
              <w:jc w:val="left"/>
              <w:rPr>
                <w:rFonts w:ascii="宋体" w:hAnsi="宋体" w:cs="宋体"/>
                <w:kern w:val="0"/>
                <w:szCs w:val="21"/>
              </w:rPr>
            </w:pPr>
            <w:r>
              <w:rPr>
                <w:rFonts w:hint="eastAsia" w:ascii="宋体" w:hAnsi="宋体" w:cs="宋体"/>
                <w:kern w:val="0"/>
                <w:szCs w:val="21"/>
              </w:rPr>
              <w:t>6、不接受失信被执行人的投标；</w:t>
            </w:r>
          </w:p>
          <w:p>
            <w:pPr>
              <w:autoSpaceDE w:val="0"/>
              <w:autoSpaceDN w:val="0"/>
              <w:adjustRightInd w:val="0"/>
              <w:jc w:val="left"/>
              <w:rPr>
                <w:rFonts w:ascii="宋体" w:hAnsi="宋体" w:cs="宋体"/>
                <w:szCs w:val="21"/>
              </w:rPr>
            </w:pPr>
            <w:r>
              <w:rPr>
                <w:rFonts w:hint="eastAsia" w:ascii="宋体" w:hAnsi="宋体" w:cs="宋体"/>
                <w:kern w:val="0"/>
                <w:szCs w:val="21"/>
              </w:rPr>
              <w:t>7、本次招标实行资格后审。</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1.4.2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是否接受</w:t>
            </w:r>
          </w:p>
          <w:p>
            <w:pPr>
              <w:autoSpaceDE w:val="0"/>
              <w:autoSpaceDN w:val="0"/>
              <w:adjustRightInd w:val="0"/>
              <w:jc w:val="center"/>
              <w:rPr>
                <w:rFonts w:ascii="宋体" w:hAnsi="宋体" w:cs="宋体"/>
                <w:kern w:val="0"/>
                <w:szCs w:val="21"/>
              </w:rPr>
            </w:pPr>
            <w:r>
              <w:rPr>
                <w:rFonts w:hint="eastAsia" w:ascii="宋体" w:hAnsi="宋体" w:cs="宋体"/>
                <w:kern w:val="0"/>
                <w:szCs w:val="21"/>
              </w:rPr>
              <w:t>联合体投标</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不接受</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1.9.1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招标答疑及</w:t>
            </w:r>
          </w:p>
          <w:p>
            <w:pPr>
              <w:autoSpaceDE w:val="0"/>
              <w:autoSpaceDN w:val="0"/>
              <w:adjustRightInd w:val="0"/>
              <w:jc w:val="center"/>
              <w:rPr>
                <w:rFonts w:ascii="宋体" w:hAnsi="宋体" w:cs="宋体"/>
                <w:kern w:val="0"/>
                <w:szCs w:val="21"/>
              </w:rPr>
            </w:pPr>
            <w:r>
              <w:rPr>
                <w:rFonts w:hint="eastAsia" w:ascii="宋体" w:hAnsi="宋体" w:cs="宋体"/>
                <w:kern w:val="0"/>
                <w:szCs w:val="21"/>
              </w:rPr>
              <w:t>踏勘现场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不组织</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1.10.1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 标 预 备 会</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不召开</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1.10.2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投标人提出问题的截止时间</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投标截止时间10日前</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1.10.3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招标人澄清的时间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投标截止之日15日前通过公共资源交易系统电子平台发出。</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分     包</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不允许</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1.12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偏     离</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不允许</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hAnsi="宋体" w:cs="仿宋_GB2312"/>
                <w:sz w:val="24"/>
              </w:rPr>
              <w:t>招标文件的获取</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宋体" w:hAnsi="宋体" w:cs="宋体"/>
                <w:kern w:val="0"/>
                <w:szCs w:val="21"/>
              </w:rPr>
              <w:t>http://www.xczbtb.com/</w:t>
            </w:r>
            <w:r>
              <w:rPr>
                <w:rFonts w:hint="eastAsia" w:ascii="宋体" w:hAnsi="宋体" w:cs="宋体"/>
                <w:kern w:val="0"/>
                <w:szCs w:val="21"/>
              </w:rPr>
              <w:fldChar w:fldCharType="end"/>
            </w:r>
            <w:r>
              <w:rPr>
                <w:rFonts w:hint="eastAsia" w:ascii="宋体" w:hAnsi="宋体" w:cs="宋体"/>
                <w:kern w:val="0"/>
                <w:szCs w:val="21"/>
              </w:rPr>
              <w:t>），通过“投标人/供应商登录”后自行下载。</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构成招标文件的其他材料</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经备案的答疑纪要、招标文件的补充和修改文件（如有）。</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投标人要求澄清招标文件的截止时间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潜在投标人或者其他利害关系人对招标文件有异议的，应当在投标截止时间10日前提出。招标人应当自收到异议之日起3日内作出答复。</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投标截止时间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2019年6月4日9时30分</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2.2.3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投标人确认收到招标文件澄清的时间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无要求</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2.3.2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投标人确认收到招标文件修改的时间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无要求</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构成投标文件的其他材料</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w:t>
            </w:r>
          </w:p>
        </w:tc>
      </w:tr>
      <w:tr>
        <w:tblPrEx>
          <w:tblLayout w:type="fixed"/>
          <w:tblCellMar>
            <w:top w:w="57" w:type="dxa"/>
            <w:left w:w="108" w:type="dxa"/>
            <w:bottom w:w="57" w:type="dxa"/>
            <w:right w:w="108" w:type="dxa"/>
          </w:tblCellMar>
        </w:tblPrEx>
        <w:trPr>
          <w:trHeight w:val="46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3.3.1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投标有效期</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90日历天（自投标截止之日算起）</w:t>
            </w:r>
          </w:p>
        </w:tc>
      </w:tr>
      <w:tr>
        <w:tblPrEx>
          <w:tblLayout w:type="fixed"/>
          <w:tblCellMar>
            <w:top w:w="57" w:type="dxa"/>
            <w:left w:w="108" w:type="dxa"/>
            <w:bottom w:w="57" w:type="dxa"/>
            <w:right w:w="108" w:type="dxa"/>
          </w:tblCellMar>
        </w:tblPrEx>
        <w:trPr>
          <w:trHeight w:val="386"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3.4.1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 标 保 证 金</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详见附表一</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3.5.2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近年财务状况的年份要求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近年，指2015、2016、2017年度(如公司成立未满三年，需提供从成立至今的年度财务状况)</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3.5.3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近年完成的类似项目的年份要求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近三年，指2016年1月1日至今。</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3.5.5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近年发生的诉讼及仲裁情况的年份要求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无要求</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3.6</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是否允许递交备选投标方案</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不允许</w:t>
            </w:r>
          </w:p>
        </w:tc>
      </w:tr>
      <w:tr>
        <w:tblPrEx>
          <w:tblLayout w:type="fixed"/>
          <w:tblCellMar>
            <w:top w:w="57" w:type="dxa"/>
            <w:left w:w="108" w:type="dxa"/>
            <w:bottom w:w="57"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3.7.3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签字或盖章要求</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lang w:val="zh-CN"/>
              </w:rPr>
            </w:pPr>
            <w:r>
              <w:rPr>
                <w:rFonts w:hint="eastAsia" w:ascii="宋体" w:hAnsi="宋体" w:cs="宋体"/>
                <w:kern w:val="0"/>
                <w:szCs w:val="21"/>
                <w:lang w:val="zh-CN"/>
              </w:rPr>
              <w:t>纸质投标文件：正本按招标文件要求签字盖章（无需逐页签字盖章），副本应与正本保持一致（可为正本的复印件）。正本与副本不一致的，以正本为准。</w:t>
            </w:r>
            <w:r>
              <w:rPr>
                <w:rFonts w:hint="eastAsia" w:ascii="宋体" w:hAnsi="宋体" w:cs="宋体"/>
                <w:kern w:val="0"/>
                <w:szCs w:val="21"/>
              </w:rPr>
              <w:t>投标文件正本应加盖骑缝章。</w:t>
            </w:r>
          </w:p>
          <w:p>
            <w:pPr>
              <w:autoSpaceDE w:val="0"/>
              <w:autoSpaceDN w:val="0"/>
              <w:adjustRightInd w:val="0"/>
              <w:jc w:val="left"/>
              <w:rPr>
                <w:rFonts w:ascii="宋体" w:hAnsi="宋体" w:cs="宋体"/>
                <w:b/>
                <w:kern w:val="0"/>
                <w:szCs w:val="21"/>
              </w:rPr>
            </w:pPr>
            <w:r>
              <w:rPr>
                <w:rFonts w:hint="eastAsia" w:ascii="宋体" w:hAnsi="宋体" w:cs="宋体"/>
                <w:b/>
                <w:kern w:val="0"/>
                <w:szCs w:val="21"/>
                <w:lang w:val="zh-CN"/>
              </w:rPr>
              <w:t>电子投标</w:t>
            </w:r>
            <w:r>
              <w:rPr>
                <w:rFonts w:hint="eastAsia" w:ascii="宋体" w:hAnsi="宋体" w:cs="宋体"/>
                <w:b/>
                <w:kern w:val="0"/>
                <w:szCs w:val="21"/>
              </w:rPr>
              <w:t>文件：按招标文件要求加盖</w:t>
            </w:r>
            <w:r>
              <w:rPr>
                <w:rFonts w:hint="eastAsia" w:ascii="宋体" w:hAnsi="宋体" w:cs="宋体"/>
                <w:b/>
                <w:kern w:val="0"/>
                <w:szCs w:val="21"/>
                <w:lang w:val="zh-CN"/>
              </w:rPr>
              <w:t>电子印章和法人电子印章</w:t>
            </w:r>
            <w:r>
              <w:rPr>
                <w:rFonts w:hint="eastAsia" w:ascii="宋体" w:hAnsi="宋体" w:cs="宋体"/>
                <w:b/>
                <w:kern w:val="0"/>
                <w:szCs w:val="21"/>
              </w:rPr>
              <w:t>。</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3.7.4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投标文件份数</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1、电子投标文件</w:t>
            </w:r>
          </w:p>
          <w:p>
            <w:pPr>
              <w:autoSpaceDE w:val="0"/>
              <w:autoSpaceDN w:val="0"/>
              <w:adjustRightInd w:val="0"/>
              <w:jc w:val="left"/>
              <w:rPr>
                <w:rFonts w:ascii="宋体" w:hAnsi="宋体" w:cs="宋体"/>
                <w:kern w:val="0"/>
                <w:szCs w:val="21"/>
              </w:rPr>
            </w:pPr>
            <w:r>
              <w:rPr>
                <w:rFonts w:hint="eastAsia" w:ascii="宋体" w:hAnsi="宋体" w:cs="宋体"/>
                <w:kern w:val="0"/>
                <w:szCs w:val="21"/>
              </w:rPr>
              <w:t>（1）成功上传至【全国公共资源交易平台（河南省•许昌市）】公共资源交易系统电子投标文件1份（文件格式为：XX公司XXX项目编号.file）。</w:t>
            </w:r>
          </w:p>
          <w:p>
            <w:pPr>
              <w:autoSpaceDE w:val="0"/>
              <w:autoSpaceDN w:val="0"/>
              <w:adjustRightInd w:val="0"/>
              <w:jc w:val="left"/>
              <w:rPr>
                <w:rFonts w:ascii="宋体" w:hAnsi="宋体" w:cs="宋体"/>
                <w:kern w:val="0"/>
                <w:szCs w:val="21"/>
              </w:rPr>
            </w:pPr>
            <w:r>
              <w:rPr>
                <w:rFonts w:hint="eastAsia" w:ascii="宋体" w:hAnsi="宋体" w:cs="宋体"/>
                <w:kern w:val="0"/>
                <w:szCs w:val="21"/>
              </w:rPr>
              <w:t>（2）使用电子介质存储的投标文件1份文件格式为：xxx公司XXX（项目编号）.bin）。</w:t>
            </w:r>
          </w:p>
          <w:p>
            <w:pPr>
              <w:autoSpaceDE w:val="0"/>
              <w:autoSpaceDN w:val="0"/>
              <w:adjustRightInd w:val="0"/>
              <w:jc w:val="left"/>
              <w:rPr>
                <w:rFonts w:ascii="宋体" w:hAnsi="宋体" w:cs="宋体"/>
                <w:kern w:val="0"/>
                <w:szCs w:val="21"/>
              </w:rPr>
            </w:pPr>
            <w:r>
              <w:rPr>
                <w:rFonts w:hint="eastAsia" w:ascii="宋体" w:hAnsi="宋体" w:cs="宋体"/>
                <w:kern w:val="0"/>
                <w:szCs w:val="21"/>
              </w:rPr>
              <w:t>2、纸质投标文件：正本1份，副本1份；</w:t>
            </w:r>
          </w:p>
          <w:p>
            <w:pPr>
              <w:autoSpaceDE w:val="0"/>
              <w:autoSpaceDN w:val="0"/>
              <w:adjustRightInd w:val="0"/>
              <w:jc w:val="left"/>
              <w:rPr>
                <w:rFonts w:ascii="宋体" w:hAnsi="宋体" w:cs="宋体"/>
                <w:kern w:val="0"/>
                <w:szCs w:val="21"/>
              </w:rPr>
            </w:pPr>
            <w:r>
              <w:rPr>
                <w:rFonts w:hint="eastAsia" w:ascii="宋体" w:hAnsi="宋体" w:cs="宋体"/>
                <w:kern w:val="0"/>
                <w:szCs w:val="21"/>
              </w:rPr>
              <w:t>3、电子投标文件和纸质投标文件的内容、格式、水印码、电子签章应一致。</w:t>
            </w:r>
          </w:p>
          <w:p>
            <w:pPr>
              <w:autoSpaceDE w:val="0"/>
              <w:autoSpaceDN w:val="0"/>
              <w:adjustRightInd w:val="0"/>
              <w:jc w:val="left"/>
              <w:rPr>
                <w:rFonts w:ascii="宋体" w:hAnsi="宋体" w:cs="宋体"/>
                <w:b/>
                <w:kern w:val="0"/>
                <w:szCs w:val="21"/>
              </w:rPr>
            </w:pPr>
            <w:r>
              <w:rPr>
                <w:rFonts w:hint="eastAsia" w:ascii="宋体" w:hAnsi="宋体" w:cs="宋体"/>
                <w:b/>
                <w:kern w:val="0"/>
                <w:szCs w:val="21"/>
              </w:rPr>
              <w:t>注:投标人提交的电子投标文件，必须是通过“许昌投标文件制作系统SEARUN V1.1”制作，并经过签章和加密后生成的电子投标文件。</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3.7.5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装订要求</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新宋体" w:hAnsi="新宋体" w:eastAsia="新宋体"/>
                <w:szCs w:val="21"/>
              </w:rPr>
            </w:pPr>
            <w:r>
              <w:rPr>
                <w:rFonts w:hint="eastAsia" w:ascii="新宋体" w:hAnsi="新宋体" w:eastAsia="新宋体"/>
                <w:szCs w:val="21"/>
              </w:rPr>
              <w:t>按照投标人须知第3.1项规定的投标文件组成内容，投标文件应按以下要求装订：</w:t>
            </w:r>
          </w:p>
          <w:p>
            <w:pPr>
              <w:autoSpaceDE w:val="0"/>
              <w:autoSpaceDN w:val="0"/>
              <w:adjustRightInd w:val="0"/>
              <w:rPr>
                <w:rFonts w:ascii="新宋体" w:hAnsi="新宋体" w:eastAsia="新宋体"/>
                <w:szCs w:val="21"/>
              </w:rPr>
            </w:pPr>
            <w:r>
              <w:rPr>
                <w:rFonts w:hint="eastAsia" w:ascii="新宋体" w:hAnsi="新宋体" w:eastAsia="新宋体"/>
                <w:szCs w:val="21"/>
              </w:rPr>
              <w:t>采用</w:t>
            </w:r>
            <w:r>
              <w:rPr>
                <w:rFonts w:hint="eastAsia" w:ascii="新宋体" w:hAnsi="新宋体" w:eastAsia="新宋体"/>
                <w:szCs w:val="21"/>
                <w:u w:val="single"/>
              </w:rPr>
              <w:t xml:space="preserve"> 胶装 </w:t>
            </w:r>
            <w:r>
              <w:rPr>
                <w:rFonts w:hint="eastAsia" w:ascii="新宋体" w:hAnsi="新宋体" w:eastAsia="新宋体"/>
                <w:szCs w:val="21"/>
              </w:rPr>
              <w:t>方式装订，装订应牢固、不易拆散和换页，不得采用活页装订。</w:t>
            </w:r>
          </w:p>
          <w:p>
            <w:pPr>
              <w:autoSpaceDE w:val="0"/>
              <w:autoSpaceDN w:val="0"/>
              <w:adjustRightInd w:val="0"/>
              <w:rPr>
                <w:rFonts w:ascii="新宋体" w:hAnsi="新宋体" w:eastAsia="新宋体"/>
                <w:szCs w:val="21"/>
              </w:rPr>
            </w:pPr>
            <w:r>
              <w:rPr>
                <w:rFonts w:hint="eastAsia" w:ascii="新宋体" w:hAnsi="新宋体" w:eastAsia="新宋体"/>
                <w:szCs w:val="21"/>
              </w:rPr>
              <w:t>投标文件须在封面上注明正副本字样、项目名称和投标人名称。</w:t>
            </w:r>
          </w:p>
          <w:p>
            <w:pPr>
              <w:autoSpaceDE w:val="0"/>
              <w:autoSpaceDN w:val="0"/>
              <w:adjustRightInd w:val="0"/>
              <w:jc w:val="left"/>
              <w:rPr>
                <w:rFonts w:ascii="宋体" w:hAnsi="宋体" w:cs="宋体"/>
                <w:kern w:val="0"/>
                <w:szCs w:val="21"/>
              </w:rPr>
            </w:pPr>
            <w:r>
              <w:rPr>
                <w:rFonts w:hint="eastAsia" w:hAnsi="宋体" w:cs="宋体"/>
                <w:szCs w:val="21"/>
              </w:rPr>
              <w:t>使用电子介质存储的投标文件单独密封、盖章，并随纸质投标文件一并提交。</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封套上写明</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招标人名称：许昌市建安区教育体育局</w:t>
            </w:r>
          </w:p>
          <w:p>
            <w:pPr>
              <w:autoSpaceDE w:val="0"/>
              <w:autoSpaceDN w:val="0"/>
              <w:adjustRightInd w:val="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建安区第一高级中学新校区建设项目</w:t>
            </w:r>
            <w:r>
              <w:rPr>
                <w:rFonts w:hint="eastAsia" w:ascii="宋体" w:hAnsi="宋体" w:cs="宋体"/>
                <w:kern w:val="0"/>
                <w:szCs w:val="21"/>
                <w:u w:val="single"/>
              </w:rPr>
              <w:t xml:space="preserve">   </w:t>
            </w:r>
            <w:r>
              <w:rPr>
                <w:rFonts w:hint="eastAsia" w:ascii="宋体" w:hAnsi="宋体" w:cs="宋体"/>
                <w:kern w:val="0"/>
                <w:szCs w:val="21"/>
              </w:rPr>
              <w:t>标段</w:t>
            </w:r>
          </w:p>
          <w:p>
            <w:pPr>
              <w:autoSpaceDE w:val="0"/>
              <w:autoSpaceDN w:val="0"/>
              <w:adjustRightInd w:val="0"/>
              <w:jc w:val="left"/>
              <w:rPr>
                <w:rFonts w:ascii="宋体" w:hAnsi="宋体" w:cs="宋体"/>
                <w:kern w:val="0"/>
                <w:szCs w:val="21"/>
              </w:rPr>
            </w:pPr>
            <w:r>
              <w:rPr>
                <w:rFonts w:hint="eastAsia" w:ascii="宋体" w:hAnsi="宋体" w:cs="宋体"/>
                <w:kern w:val="0"/>
                <w:szCs w:val="21"/>
              </w:rPr>
              <w:t>在2019年  月  日  时  分前不得开启。</w:t>
            </w:r>
          </w:p>
          <w:p>
            <w:pPr>
              <w:autoSpaceDE w:val="0"/>
              <w:autoSpaceDN w:val="0"/>
              <w:adjustRightInd w:val="0"/>
              <w:jc w:val="left"/>
              <w:rPr>
                <w:rFonts w:ascii="宋体" w:hAnsi="宋体" w:cs="宋体"/>
                <w:kern w:val="0"/>
                <w:szCs w:val="21"/>
              </w:rPr>
            </w:pPr>
            <w:r>
              <w:rPr>
                <w:rFonts w:hint="eastAsia" w:ascii="宋体" w:hAnsi="宋体" w:cs="宋体"/>
                <w:kern w:val="0"/>
                <w:szCs w:val="21"/>
              </w:rPr>
              <w:t>投标人名称：</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递交投标文件地点</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许昌市建安区新元大道兴业大厦    室</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4.2.3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是否退还投标文件</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否</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5.1</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开标时间和地点</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 xml:space="preserve">开标时间：2019年6月 4日 9时30分 </w:t>
            </w:r>
          </w:p>
          <w:p>
            <w:pPr>
              <w:autoSpaceDE w:val="0"/>
              <w:autoSpaceDN w:val="0"/>
              <w:adjustRightInd w:val="0"/>
              <w:jc w:val="left"/>
              <w:rPr>
                <w:rFonts w:ascii="宋体" w:hAnsi="宋体" w:cs="宋体"/>
                <w:kern w:val="0"/>
                <w:szCs w:val="21"/>
              </w:rPr>
            </w:pPr>
            <w:r>
              <w:rPr>
                <w:rFonts w:hint="eastAsia" w:ascii="宋体" w:hAnsi="宋体" w:cs="宋体"/>
                <w:kern w:val="0"/>
                <w:szCs w:val="21"/>
              </w:rPr>
              <w:t>开标地点：许昌市建安区新元大道兴业大厦 4167室</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5.2</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开标程序</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见招标文件第二章  投标人须知第5.2条</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jc w:val="center"/>
              <w:rPr>
                <w:rFonts w:ascii="宋体" w:hAnsi="宋体" w:cs="宋体"/>
                <w:b/>
                <w:kern w:val="0"/>
                <w:szCs w:val="21"/>
              </w:rPr>
            </w:pPr>
            <w:r>
              <w:rPr>
                <w:rFonts w:hint="eastAsia" w:ascii="宋体" w:hAnsi="宋体" w:cs="宋体"/>
                <w:kern w:val="0"/>
                <w:szCs w:val="21"/>
              </w:rPr>
              <w:t>6.1.1</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评标委员会的组建</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评标委员会构成：9人（其中注册建造工程师不少于2人）。其中</w:t>
            </w:r>
            <w:r>
              <w:rPr>
                <w:rFonts w:hint="eastAsia" w:ascii="宋体" w:hAnsi="宋体" w:cs="宋体"/>
                <w:szCs w:val="21"/>
              </w:rPr>
              <w:t>招标人代表3人，从河南省综合评标专家库中随机抽取6人。</w:t>
            </w:r>
          </w:p>
          <w:p>
            <w:pPr>
              <w:autoSpaceDE w:val="0"/>
              <w:autoSpaceDN w:val="0"/>
              <w:adjustRightInd w:val="0"/>
              <w:jc w:val="left"/>
              <w:rPr>
                <w:rFonts w:ascii="宋体" w:hAnsi="宋体" w:cs="宋体"/>
                <w:kern w:val="0"/>
                <w:szCs w:val="21"/>
              </w:rPr>
            </w:pPr>
            <w:r>
              <w:rPr>
                <w:rFonts w:hint="eastAsia" w:ascii="宋体" w:hAnsi="宋体" w:cs="宋体"/>
                <w:kern w:val="0"/>
                <w:szCs w:val="21"/>
              </w:rPr>
              <w:t>评标专家确定方式：评标前在河南省综合评标专家库中随机抽取</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7.1</w:t>
            </w:r>
          </w:p>
        </w:tc>
        <w:tc>
          <w:tcPr>
            <w:tcW w:w="2102"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是否授权评标委员会确定中标人</w:t>
            </w:r>
          </w:p>
        </w:tc>
        <w:tc>
          <w:tcPr>
            <w:tcW w:w="6318"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否，推荐的中标候选人数：1-3名</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7.3</w:t>
            </w:r>
          </w:p>
        </w:tc>
        <w:tc>
          <w:tcPr>
            <w:tcW w:w="2102"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签订合同</w:t>
            </w:r>
          </w:p>
        </w:tc>
        <w:tc>
          <w:tcPr>
            <w:tcW w:w="6318"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jc w:val="left"/>
              <w:rPr>
                <w:rFonts w:ascii="宋体" w:hAnsi="宋体" w:cs="宋体"/>
                <w:b/>
                <w:bCs/>
                <w:kern w:val="0"/>
                <w:szCs w:val="21"/>
              </w:rPr>
            </w:pPr>
            <w:r>
              <w:rPr>
                <w:rFonts w:hint="eastAsia" w:ascii="宋体" w:hAnsi="宋体" w:cs="宋体"/>
                <w:b/>
                <w:bCs/>
                <w:kern w:val="0"/>
                <w:szCs w:val="21"/>
              </w:rPr>
              <w:t>自中标通知书发出之日起30天内，根据招标文件和中标人投标文件订立书面合同。中标人无正当理由拒签合同的，招标人取消其中标资格。</w:t>
            </w:r>
          </w:p>
        </w:tc>
      </w:tr>
      <w:tr>
        <w:tblPrEx>
          <w:tblLayout w:type="fixed"/>
          <w:tblCellMar>
            <w:top w:w="57" w:type="dxa"/>
            <w:left w:w="108" w:type="dxa"/>
            <w:bottom w:w="57" w:type="dxa"/>
            <w:right w:w="108" w:type="dxa"/>
          </w:tblCellMar>
        </w:tblPrEx>
        <w:trPr>
          <w:trHeight w:val="23" w:hRule="atLeast"/>
        </w:trPr>
        <w:tc>
          <w:tcPr>
            <w:tcW w:w="9286"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10.  需要补充的其他内容</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2"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10.1.1</w:t>
            </w:r>
          </w:p>
        </w:tc>
        <w:tc>
          <w:tcPr>
            <w:tcW w:w="2102"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类  似  项  目</w:t>
            </w:r>
          </w:p>
        </w:tc>
        <w:tc>
          <w:tcPr>
            <w:tcW w:w="6318"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2016年1月1日以来建筑工程监理项目。</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szCs w:val="21"/>
              </w:rPr>
              <w:t>招标控制费率</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szCs w:val="21"/>
              </w:rPr>
              <w:t>工程总承包中施工费中标价的0.7%，各投标人的投标费率不得高于招标人的招标控制费率，否则按废标处理。</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投标人代表出席开标会</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bCs/>
                <w:szCs w:val="21"/>
              </w:rPr>
              <w:t>开标时各投标人的法定代表人或授权委托人（持有效的授权委托书原件）携带本人身份证原件，到开标现场签到，缺席或逾期不到者视为放弃。各投标单位参加会议人数不得多于二人。</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中标公示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1、在中标通知书发出前，招标人将中标候选人的情况在全国公共资源交易平台（河南省·许昌市）》和《河南省电子招标投标公共服务平台》予以公示，公示期不少于3日。</w:t>
            </w:r>
          </w:p>
          <w:p>
            <w:pPr>
              <w:autoSpaceDE w:val="0"/>
              <w:autoSpaceDN w:val="0"/>
              <w:adjustRightInd w:val="0"/>
              <w:jc w:val="left"/>
              <w:rPr>
                <w:rFonts w:ascii="宋体" w:hAnsi="宋体" w:cs="宋体"/>
                <w:kern w:val="0"/>
                <w:szCs w:val="21"/>
              </w:rPr>
            </w:pPr>
            <w:r>
              <w:rPr>
                <w:rFonts w:hint="eastAsia" w:ascii="宋体" w:hAnsi="宋体" w:cs="宋体"/>
                <w:kern w:val="0"/>
                <w:szCs w:val="21"/>
              </w:rPr>
              <w:t>2、工程建设交易项目评标结果公示期满前，招标人有权对所有中标候选人的投标资料原件进行复合，有造假等违法违规现象的依据相关规定作出相应处理。</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10.6</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知识产权</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10.7</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同义词语</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 xml:space="preserve">    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10.8</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解释权</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57" w:type="dxa"/>
            <w:left w:w="108" w:type="dxa"/>
            <w:bottom w:w="57" w:type="dxa"/>
            <w:right w:w="108" w:type="dxa"/>
          </w:tblCellMar>
        </w:tblPrEx>
        <w:trPr>
          <w:trHeight w:val="23"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10.9   招标人补充的其他内容</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10.9.1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投标文件的拒收</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1、逾期送达的或者未送达指定地点的投标文件；</w:t>
            </w:r>
          </w:p>
          <w:p>
            <w:pPr>
              <w:autoSpaceDE w:val="0"/>
              <w:autoSpaceDN w:val="0"/>
              <w:adjustRightInd w:val="0"/>
              <w:jc w:val="left"/>
              <w:rPr>
                <w:rFonts w:ascii="宋体" w:hAnsi="宋体" w:cs="宋体"/>
                <w:kern w:val="0"/>
                <w:szCs w:val="21"/>
              </w:rPr>
            </w:pPr>
            <w:r>
              <w:rPr>
                <w:rFonts w:hint="eastAsia" w:ascii="宋体" w:hAnsi="宋体" w:cs="宋体"/>
                <w:kern w:val="0"/>
                <w:szCs w:val="21"/>
              </w:rPr>
              <w:t>2、纸质投标文件、电子介质存储的投标文件未按招标文件要求密封的；</w:t>
            </w:r>
          </w:p>
          <w:p>
            <w:pPr>
              <w:autoSpaceDE w:val="0"/>
              <w:autoSpaceDN w:val="0"/>
              <w:adjustRightInd w:val="0"/>
              <w:jc w:val="left"/>
              <w:rPr>
                <w:rFonts w:ascii="宋体" w:hAnsi="宋体" w:cs="宋体"/>
                <w:kern w:val="0"/>
                <w:szCs w:val="21"/>
              </w:rPr>
            </w:pPr>
            <w:r>
              <w:rPr>
                <w:rFonts w:hint="eastAsia" w:ascii="宋体" w:hAnsi="宋体" w:cs="宋体"/>
                <w:kern w:val="0"/>
                <w:szCs w:val="21"/>
              </w:rPr>
              <w:t>3、未按招标文件要求缴纳投标保证金的；</w:t>
            </w:r>
          </w:p>
          <w:p>
            <w:pPr>
              <w:autoSpaceDE w:val="0"/>
              <w:autoSpaceDN w:val="0"/>
              <w:adjustRightInd w:val="0"/>
              <w:jc w:val="left"/>
              <w:rPr>
                <w:rFonts w:ascii="宋体" w:hAnsi="宋体" w:cs="宋体"/>
                <w:kern w:val="0"/>
                <w:szCs w:val="21"/>
              </w:rPr>
            </w:pPr>
            <w:r>
              <w:rPr>
                <w:rFonts w:hint="eastAsia" w:ascii="宋体" w:hAnsi="宋体" w:cs="宋体"/>
                <w:kern w:val="0"/>
                <w:szCs w:val="21"/>
              </w:rPr>
              <w:t>4、开标时法人或授权委托人（持有效的授权委托书）未携带本人身份证到开标现场并签到的；</w:t>
            </w:r>
          </w:p>
          <w:p>
            <w:pPr>
              <w:autoSpaceDE w:val="0"/>
              <w:autoSpaceDN w:val="0"/>
              <w:adjustRightInd w:val="0"/>
              <w:jc w:val="left"/>
              <w:rPr>
                <w:rFonts w:ascii="宋体" w:hAnsi="宋体" w:cs="宋体"/>
                <w:kern w:val="0"/>
                <w:szCs w:val="21"/>
              </w:rPr>
            </w:pPr>
            <w:r>
              <w:rPr>
                <w:rFonts w:hint="eastAsia" w:ascii="宋体" w:hAnsi="宋体" w:cs="宋体"/>
                <w:kern w:val="0"/>
                <w:szCs w:val="21"/>
              </w:rPr>
              <w:t>5、未按照规定支付招标文件费用的。</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10.9.3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有关费用</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本项目招标代理费由中标人支付，收费标准参照国家计委印发的计价格【2011】534号文件规定。</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10.9.4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
                <w:bCs/>
                <w:kern w:val="0"/>
                <w:szCs w:val="21"/>
              </w:rPr>
            </w:pPr>
            <w:r>
              <w:rPr>
                <w:rFonts w:hint="eastAsia" w:ascii="宋体" w:hAnsi="宋体" w:cs="宋体"/>
                <w:b/>
                <w:bCs/>
                <w:kern w:val="0"/>
                <w:szCs w:val="21"/>
              </w:rPr>
              <w:t>履约保证金</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b/>
                <w:bCs/>
              </w:rPr>
            </w:pPr>
            <w:r>
              <w:rPr>
                <w:rFonts w:hint="eastAsia"/>
                <w:b/>
                <w:bCs/>
              </w:rPr>
              <w:t>按规定缴纳</w:t>
            </w:r>
            <w:r>
              <w:rPr>
                <w:rFonts w:hint="eastAsia" w:ascii="宋体" w:hAnsi="宋体" w:cs="宋体"/>
                <w:b/>
                <w:bCs/>
                <w:kern w:val="0"/>
                <w:szCs w:val="21"/>
              </w:rPr>
              <w:t>履约保证金</w:t>
            </w:r>
            <w:r>
              <w:rPr>
                <w:rFonts w:hint="eastAsia"/>
                <w:b/>
                <w:bCs/>
              </w:rPr>
              <w:t>，在发放中标通知书后一周内提交，如未提交履约保证金，视为自动放弃中标资格。</w:t>
            </w:r>
          </w:p>
        </w:tc>
      </w:tr>
      <w:tr>
        <w:tblPrEx>
          <w:tblLayout w:type="fixed"/>
          <w:tblCellMar>
            <w:top w:w="57" w:type="dxa"/>
            <w:left w:w="108" w:type="dxa"/>
            <w:bottom w:w="57" w:type="dxa"/>
            <w:right w:w="108" w:type="dxa"/>
          </w:tblCellMar>
        </w:tblPrEx>
        <w:trPr>
          <w:trHeight w:val="23"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特别提示：</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p>
        </w:tc>
        <w:tc>
          <w:tcPr>
            <w:tcW w:w="8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pPr>
            <w:r>
              <w:rPr>
                <w:rFonts w:hint="eastAsia"/>
              </w:rPr>
              <w:t>1、潜在投标人应仔细阅读招标文件，潜在投标人如对招标文件有异议，请在规定时间内在全国公共资源交易平台（河南省•许昌市）上提出，以其他方式递交的异议不予接受。</w:t>
            </w:r>
          </w:p>
          <w:p>
            <w:pPr>
              <w:autoSpaceDE w:val="0"/>
              <w:autoSpaceDN w:val="0"/>
              <w:adjustRightInd w:val="0"/>
              <w:jc w:val="left"/>
            </w:pPr>
            <w:r>
              <w:rPr>
                <w:rFonts w:hint="eastAsia"/>
              </w:rPr>
              <w:t>2、投标人在投标截止时间前应随时关注许昌市公共资源交易系统电子平台发出的有关本工程的答疑、修改等相关内容。</w:t>
            </w:r>
          </w:p>
          <w:p>
            <w:pPr>
              <w:autoSpaceDE w:val="0"/>
              <w:autoSpaceDN w:val="0"/>
              <w:adjustRightInd w:val="0"/>
              <w:jc w:val="left"/>
            </w:pPr>
            <w:r>
              <w:rPr>
                <w:rFonts w:hint="eastAsia"/>
              </w:rPr>
              <w:t>3、投标人在投标截止时间前应随时关注《全国公共资源交易平台（河南省·许昌市）》公共资源交易系统发出的有关本项目的答疑、修改等相关内容。</w:t>
            </w:r>
          </w:p>
          <w:p>
            <w:pPr>
              <w:autoSpaceDE w:val="0"/>
              <w:autoSpaceDN w:val="0"/>
              <w:adjustRightInd w:val="0"/>
              <w:jc w:val="left"/>
            </w:pPr>
            <w:r>
              <w:rPr>
                <w:rFonts w:hint="eastAsia"/>
              </w:rPr>
              <w:t>4、本项目试行全流程电子化交易，如因交易系统异常情况无法完成，将以人工方式进行。</w:t>
            </w:r>
          </w:p>
          <w:p>
            <w:pPr>
              <w:autoSpaceDE w:val="0"/>
              <w:autoSpaceDN w:val="0"/>
              <w:adjustRightInd w:val="0"/>
              <w:jc w:val="left"/>
            </w:pPr>
            <w:r>
              <w:rPr>
                <w:rFonts w:hint="eastAsia"/>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jc w:val="left"/>
            </w:pPr>
            <w:r>
              <w:rPr>
                <w:rFonts w:hint="eastAsia"/>
              </w:rPr>
              <w:t>6、投标人电子投标文件成功提交后，应打印“投标文件提交回执单”，供开标现场备查。</w:t>
            </w:r>
          </w:p>
          <w:p>
            <w:pPr>
              <w:autoSpaceDE w:val="0"/>
              <w:autoSpaceDN w:val="0"/>
              <w:adjustRightInd w:val="0"/>
              <w:jc w:val="left"/>
            </w:pPr>
            <w:r>
              <w:rPr>
                <w:rFonts w:hint="eastAsia"/>
              </w:rPr>
              <w:t>7、商务标投标文件制作注意事项：</w:t>
            </w:r>
          </w:p>
          <w:p>
            <w:pPr>
              <w:autoSpaceDE w:val="0"/>
              <w:autoSpaceDN w:val="0"/>
              <w:adjustRightInd w:val="0"/>
              <w:jc w:val="left"/>
            </w:pPr>
            <w:r>
              <w:rPr>
                <w:rFonts w:hint="eastAsia"/>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jc w:val="left"/>
            </w:pPr>
            <w:r>
              <w:rPr>
                <w:rFonts w:hint="eastAsia"/>
              </w:rPr>
              <w:t>7.2 商务标投标文件制作技术咨询：0374-2961598。</w:t>
            </w:r>
          </w:p>
        </w:tc>
      </w:tr>
      <w:tr>
        <w:tblPrEx>
          <w:tblLayout w:type="fixed"/>
          <w:tblCellMar>
            <w:top w:w="57" w:type="dxa"/>
            <w:left w:w="108" w:type="dxa"/>
            <w:bottom w:w="57"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
                <w:bCs/>
                <w:kern w:val="0"/>
                <w:szCs w:val="21"/>
              </w:rPr>
            </w:pPr>
            <w:r>
              <w:rPr>
                <w:rFonts w:hint="eastAsia" w:ascii="宋体" w:hAnsi="宋体" w:cs="宋体"/>
                <w:b/>
                <w:bCs/>
                <w:kern w:val="0"/>
                <w:szCs w:val="21"/>
              </w:rPr>
              <w:t>原件是否提供</w:t>
            </w:r>
          </w:p>
        </w:tc>
        <w:tc>
          <w:tcPr>
            <w:tcW w:w="8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
                <w:bCs/>
                <w:kern w:val="0"/>
                <w:szCs w:val="21"/>
              </w:rPr>
            </w:pPr>
            <w:r>
              <w:rPr>
                <w:rFonts w:hint="eastAsia" w:ascii="宋体" w:hAnsi="宋体" w:cs="宋体"/>
                <w:b/>
                <w:bCs/>
                <w:kern w:val="0"/>
                <w:szCs w:val="21"/>
              </w:rPr>
              <w:t>投标人投标时须提供加密电子投标文件、备份文件（使用电子介质存储）、纸质投标文件。投标人资质、业绩、荣誉及相关人员证明材料等资料原件开标现场不再提供。</w:t>
            </w:r>
          </w:p>
        </w:tc>
      </w:tr>
    </w:tbl>
    <w:p>
      <w:pPr>
        <w:autoSpaceDE w:val="0"/>
        <w:autoSpaceDN w:val="0"/>
        <w:adjustRightInd w:val="0"/>
        <w:spacing w:line="320" w:lineRule="exact"/>
        <w:jc w:val="left"/>
        <w:rPr>
          <w:rFonts w:ascii="宋体" w:hAnsi="宋体" w:cs="宋体"/>
          <w:kern w:val="0"/>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1. 总则</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1.1  项目概况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1.1.1根据《中华人民共和国招标投标法》等有关法律、法规和规章的规定，本招标项目已具备招标条件，现对本工程进行监理招标。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1.1.2 本招标项目招标人：见投标人须知前附表。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1.1.3 本招标项目地点：见投标人须知前附表。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1.1.4 本标段建设地点：见投标人须知前附表。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1.2  资金来源和落实情况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本招标项目资金来源和落实情况：见投标人须知前附表。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1.3. 招标范围、服务期和质量要求（详见投标人须知前附表）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1.4. 投标人资格要求（见投标人须知前附表）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1.4.1投标人、注册监理工程师资格要求：见投标人须知前附表。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1.4.2 投标人资格要求（详见投标人须知前附表）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投标人不得存在下列情形之一：</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（1）为招标人不具有独立法人资格的附属机构（单位）；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（2）为本标段前期准备提供设计或咨询服务的；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（3）为本标段的代建人；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（4）为本标段提供招标代理服务的；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（5）与本标段的监理人或代建人或招标代理机构同为一个法定代表人的；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（6）与本标段的监理人或代建人或招标代理机构相互控股或参股的；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（7）与本标段的监理人或代建人或招标代理机构相互任职或工作的；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（8）被责令停业的；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（9）被暂停或取消投标资格的；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（10）财产被接管或冻结的；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（11）在最近三年内有骗取中标或严重违约或重大工程质量问题的。</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1.5．费用承担</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投标人准备和参加投标活动发生的一切费用自理。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1.6. 保密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参与招标投标活动的各方应对招标文件和投标文件中的商业和技术等秘密保密，违者应对由此造成的后果承担法律责任。</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1.7. 语言文字</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除专用术语外，与招标投标有关的语言均使用中文。必要时专用术语应附有中文注释。</w:t>
      </w:r>
    </w:p>
    <w:p>
      <w:pPr>
        <w:widowControl/>
        <w:snapToGrid w:val="0"/>
        <w:spacing w:line="360" w:lineRule="auto"/>
        <w:jc w:val="left"/>
        <w:rPr>
          <w:rFonts w:ascii="宋体" w:hAnsi="宋体" w:cs="宋体"/>
          <w:b/>
          <w:kern w:val="0"/>
          <w:szCs w:val="21"/>
        </w:rPr>
      </w:pPr>
      <w:bookmarkStart w:id="2" w:name="_Toc215282136"/>
      <w:bookmarkEnd w:id="2"/>
      <w:r>
        <w:rPr>
          <w:rFonts w:hint="eastAsia" w:ascii="宋体" w:hAnsi="宋体" w:cs="宋体"/>
          <w:b/>
          <w:kern w:val="0"/>
          <w:szCs w:val="21"/>
        </w:rPr>
        <w:t>1.8 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所有计量均采用中华人民共和国法定计量单位。</w:t>
      </w:r>
    </w:p>
    <w:p>
      <w:pPr>
        <w:widowControl/>
        <w:snapToGrid w:val="0"/>
        <w:spacing w:line="360" w:lineRule="auto"/>
        <w:jc w:val="left"/>
        <w:rPr>
          <w:rFonts w:ascii="宋体" w:hAnsi="宋体" w:cs="宋体"/>
          <w:b/>
          <w:kern w:val="0"/>
          <w:szCs w:val="21"/>
        </w:rPr>
      </w:pPr>
      <w:bookmarkStart w:id="3" w:name="_Toc215282137"/>
      <w:bookmarkEnd w:id="3"/>
      <w:r>
        <w:rPr>
          <w:rFonts w:hint="eastAsia" w:ascii="宋体" w:hAnsi="宋体" w:cs="宋体"/>
          <w:b/>
          <w:kern w:val="0"/>
          <w:szCs w:val="21"/>
        </w:rPr>
        <w:t>1.9 踏勘现场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1.9.1 投标人须知前附表规定不组织踏勘现场的，由投标人自行规定时间、地点组织踏勘项目现场。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1.9.2 投标人踏勘现场发生的费用自理。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1.9.4 招标人在踏勘现场中介绍的工程场地和相关的周边环境情况，供投标人在编制投标文件时参考，招标人不对投标人据此作出的判断和决策负责。</w:t>
      </w:r>
    </w:p>
    <w:p>
      <w:pPr>
        <w:widowControl/>
        <w:snapToGrid w:val="0"/>
        <w:spacing w:line="360" w:lineRule="auto"/>
        <w:jc w:val="left"/>
        <w:rPr>
          <w:rFonts w:ascii="宋体" w:hAnsi="宋体" w:cs="宋体"/>
          <w:b/>
          <w:kern w:val="0"/>
          <w:szCs w:val="21"/>
        </w:rPr>
      </w:pPr>
      <w:bookmarkStart w:id="4" w:name="_Toc215282138"/>
      <w:bookmarkEnd w:id="4"/>
      <w:r>
        <w:rPr>
          <w:rFonts w:hint="eastAsia" w:ascii="宋体" w:hAnsi="宋体" w:cs="宋体"/>
          <w:b/>
          <w:kern w:val="0"/>
          <w:szCs w:val="21"/>
        </w:rPr>
        <w:t>1.10 投标预备会</w:t>
      </w:r>
    </w:p>
    <w:p>
      <w:pPr>
        <w:autoSpaceDE w:val="0"/>
        <w:autoSpaceDN w:val="0"/>
        <w:spacing w:line="540" w:lineRule="exact"/>
        <w:ind w:firstLine="411" w:firstLineChars="196"/>
        <w:jc w:val="left"/>
        <w:outlineLvl w:val="0"/>
      </w:pPr>
      <w:r>
        <w:t>1.</w:t>
      </w:r>
      <w:r>
        <w:rPr>
          <w:rFonts w:hint="eastAsia"/>
        </w:rPr>
        <w:t>10</w:t>
      </w:r>
      <w:r>
        <w:t>.</w:t>
      </w:r>
      <w:r>
        <w:rPr>
          <w:rFonts w:hint="eastAsia"/>
        </w:rPr>
        <w:t>1 招标人不召开投标预备会。</w:t>
      </w:r>
    </w:p>
    <w:p>
      <w:pPr>
        <w:autoSpaceDE w:val="0"/>
        <w:autoSpaceDN w:val="0"/>
        <w:spacing w:line="540" w:lineRule="exact"/>
        <w:ind w:firstLine="420" w:firstLineChars="200"/>
        <w:jc w:val="left"/>
        <w:outlineLvl w:val="0"/>
      </w:pPr>
      <w:r>
        <w:t>1.</w:t>
      </w:r>
      <w:r>
        <w:rPr>
          <w:rFonts w:hint="eastAsia"/>
        </w:rPr>
        <w:t>10</w:t>
      </w:r>
      <w:r>
        <w:t>.</w:t>
      </w:r>
      <w:r>
        <w:rPr>
          <w:rFonts w:hint="eastAsia"/>
        </w:rPr>
        <w:t>2 投标人应在投标人须知前附表规定的时间前，将问题在公共资源交易系统电子平台上提出。</w:t>
      </w:r>
    </w:p>
    <w:p>
      <w:pPr>
        <w:autoSpaceDE w:val="0"/>
        <w:autoSpaceDN w:val="0"/>
        <w:spacing w:line="540" w:lineRule="exact"/>
        <w:ind w:firstLine="420" w:firstLineChars="200"/>
        <w:jc w:val="left"/>
        <w:outlineLvl w:val="0"/>
      </w:pPr>
      <w:r>
        <w:t>1.</w:t>
      </w:r>
      <w:r>
        <w:rPr>
          <w:rFonts w:hint="eastAsia"/>
        </w:rPr>
        <w:t>10</w:t>
      </w:r>
      <w:r>
        <w:t>.3</w:t>
      </w:r>
      <w:r>
        <w:rPr>
          <w:rFonts w:hint="eastAsia"/>
        </w:rPr>
        <w:t xml:space="preserve"> 招标人在投标人须知前附表规定的时间内，将对投标人所提问题的澄清，在公共资源交易系统电子平台上予以澄清。该澄清内容为招标文件的组成部分。</w:t>
      </w:r>
    </w:p>
    <w:p>
      <w:pPr>
        <w:pStyle w:val="2"/>
        <w:ind w:firstLine="210"/>
      </w:pPr>
    </w:p>
    <w:p>
      <w:pPr>
        <w:widowControl/>
        <w:snapToGrid w:val="0"/>
        <w:spacing w:line="360" w:lineRule="auto"/>
        <w:jc w:val="left"/>
        <w:rPr>
          <w:rFonts w:ascii="宋体" w:hAnsi="宋体" w:cs="宋体"/>
          <w:b/>
          <w:kern w:val="0"/>
          <w:szCs w:val="21"/>
        </w:rPr>
      </w:pPr>
      <w:bookmarkStart w:id="5" w:name="_Toc215282139"/>
      <w:bookmarkEnd w:id="5"/>
      <w:r>
        <w:rPr>
          <w:rFonts w:hint="eastAsia" w:ascii="宋体" w:hAnsi="宋体" w:cs="宋体"/>
          <w:b/>
          <w:kern w:val="0"/>
          <w:szCs w:val="21"/>
        </w:rPr>
        <w:t>1.11 分包</w:t>
      </w:r>
    </w:p>
    <w:p>
      <w:pPr>
        <w:widowControl/>
        <w:snapToGrid w:val="0"/>
        <w:spacing w:line="360" w:lineRule="auto"/>
        <w:ind w:firstLine="420" w:firstLineChars="200"/>
        <w:jc w:val="left"/>
      </w:pPr>
      <w:bookmarkStart w:id="6" w:name="_Toc215282140"/>
      <w:bookmarkEnd w:id="6"/>
      <w:r>
        <w:rPr>
          <w:rFonts w:hint="eastAsia"/>
        </w:rPr>
        <w:t>不允许。</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1.12 偏离</w:t>
      </w:r>
    </w:p>
    <w:p>
      <w:pPr>
        <w:pStyle w:val="2"/>
        <w:ind w:firstLineChars="200"/>
      </w:pPr>
      <w:r>
        <w:rPr>
          <w:rFonts w:hint="eastAsia"/>
        </w:rPr>
        <w:t>投标人须知前附表允许投标文件偏离招标文件某些要求的，偏离应当符合招标文件规定的偏离范围和幅度。</w:t>
      </w:r>
    </w:p>
    <w:p>
      <w:pPr>
        <w:widowControl/>
        <w:snapToGrid w:val="0"/>
        <w:spacing w:line="360" w:lineRule="auto"/>
        <w:rPr>
          <w:rFonts w:ascii="宋体" w:hAnsi="宋体" w:cs="宋体"/>
          <w:b/>
          <w:kern w:val="0"/>
          <w:szCs w:val="21"/>
        </w:rPr>
      </w:pPr>
      <w:bookmarkStart w:id="7" w:name="_Toc215282141"/>
      <w:bookmarkEnd w:id="7"/>
      <w:r>
        <w:rPr>
          <w:rFonts w:hint="eastAsia" w:ascii="宋体" w:hAnsi="宋体" w:cs="宋体"/>
          <w:b/>
          <w:kern w:val="0"/>
          <w:szCs w:val="21"/>
        </w:rPr>
        <w:t>2. 招标文件</w:t>
      </w:r>
    </w:p>
    <w:p>
      <w:pPr>
        <w:widowControl/>
        <w:snapToGrid w:val="0"/>
        <w:spacing w:line="360" w:lineRule="auto"/>
        <w:jc w:val="left"/>
        <w:rPr>
          <w:rFonts w:ascii="宋体" w:hAnsi="宋体" w:cs="宋体"/>
          <w:b/>
          <w:kern w:val="0"/>
          <w:szCs w:val="21"/>
        </w:rPr>
      </w:pPr>
      <w:bookmarkStart w:id="8" w:name="_Toc215282142"/>
      <w:bookmarkEnd w:id="8"/>
      <w:r>
        <w:rPr>
          <w:rFonts w:hint="eastAsia" w:ascii="宋体" w:hAnsi="宋体" w:cs="宋体"/>
          <w:b/>
          <w:kern w:val="0"/>
          <w:szCs w:val="21"/>
        </w:rPr>
        <w:t>2.1 招标文件的组成</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本招标文件包括：</w:t>
      </w:r>
    </w:p>
    <w:p>
      <w:pPr>
        <w:widowControl/>
        <w:snapToGrid w:val="0"/>
        <w:spacing w:line="360" w:lineRule="auto"/>
        <w:ind w:firstLine="480"/>
        <w:jc w:val="left"/>
        <w:rPr>
          <w:rFonts w:ascii="宋体" w:hAnsi="宋体" w:cs="宋体"/>
          <w:kern w:val="0"/>
          <w:szCs w:val="21"/>
        </w:rPr>
      </w:pPr>
      <w:bookmarkStart w:id="9" w:name="_Toc215282143"/>
      <w:bookmarkEnd w:id="9"/>
      <w:r>
        <w:rPr>
          <w:rFonts w:hint="eastAsia" w:ascii="宋体" w:hAnsi="宋体" w:cs="宋体"/>
          <w:kern w:val="0"/>
          <w:szCs w:val="21"/>
        </w:rPr>
        <w:t>（1）招标公告；</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（2）投标人须知；</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（3）评标办法；</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（4）合同条款及格式；</w:t>
      </w:r>
    </w:p>
    <w:p>
      <w:pPr>
        <w:widowControl/>
        <w:snapToGrid w:val="0"/>
        <w:spacing w:line="360" w:lineRule="auto"/>
        <w:ind w:firstLine="480"/>
        <w:jc w:val="left"/>
        <w:rPr>
          <w:rFonts w:ascii="宋体" w:hAnsi="宋体" w:cs="宋体"/>
          <w:kern w:val="0"/>
          <w:szCs w:val="21"/>
        </w:rPr>
      </w:pPr>
      <w:r>
        <w:rPr>
          <w:rFonts w:hint="eastAsia" w:ascii="宋体" w:hAnsi="宋体" w:cs="宋体"/>
          <w:szCs w:val="21"/>
        </w:rPr>
        <w:t>（5）</w:t>
      </w:r>
      <w:r>
        <w:rPr>
          <w:rFonts w:hint="eastAsia" w:ascii="宋体" w:hAnsi="宋体" w:cs="宋体"/>
          <w:kern w:val="0"/>
          <w:szCs w:val="21"/>
        </w:rPr>
        <w:t>投标文件格式；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根据本章第2.2 款和第2.3 款对招标文件所作的澄清、修改，构成招标文件的组成部分。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2.2 招标文件的澄清</w:t>
      </w:r>
    </w:p>
    <w:p>
      <w:pPr>
        <w:widowControl/>
        <w:snapToGrid w:val="0"/>
        <w:spacing w:line="360" w:lineRule="auto"/>
        <w:ind w:firstLine="480"/>
        <w:jc w:val="left"/>
        <w:rPr>
          <w:rFonts w:ascii="宋体" w:hAnsi="宋体" w:cs="宋体"/>
          <w:b/>
          <w:bCs/>
          <w:kern w:val="0"/>
          <w:szCs w:val="21"/>
        </w:rPr>
      </w:pPr>
      <w:bookmarkStart w:id="10" w:name="_Toc215282144"/>
      <w:bookmarkEnd w:id="10"/>
      <w:r>
        <w:rPr>
          <w:rFonts w:hint="eastAsia" w:ascii="宋体" w:hAnsi="宋体" w:cs="宋体"/>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kern w:val="0"/>
          <w:szCs w:val="21"/>
        </w:rPr>
        <w:t>如未提出异议，视为全面接受。</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2.2.3 所有澄清、答疑全部以【全国公共资源交易平台（河南省·许昌市）】公共资源交易系统发出的为准，不再接受书面形式的递交。</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2.3 招标文件的修改</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2.3.1 在投标截止时间10天前，招标人可以通过公共资源交易系统电子平台修改招标文件，如果修改招标文件的时间距投标截止时间不足15 天，相应延长投标截止时间。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2.3.2 当招标文件、补充通知、答疑纪要，内容相互矛盾时，以最后发出的通知或纪要为准。</w:t>
      </w:r>
    </w:p>
    <w:p>
      <w:pPr>
        <w:widowControl/>
        <w:snapToGrid w:val="0"/>
        <w:spacing w:line="360" w:lineRule="auto"/>
        <w:rPr>
          <w:rFonts w:ascii="宋体" w:hAnsi="宋体" w:cs="宋体"/>
          <w:b/>
          <w:kern w:val="0"/>
          <w:szCs w:val="21"/>
        </w:rPr>
      </w:pPr>
      <w:bookmarkStart w:id="11" w:name="_Toc215282145"/>
      <w:bookmarkEnd w:id="11"/>
      <w:r>
        <w:rPr>
          <w:rFonts w:hint="eastAsia" w:ascii="宋体" w:hAnsi="宋体" w:cs="宋体"/>
          <w:b/>
          <w:kern w:val="0"/>
          <w:szCs w:val="21"/>
        </w:rPr>
        <w:t>3. 投标文件</w:t>
      </w:r>
    </w:p>
    <w:p>
      <w:pPr>
        <w:pStyle w:val="6"/>
        <w:spacing w:before="0" w:after="0" w:line="360" w:lineRule="auto"/>
        <w:rPr>
          <w:rFonts w:ascii="宋体" w:hAnsi="宋体" w:cs="宋体"/>
          <w:b w:val="0"/>
          <w:sz w:val="21"/>
          <w:szCs w:val="21"/>
        </w:rPr>
      </w:pPr>
      <w:r>
        <w:rPr>
          <w:rFonts w:hint="eastAsia" w:ascii="宋体" w:hAnsi="宋体" w:cs="宋体"/>
          <w:b w:val="0"/>
          <w:kern w:val="0"/>
          <w:sz w:val="21"/>
          <w:szCs w:val="21"/>
        </w:rPr>
        <w:t xml:space="preserve">3.1 </w:t>
      </w:r>
      <w:r>
        <w:rPr>
          <w:rFonts w:hint="eastAsia" w:ascii="宋体" w:hAnsi="宋体" w:cs="宋体"/>
          <w:b w:val="0"/>
          <w:sz w:val="21"/>
          <w:szCs w:val="21"/>
        </w:rPr>
        <w:t>投标文件的组成</w:t>
      </w:r>
    </w:p>
    <w:p>
      <w:pPr>
        <w:pStyle w:val="2"/>
        <w:ind w:firstLine="211"/>
        <w:rPr>
          <w:rFonts w:ascii="宋体" w:hAnsi="宋体" w:cs="宋体"/>
          <w:b/>
          <w:szCs w:val="21"/>
        </w:rPr>
      </w:pPr>
      <w:r>
        <w:rPr>
          <w:rFonts w:hint="eastAsia" w:ascii="宋体" w:hAnsi="宋体" w:cs="宋体"/>
          <w:b/>
          <w:szCs w:val="21"/>
        </w:rPr>
        <w:t>一、商务部分</w:t>
      </w:r>
    </w:p>
    <w:p>
      <w:pPr>
        <w:pStyle w:val="2"/>
        <w:ind w:left="420" w:leftChars="200" w:firstLine="210"/>
        <w:rPr>
          <w:rFonts w:ascii="宋体" w:hAnsi="宋体" w:cs="宋体"/>
          <w:szCs w:val="21"/>
        </w:rPr>
      </w:pPr>
      <w:r>
        <w:rPr>
          <w:rFonts w:hint="eastAsia" w:ascii="宋体" w:hAnsi="宋体" w:cs="宋体"/>
          <w:szCs w:val="21"/>
        </w:rPr>
        <w:t>一、投标函及投标函附录</w:t>
      </w:r>
    </w:p>
    <w:p>
      <w:pPr>
        <w:pStyle w:val="2"/>
        <w:ind w:left="420" w:leftChars="200" w:firstLine="210"/>
        <w:rPr>
          <w:rFonts w:ascii="宋体" w:hAnsi="宋体" w:cs="宋体"/>
          <w:szCs w:val="21"/>
        </w:rPr>
      </w:pPr>
      <w:r>
        <w:rPr>
          <w:rFonts w:hint="eastAsia" w:ascii="宋体" w:hAnsi="宋体" w:cs="宋体"/>
          <w:szCs w:val="21"/>
        </w:rPr>
        <w:t xml:space="preserve">       （一）投 标 函</w:t>
      </w:r>
    </w:p>
    <w:p>
      <w:pPr>
        <w:pStyle w:val="2"/>
        <w:ind w:left="420" w:leftChars="200" w:firstLine="210"/>
        <w:rPr>
          <w:rFonts w:ascii="宋体" w:hAnsi="宋体" w:cs="宋体"/>
          <w:szCs w:val="21"/>
        </w:rPr>
      </w:pPr>
      <w:r>
        <w:rPr>
          <w:rFonts w:hint="eastAsia" w:ascii="宋体" w:hAnsi="宋体" w:cs="宋体"/>
          <w:szCs w:val="21"/>
        </w:rPr>
        <w:t xml:space="preserve">       （二）投标函附录</w:t>
      </w:r>
    </w:p>
    <w:p>
      <w:pPr>
        <w:pStyle w:val="2"/>
        <w:ind w:left="420" w:leftChars="200" w:firstLine="210"/>
        <w:rPr>
          <w:rFonts w:ascii="宋体" w:hAnsi="宋体" w:cs="宋体"/>
          <w:szCs w:val="21"/>
        </w:rPr>
      </w:pPr>
      <w:r>
        <w:rPr>
          <w:rFonts w:hint="eastAsia" w:ascii="宋体" w:hAnsi="宋体" w:cs="宋体"/>
          <w:szCs w:val="21"/>
        </w:rPr>
        <w:t>二、 法定代表人身份证明和附有法定代表人身份证明的授权委托</w:t>
      </w:r>
    </w:p>
    <w:p>
      <w:pPr>
        <w:pStyle w:val="2"/>
        <w:ind w:left="420" w:leftChars="200" w:firstLine="210"/>
        <w:rPr>
          <w:rFonts w:ascii="宋体" w:hAnsi="宋体" w:cs="宋体"/>
          <w:szCs w:val="21"/>
        </w:rPr>
      </w:pPr>
      <w:r>
        <w:rPr>
          <w:rFonts w:hint="eastAsia" w:ascii="宋体" w:hAnsi="宋体" w:cs="宋体"/>
          <w:szCs w:val="21"/>
        </w:rPr>
        <w:t xml:space="preserve">       （一）法定代表人身份证明 </w:t>
      </w:r>
    </w:p>
    <w:p>
      <w:pPr>
        <w:pStyle w:val="2"/>
        <w:ind w:left="420" w:leftChars="200" w:firstLine="945" w:firstLineChars="450"/>
        <w:rPr>
          <w:rFonts w:ascii="宋体" w:hAnsi="宋体" w:cs="宋体"/>
          <w:szCs w:val="21"/>
        </w:rPr>
      </w:pPr>
      <w:r>
        <w:rPr>
          <w:rFonts w:hint="eastAsia" w:ascii="宋体" w:hAnsi="宋体" w:cs="宋体"/>
          <w:szCs w:val="21"/>
        </w:rPr>
        <w:t>（二）授权委托书</w:t>
      </w:r>
    </w:p>
    <w:p>
      <w:pPr>
        <w:pStyle w:val="2"/>
        <w:ind w:left="420" w:leftChars="200" w:firstLine="210"/>
        <w:rPr>
          <w:rFonts w:ascii="宋体" w:hAnsi="宋体" w:cs="宋体"/>
          <w:szCs w:val="21"/>
        </w:rPr>
      </w:pPr>
      <w:r>
        <w:rPr>
          <w:rFonts w:hint="eastAsia" w:ascii="宋体" w:hAnsi="宋体" w:cs="宋体"/>
          <w:szCs w:val="21"/>
        </w:rPr>
        <w:t>三、投标保证金；</w:t>
      </w:r>
    </w:p>
    <w:p>
      <w:pPr>
        <w:pStyle w:val="2"/>
        <w:ind w:left="420" w:leftChars="200" w:firstLine="210"/>
        <w:rPr>
          <w:rFonts w:ascii="宋体" w:hAnsi="宋体" w:cs="宋体"/>
          <w:szCs w:val="21"/>
        </w:rPr>
      </w:pPr>
      <w:r>
        <w:rPr>
          <w:rFonts w:hint="eastAsia" w:ascii="宋体" w:hAnsi="宋体" w:cs="宋体"/>
          <w:szCs w:val="21"/>
        </w:rPr>
        <w:t>四、监理单位综合情况；</w:t>
      </w:r>
    </w:p>
    <w:p>
      <w:pPr>
        <w:pStyle w:val="2"/>
        <w:ind w:left="420" w:leftChars="200" w:firstLine="210"/>
        <w:rPr>
          <w:rFonts w:ascii="宋体" w:hAnsi="宋体" w:cs="宋体"/>
          <w:szCs w:val="21"/>
        </w:rPr>
      </w:pPr>
      <w:r>
        <w:rPr>
          <w:rFonts w:hint="eastAsia" w:ascii="宋体" w:hAnsi="宋体" w:cs="宋体"/>
          <w:szCs w:val="21"/>
        </w:rPr>
        <w:t>五、拟派本项目监理机构及主要人员；</w:t>
      </w:r>
    </w:p>
    <w:p>
      <w:pPr>
        <w:pStyle w:val="2"/>
        <w:ind w:left="420" w:leftChars="200" w:firstLine="210"/>
        <w:rPr>
          <w:rFonts w:ascii="宋体" w:hAnsi="宋体" w:cs="宋体"/>
          <w:szCs w:val="21"/>
        </w:rPr>
      </w:pPr>
      <w:r>
        <w:rPr>
          <w:rFonts w:hint="eastAsia" w:ascii="宋体" w:hAnsi="宋体" w:cs="宋体"/>
          <w:szCs w:val="21"/>
        </w:rPr>
        <w:t>六、服务承诺；</w:t>
      </w:r>
    </w:p>
    <w:p>
      <w:pPr>
        <w:pStyle w:val="2"/>
        <w:ind w:left="420" w:leftChars="200" w:firstLine="210"/>
        <w:rPr>
          <w:rFonts w:ascii="宋体" w:hAnsi="宋体" w:cs="宋体"/>
          <w:szCs w:val="21"/>
        </w:rPr>
      </w:pPr>
      <w:r>
        <w:rPr>
          <w:rFonts w:hint="eastAsia" w:ascii="宋体" w:hAnsi="宋体" w:cs="宋体"/>
          <w:szCs w:val="21"/>
        </w:rPr>
        <w:t>七、监理单位近三年内完成同类工程项目；</w:t>
      </w:r>
    </w:p>
    <w:p>
      <w:pPr>
        <w:pStyle w:val="2"/>
        <w:ind w:left="420" w:leftChars="200" w:firstLine="210"/>
        <w:rPr>
          <w:rFonts w:ascii="宋体" w:hAnsi="宋体" w:cs="宋体"/>
          <w:szCs w:val="21"/>
        </w:rPr>
      </w:pPr>
      <w:r>
        <w:rPr>
          <w:rFonts w:hint="eastAsia" w:ascii="宋体" w:hAnsi="宋体" w:cs="宋体"/>
          <w:szCs w:val="21"/>
        </w:rPr>
        <w:t>八、目前正在监理的工程项目；</w:t>
      </w:r>
    </w:p>
    <w:p>
      <w:pPr>
        <w:pStyle w:val="2"/>
        <w:ind w:left="420" w:leftChars="200" w:firstLine="210"/>
        <w:rPr>
          <w:rFonts w:ascii="宋体" w:hAnsi="宋体" w:cs="宋体"/>
          <w:szCs w:val="21"/>
        </w:rPr>
      </w:pPr>
      <w:r>
        <w:rPr>
          <w:rFonts w:hint="eastAsia" w:ascii="宋体" w:hAnsi="宋体" w:cs="宋体"/>
          <w:szCs w:val="21"/>
        </w:rPr>
        <w:t>九、监理单位近三年获得荣誉称号；</w:t>
      </w:r>
    </w:p>
    <w:p>
      <w:pPr>
        <w:pStyle w:val="2"/>
        <w:ind w:left="420" w:leftChars="200" w:firstLine="210"/>
        <w:rPr>
          <w:rFonts w:ascii="宋体" w:hAnsi="宋体" w:cs="宋体"/>
          <w:szCs w:val="21"/>
        </w:rPr>
      </w:pPr>
      <w:r>
        <w:rPr>
          <w:rFonts w:hint="eastAsia" w:ascii="宋体" w:hAnsi="宋体" w:cs="宋体"/>
          <w:szCs w:val="21"/>
        </w:rPr>
        <w:t xml:space="preserve">十、投标人须知前附表规定的其他材料。       </w:t>
      </w:r>
    </w:p>
    <w:p>
      <w:pPr>
        <w:pStyle w:val="2"/>
        <w:ind w:firstLine="211"/>
        <w:rPr>
          <w:rFonts w:ascii="宋体" w:hAnsi="宋体" w:cs="宋体"/>
          <w:b/>
          <w:szCs w:val="21"/>
        </w:rPr>
      </w:pPr>
      <w:r>
        <w:rPr>
          <w:rFonts w:hint="eastAsia" w:ascii="宋体" w:hAnsi="宋体" w:cs="宋体"/>
          <w:b/>
          <w:szCs w:val="21"/>
        </w:rPr>
        <w:t>二、监理大纲</w:t>
      </w:r>
    </w:p>
    <w:p>
      <w:pPr>
        <w:pStyle w:val="2"/>
        <w:ind w:left="210" w:leftChars="100" w:firstLine="210"/>
        <w:rPr>
          <w:rFonts w:ascii="宋体" w:hAnsi="宋体" w:cs="宋体"/>
          <w:szCs w:val="21"/>
        </w:rPr>
      </w:pPr>
      <w:r>
        <w:rPr>
          <w:rFonts w:hint="eastAsia" w:ascii="宋体" w:hAnsi="宋体" w:cs="宋体"/>
          <w:szCs w:val="21"/>
        </w:rPr>
        <w:t>（1）质量控制</w:t>
      </w:r>
    </w:p>
    <w:p>
      <w:pPr>
        <w:pStyle w:val="2"/>
        <w:ind w:left="210" w:leftChars="100" w:firstLine="210"/>
        <w:rPr>
          <w:rFonts w:ascii="宋体" w:hAnsi="宋体" w:cs="宋体"/>
          <w:szCs w:val="21"/>
        </w:rPr>
      </w:pPr>
      <w:r>
        <w:rPr>
          <w:rFonts w:hint="eastAsia" w:ascii="宋体" w:hAnsi="宋体" w:cs="宋体"/>
          <w:szCs w:val="21"/>
        </w:rPr>
        <w:t>（2）进度控制</w:t>
      </w:r>
      <w:r>
        <w:rPr>
          <w:rFonts w:hint="eastAsia" w:ascii="宋体" w:hAnsi="宋体" w:cs="宋体"/>
          <w:szCs w:val="21"/>
        </w:rPr>
        <w:tab/>
      </w:r>
    </w:p>
    <w:p>
      <w:pPr>
        <w:pStyle w:val="2"/>
        <w:ind w:left="210" w:leftChars="100" w:firstLine="210"/>
        <w:rPr>
          <w:rFonts w:ascii="宋体" w:hAnsi="宋体" w:cs="宋体"/>
          <w:szCs w:val="21"/>
        </w:rPr>
      </w:pPr>
      <w:r>
        <w:rPr>
          <w:rFonts w:hint="eastAsia" w:ascii="宋体" w:hAnsi="宋体" w:cs="宋体"/>
          <w:szCs w:val="21"/>
        </w:rPr>
        <w:t>（3）造价控制</w:t>
      </w:r>
    </w:p>
    <w:p>
      <w:pPr>
        <w:pStyle w:val="2"/>
        <w:ind w:left="210" w:leftChars="100" w:firstLine="210"/>
        <w:rPr>
          <w:rFonts w:ascii="宋体" w:hAnsi="宋体" w:cs="宋体"/>
          <w:szCs w:val="21"/>
        </w:rPr>
      </w:pPr>
      <w:r>
        <w:rPr>
          <w:rFonts w:hint="eastAsia" w:ascii="宋体" w:hAnsi="宋体" w:cs="宋体"/>
          <w:szCs w:val="21"/>
        </w:rPr>
        <w:t>（4）安全措施</w:t>
      </w:r>
    </w:p>
    <w:p>
      <w:pPr>
        <w:pStyle w:val="2"/>
        <w:ind w:left="210" w:leftChars="100" w:firstLine="210"/>
        <w:rPr>
          <w:rFonts w:ascii="宋体" w:hAnsi="宋体" w:cs="宋体"/>
          <w:szCs w:val="21"/>
        </w:rPr>
      </w:pPr>
      <w:r>
        <w:rPr>
          <w:rFonts w:hint="eastAsia" w:ascii="宋体" w:hAnsi="宋体" w:cs="宋体"/>
          <w:szCs w:val="21"/>
        </w:rPr>
        <w:t>（5）旁站监理措施</w:t>
      </w:r>
    </w:p>
    <w:p>
      <w:pPr>
        <w:pStyle w:val="2"/>
        <w:ind w:left="210" w:leftChars="100" w:firstLine="210"/>
        <w:rPr>
          <w:rFonts w:ascii="宋体" w:hAnsi="宋体" w:cs="宋体"/>
          <w:szCs w:val="21"/>
        </w:rPr>
      </w:pPr>
      <w:r>
        <w:rPr>
          <w:rFonts w:hint="eastAsia" w:ascii="宋体" w:hAnsi="宋体" w:cs="宋体"/>
          <w:szCs w:val="21"/>
        </w:rPr>
        <w:t>（6）档案及合同管理</w:t>
      </w:r>
    </w:p>
    <w:p>
      <w:pPr>
        <w:pStyle w:val="2"/>
        <w:ind w:left="210" w:leftChars="100" w:firstLine="210"/>
        <w:rPr>
          <w:rFonts w:ascii="宋体" w:hAnsi="宋体" w:cs="宋体"/>
          <w:szCs w:val="21"/>
        </w:rPr>
      </w:pPr>
      <w:r>
        <w:rPr>
          <w:rFonts w:hint="eastAsia" w:ascii="宋体" w:hAnsi="宋体" w:cs="宋体"/>
          <w:szCs w:val="21"/>
        </w:rPr>
        <w:t>（7）工作制度</w:t>
      </w:r>
    </w:p>
    <w:p>
      <w:pPr>
        <w:pStyle w:val="2"/>
        <w:ind w:left="210" w:leftChars="100" w:firstLine="210"/>
        <w:rPr>
          <w:rFonts w:hAnsi="宋体" w:cs="宋体"/>
          <w:szCs w:val="21"/>
        </w:rPr>
      </w:pPr>
      <w:r>
        <w:rPr>
          <w:rFonts w:hint="eastAsia" w:ascii="宋体" w:hAnsi="宋体" w:cs="宋体"/>
          <w:szCs w:val="21"/>
        </w:rPr>
        <w:t>（8）组织协调及合理化建议</w:t>
      </w:r>
    </w:p>
    <w:p>
      <w:pPr>
        <w:widowControl/>
        <w:snapToGrid w:val="0"/>
        <w:spacing w:line="360" w:lineRule="auto"/>
        <w:rPr>
          <w:rFonts w:ascii="宋体" w:hAnsi="宋体" w:cs="宋体"/>
          <w:b/>
          <w:kern w:val="0"/>
          <w:szCs w:val="21"/>
        </w:rPr>
      </w:pPr>
      <w:r>
        <w:rPr>
          <w:rFonts w:hint="eastAsia" w:ascii="宋体" w:hAnsi="宋体" w:cs="宋体"/>
          <w:b/>
          <w:kern w:val="0"/>
          <w:szCs w:val="21"/>
        </w:rPr>
        <w:t xml:space="preserve"> 3.2投标报价</w:t>
      </w:r>
    </w:p>
    <w:p>
      <w:pPr>
        <w:spacing w:line="360" w:lineRule="auto"/>
        <w:ind w:firstLine="420" w:firstLineChars="200"/>
        <w:rPr>
          <w:rFonts w:ascii="宋体" w:hAnsi="宋体" w:cs="宋体"/>
          <w:szCs w:val="21"/>
        </w:rPr>
      </w:pPr>
      <w:r>
        <w:rPr>
          <w:rFonts w:hint="eastAsia" w:ascii="宋体" w:hAnsi="宋体" w:cs="宋体"/>
          <w:szCs w:val="21"/>
        </w:rPr>
        <w:t>3.2.1 本次投标报价为投标费率（保留至小数点后2位）。本项目的投标应以招标文件、招标文件澄清（答疑）纪要、招标文件修改补充通知（如有），结合自身管理水平及期望得到的利润等因素由投标人自主报费率，但不得低于企业实际成本。</w:t>
      </w:r>
    </w:p>
    <w:p>
      <w:pPr>
        <w:spacing w:line="360" w:lineRule="auto"/>
        <w:ind w:firstLine="420" w:firstLineChars="200"/>
        <w:rPr>
          <w:rFonts w:ascii="宋体" w:hAnsi="宋体" w:cs="宋体"/>
          <w:szCs w:val="21"/>
        </w:rPr>
      </w:pPr>
      <w:r>
        <w:rPr>
          <w:rFonts w:hint="eastAsia" w:ascii="宋体" w:hAnsi="宋体" w:cs="宋体"/>
          <w:szCs w:val="21"/>
        </w:rPr>
        <w:t>3.2.2投标人的投标报价应是在合同期内，按合同规定的范围所提供服务需要的全部费用。</w:t>
      </w:r>
    </w:p>
    <w:p>
      <w:pPr>
        <w:spacing w:line="360" w:lineRule="auto"/>
        <w:ind w:firstLine="420" w:firstLineChars="200"/>
        <w:rPr>
          <w:rFonts w:ascii="宋体" w:hAnsi="宋体" w:cs="宋体"/>
          <w:szCs w:val="21"/>
        </w:rPr>
      </w:pPr>
      <w:r>
        <w:rPr>
          <w:rFonts w:hint="eastAsia" w:ascii="宋体" w:hAnsi="宋体" w:cs="宋体"/>
          <w:szCs w:val="21"/>
        </w:rPr>
        <w:t>3.2.3投标人应按本招标文件及招标人提供的技术资料进行报价。投标人的投标报价，应是完成招标范围所列全部内容的价格，任何有选择的报价将不予接受。</w:t>
      </w:r>
    </w:p>
    <w:p>
      <w:pPr>
        <w:widowControl/>
        <w:snapToGrid w:val="0"/>
        <w:spacing w:line="360" w:lineRule="auto"/>
        <w:rPr>
          <w:rFonts w:ascii="宋体" w:hAnsi="宋体" w:cs="宋体"/>
          <w:b/>
          <w:kern w:val="0"/>
          <w:szCs w:val="21"/>
        </w:rPr>
      </w:pPr>
      <w:bookmarkStart w:id="12" w:name="_Toc456354311"/>
      <w:bookmarkStart w:id="13" w:name="_Toc384733784"/>
      <w:bookmarkStart w:id="14" w:name="_Toc4142"/>
      <w:bookmarkStart w:id="15" w:name="_Toc152045549"/>
      <w:bookmarkStart w:id="16" w:name="_Toc353270327"/>
      <w:bookmarkStart w:id="17" w:name="_Toc467683010"/>
      <w:bookmarkStart w:id="18" w:name="_Toc144974517"/>
      <w:bookmarkStart w:id="19" w:name="_Toc152042325"/>
      <w:r>
        <w:rPr>
          <w:rFonts w:hint="eastAsia" w:ascii="宋体" w:hAnsi="宋体" w:cs="宋体"/>
          <w:b/>
          <w:kern w:val="0"/>
          <w:szCs w:val="21"/>
        </w:rPr>
        <w:t>3.3 投标有效期</w:t>
      </w:r>
      <w:bookmarkEnd w:id="12"/>
      <w:bookmarkEnd w:id="13"/>
      <w:bookmarkEnd w:id="14"/>
      <w:bookmarkEnd w:id="15"/>
      <w:bookmarkEnd w:id="16"/>
      <w:bookmarkEnd w:id="17"/>
      <w:bookmarkEnd w:id="18"/>
      <w:bookmarkEnd w:id="19"/>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bookmarkStart w:id="20" w:name="_Toc215282149"/>
      <w:bookmarkEnd w:id="20"/>
      <w:r>
        <w:rPr>
          <w:rFonts w:hint="eastAsia" w:ascii="宋体" w:hAnsi="宋体" w:cs="宋体"/>
          <w:b/>
          <w:kern w:val="0"/>
          <w:szCs w:val="21"/>
        </w:rPr>
        <w:t>3.4 投标保证金（见附表）</w:t>
      </w:r>
    </w:p>
    <w:p>
      <w:pPr>
        <w:widowControl/>
        <w:spacing w:line="360" w:lineRule="auto"/>
        <w:ind w:firstLine="360"/>
        <w:rPr>
          <w:rFonts w:ascii="宋体" w:hAnsi="宋体" w:cs="宋体"/>
          <w:kern w:val="0"/>
          <w:szCs w:val="21"/>
        </w:rPr>
      </w:pPr>
      <w:r>
        <w:rPr>
          <w:rFonts w:hint="eastAsia" w:ascii="宋体" w:hAnsi="宋体" w:cs="宋体"/>
          <w:kern w:val="0"/>
          <w:szCs w:val="21"/>
        </w:rPr>
        <w:t>1、 投标保证金的退还：</w:t>
      </w:r>
    </w:p>
    <w:p>
      <w:pPr>
        <w:widowControl/>
        <w:spacing w:line="360" w:lineRule="auto"/>
        <w:ind w:firstLine="360"/>
        <w:rPr>
          <w:rFonts w:ascii="宋体" w:hAnsi="宋体" w:cs="宋体"/>
          <w:kern w:val="0"/>
          <w:szCs w:val="21"/>
        </w:rPr>
      </w:pPr>
      <w:r>
        <w:rPr>
          <w:rFonts w:hint="eastAsia" w:ascii="宋体" w:hAnsi="宋体" w:cs="宋体"/>
          <w:kern w:val="0"/>
          <w:szCs w:val="21"/>
        </w:rPr>
        <w:t>（1）中标公告发出后，5个工作日内退还非中标候选人投标保证金及银行同期活期存款利息。</w:t>
      </w:r>
    </w:p>
    <w:p>
      <w:pPr>
        <w:widowControl/>
        <w:spacing w:line="360" w:lineRule="auto"/>
        <w:ind w:firstLine="360"/>
        <w:rPr>
          <w:rFonts w:ascii="宋体" w:hAnsi="宋体" w:cs="宋体"/>
          <w:kern w:val="0"/>
          <w:szCs w:val="21"/>
        </w:rPr>
      </w:pPr>
      <w:r>
        <w:rPr>
          <w:rFonts w:hint="eastAsia" w:ascii="宋体" w:hAnsi="宋体" w:cs="宋体"/>
          <w:kern w:val="0"/>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widowControl/>
        <w:spacing w:line="360" w:lineRule="auto"/>
        <w:ind w:firstLine="360"/>
        <w:rPr>
          <w:rFonts w:ascii="宋体" w:hAnsi="宋体" w:cs="宋体"/>
          <w:kern w:val="0"/>
          <w:szCs w:val="21"/>
        </w:rPr>
      </w:pPr>
      <w:r>
        <w:rPr>
          <w:rFonts w:hint="eastAsia" w:ascii="宋体" w:hAnsi="宋体" w:cs="宋体"/>
          <w:kern w:val="0"/>
          <w:szCs w:val="21"/>
        </w:rPr>
        <w:t>（3）项目废标或招标人终止招标的，在此后5个工作日内退还投标保证金及银行同期活期存利息。</w:t>
      </w:r>
    </w:p>
    <w:p>
      <w:pPr>
        <w:widowControl/>
        <w:spacing w:line="360" w:lineRule="auto"/>
        <w:ind w:firstLine="360"/>
        <w:rPr>
          <w:rFonts w:ascii="宋体" w:hAnsi="宋体" w:cs="宋体"/>
          <w:kern w:val="0"/>
          <w:szCs w:val="21"/>
        </w:rPr>
      </w:pPr>
      <w:r>
        <w:rPr>
          <w:rFonts w:hint="eastAsia" w:ascii="宋体" w:hAnsi="宋体" w:cs="宋体"/>
          <w:kern w:val="0"/>
          <w:szCs w:val="21"/>
        </w:rPr>
        <w:t>（4）投标活动中出现质疑、投诉的，中标候选人、质疑人和被质疑人、投诉人和被投诉人的投标保证金暂停退还。</w:t>
      </w:r>
    </w:p>
    <w:p>
      <w:pPr>
        <w:widowControl/>
        <w:spacing w:line="360" w:lineRule="auto"/>
        <w:ind w:firstLine="360"/>
        <w:rPr>
          <w:rFonts w:ascii="宋体" w:hAnsi="宋体" w:cs="宋体"/>
          <w:kern w:val="0"/>
          <w:szCs w:val="21"/>
        </w:rPr>
      </w:pPr>
      <w:r>
        <w:rPr>
          <w:rFonts w:hint="eastAsia" w:ascii="宋体" w:hAnsi="宋体" w:cs="宋体"/>
          <w:kern w:val="0"/>
          <w:szCs w:val="21"/>
        </w:rPr>
        <w:t>（5）相关投标人有违法违规行为的项目，其投标保证金暂不退还，待行政监督部门对相关情况处置后，按照有关规定办理。</w:t>
      </w:r>
    </w:p>
    <w:p>
      <w:pPr>
        <w:widowControl/>
        <w:spacing w:line="360" w:lineRule="auto"/>
        <w:ind w:firstLine="360"/>
        <w:rPr>
          <w:rFonts w:ascii="宋体" w:hAnsi="宋体" w:cs="宋体"/>
          <w:kern w:val="0"/>
          <w:szCs w:val="21"/>
        </w:rPr>
      </w:pPr>
      <w:r>
        <w:rPr>
          <w:rFonts w:hint="eastAsia" w:ascii="宋体" w:hAnsi="宋体" w:cs="宋体"/>
          <w:kern w:val="0"/>
          <w:szCs w:val="21"/>
        </w:rPr>
        <w:t>（6）退还投标保证金，除另有规定外，一般以转账方式一次性退还至投标保证金的原提交账户。</w:t>
      </w:r>
    </w:p>
    <w:p>
      <w:pPr>
        <w:widowControl/>
        <w:spacing w:line="360" w:lineRule="auto"/>
        <w:ind w:firstLine="360"/>
        <w:rPr>
          <w:rFonts w:ascii="宋体" w:hAnsi="宋体" w:cs="宋体"/>
          <w:kern w:val="0"/>
          <w:szCs w:val="21"/>
        </w:rPr>
      </w:pPr>
      <w:r>
        <w:rPr>
          <w:rFonts w:hint="eastAsia" w:ascii="宋体" w:hAnsi="宋体" w:cs="宋体"/>
          <w:kern w:val="0"/>
          <w:szCs w:val="21"/>
        </w:rPr>
        <w:t>2、投标人有下列情形之一的，不予退还投标保证金：</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（一）在招标文件要求提交投标文件的截止时间后至投标文件有效期满前撤回投标的；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（二）中标通知书发出后，中标人无故放弃中标项目或无正当理由在规定时间内不与招标人签订合同或未按招标文件规定提交履约担保的；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（三）将中标项目转让给他人，或者在投标文件中未说明，且未经招标人同意，将中标项目分包给他人的； </w:t>
      </w:r>
    </w:p>
    <w:p>
      <w:pPr>
        <w:widowControl/>
        <w:spacing w:line="360" w:lineRule="auto"/>
        <w:ind w:firstLine="360"/>
        <w:jc w:val="left"/>
        <w:rPr>
          <w:rFonts w:ascii="宋体" w:hAnsi="宋体" w:cs="宋体"/>
          <w:kern w:val="0"/>
          <w:szCs w:val="21"/>
        </w:rPr>
      </w:pPr>
      <w:r>
        <w:rPr>
          <w:rFonts w:hint="eastAsia" w:ascii="宋体" w:hAnsi="宋体" w:cs="宋体"/>
          <w:kern w:val="0"/>
          <w:szCs w:val="21"/>
        </w:rPr>
        <w:t xml:space="preserve"> （四）投标人在招投标活动中弄虚作假、围标串标，骗取中标并经招投标行政监督部门调查核实的；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 （五）拒绝履行合同义务的；</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 （六）相关法律、法规规定不予退还的其它情形。</w:t>
      </w:r>
    </w:p>
    <w:p>
      <w:pPr>
        <w:widowControl/>
        <w:spacing w:line="360" w:lineRule="auto"/>
        <w:ind w:firstLine="360"/>
        <w:rPr>
          <w:rFonts w:ascii="宋体" w:hAnsi="宋体" w:cs="宋体"/>
          <w:kern w:val="0"/>
          <w:szCs w:val="21"/>
        </w:rPr>
      </w:pPr>
      <w:r>
        <w:rPr>
          <w:rFonts w:hint="eastAsia" w:ascii="宋体" w:hAnsi="宋体" w:cs="宋体"/>
          <w:kern w:val="0"/>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3.5 资格审查资料（实行资格后审）</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3.5.1 “投标人基本情况表”应附投标人营业执照副本及其年检合格的证明材料、资质证书副本和安全生产许可证（设计资质除外）等资格审查必须的材料的原件扫描件。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3.5.2“近年财务状况表”应附经会计师事务所或审计机构审计的财务会计报表，包括资产负债表、现金流量表、利润表和财务情况说明书的原件扫描件，具体年份要求见投标人须知前附表。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3.5.3 “近年完成的类似项目情况表”应附中标通知书和（或）合同协议书等原件的扫描件或图片。具体年份要求见投标人须知前附表，每张表格只填写一个项目，并标明序号。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3.5.4“近年发生的诉讼及仲裁情况”应说明相关情况，并附法院或仲裁机构作出的判决、裁决等有关法律文书的原件扫描件或图片，具体年份要求见投标人须知前附表。</w:t>
      </w:r>
    </w:p>
    <w:p>
      <w:pPr>
        <w:widowControl/>
        <w:snapToGrid w:val="0"/>
        <w:spacing w:line="360" w:lineRule="auto"/>
        <w:jc w:val="left"/>
        <w:rPr>
          <w:rFonts w:ascii="宋体" w:hAnsi="宋体" w:cs="宋体"/>
          <w:b/>
          <w:kern w:val="0"/>
          <w:szCs w:val="21"/>
        </w:rPr>
      </w:pPr>
      <w:bookmarkStart w:id="21" w:name="_Toc215282151"/>
      <w:bookmarkEnd w:id="21"/>
      <w:r>
        <w:rPr>
          <w:rFonts w:hint="eastAsia" w:ascii="宋体" w:hAnsi="宋体" w:cs="宋体"/>
          <w:b/>
          <w:kern w:val="0"/>
          <w:szCs w:val="21"/>
        </w:rPr>
        <w:t>3.6 备选投标方案（不允许）</w:t>
      </w:r>
    </w:p>
    <w:p>
      <w:pPr>
        <w:widowControl/>
        <w:snapToGrid w:val="0"/>
        <w:spacing w:line="360" w:lineRule="auto"/>
        <w:jc w:val="left"/>
        <w:rPr>
          <w:rFonts w:ascii="宋体" w:hAnsi="宋体" w:cs="宋体"/>
          <w:b/>
          <w:kern w:val="0"/>
          <w:szCs w:val="21"/>
        </w:rPr>
      </w:pPr>
      <w:bookmarkStart w:id="22" w:name="_Toc215282152"/>
      <w:bookmarkEnd w:id="22"/>
      <w:r>
        <w:rPr>
          <w:rFonts w:hint="eastAsia" w:ascii="宋体" w:hAnsi="宋体" w:cs="宋体"/>
          <w:b/>
          <w:kern w:val="0"/>
          <w:szCs w:val="21"/>
        </w:rPr>
        <w:t>3.7 投标文件的编制</w:t>
      </w:r>
    </w:p>
    <w:p>
      <w:pPr>
        <w:widowControl/>
        <w:snapToGrid w:val="0"/>
        <w:spacing w:line="360" w:lineRule="auto"/>
        <w:ind w:firstLine="480"/>
        <w:jc w:val="left"/>
        <w:rPr>
          <w:rFonts w:ascii="宋体" w:hAnsi="宋体" w:cs="宋体"/>
          <w:kern w:val="0"/>
          <w:szCs w:val="21"/>
        </w:rPr>
      </w:pPr>
      <w:bookmarkStart w:id="23" w:name="_Toc215282153"/>
      <w:bookmarkEnd w:id="23"/>
      <w:bookmarkStart w:id="24" w:name="_Toc215282154"/>
      <w:r>
        <w:rPr>
          <w:rFonts w:hint="eastAsia" w:ascii="宋体" w:hAnsi="宋体" w:cs="宋体"/>
          <w:kern w:val="0"/>
          <w:szCs w:val="21"/>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3.7.2 投标文件应当对招标文件有关工期、投标有效期、质量要求、支付及招标范围作出响应。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3.7.3使用电子介质存储的备份文件1份。</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3.7.4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ascii="宋体" w:hAnsi="宋体" w:cs="宋体"/>
          <w:b/>
          <w:kern w:val="0"/>
          <w:szCs w:val="21"/>
        </w:rPr>
        <w:t>改动之处应加盖单位公章或由投标人的法定代表人或其授权的代理人签字确认</w:t>
      </w:r>
      <w:r>
        <w:rPr>
          <w:rFonts w:hint="eastAsia" w:ascii="宋体" w:hAnsi="宋体" w:cs="宋体"/>
          <w:kern w:val="0"/>
          <w:szCs w:val="21"/>
        </w:rPr>
        <w:t>。签字或盖章的具体要求见投标人须知前附表。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3.7.6 纸质投标文件的正本与副本应分别装订成册同时加盖骑缝章，并编制目录，具体装订要求见投标人须知前附表规定。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3.7.7 投标文件制作技术咨询：0374-2961598。</w:t>
      </w:r>
    </w:p>
    <w:p>
      <w:pPr>
        <w:widowControl/>
        <w:snapToGrid w:val="0"/>
        <w:spacing w:line="360" w:lineRule="auto"/>
        <w:rPr>
          <w:rFonts w:ascii="宋体" w:hAnsi="宋体" w:cs="宋体"/>
          <w:b/>
          <w:kern w:val="0"/>
          <w:szCs w:val="21"/>
        </w:rPr>
      </w:pPr>
      <w:r>
        <w:rPr>
          <w:rFonts w:hint="eastAsia" w:ascii="宋体" w:hAnsi="宋体" w:cs="宋体"/>
          <w:b/>
          <w:kern w:val="0"/>
          <w:szCs w:val="21"/>
        </w:rPr>
        <w:t>4.</w:t>
      </w:r>
      <w:bookmarkEnd w:id="24"/>
      <w:r>
        <w:rPr>
          <w:rFonts w:hint="eastAsia" w:ascii="宋体" w:hAnsi="宋体" w:cs="宋体"/>
          <w:b/>
          <w:kern w:val="0"/>
          <w:szCs w:val="21"/>
        </w:rPr>
        <w:t xml:space="preserve"> 投标</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4.1 投标文件的密封和标记</w:t>
      </w:r>
    </w:p>
    <w:p>
      <w:pPr>
        <w:widowControl/>
        <w:snapToGrid w:val="0"/>
        <w:spacing w:line="360" w:lineRule="auto"/>
        <w:ind w:firstLine="480"/>
        <w:jc w:val="left"/>
        <w:rPr>
          <w:rFonts w:ascii="宋体" w:hAnsi="宋体" w:cs="宋体"/>
          <w:kern w:val="0"/>
          <w:szCs w:val="21"/>
        </w:rPr>
      </w:pPr>
      <w:bookmarkStart w:id="25" w:name="_Toc215282155"/>
      <w:bookmarkEnd w:id="25"/>
      <w:r>
        <w:rPr>
          <w:rFonts w:hint="eastAsia" w:ascii="宋体" w:hAnsi="宋体" w:cs="宋体"/>
          <w:kern w:val="0"/>
          <w:szCs w:val="21"/>
        </w:rPr>
        <w:t>4.1.1 纸质投标文件的正本、副本应分开包装，最后把包装好的正本与副本包装在一个包装内，加贴封条，并在封套的封口处加盖投标人公章，密封不符合要求的不予受理。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4.1.2 投标文件的封套上应写明的其他内容见投标人须知前附表。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4.1.4 未按本章第4.1.1项、第4.1.2项、第4.1.3项要求密封和加写标记的投标文件，招标人不予受理。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4.2 投标文件的递交</w:t>
      </w:r>
    </w:p>
    <w:p>
      <w:pPr>
        <w:widowControl/>
        <w:snapToGrid w:val="0"/>
        <w:spacing w:line="360" w:lineRule="auto"/>
        <w:ind w:firstLine="480"/>
        <w:jc w:val="left"/>
        <w:rPr>
          <w:rFonts w:ascii="宋体" w:hAnsi="宋体" w:cs="宋体"/>
          <w:kern w:val="0"/>
          <w:szCs w:val="21"/>
        </w:rPr>
      </w:pPr>
      <w:bookmarkStart w:id="26" w:name="_Toc215282156"/>
      <w:bookmarkEnd w:id="26"/>
      <w:r>
        <w:rPr>
          <w:rFonts w:hint="eastAsia" w:ascii="宋体" w:hAnsi="宋体" w:cs="宋体"/>
          <w:kern w:val="0"/>
          <w:szCs w:val="21"/>
        </w:rPr>
        <w:t>4.2.1 投标人应在投标人须知前附表中规定的投标截止时间前成功上传电子投标文件和现场提交纸质投标文件、电子介质存储的投标文件。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4.2.2 投标人提交纸质投标文件及电子介质存储的投标文件地点：见投标人须知前附表。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4.2.3 除投标人须知前附表另有规定外，投标人所提交的电子投标文件、纸质投标文件及电子介质存储的投标文件不予退还。</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4.2.4 逾期送达的或者未送达指定地点的纸质投标文件、电子介质存储的投标文件，招标人不予受理。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4.3  投标文件的修改与撤回</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4.3.1 在本章第2.2.2 项规定的投标截止时间前，投标人可以修改或撤回已提交的投标文件，纸质投标文件的修改或撤回应以书面形式通知招标人。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4.3.2 投标人修改或撤回已提交纸质投标文件的书面通知应按照投标人须知前附表第3.7.3 项的要求签字或盖章。招标人收到书面通知后，向投标人出具签收凭证。</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4.3.3 修改的内容为投标文件的组成部分。修改的纸质投标文件应按照本章第3条、第4条规定进行编制、密封、标记和提交，并标明“修改”字样。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4.3.4 投标人应当在投标截止时间前完成电子投标文件的提交，可以补充、修改或撤回。投标截止时间前未完成电子投标文件提交、取得“投标文件提交回执单”的，视为撤回投标文件。                </w:t>
      </w:r>
    </w:p>
    <w:p>
      <w:pPr>
        <w:widowControl/>
        <w:snapToGrid w:val="0"/>
        <w:spacing w:line="360" w:lineRule="auto"/>
        <w:rPr>
          <w:rFonts w:ascii="宋体" w:hAnsi="宋体" w:cs="宋体"/>
          <w:b/>
          <w:kern w:val="0"/>
          <w:szCs w:val="21"/>
        </w:rPr>
      </w:pPr>
      <w:bookmarkStart w:id="27" w:name="_Toc215282157"/>
      <w:bookmarkEnd w:id="27"/>
      <w:r>
        <w:rPr>
          <w:rFonts w:hint="eastAsia" w:ascii="宋体" w:hAnsi="宋体" w:cs="宋体"/>
          <w:b/>
          <w:kern w:val="0"/>
          <w:szCs w:val="21"/>
        </w:rPr>
        <w:t>5. 开标</w:t>
      </w:r>
    </w:p>
    <w:p>
      <w:pPr>
        <w:widowControl/>
        <w:snapToGrid w:val="0"/>
        <w:spacing w:line="360" w:lineRule="auto"/>
        <w:jc w:val="left"/>
        <w:rPr>
          <w:rFonts w:ascii="宋体" w:hAnsi="宋体" w:cs="宋体"/>
          <w:b/>
          <w:kern w:val="0"/>
          <w:szCs w:val="21"/>
        </w:rPr>
      </w:pPr>
      <w:bookmarkStart w:id="28" w:name="_Toc215282158"/>
      <w:bookmarkEnd w:id="28"/>
      <w:r>
        <w:rPr>
          <w:rFonts w:hint="eastAsia" w:ascii="宋体" w:hAnsi="宋体" w:cs="宋体"/>
          <w:b/>
          <w:kern w:val="0"/>
          <w:szCs w:val="21"/>
        </w:rPr>
        <w:t>5.1 开标时间和地点</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5.1.1 招标人在本章第2.2.2 项规定的投标截止时间（开标时间）和投标人须知前附表规定的地点公开开标。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5.1.2 参加开标会议的人员违反开标纪律经招标人代表批评后仍不改正的所投标书无效。</w:t>
      </w:r>
    </w:p>
    <w:p>
      <w:pPr>
        <w:widowControl/>
        <w:snapToGrid w:val="0"/>
        <w:spacing w:line="360" w:lineRule="auto"/>
        <w:rPr>
          <w:rFonts w:ascii="宋体" w:hAnsi="宋体" w:cs="宋体"/>
          <w:b/>
          <w:kern w:val="0"/>
          <w:szCs w:val="21"/>
        </w:rPr>
      </w:pPr>
      <w:bookmarkStart w:id="29" w:name="_Toc215282159"/>
      <w:bookmarkEnd w:id="29"/>
      <w:r>
        <w:rPr>
          <w:rFonts w:hint="eastAsia" w:ascii="宋体" w:hAnsi="宋体" w:cs="宋体"/>
          <w:b/>
          <w:kern w:val="0"/>
          <w:szCs w:val="21"/>
        </w:rPr>
        <w:t>5.2 开标、解密、唱标程序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5.2.1主持人按下列程序进行开标：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（1）宣布投标截止时间，并公布招标人、代理机构、监督部门名称；</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（2）宣布开标纪律；</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（3）公布在投标截止时间前递交投标文件的投标人名称和投标保证金缴纳情况。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（4）电子投标文件解密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（5）宣布唱标顺序，按已定顺序唱标，唱标内容为：投标人名称、投标报价、质量目标、工期及其他内容，并记录；</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（6）现场抽取参与计算评标基准价的α值并宣布，同时公布招标控制价；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（7）投标人代表、招标人代表、监标人、记录人等有关人员在开标记录上签字确认；</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（8）开标结束。</w:t>
      </w:r>
    </w:p>
    <w:p>
      <w:pPr>
        <w:widowControl/>
        <w:snapToGrid w:val="0"/>
        <w:spacing w:line="360" w:lineRule="auto"/>
        <w:ind w:firstLine="480"/>
        <w:jc w:val="left"/>
      </w:pPr>
      <w:r>
        <w:rPr>
          <w:rFonts w:hint="eastAsia" w:ascii="宋体" w:hAnsi="宋体" w:cs="宋体"/>
          <w:kern w:val="0"/>
          <w:szCs w:val="21"/>
        </w:rPr>
        <w:t>（9）开标结束、评标开始前，招标人或招标代理机构对投标人信用记录进行现场查询，根据查询结果对严重失信主体依法限制其继续参与交易活动，并视情给予相应处罚。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 电子投标文件的解密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5.2.2.1本项目为全流程电子化交易项目，电子投标文件采用双重加密。在投标截止时间到达后，分标段进行解密。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(1)投标人解密：投标人使用本单位CA数字证书远程或现场进行解密。需现场使用一体机进行解密的，请在代理机构引导下进行。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(2)代理机构解密：代理机构按电子投标文件到达交易系统的先后顺序，使用本单位CA数字证书进行再次解密。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5.2.2.2电子投标文件解密异常情况处理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（1）因电子交易系统异常无法解密电子投标文件的，使用纸质投标文件，以人工方式进行。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5.3 开标异议</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投标人对开标有异议的，应当在开标现场提出，招标人当场作出答复，并制作记录。</w:t>
      </w:r>
    </w:p>
    <w:p>
      <w:pPr>
        <w:widowControl/>
        <w:snapToGrid w:val="0"/>
        <w:spacing w:line="360" w:lineRule="auto"/>
        <w:rPr>
          <w:rFonts w:ascii="宋体" w:hAnsi="宋体" w:cs="宋体"/>
          <w:b/>
          <w:kern w:val="0"/>
          <w:szCs w:val="21"/>
        </w:rPr>
      </w:pPr>
      <w:r>
        <w:rPr>
          <w:rFonts w:hint="eastAsia" w:ascii="宋体" w:hAnsi="宋体" w:cs="宋体"/>
          <w:b/>
          <w:kern w:val="0"/>
          <w:szCs w:val="21"/>
        </w:rPr>
        <w:t>6. 评标</w:t>
      </w:r>
    </w:p>
    <w:p>
      <w:pPr>
        <w:widowControl/>
        <w:snapToGrid w:val="0"/>
        <w:spacing w:line="360" w:lineRule="auto"/>
        <w:jc w:val="left"/>
        <w:rPr>
          <w:rFonts w:ascii="宋体" w:hAnsi="宋体" w:cs="宋体"/>
          <w:b/>
          <w:kern w:val="0"/>
          <w:szCs w:val="21"/>
        </w:rPr>
      </w:pPr>
      <w:bookmarkStart w:id="30" w:name="_Toc215282161"/>
      <w:bookmarkEnd w:id="30"/>
      <w:r>
        <w:rPr>
          <w:rFonts w:hint="eastAsia" w:ascii="宋体" w:hAnsi="宋体" w:cs="宋体"/>
          <w:b/>
          <w:kern w:val="0"/>
          <w:szCs w:val="21"/>
        </w:rPr>
        <w:t>6.1 评标委员会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6.1.1 评标由招标人依法组建的评标委员会负责。评标委员会成员人数以及技术、经济等方面专家的确定方式见投标人须知前附表。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6.1.2 评标委员会成员有下列情形之一的，应当回避：</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（1）招标人或投标人的主要负责人的近亲属；</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（2）项目主管部门或者行政监督部门的人员；</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（3）与投标人有经济利益关系，可能影响对投标公正评审的；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（4） 曾因在招标、评标以及其他与招标投标有关活动中从事违法行为而受过行政处罚或刑事处罚的。</w:t>
      </w:r>
    </w:p>
    <w:p>
      <w:pPr>
        <w:widowControl/>
        <w:snapToGrid w:val="0"/>
        <w:spacing w:line="360" w:lineRule="auto"/>
        <w:jc w:val="left"/>
        <w:rPr>
          <w:rFonts w:ascii="宋体" w:hAnsi="宋体" w:cs="宋体"/>
          <w:b/>
          <w:kern w:val="0"/>
          <w:szCs w:val="21"/>
        </w:rPr>
      </w:pPr>
      <w:bookmarkStart w:id="31" w:name="_Toc215282162"/>
      <w:bookmarkEnd w:id="31"/>
      <w:r>
        <w:rPr>
          <w:rFonts w:hint="eastAsia" w:ascii="宋体" w:hAnsi="宋体" w:cs="宋体"/>
          <w:b/>
          <w:kern w:val="0"/>
          <w:szCs w:val="21"/>
        </w:rPr>
        <w:t>6.2 评标原则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评标活动遵循公平、公正、科学和择优的原则。</w:t>
      </w:r>
    </w:p>
    <w:p>
      <w:pPr>
        <w:widowControl/>
        <w:snapToGrid w:val="0"/>
        <w:spacing w:line="360" w:lineRule="auto"/>
        <w:jc w:val="left"/>
        <w:rPr>
          <w:rFonts w:ascii="宋体" w:hAnsi="宋体" w:cs="宋体"/>
          <w:b/>
          <w:kern w:val="0"/>
          <w:szCs w:val="21"/>
        </w:rPr>
      </w:pPr>
      <w:bookmarkStart w:id="32" w:name="_Toc215282163"/>
      <w:bookmarkEnd w:id="32"/>
      <w:r>
        <w:rPr>
          <w:rFonts w:hint="eastAsia" w:ascii="宋体" w:hAnsi="宋体" w:cs="宋体"/>
          <w:b/>
          <w:kern w:val="0"/>
          <w:szCs w:val="21"/>
        </w:rPr>
        <w:t>6.3 评标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评标委员会按照第三章“评标办法”规定的方法、评审因素、标准和程序对投标文件进行评审。第三章“评标办法”没有规定的方法、评审因素和标准，不作为评标依据。 </w:t>
      </w:r>
    </w:p>
    <w:p>
      <w:pPr>
        <w:widowControl/>
        <w:snapToGrid w:val="0"/>
        <w:spacing w:line="360" w:lineRule="auto"/>
        <w:rPr>
          <w:rFonts w:ascii="宋体" w:hAnsi="宋体" w:cs="宋体"/>
          <w:b/>
          <w:kern w:val="0"/>
          <w:szCs w:val="21"/>
        </w:rPr>
      </w:pPr>
      <w:bookmarkStart w:id="33" w:name="_Toc215282164"/>
      <w:bookmarkEnd w:id="33"/>
      <w:r>
        <w:rPr>
          <w:rFonts w:hint="eastAsia" w:ascii="宋体" w:hAnsi="宋体" w:cs="宋体"/>
          <w:b/>
          <w:kern w:val="0"/>
          <w:szCs w:val="21"/>
        </w:rPr>
        <w:t>7. 合同授予</w:t>
      </w:r>
    </w:p>
    <w:p>
      <w:pPr>
        <w:widowControl/>
        <w:snapToGrid w:val="0"/>
        <w:spacing w:line="360" w:lineRule="auto"/>
        <w:jc w:val="left"/>
        <w:rPr>
          <w:rFonts w:ascii="宋体" w:hAnsi="宋体" w:cs="宋体"/>
          <w:b/>
          <w:kern w:val="0"/>
          <w:szCs w:val="21"/>
        </w:rPr>
      </w:pPr>
      <w:bookmarkStart w:id="34" w:name="_Toc215282165"/>
      <w:bookmarkEnd w:id="34"/>
      <w:r>
        <w:rPr>
          <w:rFonts w:hint="eastAsia" w:ascii="宋体" w:hAnsi="宋体" w:cs="宋体"/>
          <w:b/>
          <w:kern w:val="0"/>
          <w:szCs w:val="21"/>
        </w:rPr>
        <w:t>7.1 定标方式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招标人依据评标委员会推荐的中标候选人确定中标人，评标委员会推荐中标候选人的人数见投标人须知前附表。</w:t>
      </w:r>
    </w:p>
    <w:p>
      <w:pPr>
        <w:widowControl/>
        <w:snapToGrid w:val="0"/>
        <w:spacing w:line="360" w:lineRule="auto"/>
        <w:jc w:val="left"/>
        <w:rPr>
          <w:rFonts w:ascii="宋体" w:hAnsi="宋体" w:cs="宋体"/>
          <w:b/>
          <w:kern w:val="0"/>
          <w:szCs w:val="21"/>
        </w:rPr>
      </w:pPr>
      <w:bookmarkStart w:id="35" w:name="_Toc215282166"/>
      <w:bookmarkEnd w:id="35"/>
      <w:r>
        <w:rPr>
          <w:rFonts w:hint="eastAsia" w:ascii="宋体" w:hAnsi="宋体" w:cs="宋体"/>
          <w:b/>
          <w:kern w:val="0"/>
          <w:szCs w:val="21"/>
        </w:rPr>
        <w:t>7.2 中标通知</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在本章第3.3 款规定的投标有效期内，招标人以书面形式向中标人发出中标通知书，同时将中标结果通知未中标的投标人。</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7.3</w:t>
      </w:r>
      <w:bookmarkStart w:id="36" w:name="_Toc215282168"/>
      <w:bookmarkEnd w:id="36"/>
      <w:r>
        <w:rPr>
          <w:rFonts w:hint="eastAsia" w:ascii="宋体" w:hAnsi="宋体" w:cs="宋体"/>
          <w:b/>
          <w:kern w:val="0"/>
          <w:szCs w:val="21"/>
        </w:rPr>
        <w:t xml:space="preserve"> 签订合同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7.3.2 发出中标通知书后，招标人无正当理由拒签合同的，招标人向中标人退还投标保证金；给中标人造成损失的，还应当赔偿损失。</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7.4履约保证金</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7.4.1、履约保证金提交方式 </w:t>
      </w:r>
    </w:p>
    <w:p>
      <w:pPr>
        <w:widowControl/>
        <w:snapToGrid w:val="0"/>
        <w:spacing w:line="360" w:lineRule="auto"/>
        <w:ind w:firstLine="480"/>
        <w:jc w:val="left"/>
        <w:rPr>
          <w:rFonts w:ascii="宋体" w:hAnsi="宋体" w:cs="宋体"/>
          <w:b/>
          <w:bCs/>
          <w:kern w:val="0"/>
          <w:szCs w:val="21"/>
        </w:rPr>
      </w:pPr>
      <w:r>
        <w:rPr>
          <w:rFonts w:hint="eastAsia" w:ascii="宋体" w:hAnsi="宋体" w:cs="宋体"/>
          <w:b/>
          <w:bCs/>
          <w:kern w:val="0"/>
          <w:szCs w:val="21"/>
        </w:rPr>
        <w:t xml:space="preserve">1、以网银、银行转账支票、银行电汇方式提交。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2、现金支票和现金不得作为履约保证金提交方式。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3、中标人必须通过其公司账户按照规定的方式提交，其名称应与中标单位的名称一致。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7.4.2、履约保证金提交比例和数额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履约保证金数额不得超过中标合同金额的10%。</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7.4.3、履约保证金的退还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1、项目完工后，由招标人出具《履约保证金退还通知单》，中心财务凭《履约保证金退还通知单》在五个工作日内退还履约保证金及银行同期活期存款利息至中标人账户。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2、中标人因发生质疑、投诉、举报或有关部门立案调查的，中心依据相关行政监督部门的意见暂停退还或没收其履约保证金，待行政监督部门对相关情况处置后，按照有关规定办理。 </w:t>
      </w:r>
      <w:bookmarkStart w:id="37" w:name="_Toc215282169"/>
      <w:bookmarkEnd w:id="37"/>
    </w:p>
    <w:p>
      <w:pPr>
        <w:widowControl/>
        <w:snapToGrid w:val="0"/>
        <w:spacing w:line="360" w:lineRule="auto"/>
        <w:jc w:val="left"/>
        <w:rPr>
          <w:rFonts w:ascii="宋体" w:hAnsi="宋体" w:cs="宋体"/>
          <w:b/>
          <w:kern w:val="0"/>
          <w:szCs w:val="21"/>
        </w:rPr>
      </w:pPr>
      <w:r>
        <w:rPr>
          <w:rFonts w:hint="eastAsia" w:ascii="宋体" w:hAnsi="宋体" w:cs="宋体"/>
          <w:b/>
          <w:kern w:val="0"/>
          <w:szCs w:val="21"/>
        </w:rPr>
        <w:t>8. 重新招标和不再招标</w:t>
      </w:r>
    </w:p>
    <w:p>
      <w:pPr>
        <w:widowControl/>
        <w:snapToGrid w:val="0"/>
        <w:spacing w:line="360" w:lineRule="auto"/>
        <w:jc w:val="left"/>
        <w:rPr>
          <w:rFonts w:ascii="宋体" w:hAnsi="宋体" w:cs="宋体"/>
          <w:b/>
          <w:kern w:val="0"/>
          <w:szCs w:val="21"/>
        </w:rPr>
      </w:pPr>
      <w:bookmarkStart w:id="38" w:name="_Toc215282170"/>
      <w:bookmarkEnd w:id="38"/>
      <w:r>
        <w:rPr>
          <w:rFonts w:hint="eastAsia" w:ascii="宋体" w:hAnsi="宋体" w:cs="宋体"/>
          <w:b/>
          <w:kern w:val="0"/>
          <w:szCs w:val="21"/>
        </w:rPr>
        <w:t>8.1 重新招标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有下列情形之一的，招标人将重新招标：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（1）投标截止时间止，投标人少于3个的；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（2）经评标委员会评审后否决所有投标的。</w:t>
      </w:r>
    </w:p>
    <w:p>
      <w:pPr>
        <w:widowControl/>
        <w:snapToGrid w:val="0"/>
        <w:spacing w:line="360" w:lineRule="auto"/>
        <w:jc w:val="left"/>
        <w:rPr>
          <w:rFonts w:ascii="宋体" w:hAnsi="宋体" w:cs="宋体"/>
          <w:b/>
          <w:kern w:val="0"/>
          <w:szCs w:val="21"/>
        </w:rPr>
      </w:pPr>
      <w:bookmarkStart w:id="39" w:name="_Toc215282171"/>
      <w:bookmarkEnd w:id="39"/>
      <w:r>
        <w:rPr>
          <w:rFonts w:hint="eastAsia" w:ascii="宋体" w:hAnsi="宋体" w:cs="宋体"/>
          <w:b/>
          <w:kern w:val="0"/>
          <w:szCs w:val="21"/>
        </w:rPr>
        <w:t>8.2 不再招标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重新招标后投标人仍少于3个或者所有投标被否决的，属于必须审批或核准的工程建设项目，经原审批或核准部门批准后不再进行招标。</w:t>
      </w:r>
    </w:p>
    <w:p>
      <w:pPr>
        <w:widowControl/>
        <w:snapToGrid w:val="0"/>
        <w:spacing w:line="360" w:lineRule="auto"/>
        <w:rPr>
          <w:rFonts w:ascii="宋体" w:hAnsi="宋体" w:cs="宋体"/>
          <w:b/>
          <w:kern w:val="0"/>
          <w:szCs w:val="21"/>
        </w:rPr>
      </w:pPr>
      <w:bookmarkStart w:id="40" w:name="_Toc215282172"/>
      <w:bookmarkEnd w:id="40"/>
      <w:r>
        <w:rPr>
          <w:rFonts w:hint="eastAsia" w:ascii="宋体" w:hAnsi="宋体" w:cs="宋体"/>
          <w:b/>
          <w:kern w:val="0"/>
          <w:szCs w:val="21"/>
        </w:rPr>
        <w:t>9. 纪律和监督</w:t>
      </w:r>
    </w:p>
    <w:p>
      <w:pPr>
        <w:widowControl/>
        <w:snapToGrid w:val="0"/>
        <w:spacing w:line="360" w:lineRule="auto"/>
        <w:jc w:val="left"/>
        <w:rPr>
          <w:rFonts w:ascii="宋体" w:hAnsi="宋体" w:cs="宋体"/>
          <w:b/>
          <w:kern w:val="0"/>
          <w:szCs w:val="21"/>
        </w:rPr>
      </w:pPr>
      <w:bookmarkStart w:id="41" w:name="_Toc215282173"/>
      <w:bookmarkEnd w:id="41"/>
      <w:r>
        <w:rPr>
          <w:rFonts w:hint="eastAsia" w:ascii="宋体" w:hAnsi="宋体" w:cs="宋体"/>
          <w:b/>
          <w:kern w:val="0"/>
          <w:szCs w:val="21"/>
        </w:rPr>
        <w:t>9.1 对招标人的纪律要求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widowControl/>
        <w:snapToGrid w:val="0"/>
        <w:spacing w:line="360" w:lineRule="auto"/>
        <w:jc w:val="left"/>
        <w:rPr>
          <w:rFonts w:ascii="宋体" w:hAnsi="宋体" w:cs="宋体"/>
          <w:b/>
          <w:kern w:val="0"/>
          <w:szCs w:val="21"/>
        </w:rPr>
      </w:pPr>
      <w:bookmarkStart w:id="42" w:name="_Toc215282174"/>
      <w:bookmarkEnd w:id="42"/>
      <w:r>
        <w:rPr>
          <w:rFonts w:hint="eastAsia" w:ascii="宋体" w:hAnsi="宋体" w:cs="宋体"/>
          <w:b/>
          <w:kern w:val="0"/>
          <w:szCs w:val="21"/>
        </w:rPr>
        <w:t>9.2 对投标人的纪律要求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snapToGrid w:val="0"/>
        <w:spacing w:line="360" w:lineRule="auto"/>
        <w:jc w:val="left"/>
        <w:rPr>
          <w:rFonts w:ascii="宋体" w:hAnsi="宋体" w:cs="宋体"/>
          <w:b/>
          <w:kern w:val="0"/>
          <w:szCs w:val="21"/>
        </w:rPr>
      </w:pPr>
      <w:bookmarkStart w:id="43" w:name="_Toc215282175"/>
      <w:bookmarkEnd w:id="43"/>
      <w:r>
        <w:rPr>
          <w:rFonts w:hint="eastAsia" w:ascii="宋体" w:hAnsi="宋体" w:cs="宋体"/>
          <w:b/>
          <w:kern w:val="0"/>
          <w:szCs w:val="21"/>
        </w:rPr>
        <w:t>9.3 对评标委员会成员的纪律要求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360" w:lineRule="auto"/>
        <w:jc w:val="left"/>
        <w:rPr>
          <w:rFonts w:ascii="宋体" w:hAnsi="宋体" w:cs="宋体"/>
          <w:b/>
          <w:kern w:val="0"/>
          <w:szCs w:val="21"/>
        </w:rPr>
      </w:pPr>
      <w:bookmarkStart w:id="44" w:name="_Toc215282176"/>
      <w:bookmarkEnd w:id="44"/>
      <w:r>
        <w:rPr>
          <w:rFonts w:hint="eastAsia" w:ascii="宋体" w:hAnsi="宋体" w:cs="宋体"/>
          <w:b/>
          <w:kern w:val="0"/>
          <w:szCs w:val="21"/>
        </w:rPr>
        <w:t>9.4 对与评标活动有关的工作人员的纪律要求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napToGrid w:val="0"/>
        <w:spacing w:line="360" w:lineRule="auto"/>
        <w:jc w:val="left"/>
        <w:rPr>
          <w:rFonts w:ascii="宋体" w:hAnsi="宋体" w:cs="宋体"/>
          <w:b/>
          <w:kern w:val="0"/>
          <w:szCs w:val="21"/>
        </w:rPr>
      </w:pPr>
      <w:bookmarkStart w:id="45" w:name="_Toc215282177"/>
      <w:bookmarkEnd w:id="45"/>
      <w:r>
        <w:rPr>
          <w:rFonts w:hint="eastAsia" w:ascii="宋体" w:hAnsi="宋体" w:cs="宋体"/>
          <w:b/>
          <w:kern w:val="0"/>
          <w:szCs w:val="21"/>
        </w:rPr>
        <w:t>9.5 投诉</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投标人和其他利害关系人认为本次招标活动违反法律、法规和规章规定的，有权向有关行政监督部门投诉。 </w:t>
      </w:r>
    </w:p>
    <w:p>
      <w:pPr>
        <w:widowControl/>
        <w:snapToGrid w:val="0"/>
        <w:spacing w:line="360" w:lineRule="auto"/>
        <w:rPr>
          <w:rFonts w:ascii="宋体" w:hAnsi="宋体" w:cs="宋体"/>
          <w:b/>
          <w:kern w:val="0"/>
          <w:szCs w:val="21"/>
        </w:rPr>
      </w:pPr>
      <w:bookmarkStart w:id="46" w:name="_Toc215282178"/>
      <w:bookmarkEnd w:id="46"/>
      <w:r>
        <w:rPr>
          <w:rFonts w:hint="eastAsia" w:ascii="宋体" w:hAnsi="宋体" w:cs="宋体"/>
          <w:b/>
          <w:kern w:val="0"/>
          <w:szCs w:val="21"/>
        </w:rPr>
        <w:t>10. 需要补充的其他内容</w:t>
      </w:r>
    </w:p>
    <w:p>
      <w:pPr>
        <w:widowControl/>
        <w:snapToGrid w:val="0"/>
        <w:spacing w:line="360" w:lineRule="auto"/>
        <w:ind w:firstLine="480"/>
        <w:jc w:val="left"/>
        <w:rPr>
          <w:rFonts w:ascii="宋体" w:hAnsi="宋体" w:cs="宋体"/>
          <w:szCs w:val="21"/>
        </w:rPr>
      </w:pPr>
      <w:r>
        <w:rPr>
          <w:rFonts w:hint="eastAsia" w:ascii="宋体" w:hAnsi="宋体" w:cs="宋体"/>
          <w:kern w:val="0"/>
          <w:szCs w:val="21"/>
        </w:rPr>
        <w:t>需要补充的其他内容：见投标人须知前附表。</w:t>
      </w:r>
    </w:p>
    <w:p>
      <w:pPr>
        <w:spacing w:line="360" w:lineRule="auto"/>
        <w:jc w:val="left"/>
        <w:rPr>
          <w:rFonts w:ascii="方正小标宋简体" w:hAnsi="黑体" w:eastAsia="方正小标宋简体"/>
          <w:b/>
          <w:bCs/>
          <w:sz w:val="32"/>
          <w:szCs w:val="32"/>
        </w:rPr>
      </w:pPr>
      <w:r>
        <w:rPr>
          <w:rFonts w:hint="eastAsia" w:ascii="宋体" w:hAnsi="宋体" w:cs="宋体"/>
          <w:b/>
          <w:sz w:val="24"/>
        </w:rPr>
        <w:br w:type="page"/>
      </w:r>
      <w:r>
        <w:rPr>
          <w:rFonts w:hint="eastAsia" w:ascii="方正小标宋简体" w:hAnsi="黑体" w:eastAsia="方正小标宋简体"/>
          <w:b/>
          <w:bCs/>
          <w:sz w:val="32"/>
          <w:szCs w:val="32"/>
        </w:rPr>
        <w:t>附表一：投标保证金</w:t>
      </w:r>
    </w:p>
    <w:tbl>
      <w:tblPr>
        <w:tblStyle w:val="38"/>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建安建工公字〔2019〕79号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宋体" w:hAnsi="宋体" w:eastAsia="宋体" w:cs="宋体"/>
                <w:szCs w:val="21"/>
                <w:lang w:eastAsia="zh-CN"/>
              </w:rPr>
            </w:pPr>
            <w:r>
              <w:rPr>
                <w:rFonts w:hint="eastAsia" w:ascii="宋体" w:hAnsi="宋体" w:cs="宋体"/>
                <w:bCs/>
                <w:szCs w:val="21"/>
                <w:lang w:eastAsia="zh-CN"/>
              </w:rPr>
              <w:t>建安区第一高级中学新校区建设项目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szCs w:val="21"/>
              </w:rPr>
            </w:pPr>
            <w:r>
              <w:rPr>
                <w:rFonts w:hint="eastAsia" w:ascii="宋体" w:hAnsi="宋体" w:cs="宋体"/>
                <w:bCs/>
                <w:szCs w:val="21"/>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投标保证金</w:t>
            </w:r>
          </w:p>
          <w:p>
            <w:pPr>
              <w:spacing w:line="500" w:lineRule="exact"/>
              <w:jc w:val="center"/>
              <w:rPr>
                <w:rFonts w:ascii="宋体" w:hAnsi="宋体" w:cs="宋体"/>
                <w:szCs w:val="21"/>
              </w:rPr>
            </w:pPr>
            <w:r>
              <w:rPr>
                <w:rFonts w:hint="eastAsia" w:ascii="宋体" w:hAnsi="宋体" w:cs="宋体"/>
                <w:szCs w:val="21"/>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Cs w:val="21"/>
              </w:rPr>
            </w:pPr>
            <w:r>
              <w:rPr>
                <w:rFonts w:hint="eastAsia" w:ascii="宋体" w:hAnsi="宋体" w:cs="宋体"/>
                <w:szCs w:val="21"/>
              </w:rPr>
              <w:t>金额：人民币：陆万元整（ 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Cs w:val="21"/>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Cs w:val="21"/>
              </w:rPr>
            </w:pPr>
            <w:r>
              <w:rPr>
                <w:rFonts w:hint="eastAsia" w:ascii="宋体" w:hAnsi="宋体" w:cs="宋体"/>
                <w:szCs w:val="21"/>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Cs w:val="21"/>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Cs w:val="21"/>
              </w:rPr>
            </w:pPr>
            <w:r>
              <w:rPr>
                <w:rFonts w:hint="eastAsia" w:hAnsi="宋体" w:cs="仿宋_GB2312"/>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2、投标保证金缴纳方式：</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2.1投标人网上报名后，登录</w:t>
            </w:r>
            <w:r>
              <w:fldChar w:fldCharType="begin"/>
            </w:r>
            <w:r>
              <w:instrText xml:space="preserve"> HYPERLINK "http://221.14.6.70:8088/ggzy" </w:instrText>
            </w:r>
            <w:r>
              <w:fldChar w:fldCharType="separate"/>
            </w:r>
            <w:r>
              <w:rPr>
                <w:rFonts w:hint="eastAsia" w:hAnsi="宋体" w:cs="仿宋_GB2312"/>
                <w:szCs w:val="21"/>
              </w:rPr>
              <w:t>http://221.14.6.70:8088/ggzy</w:t>
            </w:r>
            <w:r>
              <w:rPr>
                <w:rFonts w:hint="eastAsia" w:hAnsi="宋体" w:cs="仿宋_GB2312"/>
                <w:szCs w:val="21"/>
              </w:rPr>
              <w:fldChar w:fldCharType="end"/>
            </w:r>
            <w:r>
              <w:rPr>
                <w:rFonts w:hint="eastAsia" w:hAnsi="宋体" w:cs="仿宋_GB2312"/>
                <w:szCs w:val="21"/>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2.2成功缴纳后重新登录前述系统，依次点击“会员向导”→“参与投标”→“保证金绑定”→“绑定”进行投标保证金绑定。</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2.4 每个投标人每个项目每个标段只有唯一缴纳账号，切勿重复缴纳或错误缴纳。</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3、未按上述规定操作引起的无效投标，由投标人自行负责。</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4、汇款凭证无须备注项目编号和项目名称。</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5、出现以下情形造成的投标保证金无效，由投标人自行负责。</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(1)投标保证金未从投标人的基本账户转出；</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(2)投标保证金未按照招标文件划分的标段依次转账。</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6、《保证金缴纳绑定操作指南》获取方法：</w:t>
            </w:r>
          </w:p>
          <w:p>
            <w:pPr>
              <w:autoSpaceDE w:val="0"/>
              <w:autoSpaceDN w:val="0"/>
              <w:adjustRightInd w:val="0"/>
              <w:snapToGrid w:val="0"/>
              <w:spacing w:line="420" w:lineRule="exact"/>
              <w:jc w:val="left"/>
              <w:rPr>
                <w:rFonts w:ascii="宋体" w:hAnsi="宋体" w:cs="宋体"/>
                <w:sz w:val="16"/>
                <w:szCs w:val="16"/>
              </w:rPr>
            </w:pPr>
            <w:r>
              <w:rPr>
                <w:rFonts w:hint="eastAsia" w:hAnsi="宋体" w:cs="仿宋_GB2312"/>
                <w:szCs w:val="21"/>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Cs w:val="21"/>
              </w:rPr>
            </w:pPr>
            <w:r>
              <w:rPr>
                <w:rFonts w:hint="eastAsia" w:hAnsi="宋体" w:cs="仿宋_GB2312"/>
                <w:szCs w:val="21"/>
              </w:rPr>
              <w:t>1、因投标人的原因无法及时退还投标（竞买）保证金、滞留三年以上的，投标（竞买）保证金上缴财政。</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2、自文件发布之日起，投标人需进行基本户备案，已备案的基本户开户银行、账户发生变化的，须重新办理备案手续。备案后方可提交投标（竞买）保证金。</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jc w:val="left"/>
              <w:rPr>
                <w:rFonts w:hAnsi="宋体" w:cs="仿宋_GB2312"/>
                <w:szCs w:val="21"/>
              </w:rPr>
            </w:pPr>
            <w:r>
              <w:rPr>
                <w:rFonts w:hint="eastAsia" w:hAnsi="宋体" w:cs="仿宋_GB2312"/>
                <w:szCs w:val="21"/>
              </w:rPr>
              <w:t>4、特殊情况处理</w:t>
            </w:r>
          </w:p>
          <w:p>
            <w:pPr>
              <w:autoSpaceDE w:val="0"/>
              <w:autoSpaceDN w:val="0"/>
              <w:adjustRightInd w:val="0"/>
              <w:snapToGrid w:val="0"/>
              <w:spacing w:line="420" w:lineRule="exact"/>
              <w:jc w:val="left"/>
              <w:rPr>
                <w:rFonts w:ascii="宋体" w:hAnsi="宋体" w:cs="宋体"/>
                <w:sz w:val="16"/>
                <w:szCs w:val="16"/>
              </w:rPr>
            </w:pPr>
            <w:r>
              <w:rPr>
                <w:rFonts w:hint="eastAsia" w:hAnsi="宋体" w:cs="仿宋_GB2312"/>
                <w:szCs w:val="21"/>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line="480" w:lineRule="exact"/>
        <w:jc w:val="left"/>
        <w:rPr>
          <w:rFonts w:ascii="方正小标宋简体" w:hAnsi="黑体" w:eastAsia="方正小标宋简体"/>
          <w:b/>
          <w:bCs/>
          <w:sz w:val="32"/>
          <w:szCs w:val="32"/>
        </w:rPr>
      </w:pPr>
      <w:r>
        <w:rPr>
          <w:rFonts w:hint="eastAsia" w:ascii="宋体" w:hAnsi="宋体" w:cs="宋体"/>
          <w:b/>
          <w:bCs/>
          <w:szCs w:val="21"/>
        </w:rPr>
        <w:t xml:space="preserve"> </w:t>
      </w: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cs="宋体"/>
                <w:sz w:val="24"/>
              </w:rPr>
            </w:pP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sz w:val="24"/>
              </w:rPr>
            </w:pPr>
            <w:r>
              <w:rPr>
                <w:rFonts w:hint="eastAsia" w:ascii="宋体" w:hAnsi="宋体" w:cs="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sz w:val="24"/>
              </w:rPr>
            </w:pPr>
            <w:r>
              <w:rPr>
                <w:rFonts w:hint="eastAsia" w:ascii="宋体" w:hAnsi="宋体" w:cs="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r>
              <w:rPr>
                <w:rFonts w:hint="eastAsia" w:ascii="宋体" w:hAnsi="宋体" w:cs="宋体"/>
                <w:sz w:val="24"/>
              </w:rPr>
              <w:t>年   月   日</w:t>
            </w:r>
          </w:p>
        </w:tc>
      </w:tr>
    </w:tbl>
    <w:p>
      <w:pPr>
        <w:rPr>
          <w:rFonts w:ascii="宋体" w:hAnsi="宋体" w:cs="宋体"/>
          <w:sz w:val="24"/>
        </w:rPr>
      </w:pPr>
    </w:p>
    <w:p>
      <w:pPr>
        <w:rPr>
          <w:rFonts w:ascii="宋体" w:hAnsi="宋体" w:cs="宋体"/>
          <w:sz w:val="24"/>
        </w:rPr>
      </w:pPr>
    </w:p>
    <w:p>
      <w:pPr>
        <w:rPr>
          <w:rFonts w:ascii="宋体" w:hAnsi="宋体" w:cs="宋体"/>
          <w:sz w:val="28"/>
          <w:szCs w:val="28"/>
        </w:rPr>
      </w:pPr>
      <w:r>
        <w:rPr>
          <w:rFonts w:hint="eastAsia" w:ascii="宋体" w:hAnsi="宋体" w:cs="宋体"/>
          <w:sz w:val="24"/>
        </w:rPr>
        <w:t>备注：中标单位使用此表退还保证金时，此表格大小及格式不得改变</w:t>
      </w:r>
      <w:r>
        <w:rPr>
          <w:rFonts w:hint="eastAsia" w:ascii="宋体" w:hAnsi="宋体" w:cs="宋体"/>
          <w:sz w:val="28"/>
          <w:szCs w:val="28"/>
        </w:rPr>
        <w:t>。</w:t>
      </w:r>
    </w:p>
    <w:p>
      <w:pPr>
        <w:spacing w:line="480" w:lineRule="exact"/>
        <w:jc w:val="left"/>
        <w:rPr>
          <w:rFonts w:ascii="宋体" w:hAnsi="宋体" w:cs="宋体"/>
          <w:b/>
          <w:sz w:val="24"/>
        </w:rPr>
      </w:pPr>
    </w:p>
    <w:p>
      <w:pPr>
        <w:spacing w:beforeLines="100" w:afterLines="100" w:line="360" w:lineRule="auto"/>
        <w:rPr>
          <w:rFonts w:hAnsi="宋体" w:cs="宋体"/>
          <w:sz w:val="24"/>
        </w:rPr>
      </w:pPr>
      <w:r>
        <w:rPr>
          <w:rFonts w:ascii="宋体" w:hAnsi="宋体" w:cs="宋体"/>
          <w:b/>
          <w:sz w:val="24"/>
        </w:rPr>
        <w:br w:type="page"/>
      </w:r>
      <w:r>
        <w:rPr>
          <w:rFonts w:hint="eastAsia" w:hAnsi="宋体" w:cs="宋体"/>
          <w:sz w:val="24"/>
        </w:rPr>
        <w:t>附表二：</w:t>
      </w:r>
    </w:p>
    <w:p>
      <w:pPr>
        <w:spacing w:beforeLines="100" w:afterLines="100" w:line="360" w:lineRule="auto"/>
        <w:jc w:val="center"/>
        <w:rPr>
          <w:rFonts w:hAnsi="宋体" w:cs="宋体"/>
          <w:sz w:val="28"/>
          <w:szCs w:val="28"/>
        </w:rPr>
      </w:pPr>
      <w:r>
        <w:rPr>
          <w:rFonts w:hint="eastAsia" w:hAnsi="宋体" w:cs="宋体"/>
          <w:sz w:val="28"/>
          <w:szCs w:val="28"/>
        </w:rPr>
        <w:t>问题澄清通知</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360" w:lineRule="auto"/>
        <w:rPr>
          <w:rFonts w:hAnsi="宋体" w:cs="宋体"/>
          <w:sz w:val="24"/>
        </w:rPr>
      </w:pPr>
    </w:p>
    <w:p>
      <w:pPr>
        <w:spacing w:line="360" w:lineRule="auto"/>
        <w:rPr>
          <w:rFonts w:hAnsi="宋体" w:cs="宋体"/>
          <w:sz w:val="24"/>
        </w:rPr>
      </w:pPr>
      <w:r>
        <w:rPr>
          <w:rFonts w:hint="eastAsia" w:hAnsi="宋体" w:cs="宋体"/>
          <w:sz w:val="24"/>
        </w:rPr>
        <w:t>附件：质疑问卷</w:t>
      </w: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rPr>
          <w:rFonts w:hAnsi="宋体" w:cs="宋体"/>
          <w:sz w:val="24"/>
          <w:u w:val="single"/>
        </w:rPr>
      </w:pPr>
    </w:p>
    <w:p>
      <w:pPr>
        <w:spacing w:line="360" w:lineRule="auto"/>
        <w:ind w:firstLine="4080" w:firstLineChars="1700"/>
        <w:rPr>
          <w:rFonts w:hAnsi="宋体" w:cs="宋体"/>
          <w:sz w:val="24"/>
          <w:u w:val="single"/>
        </w:rPr>
      </w:pPr>
    </w:p>
    <w:p>
      <w:pPr>
        <w:spacing w:line="360" w:lineRule="auto"/>
        <w:jc w:val="right"/>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360" w:lineRule="auto"/>
        <w:jc w:val="right"/>
        <w:rPr>
          <w:sz w:val="24"/>
        </w:rPr>
      </w:pPr>
      <w:r>
        <w:rPr>
          <w:rFonts w:hint="eastAsia"/>
          <w:sz w:val="24"/>
        </w:rPr>
        <w:t>（经评标委员会授权的招标人代表签字或招标人加盖单位章）</w:t>
      </w:r>
    </w:p>
    <w:p>
      <w:pPr>
        <w:spacing w:line="360" w:lineRule="auto"/>
        <w:jc w:val="right"/>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widowControl/>
        <w:jc w:val="left"/>
        <w:rPr>
          <w:rFonts w:hAnsi="宋体" w:cs="宋体"/>
          <w:sz w:val="24"/>
        </w:rPr>
      </w:pPr>
      <w:r>
        <w:rPr>
          <w:rFonts w:hAnsi="宋体" w:cs="宋体"/>
          <w:sz w:val="24"/>
        </w:rPr>
        <w:br w:type="page"/>
      </w:r>
    </w:p>
    <w:p>
      <w:pPr>
        <w:spacing w:line="360" w:lineRule="auto"/>
        <w:ind w:firstLine="480" w:firstLineChars="200"/>
        <w:rPr>
          <w:rFonts w:hAnsi="宋体" w:cs="宋体"/>
          <w:sz w:val="24"/>
        </w:rPr>
      </w:pPr>
      <w:r>
        <w:rPr>
          <w:rFonts w:hint="eastAsia" w:hAnsi="宋体" w:cs="宋体"/>
          <w:sz w:val="24"/>
        </w:rPr>
        <w:t>附表三：问题的澄清</w:t>
      </w:r>
    </w:p>
    <w:p>
      <w:pPr>
        <w:spacing w:beforeLines="100" w:afterLines="100" w:line="360" w:lineRule="auto"/>
        <w:jc w:val="center"/>
        <w:rPr>
          <w:rFonts w:hAnsi="宋体" w:cs="宋体"/>
          <w:sz w:val="28"/>
          <w:szCs w:val="28"/>
        </w:rPr>
      </w:pPr>
      <w:r>
        <w:rPr>
          <w:rFonts w:hint="eastAsia" w:hAnsi="宋体" w:cs="宋体"/>
          <w:sz w:val="28"/>
          <w:szCs w:val="28"/>
        </w:rPr>
        <w:t>问题的澄清、说明或补正</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360" w:lineRule="auto"/>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wordWrap w:val="0"/>
        <w:spacing w:line="360" w:lineRule="auto"/>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360" w:lineRule="auto"/>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widowControl/>
        <w:jc w:val="left"/>
        <w:rPr>
          <w:rFonts w:ascii="宋体" w:hAnsi="宋体" w:cs="宋体"/>
          <w:b/>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ascii="宋体" w:hAnsi="宋体" w:cs="宋体"/>
          <w:b/>
          <w:sz w:val="24"/>
        </w:rPr>
        <w:br w:type="page"/>
      </w:r>
    </w:p>
    <w:p>
      <w:pPr>
        <w:spacing w:afterLines="50" w:line="440" w:lineRule="exact"/>
        <w:rPr>
          <w:rFonts w:ascii="宋体" w:hAnsi="宋体" w:cs="宋体"/>
        </w:rPr>
      </w:pPr>
    </w:p>
    <w:p>
      <w:pPr>
        <w:snapToGrid w:val="0"/>
        <w:spacing w:line="420" w:lineRule="exact"/>
        <w:jc w:val="center"/>
        <w:rPr>
          <w:rFonts w:ascii="宋体" w:hAnsi="宋体" w:cs="宋体"/>
          <w:sz w:val="24"/>
        </w:rPr>
      </w:pPr>
      <w:bookmarkStart w:id="47" w:name="_Toc3415"/>
      <w:bookmarkStart w:id="48" w:name="_Toc405230112"/>
      <w:bookmarkStart w:id="49" w:name="_Toc4392"/>
      <w:r>
        <w:rPr>
          <w:rFonts w:hint="eastAsia" w:ascii="宋体" w:hAnsi="宋体" w:cs="宋体"/>
          <w:b/>
          <w:bCs/>
          <w:sz w:val="32"/>
          <w:szCs w:val="32"/>
        </w:rPr>
        <w:t>第三章 评标办法（综合评估法）</w:t>
      </w:r>
    </w:p>
    <w:p>
      <w:pPr>
        <w:snapToGrid w:val="0"/>
        <w:spacing w:line="360" w:lineRule="auto"/>
        <w:ind w:firstLine="420" w:firstLineChars="200"/>
        <w:rPr>
          <w:rFonts w:ascii="新宋体" w:hAnsi="新宋体" w:eastAsia="新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一、评标依据：评标办法依据《许昌市建设工程监理招标评标办法》编制。</w:t>
      </w:r>
    </w:p>
    <w:p>
      <w:pPr>
        <w:snapToGrid w:val="0"/>
        <w:spacing w:line="360" w:lineRule="auto"/>
        <w:ind w:firstLine="420" w:firstLineChars="200"/>
        <w:rPr>
          <w:rFonts w:ascii="宋体" w:hAnsi="宋体" w:cs="宋体"/>
          <w:szCs w:val="21"/>
        </w:rPr>
      </w:pPr>
      <w:r>
        <w:rPr>
          <w:rFonts w:hint="eastAsia" w:ascii="宋体" w:hAnsi="宋体" w:cs="宋体"/>
          <w:szCs w:val="21"/>
        </w:rPr>
        <w:t>二、评标应遵循公正、公平、择优的原则严格按照招标文件进行。</w:t>
      </w:r>
    </w:p>
    <w:p>
      <w:pPr>
        <w:snapToGrid w:val="0"/>
        <w:spacing w:line="360" w:lineRule="auto"/>
        <w:ind w:firstLine="420" w:firstLineChars="200"/>
        <w:rPr>
          <w:rFonts w:ascii="宋体" w:hAnsi="宋体" w:cs="宋体"/>
          <w:szCs w:val="21"/>
        </w:rPr>
      </w:pPr>
      <w:r>
        <w:rPr>
          <w:rFonts w:hint="eastAsia" w:ascii="宋体" w:hAnsi="宋体" w:cs="宋体"/>
          <w:szCs w:val="21"/>
        </w:rPr>
        <w:t>三、评标由招标人依法组建的评标委员会负责，评标委员会成员为9人（其中注册造价工程师不少于2人），其中招标人代表3人和从河南省综合评标专家库中随机抽取6人。评标委员会主任从5名随机抽取的评标专家中产生，与投标人有利害关系的专家不得进入评标委员会。</w:t>
      </w:r>
    </w:p>
    <w:p>
      <w:pPr>
        <w:snapToGrid w:val="0"/>
        <w:spacing w:line="360" w:lineRule="auto"/>
        <w:ind w:firstLine="420" w:firstLineChars="200"/>
        <w:rPr>
          <w:rFonts w:ascii="宋体" w:hAnsi="宋体" w:cs="宋体"/>
          <w:szCs w:val="21"/>
        </w:rPr>
      </w:pPr>
      <w:r>
        <w:rPr>
          <w:rFonts w:hint="eastAsia" w:ascii="宋体" w:hAnsi="宋体" w:cs="宋体"/>
          <w:szCs w:val="21"/>
        </w:rPr>
        <w:t>四、评标采用综合计分法，是指评标委员会根据招标文件要求应从技术标、商务综合信用标进行综合评审。按得分由高至低排序。</w:t>
      </w:r>
    </w:p>
    <w:p>
      <w:pPr>
        <w:snapToGrid w:val="0"/>
        <w:spacing w:line="360" w:lineRule="auto"/>
        <w:ind w:firstLine="420" w:firstLineChars="200"/>
        <w:rPr>
          <w:rFonts w:ascii="宋体" w:hAnsi="宋体" w:cs="宋体"/>
          <w:szCs w:val="21"/>
        </w:rPr>
      </w:pPr>
      <w:r>
        <w:rPr>
          <w:rFonts w:hint="eastAsia" w:ascii="宋体" w:hAnsi="宋体" w:cs="宋体"/>
          <w:szCs w:val="21"/>
        </w:rPr>
        <w:t>五、评标程序为：</w:t>
      </w:r>
    </w:p>
    <w:p>
      <w:pPr>
        <w:spacing w:line="360" w:lineRule="auto"/>
        <w:ind w:firstLine="735" w:firstLineChars="350"/>
        <w:rPr>
          <w:rFonts w:ascii="宋体" w:hAnsi="宋体" w:cs="宋体"/>
          <w:szCs w:val="21"/>
        </w:rPr>
      </w:pPr>
      <w:r>
        <w:rPr>
          <w:rFonts w:hint="eastAsia" w:ascii="宋体" w:hAnsi="宋体" w:cs="宋体"/>
          <w:szCs w:val="21"/>
        </w:rPr>
        <w:t>（一）初步评审</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 xml:space="preserve">   （二）对监理大纲进行评审；</w:t>
      </w:r>
    </w:p>
    <w:p>
      <w:pPr>
        <w:spacing w:line="360" w:lineRule="auto"/>
        <w:ind w:firstLine="420" w:firstLineChars="200"/>
        <w:rPr>
          <w:rFonts w:ascii="宋体" w:hAnsi="宋体" w:cs="宋体"/>
          <w:szCs w:val="21"/>
        </w:rPr>
      </w:pPr>
      <w:r>
        <w:rPr>
          <w:rFonts w:hint="eastAsia" w:ascii="宋体" w:hAnsi="宋体" w:cs="宋体"/>
          <w:szCs w:val="21"/>
        </w:rPr>
        <w:t xml:space="preserve">   （三）对商务标进行评审；</w:t>
      </w:r>
    </w:p>
    <w:p>
      <w:pPr>
        <w:spacing w:line="360" w:lineRule="auto"/>
        <w:ind w:firstLine="420" w:firstLineChars="200"/>
        <w:rPr>
          <w:rFonts w:ascii="宋体" w:hAnsi="宋体" w:cs="宋体"/>
          <w:szCs w:val="21"/>
        </w:rPr>
      </w:pPr>
      <w:r>
        <w:rPr>
          <w:rFonts w:hint="eastAsia" w:ascii="宋体" w:hAnsi="宋体" w:cs="宋体"/>
          <w:szCs w:val="21"/>
        </w:rPr>
        <w:t xml:space="preserve">   （四）确定中标候选人；</w:t>
      </w:r>
    </w:p>
    <w:p>
      <w:pPr>
        <w:spacing w:line="360" w:lineRule="auto"/>
        <w:ind w:firstLine="420" w:firstLineChars="200"/>
        <w:rPr>
          <w:rFonts w:ascii="宋体" w:hAnsi="宋体" w:cs="宋体"/>
          <w:szCs w:val="21"/>
        </w:rPr>
      </w:pPr>
      <w:r>
        <w:rPr>
          <w:rFonts w:hint="eastAsia" w:ascii="宋体" w:hAnsi="宋体" w:cs="宋体"/>
          <w:szCs w:val="21"/>
        </w:rPr>
        <w:t xml:space="preserve">   （五）评标现场宣布中标候选人确定结果或在指定媒体上进行公示。</w:t>
      </w:r>
    </w:p>
    <w:p>
      <w:pPr>
        <w:spacing w:line="360" w:lineRule="auto"/>
        <w:ind w:firstLine="422" w:firstLineChars="200"/>
        <w:rPr>
          <w:rFonts w:ascii="宋体" w:hAnsi="宋体" w:cs="宋体"/>
          <w:b/>
          <w:szCs w:val="21"/>
        </w:rPr>
      </w:pPr>
      <w:r>
        <w:rPr>
          <w:rFonts w:hint="eastAsia" w:ascii="宋体" w:hAnsi="宋体" w:cs="宋体"/>
          <w:b/>
          <w:szCs w:val="21"/>
        </w:rPr>
        <w:t>六、初步评审</w:t>
      </w:r>
    </w:p>
    <w:p>
      <w:pPr>
        <w:snapToGrid w:val="0"/>
        <w:spacing w:line="360" w:lineRule="auto"/>
        <w:ind w:firstLine="420" w:firstLineChars="200"/>
        <w:rPr>
          <w:rFonts w:ascii="宋体" w:hAnsi="宋体" w:cs="宋体"/>
          <w:szCs w:val="21"/>
        </w:rPr>
      </w:pPr>
      <w:r>
        <w:rPr>
          <w:rFonts w:hint="eastAsia" w:ascii="宋体" w:hAnsi="宋体" w:cs="宋体"/>
          <w:szCs w:val="21"/>
        </w:rPr>
        <w:t>招标人依法组织的评标委员会首先对投标文件进行初步评审，只有通过初步评审的投标人才能进入详细评审。初步评审的内容：</w:t>
      </w:r>
    </w:p>
    <w:p>
      <w:pPr>
        <w:snapToGrid w:val="0"/>
        <w:spacing w:line="360" w:lineRule="auto"/>
        <w:ind w:firstLine="420" w:firstLineChars="200"/>
        <w:rPr>
          <w:rFonts w:ascii="宋体" w:hAnsi="宋体" w:cs="宋体"/>
          <w:szCs w:val="21"/>
        </w:rPr>
      </w:pPr>
      <w:r>
        <w:rPr>
          <w:rFonts w:hint="eastAsia" w:ascii="宋体" w:hAnsi="宋体" w:cs="宋体"/>
          <w:szCs w:val="21"/>
        </w:rPr>
        <w:t>1.投标人名称是否与营业执照、资质证书一致；</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2.电子投标文件是否按招标文件要求签字盖章（无需逐页签字盖章）； </w:t>
      </w:r>
    </w:p>
    <w:p>
      <w:pPr>
        <w:snapToGrid w:val="0"/>
        <w:spacing w:line="360" w:lineRule="auto"/>
        <w:ind w:firstLine="420" w:firstLineChars="200"/>
        <w:rPr>
          <w:rFonts w:ascii="宋体" w:hAnsi="宋体" w:cs="宋体"/>
          <w:szCs w:val="21"/>
        </w:rPr>
      </w:pPr>
      <w:r>
        <w:rPr>
          <w:rFonts w:hint="eastAsia" w:ascii="宋体" w:hAnsi="宋体" w:cs="宋体"/>
          <w:szCs w:val="21"/>
        </w:rPr>
        <w:t>3.投标文件格式是否符合招标文件要求；</w:t>
      </w:r>
    </w:p>
    <w:p>
      <w:pPr>
        <w:snapToGrid w:val="0"/>
        <w:spacing w:line="360" w:lineRule="auto"/>
        <w:ind w:firstLine="420" w:firstLineChars="200"/>
        <w:rPr>
          <w:rFonts w:ascii="宋体" w:hAnsi="宋体" w:cs="宋体"/>
          <w:szCs w:val="21"/>
        </w:rPr>
      </w:pPr>
      <w:r>
        <w:rPr>
          <w:rFonts w:hint="eastAsia" w:ascii="宋体" w:hAnsi="宋体" w:cs="宋体"/>
          <w:szCs w:val="21"/>
        </w:rPr>
        <w:t>4.投标人营业执照是否有效；</w:t>
      </w:r>
    </w:p>
    <w:p>
      <w:pPr>
        <w:snapToGrid w:val="0"/>
        <w:spacing w:line="360" w:lineRule="auto"/>
        <w:ind w:firstLine="420" w:firstLineChars="200"/>
        <w:rPr>
          <w:rFonts w:ascii="宋体" w:hAnsi="宋体" w:cs="宋体"/>
          <w:szCs w:val="21"/>
        </w:rPr>
      </w:pPr>
      <w:r>
        <w:rPr>
          <w:rFonts w:hint="eastAsia" w:ascii="宋体" w:hAnsi="宋体" w:cs="宋体"/>
          <w:szCs w:val="21"/>
        </w:rPr>
        <w:t>5.投标人资质证书等级是否满足要求；</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6.投标人总监理工程师证书资格及注册单位是否满足招标文件要求； </w:t>
      </w:r>
    </w:p>
    <w:p>
      <w:pPr>
        <w:snapToGrid w:val="0"/>
        <w:spacing w:line="360" w:lineRule="auto"/>
        <w:ind w:firstLine="420" w:firstLineChars="200"/>
        <w:rPr>
          <w:rFonts w:ascii="宋体" w:hAnsi="宋体" w:cs="宋体"/>
          <w:szCs w:val="21"/>
        </w:rPr>
      </w:pPr>
      <w:r>
        <w:rPr>
          <w:rFonts w:hint="eastAsia" w:ascii="宋体" w:hAnsi="宋体" w:cs="宋体"/>
          <w:szCs w:val="21"/>
        </w:rPr>
        <w:t>7.投标内容、投标有效期、投标保证金等是否符合招标文件规定内容；</w:t>
      </w:r>
    </w:p>
    <w:p>
      <w:pPr>
        <w:snapToGrid w:val="0"/>
        <w:spacing w:line="360" w:lineRule="auto"/>
        <w:ind w:firstLine="420" w:firstLineChars="200"/>
        <w:rPr>
          <w:rFonts w:ascii="宋体" w:hAnsi="宋体" w:cs="宋体"/>
          <w:szCs w:val="21"/>
        </w:rPr>
      </w:pPr>
      <w:r>
        <w:rPr>
          <w:rFonts w:hint="eastAsia" w:ascii="宋体" w:hAnsi="宋体" w:cs="宋体"/>
          <w:szCs w:val="21"/>
        </w:rPr>
        <w:t>8.投标文件有下列情形之一的，由评标委员会初审后按废标处理</w:t>
      </w:r>
    </w:p>
    <w:p>
      <w:pPr>
        <w:snapToGrid w:val="0"/>
        <w:spacing w:line="360" w:lineRule="auto"/>
        <w:ind w:firstLine="840" w:firstLineChars="400"/>
        <w:rPr>
          <w:rFonts w:ascii="宋体" w:hAnsi="宋体" w:cs="宋体"/>
          <w:szCs w:val="21"/>
        </w:rPr>
      </w:pPr>
      <w:r>
        <w:rPr>
          <w:rFonts w:hint="eastAsia" w:ascii="宋体" w:hAnsi="宋体" w:cs="宋体"/>
          <w:szCs w:val="21"/>
        </w:rPr>
        <w:t>8.1投标文件中的关键内容或数字字迹模糊、无法辨认的；</w:t>
      </w:r>
    </w:p>
    <w:p>
      <w:pPr>
        <w:snapToGrid w:val="0"/>
        <w:spacing w:line="360" w:lineRule="auto"/>
        <w:ind w:firstLine="840" w:firstLineChars="400"/>
        <w:rPr>
          <w:rFonts w:ascii="宋体" w:hAnsi="宋体" w:cs="宋体"/>
          <w:szCs w:val="21"/>
        </w:rPr>
      </w:pPr>
      <w:r>
        <w:rPr>
          <w:rFonts w:hint="eastAsia" w:ascii="宋体" w:hAnsi="宋体" w:cs="宋体"/>
          <w:szCs w:val="21"/>
        </w:rPr>
        <w:t>8.2组成的联合体，其投标文件未附联合体各方共同投标协议的；</w:t>
      </w:r>
    </w:p>
    <w:p>
      <w:pPr>
        <w:snapToGrid w:val="0"/>
        <w:spacing w:line="360" w:lineRule="auto"/>
        <w:ind w:firstLine="840" w:firstLineChars="400"/>
        <w:rPr>
          <w:rFonts w:ascii="宋体" w:hAnsi="宋体" w:cs="宋体"/>
          <w:szCs w:val="21"/>
        </w:rPr>
      </w:pPr>
      <w:r>
        <w:rPr>
          <w:rFonts w:hint="eastAsia" w:ascii="宋体" w:hAnsi="宋体" w:cs="宋体"/>
          <w:szCs w:val="21"/>
        </w:rPr>
        <w:t>8.3投标人递交两份或两份以上，内容不同又未在投标文件中声明哪一份有效的投标文件的；</w:t>
      </w:r>
    </w:p>
    <w:p>
      <w:pPr>
        <w:snapToGrid w:val="0"/>
        <w:spacing w:line="360" w:lineRule="auto"/>
        <w:ind w:firstLine="840" w:firstLineChars="400"/>
        <w:rPr>
          <w:rFonts w:ascii="宋体" w:hAnsi="宋体" w:cs="宋体"/>
          <w:szCs w:val="21"/>
        </w:rPr>
      </w:pPr>
      <w:r>
        <w:rPr>
          <w:rFonts w:hint="eastAsia" w:ascii="宋体" w:hAnsi="宋体" w:cs="宋体"/>
          <w:szCs w:val="21"/>
        </w:rPr>
        <w:t>8.4投标人不符合国家或者招标文件规定的资格条件；</w:t>
      </w:r>
    </w:p>
    <w:p>
      <w:pPr>
        <w:snapToGrid w:val="0"/>
        <w:spacing w:line="360" w:lineRule="auto"/>
        <w:ind w:firstLine="840" w:firstLineChars="400"/>
        <w:rPr>
          <w:rFonts w:ascii="宋体" w:hAnsi="宋体" w:cs="宋体"/>
          <w:szCs w:val="21"/>
        </w:rPr>
      </w:pPr>
      <w:r>
        <w:rPr>
          <w:rFonts w:hint="eastAsia" w:ascii="宋体" w:hAnsi="宋体" w:cs="宋体"/>
          <w:szCs w:val="21"/>
        </w:rPr>
        <w:t>8.5投标文件没有对招标文件的实质性要求和条件作出响应；</w:t>
      </w:r>
    </w:p>
    <w:p>
      <w:pPr>
        <w:snapToGrid w:val="0"/>
        <w:spacing w:line="360" w:lineRule="auto"/>
        <w:ind w:firstLine="840" w:firstLineChars="400"/>
        <w:rPr>
          <w:rFonts w:ascii="宋体" w:hAnsi="宋体" w:cs="宋体"/>
          <w:szCs w:val="21"/>
        </w:rPr>
      </w:pPr>
      <w:r>
        <w:rPr>
          <w:rFonts w:hint="eastAsia" w:ascii="宋体" w:hAnsi="宋体" w:cs="宋体"/>
          <w:szCs w:val="21"/>
        </w:rPr>
        <w:t xml:space="preserve">8.6投标人有串通投标、弄虚作假、行贿等违法行为；                                                </w:t>
      </w:r>
    </w:p>
    <w:p>
      <w:pPr>
        <w:snapToGrid w:val="0"/>
        <w:spacing w:line="360" w:lineRule="auto"/>
        <w:ind w:firstLine="840" w:firstLineChars="400"/>
        <w:rPr>
          <w:rFonts w:ascii="宋体" w:hAnsi="宋体" w:cs="宋体"/>
          <w:szCs w:val="21"/>
        </w:rPr>
      </w:pPr>
      <w:r>
        <w:rPr>
          <w:rFonts w:hint="eastAsia" w:ascii="宋体" w:hAnsi="宋体" w:cs="宋体"/>
          <w:szCs w:val="21"/>
        </w:rPr>
        <w:t>8.7法律、法规和规章规定的其他情形。</w:t>
      </w:r>
    </w:p>
    <w:p>
      <w:pPr>
        <w:snapToGrid w:val="0"/>
        <w:spacing w:line="360" w:lineRule="auto"/>
        <w:ind w:firstLine="420" w:firstLineChars="200"/>
        <w:rPr>
          <w:rFonts w:ascii="宋体" w:hAnsi="宋体" w:cs="宋体"/>
          <w:szCs w:val="21"/>
        </w:rPr>
      </w:pPr>
      <w:r>
        <w:rPr>
          <w:rFonts w:hint="eastAsia" w:ascii="宋体" w:hAnsi="宋体" w:cs="宋体"/>
          <w:szCs w:val="21"/>
        </w:rPr>
        <w:t>评标委员会完成初步评审所有内容后，作出初步评审结论，分别确定不合格投标人和进入下阶段评审的投标人。未通过初步评审，不能进入详细评审。只有通过初步评审的投标人才能进入下阶段评审。</w:t>
      </w:r>
    </w:p>
    <w:p>
      <w:pPr>
        <w:pStyle w:val="2"/>
        <w:numPr>
          <w:ilvl w:val="0"/>
          <w:numId w:val="1"/>
        </w:numPr>
        <w:spacing w:after="0" w:line="360" w:lineRule="auto"/>
        <w:ind w:firstLine="211"/>
        <w:rPr>
          <w:rFonts w:ascii="宋体" w:hAnsi="宋体" w:cs="宋体"/>
          <w:b/>
          <w:kern w:val="0"/>
          <w:szCs w:val="21"/>
        </w:rPr>
      </w:pPr>
      <w:r>
        <w:rPr>
          <w:rFonts w:hint="eastAsia" w:ascii="宋体" w:hAnsi="宋体" w:cs="宋体"/>
          <w:b/>
          <w:kern w:val="0"/>
          <w:szCs w:val="21"/>
        </w:rPr>
        <w:t>详细评审</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7.1对通过初步评审的投标文件进行评审，再进行技术标的评审。</w:t>
      </w:r>
    </w:p>
    <w:tbl>
      <w:tblPr>
        <w:tblStyle w:val="38"/>
        <w:tblW w:w="928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41"/>
        <w:gridCol w:w="774"/>
        <w:gridCol w:w="71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4"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b/>
                <w:color w:val="000000" w:themeColor="text1"/>
                <w:szCs w:val="21"/>
              </w:rPr>
              <w:t>项目</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b/>
                <w:color w:val="000000" w:themeColor="text1"/>
                <w:szCs w:val="21"/>
              </w:rPr>
              <w:t>分数</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b/>
                <w:color w:val="000000" w:themeColor="text1"/>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质量控制</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1.总体质量控制目标满足招标文件要求，且对质量控制目标进行了合理分解、规划；（0-1分）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2.针对各质量控制分解目标及各施工环节提出了切实可行的控制点和控制措施；（0-1分）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3.质量控制的基本程序和手段有针对性，且能满足工程实际要求；（0-1分）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4.对分包队伍的审查、管理措施有效可行；（0-1分）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进度控制</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1.对总体进度目标分解合理，能体现预控和全面控制能力；（0-1分）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造价控制</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1.工程计量、计价的控制方法可行，风险预测与防范对策有效；（0-1分）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2.工程款支付、结算、索赔等预控措施合理健全；（0-1分）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安全措施</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1.安全措施满足招标文件要求，能结合工程环境、特点有针对性的分析安全隐患；（0-1分）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2.安全保证体系组织机构和控制点设置合理；（0-1分）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旁站监理措施</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1.按照国家旁站监理规定，对相应部位或施工过程设置旁站；（0-1分）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2.有监理细则和方案；（0-0.5分）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档案及合同管理</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1.有保障合同履行的可靠措施，制定了索赔与反索赔措施；（0-1分）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工作制度</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组织协调及合理化建议</w:t>
            </w:r>
          </w:p>
        </w:tc>
        <w:tc>
          <w:tcPr>
            <w:tcW w:w="77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p>
        </w:tc>
        <w:tc>
          <w:tcPr>
            <w:tcW w:w="71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1.协调工作措施得当、有针对性；（0-1分）</w:t>
            </w:r>
          </w:p>
          <w:p>
            <w:pPr>
              <w:widowControl/>
              <w:spacing w:before="60" w:after="60" w:line="276" w:lineRule="auto"/>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3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合计</w:t>
            </w:r>
          </w:p>
        </w:tc>
        <w:tc>
          <w:tcPr>
            <w:tcW w:w="7945"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276"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20分</w:t>
            </w:r>
          </w:p>
        </w:tc>
      </w:tr>
    </w:tbl>
    <w:p>
      <w:pPr>
        <w:snapToGrid w:val="0"/>
        <w:spacing w:line="360" w:lineRule="auto"/>
        <w:rPr>
          <w:rFonts w:ascii="宋体" w:hAnsi="宋体" w:cs="宋体"/>
          <w:szCs w:val="21"/>
          <w:shd w:val="clear" w:color="auto" w:fill="FFFFFF"/>
        </w:rPr>
      </w:pPr>
    </w:p>
    <w:p>
      <w:pPr>
        <w:widowControl/>
        <w:shd w:val="clear" w:color="auto" w:fill="FFFFFF"/>
        <w:spacing w:before="60" w:after="60" w:line="480" w:lineRule="auto"/>
        <w:jc w:val="left"/>
        <w:rPr>
          <w:rFonts w:hAnsi="宋体"/>
          <w:color w:val="000000" w:themeColor="text1"/>
          <w:sz w:val="24"/>
        </w:rPr>
      </w:pPr>
      <w:r>
        <w:rPr>
          <w:rFonts w:hint="eastAsia" w:hAnsi="宋体"/>
          <w:color w:val="000000" w:themeColor="text1"/>
          <w:sz w:val="24"/>
        </w:rPr>
        <w:t>7.2商务标详细评审</w:t>
      </w:r>
    </w:p>
    <w:tbl>
      <w:tblPr>
        <w:tblStyle w:val="38"/>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评标基准价的确定：评标基准价D=α×E+β×F</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其中：E-招标控制价；</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有效投标人的投标报价为不高于E值，且通过初步评审的投标人报价。</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α-为E值的权重系数，α取值在0.40-0.70之间抽取（开标时，在0.40、0.45、0.50、0.55、0.60、0.65、0.70七个数值中由招标人和投标人代表现场随机抽取）。</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β-为F值的权重系数，β=1-α</w:t>
            </w:r>
          </w:p>
          <w:p>
            <w:pPr>
              <w:spacing w:line="3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各有效投标报价在评标基准价±1%以内的得满分15分，每再低于评标基准价1%的扣0.2分（不足1%按1%计）；每再高于评标基准价1%的扣0.4分（不足1%按1%计），扣完为止。投标报价低于财政评审报价80%的，作废标处理。</w:t>
            </w:r>
          </w:p>
        </w:tc>
      </w:tr>
      <w:tr>
        <w:tblPrEx>
          <w:tblLayout w:type="fixed"/>
          <w:tblCellMar>
            <w:top w:w="0" w:type="dxa"/>
            <w:left w:w="108" w:type="dxa"/>
            <w:bottom w:w="0" w:type="dxa"/>
            <w:right w:w="108" w:type="dxa"/>
          </w:tblCellMar>
        </w:tblPrEx>
        <w:trPr>
          <w:trHeight w:val="41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w:t>
            </w:r>
          </w:p>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w:t>
            </w:r>
          </w:p>
        </w:tc>
        <w:tc>
          <w:tcPr>
            <w:tcW w:w="6341"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1、2016年1月1日以来，监理企业有类似项目业绩的，每项得5分，本项最高得10分（以合同和中标通知书为准，时间以合同签订日期为准）</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2、2016年1月1日以来企业监理过的工程获得国家级奖项的，得5分，最多得 5分。（在投标文件中附获奖证书和红头文件原件扫描件，以证书时间为准）。</w:t>
            </w:r>
          </w:p>
          <w:p>
            <w:pPr>
              <w:spacing w:line="400" w:lineRule="exact"/>
            </w:pPr>
            <w:r>
              <w:rPr>
                <w:rFonts w:hint="eastAsia" w:cs="宋体" w:asciiTheme="minorEastAsia" w:hAnsiTheme="minorEastAsia" w:eastAsiaTheme="minorEastAsia"/>
                <w:color w:val="000000" w:themeColor="text1"/>
                <w:szCs w:val="21"/>
              </w:rPr>
              <w:t>3、2016年1月1日以来企业监理过的类似工程获得省级及以上建设工程优质工程奖的每项得2.5分，最多得 5分。（在投标文件中附获奖证书和红头文件原件扫描件，以证书时间为准）。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Cs w:val="21"/>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w:t>
            </w:r>
          </w:p>
        </w:tc>
        <w:tc>
          <w:tcPr>
            <w:tcW w:w="6341" w:type="dxa"/>
            <w:tcBorders>
              <w:top w:val="single" w:color="auto" w:sz="4" w:space="0"/>
              <w:left w:val="nil"/>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2016年1月1日以来企业连续3年获得市级先进监理企业（或诚信建设先进企业）的得 5 分，省级及以上先进监理企业（或诚信建设先进企业）的得10分，本项最高得10分。（在投标文件中提供获奖证书和红头文件原件扫描件，以证书时间为准）。</w:t>
            </w:r>
          </w:p>
        </w:tc>
      </w:tr>
      <w:tr>
        <w:tblPrEx>
          <w:tblLayout w:type="fixed"/>
          <w:tblCellMar>
            <w:top w:w="0" w:type="dxa"/>
            <w:left w:w="108" w:type="dxa"/>
            <w:bottom w:w="0" w:type="dxa"/>
            <w:right w:w="108" w:type="dxa"/>
          </w:tblCellMar>
        </w:tblPrEx>
        <w:trPr>
          <w:trHeight w:val="435" w:hRule="atLeast"/>
        </w:trPr>
        <w:tc>
          <w:tcPr>
            <w:tcW w:w="1008" w:type="dxa"/>
            <w:tcBorders>
              <w:top w:val="nil"/>
              <w:left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总监理</w:t>
            </w:r>
          </w:p>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业绩</w:t>
            </w:r>
          </w:p>
          <w:p>
            <w:pPr>
              <w:widowControl/>
              <w:spacing w:line="240" w:lineRule="atLeast"/>
              <w:jc w:val="center"/>
            </w:pPr>
            <w:r>
              <w:rPr>
                <w:rFonts w:hint="eastAsia"/>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1、2016年1月1日以来，本项目拟派总监担任过类似工程总监的每项得10分，本项最高得10分（以中标通知书和监理合同为准，若不能显示总监姓名，需提供由建设单位出具的证明，时间以合同签订日期为准）。</w:t>
            </w:r>
          </w:p>
          <w:p>
            <w:pPr>
              <w:pStyle w:val="2"/>
              <w:spacing w:line="360" w:lineRule="auto"/>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2、2016年1月1日以来，拟派项目总监监理过的类似工程获得市级奖项的每项得2分，省级及以上奖项的每项得5分，本项最多得5分。（以提供的证书和获奖文件原件扫描件（或图片）为准，时间以发证时间为准。）</w:t>
            </w:r>
          </w:p>
          <w:p>
            <w:pPr>
              <w:pStyle w:val="2"/>
              <w:spacing w:line="360" w:lineRule="auto"/>
              <w:ind w:firstLine="0" w:firstLineChars="0"/>
            </w:pPr>
            <w:r>
              <w:rPr>
                <w:rFonts w:hint="eastAsia" w:cs="宋体" w:asciiTheme="minorEastAsia" w:hAnsiTheme="minorEastAsia" w:eastAsiaTheme="minorEastAsia"/>
                <w:color w:val="000000" w:themeColor="text1"/>
                <w:szCs w:val="21"/>
              </w:rPr>
              <w:t>3、2016年1月1日以来，拟派总监理工程师获得省级及以上优秀总监理工程师奖项的得5分，本项最高得5分，没有不得分。（以提供的证书和获奖文件原件扫描件（或图片）为准，时间以发证时间为准。）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1、拟派项目总监具有建设工程类高级职称的得1分，其他不得分；</w:t>
            </w:r>
          </w:p>
          <w:p>
            <w:pPr>
              <w:widowControl/>
              <w:spacing w:line="240" w:lineRule="atLeas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2、管理人员配备工种齐全（包括专业监理工程师、监理员、安全、土建、电气、给排水、造价、见证员）持证上岗得 4分，缺1项扣0.5分，扣完为止。</w:t>
            </w:r>
          </w:p>
          <w:p>
            <w:pPr>
              <w:widowControl/>
              <w:spacing w:line="240" w:lineRule="atLeas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3、拟派人员具有国家注册安全工程师的得1分；</w:t>
            </w:r>
          </w:p>
          <w:p>
            <w:pPr>
              <w:pStyle w:val="2"/>
              <w:ind w:firstLine="0" w:firstLineChars="0"/>
            </w:pPr>
            <w:r>
              <w:rPr>
                <w:rFonts w:hint="eastAsia" w:asciiTheme="minorEastAsia" w:hAnsiTheme="minorEastAsia" w:eastAsiaTheme="minorEastAsia"/>
                <w:color w:val="000000" w:themeColor="text1"/>
                <w:szCs w:val="21"/>
              </w:rPr>
              <w:t>4、 管理人员配备中人员同时具有国家注册造价工程师资格及工程造价专业高级工程师职称的得1分。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投标人针对招标项目的特点和要求，结合自身条件和潜力为招标人排忧解难有优惠承诺者和服务承诺。由评委根据标书的具体内容在0-8分酌情打分。</w:t>
            </w:r>
          </w:p>
        </w:tc>
      </w:tr>
      <w:tr>
        <w:tblPrEx>
          <w:tblLayout w:type="fixed"/>
          <w:tblCellMar>
            <w:top w:w="0" w:type="dxa"/>
            <w:left w:w="108" w:type="dxa"/>
            <w:bottom w:w="0" w:type="dxa"/>
            <w:right w:w="108" w:type="dxa"/>
          </w:tblCellMar>
        </w:tblPrEx>
        <w:trPr>
          <w:trHeight w:val="27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80分</w:t>
            </w:r>
          </w:p>
        </w:tc>
      </w:tr>
    </w:tbl>
    <w:p>
      <w:pPr>
        <w:snapToGrid w:val="0"/>
        <w:spacing w:line="360" w:lineRule="auto"/>
        <w:rPr>
          <w:rFonts w:ascii="新宋体" w:hAnsi="新宋体" w:eastAsia="新宋体"/>
          <w:b/>
          <w:sz w:val="24"/>
        </w:rPr>
      </w:pPr>
    </w:p>
    <w:p>
      <w:pPr>
        <w:snapToGrid w:val="0"/>
        <w:spacing w:line="360" w:lineRule="auto"/>
        <w:rPr>
          <w:rFonts w:ascii="新宋体" w:hAnsi="新宋体" w:eastAsia="新宋体"/>
          <w:b/>
          <w:sz w:val="24"/>
        </w:rPr>
      </w:pPr>
    </w:p>
    <w:p>
      <w:pPr>
        <w:snapToGrid w:val="0"/>
        <w:spacing w:line="360" w:lineRule="auto"/>
        <w:ind w:firstLine="422" w:firstLineChars="200"/>
        <w:rPr>
          <w:rFonts w:ascii="新宋体" w:hAnsi="新宋体" w:eastAsia="新宋体"/>
          <w:b/>
          <w:szCs w:val="21"/>
        </w:rPr>
      </w:pPr>
      <w:r>
        <w:rPr>
          <w:rFonts w:hint="eastAsia" w:ascii="新宋体" w:hAnsi="新宋体" w:eastAsia="新宋体"/>
          <w:b/>
          <w:szCs w:val="21"/>
        </w:rPr>
        <w:t>凡评标办法里涉及到的证书、证件及业绩材料等，均应在电子版投标文件中附其原件扫描件（或图片），否则该项得分应作0分处理。</w:t>
      </w:r>
    </w:p>
    <w:p>
      <w:pPr>
        <w:snapToGrid w:val="0"/>
        <w:spacing w:line="360" w:lineRule="auto"/>
        <w:ind w:firstLine="422" w:firstLineChars="200"/>
        <w:rPr>
          <w:rFonts w:ascii="新宋体" w:hAnsi="新宋体" w:eastAsia="新宋体"/>
          <w:b/>
          <w:szCs w:val="21"/>
        </w:rPr>
      </w:pPr>
      <w:r>
        <w:rPr>
          <w:rFonts w:hint="eastAsia" w:ascii="新宋体" w:hAnsi="新宋体" w:eastAsia="新宋体"/>
          <w:b/>
          <w:szCs w:val="21"/>
        </w:rPr>
        <w:t>各投标人的最终得分为技术标书得分、商务标书得分之和，本办法计算分值均保留两位小数。</w:t>
      </w:r>
    </w:p>
    <w:p>
      <w:pPr>
        <w:spacing w:line="360" w:lineRule="auto"/>
        <w:ind w:firstLine="422" w:firstLineChars="200"/>
        <w:rPr>
          <w:rFonts w:ascii="宋体" w:hAnsi="宋体" w:cs="宋体"/>
          <w:b/>
          <w:bCs/>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八、评标注意事项</w:t>
      </w:r>
    </w:p>
    <w:p>
      <w:pPr>
        <w:snapToGrid w:val="0"/>
        <w:spacing w:line="360" w:lineRule="auto"/>
        <w:ind w:firstLine="420" w:firstLineChars="200"/>
        <w:rPr>
          <w:rFonts w:ascii="宋体" w:hAnsi="宋体" w:cs="宋体"/>
          <w:bCs/>
          <w:szCs w:val="21"/>
        </w:rPr>
      </w:pPr>
      <w:r>
        <w:rPr>
          <w:rFonts w:hint="eastAsia" w:ascii="宋体" w:hAnsi="宋体" w:cs="宋体"/>
          <w:bCs/>
          <w:szCs w:val="21"/>
        </w:rPr>
        <w:t>评标委员会应按下列原则进行评分汇总统计：</w:t>
      </w:r>
    </w:p>
    <w:p>
      <w:pPr>
        <w:snapToGrid w:val="0"/>
        <w:spacing w:line="360" w:lineRule="auto"/>
        <w:ind w:firstLine="420" w:firstLineChars="200"/>
        <w:rPr>
          <w:rFonts w:ascii="宋体" w:hAnsi="宋体" w:cs="宋体"/>
          <w:bCs/>
          <w:szCs w:val="21"/>
        </w:rPr>
      </w:pPr>
      <w:r>
        <w:rPr>
          <w:rFonts w:hint="eastAsia" w:ascii="宋体" w:hAnsi="宋体" w:cs="宋体"/>
          <w:bCs/>
          <w:szCs w:val="21"/>
        </w:rPr>
        <w:t>（1）分数计算过程中，保留两位小数，小数点后第三位四舍五入。</w:t>
      </w:r>
    </w:p>
    <w:p>
      <w:pPr>
        <w:snapToGrid w:val="0"/>
        <w:spacing w:line="360" w:lineRule="auto"/>
        <w:ind w:firstLine="420" w:firstLineChars="200"/>
        <w:rPr>
          <w:rFonts w:ascii="宋体" w:hAnsi="宋体" w:cs="宋体"/>
          <w:bCs/>
          <w:szCs w:val="21"/>
        </w:rPr>
      </w:pPr>
      <w:r>
        <w:rPr>
          <w:rFonts w:hint="eastAsia" w:ascii="宋体" w:hAnsi="宋体" w:cs="宋体"/>
          <w:bCs/>
          <w:szCs w:val="21"/>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 九、确定中标候选人 </w:t>
      </w:r>
    </w:p>
    <w:p>
      <w:pPr>
        <w:snapToGrid w:val="0"/>
        <w:spacing w:line="360" w:lineRule="auto"/>
        <w:ind w:firstLine="420" w:firstLineChars="200"/>
        <w:rPr>
          <w:rFonts w:ascii="宋体" w:hAnsi="宋体" w:cs="宋体"/>
          <w:bCs/>
          <w:szCs w:val="21"/>
        </w:rPr>
      </w:pPr>
      <w:r>
        <w:rPr>
          <w:rFonts w:hint="eastAsia" w:ascii="宋体" w:hAnsi="宋体" w:cs="宋体"/>
          <w:bCs/>
          <w:szCs w:val="21"/>
        </w:rPr>
        <w:t>评标委员会应根据各投标人的最终得分，按照从高到低的顺序进行排序。当投标人最终得分相同时，技术标书得分高者居前；如果技术标得分相等时，由招标人确定投标人的排序，向招标人推荐1-3名中标候选人。</w:t>
      </w:r>
    </w:p>
    <w:p>
      <w:pPr>
        <w:snapToGrid w:val="0"/>
        <w:spacing w:line="360" w:lineRule="auto"/>
        <w:ind w:firstLine="420" w:firstLineChars="200"/>
        <w:rPr>
          <w:rFonts w:ascii="宋体" w:hAnsi="宋体" w:cs="宋体"/>
          <w:b/>
          <w:bCs/>
          <w:szCs w:val="21"/>
        </w:rPr>
      </w:pPr>
      <w:r>
        <w:rPr>
          <w:rFonts w:hint="eastAsia" w:ascii="宋体" w:hAnsi="宋体" w:cs="宋体"/>
          <w:bCs/>
          <w:szCs w:val="21"/>
        </w:rPr>
        <w:t xml:space="preserve"> </w:t>
      </w:r>
      <w:r>
        <w:rPr>
          <w:rFonts w:hint="eastAsia" w:ascii="宋体" w:hAnsi="宋体" w:cs="宋体"/>
          <w:b/>
          <w:bCs/>
          <w:szCs w:val="21"/>
        </w:rPr>
        <w:t xml:space="preserve"> 十、定标</w:t>
      </w:r>
    </w:p>
    <w:p>
      <w:pPr>
        <w:snapToGrid w:val="0"/>
        <w:spacing w:line="360" w:lineRule="auto"/>
        <w:ind w:firstLine="420" w:firstLineChars="200"/>
        <w:rPr>
          <w:rFonts w:ascii="宋体" w:hAnsi="宋体" w:cs="宋体"/>
          <w:bCs/>
          <w:szCs w:val="21"/>
        </w:rPr>
      </w:pPr>
      <w:r>
        <w:rPr>
          <w:rFonts w:hint="eastAsia" w:ascii="宋体" w:hAnsi="宋体" w:cs="宋体"/>
          <w:bCs/>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十一、评标报告</w:t>
      </w:r>
    </w:p>
    <w:p>
      <w:pPr>
        <w:snapToGrid w:val="0"/>
        <w:spacing w:line="360" w:lineRule="auto"/>
        <w:ind w:firstLine="420" w:firstLineChars="200"/>
        <w:rPr>
          <w:rFonts w:ascii="宋体" w:hAnsi="宋体" w:cs="宋体"/>
          <w:bCs/>
          <w:szCs w:val="21"/>
        </w:rPr>
      </w:pPr>
      <w:r>
        <w:rPr>
          <w:rFonts w:hint="eastAsia" w:ascii="宋体" w:hAnsi="宋体" w:cs="宋体"/>
          <w:bCs/>
          <w:szCs w:val="21"/>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十二、公示</w:t>
      </w:r>
    </w:p>
    <w:p>
      <w:pPr>
        <w:snapToGrid w:val="0"/>
        <w:spacing w:line="360" w:lineRule="auto"/>
        <w:ind w:firstLine="420" w:firstLineChars="200"/>
        <w:rPr>
          <w:rFonts w:ascii="宋体" w:hAnsi="宋体" w:cs="宋体"/>
          <w:bCs/>
          <w:szCs w:val="21"/>
        </w:rPr>
      </w:pPr>
      <w:r>
        <w:rPr>
          <w:rFonts w:hint="eastAsia" w:ascii="宋体" w:hAnsi="宋体" w:cs="宋体"/>
          <w:bCs/>
          <w:szCs w:val="21"/>
        </w:rPr>
        <w:t>中标人确定后，招标人应当在《河南省电子招标投标公共服务平台》和《全国公共资源交易平台</w:t>
      </w:r>
      <w:r>
        <w:rPr>
          <w:rFonts w:ascii="宋体" w:hAnsi="宋体" w:cs="宋体"/>
          <w:bCs/>
          <w:szCs w:val="21"/>
        </w:rPr>
        <w:t>(</w:t>
      </w:r>
      <w:r>
        <w:rPr>
          <w:rFonts w:hint="eastAsia" w:ascii="宋体" w:hAnsi="宋体" w:cs="宋体"/>
          <w:bCs/>
          <w:szCs w:val="21"/>
        </w:rPr>
        <w:t>河南省</w:t>
      </w:r>
      <w:r>
        <w:rPr>
          <w:rFonts w:hint="eastAsia" w:ascii="MS Mincho" w:hAnsi="MS Mincho" w:eastAsia="MS Mincho" w:cs="MS Mincho"/>
          <w:bCs/>
          <w:szCs w:val="21"/>
        </w:rPr>
        <w:t>▪</w:t>
      </w:r>
      <w:r>
        <w:rPr>
          <w:rFonts w:hint="eastAsia" w:ascii="宋体" w:hAnsi="宋体" w:cs="宋体"/>
          <w:bCs/>
          <w:szCs w:val="21"/>
        </w:rPr>
        <w:t>许昌市</w:t>
      </w:r>
      <w:r>
        <w:rPr>
          <w:rFonts w:ascii="宋体" w:hAnsi="宋体" w:cs="宋体"/>
          <w:bCs/>
          <w:szCs w:val="21"/>
        </w:rPr>
        <w:t>)</w:t>
      </w:r>
      <w:r>
        <w:rPr>
          <w:rFonts w:hint="eastAsia" w:ascii="宋体" w:hAnsi="宋体" w:cs="宋体"/>
          <w:bCs/>
          <w:szCs w:val="21"/>
        </w:rPr>
        <w:t>》上进行公示，公示时间不少于</w:t>
      </w:r>
      <w:r>
        <w:rPr>
          <w:rFonts w:ascii="宋体" w:hAnsi="宋体" w:cs="宋体"/>
          <w:bCs/>
          <w:szCs w:val="21"/>
        </w:rPr>
        <w:t>3</w:t>
      </w:r>
      <w:r>
        <w:rPr>
          <w:rFonts w:hint="eastAsia" w:ascii="宋体" w:hAnsi="宋体" w:cs="宋体"/>
          <w:bCs/>
          <w:szCs w:val="21"/>
        </w:rPr>
        <w:t>日。公示期间如有异议，可向招投标管理部门进行投诉。公示期满后，招标人应当将招标投标情况书面报告提交招标投标管理部门备案，向中标人发出中标通知书，并向所有合格投标人告知中标结果。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十三、 特殊情况的处置程序</w:t>
      </w:r>
    </w:p>
    <w:p>
      <w:pPr>
        <w:snapToGrid w:val="0"/>
        <w:spacing w:line="360" w:lineRule="auto"/>
        <w:ind w:firstLine="420" w:firstLineChars="200"/>
        <w:rPr>
          <w:rFonts w:ascii="宋体" w:hAnsi="宋体" w:cs="宋体"/>
          <w:bCs/>
          <w:szCs w:val="21"/>
        </w:rPr>
      </w:pPr>
      <w:r>
        <w:rPr>
          <w:rFonts w:hint="eastAsia" w:ascii="宋体" w:hAnsi="宋体" w:cs="宋体"/>
          <w:bCs/>
          <w:szCs w:val="21"/>
        </w:rPr>
        <w:t>13.1关于评标活动暂停</w:t>
      </w:r>
    </w:p>
    <w:p>
      <w:pPr>
        <w:snapToGrid w:val="0"/>
        <w:spacing w:line="360" w:lineRule="auto"/>
        <w:ind w:firstLine="420" w:firstLineChars="200"/>
        <w:rPr>
          <w:rFonts w:ascii="宋体" w:hAnsi="宋体" w:cs="宋体"/>
          <w:bCs/>
          <w:szCs w:val="21"/>
        </w:rPr>
      </w:pPr>
      <w:r>
        <w:rPr>
          <w:rFonts w:hint="eastAsia" w:ascii="宋体" w:hAnsi="宋体" w:cs="宋体"/>
          <w:bCs/>
          <w:szCs w:val="21"/>
        </w:rPr>
        <w:t>13.1.1评标委员会应当执行连续评标的原则，按评标办法中规定的程序、内容、方法、标准完成全部评标工作。只有发生不可抗力导致评标工作无法继续时，评标活动方可暂停。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ascii="宋体" w:hAnsi="宋体" w:cs="宋体"/>
          <w:bCs/>
          <w:szCs w:val="21"/>
        </w:rPr>
      </w:pPr>
      <w:r>
        <w:rPr>
          <w:rFonts w:hint="eastAsia" w:ascii="宋体" w:hAnsi="宋体" w:cs="宋体"/>
          <w:bCs/>
          <w:szCs w:val="21"/>
        </w:rPr>
        <w:t>13.1.2发生评标暂停情况时，评标委员会应当封存全部投标文件和评标记录，待不可抗力的影响结束且具备继续评标的条件时，由原评标委员会继续评标。</w:t>
      </w:r>
    </w:p>
    <w:p>
      <w:pPr>
        <w:snapToGrid w:val="0"/>
        <w:spacing w:line="360" w:lineRule="auto"/>
        <w:ind w:firstLine="420" w:firstLineChars="200"/>
        <w:rPr>
          <w:rFonts w:ascii="宋体" w:hAnsi="宋体" w:cs="宋体"/>
          <w:bCs/>
          <w:szCs w:val="21"/>
        </w:rPr>
      </w:pPr>
      <w:r>
        <w:rPr>
          <w:rFonts w:hint="eastAsia" w:ascii="宋体" w:hAnsi="宋体" w:cs="宋体"/>
          <w:bCs/>
          <w:szCs w:val="21"/>
        </w:rPr>
        <w:t>13.2关于评标中途更换评标委员会成员</w:t>
      </w:r>
    </w:p>
    <w:p>
      <w:pPr>
        <w:snapToGrid w:val="0"/>
        <w:spacing w:line="360" w:lineRule="auto"/>
        <w:ind w:firstLine="420" w:firstLineChars="200"/>
        <w:rPr>
          <w:rFonts w:ascii="宋体" w:hAnsi="宋体" w:cs="宋体"/>
          <w:bCs/>
          <w:szCs w:val="21"/>
        </w:rPr>
      </w:pPr>
      <w:r>
        <w:rPr>
          <w:rFonts w:hint="eastAsia" w:ascii="宋体" w:hAnsi="宋体" w:cs="宋体"/>
          <w:bCs/>
          <w:szCs w:val="21"/>
        </w:rPr>
        <w:t>13.2.1  除非发生下列情况之一，评标委员会成员不得在评标中途更换：</w:t>
      </w:r>
    </w:p>
    <w:p>
      <w:pPr>
        <w:snapToGrid w:val="0"/>
        <w:spacing w:line="360" w:lineRule="auto"/>
        <w:ind w:firstLine="420" w:firstLineChars="200"/>
        <w:rPr>
          <w:rFonts w:ascii="宋体" w:hAnsi="宋体" w:cs="宋体"/>
          <w:bCs/>
          <w:szCs w:val="21"/>
        </w:rPr>
      </w:pPr>
      <w:r>
        <w:rPr>
          <w:rFonts w:hint="eastAsia" w:ascii="宋体" w:hAnsi="宋体" w:cs="宋体"/>
          <w:bCs/>
          <w:szCs w:val="21"/>
        </w:rPr>
        <w:t>（1）因不可抗拒的客观原因，不能到场或需在评标中途退出评标活动。</w:t>
      </w:r>
    </w:p>
    <w:p>
      <w:pPr>
        <w:snapToGrid w:val="0"/>
        <w:spacing w:line="360" w:lineRule="auto"/>
        <w:ind w:firstLine="420" w:firstLineChars="200"/>
        <w:rPr>
          <w:rFonts w:ascii="宋体" w:hAnsi="宋体" w:cs="宋体"/>
          <w:bCs/>
          <w:szCs w:val="21"/>
        </w:rPr>
      </w:pPr>
      <w:r>
        <w:rPr>
          <w:rFonts w:hint="eastAsia" w:ascii="宋体" w:hAnsi="宋体" w:cs="宋体"/>
          <w:bCs/>
          <w:szCs w:val="21"/>
        </w:rPr>
        <w:t>（2）根据法律法规规定，某个或某几个评标委员会成员需要回避。</w:t>
      </w:r>
    </w:p>
    <w:p>
      <w:pPr>
        <w:snapToGrid w:val="0"/>
        <w:spacing w:line="360" w:lineRule="auto"/>
        <w:ind w:firstLine="420" w:firstLineChars="200"/>
        <w:rPr>
          <w:rFonts w:ascii="宋体" w:hAnsi="宋体" w:cs="宋体"/>
          <w:bCs/>
          <w:szCs w:val="21"/>
        </w:rPr>
      </w:pPr>
      <w:r>
        <w:rPr>
          <w:rFonts w:hint="eastAsia" w:ascii="宋体" w:hAnsi="宋体" w:cs="宋体"/>
          <w:bCs/>
          <w:szCs w:val="21"/>
        </w:rPr>
        <w:t>13.2.2  退出评标的评标委员会成员，其已完成的评标行为无效。由招标人根据本招标文件规定的评标委员会成员产生方式另行确定替代者进行评标。</w:t>
      </w:r>
    </w:p>
    <w:p>
      <w:pPr>
        <w:snapToGrid w:val="0"/>
        <w:spacing w:line="360" w:lineRule="auto"/>
        <w:ind w:firstLine="420" w:firstLineChars="200"/>
        <w:rPr>
          <w:rFonts w:ascii="宋体" w:hAnsi="宋体" w:cs="宋体"/>
          <w:bCs/>
          <w:szCs w:val="21"/>
        </w:rPr>
      </w:pPr>
      <w:r>
        <w:rPr>
          <w:rFonts w:hint="eastAsia" w:ascii="宋体" w:hAnsi="宋体" w:cs="宋体"/>
          <w:bCs/>
          <w:szCs w:val="21"/>
        </w:rPr>
        <w:t>13.3记名投票</w:t>
      </w:r>
    </w:p>
    <w:p>
      <w:pPr>
        <w:snapToGrid w:val="0"/>
        <w:spacing w:line="360" w:lineRule="auto"/>
        <w:ind w:firstLine="420" w:firstLineChars="200"/>
        <w:rPr>
          <w:rFonts w:ascii="宋体" w:hAnsi="宋体" w:cs="宋体"/>
          <w:bCs/>
          <w:szCs w:val="21"/>
        </w:rPr>
      </w:pPr>
      <w:r>
        <w:rPr>
          <w:rFonts w:hint="eastAsia" w:ascii="宋体" w:hAnsi="宋体" w:cs="宋体"/>
          <w:bCs/>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0" w:firstLineChars="200"/>
        <w:rPr>
          <w:rFonts w:ascii="宋体" w:hAnsi="宋体" w:cs="宋体"/>
          <w:bCs/>
          <w:szCs w:val="21"/>
        </w:rPr>
      </w:pPr>
      <w:r>
        <w:rPr>
          <w:rFonts w:hint="eastAsia" w:ascii="宋体" w:hAnsi="宋体" w:cs="宋体"/>
          <w:bCs/>
          <w:szCs w:val="21"/>
        </w:rPr>
        <w:t>13.4评标委员会成员对评标结论持有异议的</w:t>
      </w:r>
    </w:p>
    <w:p>
      <w:pPr>
        <w:snapToGrid w:val="0"/>
        <w:spacing w:line="360" w:lineRule="auto"/>
        <w:ind w:firstLine="420" w:firstLineChars="200"/>
        <w:rPr>
          <w:rFonts w:ascii="宋体" w:hAnsi="宋体" w:cs="宋体"/>
          <w:bCs/>
          <w:szCs w:val="21"/>
        </w:rPr>
      </w:pPr>
      <w:r>
        <w:rPr>
          <w:rFonts w:hint="eastAsia" w:ascii="宋体" w:hAnsi="宋体" w:cs="宋体"/>
          <w:bCs/>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十四.补充条款</w:t>
      </w:r>
    </w:p>
    <w:p>
      <w:pPr>
        <w:snapToGrid w:val="0"/>
        <w:spacing w:line="360" w:lineRule="auto"/>
        <w:ind w:firstLine="420" w:firstLineChars="200"/>
        <w:rPr>
          <w:rFonts w:ascii="宋体" w:hAnsi="宋体" w:cs="宋体"/>
          <w:bCs/>
          <w:szCs w:val="21"/>
        </w:rPr>
      </w:pPr>
      <w:r>
        <w:rPr>
          <w:rFonts w:hint="eastAsia" w:ascii="宋体" w:hAnsi="宋体" w:cs="宋体"/>
          <w:bCs/>
          <w:szCs w:val="21"/>
        </w:rPr>
        <w:t>招标人应当自确定中标人之日起15日内，向有关行政监督部门提交招标投标情况的书面报告。书面报告应当包括以下内容：</w:t>
      </w:r>
    </w:p>
    <w:p>
      <w:pPr>
        <w:snapToGrid w:val="0"/>
        <w:spacing w:line="360" w:lineRule="auto"/>
        <w:ind w:firstLine="420" w:firstLineChars="200"/>
        <w:rPr>
          <w:rFonts w:ascii="宋体" w:hAnsi="宋体" w:cs="宋体"/>
          <w:bCs/>
          <w:szCs w:val="21"/>
        </w:rPr>
      </w:pPr>
      <w:r>
        <w:rPr>
          <w:rFonts w:hint="eastAsia" w:ascii="宋体" w:hAnsi="宋体" w:cs="宋体"/>
          <w:bCs/>
          <w:szCs w:val="21"/>
        </w:rPr>
        <w:t>（一）项目概况(包括招标项目基本情况和数据)；</w:t>
      </w:r>
    </w:p>
    <w:p>
      <w:pPr>
        <w:snapToGrid w:val="0"/>
        <w:spacing w:line="360" w:lineRule="auto"/>
        <w:ind w:firstLine="420" w:firstLineChars="200"/>
        <w:rPr>
          <w:rFonts w:ascii="宋体" w:hAnsi="宋体" w:cs="宋体"/>
          <w:bCs/>
          <w:szCs w:val="21"/>
        </w:rPr>
      </w:pPr>
      <w:r>
        <w:rPr>
          <w:rFonts w:hint="eastAsia" w:ascii="宋体" w:hAnsi="宋体" w:cs="宋体"/>
          <w:bCs/>
          <w:szCs w:val="21"/>
        </w:rPr>
        <w:t>（二）招标过程（开标记录）；</w:t>
      </w:r>
    </w:p>
    <w:p>
      <w:pPr>
        <w:snapToGrid w:val="0"/>
        <w:spacing w:line="360" w:lineRule="auto"/>
        <w:ind w:firstLine="420" w:firstLineChars="200"/>
        <w:rPr>
          <w:rFonts w:ascii="宋体" w:hAnsi="宋体" w:cs="宋体"/>
          <w:bCs/>
          <w:szCs w:val="21"/>
        </w:rPr>
      </w:pPr>
      <w:r>
        <w:rPr>
          <w:rFonts w:hint="eastAsia" w:ascii="宋体" w:hAnsi="宋体" w:cs="宋体"/>
          <w:bCs/>
          <w:szCs w:val="21"/>
        </w:rPr>
        <w:t>（三）评标工作(包括评标委员会组成；符合要求的投标人；无效标或废标情况说明；评标标准和方法；经评审的价格或者评分比较等情况说明)；</w:t>
      </w:r>
    </w:p>
    <w:p>
      <w:pPr>
        <w:snapToGrid w:val="0"/>
        <w:spacing w:line="360" w:lineRule="auto"/>
        <w:ind w:firstLine="420" w:firstLineChars="200"/>
        <w:rPr>
          <w:rFonts w:ascii="宋体" w:hAnsi="宋体" w:cs="宋体"/>
          <w:bCs/>
          <w:szCs w:val="21"/>
        </w:rPr>
      </w:pPr>
      <w:r>
        <w:rPr>
          <w:rFonts w:hint="eastAsia" w:ascii="宋体" w:hAnsi="宋体" w:cs="宋体"/>
          <w:bCs/>
          <w:szCs w:val="21"/>
        </w:rPr>
        <w:t>（四）评标结果（包括经评审的投标人排序；推荐的中标候选人名单与签订合同前要处理的事宜等说明）；</w:t>
      </w:r>
    </w:p>
    <w:p>
      <w:pPr>
        <w:snapToGrid w:val="0"/>
        <w:spacing w:line="360" w:lineRule="auto"/>
        <w:ind w:firstLine="420" w:firstLineChars="200"/>
        <w:rPr>
          <w:rFonts w:ascii="宋体" w:hAnsi="宋体" w:cs="宋体"/>
          <w:bCs/>
          <w:szCs w:val="21"/>
        </w:rPr>
      </w:pPr>
      <w:r>
        <w:rPr>
          <w:rFonts w:hint="eastAsia" w:ascii="宋体" w:hAnsi="宋体" w:cs="宋体"/>
          <w:bCs/>
          <w:szCs w:val="21"/>
        </w:rPr>
        <w:t>（五）其它情况说明。</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评标报告附表应包括以下内容: </w:t>
      </w:r>
    </w:p>
    <w:p>
      <w:pPr>
        <w:snapToGrid w:val="0"/>
        <w:spacing w:line="360" w:lineRule="auto"/>
        <w:ind w:firstLine="420" w:firstLineChars="200"/>
        <w:rPr>
          <w:rFonts w:ascii="宋体" w:hAnsi="宋体" w:cs="宋体"/>
          <w:bCs/>
          <w:szCs w:val="21"/>
        </w:rPr>
      </w:pPr>
      <w:r>
        <w:rPr>
          <w:rFonts w:hint="eastAsia" w:ascii="宋体" w:hAnsi="宋体" w:cs="宋体"/>
          <w:bCs/>
          <w:szCs w:val="21"/>
        </w:rPr>
        <w:t>表一   评标委员会成员、招标人及招标代理机构工作人员、监督人员、见证人员名单表;</w:t>
      </w:r>
    </w:p>
    <w:p>
      <w:pPr>
        <w:snapToGrid w:val="0"/>
        <w:spacing w:line="360" w:lineRule="auto"/>
        <w:ind w:firstLine="420" w:firstLineChars="200"/>
        <w:rPr>
          <w:rFonts w:ascii="宋体" w:hAnsi="宋体" w:cs="宋体"/>
          <w:bCs/>
          <w:szCs w:val="21"/>
        </w:rPr>
      </w:pPr>
      <w:r>
        <w:rPr>
          <w:rFonts w:hint="eastAsia" w:ascii="宋体" w:hAnsi="宋体" w:cs="宋体"/>
          <w:bCs/>
          <w:szCs w:val="21"/>
        </w:rPr>
        <w:t>表二   投标人初步审查表;</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表三   投标人监理大纲评审表； </w:t>
      </w:r>
    </w:p>
    <w:p>
      <w:pPr>
        <w:snapToGrid w:val="0"/>
        <w:spacing w:line="360" w:lineRule="auto"/>
        <w:ind w:firstLine="420" w:firstLineChars="200"/>
        <w:rPr>
          <w:rFonts w:ascii="宋体" w:hAnsi="宋体" w:cs="宋体"/>
          <w:bCs/>
          <w:szCs w:val="21"/>
        </w:rPr>
      </w:pPr>
      <w:r>
        <w:rPr>
          <w:rFonts w:hint="eastAsia" w:ascii="宋体" w:hAnsi="宋体" w:cs="宋体"/>
          <w:bCs/>
          <w:szCs w:val="21"/>
        </w:rPr>
        <w:t>表四   投标人商务部分评审表；</w:t>
      </w:r>
    </w:p>
    <w:p>
      <w:pPr>
        <w:snapToGrid w:val="0"/>
        <w:spacing w:line="360" w:lineRule="auto"/>
        <w:ind w:firstLine="420" w:firstLineChars="200"/>
        <w:rPr>
          <w:rFonts w:ascii="宋体" w:hAnsi="宋体" w:cs="宋体"/>
          <w:bCs/>
          <w:szCs w:val="21"/>
        </w:rPr>
      </w:pPr>
      <w:r>
        <w:rPr>
          <w:rFonts w:hint="eastAsia" w:ascii="宋体" w:hAnsi="宋体" w:cs="宋体"/>
          <w:bCs/>
          <w:szCs w:val="21"/>
        </w:rPr>
        <w:t>表五   推荐中标侯选人情况表；</w:t>
      </w:r>
    </w:p>
    <w:p>
      <w:pPr>
        <w:snapToGrid w:val="0"/>
        <w:spacing w:line="360" w:lineRule="auto"/>
        <w:ind w:firstLine="420" w:firstLineChars="200"/>
        <w:rPr>
          <w:rFonts w:ascii="宋体" w:hAnsi="宋体" w:cs="宋体"/>
          <w:bCs/>
          <w:szCs w:val="21"/>
        </w:rPr>
      </w:pPr>
      <w:r>
        <w:rPr>
          <w:rFonts w:hint="eastAsia" w:ascii="宋体" w:hAnsi="宋体" w:cs="宋体"/>
          <w:bCs/>
          <w:szCs w:val="21"/>
        </w:rPr>
        <w:t>表六   评标报告。</w:t>
      </w:r>
    </w:p>
    <w:p>
      <w:pPr>
        <w:snapToGrid w:val="0"/>
        <w:spacing w:line="360" w:lineRule="auto"/>
        <w:ind w:firstLine="420" w:firstLineChars="200"/>
        <w:rPr>
          <w:rFonts w:ascii="宋体" w:hAnsi="宋体" w:cs="宋体"/>
          <w:bCs/>
          <w:szCs w:val="21"/>
        </w:rPr>
      </w:pPr>
      <w:r>
        <w:rPr>
          <w:rFonts w:hint="eastAsia" w:ascii="宋体" w:hAnsi="宋体" w:cs="宋体"/>
          <w:bCs/>
          <w:szCs w:val="21"/>
        </w:rPr>
        <w:t>表七   其它</w:t>
      </w:r>
    </w:p>
    <w:p>
      <w:pPr>
        <w:snapToGrid w:val="0"/>
        <w:spacing w:line="360" w:lineRule="auto"/>
        <w:ind w:firstLine="420" w:firstLineChars="200"/>
        <w:rPr>
          <w:rFonts w:ascii="宋体" w:hAnsi="宋体" w:cs="宋体"/>
          <w:szCs w:val="21"/>
        </w:rPr>
      </w:pPr>
      <w:r>
        <w:rPr>
          <w:rFonts w:ascii="宋体" w:hAnsi="宋体" w:cs="宋体"/>
          <w:bCs/>
          <w:szCs w:val="21"/>
        </w:rPr>
        <w:t xml:space="preserve"> ……</w:t>
      </w:r>
    </w:p>
    <w:p>
      <w:pPr>
        <w:rPr>
          <w:rFonts w:ascii="宋体" w:hAnsi="宋体" w:cs="宋体"/>
          <w:szCs w:val="21"/>
        </w:rPr>
      </w:pPr>
      <w:r>
        <w:rPr>
          <w:rFonts w:hint="eastAsia" w:ascii="宋体" w:hAnsi="宋体" w:cs="宋体"/>
          <w:b/>
          <w:bCs/>
          <w:sz w:val="24"/>
        </w:rPr>
        <w:t xml:space="preserve">    </w:t>
      </w:r>
    </w:p>
    <w:p>
      <w:pPr>
        <w:rPr>
          <w:rFonts w:ascii="宋体" w:hAnsi="宋体" w:cs="宋体"/>
          <w:szCs w:val="21"/>
        </w:rPr>
      </w:pPr>
    </w:p>
    <w:bookmarkEnd w:id="47"/>
    <w:bookmarkEnd w:id="48"/>
    <w:bookmarkEnd w:id="49"/>
    <w:p>
      <w:pPr>
        <w:autoSpaceDE w:val="0"/>
        <w:autoSpaceDN w:val="0"/>
        <w:adjustRightInd w:val="0"/>
        <w:jc w:val="center"/>
        <w:outlineLvl w:val="0"/>
        <w:rPr>
          <w:rFonts w:hAnsi="宋体" w:cs="黑体"/>
          <w:b/>
          <w:color w:val="000000" w:themeColor="text1"/>
          <w:sz w:val="36"/>
          <w:szCs w:val="36"/>
        </w:rPr>
      </w:pPr>
      <w:bookmarkStart w:id="50" w:name="_Toc430591975"/>
      <w:r>
        <w:rPr>
          <w:rFonts w:hint="eastAsia" w:ascii="宋体" w:hAnsi="宋体" w:cs="宋体"/>
        </w:rPr>
        <w:br w:type="page"/>
      </w:r>
      <w:bookmarkEnd w:id="50"/>
      <w:bookmarkStart w:id="51" w:name="_Toc152045769"/>
      <w:bookmarkStart w:id="52" w:name="_Toc152042551"/>
      <w:bookmarkStart w:id="53" w:name="_Toc280287867"/>
      <w:r>
        <w:rPr>
          <w:rFonts w:hint="eastAsia" w:hAnsi="宋体" w:cs="黑体"/>
          <w:b/>
          <w:color w:val="000000" w:themeColor="text1"/>
          <w:sz w:val="36"/>
          <w:szCs w:val="36"/>
        </w:rPr>
        <w:t>第四章合同条款及格式</w:t>
      </w:r>
    </w:p>
    <w:p>
      <w:pPr>
        <w:spacing w:line="360" w:lineRule="auto"/>
        <w:rPr>
          <w:rFonts w:hAnsi="宋体"/>
          <w:b/>
          <w:color w:val="000000" w:themeColor="text1"/>
          <w:sz w:val="32"/>
          <w:szCs w:val="32"/>
        </w:rPr>
      </w:pPr>
    </w:p>
    <w:p>
      <w:pPr>
        <w:spacing w:line="360" w:lineRule="auto"/>
        <w:rPr>
          <w:rFonts w:hAnsi="宋体"/>
          <w:b/>
          <w:color w:val="000000" w:themeColor="text1"/>
          <w:sz w:val="32"/>
          <w:szCs w:val="32"/>
        </w:rPr>
      </w:pPr>
    </w:p>
    <w:p>
      <w:pPr>
        <w:spacing w:line="360" w:lineRule="auto"/>
        <w:rPr>
          <w:rFonts w:hAnsi="宋体"/>
          <w:b/>
          <w:color w:val="000000" w:themeColor="text1"/>
          <w:sz w:val="32"/>
          <w:szCs w:val="32"/>
        </w:rPr>
      </w:pPr>
    </w:p>
    <w:p>
      <w:pPr>
        <w:spacing w:line="360" w:lineRule="auto"/>
        <w:rPr>
          <w:rFonts w:hAnsi="宋体"/>
          <w:b/>
          <w:bCs/>
          <w:color w:val="000000" w:themeColor="text1"/>
          <w:sz w:val="30"/>
          <w:szCs w:val="30"/>
        </w:rPr>
      </w:pPr>
      <w:r>
        <w:rPr>
          <w:rFonts w:hint="eastAsia" w:hAnsi="宋体"/>
          <w:b/>
          <w:color w:val="000000" w:themeColor="text1"/>
          <w:sz w:val="32"/>
          <w:szCs w:val="32"/>
        </w:rPr>
        <w:t>（ＧＦ－2012－0202）</w:t>
      </w:r>
    </w:p>
    <w:p>
      <w:pPr>
        <w:spacing w:line="360" w:lineRule="auto"/>
        <w:jc w:val="center"/>
        <w:rPr>
          <w:rFonts w:hAnsi="宋体"/>
          <w:b/>
          <w:bCs/>
          <w:color w:val="000000" w:themeColor="text1"/>
          <w:sz w:val="52"/>
          <w:szCs w:val="52"/>
        </w:rPr>
      </w:pPr>
    </w:p>
    <w:p>
      <w:pPr>
        <w:spacing w:line="360" w:lineRule="auto"/>
        <w:jc w:val="center"/>
        <w:rPr>
          <w:rFonts w:hAnsi="宋体"/>
          <w:b/>
          <w:bCs/>
          <w:color w:val="000000" w:themeColor="text1"/>
          <w:sz w:val="48"/>
          <w:szCs w:val="48"/>
        </w:rPr>
      </w:pPr>
    </w:p>
    <w:p>
      <w:pPr>
        <w:spacing w:line="360" w:lineRule="auto"/>
        <w:jc w:val="center"/>
        <w:rPr>
          <w:rFonts w:hAnsi="宋体"/>
          <w:b/>
          <w:bCs/>
          <w:color w:val="000000" w:themeColor="text1"/>
          <w:spacing w:val="48"/>
          <w:sz w:val="52"/>
          <w:szCs w:val="52"/>
        </w:rPr>
      </w:pPr>
      <w:r>
        <w:rPr>
          <w:rFonts w:hint="eastAsia" w:hAnsi="宋体"/>
          <w:b/>
          <w:bCs/>
          <w:color w:val="000000" w:themeColor="text1"/>
          <w:spacing w:val="48"/>
          <w:sz w:val="52"/>
          <w:szCs w:val="52"/>
        </w:rPr>
        <w:t>建设工程监理合同</w:t>
      </w:r>
    </w:p>
    <w:p>
      <w:pPr>
        <w:spacing w:line="360" w:lineRule="auto"/>
        <w:jc w:val="center"/>
        <w:rPr>
          <w:rFonts w:hAnsi="宋体"/>
          <w:b/>
          <w:bCs/>
          <w:color w:val="000000" w:themeColor="text1"/>
          <w:sz w:val="48"/>
          <w:szCs w:val="48"/>
        </w:rPr>
      </w:pPr>
      <w:r>
        <w:rPr>
          <w:rFonts w:hint="eastAsia" w:hAnsi="宋体"/>
          <w:b/>
          <w:bCs/>
          <w:color w:val="000000" w:themeColor="text1"/>
          <w:sz w:val="48"/>
          <w:szCs w:val="48"/>
        </w:rPr>
        <w:t>（示范文本）</w:t>
      </w:r>
    </w:p>
    <w:p>
      <w:pPr>
        <w:spacing w:line="360" w:lineRule="auto"/>
        <w:jc w:val="center"/>
        <w:rPr>
          <w:rFonts w:hAnsi="宋体"/>
          <w:b/>
          <w:bCs/>
          <w:color w:val="000000" w:themeColor="text1"/>
          <w:sz w:val="24"/>
        </w:rPr>
      </w:pPr>
    </w:p>
    <w:p>
      <w:pPr>
        <w:spacing w:line="360" w:lineRule="auto"/>
        <w:jc w:val="center"/>
        <w:rPr>
          <w:rFonts w:hAnsi="宋体"/>
          <w:b/>
          <w:bCs/>
          <w:color w:val="000000" w:themeColor="text1"/>
          <w:sz w:val="24"/>
        </w:rPr>
      </w:pPr>
    </w:p>
    <w:p>
      <w:pPr>
        <w:spacing w:line="360" w:lineRule="auto"/>
        <w:rPr>
          <w:rFonts w:hAnsi="宋体"/>
          <w:b/>
          <w:bCs/>
          <w:color w:val="000000" w:themeColor="text1"/>
          <w:sz w:val="24"/>
        </w:rPr>
      </w:pPr>
    </w:p>
    <w:p>
      <w:pPr>
        <w:spacing w:line="360" w:lineRule="auto"/>
        <w:rPr>
          <w:rFonts w:hAnsi="宋体"/>
          <w:b/>
          <w:bCs/>
          <w:color w:val="000000" w:themeColor="text1"/>
          <w:sz w:val="24"/>
        </w:rPr>
      </w:pPr>
    </w:p>
    <w:p>
      <w:pPr>
        <w:spacing w:line="360" w:lineRule="auto"/>
        <w:rPr>
          <w:rFonts w:hAnsi="宋体"/>
          <w:b/>
          <w:bCs/>
          <w:color w:val="000000" w:themeColor="text1"/>
          <w:sz w:val="24"/>
        </w:rPr>
      </w:pPr>
    </w:p>
    <w:p>
      <w:pPr>
        <w:spacing w:line="360" w:lineRule="auto"/>
        <w:rPr>
          <w:rFonts w:hAnsi="宋体"/>
          <w:b/>
          <w:bCs/>
          <w:color w:val="000000" w:themeColor="text1"/>
          <w:sz w:val="24"/>
        </w:rPr>
      </w:pPr>
    </w:p>
    <w:p>
      <w:pPr>
        <w:spacing w:line="360" w:lineRule="auto"/>
        <w:jc w:val="center"/>
        <w:rPr>
          <w:rFonts w:hAnsi="宋体"/>
          <w:b/>
          <w:color w:val="000000" w:themeColor="text1"/>
        </w:rPr>
      </w:pPr>
      <w:r>
        <w:rPr>
          <w:rFonts w:hint="eastAsia" w:hAnsi="宋体"/>
          <w:b/>
          <w:bCs/>
          <w:color w:val="000000" w:themeColor="text1"/>
          <w:sz w:val="32"/>
          <w:szCs w:val="32"/>
        </w:rPr>
        <w:t xml:space="preserve">  住房和城乡建设部</w:t>
      </w:r>
    </w:p>
    <w:p>
      <w:pPr>
        <w:spacing w:line="360" w:lineRule="auto"/>
        <w:jc w:val="center"/>
        <w:rPr>
          <w:rFonts w:hAnsi="宋体"/>
          <w:b/>
          <w:color w:val="000000" w:themeColor="text1"/>
          <w:sz w:val="32"/>
          <w:szCs w:val="32"/>
        </w:rPr>
      </w:pPr>
      <w:r>
        <w:rPr>
          <w:rFonts w:hint="eastAsia" w:hAnsi="宋体"/>
          <w:b/>
          <w:color w:val="000000" w:themeColor="text1"/>
          <w:sz w:val="32"/>
          <w:szCs w:val="32"/>
        </w:rPr>
        <w:t>制定</w:t>
      </w:r>
    </w:p>
    <w:p>
      <w:pPr>
        <w:spacing w:line="360" w:lineRule="auto"/>
        <w:jc w:val="center"/>
        <w:rPr>
          <w:rFonts w:hAnsi="宋体"/>
          <w:b/>
          <w:bCs/>
          <w:color w:val="000000" w:themeColor="text1"/>
          <w:sz w:val="24"/>
        </w:rPr>
      </w:pPr>
      <w:r>
        <w:rPr>
          <w:rFonts w:hint="eastAsia" w:hAnsi="宋体"/>
          <w:b/>
          <w:bCs/>
          <w:color w:val="000000" w:themeColor="text1"/>
          <w:sz w:val="32"/>
          <w:szCs w:val="32"/>
        </w:rPr>
        <w:t xml:space="preserve">   国家工商行政管理总局</w:t>
      </w:r>
    </w:p>
    <w:p>
      <w:pPr>
        <w:spacing w:line="360" w:lineRule="auto"/>
        <w:jc w:val="center"/>
        <w:rPr>
          <w:rFonts w:hAnsi="宋体"/>
          <w:b/>
          <w:bCs/>
          <w:color w:val="000000" w:themeColor="text1"/>
          <w:sz w:val="24"/>
        </w:rPr>
      </w:pPr>
    </w:p>
    <w:p>
      <w:pPr>
        <w:widowControl/>
        <w:jc w:val="left"/>
        <w:rPr>
          <w:rFonts w:hAnsi="宋体"/>
          <w:b/>
          <w:bCs/>
          <w:color w:val="000000" w:themeColor="text1"/>
          <w:sz w:val="24"/>
        </w:rPr>
      </w:pPr>
      <w:r>
        <w:rPr>
          <w:rFonts w:hAnsi="宋体"/>
          <w:b/>
          <w:bCs/>
          <w:color w:val="000000" w:themeColor="text1"/>
          <w:sz w:val="24"/>
        </w:rPr>
        <w:br w:type="page"/>
      </w:r>
    </w:p>
    <w:p>
      <w:pPr>
        <w:spacing w:line="360" w:lineRule="auto"/>
        <w:rPr>
          <w:rFonts w:asciiTheme="minorEastAsia" w:hAnsiTheme="minorEastAsia" w:eastAsiaTheme="minorEastAsia"/>
          <w:b/>
          <w:bCs/>
          <w:color w:val="000000" w:themeColor="text1"/>
          <w:szCs w:val="21"/>
        </w:rPr>
      </w:pPr>
    </w:p>
    <w:p>
      <w:pPr>
        <w:spacing w:line="360" w:lineRule="auto"/>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第一部分  协议书</w:t>
      </w:r>
    </w:p>
    <w:p>
      <w:pPr>
        <w:adjustRightInd w:val="0"/>
        <w:snapToGrid w:val="0"/>
        <w:spacing w:line="360" w:lineRule="auto"/>
        <w:ind w:firstLine="42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委托人（全称）：</w:t>
      </w:r>
    </w:p>
    <w:p>
      <w:pPr>
        <w:adjustRightInd w:val="0"/>
        <w:snapToGrid w:val="0"/>
        <w:spacing w:line="360" w:lineRule="auto"/>
        <w:ind w:firstLine="422" w:firstLineChars="200"/>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监理人（全称）：</w:t>
      </w:r>
    </w:p>
    <w:p>
      <w:pPr>
        <w:adjustRightInd w:val="0"/>
        <w:snapToGrid w:val="0"/>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一、工程概况</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工程名称：；</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工程地点：；</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工程规模：；</w:t>
      </w:r>
    </w:p>
    <w:p>
      <w:pPr>
        <w:adjustRightInd w:val="0"/>
        <w:snapToGrid w:val="0"/>
        <w:spacing w:line="360" w:lineRule="auto"/>
        <w:ind w:firstLine="415" w:firstLineChars="198"/>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 工程概算投资</w:t>
      </w:r>
      <w:r>
        <w:rPr>
          <w:rFonts w:hint="eastAsia" w:cs="宋体" w:asciiTheme="minorEastAsia" w:hAnsiTheme="minorEastAsia" w:eastAsiaTheme="minorEastAsia"/>
          <w:color w:val="000000" w:themeColor="text1"/>
          <w:szCs w:val="21"/>
        </w:rPr>
        <w:t>额或建筑安装工程费</w:t>
      </w:r>
      <w:r>
        <w:rPr>
          <w:rFonts w:hint="eastAsia" w:asciiTheme="minorEastAsia" w:hAnsiTheme="minorEastAsia" w:eastAsiaTheme="minorEastAsia"/>
          <w:color w:val="000000" w:themeColor="text1"/>
          <w:szCs w:val="21"/>
        </w:rPr>
        <w:t>：。</w:t>
      </w:r>
    </w:p>
    <w:p>
      <w:pPr>
        <w:spacing w:line="360" w:lineRule="auto"/>
        <w:ind w:firstLine="417" w:firstLineChars="198"/>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二、词语限定</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协议书中相关词语的含义与通用条件中的定义与解释相同。</w:t>
      </w:r>
    </w:p>
    <w:p>
      <w:pPr>
        <w:spacing w:line="360" w:lineRule="auto"/>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三、组成本合同的文件</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协议书；</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中标通知书（适用于招标工程）或委托书（适用于非招标工程）；</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投标文件（适用于招标工程）或监理与相关服务建议书（适用于非招标工程）；</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 专用条件；</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 通用条件；</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 附录，即：</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附录A  相关服务的范围和内容</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附录B  委托人派遣的人员和提供的</w:t>
      </w:r>
      <w:r>
        <w:rPr>
          <w:rFonts w:hint="eastAsia" w:asciiTheme="minorEastAsia" w:hAnsiTheme="minorEastAsia" w:eastAsiaTheme="minorEastAsia"/>
          <w:bCs/>
          <w:color w:val="000000" w:themeColor="text1"/>
          <w:szCs w:val="21"/>
        </w:rPr>
        <w:t>房屋、资料</w:t>
      </w:r>
      <w:r>
        <w:rPr>
          <w:rFonts w:hint="eastAsia" w:asciiTheme="minorEastAsia" w:hAnsiTheme="minorEastAsia" w:eastAsiaTheme="minorEastAsia"/>
          <w:color w:val="000000" w:themeColor="text1"/>
          <w:szCs w:val="21"/>
        </w:rPr>
        <w:t>、设备</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本合同签订后，双方依法签订的补充协议也是本合同文件的组成部分。</w:t>
      </w:r>
    </w:p>
    <w:p>
      <w:pPr>
        <w:spacing w:line="360" w:lineRule="auto"/>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四、总监理工程师</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总监理工程师姓名：，身份证号码：，注册号：。</w:t>
      </w:r>
    </w:p>
    <w:p>
      <w:pPr>
        <w:spacing w:line="360" w:lineRule="auto"/>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五、签约酬金</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签约酬金（大写）：（</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 xml:space="preserve">        ）。</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包括：</w:t>
      </w:r>
    </w:p>
    <w:p>
      <w:pPr>
        <w:adjustRightInd w:val="0"/>
        <w:snapToGrid w:val="0"/>
        <w:spacing w:line="360" w:lineRule="auto"/>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监理酬金：。</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相关服务酬金：。</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其中：</w:t>
      </w:r>
    </w:p>
    <w:p>
      <w:pPr>
        <w:adjustRightInd w:val="0"/>
        <w:snapToGrid w:val="0"/>
        <w:spacing w:line="400" w:lineRule="exact"/>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（1）勘察阶段服务酬金：。</w:t>
      </w:r>
    </w:p>
    <w:p>
      <w:pPr>
        <w:adjustRightInd w:val="0"/>
        <w:snapToGrid w:val="0"/>
        <w:spacing w:line="400" w:lineRule="exact"/>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（2）设计阶段服务酬金：。</w:t>
      </w:r>
    </w:p>
    <w:p>
      <w:pPr>
        <w:adjustRightInd w:val="0"/>
        <w:snapToGrid w:val="0"/>
        <w:spacing w:line="400" w:lineRule="exact"/>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（3）保修阶段服务酬金：。</w:t>
      </w:r>
    </w:p>
    <w:p>
      <w:pPr>
        <w:adjustRightInd w:val="0"/>
        <w:snapToGrid w:val="0"/>
        <w:spacing w:line="400" w:lineRule="exact"/>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（4）其他相关服务酬金：。</w:t>
      </w:r>
    </w:p>
    <w:p>
      <w:pPr>
        <w:spacing w:line="400" w:lineRule="exact"/>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六、期限</w:t>
      </w:r>
    </w:p>
    <w:p>
      <w:pPr>
        <w:adjustRightInd w:val="0"/>
        <w:snapToGrid w:val="0"/>
        <w:spacing w:line="400" w:lineRule="exact"/>
        <w:ind w:firstLine="525" w:firstLineChars="25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监理期限：</w:t>
      </w:r>
    </w:p>
    <w:p>
      <w:pPr>
        <w:adjustRightInd w:val="0"/>
        <w:snapToGrid w:val="0"/>
        <w:spacing w:line="400" w:lineRule="exact"/>
        <w:ind w:firstLine="525" w:firstLineChars="25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自年月日始，至年月日止。</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相关服务期限：</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（1）勘察阶段服务期限自年月日始，至年月日止。</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（2）设计阶段服务期限自年月日始，至年月日止。</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（3）保修阶段服务期限自年月日始，至年月日止。</w:t>
      </w:r>
    </w:p>
    <w:p>
      <w:pPr>
        <w:adjustRightInd w:val="0"/>
        <w:snapToGrid w:val="0"/>
        <w:spacing w:line="400" w:lineRule="exact"/>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（4）其他相关服务期限自年月日始，至年月日止。</w:t>
      </w:r>
    </w:p>
    <w:p>
      <w:pPr>
        <w:spacing w:line="400" w:lineRule="exact"/>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七、双方承诺</w:t>
      </w:r>
    </w:p>
    <w:p>
      <w:pPr>
        <w:spacing w:line="400" w:lineRule="exact"/>
        <w:ind w:firstLine="415"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1. 监理人向委托人承诺，按照本合同约定提供监理与相关服务。</w:t>
      </w:r>
    </w:p>
    <w:p>
      <w:pPr>
        <w:spacing w:line="400" w:lineRule="exact"/>
        <w:ind w:firstLine="415" w:firstLineChars="198"/>
        <w:outlineLvl w:val="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委托人向监理人承诺，按照本合同约定派遣相应的人员，提供</w:t>
      </w:r>
      <w:r>
        <w:rPr>
          <w:rFonts w:hint="eastAsia" w:asciiTheme="minorEastAsia" w:hAnsiTheme="minorEastAsia" w:eastAsiaTheme="minorEastAsia"/>
          <w:bCs/>
          <w:color w:val="000000" w:themeColor="text1"/>
          <w:szCs w:val="21"/>
        </w:rPr>
        <w:t>房屋、资料</w:t>
      </w:r>
      <w:r>
        <w:rPr>
          <w:rFonts w:hint="eastAsia" w:asciiTheme="minorEastAsia" w:hAnsiTheme="minorEastAsia" w:eastAsiaTheme="minorEastAsia"/>
          <w:color w:val="000000" w:themeColor="text1"/>
          <w:szCs w:val="21"/>
        </w:rPr>
        <w:t>、设备，并按本合同约定支付酬金。</w:t>
      </w:r>
    </w:p>
    <w:p>
      <w:pPr>
        <w:spacing w:line="400" w:lineRule="exact"/>
        <w:ind w:firstLine="417" w:firstLineChars="198"/>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八、合同订立</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订立时间：年月日。</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订立地点：。</w:t>
      </w:r>
    </w:p>
    <w:p>
      <w:pPr>
        <w:adjustRightInd w:val="0"/>
        <w:snapToGrid w:val="0"/>
        <w:spacing w:line="40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本合同一式份，具有同等法律效力，双方各执份。</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w:t>
      </w:r>
      <w:r>
        <w:rPr>
          <w:rFonts w:hint="eastAsia" w:asciiTheme="minorEastAsia" w:hAnsiTheme="minorEastAsia" w:eastAsiaTheme="minorEastAsia"/>
          <w:color w:val="000000" w:themeColor="text1"/>
          <w:szCs w:val="21"/>
          <w:u w:val="single"/>
        </w:rPr>
        <w:t xml:space="preserve">   （盖章）     </w:t>
      </w:r>
      <w:r>
        <w:rPr>
          <w:rFonts w:hint="eastAsia" w:asciiTheme="minorEastAsia" w:hAnsiTheme="minorEastAsia" w:eastAsiaTheme="minorEastAsia"/>
          <w:color w:val="000000" w:themeColor="text1"/>
          <w:szCs w:val="21"/>
        </w:rPr>
        <w:t xml:space="preserve">   监理人：</w:t>
      </w:r>
      <w:r>
        <w:rPr>
          <w:rFonts w:hint="eastAsia" w:asciiTheme="minorEastAsia" w:hAnsiTheme="minorEastAsia" w:eastAsiaTheme="minorEastAsia"/>
          <w:color w:val="000000" w:themeColor="text1"/>
          <w:szCs w:val="21"/>
          <w:u w:val="single"/>
        </w:rPr>
        <w:t xml:space="preserve">   （盖章）    </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住所：     住所： </w:t>
      </w:r>
    </w:p>
    <w:p>
      <w:pPr>
        <w:adjustRightInd w:val="0"/>
        <w:snapToGrid w:val="0"/>
        <w:spacing w:line="40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   邮政编码：</w:t>
      </w:r>
    </w:p>
    <w:p>
      <w:pPr>
        <w:adjustRightInd w:val="0"/>
        <w:snapToGrid w:val="0"/>
        <w:spacing w:line="400" w:lineRule="exact"/>
        <w:ind w:left="473" w:leftChars="22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法定代表人或其授权的           法定代表人或其授权的</w:t>
      </w:r>
    </w:p>
    <w:p>
      <w:pPr>
        <w:adjustRightInd w:val="0"/>
        <w:snapToGrid w:val="0"/>
        <w:spacing w:line="400" w:lineRule="exact"/>
        <w:ind w:left="473" w:leftChars="22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代理人：</w:t>
      </w:r>
      <w:r>
        <w:rPr>
          <w:rFonts w:hint="eastAsia" w:asciiTheme="minorEastAsia" w:hAnsiTheme="minorEastAsia" w:eastAsiaTheme="minorEastAsia"/>
          <w:color w:val="000000" w:themeColor="text1"/>
          <w:szCs w:val="21"/>
          <w:u w:val="single"/>
        </w:rPr>
        <w:t xml:space="preserve">（签字）             </w:t>
      </w:r>
      <w:r>
        <w:rPr>
          <w:rFonts w:hint="eastAsia" w:asciiTheme="minorEastAsia" w:hAnsiTheme="minorEastAsia" w:eastAsiaTheme="minorEastAsia"/>
          <w:color w:val="000000" w:themeColor="text1"/>
          <w:szCs w:val="21"/>
        </w:rPr>
        <w:t xml:space="preserve">   代理人：</w:t>
      </w:r>
      <w:r>
        <w:rPr>
          <w:rFonts w:hint="eastAsia" w:asciiTheme="minorEastAsia" w:hAnsiTheme="minorEastAsia" w:eastAsiaTheme="minorEastAsia"/>
          <w:color w:val="000000" w:themeColor="text1"/>
          <w:szCs w:val="21"/>
          <w:u w:val="single"/>
        </w:rPr>
        <w:t xml:space="preserve">（签字）                </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开户银行：   开户银行：</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   账号：</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电话：   电话：</w:t>
      </w:r>
    </w:p>
    <w:p>
      <w:pPr>
        <w:adjustRightInd w:val="0"/>
        <w:snapToGrid w:val="0"/>
        <w:spacing w:line="400" w:lineRule="exact"/>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传真：   传真：</w:t>
      </w:r>
    </w:p>
    <w:p>
      <w:pPr>
        <w:adjustRightInd w:val="0"/>
        <w:snapToGrid w:val="0"/>
        <w:spacing w:line="400" w:lineRule="exact"/>
        <w:ind w:firstLine="415" w:firstLineChars="198"/>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电子邮箱：   电子邮箱：</w:t>
      </w:r>
    </w:p>
    <w:p>
      <w:pPr>
        <w:pageBreakBefore/>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第二部分  通用条件</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1. 定义与解释</w:t>
      </w:r>
    </w:p>
    <w:p>
      <w:pPr>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1.1 </w:t>
      </w:r>
      <w:r>
        <w:rPr>
          <w:rFonts w:hint="eastAsia" w:asciiTheme="minorEastAsia" w:hAnsiTheme="minorEastAsia" w:eastAsiaTheme="minorEastAsia"/>
          <w:bCs/>
          <w:color w:val="000000" w:themeColor="text1"/>
          <w:szCs w:val="21"/>
        </w:rPr>
        <w:t>定义</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 “工程”是指按照本合同约定实施监理与相关服务的建设工程。</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1.1.2 “委托人”是指本合同中委托监理与相关服务的一方，及其合法的继承人或受让人。</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1.1.3 “监理人”是指本合同中提供监理与相关服务的一方，及其合法的继承人。</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1.1.4 “承包人”是指在工程范围内与委托人签订勘察、设计、施工等有关合同的当事人，及其合法的继承人。</w:t>
      </w:r>
    </w:p>
    <w:p>
      <w:pPr>
        <w:pStyle w:val="21"/>
        <w:spacing w:line="360" w:lineRule="auto"/>
        <w:ind w:firstLine="57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1.1.6 “相关服务”是指监理人受委托人的委托 ，按照本合同约定，在勘察、设计、保修等阶段提供的服务活动。</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1.1.7 “正常工作”指本合同订立时通用条件和专用条件中约定的监理人的工作。</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1.1.8 “附加工作”是指本合同约定的正常工作以外监理人的工作。</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1.1.9 “项目监理机构”是指监理人派驻工程负责履行本合同的组织机构。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1.1.10 “总监理工程师”是指由监理人的法定代表人书面授权，全面负责履行本合同、主持项目监理机构工作的注册监理工程师。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1.1.11 “酬金”是指监理人履行本合同义务，委托人按照本合同约定给付监理人的金额。</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1.1.12 “正常工作</w:t>
      </w:r>
      <w:r>
        <w:rPr>
          <w:rFonts w:hint="eastAsia" w:cs="宋体" w:asciiTheme="minorEastAsia" w:hAnsiTheme="minorEastAsia" w:eastAsiaTheme="minorEastAsia"/>
          <w:color w:val="000000" w:themeColor="text1"/>
          <w:szCs w:val="21"/>
        </w:rPr>
        <w:t>酬金”</w:t>
      </w:r>
      <w:r>
        <w:rPr>
          <w:rFonts w:hint="eastAsia" w:asciiTheme="minorEastAsia" w:hAnsiTheme="minorEastAsia" w:eastAsiaTheme="minorEastAsia"/>
          <w:color w:val="000000" w:themeColor="text1"/>
          <w:szCs w:val="21"/>
        </w:rPr>
        <w:t>是指监理人完成正常工作，委托人应给付监理人并在协议书中载明的签约</w:t>
      </w:r>
      <w:r>
        <w:rPr>
          <w:rFonts w:hint="eastAsia" w:cs="宋体" w:asciiTheme="minorEastAsia" w:hAnsiTheme="minorEastAsia" w:eastAsiaTheme="minorEastAsia"/>
          <w:color w:val="000000" w:themeColor="text1"/>
          <w:szCs w:val="21"/>
        </w:rPr>
        <w:t>酬金额</w:t>
      </w:r>
      <w:r>
        <w:rPr>
          <w:rFonts w:hint="eastAsia" w:asciiTheme="minorEastAsia" w:hAnsiTheme="minorEastAsia" w:eastAsiaTheme="minorEastAsia"/>
          <w:color w:val="000000" w:themeColor="text1"/>
          <w:szCs w:val="21"/>
        </w:rPr>
        <w:t>。</w:t>
      </w:r>
    </w:p>
    <w:p>
      <w:pPr>
        <w:adjustRightInd w:val="0"/>
        <w:snapToGrid w:val="0"/>
        <w:spacing w:line="360" w:lineRule="auto"/>
        <w:ind w:firstLine="415" w:firstLineChars="1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1.1.13 “附加工作酬金”是指监理人完成附加工作，委托人应给付监理人的金额。</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1.1.14 “一方”是指委托人或监理人；“双方”是指委托人和监理人；“第三方”是指除委托人和监理人以外的有关方。</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1.1.15 “书面形式”是指合同书、信件和数据电文（包括电报、电传、传真、电子数据交换和电子邮件）等可以有形地表现所载内容的形式。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1.1.16 “天”是指第一天零时至第二天零时的时间。</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1.1.17“月”是指按公历从一个月中任何一天开始的一个公历月时间。</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Theme="minorEastAsia" w:hAnsiTheme="minorEastAsia" w:eastAsiaTheme="minorEastAsia"/>
          <w:color w:val="000000" w:themeColor="text1"/>
          <w:szCs w:val="21"/>
        </w:rPr>
      </w:pPr>
      <w:r>
        <w:rPr>
          <w:rFonts w:hint="eastAsia" w:asciiTheme="minorEastAsia" w:hAnsiTheme="minorEastAsia" w:eastAsiaTheme="minorEastAsia"/>
          <w:bCs/>
          <w:color w:val="000000" w:themeColor="text1"/>
          <w:szCs w:val="21"/>
        </w:rPr>
        <w:t xml:space="preserve">1.2 </w:t>
      </w:r>
      <w:r>
        <w:rPr>
          <w:rFonts w:hint="eastAsia" w:asciiTheme="minorEastAsia" w:hAnsiTheme="minorEastAsia" w:eastAsiaTheme="minorEastAsia"/>
          <w:color w:val="000000" w:themeColor="text1"/>
          <w:szCs w:val="21"/>
        </w:rPr>
        <w:t>解释</w:t>
      </w:r>
    </w:p>
    <w:p>
      <w:pPr>
        <w:tabs>
          <w:tab w:val="left" w:pos="6140"/>
        </w:tabs>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1.2.1本合同使用中文书写、解释和说明。如专用条件约定使用两种及以上语言文字时，应以中文为准。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1.2.2 组成本合同的下列文件彼此应能相互解释、互为说明。除专用条件另有约定外，本合同文件的解释顺序如下：</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（1）协议书；</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（2）中标通知书（适用于招标工程）或委托书（适用于非招标工程）；</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（3）专用条件及附录A、附录B；</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（4）通用条件；</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（5）投标文件（适用于招标工程）或监理与相关服务建议书（适用于非招标工程）。</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双方签订的补充协议与其他文件发生矛盾或歧义时，属于同一类内容的文件，应以最新签署的为准。</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2. 监理人的义务</w:t>
      </w:r>
    </w:p>
    <w:p>
      <w:pPr>
        <w:adjustRightInd w:val="0"/>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2.1 监理的范围和工作内容</w:t>
      </w:r>
    </w:p>
    <w:p>
      <w:pPr>
        <w:adjustRightInd w:val="0"/>
        <w:snapToGrid w:val="0"/>
        <w:spacing w:line="360" w:lineRule="auto"/>
        <w:ind w:left="420" w:left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2.1.1 监理范围在专用条件中约定。</w:t>
      </w:r>
    </w:p>
    <w:p>
      <w:pPr>
        <w:adjustRightInd w:val="0"/>
        <w:snapToGrid w:val="0"/>
        <w:spacing w:line="360" w:lineRule="auto"/>
        <w:ind w:left="420" w:left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2.1.2 除专用条件另有约定外，监理工作内容包括：</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（2）熟悉工程设计文件，并参加由委托人主持的图纸会审和设计交底会议；</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（3）参加由委托人主持的第一次工地会议；主持监理例会并根据工程需要主持或参加专题会议；</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（5）检查施工承包人工程质量、安全生产管理制度及组织机构和人员资格； </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（6）检查施工承包人专职安全生产管理人员的配备情况；</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（7）审查施工承包人提交的施工进度计划，核查承包人对施工进度计划的调整；</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（8）检查施工承包人的试验室；</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（9）审核施工分包人资质条件；</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（10）查验施工承包人的施工测量放线成果；</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（11）审查工程开工条件，对条件具备的签发开工令；</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（13）审核施工承包人提交的工程款支付申请，签发或出具工程款支付证书，并报委托人审核、批准；</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（14）在巡视、旁站和检验过程中，发现工程质量、施工安全存在事故隐患的，要求施工承包人整改并报委托人；</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（15）经委托人同意，签发工程暂停令和复工令；</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（16）审查施工承包人提交的采用新材料、新工艺、新技术、新设备的论证材料及相关验收标准；</w:t>
      </w:r>
    </w:p>
    <w:p>
      <w:pPr>
        <w:adjustRightInd w:val="0"/>
        <w:snapToGrid w:val="0"/>
        <w:spacing w:line="360" w:lineRule="auto"/>
        <w:ind w:firstLine="66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（17）验收隐蔽工程、分部分项工程；</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（18）审查施工承包人提交的工程变更申请，协调处理施工进度调整、费用索赔、合同争议等事项；</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（19）审查施工承包人提交的竣工验收申请，编写工程质量评估报告；</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（20）参加工程竣工验收，签署竣工验收意见；</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（21）审查施工承包人提交的竣工结算申请并报委托人；</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（22）编制、整理工程监理归档文件并报委托人。</w:t>
      </w:r>
    </w:p>
    <w:p>
      <w:pPr>
        <w:spacing w:line="360" w:lineRule="auto"/>
        <w:ind w:left="420" w:leftChars="200" w:firstLine="105" w:firstLineChars="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2.1.3 相关服务的范围和内容在附录A中约定。</w:t>
      </w:r>
    </w:p>
    <w:p>
      <w:pPr>
        <w:spacing w:line="360" w:lineRule="auto"/>
        <w:ind w:firstLine="210" w:firstLine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2.2 </w:t>
      </w:r>
      <w:r>
        <w:rPr>
          <w:rFonts w:hint="eastAsia" w:asciiTheme="minorEastAsia" w:hAnsiTheme="minorEastAsia" w:eastAsiaTheme="minorEastAsia"/>
          <w:bCs/>
          <w:color w:val="000000" w:themeColor="text1"/>
          <w:szCs w:val="21"/>
        </w:rPr>
        <w:t>监理与相关服务依据</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2.2.1 监理依据包括：</w:t>
      </w:r>
    </w:p>
    <w:p>
      <w:pPr>
        <w:adjustRightInd w:val="0"/>
        <w:snapToGrid w:val="0"/>
        <w:spacing w:line="360" w:lineRule="auto"/>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（1）适用的法律、行政法规及部门规章；</w:t>
      </w:r>
    </w:p>
    <w:p>
      <w:pPr>
        <w:adjustRightInd w:val="0"/>
        <w:snapToGrid w:val="0"/>
        <w:spacing w:line="360" w:lineRule="auto"/>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（2）与工程有关的标准；</w:t>
      </w:r>
    </w:p>
    <w:p>
      <w:pPr>
        <w:adjustRightInd w:val="0"/>
        <w:snapToGrid w:val="0"/>
        <w:spacing w:line="360" w:lineRule="auto"/>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（3）工程设计及有关文件；</w:t>
      </w:r>
    </w:p>
    <w:p>
      <w:pPr>
        <w:adjustRightInd w:val="0"/>
        <w:snapToGrid w:val="0"/>
        <w:spacing w:line="360" w:lineRule="auto"/>
        <w:ind w:firstLine="525" w:firstLineChars="2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（4）本合同及委托人与第三方签订的与实施工程有关的其他合同。</w:t>
      </w:r>
    </w:p>
    <w:p>
      <w:pPr>
        <w:spacing w:line="360" w:lineRule="auto"/>
        <w:ind w:left="210" w:leftChars="100"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双方根据工程的行业和地域特点，在专用条件中具体约定监理依据。</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2.2.2 相关服务依据在专用条件中约定。</w:t>
      </w:r>
    </w:p>
    <w:p>
      <w:pPr>
        <w:spacing w:line="360" w:lineRule="auto"/>
        <w:ind w:firstLine="210" w:firstLine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2.3 </w:t>
      </w:r>
      <w:r>
        <w:rPr>
          <w:rFonts w:hint="eastAsia" w:cs="宋体" w:asciiTheme="minorEastAsia" w:hAnsiTheme="minorEastAsia" w:eastAsiaTheme="minorEastAsia"/>
          <w:color w:val="000000" w:themeColor="text1"/>
          <w:szCs w:val="21"/>
        </w:rPr>
        <w:t>项目监理机构和人员</w:t>
      </w:r>
    </w:p>
    <w:p>
      <w:pPr>
        <w:adjustRightInd w:val="0"/>
        <w:snapToGrid w:val="0"/>
        <w:spacing w:line="360" w:lineRule="auto"/>
        <w:ind w:firstLine="64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2.3.1 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2.3.2本合同履行过程中，总监理工程师及重要岗位监理人员应保持相对稳定，以保证监理工作正常进行。</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2.3.4 监理人应及时更换有下列情形之一的监理人员：</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（1）严重过失行为的；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（2）有违法行为不能履行职责的；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（3）涉嫌犯罪的；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（4）不能胜任岗位职责的；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（5）严重违反职业道德的；</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（6）专用条件约定的其他情形。</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2.3.5 委托人可要求监理人更换不能胜任本职工作的项目监理机构人员。</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2.4 </w:t>
      </w:r>
      <w:r>
        <w:rPr>
          <w:rFonts w:hint="eastAsia" w:cs="宋体" w:asciiTheme="minorEastAsia" w:hAnsiTheme="minorEastAsia" w:eastAsiaTheme="minorEastAsia"/>
          <w:color w:val="000000" w:themeColor="text1"/>
          <w:szCs w:val="21"/>
        </w:rPr>
        <w:t>履行职责</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监理人应遵循职业道德准则和行为规范，严格按照法律法规、工程建设有关标准及本合同履行职责。</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2.4.2 当委托人与承包人之间的合同争议提交仲裁机构仲裁或人民法院审理时，监理人应提供必要的证明资料。</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在紧急情况下，为了保护财产和人身安全，监理人所发出的指令未能事先报委托人批准时，应在发出指令后的24小时内以书面形式报委托人。</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2.4.4 除专用条件另有约定外，监理人发现承包人的人员不能胜任本职工作的，有权要求承包人予以调换。</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 提交</w:t>
      </w:r>
      <w:r>
        <w:rPr>
          <w:rFonts w:hint="eastAsia" w:cs="宋体" w:asciiTheme="minorEastAsia" w:hAnsiTheme="minorEastAsia" w:eastAsiaTheme="minorEastAsia"/>
          <w:color w:val="000000" w:themeColor="text1"/>
          <w:szCs w:val="21"/>
        </w:rPr>
        <w:t>报告</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监理人应按专用条件约定的种类、时间和份数向委托人提交监理与相关服务的报告。</w:t>
      </w:r>
    </w:p>
    <w:p>
      <w:pPr>
        <w:spacing w:line="360" w:lineRule="auto"/>
        <w:ind w:left="210" w:left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2.6 文件资料</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在本合同履行期内，监理人应在现场保留工作所用的图纸、报告及记录监理工作的相关文件。工程竣工后，应当按照档案管理规定将监理有关文件归档。</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2.7 </w:t>
      </w:r>
      <w:r>
        <w:rPr>
          <w:rFonts w:hint="eastAsia" w:cs="宋体" w:asciiTheme="minorEastAsia" w:hAnsiTheme="minorEastAsia" w:eastAsiaTheme="minorEastAsia"/>
          <w:color w:val="000000" w:themeColor="text1"/>
          <w:szCs w:val="21"/>
        </w:rPr>
        <w:t>使用委托人的财产</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3．委托人的义务</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3.1 </w:t>
      </w:r>
      <w:r>
        <w:rPr>
          <w:rFonts w:hint="eastAsia" w:cs="宋体" w:asciiTheme="minorEastAsia" w:hAnsiTheme="minorEastAsia" w:eastAsiaTheme="minorEastAsia"/>
          <w:color w:val="000000" w:themeColor="text1"/>
          <w:szCs w:val="21"/>
        </w:rPr>
        <w:t>告知</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委托人应在委托人与承包人签订的合同中明确监理人、总监理工程师和授予项目监理机构的权限。如有变更，应及时通知承包人。</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3.2 </w:t>
      </w:r>
      <w:r>
        <w:rPr>
          <w:rFonts w:hint="eastAsia" w:cs="宋体" w:asciiTheme="minorEastAsia" w:hAnsiTheme="minorEastAsia" w:eastAsiaTheme="minorEastAsia"/>
          <w:color w:val="000000" w:themeColor="text1"/>
          <w:szCs w:val="21"/>
        </w:rPr>
        <w:t>提供资料</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委托人应按照附录B约定，无偿向监理人提供工程有关的资料。在本合同履行过程中，委托人应及时向监理人提供最新的与工程有关的资料。</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3.3 </w:t>
      </w:r>
      <w:r>
        <w:rPr>
          <w:rFonts w:hint="eastAsia" w:cs="宋体" w:asciiTheme="minorEastAsia" w:hAnsiTheme="minorEastAsia" w:eastAsiaTheme="minorEastAsia"/>
          <w:color w:val="000000" w:themeColor="text1"/>
          <w:szCs w:val="21"/>
        </w:rPr>
        <w:t>提供工作条件</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委托人应为监理人完成监理与相关服务提供必要的条件。</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3.3.1 委托人应按照附录B约定，派遣相应的人员，提供房屋、设备，供监理人无偿使用。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3.3.2 委托人应负责协调工程建设中所有外部关系，为监理人履行本合同提供必要的外部条件。</w:t>
      </w:r>
    </w:p>
    <w:p>
      <w:pPr>
        <w:snapToGrid w:val="0"/>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3.4 </w:t>
      </w:r>
      <w:r>
        <w:rPr>
          <w:rFonts w:hint="eastAsia" w:cs="宋体" w:asciiTheme="minorEastAsia" w:hAnsiTheme="minorEastAsia" w:eastAsiaTheme="minorEastAsia"/>
          <w:color w:val="000000" w:themeColor="text1"/>
          <w:szCs w:val="21"/>
        </w:rPr>
        <w:t>委托人代表</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3.5 </w:t>
      </w:r>
      <w:r>
        <w:rPr>
          <w:rFonts w:hint="eastAsia" w:cs="宋体" w:asciiTheme="minorEastAsia" w:hAnsiTheme="minorEastAsia" w:eastAsiaTheme="minorEastAsia"/>
          <w:color w:val="000000" w:themeColor="text1"/>
          <w:szCs w:val="21"/>
        </w:rPr>
        <w:t>委托人意见或要求</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在本合同约定的监理与相关服务工作范围内，委托人对承包人的任何意见或要求应通知监理人，由监理人向承包人发出相应指令。</w:t>
      </w:r>
    </w:p>
    <w:p>
      <w:pPr>
        <w:snapToGrid w:val="0"/>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3.6 </w:t>
      </w:r>
      <w:r>
        <w:rPr>
          <w:rFonts w:hint="eastAsia" w:cs="宋体" w:asciiTheme="minorEastAsia" w:hAnsiTheme="minorEastAsia" w:eastAsiaTheme="minorEastAsia"/>
          <w:color w:val="000000" w:themeColor="text1"/>
          <w:szCs w:val="21"/>
        </w:rPr>
        <w:t>答复</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3.7 </w:t>
      </w:r>
      <w:r>
        <w:rPr>
          <w:rFonts w:hint="eastAsia" w:cs="宋体" w:asciiTheme="minorEastAsia" w:hAnsiTheme="minorEastAsia" w:eastAsiaTheme="minorEastAsia"/>
          <w:color w:val="000000" w:themeColor="text1"/>
          <w:szCs w:val="21"/>
        </w:rPr>
        <w:t>支付</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委托人应按本合同约定，向监理人支付酬金。</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4. 违约责任</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4.1 </w:t>
      </w:r>
      <w:r>
        <w:rPr>
          <w:rFonts w:hint="eastAsia" w:cs="宋体" w:asciiTheme="minorEastAsia" w:hAnsiTheme="minorEastAsia" w:eastAsiaTheme="minorEastAsia"/>
          <w:color w:val="000000" w:themeColor="text1"/>
          <w:szCs w:val="21"/>
        </w:rPr>
        <w:t>监理人的违约责任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监理人未履行本合同义务的，应承担相应的责任。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4.1.1 因监理人</w:t>
      </w:r>
      <w:r>
        <w:rPr>
          <w:rFonts w:hint="eastAsia" w:cs="宋体" w:asciiTheme="minorEastAsia" w:hAnsiTheme="minorEastAsia" w:eastAsiaTheme="minorEastAsia"/>
          <w:color w:val="000000" w:themeColor="text1"/>
          <w:szCs w:val="21"/>
        </w:rPr>
        <w:t>违反本合同约定</w:t>
      </w:r>
      <w:r>
        <w:rPr>
          <w:rFonts w:hint="eastAsia" w:asciiTheme="minorEastAsia" w:hAnsiTheme="minorEastAsia" w:eastAsiaTheme="minorEastAsia"/>
          <w:color w:val="000000" w:themeColor="text1"/>
          <w:szCs w:val="21"/>
        </w:rPr>
        <w:t>给委托人造成损失的，监理人应当赔偿委托人损失。赔偿金额的确定方法在专用条件中约定。监理人承担部分赔偿责任的，其承担赔偿金额由双方协商确定。</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4.1.2 监理人向委托人的索赔不成立时，监理人应赔偿委托人由此发生的费用。</w:t>
      </w:r>
    </w:p>
    <w:p>
      <w:pPr>
        <w:snapToGrid w:val="0"/>
        <w:spacing w:line="360" w:lineRule="auto"/>
        <w:ind w:firstLine="210" w:firstLine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 委</w:t>
      </w:r>
      <w:r>
        <w:rPr>
          <w:rFonts w:hint="eastAsia" w:cs="宋体" w:asciiTheme="minorEastAsia" w:hAnsiTheme="minorEastAsia" w:eastAsiaTheme="minorEastAsia"/>
          <w:color w:val="000000" w:themeColor="text1"/>
          <w:szCs w:val="21"/>
        </w:rPr>
        <w:t>托人的违约责任</w:t>
      </w:r>
    </w:p>
    <w:p>
      <w:pPr>
        <w:adjustRightInd w:val="0"/>
        <w:snapToGrid w:val="0"/>
        <w:spacing w:line="360" w:lineRule="auto"/>
        <w:ind w:firstLine="420" w:firstLineChars="2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委托人未履行本合同义务的，应承担相应的责任。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4.2.1 委托人违反本合同约定造成监理人损失的，委托人应予以赔偿。</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4.2.2 委托人向监理人的索赔不成立时，应赔偿监理人由此引起的费用。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4.2.3 委托人未能按期支付酬金超过28天，</w:t>
      </w:r>
      <w:r>
        <w:rPr>
          <w:rFonts w:hint="eastAsia" w:cs="宋体" w:asciiTheme="minorEastAsia" w:hAnsiTheme="minorEastAsia" w:eastAsiaTheme="minorEastAsia"/>
          <w:color w:val="000000" w:themeColor="text1"/>
          <w:szCs w:val="21"/>
        </w:rPr>
        <w:t>应按专用条件约定支付逾期付款利息</w:t>
      </w:r>
      <w:r>
        <w:rPr>
          <w:rFonts w:hint="eastAsia" w:asciiTheme="minorEastAsia" w:hAnsiTheme="minorEastAsia" w:eastAsiaTheme="minorEastAsia"/>
          <w:color w:val="000000" w:themeColor="text1"/>
          <w:szCs w:val="21"/>
        </w:rPr>
        <w:t>。</w:t>
      </w:r>
    </w:p>
    <w:p>
      <w:pPr>
        <w:spacing w:line="360" w:lineRule="auto"/>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4.3 除外责任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因非监理人的原因，且监理人无过错，发生工程质量事故、安全事故、工期延误等造成的损失，监理人不承担赔偿责任。</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因不可抗力导致本合同全部或部分不能履行时，双方各自承担其因此而造成的损失、损害。</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5. 支付</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5.1 </w:t>
      </w:r>
      <w:r>
        <w:rPr>
          <w:rFonts w:hint="eastAsia" w:asciiTheme="minorEastAsia" w:hAnsiTheme="minorEastAsia" w:eastAsiaTheme="minorEastAsia"/>
          <w:bCs/>
          <w:color w:val="000000" w:themeColor="text1"/>
          <w:szCs w:val="21"/>
        </w:rPr>
        <w:t>支付货币</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除专用条件另有约定外，酬金均以人民币支付。涉及外币支付的，所采用的货币种类、比例和汇率在专用条件中约定。</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5.2 支付申请</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监理人应在本合同约定的每次应付款时间的7天前，向委托人提交支付申请书。支付申请书应当说明当期应付款总额，并列出当期应支付的款项及其金额。</w:t>
      </w:r>
    </w:p>
    <w:p>
      <w:pPr>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5.3 支付酬金</w:t>
      </w:r>
    </w:p>
    <w:p>
      <w:pPr>
        <w:snapToGrid w:val="0"/>
        <w:spacing w:line="360" w:lineRule="auto"/>
        <w:ind w:firstLine="48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支付的酬金包括正常工作酬金、附加工作酬金、合理化建议奖励金额及费用。</w:t>
      </w:r>
    </w:p>
    <w:p>
      <w:pPr>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  5.4 </w:t>
      </w:r>
      <w:r>
        <w:rPr>
          <w:rFonts w:hint="eastAsia" w:asciiTheme="minorEastAsia" w:hAnsiTheme="minorEastAsia" w:eastAsiaTheme="minorEastAsia"/>
          <w:bCs/>
          <w:color w:val="000000" w:themeColor="text1"/>
          <w:szCs w:val="21"/>
        </w:rPr>
        <w:t>有争议部分的付款</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6. 合同生效、变更、暂停、解除与终止</w:t>
      </w:r>
    </w:p>
    <w:p>
      <w:pPr>
        <w:spacing w:line="360" w:lineRule="auto"/>
        <w:ind w:left="210" w:left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6.1生效</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6.2</w:t>
      </w:r>
      <w:r>
        <w:rPr>
          <w:rFonts w:hint="eastAsia" w:asciiTheme="minorEastAsia" w:hAnsiTheme="minorEastAsia" w:eastAsiaTheme="minorEastAsia"/>
          <w:bCs/>
          <w:color w:val="000000" w:themeColor="text1"/>
          <w:szCs w:val="21"/>
        </w:rPr>
        <w:t>变更</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6.2.1 任何一方提出变更请求时，双方经协商一致后可进行变更。</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6.2.5 因非监理人原因造成工程概算投资额或建筑安装工程费增加时，正常工作酬金应作相应调整。调整方法在专用条件中约定。</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6.2.6 因工程规模、监理范围的变化导致监理人的正常工作量减少时，正常工作酬金应作相应调整。调整方法在专用条件中约定。</w:t>
      </w:r>
    </w:p>
    <w:p>
      <w:pPr>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  6.3 暂停与</w:t>
      </w:r>
      <w:r>
        <w:rPr>
          <w:rFonts w:hint="eastAsia" w:asciiTheme="minorEastAsia" w:hAnsiTheme="minorEastAsia" w:eastAsiaTheme="minorEastAsia"/>
          <w:bCs/>
          <w:color w:val="000000" w:themeColor="text1"/>
          <w:szCs w:val="21"/>
        </w:rPr>
        <w:t>解除</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解除本合同的协议必须采取书面形式，协议未达成之前，本合同仍然有效。</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暂停部分监理与相关服务时间超过</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天，监理人可发出解除本合同约定的该部分义务的通知；暂停全部工作时间超过</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6.3.5 因不可抗力致使本合同部分或全部不能履行时，一方应立即通知另一方，可暂停或解除本合同。</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6.3.6 本合同解除后，本合同约定的有关结算、清理、争议解决方式的条件仍然有效。</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6.4 </w:t>
      </w:r>
      <w:r>
        <w:rPr>
          <w:rFonts w:hint="eastAsia" w:asciiTheme="minorEastAsia" w:hAnsiTheme="minorEastAsia" w:eastAsiaTheme="minorEastAsia"/>
          <w:bCs/>
          <w:color w:val="000000" w:themeColor="text1"/>
          <w:szCs w:val="21"/>
        </w:rPr>
        <w:t>终止</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以下条件全部满足时，本合同即告终止：</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（1）监理人完成本合同约定的全部工作；</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（2）委托人与监理人结清并支付全部酬金。</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7. 争议解决</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7.1</w:t>
      </w:r>
      <w:r>
        <w:rPr>
          <w:rFonts w:hint="eastAsia" w:asciiTheme="minorEastAsia" w:hAnsiTheme="minorEastAsia" w:eastAsiaTheme="minorEastAsia"/>
          <w:bCs/>
          <w:color w:val="000000" w:themeColor="text1"/>
          <w:szCs w:val="21"/>
        </w:rPr>
        <w:t>协商</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双方应本着诚信原则协商解决彼此间的争议。</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7.2</w:t>
      </w:r>
      <w:r>
        <w:rPr>
          <w:rFonts w:hint="eastAsia" w:asciiTheme="minorEastAsia" w:hAnsiTheme="minorEastAsia" w:eastAsiaTheme="minorEastAsia"/>
          <w:bCs/>
          <w:color w:val="000000" w:themeColor="text1"/>
          <w:szCs w:val="21"/>
        </w:rPr>
        <w:t>调解</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7.3</w:t>
      </w:r>
      <w:r>
        <w:rPr>
          <w:rFonts w:hint="eastAsia" w:asciiTheme="minorEastAsia" w:hAnsiTheme="minorEastAsia" w:eastAsiaTheme="minorEastAsia"/>
          <w:bCs/>
          <w:color w:val="000000" w:themeColor="text1"/>
          <w:szCs w:val="21"/>
        </w:rPr>
        <w:t>仲裁或诉讼</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双方均有权不经调解直接向专用条件约定的仲裁机构申请仲裁或向有管辖权的人民法院提起诉讼。</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8. 其他</w:t>
      </w:r>
    </w:p>
    <w:p>
      <w:pPr>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8.1 </w:t>
      </w:r>
      <w:r>
        <w:rPr>
          <w:rFonts w:hint="eastAsia" w:asciiTheme="minorEastAsia" w:hAnsiTheme="minorEastAsia" w:eastAsiaTheme="minorEastAsia"/>
          <w:bCs/>
          <w:color w:val="000000" w:themeColor="text1"/>
          <w:szCs w:val="21"/>
        </w:rPr>
        <w:t>外出考察费用</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经委托人同意，监理人员外出考察发生的费用由委托人审核后支付。</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8.2 </w:t>
      </w:r>
      <w:r>
        <w:rPr>
          <w:rFonts w:hint="eastAsia" w:asciiTheme="minorEastAsia" w:hAnsiTheme="minorEastAsia" w:eastAsiaTheme="minorEastAsia"/>
          <w:bCs/>
          <w:color w:val="000000" w:themeColor="text1"/>
          <w:szCs w:val="21"/>
        </w:rPr>
        <w:t>检测费用</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委托人要求监理人进行的材料和设备检测所发生的费用，由委托人支付，支付时间在专用条件中约定。</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8.3 </w:t>
      </w:r>
      <w:r>
        <w:rPr>
          <w:rFonts w:hint="eastAsia" w:asciiTheme="minorEastAsia" w:hAnsiTheme="minorEastAsia" w:eastAsiaTheme="minorEastAsia"/>
          <w:bCs/>
          <w:color w:val="000000" w:themeColor="text1"/>
          <w:szCs w:val="21"/>
        </w:rPr>
        <w:t>咨询费用</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8.4 </w:t>
      </w:r>
      <w:r>
        <w:rPr>
          <w:rFonts w:hint="eastAsia" w:asciiTheme="minorEastAsia" w:hAnsiTheme="minorEastAsia" w:eastAsiaTheme="minorEastAsia"/>
          <w:bCs/>
          <w:color w:val="000000" w:themeColor="text1"/>
          <w:szCs w:val="21"/>
        </w:rPr>
        <w:t>奖励</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8.5 </w:t>
      </w:r>
      <w:r>
        <w:rPr>
          <w:rFonts w:hint="eastAsia" w:asciiTheme="minorEastAsia" w:hAnsiTheme="minorEastAsia" w:eastAsiaTheme="minorEastAsia"/>
          <w:bCs/>
          <w:color w:val="000000" w:themeColor="text1"/>
          <w:szCs w:val="21"/>
        </w:rPr>
        <w:t>守法诚信</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监理人及其工作人员不得从与实施工程有关的第三方处获得任何经济利益。</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8.6 </w:t>
      </w:r>
      <w:r>
        <w:rPr>
          <w:rFonts w:hint="eastAsia" w:asciiTheme="minorEastAsia" w:hAnsiTheme="minorEastAsia" w:eastAsiaTheme="minorEastAsia"/>
          <w:bCs/>
          <w:color w:val="000000" w:themeColor="text1"/>
          <w:szCs w:val="21"/>
        </w:rPr>
        <w:t>保密</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双方不得泄露对方申明的保密资料，亦不得泄露与实施工程有关的第三方所提供的保密资料，保密事项在专用条件中约定。</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8.7 </w:t>
      </w:r>
      <w:r>
        <w:rPr>
          <w:rFonts w:hint="eastAsia" w:asciiTheme="minorEastAsia" w:hAnsiTheme="minorEastAsia" w:eastAsiaTheme="minorEastAsia"/>
          <w:bCs/>
          <w:color w:val="000000" w:themeColor="text1"/>
          <w:szCs w:val="21"/>
        </w:rPr>
        <w:t>通知</w:t>
      </w:r>
    </w:p>
    <w:p>
      <w:pPr>
        <w:snapToGrid w:val="0"/>
        <w:spacing w:line="360" w:lineRule="auto"/>
        <w:ind w:firstLine="420" w:firstLineChars="2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本合同涉及的通知均应当采用书面形式，并在送达对方时生效，收件人应书面签收。</w:t>
      </w:r>
    </w:p>
    <w:p>
      <w:pPr>
        <w:snapToGrid w:val="0"/>
        <w:spacing w:line="360" w:lineRule="auto"/>
        <w:ind w:left="210" w:leftChars="100"/>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8.8 </w:t>
      </w:r>
      <w:r>
        <w:rPr>
          <w:rFonts w:hint="eastAsia" w:asciiTheme="minorEastAsia" w:hAnsiTheme="minorEastAsia" w:eastAsiaTheme="minorEastAsia"/>
          <w:bCs/>
          <w:color w:val="000000" w:themeColor="text1"/>
          <w:szCs w:val="21"/>
        </w:rPr>
        <w:t>著作权</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监理人对其编制的文件拥有著作权。</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第三部分  专用条件</w:t>
      </w:r>
    </w:p>
    <w:p>
      <w:pPr>
        <w:adjustRightInd w:val="0"/>
        <w:snapToGrid w:val="0"/>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1. 定义与解释</w:t>
      </w:r>
    </w:p>
    <w:p>
      <w:pPr>
        <w:adjustRightInd w:val="0"/>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1.2  解释</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1.2.1 本合同文件除使用中文外，还可用。</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1.2.2 约定本合同文件的解释顺序为：。</w:t>
      </w:r>
    </w:p>
    <w:p>
      <w:pPr>
        <w:adjustRightInd w:val="0"/>
        <w:snapToGrid w:val="0"/>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2. 监理人义务</w:t>
      </w:r>
    </w:p>
    <w:p>
      <w:pPr>
        <w:adjustRightInd w:val="0"/>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 监理的范围和</w:t>
      </w:r>
      <w:r>
        <w:rPr>
          <w:rFonts w:hint="eastAsia" w:asciiTheme="minorEastAsia" w:hAnsiTheme="minorEastAsia" w:eastAsiaTheme="minorEastAsia"/>
          <w:bCs/>
          <w:color w:val="000000" w:themeColor="text1"/>
          <w:szCs w:val="21"/>
        </w:rPr>
        <w:t>内容</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2.1.1 监理范围包括：。</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2.1.2 监理工作内容还包括：。</w:t>
      </w:r>
    </w:p>
    <w:p>
      <w:pPr>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 监理与相关服务依据</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2.2.1 监理依据包括：。</w:t>
      </w:r>
    </w:p>
    <w:p>
      <w:pPr>
        <w:adjustRightInd w:val="0"/>
        <w:snapToGrid w:val="0"/>
        <w:spacing w:line="360" w:lineRule="auto"/>
        <w:ind w:firstLine="420" w:firstLineChars="200"/>
        <w:rPr>
          <w:rFonts w:asciiTheme="minorEastAsia" w:hAnsiTheme="minorEastAsia" w:eastAsiaTheme="minorEastAsia"/>
          <w:dstrike/>
          <w:color w:val="000000" w:themeColor="text1"/>
          <w:szCs w:val="21"/>
        </w:rPr>
      </w:pPr>
      <w:r>
        <w:rPr>
          <w:rFonts w:hint="eastAsia" w:asciiTheme="minorEastAsia" w:hAnsiTheme="minorEastAsia" w:eastAsiaTheme="minorEastAsia"/>
          <w:color w:val="000000" w:themeColor="text1"/>
          <w:szCs w:val="21"/>
        </w:rPr>
        <w:t>2.2.2 相关服务依据包括：。</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2.3</w:t>
      </w:r>
      <w:r>
        <w:rPr>
          <w:rFonts w:hint="eastAsia" w:cs="宋体" w:asciiTheme="minorEastAsia" w:hAnsiTheme="minorEastAsia" w:eastAsiaTheme="minorEastAsia"/>
          <w:color w:val="000000" w:themeColor="text1"/>
          <w:szCs w:val="21"/>
        </w:rPr>
        <w:t>项目监理机构和人员</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2.3.4 更换监理人员的其他情形：。</w:t>
      </w:r>
    </w:p>
    <w:p>
      <w:pPr>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2.4 </w:t>
      </w:r>
      <w:r>
        <w:rPr>
          <w:rFonts w:hint="eastAsia" w:cs="宋体" w:asciiTheme="minorEastAsia" w:hAnsiTheme="minorEastAsia" w:eastAsiaTheme="minorEastAsia"/>
          <w:color w:val="000000" w:themeColor="text1"/>
          <w:szCs w:val="21"/>
        </w:rPr>
        <w:t>履行职责</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2.4.3 对监理人的授权范围：。</w:t>
      </w:r>
    </w:p>
    <w:p>
      <w:pPr>
        <w:adjustRightInd w:val="0"/>
        <w:snapToGrid w:val="0"/>
        <w:spacing w:line="360" w:lineRule="auto"/>
        <w:ind w:firstLine="420" w:firstLineChars="200"/>
        <w:outlineLvl w:val="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在涉及工程延期天内和（或）金额万元内的变更，监理人不需请示委托人即可向承包人发布变更通知。</w:t>
      </w:r>
    </w:p>
    <w:p>
      <w:pPr>
        <w:adjustRightInd w:val="0"/>
        <w:snapToGrid w:val="0"/>
        <w:spacing w:line="360" w:lineRule="auto"/>
        <w:ind w:firstLine="315" w:firstLineChars="1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2.4.4 监理人有权要求承包人调换其人员的限制条件：</w:t>
      </w:r>
      <w:r>
        <w:rPr>
          <w:rFonts w:hint="eastAsia" w:asciiTheme="minorEastAsia" w:hAnsiTheme="minorEastAsia" w:eastAsiaTheme="minorEastAsia"/>
          <w:color w:val="000000" w:themeColor="text1"/>
          <w:szCs w:val="21"/>
          <w:u w:val="single"/>
        </w:rPr>
        <w:t xml:space="preserve">                    。</w:t>
      </w:r>
    </w:p>
    <w:p>
      <w:pPr>
        <w:adjustRightInd w:val="0"/>
        <w:snapToGrid w:val="0"/>
        <w:spacing w:line="360" w:lineRule="auto"/>
        <w:ind w:firstLine="105" w:firstLineChars="5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 提交</w:t>
      </w:r>
      <w:r>
        <w:rPr>
          <w:rFonts w:hint="eastAsia" w:cs="宋体" w:asciiTheme="minorEastAsia" w:hAnsiTheme="minorEastAsia" w:eastAsiaTheme="minorEastAsia"/>
          <w:color w:val="000000" w:themeColor="text1"/>
          <w:szCs w:val="21"/>
        </w:rPr>
        <w:t>报告</w:t>
      </w:r>
    </w:p>
    <w:p>
      <w:pPr>
        <w:adjustRightInd w:val="0"/>
        <w:snapToGrid w:val="0"/>
        <w:spacing w:line="360" w:lineRule="auto"/>
        <w:ind w:firstLine="525"/>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监理人应提交报告的种类(</w:t>
      </w:r>
      <w:r>
        <w:rPr>
          <w:rFonts w:hint="eastAsia" w:cs="宋体" w:asciiTheme="minorEastAsia" w:hAnsiTheme="minorEastAsia" w:eastAsiaTheme="minorEastAsia"/>
          <w:color w:val="000000" w:themeColor="text1"/>
          <w:szCs w:val="21"/>
        </w:rPr>
        <w:t>包括监理规划、监理月报及约定的专项报告)</w:t>
      </w:r>
      <w:r>
        <w:rPr>
          <w:rFonts w:hint="eastAsia" w:asciiTheme="minorEastAsia" w:hAnsiTheme="minorEastAsia" w:eastAsiaTheme="minorEastAsia"/>
          <w:color w:val="000000" w:themeColor="text1"/>
          <w:szCs w:val="21"/>
        </w:rPr>
        <w:t>、时间和份数</w:t>
      </w:r>
      <w:r>
        <w:rPr>
          <w:rFonts w:hint="eastAsia" w:cs="宋体"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p>
      <w:pPr>
        <w:spacing w:line="360" w:lineRule="auto"/>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2.7 </w:t>
      </w:r>
      <w:r>
        <w:rPr>
          <w:rFonts w:hint="eastAsia" w:cs="宋体" w:asciiTheme="minorEastAsia" w:hAnsiTheme="minorEastAsia" w:eastAsiaTheme="minorEastAsia"/>
          <w:color w:val="000000" w:themeColor="text1"/>
          <w:szCs w:val="21"/>
        </w:rPr>
        <w:t>使用委托人的财产</w:t>
      </w:r>
    </w:p>
    <w:p>
      <w:pPr>
        <w:spacing w:line="360" w:lineRule="auto"/>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 xml:space="preserve">   附录B中由委托人无偿提供的房屋、设备的所有权属于：</w:t>
      </w:r>
      <w:r>
        <w:rPr>
          <w:rFonts w:hint="eastAsia" w:asciiTheme="minorEastAsia" w:hAnsiTheme="minorEastAsia" w:eastAsiaTheme="minorEastAsia"/>
          <w:color w:val="000000" w:themeColor="text1"/>
          <w:szCs w:val="21"/>
          <w:u w:val="single"/>
        </w:rPr>
        <w:t xml:space="preserve">                  。 </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监理人应在本合同终止后天内移交委托人无偿提供的房屋、设备，移交的时间和方式为：。</w:t>
      </w:r>
    </w:p>
    <w:p>
      <w:pPr>
        <w:adjustRightInd w:val="0"/>
        <w:snapToGrid w:val="0"/>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3. 委托人义务  </w:t>
      </w:r>
    </w:p>
    <w:p>
      <w:pPr>
        <w:snapToGrid w:val="0"/>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3.4 </w:t>
      </w:r>
      <w:r>
        <w:rPr>
          <w:rFonts w:hint="eastAsia" w:cs="宋体" w:asciiTheme="minorEastAsia" w:hAnsiTheme="minorEastAsia" w:eastAsiaTheme="minorEastAsia"/>
          <w:color w:val="000000" w:themeColor="text1"/>
          <w:szCs w:val="21"/>
        </w:rPr>
        <w:t>委托人代表</w:t>
      </w:r>
    </w:p>
    <w:p>
      <w:pPr>
        <w:adjustRightInd w:val="0"/>
        <w:snapToGrid w:val="0"/>
        <w:spacing w:line="360" w:lineRule="auto"/>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委托人代表为：。</w:t>
      </w:r>
    </w:p>
    <w:p>
      <w:pPr>
        <w:adjustRightInd w:val="0"/>
        <w:snapToGrid w:val="0"/>
        <w:spacing w:line="360" w:lineRule="auto"/>
        <w:ind w:firstLine="205" w:firstLineChars="98"/>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3.6 </w:t>
      </w:r>
      <w:r>
        <w:rPr>
          <w:rFonts w:hint="eastAsia" w:cs="宋体" w:asciiTheme="minorEastAsia" w:hAnsiTheme="minorEastAsia" w:eastAsiaTheme="minorEastAsia"/>
          <w:color w:val="000000" w:themeColor="text1"/>
          <w:szCs w:val="21"/>
        </w:rPr>
        <w:t>答复</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委托人同意在天内，对监理人书面提交并要求做出决定的事宜给予书面答复。</w:t>
      </w: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4. 违约责任</w:t>
      </w:r>
    </w:p>
    <w:p>
      <w:pPr>
        <w:spacing w:line="360" w:lineRule="auto"/>
        <w:ind w:left="210" w:left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4.1 </w:t>
      </w:r>
      <w:r>
        <w:rPr>
          <w:rFonts w:hint="eastAsia" w:cs="宋体" w:asciiTheme="minorEastAsia" w:hAnsiTheme="minorEastAsia" w:eastAsiaTheme="minorEastAsia"/>
          <w:color w:val="000000" w:themeColor="text1"/>
          <w:szCs w:val="21"/>
        </w:rPr>
        <w:t>监理人的违约责任</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4.1.1监理人赔偿金额按下列方法确定：</w:t>
      </w:r>
    </w:p>
    <w:p>
      <w:pPr>
        <w:adjustRightInd w:val="0"/>
        <w:snapToGrid w:val="0"/>
        <w:spacing w:line="360" w:lineRule="auto"/>
        <w:ind w:firstLine="420" w:firstLineChars="2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赔偿金＝直接经济损失×正常工作酬金÷工程概算</w:t>
      </w:r>
      <w:r>
        <w:rPr>
          <w:rFonts w:hint="eastAsia" w:cs="宋体" w:asciiTheme="minorEastAsia" w:hAnsiTheme="minorEastAsia" w:eastAsiaTheme="minorEastAsia"/>
          <w:color w:val="000000" w:themeColor="text1"/>
          <w:szCs w:val="21"/>
        </w:rPr>
        <w:t>投资额（或建筑安装工程费）</w:t>
      </w:r>
    </w:p>
    <w:p>
      <w:pPr>
        <w:snapToGrid w:val="0"/>
        <w:spacing w:line="360" w:lineRule="auto"/>
        <w:ind w:firstLine="210" w:firstLine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 委</w:t>
      </w:r>
      <w:r>
        <w:rPr>
          <w:rFonts w:hint="eastAsia" w:cs="宋体" w:asciiTheme="minorEastAsia" w:hAnsiTheme="minorEastAsia" w:eastAsiaTheme="minorEastAsia"/>
          <w:color w:val="000000" w:themeColor="text1"/>
          <w:szCs w:val="21"/>
        </w:rPr>
        <w:t>托人的违约责任</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4.2.3 委托人逾期付款利息按下列方法确定：</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逾期付款利息＝当期应付款总额×银行同期贷款利率×拖延支付天数</w:t>
      </w:r>
    </w:p>
    <w:p>
      <w:pPr>
        <w:snapToGrid w:val="0"/>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bCs/>
          <w:color w:val="000000" w:themeColor="text1"/>
          <w:szCs w:val="21"/>
        </w:rPr>
        <w:t>5. 支付</w:t>
      </w:r>
    </w:p>
    <w:p>
      <w:pPr>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 xml:space="preserve">  5.1 </w:t>
      </w:r>
      <w:r>
        <w:rPr>
          <w:rFonts w:hint="eastAsia" w:asciiTheme="minorEastAsia" w:hAnsiTheme="minorEastAsia" w:eastAsiaTheme="minorEastAsia"/>
          <w:bCs/>
          <w:color w:val="000000" w:themeColor="text1"/>
          <w:szCs w:val="21"/>
        </w:rPr>
        <w:t>支付货币</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币种为：，比例为：，汇率为：。 </w:t>
      </w:r>
    </w:p>
    <w:p>
      <w:pPr>
        <w:snapToGrid w:val="0"/>
        <w:spacing w:line="360" w:lineRule="auto"/>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5.3 支付酬金</w:t>
      </w:r>
    </w:p>
    <w:p>
      <w:pPr>
        <w:snapToGrid w:val="0"/>
        <w:spacing w:line="360" w:lineRule="auto"/>
        <w:ind w:firstLine="420" w:firstLineChars="2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正常工作酬金的</w:t>
      </w:r>
      <w:r>
        <w:rPr>
          <w:rFonts w:hint="eastAsia" w:cs="宋体" w:asciiTheme="minorEastAsia" w:hAnsiTheme="minorEastAsia" w:eastAsiaTheme="minorEastAsia"/>
          <w:color w:val="000000" w:themeColor="text1"/>
          <w:szCs w:val="21"/>
        </w:rPr>
        <w:t>支付</w:t>
      </w:r>
      <w:r>
        <w:rPr>
          <w:rFonts w:hint="eastAsia" w:asciiTheme="minorEastAsia" w:hAnsiTheme="minorEastAsia" w:eastAsiaTheme="minorEastAsia"/>
          <w:color w:val="000000" w:themeColor="text1"/>
          <w:szCs w:val="21"/>
        </w:rPr>
        <w:t>：</w:t>
      </w:r>
    </w:p>
    <w:tbl>
      <w:tblPr>
        <w:tblStyle w:val="38"/>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Theme="minorEastAsia" w:hAnsiTheme="minorEastAsia" w:eastAsiaTheme="minorEastAsia"/>
                <w:color w:val="000000" w:themeColor="text1"/>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735" w:firstLineChars="350"/>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Theme="minorEastAsia" w:hAnsiTheme="minorEastAsia" w:eastAsiaTheme="minorEastAsia"/>
                <w:color w:val="000000" w:themeColor="text1"/>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p>
        </w:tc>
      </w:tr>
    </w:tbl>
    <w:p>
      <w:pPr>
        <w:snapToGrid w:val="0"/>
        <w:spacing w:line="360" w:lineRule="auto"/>
        <w:ind w:firstLine="420" w:firstLineChars="200"/>
        <w:rPr>
          <w:rFonts w:asciiTheme="minorEastAsia" w:hAnsiTheme="minorEastAsia" w:eastAsiaTheme="minorEastAsia"/>
          <w:color w:val="000000" w:themeColor="text1"/>
          <w:szCs w:val="21"/>
          <w:u w:val="single"/>
        </w:rPr>
      </w:pPr>
    </w:p>
    <w:p>
      <w:pPr>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Cs/>
          <w:color w:val="000000" w:themeColor="text1"/>
          <w:szCs w:val="21"/>
        </w:rPr>
        <w:t>6</w:t>
      </w:r>
      <w:r>
        <w:rPr>
          <w:rFonts w:hint="eastAsia" w:asciiTheme="minorEastAsia" w:hAnsiTheme="minorEastAsia" w:eastAsiaTheme="minorEastAsia"/>
          <w:b/>
          <w:bCs/>
          <w:color w:val="000000" w:themeColor="text1"/>
          <w:szCs w:val="21"/>
        </w:rPr>
        <w:t>. 合同生效、变更、暂停、解除与终止</w:t>
      </w:r>
    </w:p>
    <w:p>
      <w:pPr>
        <w:adjustRightInd w:val="0"/>
        <w:snapToGrid w:val="0"/>
        <w:spacing w:line="360" w:lineRule="auto"/>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6.1 生效</w:t>
      </w:r>
    </w:p>
    <w:p>
      <w:pPr>
        <w:adjustRightInd w:val="0"/>
        <w:snapToGrid w:val="0"/>
        <w:spacing w:line="360" w:lineRule="auto"/>
        <w:ind w:firstLine="48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本合同生效条件：。</w:t>
      </w:r>
    </w:p>
    <w:p>
      <w:pPr>
        <w:adjustRightInd w:val="0"/>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 变更</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6.2.2 除不可抗力外， 因非监理人原因导致本合同期限延长时，附加工作酬金按下列方法确定：</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附加工作酬金=本合同期限延长时间（天）×正常工作酬金÷协议书约定的监理与相关服务期限（天）</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6.2.3附加工作酬金按下列方法确定：</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附加工作酬金=善后工作及恢复服务的准备工作时间（天）×正常工作酬金÷协议书约定的监理与相关服务期限（天）</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6.2.5 正常工作酬金增加额按下列方法确定： </w:t>
      </w:r>
    </w:p>
    <w:p>
      <w:pPr>
        <w:adjustRightInd w:val="0"/>
        <w:snapToGrid w:val="0"/>
        <w:spacing w:line="360" w:lineRule="auto"/>
        <w:ind w:firstLine="48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正常工作酬金增加额=工程投资额或建筑安装工程费增加额×正常工作酬金÷工程概算投资额（或建筑安装工程费）</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bCs/>
          <w:color w:val="000000" w:themeColor="text1"/>
          <w:szCs w:val="21"/>
        </w:rPr>
        <w:t>7. 争议解决</w:t>
      </w:r>
    </w:p>
    <w:p>
      <w:pPr>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7.2 </w:t>
      </w:r>
      <w:r>
        <w:rPr>
          <w:rFonts w:hint="eastAsia" w:asciiTheme="minorEastAsia" w:hAnsiTheme="minorEastAsia" w:eastAsiaTheme="minorEastAsia"/>
          <w:bCs/>
          <w:color w:val="000000" w:themeColor="text1"/>
          <w:szCs w:val="21"/>
        </w:rPr>
        <w:t>调解</w:t>
      </w:r>
    </w:p>
    <w:p>
      <w:pPr>
        <w:snapToGrid w:val="0"/>
        <w:spacing w:line="360" w:lineRule="auto"/>
        <w:ind w:firstLine="411" w:firstLineChars="196"/>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本合同争议进行调解时，可提交进行调解。</w:t>
      </w:r>
    </w:p>
    <w:p>
      <w:pPr>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7.3 </w:t>
      </w:r>
      <w:r>
        <w:rPr>
          <w:rFonts w:hint="eastAsia" w:asciiTheme="minorEastAsia" w:hAnsiTheme="minorEastAsia" w:eastAsiaTheme="minorEastAsia"/>
          <w:bCs/>
          <w:color w:val="000000" w:themeColor="text1"/>
          <w:szCs w:val="21"/>
        </w:rPr>
        <w:t>仲裁或诉讼</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合同争议的最终解决方式为下列第种方式：</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（1）提请仲裁委员会进行仲裁。</w:t>
      </w:r>
    </w:p>
    <w:p>
      <w:pPr>
        <w:adjustRightInd w:val="0"/>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（2）向人民法院提起诉讼。</w:t>
      </w:r>
    </w:p>
    <w:p>
      <w:pPr>
        <w:adjustRightInd w:val="0"/>
        <w:snapToGrid w:val="0"/>
        <w:spacing w:line="360" w:lineRule="auto"/>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8. 其他</w:t>
      </w:r>
    </w:p>
    <w:p>
      <w:pPr>
        <w:adjustRightInd w:val="0"/>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8.2 检测费用</w:t>
      </w:r>
    </w:p>
    <w:p>
      <w:pPr>
        <w:adjustRightInd w:val="0"/>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 xml:space="preserve">    委托人应在检测工作完成后天内支付检测费用。</w:t>
      </w:r>
    </w:p>
    <w:p>
      <w:pPr>
        <w:adjustRightInd w:val="0"/>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 xml:space="preserve">  8.3 咨询费用</w:t>
      </w:r>
    </w:p>
    <w:p>
      <w:pPr>
        <w:adjustRightInd w:val="0"/>
        <w:snapToGrid w:val="0"/>
        <w:spacing w:line="360" w:lineRule="auto"/>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 xml:space="preserve">    委托人应在咨询工作完成后天内支付咨询费用。</w:t>
      </w:r>
    </w:p>
    <w:p>
      <w:pPr>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8.4 奖励</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合理化建议的奖励金额按下列方法确定为：</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奖励金额＝工程投资节省额×奖励金额的比率；</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奖励金额的比率为%。</w:t>
      </w:r>
    </w:p>
    <w:p>
      <w:pPr>
        <w:adjustRightInd w:val="0"/>
        <w:snapToGrid w:val="0"/>
        <w:spacing w:line="360" w:lineRule="auto"/>
        <w:ind w:firstLine="205" w:firstLineChars="9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8.6 保密</w:t>
      </w:r>
    </w:p>
    <w:p>
      <w:pPr>
        <w:adjustRightInd w:val="0"/>
        <w:snapToGrid w:val="0"/>
        <w:spacing w:line="360" w:lineRule="auto"/>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委托人申明的保密事项和期限：</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adjustRightInd w:val="0"/>
        <w:snapToGrid w:val="0"/>
        <w:spacing w:line="360" w:lineRule="auto"/>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监理人申明的保密事项和期限：</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adjustRightInd w:val="0"/>
        <w:snapToGrid w:val="0"/>
        <w:spacing w:line="360" w:lineRule="auto"/>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第三方申明的保密事项和期限：</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napToGrid w:val="0"/>
        <w:spacing w:line="360" w:lineRule="auto"/>
        <w:ind w:firstLine="205" w:firstLineChars="98"/>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8.8</w:t>
      </w:r>
      <w:r>
        <w:rPr>
          <w:rFonts w:hint="eastAsia" w:asciiTheme="minorEastAsia" w:hAnsiTheme="minorEastAsia" w:eastAsiaTheme="minorEastAsia"/>
          <w:bCs/>
          <w:color w:val="000000" w:themeColor="text1"/>
          <w:szCs w:val="21"/>
        </w:rPr>
        <w:t>著作权</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监理人在本合同履行期间及本合同终止后两年内出版涉及本工程的有关监理与相关服务的资料的限制条件：</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adjustRightInd w:val="0"/>
        <w:snapToGrid w:val="0"/>
        <w:spacing w:beforeLines="50" w:afterLines="50" w:line="360" w:lineRule="auto"/>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 补充条款</w:t>
      </w:r>
    </w:p>
    <w:p>
      <w:pPr>
        <w:adjustRightInd w:val="0"/>
        <w:snapToGrid w:val="0"/>
        <w:spacing w:beforeLines="50" w:afterLines="50" w:line="360" w:lineRule="auto"/>
        <w:ind w:firstLine="210" w:firstLineChars="100"/>
        <w:rPr>
          <w:rFonts w:asciiTheme="minorEastAsia" w:hAnsiTheme="minorEastAsia" w:eastAsiaTheme="minorEastAsia"/>
          <w:color w:val="000000" w:themeColor="text1"/>
          <w:szCs w:val="21"/>
        </w:rPr>
      </w:pPr>
    </w:p>
    <w:p>
      <w:pPr>
        <w:adjustRightInd w:val="0"/>
        <w:snapToGrid w:val="0"/>
        <w:spacing w:beforeLines="50" w:afterLines="50" w:line="360" w:lineRule="auto"/>
        <w:ind w:firstLine="211" w:firstLineChars="100"/>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附录A  相关服务的范围和内容</w:t>
      </w:r>
    </w:p>
    <w:p>
      <w:pPr>
        <w:snapToGrid w:val="0"/>
        <w:spacing w:beforeLines="50" w:afterLines="50" w:line="360" w:lineRule="auto"/>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A-1 勘察阶段：</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napToGrid w:val="0"/>
        <w:spacing w:beforeLines="50" w:afterLines="50" w:line="360" w:lineRule="auto"/>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A-2 设计阶段：</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napToGrid w:val="0"/>
        <w:spacing w:beforeLines="50" w:afterLines="50" w:line="360" w:lineRule="auto"/>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A-3 保修阶段：</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napToGrid w:val="0"/>
        <w:spacing w:beforeLines="50" w:afterLines="50" w:line="360" w:lineRule="auto"/>
        <w:ind w:firstLine="840" w:firstLineChars="4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A-4 其他（专业技术咨询、外部协调工作等）：</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pStyle w:val="2"/>
        <w:ind w:firstLine="210"/>
        <w:rPr>
          <w:rFonts w:asciiTheme="minorEastAsia" w:hAnsiTheme="minorEastAsia" w:eastAsiaTheme="minorEastAsia"/>
          <w:color w:val="000000" w:themeColor="text1"/>
          <w:szCs w:val="21"/>
        </w:rPr>
      </w:pPr>
    </w:p>
    <w:p>
      <w:pPr>
        <w:pStyle w:val="2"/>
        <w:ind w:firstLine="210"/>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bCs/>
          <w:color w:val="000000" w:themeColor="text1"/>
          <w:szCs w:val="21"/>
        </w:rPr>
      </w:pPr>
    </w:p>
    <w:p>
      <w:pPr>
        <w:pageBreakBefore/>
        <w:spacing w:line="360" w:lineRule="auto"/>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附录B  委托人派遣的人员和提供的房屋、资料、设备</w:t>
      </w:r>
    </w:p>
    <w:p>
      <w:pPr>
        <w:spacing w:beforeLines="50"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B-1  委托人派遣的人员</w:t>
      </w:r>
    </w:p>
    <w:tbl>
      <w:tblPr>
        <w:tblStyle w:val="38"/>
        <w:tblpPr w:leftFromText="180" w:rightFromText="180" w:vertAnchor="text" w:horzAnchor="margin" w:tblpXSpec="center" w:tblpY="140"/>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bl>
    <w:p>
      <w:pPr>
        <w:spacing w:beforeLines="50" w:line="360" w:lineRule="auto"/>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B-2  委托人提供的房屋</w:t>
      </w:r>
    </w:p>
    <w:tbl>
      <w:tblPr>
        <w:tblStyle w:val="38"/>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dstrike/>
                <w:color w:val="000000" w:themeColor="text1"/>
                <w:szCs w:val="21"/>
              </w:rPr>
            </w:pPr>
            <w:r>
              <w:rPr>
                <w:rFonts w:hint="eastAsia" w:asciiTheme="minorEastAsia" w:hAnsiTheme="minorEastAsia" w:eastAsiaTheme="minorEastAsia"/>
                <w:color w:val="000000" w:themeColor="text1"/>
                <w:szCs w:val="21"/>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bl>
    <w:p>
      <w:pPr>
        <w:spacing w:beforeLines="50" w:line="360" w:lineRule="auto"/>
        <w:outlineLvl w:val="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B-3  委托人提供的资料</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themeColor="text1"/>
                <w:szCs w:val="21"/>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themeColor="text1"/>
                <w:szCs w:val="21"/>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themeColor="text1"/>
                <w:szCs w:val="21"/>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themeColor="text1"/>
                <w:szCs w:val="21"/>
              </w:rPr>
            </w:pPr>
          </w:p>
        </w:tc>
      </w:tr>
    </w:tbl>
    <w:p>
      <w:pPr>
        <w:spacing w:beforeLines="50"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B-4 委托人提供的设备</w:t>
      </w:r>
    </w:p>
    <w:tbl>
      <w:tblPr>
        <w:tblStyle w:val="38"/>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rPr>
            </w:pPr>
          </w:p>
        </w:tc>
      </w:tr>
    </w:tbl>
    <w:p>
      <w:pPr>
        <w:pStyle w:val="5"/>
        <w:jc w:val="center"/>
        <w:rPr>
          <w:rFonts w:ascii="宋体" w:hAnsi="宋体" w:cs="宋体"/>
          <w:b w:val="0"/>
          <w:szCs w:val="21"/>
        </w:rPr>
      </w:pPr>
    </w:p>
    <w:p>
      <w:pPr>
        <w:jc w:val="left"/>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bookmarkEnd w:id="51"/>
    <w:bookmarkEnd w:id="52"/>
    <w:bookmarkEnd w:id="53"/>
    <w:p>
      <w:pPr>
        <w:autoSpaceDE w:val="0"/>
        <w:autoSpaceDN w:val="0"/>
        <w:spacing w:line="360" w:lineRule="auto"/>
        <w:jc w:val="center"/>
        <w:rPr>
          <w:rFonts w:ascii="宋体" w:hAnsi="宋体" w:cs="宋体"/>
          <w:b/>
          <w:bCs/>
          <w:sz w:val="32"/>
          <w:szCs w:val="32"/>
        </w:rPr>
      </w:pPr>
      <w:bookmarkStart w:id="54" w:name="_Toc430591980"/>
      <w:r>
        <w:rPr>
          <w:rFonts w:hint="eastAsia" w:ascii="宋体" w:hAnsi="宋体" w:cs="宋体"/>
          <w:b/>
          <w:bCs/>
          <w:sz w:val="32"/>
          <w:szCs w:val="32"/>
        </w:rPr>
        <w:t>第五章 投标文件格式</w:t>
      </w:r>
      <w:bookmarkEnd w:id="54"/>
    </w:p>
    <w:p>
      <w:pPr>
        <w:autoSpaceDE w:val="0"/>
        <w:autoSpaceDN w:val="0"/>
        <w:adjustRightInd w:val="0"/>
        <w:spacing w:line="420" w:lineRule="exact"/>
        <w:jc w:val="center"/>
        <w:rPr>
          <w:rFonts w:ascii="宋体" w:hAnsi="宋体" w:cs="宋体"/>
          <w:kern w:val="0"/>
          <w:sz w:val="32"/>
          <w:szCs w:val="32"/>
        </w:rPr>
      </w:pPr>
    </w:p>
    <w:p>
      <w:pPr>
        <w:autoSpaceDE w:val="0"/>
        <w:autoSpaceDN w:val="0"/>
        <w:adjustRightInd w:val="0"/>
        <w:spacing w:line="420" w:lineRule="exact"/>
        <w:jc w:val="center"/>
        <w:rPr>
          <w:rFonts w:ascii="宋体" w:hAnsi="宋体" w:cs="宋体"/>
          <w:kern w:val="0"/>
          <w:sz w:val="32"/>
          <w:szCs w:val="32"/>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jc w:val="right"/>
        <w:rPr>
          <w:rFonts w:ascii="宋体" w:hAnsi="宋体" w:cs="宋体"/>
          <w:kern w:val="0"/>
          <w:sz w:val="28"/>
          <w:szCs w:val="28"/>
        </w:rPr>
      </w:pPr>
      <w:r>
        <w:rPr>
          <w:rFonts w:hint="eastAsia" w:ascii="宋体" w:hAnsi="宋体" w:cs="宋体"/>
          <w:kern w:val="0"/>
          <w:sz w:val="28"/>
          <w:szCs w:val="28"/>
        </w:rPr>
        <w:br w:type="page"/>
      </w:r>
    </w:p>
    <w:p>
      <w:pPr>
        <w:autoSpaceDE w:val="0"/>
        <w:autoSpaceDN w:val="0"/>
        <w:adjustRightInd w:val="0"/>
        <w:jc w:val="right"/>
        <w:rPr>
          <w:rFonts w:ascii="宋体" w:hAnsi="宋体" w:cs="宋体"/>
          <w:kern w:val="0"/>
          <w:sz w:val="28"/>
          <w:szCs w:val="28"/>
        </w:rPr>
      </w:pPr>
    </w:p>
    <w:p>
      <w:pPr>
        <w:autoSpaceDE w:val="0"/>
        <w:autoSpaceDN w:val="0"/>
        <w:adjustRightInd w:val="0"/>
        <w:jc w:val="right"/>
        <w:rPr>
          <w:rFonts w:ascii="宋体" w:hAnsi="宋体" w:cs="宋体"/>
          <w:kern w:val="0"/>
          <w:sz w:val="28"/>
          <w:szCs w:val="28"/>
        </w:rPr>
      </w:pPr>
    </w:p>
    <w:p>
      <w:pPr>
        <w:autoSpaceDE w:val="0"/>
        <w:autoSpaceDN w:val="0"/>
        <w:adjustRightInd w:val="0"/>
        <w:jc w:val="right"/>
        <w:rPr>
          <w:rFonts w:hAnsi="宋体" w:cs="宋体"/>
          <w:color w:val="000000" w:themeColor="text1"/>
          <w:sz w:val="23"/>
          <w:u w:val="single"/>
        </w:rPr>
      </w:pPr>
      <w:r>
        <w:rPr>
          <w:rFonts w:hint="eastAsia" w:hAnsi="宋体" w:cs="宋体"/>
          <w:color w:val="000000" w:themeColor="text1"/>
          <w:sz w:val="24"/>
          <w:szCs w:val="21"/>
        </w:rPr>
        <w:t>正（副）本</w:t>
      </w:r>
    </w:p>
    <w:p>
      <w:pPr>
        <w:autoSpaceDE w:val="0"/>
        <w:autoSpaceDN w:val="0"/>
        <w:adjustRightInd w:val="0"/>
        <w:ind w:firstLine="1380" w:firstLineChars="600"/>
        <w:jc w:val="left"/>
        <w:rPr>
          <w:rFonts w:hAnsi="宋体" w:cs="宋体"/>
          <w:color w:val="000000" w:themeColor="text1"/>
          <w:sz w:val="23"/>
        </w:rPr>
      </w:pPr>
    </w:p>
    <w:p>
      <w:pPr>
        <w:autoSpaceDE w:val="0"/>
        <w:autoSpaceDN w:val="0"/>
        <w:adjustRightInd w:val="0"/>
        <w:spacing w:line="360" w:lineRule="auto"/>
        <w:jc w:val="center"/>
        <w:rPr>
          <w:rFonts w:hint="eastAsia" w:ascii="宋体" w:hAnsi="宋体" w:eastAsia="宋体" w:cs="宋体"/>
          <w:b/>
          <w:bCs/>
          <w:spacing w:val="-9"/>
          <w:w w:val="95"/>
          <w:sz w:val="44"/>
          <w:szCs w:val="44"/>
          <w:lang w:eastAsia="zh-CN"/>
        </w:rPr>
      </w:pPr>
      <w:r>
        <w:rPr>
          <w:rFonts w:hAnsi="宋体" w:cs="宋体"/>
          <w:color w:val="000000" w:themeColor="text1"/>
          <w:sz w:val="23"/>
        </w:rPr>
        <w:t xml:space="preserve">  </w:t>
      </w:r>
      <w:r>
        <w:rPr>
          <w:rFonts w:hint="eastAsia" w:ascii="宋体" w:hAnsi="宋体" w:cs="宋体"/>
          <w:b/>
          <w:bCs/>
          <w:spacing w:val="-9"/>
          <w:w w:val="95"/>
          <w:sz w:val="44"/>
          <w:szCs w:val="44"/>
          <w:lang w:eastAsia="zh-CN"/>
        </w:rPr>
        <w:t>建安区第一高级中学新校区建设项目</w:t>
      </w:r>
    </w:p>
    <w:p>
      <w:pPr>
        <w:autoSpaceDE w:val="0"/>
        <w:autoSpaceDN w:val="0"/>
        <w:adjustRightInd w:val="0"/>
        <w:spacing w:line="360" w:lineRule="auto"/>
        <w:jc w:val="center"/>
        <w:rPr>
          <w:rFonts w:hAnsi="宋体" w:cs="宋体"/>
          <w:b/>
          <w:color w:val="000000" w:themeColor="text1"/>
          <w:sz w:val="28"/>
        </w:rPr>
      </w:pPr>
      <w:r>
        <w:rPr>
          <w:rFonts w:hint="eastAsia" w:ascii="宋体" w:hAnsi="宋体" w:cs="宋体"/>
          <w:kern w:val="0"/>
          <w:sz w:val="44"/>
          <w:szCs w:val="44"/>
        </w:rPr>
        <w:t>（</w:t>
      </w:r>
      <w:r>
        <w:rPr>
          <w:rFonts w:hint="eastAsia" w:ascii="宋体" w:hAnsi="宋体" w:cs="宋体"/>
          <w:kern w:val="0"/>
          <w:sz w:val="44"/>
          <w:szCs w:val="44"/>
          <w:u w:val="single"/>
        </w:rPr>
        <w:t xml:space="preserve">   </w:t>
      </w:r>
      <w:r>
        <w:rPr>
          <w:rFonts w:hint="eastAsia" w:ascii="宋体" w:hAnsi="宋体" w:cs="宋体"/>
          <w:kern w:val="0"/>
          <w:sz w:val="44"/>
          <w:szCs w:val="44"/>
        </w:rPr>
        <w:t>标段）</w:t>
      </w:r>
    </w:p>
    <w:p>
      <w:pPr>
        <w:autoSpaceDE w:val="0"/>
        <w:autoSpaceDN w:val="0"/>
        <w:adjustRightInd w:val="0"/>
        <w:spacing w:line="420" w:lineRule="exact"/>
        <w:jc w:val="left"/>
        <w:rPr>
          <w:rFonts w:hAnsi="宋体" w:cs="宋体"/>
          <w:color w:val="000000" w:themeColor="text1"/>
          <w:sz w:val="28"/>
        </w:rPr>
      </w:pPr>
    </w:p>
    <w:p>
      <w:pPr>
        <w:autoSpaceDE w:val="0"/>
        <w:autoSpaceDN w:val="0"/>
        <w:adjustRightInd w:val="0"/>
        <w:jc w:val="center"/>
        <w:rPr>
          <w:rFonts w:hAnsi="宋体" w:cs="宋体"/>
          <w:b/>
          <w:color w:val="000000" w:themeColor="text1"/>
          <w:spacing w:val="60"/>
          <w:sz w:val="70"/>
        </w:rPr>
      </w:pPr>
    </w:p>
    <w:p>
      <w:pPr>
        <w:pStyle w:val="2"/>
        <w:ind w:firstLine="210"/>
      </w:pPr>
    </w:p>
    <w:p>
      <w:pPr>
        <w:autoSpaceDE w:val="0"/>
        <w:autoSpaceDN w:val="0"/>
        <w:adjustRightInd w:val="0"/>
        <w:spacing w:line="276" w:lineRule="auto"/>
        <w:jc w:val="center"/>
        <w:rPr>
          <w:rFonts w:ascii="宋体" w:hAnsi="宋体" w:cs="宋体"/>
          <w:b/>
          <w:spacing w:val="60"/>
          <w:kern w:val="0"/>
          <w:sz w:val="52"/>
          <w:szCs w:val="44"/>
        </w:rPr>
      </w:pPr>
      <w:r>
        <w:rPr>
          <w:rFonts w:hint="eastAsia" w:ascii="宋体" w:hAnsi="宋体" w:cs="宋体"/>
          <w:b/>
          <w:spacing w:val="60"/>
          <w:kern w:val="0"/>
          <w:sz w:val="52"/>
          <w:szCs w:val="44"/>
        </w:rPr>
        <w:t>投 标 文 件</w:t>
      </w:r>
    </w:p>
    <w:p>
      <w:pPr>
        <w:autoSpaceDE w:val="0"/>
        <w:autoSpaceDN w:val="0"/>
        <w:adjustRightInd w:val="0"/>
        <w:spacing w:line="276" w:lineRule="auto"/>
        <w:jc w:val="center"/>
        <w:rPr>
          <w:rFonts w:ascii="宋体" w:hAnsi="宋体" w:cs="宋体"/>
          <w:b/>
          <w:kern w:val="0"/>
          <w:sz w:val="28"/>
          <w:szCs w:val="48"/>
        </w:rPr>
      </w:pPr>
      <w:r>
        <w:rPr>
          <w:rFonts w:hint="eastAsia" w:ascii="宋体" w:hAnsi="宋体" w:cs="宋体"/>
          <w:b/>
          <w:kern w:val="0"/>
          <w:sz w:val="28"/>
          <w:szCs w:val="28"/>
        </w:rPr>
        <w:t>建安建工公字〔2019〕  号</w:t>
      </w: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pStyle w:val="2"/>
        <w:ind w:firstLine="440"/>
        <w:rPr>
          <w:rFonts w:ascii="宋体" w:hAnsi="宋体" w:cs="宋体"/>
          <w:kern w:val="0"/>
          <w:sz w:val="44"/>
          <w:szCs w:val="44"/>
        </w:rPr>
      </w:pPr>
    </w:p>
    <w:p>
      <w:pPr>
        <w:pStyle w:val="2"/>
        <w:ind w:firstLine="440"/>
        <w:rPr>
          <w:rFonts w:ascii="宋体" w:hAnsi="宋体" w:cs="宋体"/>
          <w:kern w:val="0"/>
          <w:sz w:val="44"/>
          <w:szCs w:val="44"/>
        </w:rPr>
      </w:pPr>
    </w:p>
    <w:p>
      <w:pPr>
        <w:pStyle w:val="2"/>
        <w:ind w:firstLine="440"/>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pStyle w:val="90"/>
        <w:rPr>
          <w:rFonts w:hAnsi="宋体"/>
          <w:color w:val="auto"/>
          <w:sz w:val="28"/>
          <w:szCs w:val="28"/>
        </w:rPr>
      </w:pPr>
    </w:p>
    <w:p>
      <w:pPr>
        <w:pStyle w:val="90"/>
        <w:spacing w:line="360" w:lineRule="auto"/>
        <w:jc w:val="center"/>
        <w:rPr>
          <w:rFonts w:hAnsi="宋体"/>
          <w:color w:val="auto"/>
          <w:u w:val="single"/>
        </w:rPr>
      </w:pPr>
      <w:r>
        <w:rPr>
          <w:rFonts w:hint="eastAsia" w:hAnsi="宋体"/>
          <w:color w:val="auto"/>
        </w:rPr>
        <w:t xml:space="preserve">  投标人：</w:t>
      </w:r>
      <w:r>
        <w:rPr>
          <w:rFonts w:hint="eastAsia" w:hAnsi="宋体"/>
          <w:color w:val="auto"/>
          <w:u w:val="single"/>
        </w:rPr>
        <w:t xml:space="preserve">                                  </w:t>
      </w:r>
      <w:r>
        <w:rPr>
          <w:rFonts w:hint="eastAsia" w:hAnsi="宋体"/>
          <w:color w:val="auto"/>
        </w:rPr>
        <w:t>（盖单位公章）</w:t>
      </w:r>
    </w:p>
    <w:p>
      <w:pPr>
        <w:pStyle w:val="90"/>
        <w:spacing w:line="360" w:lineRule="auto"/>
        <w:ind w:firstLine="1320" w:firstLineChars="550"/>
        <w:rPr>
          <w:rFonts w:hAnsi="宋体"/>
          <w:color w:val="auto"/>
          <w:u w:val="single"/>
        </w:rPr>
      </w:pPr>
      <w:r>
        <w:rPr>
          <w:rFonts w:hint="eastAsia" w:hAnsi="宋体"/>
          <w:color w:val="auto"/>
        </w:rPr>
        <w:t>法定代表人或其委托代理人：</w:t>
      </w:r>
      <w:r>
        <w:rPr>
          <w:rFonts w:hint="eastAsia" w:hAnsi="宋体"/>
          <w:color w:val="auto"/>
          <w:u w:val="single"/>
        </w:rPr>
        <w:t xml:space="preserve">                </w:t>
      </w:r>
      <w:r>
        <w:rPr>
          <w:rFonts w:hint="eastAsia" w:hAnsi="宋体"/>
          <w:color w:val="auto"/>
        </w:rPr>
        <w:t>（签字）</w:t>
      </w:r>
    </w:p>
    <w:p>
      <w:pPr>
        <w:autoSpaceDE w:val="0"/>
        <w:autoSpaceDN w:val="0"/>
        <w:adjustRightInd w:val="0"/>
        <w:jc w:val="center"/>
        <w:rPr>
          <w:rFonts w:hAnsi="宋体"/>
          <w:b/>
          <w:color w:val="000000" w:themeColor="text1"/>
          <w:sz w:val="44"/>
          <w:szCs w:val="44"/>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autoSpaceDE w:val="0"/>
        <w:autoSpaceDN w:val="0"/>
        <w:adjustRightInd w:val="0"/>
        <w:spacing w:line="420" w:lineRule="exact"/>
        <w:jc w:val="left"/>
        <w:rPr>
          <w:rFonts w:hAnsi="宋体" w:cs="黑体"/>
          <w:b/>
          <w:color w:val="000000" w:themeColor="text1"/>
          <w:sz w:val="36"/>
          <w:szCs w:val="36"/>
        </w:rPr>
      </w:pPr>
    </w:p>
    <w:p>
      <w:pPr>
        <w:widowControl/>
        <w:jc w:val="center"/>
        <w:rPr>
          <w:rFonts w:hAnsi="宋体" w:cs="黑体"/>
          <w:b/>
          <w:color w:val="000000" w:themeColor="text1"/>
          <w:sz w:val="36"/>
          <w:szCs w:val="36"/>
        </w:rPr>
      </w:pPr>
      <w:r>
        <w:rPr>
          <w:rFonts w:hAnsi="宋体" w:cs="黑体"/>
          <w:b/>
          <w:color w:val="000000" w:themeColor="text1"/>
          <w:sz w:val="36"/>
          <w:szCs w:val="36"/>
        </w:rPr>
        <w:br w:type="page"/>
      </w:r>
      <w:r>
        <w:rPr>
          <w:rFonts w:hint="eastAsia" w:hAnsi="宋体" w:cs="黑体"/>
          <w:b/>
          <w:color w:val="000000" w:themeColor="text1"/>
          <w:sz w:val="36"/>
          <w:szCs w:val="36"/>
        </w:rPr>
        <w:t>目   录</w:t>
      </w:r>
    </w:p>
    <w:p>
      <w:pPr>
        <w:autoSpaceDE w:val="0"/>
        <w:autoSpaceDN w:val="0"/>
        <w:adjustRightInd w:val="0"/>
        <w:spacing w:line="360" w:lineRule="auto"/>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一、商务部分</w:t>
      </w:r>
    </w:p>
    <w:p>
      <w:pPr>
        <w:autoSpaceDE w:val="0"/>
        <w:autoSpaceDN w:val="0"/>
        <w:adjustRightInd w:val="0"/>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一、投标函及投标函附录</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（一）投 标 函</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（二）投标函附录</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二、法定代表人身份证明和附有法定代表人身份证明的授权委托；</w:t>
      </w:r>
    </w:p>
    <w:p>
      <w:pPr>
        <w:autoSpaceDE w:val="0"/>
        <w:autoSpaceDN w:val="0"/>
        <w:adjustRightInd w:val="0"/>
        <w:spacing w:line="360" w:lineRule="auto"/>
        <w:jc w:val="left"/>
        <w:outlineLvl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（一）法定代表人身份证明 </w:t>
      </w:r>
    </w:p>
    <w:p>
      <w:pPr>
        <w:autoSpaceDE w:val="0"/>
        <w:autoSpaceDN w:val="0"/>
        <w:adjustRightInd w:val="0"/>
        <w:spacing w:line="360" w:lineRule="auto"/>
        <w:jc w:val="left"/>
        <w:outlineLvl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（二）授权委托书</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三、投标保证金；</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四、监理单位综合情况；</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五、拟派本项目监理机构及主要人员；</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六、服务承诺；</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七、监理单位近三年内完成同类工程项目；</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八、目前正在监理的工程项目；</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九、监理单位近三年获得荣誉称号；</w:t>
      </w:r>
    </w:p>
    <w:p>
      <w:pPr>
        <w:autoSpaceDE w:val="0"/>
        <w:autoSpaceDN w:val="0"/>
        <w:adjustRightInd w:val="0"/>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十、投标人须知前附表规定的其他材料。       </w:t>
      </w:r>
    </w:p>
    <w:p>
      <w:pPr>
        <w:autoSpaceDE w:val="0"/>
        <w:autoSpaceDN w:val="0"/>
        <w:adjustRightInd w:val="0"/>
        <w:spacing w:line="360" w:lineRule="auto"/>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 xml:space="preserve"> 二、监理大纲</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（1）质量控制</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（2）进度控制</w:t>
      </w:r>
      <w:r>
        <w:rPr>
          <w:rFonts w:hint="eastAsia" w:asciiTheme="minorEastAsia" w:hAnsiTheme="minorEastAsia" w:eastAsiaTheme="minorEastAsia"/>
          <w:color w:val="000000" w:themeColor="text1"/>
          <w:sz w:val="28"/>
          <w:szCs w:val="28"/>
        </w:rPr>
        <w:tab/>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（3）造价控制</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（4）安全措施</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（5）旁站监理措施</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（6）档案及合同管理</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（7）工作制度</w:t>
      </w:r>
    </w:p>
    <w:p>
      <w:pPr>
        <w:autoSpaceDE w:val="0"/>
        <w:autoSpaceDN w:val="0"/>
        <w:adjustRightInd w:val="0"/>
        <w:spacing w:line="360" w:lineRule="auto"/>
        <w:ind w:firstLine="980" w:firstLineChars="35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（8）组织协调及合理化建议</w:t>
      </w:r>
    </w:p>
    <w:p>
      <w:pPr>
        <w:autoSpaceDE w:val="0"/>
        <w:autoSpaceDN w:val="0"/>
        <w:adjustRightInd w:val="0"/>
        <w:outlineLvl w:val="0"/>
        <w:rPr>
          <w:rFonts w:hAnsi="宋体" w:cs="黑体"/>
          <w:b/>
          <w:color w:val="000000" w:themeColor="text1"/>
          <w:sz w:val="32"/>
          <w:szCs w:val="32"/>
        </w:rPr>
      </w:pPr>
      <w:bookmarkStart w:id="55" w:name="_Toc215282237"/>
    </w:p>
    <w:p>
      <w:pPr>
        <w:autoSpaceDE w:val="0"/>
        <w:autoSpaceDN w:val="0"/>
        <w:adjustRightInd w:val="0"/>
        <w:spacing w:line="360" w:lineRule="auto"/>
        <w:jc w:val="center"/>
        <w:rPr>
          <w:rFonts w:ascii="黑体" w:hAnsi="新宋体" w:eastAsia="黑体" w:cs="黑体"/>
          <w:color w:val="000000" w:themeColor="text1"/>
          <w:sz w:val="32"/>
          <w:szCs w:val="32"/>
        </w:rPr>
      </w:pPr>
    </w:p>
    <w:p>
      <w:pPr>
        <w:autoSpaceDE w:val="0"/>
        <w:autoSpaceDN w:val="0"/>
        <w:adjustRightInd w:val="0"/>
        <w:spacing w:line="360" w:lineRule="auto"/>
        <w:jc w:val="center"/>
        <w:rPr>
          <w:rFonts w:ascii="黑体" w:hAnsi="新宋体" w:eastAsia="黑体" w:cs="黑体"/>
          <w:color w:val="000000" w:themeColor="text1"/>
          <w:sz w:val="32"/>
          <w:szCs w:val="32"/>
        </w:rPr>
      </w:pPr>
    </w:p>
    <w:p>
      <w:pPr>
        <w:pStyle w:val="2"/>
        <w:ind w:firstLine="0" w:firstLineChars="0"/>
        <w:jc w:val="center"/>
        <w:rPr>
          <w:rFonts w:hAnsi="宋体"/>
          <w:b/>
          <w:color w:val="000000" w:themeColor="text1"/>
          <w:sz w:val="36"/>
          <w:szCs w:val="36"/>
        </w:rPr>
      </w:pPr>
    </w:p>
    <w:p>
      <w:pPr>
        <w:pStyle w:val="2"/>
        <w:ind w:firstLine="0" w:firstLineChars="0"/>
        <w:jc w:val="center"/>
        <w:rPr>
          <w:rFonts w:hAnsi="宋体"/>
          <w:b/>
          <w:color w:val="000000" w:themeColor="text1"/>
          <w:sz w:val="36"/>
          <w:szCs w:val="36"/>
        </w:rPr>
      </w:pPr>
    </w:p>
    <w:p>
      <w:pPr>
        <w:pStyle w:val="2"/>
        <w:ind w:firstLine="0" w:firstLineChars="0"/>
        <w:jc w:val="center"/>
        <w:rPr>
          <w:rFonts w:hAnsi="宋体"/>
          <w:b/>
          <w:color w:val="000000" w:themeColor="text1"/>
          <w:sz w:val="36"/>
          <w:szCs w:val="36"/>
        </w:rPr>
      </w:pPr>
    </w:p>
    <w:p>
      <w:pPr>
        <w:pStyle w:val="2"/>
        <w:ind w:firstLine="0" w:firstLineChars="0"/>
        <w:jc w:val="center"/>
        <w:rPr>
          <w:rFonts w:hAnsi="宋体"/>
          <w:b/>
          <w:color w:val="000000" w:themeColor="text1"/>
          <w:sz w:val="36"/>
          <w:szCs w:val="36"/>
        </w:rPr>
      </w:pPr>
    </w:p>
    <w:p>
      <w:pPr>
        <w:pStyle w:val="2"/>
        <w:ind w:firstLine="0" w:firstLineChars="0"/>
        <w:jc w:val="center"/>
        <w:rPr>
          <w:rFonts w:hAnsi="宋体"/>
          <w:b/>
          <w:color w:val="000000" w:themeColor="text1"/>
          <w:sz w:val="36"/>
          <w:szCs w:val="36"/>
        </w:rPr>
      </w:pPr>
    </w:p>
    <w:p>
      <w:pPr>
        <w:pStyle w:val="2"/>
        <w:ind w:firstLine="0" w:firstLineChars="0"/>
        <w:jc w:val="center"/>
        <w:rPr>
          <w:rFonts w:hAnsi="宋体"/>
          <w:b/>
          <w:color w:val="000000" w:themeColor="text1"/>
          <w:sz w:val="36"/>
          <w:szCs w:val="36"/>
        </w:rPr>
      </w:pPr>
    </w:p>
    <w:p>
      <w:pPr>
        <w:pStyle w:val="2"/>
        <w:ind w:firstLine="0" w:firstLineChars="0"/>
        <w:jc w:val="center"/>
        <w:rPr>
          <w:color w:val="000000" w:themeColor="text1"/>
        </w:rPr>
      </w:pPr>
      <w:r>
        <w:rPr>
          <w:rFonts w:hint="eastAsia" w:hAnsi="宋体"/>
          <w:b/>
          <w:color w:val="000000" w:themeColor="text1"/>
          <w:sz w:val="36"/>
          <w:szCs w:val="36"/>
        </w:rPr>
        <w:t>一、商务部分</w:t>
      </w:r>
    </w:p>
    <w:p>
      <w:pPr>
        <w:pStyle w:val="2"/>
        <w:ind w:firstLine="210"/>
        <w:rPr>
          <w:color w:val="000000" w:themeColor="text1"/>
        </w:rPr>
      </w:pPr>
    </w:p>
    <w:p>
      <w:pPr>
        <w:pStyle w:val="2"/>
        <w:ind w:firstLine="210"/>
        <w:rPr>
          <w:color w:val="000000" w:themeColor="text1"/>
        </w:rPr>
      </w:pPr>
    </w:p>
    <w:p>
      <w:pPr>
        <w:pStyle w:val="2"/>
        <w:ind w:firstLine="210"/>
        <w:rPr>
          <w:color w:val="000000" w:themeColor="text1"/>
        </w:rPr>
      </w:pPr>
    </w:p>
    <w:p>
      <w:pPr>
        <w:widowControl/>
        <w:jc w:val="left"/>
        <w:rPr>
          <w:rFonts w:ascii="黑体" w:hAnsi="新宋体" w:eastAsia="黑体" w:cs="黑体"/>
          <w:color w:val="000000" w:themeColor="text1"/>
          <w:sz w:val="32"/>
          <w:szCs w:val="32"/>
        </w:rPr>
      </w:pPr>
      <w:r>
        <w:rPr>
          <w:rFonts w:ascii="黑体" w:hAnsi="新宋体" w:eastAsia="黑体" w:cs="黑体"/>
          <w:color w:val="000000" w:themeColor="text1"/>
          <w:sz w:val="32"/>
          <w:szCs w:val="32"/>
        </w:rPr>
        <w:br w:type="page"/>
      </w: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一、投标函及投标函附录</w:t>
      </w:r>
      <w:bookmarkEnd w:id="55"/>
    </w:p>
    <w:p>
      <w:pPr>
        <w:autoSpaceDE w:val="0"/>
        <w:autoSpaceDN w:val="0"/>
        <w:adjustRightInd w:val="0"/>
        <w:spacing w:line="300" w:lineRule="auto"/>
        <w:jc w:val="center"/>
        <w:outlineLvl w:val="0"/>
        <w:rPr>
          <w:rFonts w:hAnsi="宋体" w:cs="黑体"/>
          <w:b/>
          <w:color w:val="000000" w:themeColor="text1"/>
          <w:sz w:val="24"/>
        </w:rPr>
      </w:pPr>
      <w:bookmarkStart w:id="56" w:name="_Toc215282238"/>
      <w:r>
        <w:rPr>
          <w:rFonts w:hint="eastAsia" w:hAnsi="宋体" w:cs="黑体"/>
          <w:b/>
          <w:color w:val="000000" w:themeColor="text1"/>
          <w:sz w:val="24"/>
        </w:rPr>
        <w:t>（一）投 标 函</w:t>
      </w:r>
      <w:bookmarkEnd w:id="56"/>
    </w:p>
    <w:p>
      <w:pPr>
        <w:autoSpaceDE w:val="0"/>
        <w:autoSpaceDN w:val="0"/>
        <w:adjustRightInd w:val="0"/>
        <w:spacing w:line="480" w:lineRule="exact"/>
        <w:jc w:val="left"/>
        <w:rPr>
          <w:rFonts w:hAnsi="宋体"/>
          <w:color w:val="000000" w:themeColor="text1"/>
          <w:sz w:val="24"/>
          <w:u w:val="single"/>
        </w:rPr>
      </w:pPr>
      <w:r>
        <w:rPr>
          <w:rFonts w:hAnsi="宋体"/>
          <w:color w:val="000000" w:themeColor="text1"/>
          <w:sz w:val="24"/>
        </w:rPr>
        <w:t>致：</w:t>
      </w:r>
      <w:r>
        <w:rPr>
          <w:rFonts w:hint="eastAsia" w:hAnsi="宋体"/>
          <w:color w:val="000000" w:themeColor="text1"/>
          <w:sz w:val="24"/>
        </w:rPr>
        <w:t>（招标人名称）</w:t>
      </w:r>
    </w:p>
    <w:p>
      <w:pPr>
        <w:spacing w:line="480" w:lineRule="exact"/>
        <w:rPr>
          <w:rFonts w:cs="宋体" w:asciiTheme="minorEastAsia" w:hAnsiTheme="minorEastAsia"/>
          <w:color w:val="000000" w:themeColor="text1"/>
          <w:sz w:val="24"/>
        </w:rPr>
      </w:pPr>
      <w:r>
        <w:rPr>
          <w:rFonts w:hint="eastAsia" w:hAnsi="宋体"/>
          <w:color w:val="000000" w:themeColor="text1"/>
          <w:sz w:val="24"/>
        </w:rPr>
        <w:t xml:space="preserve"> </w:t>
      </w:r>
      <w:r>
        <w:rPr>
          <w:rFonts w:hint="eastAsia" w:asciiTheme="minorEastAsia" w:hAnsiTheme="minorEastAsia"/>
          <w:color w:val="000000" w:themeColor="text1"/>
          <w:sz w:val="24"/>
        </w:rPr>
        <w:t xml:space="preserve">   </w:t>
      </w:r>
      <w:r>
        <w:rPr>
          <w:rFonts w:asciiTheme="minorEastAsia" w:hAnsiTheme="minorEastAsia"/>
          <w:color w:val="000000" w:themeColor="text1"/>
          <w:sz w:val="24"/>
        </w:rPr>
        <w:t>我们收到了</w:t>
      </w:r>
      <w:r>
        <w:rPr>
          <w:rFonts w:hint="eastAsia" w:asciiTheme="minorEastAsia" w:hAnsiTheme="minorEastAsia"/>
          <w:color w:val="000000" w:themeColor="text1"/>
          <w:sz w:val="24"/>
          <w:u w:val="single"/>
        </w:rPr>
        <w:t xml:space="preserve">            </w:t>
      </w:r>
      <w:r>
        <w:rPr>
          <w:rFonts w:hint="eastAsia" w:cs="宋体" w:asciiTheme="minorEastAsia" w:hAnsiTheme="minorEastAsia"/>
          <w:color w:val="000000" w:themeColor="text1"/>
          <w:sz w:val="24"/>
        </w:rPr>
        <w:t>监理项目的招标文件，经详细研究，我们决定参加该项目投标活动并投标，我们郑重声明以下诸点并负法律责任。</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1、</w:t>
      </w:r>
      <w:r>
        <w:rPr>
          <w:rFonts w:asciiTheme="minorEastAsia" w:hAnsiTheme="minorEastAsia"/>
          <w:color w:val="000000" w:themeColor="text1"/>
          <w:sz w:val="24"/>
        </w:rPr>
        <w:t>我方授权</w:t>
      </w:r>
      <w:r>
        <w:rPr>
          <w:rFonts w:asciiTheme="minorEastAsia" w:hAnsiTheme="minorEastAsia"/>
          <w:color w:val="000000" w:themeColor="text1"/>
          <w:sz w:val="24"/>
          <w:u w:val="single"/>
        </w:rPr>
        <w:t>　　　　　　　　　</w:t>
      </w:r>
      <w:r>
        <w:rPr>
          <w:rFonts w:asciiTheme="minorEastAsia" w:hAnsiTheme="minorEastAsia"/>
          <w:color w:val="000000" w:themeColor="text1"/>
          <w:sz w:val="24"/>
        </w:rPr>
        <w:t>（姓名、职务）</w:t>
      </w:r>
      <w:r>
        <w:rPr>
          <w:rFonts w:hint="eastAsia" w:asciiTheme="minorEastAsia" w:hAnsiTheme="minorEastAsia"/>
          <w:color w:val="000000" w:themeColor="text1"/>
          <w:sz w:val="24"/>
        </w:rPr>
        <w:t>（姓名、职务）作为全权代表负责该工程投标及处理有关事宜</w:t>
      </w:r>
      <w:r>
        <w:rPr>
          <w:rFonts w:asciiTheme="minorEastAsia" w:hAnsiTheme="minorEastAsia"/>
          <w:color w:val="000000" w:themeColor="text1"/>
          <w:sz w:val="24"/>
        </w:rPr>
        <w:t>。</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2、</w:t>
      </w:r>
      <w:r>
        <w:rPr>
          <w:rFonts w:hint="eastAsia" w:asciiTheme="minorEastAsia" w:hAnsiTheme="minorEastAsia"/>
          <w:color w:val="000000" w:themeColor="text1"/>
          <w:sz w:val="24"/>
        </w:rPr>
        <w:t>愿按照招标文件中的条款和要求，提供施工阶段的工程监理服务，监理费报价为</w:t>
      </w:r>
      <w:r>
        <w:rPr>
          <w:rFonts w:hint="eastAsia" w:asciiTheme="minorEastAsia" w:hAnsiTheme="minorEastAsia"/>
          <w:color w:val="000000" w:themeColor="text1"/>
          <w:sz w:val="24"/>
          <w:u w:val="single"/>
        </w:rPr>
        <w:t>工程总承包中施工费中标价的     %</w:t>
      </w:r>
      <w:r>
        <w:rPr>
          <w:rFonts w:hint="eastAsia" w:asciiTheme="minorEastAsia" w:hAnsiTheme="minorEastAsia"/>
          <w:color w:val="000000" w:themeColor="text1"/>
          <w:sz w:val="24"/>
        </w:rPr>
        <w:t>,服务期限为</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，项目总监为：</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3、</w:t>
      </w:r>
      <w:r>
        <w:rPr>
          <w:rFonts w:hint="eastAsia" w:cs="宋体" w:asciiTheme="minorEastAsia" w:hAnsiTheme="minorEastAsia"/>
          <w:color w:val="000000" w:themeColor="text1"/>
          <w:sz w:val="24"/>
        </w:rPr>
        <w:t>如果我们中标，我们保证按照招标文件的要求和招标人签订工程监理合同，按招标文件要求选派总监理工程师及监理工程师进驻施工现场实施监理合同。</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4、</w:t>
      </w:r>
      <w:r>
        <w:rPr>
          <w:rFonts w:hint="eastAsia" w:asciiTheme="minorEastAsia" w:hAnsiTheme="minorEastAsia"/>
          <w:color w:val="000000" w:themeColor="text1"/>
          <w:sz w:val="24"/>
        </w:rPr>
        <w:t>我们按照招标文件中的规定，认定本投标文件的有效期为</w:t>
      </w:r>
      <w:r>
        <w:rPr>
          <w:rFonts w:hint="eastAsia" w:asciiTheme="minorEastAsia" w:hAnsiTheme="minorEastAsia"/>
          <w:color w:val="000000" w:themeColor="text1"/>
          <w:sz w:val="24"/>
          <w:u w:val="single"/>
        </w:rPr>
        <w:t xml:space="preserve">       </w:t>
      </w:r>
      <w:r>
        <w:rPr>
          <w:rFonts w:asciiTheme="minorEastAsia" w:hAnsiTheme="minorEastAsia"/>
          <w:color w:val="000000" w:themeColor="text1"/>
          <w:sz w:val="24"/>
        </w:rPr>
        <w:t>天，</w:t>
      </w:r>
      <w:r>
        <w:rPr>
          <w:rFonts w:hint="eastAsia" w:asciiTheme="minorEastAsia" w:hAnsiTheme="minorEastAsia"/>
          <w:color w:val="000000" w:themeColor="text1"/>
          <w:sz w:val="24"/>
        </w:rPr>
        <w:t>如果中标，有效期延长至合同终止日止</w:t>
      </w:r>
      <w:r>
        <w:rPr>
          <w:rFonts w:asciiTheme="minorEastAsia" w:hAnsiTheme="minorEastAsia"/>
          <w:color w:val="000000" w:themeColor="text1"/>
          <w:sz w:val="24"/>
        </w:rPr>
        <w:t>。</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5、</w:t>
      </w:r>
      <w:r>
        <w:rPr>
          <w:rFonts w:hint="eastAsia" w:cs="宋体" w:asciiTheme="minorEastAsia" w:hAnsiTheme="minorEastAsia"/>
          <w:color w:val="000000" w:themeColor="text1"/>
          <w:sz w:val="24"/>
        </w:rPr>
        <w:t>我们愿按招标文件规定，提供招标文件中要求的所有文件资料。</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6、</w:t>
      </w:r>
      <w:r>
        <w:rPr>
          <w:rFonts w:hint="eastAsia" w:asciiTheme="minorEastAsia" w:hAnsiTheme="minorEastAsia"/>
          <w:color w:val="000000" w:themeColor="text1"/>
          <w:sz w:val="24"/>
        </w:rPr>
        <w:t>我们同意从投标之日起至本工程竣工移交止均遵守本投标文件，在此期限满之前的任何时间，本投标文件一直对我们具有约束力</w:t>
      </w:r>
      <w:r>
        <w:rPr>
          <w:rFonts w:asciiTheme="minorEastAsia" w:hAnsiTheme="minorEastAsia"/>
          <w:color w:val="000000" w:themeColor="text1"/>
          <w:sz w:val="24"/>
        </w:rPr>
        <w:t>。</w:t>
      </w:r>
    </w:p>
    <w:p>
      <w:pPr>
        <w:spacing w:line="480" w:lineRule="exact"/>
        <w:ind w:firstLine="482" w:firstLineChars="200"/>
        <w:rPr>
          <w:rFonts w:asciiTheme="minorEastAsia" w:hAnsiTheme="minorEastAsia"/>
          <w:color w:val="000000" w:themeColor="text1"/>
          <w:sz w:val="24"/>
        </w:rPr>
      </w:pPr>
      <w:r>
        <w:rPr>
          <w:rFonts w:asciiTheme="minorEastAsia" w:hAnsiTheme="minorEastAsia"/>
          <w:b/>
          <w:color w:val="000000" w:themeColor="text1"/>
          <w:sz w:val="24"/>
        </w:rPr>
        <w:t>7、</w:t>
      </w:r>
      <w:r>
        <w:rPr>
          <w:rFonts w:hint="eastAsia" w:asciiTheme="minorEastAsia" w:hAnsiTheme="minorEastAsia"/>
          <w:color w:val="000000" w:themeColor="text1"/>
          <w:sz w:val="24"/>
        </w:rPr>
        <w:t>我们愿按《中华人民共和国合同法》履行自己的全部责任</w:t>
      </w:r>
      <w:r>
        <w:rPr>
          <w:rFonts w:asciiTheme="minorEastAsia" w:hAnsiTheme="minorEastAsia"/>
          <w:color w:val="000000" w:themeColor="text1"/>
          <w:sz w:val="24"/>
        </w:rPr>
        <w:t>。</w:t>
      </w:r>
    </w:p>
    <w:p>
      <w:pPr>
        <w:spacing w:line="480" w:lineRule="exact"/>
        <w:ind w:firstLine="482" w:firstLineChars="200"/>
        <w:rPr>
          <w:rFonts w:asciiTheme="minorEastAsia" w:hAnsiTheme="minorEastAsia"/>
          <w:color w:val="000000" w:themeColor="text1"/>
          <w:sz w:val="24"/>
        </w:rPr>
      </w:pPr>
      <w:r>
        <w:rPr>
          <w:rFonts w:hint="eastAsia" w:asciiTheme="minorEastAsia" w:hAnsiTheme="minorEastAsia"/>
          <w:b/>
          <w:color w:val="000000" w:themeColor="text1"/>
          <w:sz w:val="24"/>
        </w:rPr>
        <w:t>8、</w:t>
      </w:r>
      <w:r>
        <w:rPr>
          <w:rFonts w:hint="eastAsia" w:asciiTheme="minorEastAsia" w:hAnsiTheme="minorEastAsia"/>
          <w:color w:val="000000" w:themeColor="text1"/>
          <w:sz w:val="24"/>
        </w:rPr>
        <w:t>若我方中标，我方愿意按有关文件规定缴纳招标代理费用。</w:t>
      </w:r>
    </w:p>
    <w:p>
      <w:pPr>
        <w:spacing w:line="480" w:lineRule="exact"/>
        <w:ind w:firstLine="480" w:firstLineChars="200"/>
        <w:rPr>
          <w:rFonts w:hAnsi="宋体"/>
          <w:color w:val="000000" w:themeColor="text1"/>
          <w:sz w:val="24"/>
        </w:rPr>
      </w:pPr>
    </w:p>
    <w:p>
      <w:pPr>
        <w:tabs>
          <w:tab w:val="left" w:pos="5400"/>
        </w:tabs>
        <w:spacing w:line="480" w:lineRule="exact"/>
        <w:ind w:firstLine="480" w:firstLineChars="200"/>
        <w:rPr>
          <w:rFonts w:hAnsi="宋体"/>
          <w:color w:val="000000" w:themeColor="text1"/>
          <w:sz w:val="24"/>
        </w:rPr>
      </w:pPr>
      <w:r>
        <w:rPr>
          <w:rFonts w:hAnsi="宋体"/>
          <w:color w:val="000000" w:themeColor="text1"/>
          <w:sz w:val="24"/>
        </w:rPr>
        <w:t>投标人名称：（盖章）</w:t>
      </w:r>
      <w:r>
        <w:rPr>
          <w:rFonts w:hAnsi="宋体"/>
          <w:color w:val="000000" w:themeColor="text1"/>
          <w:sz w:val="24"/>
        </w:rPr>
        <w:tab/>
      </w:r>
    </w:p>
    <w:p>
      <w:pPr>
        <w:tabs>
          <w:tab w:val="left" w:pos="5400"/>
        </w:tabs>
        <w:spacing w:line="480" w:lineRule="exact"/>
        <w:ind w:firstLine="480" w:firstLineChars="200"/>
        <w:rPr>
          <w:rFonts w:hAnsi="宋体"/>
          <w:color w:val="000000" w:themeColor="text1"/>
          <w:sz w:val="24"/>
        </w:rPr>
      </w:pPr>
    </w:p>
    <w:p>
      <w:pPr>
        <w:tabs>
          <w:tab w:val="left" w:pos="5400"/>
        </w:tabs>
        <w:spacing w:line="480" w:lineRule="exact"/>
        <w:ind w:firstLine="480" w:firstLineChars="200"/>
        <w:rPr>
          <w:rFonts w:hAnsi="宋体"/>
          <w:color w:val="000000" w:themeColor="text1"/>
          <w:sz w:val="24"/>
        </w:rPr>
      </w:pPr>
      <w:r>
        <w:rPr>
          <w:rFonts w:hAnsi="宋体"/>
          <w:color w:val="000000" w:themeColor="text1"/>
          <w:sz w:val="24"/>
        </w:rPr>
        <w:t>法定代表人：（签</w:t>
      </w:r>
      <w:r>
        <w:rPr>
          <w:rFonts w:hint="eastAsia" w:hAnsi="宋体"/>
          <w:color w:val="000000" w:themeColor="text1"/>
          <w:sz w:val="24"/>
        </w:rPr>
        <w:t>字或盖章）</w:t>
      </w:r>
    </w:p>
    <w:p>
      <w:pPr>
        <w:pStyle w:val="2"/>
        <w:ind w:firstLine="210"/>
        <w:rPr>
          <w:color w:val="000000" w:themeColor="text1"/>
        </w:rPr>
      </w:pPr>
    </w:p>
    <w:p>
      <w:pPr>
        <w:autoSpaceDE w:val="0"/>
        <w:autoSpaceDN w:val="0"/>
        <w:adjustRightInd w:val="0"/>
        <w:jc w:val="left"/>
        <w:outlineLvl w:val="0"/>
        <w:rPr>
          <w:rFonts w:hAnsi="宋体"/>
          <w:color w:val="000000" w:themeColor="text1"/>
          <w:sz w:val="24"/>
        </w:rPr>
      </w:pPr>
      <w:r>
        <w:rPr>
          <w:rFonts w:hint="eastAsia" w:hAnsi="宋体"/>
          <w:color w:val="000000" w:themeColor="text1"/>
          <w:sz w:val="24"/>
        </w:rPr>
        <w:t xml:space="preserve">    日期：  </w:t>
      </w:r>
    </w:p>
    <w:p>
      <w:pPr>
        <w:autoSpaceDE w:val="0"/>
        <w:autoSpaceDN w:val="0"/>
        <w:adjustRightInd w:val="0"/>
        <w:jc w:val="left"/>
        <w:outlineLvl w:val="0"/>
        <w:rPr>
          <w:rFonts w:hAnsi="宋体"/>
          <w:color w:val="000000" w:themeColor="text1"/>
          <w:sz w:val="24"/>
        </w:rPr>
      </w:pPr>
    </w:p>
    <w:p>
      <w:pPr>
        <w:autoSpaceDE w:val="0"/>
        <w:autoSpaceDN w:val="0"/>
        <w:adjustRightInd w:val="0"/>
        <w:jc w:val="center"/>
        <w:outlineLvl w:val="0"/>
        <w:rPr>
          <w:rFonts w:hAnsi="宋体" w:cs="仿宋_GB2312"/>
          <w:b/>
          <w:color w:val="000000" w:themeColor="text1"/>
          <w:sz w:val="24"/>
        </w:rPr>
      </w:pPr>
      <w:r>
        <w:rPr>
          <w:rFonts w:hAnsi="宋体" w:cs="黑体"/>
          <w:b/>
          <w:color w:val="000000" w:themeColor="text1"/>
          <w:sz w:val="24"/>
        </w:rPr>
        <w:br w:type="page"/>
      </w:r>
      <w:bookmarkStart w:id="57" w:name="_Toc215282239"/>
      <w:r>
        <w:rPr>
          <w:rFonts w:hint="eastAsia" w:hAnsi="宋体" w:cs="仿宋_GB2312"/>
          <w:b/>
          <w:color w:val="000000" w:themeColor="text1"/>
          <w:sz w:val="24"/>
        </w:rPr>
        <w:t>（二）投标函附录</w:t>
      </w:r>
      <w:bookmarkEnd w:id="57"/>
    </w:p>
    <w:p>
      <w:pPr>
        <w:rPr>
          <w:rFonts w:hAnsi="宋体" w:cs="仿宋_GB2312"/>
          <w:color w:val="000000" w:themeColor="text1"/>
          <w:sz w:val="24"/>
        </w:rPr>
      </w:pPr>
    </w:p>
    <w:tbl>
      <w:tblPr>
        <w:tblStyle w:val="38"/>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r>
              <w:rPr>
                <w:rFonts w:hint="eastAsia" w:hAnsi="宋体" w:cs="仿宋_GB2312"/>
                <w:color w:val="000000" w:themeColor="text1"/>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服务期</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质量要求</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投标报价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r>
              <w:rPr>
                <w:rFonts w:hint="eastAsia" w:hAnsi="宋体" w:cs="仿宋_GB2312"/>
                <w:color w:val="000000" w:themeColor="text1"/>
                <w:sz w:val="24"/>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themeColor="text1"/>
                <w:sz w:val="24"/>
              </w:rPr>
            </w:pPr>
            <w:r>
              <w:rPr>
                <w:rFonts w:hint="eastAsia" w:hAnsi="宋体" w:cs="仿宋_GB2312"/>
                <w:color w:val="000000" w:themeColor="text1"/>
                <w:sz w:val="24"/>
              </w:rPr>
              <w:t>（小写）</w:t>
            </w:r>
          </w:p>
        </w:tc>
      </w:tr>
      <w:tr>
        <w:tblPrEx>
          <w:tblLayout w:type="fixed"/>
          <w:tblCellMar>
            <w:top w:w="0" w:type="dxa"/>
            <w:left w:w="108" w:type="dxa"/>
            <w:bottom w:w="0" w:type="dxa"/>
            <w:right w:w="108" w:type="dxa"/>
          </w:tblCellMar>
        </w:tblPrEx>
        <w:trPr>
          <w:trHeight w:val="142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color w:val="000000" w:themeColor="text1"/>
                <w:sz w:val="24"/>
              </w:rPr>
            </w:pPr>
            <w:r>
              <w:rPr>
                <w:rFonts w:hint="eastAsia" w:hAnsi="宋体" w:cs="仿宋_GB2312"/>
                <w:color w:val="000000" w:themeColor="text1"/>
                <w:sz w:val="24"/>
              </w:rPr>
              <w:t>投标有效期</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widowControl/>
              <w:rPr>
                <w:rFonts w:hAnsi="宋体" w:cs="仿宋_GB2312"/>
                <w:color w:val="000000" w:themeColor="text1"/>
                <w:sz w:val="24"/>
              </w:rPr>
            </w:pPr>
            <w:r>
              <w:rPr>
                <w:rFonts w:hint="eastAsia" w:hAnsi="宋体" w:cs="仿宋_GB2312"/>
                <w:color w:val="000000" w:themeColor="text1"/>
                <w:sz w:val="24"/>
              </w:rPr>
              <w:t xml:space="preserve">      </w:t>
            </w: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color w:val="000000" w:themeColor="text1"/>
                <w:sz w:val="24"/>
              </w:rPr>
            </w:pPr>
            <w:r>
              <w:rPr>
                <w:rFonts w:hint="eastAsia" w:hAnsi="宋体" w:cs="仿宋_GB2312"/>
                <w:color w:val="000000" w:themeColor="text1"/>
                <w:sz w:val="24"/>
              </w:rPr>
              <w:t>优惠与服务承诺</w:t>
            </w: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color w:val="000000" w:themeColor="text1"/>
                <w:sz w:val="24"/>
              </w:rPr>
            </w:pPr>
          </w:p>
        </w:tc>
      </w:tr>
    </w:tbl>
    <w:p>
      <w:pPr>
        <w:ind w:right="315"/>
        <w:jc w:val="right"/>
        <w:rPr>
          <w:rFonts w:hAnsi="宋体" w:cs="仿宋_GB2312"/>
          <w:color w:val="000000" w:themeColor="text1"/>
          <w:szCs w:val="21"/>
        </w:rPr>
      </w:pPr>
    </w:p>
    <w:p>
      <w:pPr>
        <w:ind w:right="1470"/>
        <w:jc w:val="center"/>
        <w:rPr>
          <w:rFonts w:hAnsi="宋体" w:cs="仿宋_GB2312"/>
          <w:color w:val="000000" w:themeColor="text1"/>
          <w:sz w:val="24"/>
        </w:rPr>
      </w:pPr>
      <w:r>
        <w:rPr>
          <w:rFonts w:hint="eastAsia" w:hAnsi="宋体" w:cs="仿宋_GB2312"/>
          <w:color w:val="000000" w:themeColor="text1"/>
          <w:sz w:val="24"/>
        </w:rPr>
        <w:t xml:space="preserve">                                        投标单位（盖章）：</w:t>
      </w:r>
    </w:p>
    <w:p>
      <w:pPr>
        <w:ind w:right="840"/>
        <w:jc w:val="right"/>
        <w:rPr>
          <w:rFonts w:hAnsi="宋体" w:cs="仿宋_GB2312"/>
          <w:color w:val="000000" w:themeColor="text1"/>
          <w:sz w:val="24"/>
        </w:rPr>
      </w:pPr>
      <w:r>
        <w:rPr>
          <w:rFonts w:hint="eastAsia" w:hAnsi="宋体" w:cs="仿宋_GB2312"/>
          <w:color w:val="000000" w:themeColor="text1"/>
          <w:sz w:val="24"/>
        </w:rPr>
        <w:t>法定代表人（</w:t>
      </w:r>
      <w:r>
        <w:rPr>
          <w:rFonts w:hAnsi="宋体"/>
          <w:color w:val="000000" w:themeColor="text1"/>
          <w:sz w:val="24"/>
        </w:rPr>
        <w:t>签</w:t>
      </w:r>
      <w:r>
        <w:rPr>
          <w:rFonts w:hint="eastAsia" w:hAnsi="宋体"/>
          <w:color w:val="000000" w:themeColor="text1"/>
          <w:sz w:val="24"/>
        </w:rPr>
        <w:t>字或盖章</w:t>
      </w:r>
      <w:r>
        <w:rPr>
          <w:rFonts w:hint="eastAsia" w:hAnsi="宋体" w:cs="仿宋_GB2312"/>
          <w:color w:val="000000" w:themeColor="text1"/>
          <w:sz w:val="24"/>
        </w:rPr>
        <w:t>）：</w:t>
      </w:r>
    </w:p>
    <w:p>
      <w:pPr>
        <w:ind w:right="1470"/>
        <w:jc w:val="right"/>
        <w:rPr>
          <w:rFonts w:hAnsi="宋体" w:cs="仿宋_GB2312"/>
          <w:color w:val="000000" w:themeColor="text1"/>
          <w:sz w:val="24"/>
        </w:rPr>
      </w:pPr>
      <w:r>
        <w:rPr>
          <w:rFonts w:hint="eastAsia" w:hAnsi="宋体" w:cs="仿宋_GB2312"/>
          <w:color w:val="000000" w:themeColor="text1"/>
          <w:sz w:val="24"/>
        </w:rPr>
        <w:t>年    月   日</w:t>
      </w:r>
    </w:p>
    <w:p>
      <w:pPr>
        <w:autoSpaceDE w:val="0"/>
        <w:autoSpaceDN w:val="0"/>
        <w:adjustRightInd w:val="0"/>
        <w:spacing w:line="420" w:lineRule="exact"/>
        <w:jc w:val="center"/>
        <w:outlineLvl w:val="0"/>
        <w:rPr>
          <w:rFonts w:hAnsi="宋体" w:cs="黑体"/>
          <w:b/>
          <w:color w:val="000000" w:themeColor="text1"/>
          <w:sz w:val="32"/>
          <w:szCs w:val="32"/>
        </w:rPr>
      </w:pPr>
      <w:bookmarkStart w:id="58" w:name="_Toc215282240"/>
    </w:p>
    <w:p>
      <w:pPr>
        <w:widowControl/>
        <w:jc w:val="left"/>
        <w:rPr>
          <w:rFonts w:hAnsi="宋体" w:cs="黑体"/>
          <w:b/>
          <w:color w:val="000000" w:themeColor="text1"/>
          <w:sz w:val="32"/>
          <w:szCs w:val="32"/>
        </w:rPr>
      </w:pPr>
      <w:r>
        <w:rPr>
          <w:rFonts w:hAnsi="宋体" w:cs="黑体"/>
          <w:b/>
          <w:color w:val="000000" w:themeColor="text1"/>
          <w:sz w:val="32"/>
          <w:szCs w:val="32"/>
        </w:rPr>
        <w:br w:type="page"/>
      </w:r>
    </w:p>
    <w:p>
      <w:pPr>
        <w:autoSpaceDE w:val="0"/>
        <w:autoSpaceDN w:val="0"/>
        <w:adjustRightInd w:val="0"/>
        <w:spacing w:line="420" w:lineRule="exact"/>
        <w:jc w:val="center"/>
        <w:outlineLvl w:val="0"/>
        <w:rPr>
          <w:rFonts w:hAnsi="宋体" w:cs="黑体"/>
          <w:b/>
          <w:color w:val="000000" w:themeColor="text1"/>
          <w:sz w:val="32"/>
          <w:szCs w:val="32"/>
        </w:rPr>
      </w:pP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二、法定代表人身份证明和附有法定代表人身份证明的授权委托</w:t>
      </w:r>
    </w:p>
    <w:p>
      <w:pPr>
        <w:autoSpaceDE w:val="0"/>
        <w:autoSpaceDN w:val="0"/>
        <w:adjustRightInd w:val="0"/>
        <w:spacing w:line="420" w:lineRule="exact"/>
        <w:outlineLvl w:val="0"/>
        <w:rPr>
          <w:rFonts w:hAnsi="宋体" w:cs="黑体"/>
          <w:b/>
          <w:color w:val="000000" w:themeColor="text1"/>
          <w:sz w:val="24"/>
        </w:rPr>
      </w:pPr>
    </w:p>
    <w:p>
      <w:pPr>
        <w:autoSpaceDE w:val="0"/>
        <w:autoSpaceDN w:val="0"/>
        <w:adjustRightInd w:val="0"/>
        <w:jc w:val="center"/>
        <w:outlineLvl w:val="0"/>
        <w:rPr>
          <w:rFonts w:hAnsi="宋体" w:cs="黑体"/>
          <w:b/>
          <w:color w:val="000000" w:themeColor="text1"/>
          <w:sz w:val="24"/>
        </w:rPr>
      </w:pPr>
    </w:p>
    <w:p>
      <w:pPr>
        <w:autoSpaceDE w:val="0"/>
        <w:autoSpaceDN w:val="0"/>
        <w:adjustRightInd w:val="0"/>
        <w:jc w:val="center"/>
        <w:outlineLvl w:val="0"/>
        <w:rPr>
          <w:rFonts w:hAnsi="宋体" w:cs="黑体"/>
          <w:b/>
          <w:color w:val="000000" w:themeColor="text1"/>
          <w:sz w:val="24"/>
        </w:rPr>
      </w:pPr>
      <w:r>
        <w:rPr>
          <w:rFonts w:hint="eastAsia" w:hAnsi="宋体" w:cs="黑体"/>
          <w:b/>
          <w:color w:val="000000" w:themeColor="text1"/>
          <w:sz w:val="24"/>
        </w:rPr>
        <w:t>（一）法定代表人身份证明</w:t>
      </w:r>
      <w:bookmarkEnd w:id="58"/>
    </w:p>
    <w:p>
      <w:pPr>
        <w:autoSpaceDE w:val="0"/>
        <w:autoSpaceDN w:val="0"/>
        <w:adjustRightInd w:val="0"/>
        <w:spacing w:line="480" w:lineRule="exact"/>
        <w:jc w:val="center"/>
        <w:rPr>
          <w:rFonts w:hAnsi="宋体" w:cs="黑体"/>
          <w:color w:val="000000" w:themeColor="text1"/>
          <w:sz w:val="28"/>
          <w:szCs w:val="28"/>
        </w:rPr>
      </w:pPr>
    </w:p>
    <w:p>
      <w:pPr>
        <w:autoSpaceDE w:val="0"/>
        <w:autoSpaceDN w:val="0"/>
        <w:adjustRightInd w:val="0"/>
        <w:spacing w:line="420" w:lineRule="exact"/>
        <w:ind w:firstLine="480" w:firstLineChars="200"/>
        <w:jc w:val="left"/>
        <w:rPr>
          <w:rFonts w:hAnsi="宋体" w:cs="TimesNewRomanPSMT"/>
          <w:color w:val="000000" w:themeColor="text1"/>
          <w:sz w:val="24"/>
          <w:u w:val="single"/>
        </w:rPr>
      </w:pPr>
      <w:r>
        <w:rPr>
          <w:rFonts w:hint="eastAsia" w:hAnsi="宋体" w:cs="仿宋_GB2312"/>
          <w:color w:val="000000" w:themeColor="text1"/>
          <w:sz w:val="24"/>
        </w:rPr>
        <w:t>投标人名称：</w:t>
      </w:r>
      <w:r>
        <w:rPr>
          <w:rFonts w:hint="eastAsia" w:hAnsi="宋体" w:cs="TimesNewRomanPSMT"/>
          <w:color w:val="000000" w:themeColor="text1"/>
          <w:sz w:val="24"/>
          <w:u w:val="single"/>
        </w:rPr>
        <w:t xml:space="preserve">                        </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单位性质：</w:t>
      </w:r>
      <w:r>
        <w:rPr>
          <w:rFonts w:hint="eastAsia" w:hAnsi="宋体" w:cs="TimesNewRomanPSMT"/>
          <w:color w:val="000000" w:themeColor="text1"/>
          <w:sz w:val="24"/>
          <w:u w:val="single"/>
        </w:rPr>
        <w:t xml:space="preserve">                          </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地址：</w:t>
      </w:r>
      <w:r>
        <w:rPr>
          <w:rFonts w:hint="eastAsia" w:hAnsi="宋体" w:cs="TimesNewRomanPSMT"/>
          <w:color w:val="000000" w:themeColor="text1"/>
          <w:sz w:val="24"/>
          <w:u w:val="single"/>
        </w:rPr>
        <w:t xml:space="preserve">                              </w:t>
      </w:r>
      <w:r>
        <w:rPr>
          <w:rFonts w:hint="eastAsia" w:hAnsi="宋体" w:cs="TimesNewRomanPSMT"/>
          <w:color w:val="000000" w:themeColor="text1"/>
          <w:sz w:val="24"/>
        </w:rPr>
        <w:t xml:space="preserve"> </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成立时间：</w:t>
      </w:r>
      <w:r>
        <w:rPr>
          <w:rFonts w:hint="eastAsia" w:hAnsi="宋体" w:cs="TimesNewRomanPSMT"/>
          <w:color w:val="000000" w:themeColor="text1"/>
          <w:sz w:val="24"/>
          <w:u w:val="single"/>
        </w:rPr>
        <w:t xml:space="preserve">     </w:t>
      </w:r>
      <w:r>
        <w:rPr>
          <w:rFonts w:hint="eastAsia" w:hAnsi="宋体" w:cs="仿宋_GB2312"/>
          <w:color w:val="000000" w:themeColor="text1"/>
          <w:sz w:val="24"/>
        </w:rPr>
        <w:t>年</w:t>
      </w:r>
      <w:r>
        <w:rPr>
          <w:rFonts w:hint="eastAsia" w:hAnsi="宋体" w:cs="TimesNewRomanPSMT"/>
          <w:color w:val="000000" w:themeColor="text1"/>
          <w:sz w:val="24"/>
          <w:u w:val="single"/>
        </w:rPr>
        <w:t xml:space="preserve">     </w:t>
      </w:r>
      <w:r>
        <w:rPr>
          <w:rFonts w:hint="eastAsia" w:hAnsi="宋体" w:cs="仿宋_GB2312"/>
          <w:color w:val="000000" w:themeColor="text1"/>
          <w:sz w:val="24"/>
        </w:rPr>
        <w:t>月</w:t>
      </w:r>
      <w:r>
        <w:rPr>
          <w:rFonts w:hint="eastAsia" w:hAnsi="宋体" w:cs="TimesNewRomanPSMT"/>
          <w:color w:val="000000" w:themeColor="text1"/>
          <w:sz w:val="24"/>
          <w:u w:val="single"/>
        </w:rPr>
        <w:t xml:space="preserve">     </w:t>
      </w:r>
      <w:r>
        <w:rPr>
          <w:rFonts w:hint="eastAsia" w:hAnsi="宋体" w:cs="仿宋_GB2312"/>
          <w:color w:val="000000" w:themeColor="text1"/>
          <w:sz w:val="24"/>
        </w:rPr>
        <w:t>日</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经营期限：</w:t>
      </w:r>
      <w:r>
        <w:rPr>
          <w:rFonts w:hint="eastAsia" w:hAnsi="宋体" w:cs="TimesNewRomanPSMT"/>
          <w:color w:val="000000" w:themeColor="text1"/>
          <w:sz w:val="24"/>
          <w:u w:val="single"/>
        </w:rPr>
        <w:t xml:space="preserve">                          </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姓名：</w:t>
      </w:r>
      <w:r>
        <w:rPr>
          <w:rFonts w:hint="eastAsia" w:hAnsi="宋体" w:cs="TimesNewRomanPSMT"/>
          <w:color w:val="000000" w:themeColor="text1"/>
          <w:sz w:val="24"/>
          <w:u w:val="single"/>
        </w:rPr>
        <w:t xml:space="preserve">     </w:t>
      </w:r>
      <w:r>
        <w:rPr>
          <w:rFonts w:hint="eastAsia" w:hAnsi="宋体" w:cs="仿宋_GB2312"/>
          <w:color w:val="000000" w:themeColor="text1"/>
          <w:sz w:val="24"/>
        </w:rPr>
        <w:t>性别：</w:t>
      </w:r>
      <w:r>
        <w:rPr>
          <w:rFonts w:hint="eastAsia" w:hAnsi="宋体" w:cs="TimesNewRomanPSMT"/>
          <w:color w:val="000000" w:themeColor="text1"/>
          <w:sz w:val="24"/>
          <w:u w:val="single"/>
        </w:rPr>
        <w:t xml:space="preserve">      </w:t>
      </w:r>
      <w:r>
        <w:rPr>
          <w:rFonts w:hint="eastAsia" w:hAnsi="宋体" w:cs="仿宋_GB2312"/>
          <w:color w:val="000000" w:themeColor="text1"/>
          <w:sz w:val="24"/>
        </w:rPr>
        <w:t>年龄：</w:t>
      </w:r>
      <w:r>
        <w:rPr>
          <w:rFonts w:hint="eastAsia" w:hAnsi="宋体" w:cs="TimesNewRomanPSMT"/>
          <w:color w:val="000000" w:themeColor="text1"/>
          <w:sz w:val="24"/>
          <w:u w:val="single"/>
        </w:rPr>
        <w:t xml:space="preserve">      </w:t>
      </w:r>
      <w:r>
        <w:rPr>
          <w:rFonts w:hint="eastAsia" w:hAnsi="宋体" w:cs="仿宋_GB2312"/>
          <w:color w:val="000000" w:themeColor="text1"/>
          <w:sz w:val="24"/>
        </w:rPr>
        <w:t>职务：</w:t>
      </w:r>
      <w:r>
        <w:rPr>
          <w:rFonts w:hint="eastAsia" w:hAnsi="宋体" w:cs="TimesNewRomanPSMT"/>
          <w:color w:val="000000" w:themeColor="text1"/>
          <w:sz w:val="24"/>
          <w:u w:val="single"/>
        </w:rPr>
        <w:t xml:space="preserve">      </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系</w:t>
      </w:r>
      <w:r>
        <w:rPr>
          <w:rFonts w:hint="eastAsia" w:hAnsi="宋体" w:cs="TimesNewRomanPSMT"/>
          <w:color w:val="000000" w:themeColor="text1"/>
          <w:sz w:val="24"/>
          <w:u w:val="single"/>
        </w:rPr>
        <w:t xml:space="preserve">                              </w:t>
      </w:r>
      <w:r>
        <w:rPr>
          <w:rFonts w:hint="eastAsia" w:hAnsi="宋体" w:cs="仿宋_GB2312"/>
          <w:color w:val="000000" w:themeColor="text1"/>
          <w:sz w:val="24"/>
        </w:rPr>
        <w:t>（投标人名称）的法定代表人。</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特此证明。</w:t>
      </w:r>
    </w:p>
    <w:p>
      <w:pPr>
        <w:autoSpaceDE w:val="0"/>
        <w:autoSpaceDN w:val="0"/>
        <w:adjustRightInd w:val="0"/>
        <w:spacing w:line="420" w:lineRule="exact"/>
        <w:ind w:firstLine="480" w:firstLineChars="200"/>
        <w:jc w:val="right"/>
        <w:rPr>
          <w:rFonts w:hAnsi="宋体" w:cs="仿宋_GB2312"/>
          <w:color w:val="000000" w:themeColor="text1"/>
          <w:sz w:val="24"/>
        </w:rPr>
      </w:pPr>
    </w:p>
    <w:p>
      <w:pPr>
        <w:autoSpaceDE w:val="0"/>
        <w:autoSpaceDN w:val="0"/>
        <w:adjustRightInd w:val="0"/>
        <w:spacing w:line="420" w:lineRule="exact"/>
        <w:ind w:firstLine="480" w:firstLineChars="200"/>
        <w:jc w:val="right"/>
        <w:rPr>
          <w:rFonts w:hAnsi="宋体" w:cs="仿宋_GB2312"/>
          <w:color w:val="000000" w:themeColor="text1"/>
          <w:sz w:val="24"/>
        </w:rPr>
      </w:pPr>
      <w:r>
        <w:rPr>
          <w:rFonts w:hint="eastAsia" w:hAnsi="宋体" w:cs="仿宋_GB2312"/>
          <w:color w:val="000000" w:themeColor="text1"/>
          <w:sz w:val="24"/>
        </w:rPr>
        <w:t>投标人：</w:t>
      </w:r>
      <w:r>
        <w:rPr>
          <w:rFonts w:hint="eastAsia" w:hAnsi="宋体" w:cs="TimesNewRomanPSMT"/>
          <w:color w:val="000000" w:themeColor="text1"/>
          <w:sz w:val="24"/>
          <w:u w:val="single"/>
        </w:rPr>
        <w:t xml:space="preserve">                         </w:t>
      </w:r>
      <w:r>
        <w:rPr>
          <w:rFonts w:hint="eastAsia" w:hAnsi="宋体" w:cs="仿宋_GB2312"/>
          <w:color w:val="000000" w:themeColor="text1"/>
          <w:sz w:val="24"/>
        </w:rPr>
        <w:t>（盖单位章）</w:t>
      </w:r>
    </w:p>
    <w:p>
      <w:pPr>
        <w:autoSpaceDE w:val="0"/>
        <w:autoSpaceDN w:val="0"/>
        <w:adjustRightInd w:val="0"/>
        <w:spacing w:line="420" w:lineRule="exact"/>
        <w:ind w:firstLine="480" w:firstLineChars="200"/>
        <w:jc w:val="right"/>
        <w:rPr>
          <w:rFonts w:hAnsi="宋体" w:cs="仿宋_GB2312"/>
          <w:color w:val="000000" w:themeColor="text1"/>
          <w:sz w:val="24"/>
        </w:rPr>
      </w:pPr>
      <w:r>
        <w:rPr>
          <w:rFonts w:hint="eastAsia" w:hAnsi="宋体" w:cs="TimesNewRomanPSMT"/>
          <w:color w:val="000000" w:themeColor="text1"/>
          <w:sz w:val="24"/>
          <w:u w:val="single"/>
        </w:rPr>
        <w:t xml:space="preserve">       </w:t>
      </w:r>
      <w:r>
        <w:rPr>
          <w:rFonts w:hint="eastAsia" w:hAnsi="宋体" w:cs="仿宋_GB2312"/>
          <w:color w:val="000000" w:themeColor="text1"/>
          <w:sz w:val="24"/>
        </w:rPr>
        <w:t>年</w:t>
      </w:r>
      <w:r>
        <w:rPr>
          <w:rFonts w:hint="eastAsia" w:hAnsi="宋体" w:cs="TimesNewRomanPSMT"/>
          <w:color w:val="000000" w:themeColor="text1"/>
          <w:sz w:val="24"/>
          <w:u w:val="single"/>
        </w:rPr>
        <w:t xml:space="preserve">      </w:t>
      </w:r>
      <w:r>
        <w:rPr>
          <w:rFonts w:hint="eastAsia" w:hAnsi="宋体" w:cs="仿宋_GB2312"/>
          <w:color w:val="000000" w:themeColor="text1"/>
          <w:sz w:val="24"/>
        </w:rPr>
        <w:t>月</w:t>
      </w:r>
      <w:r>
        <w:rPr>
          <w:rFonts w:hint="eastAsia" w:hAnsi="宋体" w:cs="TimesNewRomanPSMT"/>
          <w:color w:val="000000" w:themeColor="text1"/>
          <w:sz w:val="24"/>
          <w:u w:val="single"/>
        </w:rPr>
        <w:t xml:space="preserve">       </w:t>
      </w:r>
      <w:r>
        <w:rPr>
          <w:rFonts w:hint="eastAsia" w:hAnsi="宋体" w:cs="仿宋_GB2312"/>
          <w:color w:val="000000" w:themeColor="text1"/>
          <w:sz w:val="24"/>
        </w:rPr>
        <w:t>日</w:t>
      </w:r>
    </w:p>
    <w:p>
      <w:pPr>
        <w:autoSpaceDE w:val="0"/>
        <w:autoSpaceDN w:val="0"/>
        <w:adjustRightInd w:val="0"/>
        <w:spacing w:line="480" w:lineRule="exact"/>
        <w:ind w:firstLine="480" w:firstLineChars="200"/>
        <w:jc w:val="left"/>
        <w:rPr>
          <w:rFonts w:hAnsi="宋体" w:cs="黑体"/>
          <w:color w:val="000000" w:themeColor="text1"/>
          <w:sz w:val="24"/>
        </w:rPr>
      </w:pPr>
    </w:p>
    <w:p>
      <w:pPr>
        <w:autoSpaceDE w:val="0"/>
        <w:autoSpaceDN w:val="0"/>
        <w:adjustRightInd w:val="0"/>
        <w:ind w:firstLine="2951" w:firstLineChars="1225"/>
        <w:outlineLvl w:val="0"/>
        <w:rPr>
          <w:rFonts w:hAnsi="宋体" w:cs="黑体"/>
          <w:b/>
          <w:color w:val="000000" w:themeColor="text1"/>
          <w:sz w:val="24"/>
        </w:rPr>
      </w:pPr>
      <w:bookmarkStart w:id="59" w:name="_Toc215282241"/>
      <w:r>
        <w:rPr>
          <w:rFonts w:hint="eastAsia" w:hAnsi="宋体" w:cs="黑体"/>
          <w:b/>
          <w:color w:val="000000" w:themeColor="text1"/>
          <w:sz w:val="24"/>
        </w:rPr>
        <w:t xml:space="preserve">     </w:t>
      </w:r>
    </w:p>
    <w:p>
      <w:pPr>
        <w:pStyle w:val="2"/>
        <w:ind w:firstLine="210"/>
        <w:rPr>
          <w:color w:val="000000" w:themeColor="text1"/>
        </w:rPr>
      </w:pPr>
      <w:r>
        <w:rPr>
          <w:color w:val="000000" w:themeColor="text1"/>
        </w:rPr>
        <w:br w:type="page"/>
      </w:r>
    </w:p>
    <w:p>
      <w:pPr>
        <w:autoSpaceDE w:val="0"/>
        <w:autoSpaceDN w:val="0"/>
        <w:adjustRightInd w:val="0"/>
        <w:jc w:val="center"/>
        <w:outlineLvl w:val="0"/>
        <w:rPr>
          <w:rFonts w:hAnsi="宋体" w:cs="黑体"/>
          <w:b/>
          <w:color w:val="000000" w:themeColor="text1"/>
          <w:sz w:val="24"/>
        </w:rPr>
      </w:pPr>
      <w:r>
        <w:rPr>
          <w:rFonts w:hint="eastAsia" w:hAnsi="宋体" w:cs="黑体"/>
          <w:b/>
          <w:color w:val="000000" w:themeColor="text1"/>
          <w:sz w:val="24"/>
        </w:rPr>
        <w:t>（二）授权委托书</w:t>
      </w:r>
      <w:bookmarkEnd w:id="59"/>
    </w:p>
    <w:p>
      <w:pPr>
        <w:autoSpaceDE w:val="0"/>
        <w:autoSpaceDN w:val="0"/>
        <w:adjustRightInd w:val="0"/>
        <w:spacing w:line="420" w:lineRule="exact"/>
        <w:jc w:val="center"/>
        <w:rPr>
          <w:rFonts w:hAnsi="宋体" w:cs="黑体"/>
          <w:color w:val="000000" w:themeColor="text1"/>
          <w:sz w:val="24"/>
        </w:rPr>
      </w:pP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本人</w:t>
      </w:r>
      <w:r>
        <w:rPr>
          <w:rFonts w:hAnsi="宋体" w:cs="仿宋_GB2312"/>
          <w:color w:val="000000" w:themeColor="text1"/>
          <w:sz w:val="24"/>
        </w:rPr>
        <w:t xml:space="preserve"> </w:t>
      </w:r>
      <w:r>
        <w:rPr>
          <w:rFonts w:hint="eastAsia" w:hAnsi="宋体" w:cs="仿宋_GB2312"/>
          <w:color w:val="000000" w:themeColor="text1"/>
          <w:sz w:val="24"/>
          <w:u w:val="single"/>
        </w:rPr>
        <w:t xml:space="preserve">      </w:t>
      </w:r>
      <w:r>
        <w:rPr>
          <w:rFonts w:hint="eastAsia" w:hAnsi="宋体" w:cs="仿宋_GB2312"/>
          <w:color w:val="000000" w:themeColor="text1"/>
          <w:sz w:val="24"/>
        </w:rPr>
        <w:t>（姓名）系</w:t>
      </w:r>
      <w:r>
        <w:rPr>
          <w:rFonts w:hint="eastAsia" w:hAnsi="宋体" w:cs="仿宋_GB2312"/>
          <w:color w:val="000000" w:themeColor="text1"/>
          <w:sz w:val="24"/>
          <w:u w:val="single"/>
        </w:rPr>
        <w:t xml:space="preserve">      </w:t>
      </w:r>
      <w:r>
        <w:rPr>
          <w:rFonts w:hint="eastAsia" w:hAnsi="宋体" w:cs="仿宋_GB2312"/>
          <w:color w:val="000000" w:themeColor="text1"/>
          <w:sz w:val="24"/>
        </w:rPr>
        <w:t>（投标人名称）的法定代表人，现委托</w:t>
      </w:r>
      <w:r>
        <w:rPr>
          <w:rFonts w:hint="eastAsia" w:hAnsi="宋体" w:cs="仿宋_GB2312"/>
          <w:color w:val="000000" w:themeColor="text1"/>
          <w:sz w:val="24"/>
          <w:u w:val="single"/>
        </w:rPr>
        <w:t xml:space="preserve">       </w:t>
      </w:r>
      <w:r>
        <w:rPr>
          <w:rFonts w:hint="eastAsia" w:hAnsi="宋体" w:cs="仿宋_GB2312"/>
          <w:color w:val="000000" w:themeColor="text1"/>
          <w:sz w:val="24"/>
        </w:rPr>
        <w:t>（姓名）为我方代理人。代理人根据授权，以我方名义签署、澄清、说明、补正、递交、撤回、修改</w:t>
      </w:r>
      <w:r>
        <w:rPr>
          <w:rFonts w:hint="eastAsia" w:hAnsi="宋体" w:cs="仿宋_GB2312"/>
          <w:color w:val="000000" w:themeColor="text1"/>
          <w:sz w:val="24"/>
          <w:u w:val="single"/>
        </w:rPr>
        <w:t xml:space="preserve">       </w:t>
      </w:r>
      <w:r>
        <w:rPr>
          <w:rFonts w:hAnsi="宋体" w:cs="仿宋_GB2312"/>
          <w:color w:val="000000" w:themeColor="text1"/>
          <w:sz w:val="24"/>
        </w:rPr>
        <w:t xml:space="preserve"> </w:t>
      </w:r>
      <w:r>
        <w:rPr>
          <w:rFonts w:hint="eastAsia" w:hAnsi="宋体" w:cs="仿宋_GB2312"/>
          <w:color w:val="000000" w:themeColor="text1"/>
          <w:sz w:val="24"/>
        </w:rPr>
        <w:t>（项目名称）监理投标文件、签订合同和处理有关事宜，其法律后果由我方承担。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委托期限：</w:t>
      </w:r>
      <w:r>
        <w:rPr>
          <w:rFonts w:hint="eastAsia" w:hAnsi="宋体" w:cs="仿宋_GB2312"/>
          <w:color w:val="000000" w:themeColor="text1"/>
          <w:sz w:val="24"/>
          <w:u w:val="single"/>
        </w:rPr>
        <w:t xml:space="preserve">           </w:t>
      </w:r>
      <w:r>
        <w:rPr>
          <w:rFonts w:hint="eastAsia" w:hAnsi="宋体" w:cs="仿宋_GB2312"/>
          <w:color w:val="000000" w:themeColor="text1"/>
          <w:sz w:val="24"/>
        </w:rPr>
        <w:t>。</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代理人无转委托权。</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附：法定代表人身份证和授权委托人身份证的原件扫描件或图片</w:t>
      </w:r>
    </w:p>
    <w:p>
      <w:pPr>
        <w:autoSpaceDE w:val="0"/>
        <w:autoSpaceDN w:val="0"/>
        <w:adjustRightInd w:val="0"/>
        <w:spacing w:line="440" w:lineRule="exact"/>
        <w:ind w:firstLine="480" w:firstLineChars="200"/>
        <w:jc w:val="left"/>
        <w:rPr>
          <w:rFonts w:hAnsi="宋体" w:cs="仿宋_GB2312"/>
          <w:color w:val="000000" w:themeColor="text1"/>
          <w:sz w:val="24"/>
        </w:rPr>
      </w:pP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投标人：</w:t>
      </w:r>
      <w:r>
        <w:rPr>
          <w:rFonts w:hint="eastAsia" w:hAnsi="宋体" w:cs="仿宋_GB2312"/>
          <w:color w:val="000000" w:themeColor="text1"/>
          <w:sz w:val="24"/>
          <w:u w:val="single"/>
        </w:rPr>
        <w:t xml:space="preserve">                           </w:t>
      </w:r>
      <w:r>
        <w:rPr>
          <w:rFonts w:hint="eastAsia" w:hAnsi="宋体" w:cs="仿宋_GB2312"/>
          <w:color w:val="000000" w:themeColor="text1"/>
          <w:sz w:val="24"/>
        </w:rPr>
        <w:t>（盖单位章）</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法定代表人：</w:t>
      </w:r>
      <w:r>
        <w:rPr>
          <w:rFonts w:hint="eastAsia" w:hAnsi="宋体" w:cs="仿宋_GB2312"/>
          <w:color w:val="000000" w:themeColor="text1"/>
          <w:sz w:val="24"/>
          <w:u w:val="single"/>
        </w:rPr>
        <w:t xml:space="preserve">                          </w:t>
      </w:r>
      <w:r>
        <w:rPr>
          <w:rFonts w:hAnsi="宋体" w:cs="仿宋_GB2312"/>
          <w:color w:val="000000" w:themeColor="text1"/>
          <w:sz w:val="24"/>
        </w:rPr>
        <w:t xml:space="preserve"> </w:t>
      </w:r>
      <w:r>
        <w:rPr>
          <w:rFonts w:hint="eastAsia" w:ascii="新宋体" w:hAnsi="新宋体" w:eastAsia="新宋体"/>
          <w:color w:val="000000" w:themeColor="text1"/>
          <w:sz w:val="24"/>
        </w:rPr>
        <w:t>（签字）</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身份证号码：</w:t>
      </w:r>
      <w:r>
        <w:rPr>
          <w:rFonts w:hint="eastAsia" w:hAnsi="宋体" w:cs="仿宋_GB2312"/>
          <w:color w:val="000000" w:themeColor="text1"/>
          <w:sz w:val="24"/>
          <w:u w:val="single"/>
        </w:rPr>
        <w:t xml:space="preserve">                                  </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委托代理人：</w:t>
      </w:r>
      <w:r>
        <w:rPr>
          <w:rFonts w:hint="eastAsia" w:hAnsi="宋体" w:cs="仿宋_GB2312"/>
          <w:color w:val="000000" w:themeColor="text1"/>
          <w:sz w:val="24"/>
          <w:u w:val="single"/>
        </w:rPr>
        <w:t xml:space="preserve">                          </w:t>
      </w:r>
      <w:r>
        <w:rPr>
          <w:rFonts w:hAnsi="宋体" w:cs="仿宋_GB2312"/>
          <w:color w:val="000000" w:themeColor="text1"/>
          <w:sz w:val="24"/>
        </w:rPr>
        <w:t xml:space="preserve"> </w:t>
      </w:r>
      <w:r>
        <w:rPr>
          <w:rFonts w:hint="eastAsia" w:ascii="新宋体" w:hAnsi="新宋体" w:eastAsia="新宋体"/>
          <w:color w:val="000000" w:themeColor="text1"/>
          <w:sz w:val="24"/>
        </w:rPr>
        <w:t>（签字）</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身份证号码：</w:t>
      </w:r>
      <w:r>
        <w:rPr>
          <w:rFonts w:hint="eastAsia" w:hAnsi="宋体" w:cs="仿宋_GB2312"/>
          <w:color w:val="000000" w:themeColor="text1"/>
          <w:sz w:val="24"/>
          <w:u w:val="single"/>
        </w:rPr>
        <w:t xml:space="preserve">                                   </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u w:val="single"/>
        </w:rPr>
        <w:t xml:space="preserve">       </w:t>
      </w:r>
      <w:r>
        <w:rPr>
          <w:rFonts w:hint="eastAsia" w:hAnsi="宋体" w:cs="仿宋_GB2312"/>
          <w:color w:val="000000" w:themeColor="text1"/>
          <w:sz w:val="24"/>
        </w:rPr>
        <w:t>年</w:t>
      </w:r>
      <w:r>
        <w:rPr>
          <w:rFonts w:hint="eastAsia" w:hAnsi="宋体" w:cs="仿宋_GB2312"/>
          <w:color w:val="000000" w:themeColor="text1"/>
          <w:sz w:val="24"/>
          <w:u w:val="single"/>
        </w:rPr>
        <w:t xml:space="preserve">       </w:t>
      </w:r>
      <w:r>
        <w:rPr>
          <w:rFonts w:hint="eastAsia" w:hAnsi="宋体" w:cs="仿宋_GB2312"/>
          <w:color w:val="000000" w:themeColor="text1"/>
          <w:sz w:val="24"/>
        </w:rPr>
        <w:t>月</w:t>
      </w:r>
      <w:r>
        <w:rPr>
          <w:rFonts w:hint="eastAsia" w:hAnsi="宋体" w:cs="仿宋_GB2312"/>
          <w:color w:val="000000" w:themeColor="text1"/>
          <w:sz w:val="24"/>
          <w:u w:val="single"/>
        </w:rPr>
        <w:t xml:space="preserve">       </w:t>
      </w:r>
      <w:r>
        <w:rPr>
          <w:rFonts w:hAnsi="宋体" w:cs="仿宋_GB2312"/>
          <w:color w:val="000000" w:themeColor="text1"/>
          <w:sz w:val="24"/>
        </w:rPr>
        <w:t xml:space="preserve"> </w:t>
      </w:r>
      <w:r>
        <w:rPr>
          <w:rFonts w:hint="eastAsia" w:hAnsi="宋体" w:cs="仿宋_GB2312"/>
          <w:color w:val="000000" w:themeColor="text1"/>
          <w:sz w:val="24"/>
        </w:rPr>
        <w:t>日</w:t>
      </w:r>
    </w:p>
    <w:p>
      <w:pPr>
        <w:autoSpaceDE w:val="0"/>
        <w:autoSpaceDN w:val="0"/>
        <w:adjustRightInd w:val="0"/>
        <w:spacing w:line="420" w:lineRule="exact"/>
        <w:jc w:val="left"/>
        <w:rPr>
          <w:rFonts w:hAnsi="宋体" w:cs="黑体"/>
          <w:color w:val="000000" w:themeColor="text1"/>
          <w:sz w:val="24"/>
        </w:rPr>
      </w:pPr>
    </w:p>
    <w:p>
      <w:pPr>
        <w:autoSpaceDE w:val="0"/>
        <w:autoSpaceDN w:val="0"/>
        <w:adjustRightInd w:val="0"/>
        <w:spacing w:line="420" w:lineRule="exact"/>
        <w:outlineLvl w:val="0"/>
        <w:rPr>
          <w:rFonts w:hAnsi="宋体" w:cs="黑体"/>
          <w:b/>
          <w:color w:val="000000" w:themeColor="text1"/>
          <w:sz w:val="32"/>
          <w:szCs w:val="32"/>
        </w:rPr>
      </w:pPr>
      <w:bookmarkStart w:id="60" w:name="_Toc215282243"/>
    </w:p>
    <w:p>
      <w:pPr>
        <w:widowControl/>
        <w:jc w:val="left"/>
        <w:rPr>
          <w:rFonts w:ascii="黑体" w:hAnsi="新宋体" w:eastAsia="黑体" w:cs="黑体"/>
          <w:color w:val="000000" w:themeColor="text1"/>
          <w:sz w:val="32"/>
          <w:szCs w:val="32"/>
        </w:rPr>
      </w:pPr>
      <w:r>
        <w:rPr>
          <w:rFonts w:ascii="黑体" w:hAnsi="新宋体" w:eastAsia="黑体" w:cs="黑体"/>
          <w:color w:val="000000" w:themeColor="text1"/>
          <w:sz w:val="32"/>
          <w:szCs w:val="32"/>
        </w:rPr>
        <w:br w:type="page"/>
      </w:r>
    </w:p>
    <w:p>
      <w:pPr>
        <w:widowControl/>
        <w:jc w:val="center"/>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三、投标保证金</w:t>
      </w:r>
      <w:bookmarkEnd w:id="60"/>
    </w:p>
    <w:p>
      <w:pPr>
        <w:autoSpaceDE w:val="0"/>
        <w:autoSpaceDN w:val="0"/>
        <w:adjustRightInd w:val="0"/>
        <w:spacing w:line="420" w:lineRule="exact"/>
        <w:jc w:val="center"/>
        <w:outlineLvl w:val="0"/>
        <w:rPr>
          <w:rFonts w:ascii="黑体" w:hAnsi="新宋体" w:eastAsia="黑体" w:cs="黑体"/>
          <w:color w:val="000000" w:themeColor="text1"/>
          <w:sz w:val="28"/>
          <w:szCs w:val="28"/>
        </w:rPr>
      </w:pPr>
    </w:p>
    <w:p>
      <w:pPr>
        <w:autoSpaceDE w:val="0"/>
        <w:autoSpaceDN w:val="0"/>
        <w:adjustRightInd w:val="0"/>
        <w:spacing w:line="420" w:lineRule="exact"/>
        <w:jc w:val="center"/>
        <w:rPr>
          <w:rFonts w:hAnsi="宋体" w:cs="黑体"/>
          <w:color w:val="000000" w:themeColor="text1"/>
          <w:sz w:val="28"/>
          <w:szCs w:val="28"/>
        </w:rPr>
      </w:pPr>
    </w:p>
    <w:tbl>
      <w:tblPr>
        <w:tblStyle w:val="38"/>
        <w:tblW w:w="7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7920" w:type="dxa"/>
          </w:tcPr>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jc w:val="center"/>
              <w:rPr>
                <w:rFonts w:hAnsi="宋体" w:cs="黑体"/>
                <w:b/>
                <w:color w:val="000000" w:themeColor="text1"/>
                <w:sz w:val="24"/>
              </w:rPr>
            </w:pPr>
            <w:r>
              <w:rPr>
                <w:rFonts w:hint="eastAsia" w:hAnsi="宋体" w:cs="黑体"/>
                <w:b/>
                <w:color w:val="000000" w:themeColor="text1"/>
                <w:sz w:val="24"/>
              </w:rPr>
              <w:t>（</w:t>
            </w:r>
            <w:r>
              <w:rPr>
                <w:rFonts w:hint="eastAsia" w:hAnsi="宋体"/>
                <w:b/>
                <w:color w:val="000000" w:themeColor="text1"/>
                <w:sz w:val="24"/>
              </w:rPr>
              <w:t>投标保证金原件扫描件或图片</w:t>
            </w:r>
            <w:r>
              <w:rPr>
                <w:rFonts w:hint="eastAsia" w:hAnsi="宋体" w:cs="黑体"/>
                <w:b/>
                <w:color w:val="000000" w:themeColor="text1"/>
                <w:sz w:val="24"/>
              </w:rPr>
              <w:t>）</w:t>
            </w:r>
          </w:p>
          <w:p>
            <w:pPr>
              <w:autoSpaceDE w:val="0"/>
              <w:autoSpaceDN w:val="0"/>
              <w:adjustRightInd w:val="0"/>
              <w:spacing w:line="420" w:lineRule="exact"/>
              <w:jc w:val="center"/>
              <w:rPr>
                <w:rFonts w:hAnsi="宋体" w:cs="黑体"/>
                <w:b/>
                <w:color w:val="000000" w:themeColor="text1"/>
                <w:sz w:val="24"/>
              </w:rPr>
            </w:pPr>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jc w:val="center"/>
              <w:outlineLvl w:val="0"/>
              <w:rPr>
                <w:rFonts w:hAnsi="宋体" w:cs="黑体"/>
                <w:color w:val="000000" w:themeColor="text1"/>
                <w:sz w:val="28"/>
                <w:szCs w:val="28"/>
              </w:rPr>
            </w:pPr>
          </w:p>
        </w:tc>
      </w:tr>
    </w:tbl>
    <w:p>
      <w:pPr>
        <w:autoSpaceDE w:val="0"/>
        <w:autoSpaceDN w:val="0"/>
        <w:adjustRightInd w:val="0"/>
        <w:spacing w:line="420" w:lineRule="exact"/>
        <w:jc w:val="center"/>
        <w:outlineLvl w:val="0"/>
        <w:rPr>
          <w:rFonts w:ascii="黑体" w:hAnsi="新宋体" w:eastAsia="黑体" w:cs="黑体"/>
          <w:color w:val="000000" w:themeColor="text1"/>
          <w:sz w:val="32"/>
          <w:szCs w:val="32"/>
        </w:rPr>
      </w:pPr>
      <w:bookmarkStart w:id="61" w:name="_Toc215282252"/>
    </w:p>
    <w:p>
      <w:pPr>
        <w:pStyle w:val="2"/>
        <w:ind w:firstLine="210"/>
        <w:rPr>
          <w:color w:val="000000" w:themeColor="text1"/>
        </w:rPr>
      </w:pPr>
      <w:r>
        <w:rPr>
          <w:color w:val="000000" w:themeColor="text1"/>
        </w:rPr>
        <w:br w:type="page"/>
      </w: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四、</w:t>
      </w:r>
      <w:bookmarkEnd w:id="61"/>
      <w:r>
        <w:rPr>
          <w:rFonts w:hint="eastAsia" w:ascii="黑体" w:hAnsi="新宋体" w:eastAsia="黑体" w:cs="黑体"/>
          <w:color w:val="000000" w:themeColor="text1"/>
          <w:sz w:val="32"/>
          <w:szCs w:val="32"/>
        </w:rPr>
        <w:t>监理单位综合情况</w:t>
      </w:r>
    </w:p>
    <w:p>
      <w:pPr>
        <w:autoSpaceDE w:val="0"/>
        <w:autoSpaceDN w:val="0"/>
        <w:adjustRightInd w:val="0"/>
        <w:spacing w:line="420" w:lineRule="exact"/>
        <w:outlineLvl w:val="0"/>
        <w:rPr>
          <w:rFonts w:ascii="黑体" w:hAnsi="新宋体" w:eastAsia="黑体" w:cs="黑体"/>
          <w:color w:val="000000" w:themeColor="text1"/>
          <w:sz w:val="28"/>
          <w:szCs w:val="28"/>
        </w:rPr>
      </w:pPr>
    </w:p>
    <w:tbl>
      <w:tblPr>
        <w:tblStyle w:val="38"/>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企业名称</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法人代表姓名</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企业性质</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联系电话</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企业主管单位</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联系传真</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监理资质等级</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地址</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企业组建时间</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企业邮编</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企业经营范围</w:t>
            </w:r>
          </w:p>
        </w:tc>
        <w:tc>
          <w:tcPr>
            <w:tcW w:w="162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160" w:type="dxa"/>
            <w:gridSpan w:val="2"/>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开户银行</w:t>
            </w:r>
          </w:p>
        </w:tc>
        <w:tc>
          <w:tcPr>
            <w:tcW w:w="3240"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企业人员状况</w:t>
            </w:r>
          </w:p>
        </w:tc>
        <w:tc>
          <w:tcPr>
            <w:tcW w:w="3060" w:type="dxa"/>
            <w:gridSpan w:val="3"/>
            <w:vMerge w:val="restart"/>
          </w:tcPr>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企业总人数：</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在册工程技术人员：</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其中：</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高级职称 人</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中级职称 人</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初级职称 人</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国家注册监理工程师人</w:t>
            </w: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地方注册监理工程师人</w:t>
            </w:r>
          </w:p>
        </w:tc>
        <w:tc>
          <w:tcPr>
            <w:tcW w:w="4140" w:type="dxa"/>
            <w:gridSpan w:val="2"/>
          </w:tcPr>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4140" w:type="dxa"/>
            <w:gridSpan w:val="2"/>
            <w:vMerge w:val="restart"/>
          </w:tcPr>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企业固定资产总额：万元</w:t>
            </w:r>
          </w:p>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color w:val="000000" w:themeColor="text1"/>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color w:val="000000" w:themeColor="text1"/>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color w:val="000000" w:themeColor="text1"/>
                <w:sz w:val="24"/>
              </w:rPr>
            </w:pPr>
          </w:p>
        </w:tc>
      </w:tr>
    </w:tbl>
    <w:p>
      <w:pPr>
        <w:autoSpaceDE w:val="0"/>
        <w:autoSpaceDN w:val="0"/>
        <w:adjustRightInd w:val="0"/>
        <w:spacing w:line="440" w:lineRule="exact"/>
        <w:jc w:val="left"/>
        <w:rPr>
          <w:rFonts w:hAnsi="宋体" w:cs="仿宋_GB2312"/>
          <w:color w:val="000000" w:themeColor="text1"/>
          <w:sz w:val="24"/>
        </w:rPr>
      </w:pPr>
      <w:r>
        <w:rPr>
          <w:rFonts w:hint="eastAsia" w:hAnsi="宋体" w:cs="仿宋_GB2312"/>
          <w:color w:val="000000" w:themeColor="text1"/>
          <w:sz w:val="24"/>
        </w:rPr>
        <w:t>注：本表后须附有关证件（ 营业执照、资质证）</w:t>
      </w:r>
      <w:r>
        <w:rPr>
          <w:rFonts w:hint="eastAsia" w:hAnsi="宋体"/>
          <w:color w:val="000000" w:themeColor="text1"/>
          <w:sz w:val="24"/>
        </w:rPr>
        <w:t>原件扫描件或图片</w:t>
      </w:r>
      <w:r>
        <w:rPr>
          <w:rFonts w:hint="eastAsia" w:hAnsi="宋体" w:cs="仿宋_GB2312"/>
          <w:color w:val="000000" w:themeColor="text1"/>
          <w:sz w:val="24"/>
        </w:rPr>
        <w:t>。</w:t>
      </w:r>
    </w:p>
    <w:p>
      <w:pPr>
        <w:autoSpaceDE w:val="0"/>
        <w:autoSpaceDN w:val="0"/>
        <w:adjustRightInd w:val="0"/>
        <w:spacing w:line="420" w:lineRule="exact"/>
        <w:outlineLvl w:val="0"/>
        <w:rPr>
          <w:rFonts w:ascii="黑体" w:hAnsi="新宋体" w:eastAsia="黑体" w:cs="黑体"/>
          <w:color w:val="000000" w:themeColor="text1"/>
          <w:sz w:val="24"/>
        </w:rPr>
      </w:pPr>
    </w:p>
    <w:p>
      <w:pPr>
        <w:autoSpaceDE w:val="0"/>
        <w:autoSpaceDN w:val="0"/>
        <w:adjustRightInd w:val="0"/>
        <w:spacing w:line="420" w:lineRule="exact"/>
        <w:jc w:val="center"/>
        <w:outlineLvl w:val="0"/>
        <w:rPr>
          <w:rFonts w:ascii="黑体" w:hAnsi="新宋体" w:eastAsia="黑体" w:cs="黑体"/>
          <w:color w:val="000000" w:themeColor="text1"/>
          <w:sz w:val="24"/>
        </w:rPr>
      </w:pPr>
    </w:p>
    <w:p>
      <w:pPr>
        <w:autoSpaceDE w:val="0"/>
        <w:autoSpaceDN w:val="0"/>
        <w:adjustRightInd w:val="0"/>
        <w:spacing w:line="420" w:lineRule="exact"/>
        <w:jc w:val="center"/>
        <w:outlineLvl w:val="0"/>
        <w:rPr>
          <w:rFonts w:ascii="黑体" w:hAnsi="新宋体" w:eastAsia="黑体" w:cs="黑体"/>
          <w:color w:val="000000" w:themeColor="text1"/>
          <w:sz w:val="24"/>
        </w:rPr>
      </w:pPr>
    </w:p>
    <w:p>
      <w:pPr>
        <w:autoSpaceDE w:val="0"/>
        <w:autoSpaceDN w:val="0"/>
        <w:adjustRightInd w:val="0"/>
        <w:spacing w:line="420" w:lineRule="exact"/>
        <w:jc w:val="center"/>
        <w:outlineLvl w:val="0"/>
        <w:rPr>
          <w:rFonts w:ascii="黑体" w:hAnsi="新宋体" w:eastAsia="黑体" w:cs="黑体"/>
          <w:color w:val="000000" w:themeColor="text1"/>
          <w:sz w:val="28"/>
          <w:szCs w:val="28"/>
        </w:rPr>
      </w:pPr>
    </w:p>
    <w:p>
      <w:pPr>
        <w:pStyle w:val="2"/>
        <w:ind w:firstLine="210"/>
        <w:rPr>
          <w:color w:val="000000" w:themeColor="text1"/>
        </w:rPr>
      </w:pPr>
    </w:p>
    <w:p>
      <w:pPr>
        <w:autoSpaceDE w:val="0"/>
        <w:autoSpaceDN w:val="0"/>
        <w:adjustRightInd w:val="0"/>
        <w:spacing w:line="420" w:lineRule="exact"/>
        <w:jc w:val="center"/>
        <w:outlineLvl w:val="0"/>
        <w:rPr>
          <w:rFonts w:ascii="黑体" w:hAnsi="新宋体" w:eastAsia="黑体" w:cs="黑体"/>
          <w:color w:val="000000" w:themeColor="text1"/>
          <w:sz w:val="28"/>
          <w:szCs w:val="28"/>
        </w:rPr>
      </w:pPr>
    </w:p>
    <w:p>
      <w:pPr>
        <w:widowControl/>
        <w:jc w:val="left"/>
        <w:rPr>
          <w:rFonts w:ascii="黑体" w:hAnsi="新宋体" w:eastAsia="黑体" w:cs="黑体"/>
          <w:color w:val="000000" w:themeColor="text1"/>
          <w:sz w:val="32"/>
          <w:szCs w:val="32"/>
        </w:rPr>
      </w:pPr>
      <w:r>
        <w:rPr>
          <w:rFonts w:ascii="黑体" w:hAnsi="新宋体" w:eastAsia="黑体" w:cs="黑体"/>
          <w:color w:val="000000" w:themeColor="text1"/>
          <w:sz w:val="32"/>
          <w:szCs w:val="32"/>
        </w:rPr>
        <w:br w:type="page"/>
      </w: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五、拟派本项目监理机构及主要人员</w:t>
      </w:r>
    </w:p>
    <w:p>
      <w:pPr>
        <w:autoSpaceDE w:val="0"/>
        <w:autoSpaceDN w:val="0"/>
        <w:adjustRightInd w:val="0"/>
        <w:spacing w:line="420" w:lineRule="exact"/>
        <w:jc w:val="center"/>
        <w:outlineLvl w:val="0"/>
        <w:rPr>
          <w:rFonts w:hAnsi="宋体" w:cs="黑体"/>
          <w:color w:val="000000" w:themeColor="text1"/>
          <w:sz w:val="28"/>
          <w:szCs w:val="28"/>
        </w:rPr>
      </w:pPr>
    </w:p>
    <w:p>
      <w:pPr>
        <w:autoSpaceDE w:val="0"/>
        <w:autoSpaceDN w:val="0"/>
        <w:adjustRightInd w:val="0"/>
        <w:spacing w:line="420" w:lineRule="exact"/>
        <w:outlineLvl w:val="0"/>
        <w:rPr>
          <w:rFonts w:ascii="黑体" w:hAnsi="新宋体" w:eastAsia="黑体" w:cs="黑体"/>
          <w:color w:val="000000" w:themeColor="text1"/>
          <w:sz w:val="28"/>
          <w:szCs w:val="28"/>
        </w:rPr>
      </w:pPr>
      <w:bookmarkStart w:id="62" w:name="_Toc215282253"/>
      <w:r>
        <w:rPr>
          <w:rFonts w:hint="eastAsia" w:ascii="黑体" w:hAnsi="新宋体" w:eastAsia="黑体" w:cs="黑体"/>
          <w:color w:val="000000" w:themeColor="text1"/>
          <w:sz w:val="28"/>
          <w:szCs w:val="28"/>
        </w:rPr>
        <w:t>（</w:t>
      </w:r>
      <w:r>
        <w:rPr>
          <w:rFonts w:hint="eastAsia" w:hAnsi="宋体" w:cs="黑体"/>
          <w:b/>
          <w:color w:val="000000" w:themeColor="text1"/>
          <w:sz w:val="24"/>
        </w:rPr>
        <w:t>一）项目监理机构组成表</w:t>
      </w:r>
      <w:bookmarkEnd w:id="62"/>
    </w:p>
    <w:tbl>
      <w:tblPr>
        <w:tblStyle w:val="38"/>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姓名</w:t>
            </w:r>
          </w:p>
        </w:tc>
        <w:tc>
          <w:tcPr>
            <w:tcW w:w="1034" w:type="dxa"/>
            <w:vMerge w:val="restart"/>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职务</w:t>
            </w:r>
          </w:p>
        </w:tc>
        <w:tc>
          <w:tcPr>
            <w:tcW w:w="1035" w:type="dxa"/>
            <w:vMerge w:val="restart"/>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职称</w:t>
            </w:r>
          </w:p>
        </w:tc>
        <w:tc>
          <w:tcPr>
            <w:tcW w:w="5309" w:type="dxa"/>
            <w:gridSpan w:val="4"/>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执业或职业资格证明</w:t>
            </w:r>
          </w:p>
        </w:tc>
        <w:tc>
          <w:tcPr>
            <w:tcW w:w="901"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color w:val="000000" w:themeColor="text1"/>
                <w:sz w:val="24"/>
              </w:rPr>
            </w:pPr>
          </w:p>
        </w:tc>
        <w:tc>
          <w:tcPr>
            <w:tcW w:w="1034" w:type="dxa"/>
            <w:vMerge w:val="continue"/>
            <w:vAlign w:val="center"/>
          </w:tcPr>
          <w:p>
            <w:pPr>
              <w:autoSpaceDE w:val="0"/>
              <w:autoSpaceDN w:val="0"/>
              <w:adjustRightInd w:val="0"/>
              <w:spacing w:line="420" w:lineRule="exact"/>
              <w:jc w:val="center"/>
              <w:rPr>
                <w:rFonts w:hAnsi="宋体" w:cs="黑体"/>
                <w:color w:val="000000" w:themeColor="text1"/>
                <w:sz w:val="24"/>
              </w:rPr>
            </w:pPr>
          </w:p>
        </w:tc>
        <w:tc>
          <w:tcPr>
            <w:tcW w:w="1035" w:type="dxa"/>
            <w:vMerge w:val="continue"/>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证书名称</w:t>
            </w:r>
          </w:p>
        </w:tc>
        <w:tc>
          <w:tcPr>
            <w:tcW w:w="1327" w:type="dxa"/>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级别</w:t>
            </w:r>
          </w:p>
        </w:tc>
        <w:tc>
          <w:tcPr>
            <w:tcW w:w="1327" w:type="dxa"/>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证号</w:t>
            </w:r>
          </w:p>
        </w:tc>
        <w:tc>
          <w:tcPr>
            <w:tcW w:w="1328" w:type="dxa"/>
            <w:vAlign w:val="center"/>
          </w:tcPr>
          <w:p>
            <w:pPr>
              <w:autoSpaceDE w:val="0"/>
              <w:autoSpaceDN w:val="0"/>
              <w:adjustRightInd w:val="0"/>
              <w:spacing w:line="420" w:lineRule="exact"/>
              <w:jc w:val="center"/>
              <w:rPr>
                <w:rFonts w:hAnsi="宋体" w:cs="黑体"/>
                <w:color w:val="000000" w:themeColor="text1"/>
                <w:sz w:val="24"/>
              </w:rPr>
            </w:pPr>
            <w:r>
              <w:rPr>
                <w:rFonts w:hint="eastAsia" w:hAnsi="宋体" w:cs="仿宋_GB2312"/>
                <w:color w:val="000000" w:themeColor="text1"/>
                <w:sz w:val="24"/>
              </w:rPr>
              <w:t>专业</w:t>
            </w:r>
          </w:p>
        </w:tc>
        <w:tc>
          <w:tcPr>
            <w:tcW w:w="901" w:type="dxa"/>
            <w:vAlign w:val="center"/>
          </w:tcPr>
          <w:p>
            <w:pPr>
              <w:autoSpaceDE w:val="0"/>
              <w:autoSpaceDN w:val="0"/>
              <w:adjustRightInd w:val="0"/>
              <w:spacing w:line="420" w:lineRule="exact"/>
              <w:jc w:val="center"/>
              <w:rPr>
                <w:rFonts w:hAnsi="宋体" w:cs="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5"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8" w:type="dxa"/>
            <w:vAlign w:val="center"/>
          </w:tcPr>
          <w:p>
            <w:pPr>
              <w:autoSpaceDE w:val="0"/>
              <w:autoSpaceDN w:val="0"/>
              <w:adjustRightInd w:val="0"/>
              <w:spacing w:line="420" w:lineRule="exact"/>
              <w:jc w:val="center"/>
              <w:rPr>
                <w:rFonts w:hAnsi="宋体" w:cs="黑体"/>
                <w:color w:val="000000" w:themeColor="text1"/>
                <w:sz w:val="24"/>
              </w:rPr>
            </w:pPr>
          </w:p>
        </w:tc>
        <w:tc>
          <w:tcPr>
            <w:tcW w:w="901" w:type="dxa"/>
            <w:vAlign w:val="center"/>
          </w:tcPr>
          <w:p>
            <w:pPr>
              <w:autoSpaceDE w:val="0"/>
              <w:autoSpaceDN w:val="0"/>
              <w:adjustRightInd w:val="0"/>
              <w:spacing w:line="420" w:lineRule="exact"/>
              <w:jc w:val="center"/>
              <w:rPr>
                <w:rFonts w:hAnsi="宋体" w:cs="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5"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8" w:type="dxa"/>
            <w:vAlign w:val="center"/>
          </w:tcPr>
          <w:p>
            <w:pPr>
              <w:autoSpaceDE w:val="0"/>
              <w:autoSpaceDN w:val="0"/>
              <w:adjustRightInd w:val="0"/>
              <w:spacing w:line="420" w:lineRule="exact"/>
              <w:jc w:val="center"/>
              <w:rPr>
                <w:rFonts w:hAnsi="宋体" w:cs="黑体"/>
                <w:color w:val="000000" w:themeColor="text1"/>
                <w:sz w:val="24"/>
              </w:rPr>
            </w:pPr>
          </w:p>
        </w:tc>
        <w:tc>
          <w:tcPr>
            <w:tcW w:w="901" w:type="dxa"/>
            <w:vAlign w:val="center"/>
          </w:tcPr>
          <w:p>
            <w:pPr>
              <w:autoSpaceDE w:val="0"/>
              <w:autoSpaceDN w:val="0"/>
              <w:adjustRightInd w:val="0"/>
              <w:spacing w:line="420" w:lineRule="exact"/>
              <w:jc w:val="center"/>
              <w:rPr>
                <w:rFonts w:hAnsi="宋体" w:cs="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5"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8" w:type="dxa"/>
            <w:vAlign w:val="center"/>
          </w:tcPr>
          <w:p>
            <w:pPr>
              <w:autoSpaceDE w:val="0"/>
              <w:autoSpaceDN w:val="0"/>
              <w:adjustRightInd w:val="0"/>
              <w:spacing w:line="420" w:lineRule="exact"/>
              <w:jc w:val="center"/>
              <w:rPr>
                <w:rFonts w:hAnsi="宋体" w:cs="黑体"/>
                <w:color w:val="000000" w:themeColor="text1"/>
                <w:sz w:val="24"/>
              </w:rPr>
            </w:pPr>
          </w:p>
        </w:tc>
        <w:tc>
          <w:tcPr>
            <w:tcW w:w="901" w:type="dxa"/>
            <w:vAlign w:val="center"/>
          </w:tcPr>
          <w:p>
            <w:pPr>
              <w:autoSpaceDE w:val="0"/>
              <w:autoSpaceDN w:val="0"/>
              <w:adjustRightInd w:val="0"/>
              <w:spacing w:line="420" w:lineRule="exact"/>
              <w:jc w:val="center"/>
              <w:rPr>
                <w:rFonts w:hAnsi="宋体" w:cs="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4" w:type="dxa"/>
            <w:vAlign w:val="center"/>
          </w:tcPr>
          <w:p>
            <w:pPr>
              <w:autoSpaceDE w:val="0"/>
              <w:autoSpaceDN w:val="0"/>
              <w:adjustRightInd w:val="0"/>
              <w:spacing w:line="420" w:lineRule="exact"/>
              <w:jc w:val="center"/>
              <w:rPr>
                <w:rFonts w:hAnsi="宋体" w:cs="黑体"/>
                <w:color w:val="000000" w:themeColor="text1"/>
                <w:sz w:val="24"/>
              </w:rPr>
            </w:pPr>
          </w:p>
        </w:tc>
        <w:tc>
          <w:tcPr>
            <w:tcW w:w="1035"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7" w:type="dxa"/>
            <w:vAlign w:val="center"/>
          </w:tcPr>
          <w:p>
            <w:pPr>
              <w:autoSpaceDE w:val="0"/>
              <w:autoSpaceDN w:val="0"/>
              <w:adjustRightInd w:val="0"/>
              <w:spacing w:line="420" w:lineRule="exact"/>
              <w:jc w:val="center"/>
              <w:rPr>
                <w:rFonts w:hAnsi="宋体" w:cs="黑体"/>
                <w:color w:val="000000" w:themeColor="text1"/>
                <w:sz w:val="24"/>
              </w:rPr>
            </w:pPr>
          </w:p>
        </w:tc>
        <w:tc>
          <w:tcPr>
            <w:tcW w:w="1328" w:type="dxa"/>
            <w:vAlign w:val="center"/>
          </w:tcPr>
          <w:p>
            <w:pPr>
              <w:autoSpaceDE w:val="0"/>
              <w:autoSpaceDN w:val="0"/>
              <w:adjustRightInd w:val="0"/>
              <w:spacing w:line="420" w:lineRule="exact"/>
              <w:jc w:val="center"/>
              <w:rPr>
                <w:rFonts w:hAnsi="宋体" w:cs="黑体"/>
                <w:color w:val="000000" w:themeColor="text1"/>
                <w:sz w:val="24"/>
              </w:rPr>
            </w:pPr>
          </w:p>
        </w:tc>
        <w:tc>
          <w:tcPr>
            <w:tcW w:w="901" w:type="dxa"/>
            <w:vAlign w:val="center"/>
          </w:tcPr>
          <w:p>
            <w:pPr>
              <w:autoSpaceDE w:val="0"/>
              <w:autoSpaceDN w:val="0"/>
              <w:adjustRightInd w:val="0"/>
              <w:spacing w:line="420" w:lineRule="exact"/>
              <w:jc w:val="center"/>
              <w:rPr>
                <w:rFonts w:hAnsi="宋体" w:cs="黑体"/>
                <w:color w:val="000000" w:themeColor="text1"/>
                <w:sz w:val="24"/>
              </w:rPr>
            </w:pPr>
          </w:p>
        </w:tc>
      </w:tr>
    </w:tbl>
    <w:p>
      <w:pPr>
        <w:autoSpaceDE w:val="0"/>
        <w:autoSpaceDN w:val="0"/>
        <w:adjustRightInd w:val="0"/>
        <w:spacing w:line="420" w:lineRule="exact"/>
        <w:jc w:val="left"/>
        <w:rPr>
          <w:rFonts w:hAnsi="宋体" w:cs="黑体"/>
          <w:color w:val="000000" w:themeColor="text1"/>
          <w:sz w:val="24"/>
        </w:rPr>
      </w:pPr>
    </w:p>
    <w:p>
      <w:pPr>
        <w:autoSpaceDE w:val="0"/>
        <w:autoSpaceDN w:val="0"/>
        <w:adjustRightInd w:val="0"/>
        <w:spacing w:line="420" w:lineRule="exact"/>
        <w:outlineLvl w:val="0"/>
        <w:rPr>
          <w:rFonts w:hAnsi="宋体" w:cs="黑体"/>
          <w:b/>
          <w:color w:val="000000" w:themeColor="text1"/>
          <w:sz w:val="24"/>
        </w:rPr>
      </w:pPr>
      <w:bookmarkStart w:id="63" w:name="_Toc215282254"/>
      <w:r>
        <w:rPr>
          <w:rFonts w:hint="eastAsia" w:hAnsi="宋体" w:cs="黑体"/>
          <w:b/>
          <w:color w:val="000000" w:themeColor="text1"/>
          <w:sz w:val="24"/>
        </w:rPr>
        <w:t>（二）主要人员简历表</w:t>
      </w:r>
      <w:bookmarkEnd w:id="63"/>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“主要人员简历表”中的总监理师应附监理师证、身份证、职称证原件扫描件或图片，管理过的项目业绩须附合同原件扫描件或图片，其他主要人员应附执业证或上岗证。</w:t>
      </w:r>
    </w:p>
    <w:p>
      <w:pPr>
        <w:autoSpaceDE w:val="0"/>
        <w:autoSpaceDN w:val="0"/>
        <w:adjustRightInd w:val="0"/>
        <w:spacing w:line="420" w:lineRule="exact"/>
        <w:jc w:val="left"/>
        <w:rPr>
          <w:rFonts w:hAnsi="宋体" w:cs="仿宋_GB2312"/>
          <w:color w:val="000000" w:themeColor="text1"/>
          <w:sz w:val="24"/>
        </w:rPr>
      </w:pPr>
    </w:p>
    <w:tbl>
      <w:tblPr>
        <w:tblStyle w:val="38"/>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姓名</w:t>
            </w:r>
          </w:p>
        </w:tc>
        <w:tc>
          <w:tcPr>
            <w:tcW w:w="1551"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年龄</w:t>
            </w:r>
          </w:p>
        </w:tc>
        <w:tc>
          <w:tcPr>
            <w:tcW w:w="1552" w:type="dxa"/>
            <w:vAlign w:val="center"/>
          </w:tcPr>
          <w:p>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学 历</w:t>
            </w:r>
          </w:p>
        </w:tc>
        <w:tc>
          <w:tcPr>
            <w:tcW w:w="1263" w:type="dxa"/>
            <w:vAlign w:val="center"/>
          </w:tcPr>
          <w:p>
            <w:pPr>
              <w:autoSpaceDE w:val="0"/>
              <w:autoSpaceDN w:val="0"/>
              <w:adjustRightInd w:val="0"/>
              <w:spacing w:line="420" w:lineRule="exact"/>
              <w:jc w:val="center"/>
              <w:rPr>
                <w:rFonts w:hAnsi="宋体"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职称</w:t>
            </w:r>
          </w:p>
        </w:tc>
        <w:tc>
          <w:tcPr>
            <w:tcW w:w="1551"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职务</w:t>
            </w:r>
          </w:p>
        </w:tc>
        <w:tc>
          <w:tcPr>
            <w:tcW w:w="1552" w:type="dxa"/>
            <w:vAlign w:val="center"/>
          </w:tcPr>
          <w:p>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拟在本合同任职</w:t>
            </w:r>
          </w:p>
        </w:tc>
        <w:tc>
          <w:tcPr>
            <w:tcW w:w="1263" w:type="dxa"/>
            <w:vAlign w:val="center"/>
          </w:tcPr>
          <w:p>
            <w:pPr>
              <w:autoSpaceDE w:val="0"/>
              <w:autoSpaceDN w:val="0"/>
              <w:adjustRightInd w:val="0"/>
              <w:spacing w:line="420" w:lineRule="exact"/>
              <w:jc w:val="center"/>
              <w:rPr>
                <w:rFonts w:hAnsi="宋体"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毕业学校</w:t>
            </w:r>
          </w:p>
        </w:tc>
        <w:tc>
          <w:tcPr>
            <w:tcW w:w="7764" w:type="dxa"/>
            <w:gridSpan w:val="7"/>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时间</w:t>
            </w:r>
          </w:p>
        </w:tc>
        <w:tc>
          <w:tcPr>
            <w:tcW w:w="2329"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担任职务</w:t>
            </w:r>
          </w:p>
        </w:tc>
        <w:tc>
          <w:tcPr>
            <w:tcW w:w="2330" w:type="dxa"/>
            <w:gridSpan w:val="2"/>
            <w:vAlign w:val="center"/>
          </w:tcPr>
          <w:p>
            <w:pPr>
              <w:autoSpaceDE w:val="0"/>
              <w:autoSpaceDN w:val="0"/>
              <w:adjustRightInd w:val="0"/>
              <w:spacing w:line="420" w:lineRule="exact"/>
              <w:jc w:val="center"/>
              <w:rPr>
                <w:rFonts w:hAnsi="宋体" w:cs="仿宋_GB2312"/>
                <w:color w:val="000000" w:themeColor="text1"/>
                <w:sz w:val="24"/>
              </w:rPr>
            </w:pPr>
            <w:r>
              <w:rPr>
                <w:rFonts w:hint="eastAsia" w:hAnsi="宋体" w:cs="仿宋_GB2312"/>
                <w:color w:val="000000" w:themeColor="text1"/>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pPr>
              <w:autoSpaceDE w:val="0"/>
              <w:autoSpaceDN w:val="0"/>
              <w:adjustRightInd w:val="0"/>
              <w:spacing w:line="420" w:lineRule="exact"/>
              <w:jc w:val="center"/>
              <w:rPr>
                <w:rFonts w:hAnsi="宋体"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pPr>
              <w:autoSpaceDE w:val="0"/>
              <w:autoSpaceDN w:val="0"/>
              <w:adjustRightInd w:val="0"/>
              <w:spacing w:line="420" w:lineRule="exact"/>
              <w:jc w:val="center"/>
              <w:rPr>
                <w:rFonts w:hAnsi="宋体"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pPr>
              <w:autoSpaceDE w:val="0"/>
              <w:autoSpaceDN w:val="0"/>
              <w:adjustRightInd w:val="0"/>
              <w:spacing w:line="420" w:lineRule="exact"/>
              <w:jc w:val="center"/>
              <w:rPr>
                <w:rFonts w:hAnsi="宋体" w:cs="仿宋_GB2312"/>
                <w:color w:val="000000" w:themeColor="text1"/>
                <w:sz w:val="24"/>
              </w:rPr>
            </w:pPr>
          </w:p>
        </w:tc>
      </w:tr>
    </w:tbl>
    <w:p>
      <w:pPr>
        <w:widowControl/>
        <w:jc w:val="center"/>
        <w:rPr>
          <w:rFonts w:ascii="黑体" w:hAnsi="新宋体" w:eastAsia="黑体" w:cs="黑体"/>
          <w:color w:val="000000" w:themeColor="text1"/>
          <w:sz w:val="28"/>
          <w:szCs w:val="28"/>
        </w:rPr>
      </w:pPr>
      <w:bookmarkStart w:id="64" w:name="_Toc215282255"/>
      <w:r>
        <w:rPr>
          <w:rFonts w:ascii="黑体" w:hAnsi="新宋体" w:eastAsia="黑体" w:cs="黑体"/>
          <w:color w:val="000000" w:themeColor="text1"/>
          <w:sz w:val="28"/>
          <w:szCs w:val="28"/>
        </w:rPr>
        <w:br w:type="page"/>
      </w: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六、服务承诺</w:t>
      </w:r>
    </w:p>
    <w:p>
      <w:pPr>
        <w:autoSpaceDE w:val="0"/>
        <w:autoSpaceDN w:val="0"/>
        <w:adjustRightInd w:val="0"/>
        <w:spacing w:line="420" w:lineRule="exact"/>
        <w:jc w:val="left"/>
        <w:rPr>
          <w:rFonts w:hAnsi="宋体" w:cs="TimesNewRomanPSMT"/>
          <w:color w:val="000000" w:themeColor="text1"/>
          <w:sz w:val="18"/>
          <w:szCs w:val="18"/>
        </w:rPr>
      </w:pPr>
    </w:p>
    <w:tbl>
      <w:tblPr>
        <w:tblStyle w:val="38"/>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079" w:type="dxa"/>
            <w:vAlign w:val="center"/>
          </w:tcPr>
          <w:p>
            <w:pPr>
              <w:rPr>
                <w:color w:val="000000" w:themeColor="text1"/>
                <w:sz w:val="28"/>
              </w:rPr>
            </w:pPr>
            <w:r>
              <w:rPr>
                <w:rFonts w:hint="eastAsia"/>
                <w:color w:val="000000" w:themeColor="text1"/>
                <w:sz w:val="28"/>
              </w:rPr>
              <w:t>投  标  单 位</w:t>
            </w:r>
          </w:p>
        </w:tc>
        <w:tc>
          <w:tcPr>
            <w:tcW w:w="7668" w:type="dxa"/>
          </w:tcPr>
          <w:p>
            <w:pPr>
              <w:ind w:firstLine="5180" w:firstLineChars="1850"/>
              <w:rPr>
                <w:color w:val="000000" w:themeColor="text1"/>
                <w:sz w:val="28"/>
              </w:rPr>
            </w:pPr>
            <w:r>
              <w:rPr>
                <w:rFonts w:hint="eastAsia"/>
                <w:color w:val="000000" w:themeColor="text1"/>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jc w:val="center"/>
        </w:trPr>
        <w:tc>
          <w:tcPr>
            <w:tcW w:w="9747" w:type="dxa"/>
            <w:gridSpan w:val="2"/>
            <w:tcBorders>
              <w:bottom w:val="single" w:color="auto" w:sz="4" w:space="0"/>
            </w:tcBorders>
          </w:tcPr>
          <w:p>
            <w:pPr>
              <w:rPr>
                <w:color w:val="000000" w:themeColor="text1"/>
                <w:sz w:val="28"/>
              </w:rPr>
            </w:pPr>
            <w:r>
              <w:rPr>
                <w:rFonts w:hint="eastAsia"/>
                <w:color w:val="000000" w:themeColor="text1"/>
                <w:sz w:val="28"/>
              </w:rPr>
              <w:t>承诺内容：</w:t>
            </w:r>
          </w:p>
          <w:p>
            <w:pPr>
              <w:rPr>
                <w:color w:val="000000" w:themeColor="text1"/>
                <w:sz w:val="28"/>
              </w:rPr>
            </w:pPr>
          </w:p>
          <w:p>
            <w:pPr>
              <w:ind w:firstLine="2800" w:firstLineChars="1000"/>
              <w:rPr>
                <w:color w:val="000000" w:themeColor="text1"/>
                <w:sz w:val="28"/>
              </w:rPr>
            </w:pPr>
          </w:p>
          <w:p>
            <w:pPr>
              <w:pStyle w:val="2"/>
              <w:ind w:firstLine="210"/>
              <w:rPr>
                <w:color w:val="000000" w:themeColor="text1"/>
              </w:rPr>
            </w:pPr>
          </w:p>
          <w:p>
            <w:pPr>
              <w:pStyle w:val="2"/>
              <w:ind w:firstLine="210"/>
              <w:rPr>
                <w:color w:val="000000" w:themeColor="text1"/>
              </w:rPr>
            </w:pPr>
          </w:p>
          <w:p>
            <w:pPr>
              <w:jc w:val="right"/>
              <w:rPr>
                <w:color w:val="000000" w:themeColor="text1"/>
                <w:sz w:val="28"/>
              </w:rPr>
            </w:pPr>
            <w:r>
              <w:rPr>
                <w:rFonts w:hint="eastAsia"/>
                <w:color w:val="000000" w:themeColor="text1"/>
                <w:sz w:val="28"/>
              </w:rPr>
              <w:t>投标人法定代表人或授权委托人：（签字或盖章）</w:t>
            </w:r>
          </w:p>
          <w:p>
            <w:pPr>
              <w:jc w:val="right"/>
              <w:rPr>
                <w:color w:val="000000" w:themeColor="text1"/>
                <w:sz w:val="28"/>
              </w:rPr>
            </w:pPr>
          </w:p>
          <w:p>
            <w:pPr>
              <w:jc w:val="right"/>
              <w:rPr>
                <w:color w:val="000000" w:themeColor="text1"/>
                <w:sz w:val="28"/>
              </w:rPr>
            </w:pPr>
            <w:r>
              <w:rPr>
                <w:rFonts w:hint="eastAsia"/>
                <w:color w:val="000000" w:themeColor="text1"/>
                <w:sz w:val="28"/>
              </w:rPr>
              <w:t>日期：   年    月     日</w:t>
            </w:r>
            <w:r>
              <w:rPr>
                <w:color w:val="000000" w:themeColor="text1"/>
                <w:sz w:val="28"/>
              </w:rPr>
              <w:tab/>
            </w:r>
          </w:p>
        </w:tc>
      </w:tr>
    </w:tbl>
    <w:p>
      <w:pPr>
        <w:autoSpaceDE w:val="0"/>
        <w:autoSpaceDN w:val="0"/>
        <w:adjustRightInd w:val="0"/>
        <w:spacing w:line="420" w:lineRule="exact"/>
        <w:jc w:val="center"/>
        <w:rPr>
          <w:rFonts w:ascii="黑体" w:hAnsi="新宋体" w:eastAsia="黑体" w:cs="黑体"/>
          <w:color w:val="000000" w:themeColor="text1"/>
          <w:sz w:val="28"/>
          <w:szCs w:val="28"/>
        </w:rPr>
      </w:pPr>
    </w:p>
    <w:p>
      <w:pPr>
        <w:autoSpaceDE w:val="0"/>
        <w:autoSpaceDN w:val="0"/>
        <w:adjustRightInd w:val="0"/>
        <w:spacing w:line="420" w:lineRule="exact"/>
        <w:jc w:val="center"/>
        <w:outlineLvl w:val="0"/>
        <w:rPr>
          <w:rFonts w:ascii="黑体" w:hAnsi="新宋体" w:eastAsia="黑体" w:cs="黑体"/>
          <w:color w:val="000000" w:themeColor="text1"/>
          <w:sz w:val="28"/>
          <w:szCs w:val="28"/>
        </w:rPr>
      </w:pPr>
    </w:p>
    <w:p>
      <w:pPr>
        <w:autoSpaceDE w:val="0"/>
        <w:autoSpaceDN w:val="0"/>
        <w:adjustRightInd w:val="0"/>
        <w:spacing w:line="420" w:lineRule="exact"/>
        <w:jc w:val="center"/>
        <w:outlineLvl w:val="0"/>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七、监理单位近三年内完成同类工程项目</w:t>
      </w:r>
    </w:p>
    <w:tbl>
      <w:tblPr>
        <w:tblStyle w:val="38"/>
        <w:tblpPr w:leftFromText="180" w:rightFromText="180" w:vertAnchor="text" w:horzAnchor="margin" w:tblpXSpec="center" w:tblpY="25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建设单位</w:t>
            </w:r>
          </w:p>
        </w:tc>
        <w:tc>
          <w:tcPr>
            <w:tcW w:w="1295"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项目名称</w:t>
            </w:r>
          </w:p>
        </w:tc>
        <w:tc>
          <w:tcPr>
            <w:tcW w:w="2280"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建设规模及合同价</w:t>
            </w:r>
          </w:p>
        </w:tc>
        <w:tc>
          <w:tcPr>
            <w:tcW w:w="1425"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开竣工日期</w:t>
            </w:r>
          </w:p>
        </w:tc>
        <w:tc>
          <w:tcPr>
            <w:tcW w:w="1185"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工程质量</w:t>
            </w:r>
          </w:p>
        </w:tc>
        <w:tc>
          <w:tcPr>
            <w:tcW w:w="2233" w:type="dxa"/>
          </w:tcPr>
          <w:p>
            <w:pPr>
              <w:autoSpaceDE w:val="0"/>
              <w:autoSpaceDN w:val="0"/>
              <w:adjustRightInd w:val="0"/>
              <w:spacing w:line="420" w:lineRule="exact"/>
              <w:outlineLvl w:val="0"/>
              <w:rPr>
                <w:rFonts w:cs="黑体" w:asciiTheme="minorEastAsia" w:hAnsiTheme="minorEastAsia"/>
                <w:color w:val="000000" w:themeColor="text1"/>
                <w:sz w:val="24"/>
              </w:rPr>
            </w:pPr>
          </w:p>
          <w:p>
            <w:pPr>
              <w:autoSpaceDE w:val="0"/>
              <w:autoSpaceDN w:val="0"/>
              <w:adjustRightInd w:val="0"/>
              <w:spacing w:line="420" w:lineRule="exact"/>
              <w:ind w:firstLine="120" w:firstLineChars="50"/>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29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280"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4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185"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233"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29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280"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4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185"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2233"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r>
    </w:tbl>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outlineLvl w:val="0"/>
        <w:rPr>
          <w:rFonts w:hAnsi="宋体" w:cs="仿宋_GB2312"/>
          <w:color w:val="000000" w:themeColor="text1"/>
          <w:sz w:val="24"/>
        </w:rPr>
      </w:pPr>
      <w:r>
        <w:rPr>
          <w:rFonts w:hint="eastAsia" w:hAnsi="宋体" w:cs="仿宋_GB2312"/>
          <w:color w:val="000000" w:themeColor="text1"/>
          <w:sz w:val="24"/>
        </w:rPr>
        <w:t>注：（1）本表须附有关证明原件扫描件或图片。</w:t>
      </w:r>
    </w:p>
    <w:p>
      <w:pPr>
        <w:autoSpaceDE w:val="0"/>
        <w:autoSpaceDN w:val="0"/>
        <w:adjustRightInd w:val="0"/>
        <w:spacing w:line="420" w:lineRule="exact"/>
        <w:ind w:firstLine="480" w:firstLineChars="200"/>
        <w:outlineLvl w:val="0"/>
        <w:rPr>
          <w:rFonts w:hAnsi="宋体" w:cs="仿宋_GB2312"/>
          <w:color w:val="000000" w:themeColor="text1"/>
          <w:sz w:val="24"/>
        </w:rPr>
      </w:pPr>
      <w:r>
        <w:rPr>
          <w:rFonts w:hint="eastAsia" w:hAnsi="宋体" w:cs="仿宋_GB2312"/>
          <w:color w:val="000000" w:themeColor="text1"/>
          <w:sz w:val="24"/>
        </w:rPr>
        <w:t>（2）本表不够时按招标文件提供格式自制。</w:t>
      </w:r>
    </w:p>
    <w:p>
      <w:pPr>
        <w:ind w:right="315"/>
        <w:jc w:val="right"/>
        <w:rPr>
          <w:rFonts w:hAnsi="宋体" w:cs="仿宋_GB2312"/>
          <w:color w:val="000000" w:themeColor="text1"/>
          <w:szCs w:val="21"/>
        </w:rPr>
      </w:pPr>
    </w:p>
    <w:p>
      <w:pPr>
        <w:ind w:right="1470"/>
        <w:jc w:val="center"/>
        <w:rPr>
          <w:rFonts w:hAnsi="宋体" w:cs="仿宋_GB2312"/>
          <w:color w:val="000000" w:themeColor="text1"/>
          <w:sz w:val="24"/>
        </w:rPr>
      </w:pPr>
      <w:r>
        <w:rPr>
          <w:rFonts w:hint="eastAsia" w:hAnsi="宋体" w:cs="仿宋_GB2312"/>
          <w:color w:val="000000" w:themeColor="text1"/>
          <w:sz w:val="24"/>
        </w:rPr>
        <w:t xml:space="preserve">                                         投标单位（盖章）：</w:t>
      </w:r>
    </w:p>
    <w:p>
      <w:pPr>
        <w:ind w:right="840"/>
        <w:jc w:val="right"/>
        <w:rPr>
          <w:rFonts w:hAnsi="宋体" w:cs="仿宋_GB2312"/>
          <w:color w:val="000000" w:themeColor="text1"/>
          <w:sz w:val="24"/>
        </w:rPr>
      </w:pPr>
      <w:r>
        <w:rPr>
          <w:rFonts w:hint="eastAsia" w:hAnsi="宋体" w:cs="仿宋_GB2312"/>
          <w:color w:val="000000" w:themeColor="text1"/>
          <w:sz w:val="24"/>
        </w:rPr>
        <w:t>法定代表人（</w:t>
      </w:r>
      <w:r>
        <w:rPr>
          <w:rFonts w:hAnsi="宋体"/>
          <w:color w:val="000000" w:themeColor="text1"/>
          <w:sz w:val="24"/>
        </w:rPr>
        <w:t>签</w:t>
      </w:r>
      <w:r>
        <w:rPr>
          <w:rFonts w:hint="eastAsia" w:hAnsi="宋体"/>
          <w:color w:val="000000" w:themeColor="text1"/>
          <w:sz w:val="24"/>
        </w:rPr>
        <w:t>字或盖章</w:t>
      </w:r>
      <w:r>
        <w:rPr>
          <w:rFonts w:hint="eastAsia" w:hAnsi="宋体" w:cs="仿宋_GB2312"/>
          <w:color w:val="000000" w:themeColor="text1"/>
          <w:sz w:val="24"/>
        </w:rPr>
        <w:t>）：</w:t>
      </w:r>
    </w:p>
    <w:p>
      <w:pPr>
        <w:ind w:right="1470"/>
        <w:jc w:val="right"/>
        <w:rPr>
          <w:rFonts w:hAnsi="宋体" w:cs="仿宋_GB2312"/>
          <w:color w:val="000000" w:themeColor="text1"/>
          <w:sz w:val="24"/>
        </w:rPr>
      </w:pPr>
      <w:r>
        <w:rPr>
          <w:rFonts w:hint="eastAsia" w:hAnsi="宋体" w:cs="仿宋_GB2312"/>
          <w:color w:val="000000" w:themeColor="text1"/>
          <w:sz w:val="24"/>
        </w:rPr>
        <w:t>年    月   日</w:t>
      </w:r>
    </w:p>
    <w:p>
      <w:pPr>
        <w:widowControl/>
        <w:jc w:val="left"/>
        <w:rPr>
          <w:rFonts w:cs="黑体" w:asciiTheme="minorEastAsia" w:hAnsiTheme="minorEastAsia"/>
          <w:color w:val="000000" w:themeColor="text1"/>
          <w:sz w:val="32"/>
          <w:szCs w:val="32"/>
        </w:rPr>
      </w:pPr>
      <w:r>
        <w:rPr>
          <w:rFonts w:cs="黑体" w:asciiTheme="minorEastAsia" w:hAnsiTheme="minorEastAsia"/>
          <w:color w:val="000000" w:themeColor="text1"/>
          <w:sz w:val="32"/>
          <w:szCs w:val="32"/>
        </w:rPr>
        <w:br w:type="page"/>
      </w:r>
    </w:p>
    <w:p>
      <w:pPr>
        <w:autoSpaceDE w:val="0"/>
        <w:autoSpaceDN w:val="0"/>
        <w:adjustRightInd w:val="0"/>
        <w:spacing w:line="420" w:lineRule="exact"/>
        <w:jc w:val="center"/>
        <w:outlineLvl w:val="0"/>
        <w:rPr>
          <w:rFonts w:cs="黑体" w:asciiTheme="minorEastAsia" w:hAnsiTheme="minorEastAsia"/>
          <w:color w:val="000000" w:themeColor="text1"/>
          <w:sz w:val="32"/>
          <w:szCs w:val="32"/>
        </w:rPr>
      </w:pPr>
      <w:r>
        <w:rPr>
          <w:rFonts w:hint="eastAsia" w:cs="黑体" w:asciiTheme="minorEastAsia" w:hAnsiTheme="minorEastAsia"/>
          <w:color w:val="000000" w:themeColor="text1"/>
          <w:sz w:val="32"/>
          <w:szCs w:val="32"/>
        </w:rPr>
        <w:t>八、目前正在监理的工程项目一览表</w:t>
      </w:r>
    </w:p>
    <w:tbl>
      <w:tblPr>
        <w:tblStyle w:val="38"/>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项目名称</w:t>
            </w: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建设单位</w:t>
            </w: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建设规模及合同价</w:t>
            </w:r>
          </w:p>
        </w:tc>
        <w:tc>
          <w:tcPr>
            <w:tcW w:w="16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开竣工日期</w:t>
            </w:r>
          </w:p>
        </w:tc>
        <w:tc>
          <w:tcPr>
            <w:tcW w:w="124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工程质量</w:t>
            </w:r>
          </w:p>
        </w:tc>
        <w:tc>
          <w:tcPr>
            <w:tcW w:w="1318" w:type="dxa"/>
          </w:tcPr>
          <w:p>
            <w:pPr>
              <w:widowControl/>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总监理工程师</w:t>
            </w: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业主联</w:t>
            </w:r>
          </w:p>
          <w:p>
            <w:pPr>
              <w:autoSpaceDE w:val="0"/>
              <w:autoSpaceDN w:val="0"/>
              <w:adjustRightInd w:val="0"/>
              <w:spacing w:line="420" w:lineRule="exact"/>
              <w:jc w:val="center"/>
              <w:outlineLvl w:val="0"/>
              <w:rPr>
                <w:rFonts w:cs="黑体" w:asciiTheme="minorEastAsia" w:hAnsiTheme="minorEastAsia"/>
                <w:color w:val="000000" w:themeColor="text1"/>
                <w:sz w:val="24"/>
              </w:rPr>
            </w:pPr>
            <w:r>
              <w:rPr>
                <w:rFonts w:hint="eastAsia" w:cs="黑体" w:asciiTheme="minorEastAsia" w:hAnsiTheme="minorEastAsia"/>
                <w:color w:val="000000" w:themeColor="text1"/>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6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245"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18"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6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24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18"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625"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245"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18" w:type="dxa"/>
          </w:tcPr>
          <w:p>
            <w:pPr>
              <w:widowControl/>
              <w:jc w:val="left"/>
              <w:rPr>
                <w:rFonts w:cs="黑体" w:asciiTheme="minorEastAsia" w:hAnsiTheme="minorEastAsia"/>
                <w:color w:val="000000" w:themeColor="text1"/>
                <w:sz w:val="24"/>
              </w:rPr>
            </w:pPr>
          </w:p>
          <w:p>
            <w:pPr>
              <w:autoSpaceDE w:val="0"/>
              <w:autoSpaceDN w:val="0"/>
              <w:adjustRightInd w:val="0"/>
              <w:spacing w:line="420" w:lineRule="exact"/>
              <w:jc w:val="center"/>
              <w:outlineLvl w:val="0"/>
              <w:rPr>
                <w:rFonts w:cs="黑体" w:asciiTheme="minorEastAsia" w:hAnsiTheme="minorEastAsia"/>
                <w:color w:val="000000" w:themeColor="text1"/>
                <w:sz w:val="24"/>
              </w:rPr>
            </w:pPr>
          </w:p>
        </w:tc>
        <w:tc>
          <w:tcPr>
            <w:tcW w:w="1396" w:type="dxa"/>
          </w:tcPr>
          <w:p>
            <w:pPr>
              <w:autoSpaceDE w:val="0"/>
              <w:autoSpaceDN w:val="0"/>
              <w:adjustRightInd w:val="0"/>
              <w:spacing w:line="420" w:lineRule="exact"/>
              <w:jc w:val="center"/>
              <w:outlineLvl w:val="0"/>
              <w:rPr>
                <w:rFonts w:cs="黑体" w:asciiTheme="minorEastAsia" w:hAnsiTheme="minorEastAsia"/>
                <w:color w:val="000000" w:themeColor="text1"/>
                <w:sz w:val="24"/>
              </w:rPr>
            </w:pPr>
          </w:p>
        </w:tc>
      </w:tr>
    </w:tbl>
    <w:p>
      <w:pPr>
        <w:autoSpaceDE w:val="0"/>
        <w:autoSpaceDN w:val="0"/>
        <w:adjustRightInd w:val="0"/>
        <w:spacing w:line="420" w:lineRule="exact"/>
        <w:outlineLvl w:val="0"/>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注：（1）本表须附有关证明原件扫描件或图片。</w:t>
      </w:r>
    </w:p>
    <w:p>
      <w:pPr>
        <w:autoSpaceDE w:val="0"/>
        <w:autoSpaceDN w:val="0"/>
        <w:adjustRightInd w:val="0"/>
        <w:spacing w:line="420" w:lineRule="exact"/>
        <w:ind w:firstLine="480" w:firstLineChars="200"/>
        <w:outlineLvl w:val="0"/>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（2）本表不够时按招标文件提供格式自制。</w:t>
      </w:r>
    </w:p>
    <w:p>
      <w:pPr>
        <w:autoSpaceDE w:val="0"/>
        <w:autoSpaceDN w:val="0"/>
        <w:adjustRightInd w:val="0"/>
        <w:spacing w:line="420" w:lineRule="exact"/>
        <w:ind w:firstLine="480" w:firstLineChars="200"/>
        <w:outlineLvl w:val="0"/>
        <w:rPr>
          <w:rFonts w:cs="仿宋_GB2312" w:asciiTheme="minorEastAsia" w:hAnsiTheme="minorEastAsia"/>
          <w:color w:val="000000" w:themeColor="text1"/>
          <w:sz w:val="24"/>
        </w:rPr>
      </w:pPr>
    </w:p>
    <w:p>
      <w:pPr>
        <w:ind w:right="1470"/>
        <w:jc w:val="center"/>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 xml:space="preserve">                                        投标单位（盖章）：</w:t>
      </w:r>
    </w:p>
    <w:p>
      <w:pPr>
        <w:ind w:right="840"/>
        <w:jc w:val="right"/>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法定代表人（</w:t>
      </w:r>
      <w:r>
        <w:rPr>
          <w:rFonts w:asciiTheme="minorEastAsia" w:hAnsiTheme="minorEastAsia"/>
          <w:color w:val="000000" w:themeColor="text1"/>
          <w:sz w:val="24"/>
        </w:rPr>
        <w:t>签</w:t>
      </w:r>
      <w:r>
        <w:rPr>
          <w:rFonts w:hint="eastAsia" w:asciiTheme="minorEastAsia" w:hAnsiTheme="minorEastAsia"/>
          <w:color w:val="000000" w:themeColor="text1"/>
          <w:sz w:val="24"/>
        </w:rPr>
        <w:t>字或盖章</w:t>
      </w:r>
      <w:r>
        <w:rPr>
          <w:rFonts w:hint="eastAsia" w:cs="仿宋_GB2312" w:asciiTheme="minorEastAsia" w:hAnsiTheme="minorEastAsia"/>
          <w:color w:val="000000" w:themeColor="text1"/>
          <w:sz w:val="24"/>
        </w:rPr>
        <w:t>）：</w:t>
      </w:r>
    </w:p>
    <w:p>
      <w:pPr>
        <w:ind w:right="1470"/>
        <w:jc w:val="right"/>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年    月   日</w:t>
      </w:r>
    </w:p>
    <w:p>
      <w:pPr>
        <w:autoSpaceDE w:val="0"/>
        <w:autoSpaceDN w:val="0"/>
        <w:adjustRightInd w:val="0"/>
        <w:spacing w:line="420" w:lineRule="exact"/>
        <w:jc w:val="center"/>
        <w:outlineLvl w:val="0"/>
        <w:rPr>
          <w:rFonts w:cs="黑体" w:asciiTheme="minorEastAsia" w:hAnsiTheme="minorEastAsia"/>
          <w:b/>
          <w:color w:val="000000" w:themeColor="text1"/>
          <w:sz w:val="32"/>
          <w:szCs w:val="32"/>
        </w:rPr>
      </w:pPr>
    </w:p>
    <w:p>
      <w:pPr>
        <w:autoSpaceDE w:val="0"/>
        <w:autoSpaceDN w:val="0"/>
        <w:adjustRightInd w:val="0"/>
        <w:spacing w:line="420" w:lineRule="exact"/>
        <w:jc w:val="center"/>
        <w:outlineLvl w:val="0"/>
        <w:rPr>
          <w:rFonts w:cs="黑体" w:asciiTheme="minorEastAsia" w:hAnsiTheme="minorEastAsia"/>
          <w:color w:val="000000" w:themeColor="text1"/>
          <w:sz w:val="32"/>
          <w:szCs w:val="32"/>
        </w:rPr>
      </w:pPr>
      <w:r>
        <w:rPr>
          <w:rFonts w:hint="eastAsia" w:cs="黑体" w:asciiTheme="minorEastAsia" w:hAnsiTheme="minorEastAsia"/>
          <w:color w:val="000000" w:themeColor="text1"/>
          <w:sz w:val="32"/>
          <w:szCs w:val="32"/>
        </w:rPr>
        <w:t>九、监理单位近三年获得荣誉称号；</w:t>
      </w:r>
    </w:p>
    <w:p>
      <w:pPr>
        <w:autoSpaceDE w:val="0"/>
        <w:autoSpaceDN w:val="0"/>
        <w:adjustRightInd w:val="0"/>
        <w:spacing w:line="420" w:lineRule="exact"/>
        <w:jc w:val="center"/>
        <w:rPr>
          <w:rFonts w:cs="黑体" w:asciiTheme="minorEastAsia" w:hAnsiTheme="minorEastAsia"/>
          <w:color w:val="000000" w:themeColor="text1"/>
          <w:sz w:val="28"/>
          <w:szCs w:val="28"/>
        </w:rPr>
      </w:pPr>
    </w:p>
    <w:tbl>
      <w:tblPr>
        <w:tblStyle w:val="38"/>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418"/>
        <w:gridCol w:w="1418"/>
        <w:gridCol w:w="1418"/>
        <w:gridCol w:w="175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994"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工程名称</w:t>
            </w: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荣誉称号</w:t>
            </w: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颁发时间</w:t>
            </w: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颁发单位</w:t>
            </w:r>
          </w:p>
        </w:tc>
        <w:tc>
          <w:tcPr>
            <w:tcW w:w="1756"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总监理工程师</w:t>
            </w:r>
          </w:p>
        </w:tc>
        <w:tc>
          <w:tcPr>
            <w:tcW w:w="1631"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r>
              <w:rPr>
                <w:rFonts w:hint="eastAsia" w:cs="黑体" w:asciiTheme="minorEastAsia" w:hAnsiTheme="minorEastAsia"/>
                <w:color w:val="000000" w:themeColor="text1"/>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994"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756"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631"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994"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756"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631"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994"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418"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756"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c>
          <w:tcPr>
            <w:tcW w:w="1631" w:type="dxa"/>
            <w:vAlign w:val="center"/>
          </w:tcPr>
          <w:p>
            <w:pPr>
              <w:autoSpaceDE w:val="0"/>
              <w:autoSpaceDN w:val="0"/>
              <w:adjustRightInd w:val="0"/>
              <w:spacing w:line="420" w:lineRule="exact"/>
              <w:jc w:val="center"/>
              <w:rPr>
                <w:rFonts w:cs="黑体" w:asciiTheme="minorEastAsia" w:hAnsiTheme="minorEastAsia"/>
                <w:color w:val="000000" w:themeColor="text1"/>
                <w:sz w:val="24"/>
              </w:rPr>
            </w:pPr>
          </w:p>
        </w:tc>
      </w:tr>
    </w:tbl>
    <w:p>
      <w:pPr>
        <w:autoSpaceDE w:val="0"/>
        <w:autoSpaceDN w:val="0"/>
        <w:adjustRightInd w:val="0"/>
        <w:spacing w:line="440" w:lineRule="exact"/>
        <w:jc w:val="left"/>
        <w:rPr>
          <w:rFonts w:cs="仿宋_GB2312" w:asciiTheme="minorEastAsia" w:hAnsiTheme="minorEastAsia"/>
          <w:color w:val="000000" w:themeColor="text1"/>
          <w:sz w:val="24"/>
        </w:rPr>
      </w:pPr>
      <w:r>
        <w:rPr>
          <w:rFonts w:hint="eastAsia" w:cs="仿宋_GB2312" w:asciiTheme="minorEastAsia" w:hAnsiTheme="minorEastAsia"/>
          <w:color w:val="000000" w:themeColor="text1"/>
          <w:sz w:val="24"/>
        </w:rPr>
        <w:t>注：提供相关证书原件扫描件或图片。</w:t>
      </w:r>
    </w:p>
    <w:bookmarkEnd w:id="64"/>
    <w:p>
      <w:pPr>
        <w:widowControl/>
        <w:jc w:val="left"/>
        <w:rPr>
          <w:rFonts w:ascii="黑体" w:hAnsi="新宋体" w:eastAsia="黑体" w:cs="黑体"/>
          <w:color w:val="000000" w:themeColor="text1"/>
          <w:sz w:val="24"/>
        </w:rPr>
      </w:pPr>
    </w:p>
    <w:p>
      <w:pPr>
        <w:widowControl/>
        <w:jc w:val="left"/>
        <w:rPr>
          <w:rFonts w:ascii="黑体" w:hAnsi="新宋体" w:eastAsia="黑体" w:cs="黑体"/>
          <w:color w:val="000000" w:themeColor="text1"/>
          <w:sz w:val="32"/>
          <w:szCs w:val="32"/>
        </w:rPr>
      </w:pPr>
      <w:r>
        <w:rPr>
          <w:rFonts w:ascii="黑体" w:hAnsi="新宋体" w:eastAsia="黑体" w:cs="黑体"/>
          <w:color w:val="000000" w:themeColor="text1"/>
          <w:sz w:val="32"/>
          <w:szCs w:val="32"/>
        </w:rPr>
        <w:br w:type="page"/>
      </w:r>
    </w:p>
    <w:p>
      <w:pPr>
        <w:widowControl/>
        <w:jc w:val="left"/>
        <w:rPr>
          <w:rFonts w:ascii="黑体" w:hAnsi="新宋体" w:eastAsia="黑体" w:cs="黑体"/>
          <w:color w:val="000000" w:themeColor="text1"/>
          <w:sz w:val="32"/>
          <w:szCs w:val="32"/>
        </w:rPr>
      </w:pPr>
    </w:p>
    <w:p>
      <w:pPr>
        <w:widowControl/>
        <w:jc w:val="left"/>
        <w:rPr>
          <w:rFonts w:ascii="黑体" w:hAnsi="新宋体" w:eastAsia="黑体" w:cs="黑体"/>
          <w:color w:val="000000" w:themeColor="text1"/>
          <w:sz w:val="32"/>
          <w:szCs w:val="32"/>
        </w:rPr>
      </w:pPr>
    </w:p>
    <w:p>
      <w:pPr>
        <w:widowControl/>
        <w:jc w:val="center"/>
        <w:rPr>
          <w:rFonts w:ascii="黑体" w:hAnsi="新宋体" w:eastAsia="黑体" w:cs="黑体"/>
          <w:color w:val="000000" w:themeColor="text1"/>
          <w:sz w:val="32"/>
          <w:szCs w:val="32"/>
        </w:rPr>
      </w:pPr>
      <w:r>
        <w:rPr>
          <w:rFonts w:hint="eastAsia" w:ascii="黑体" w:hAnsi="新宋体" w:eastAsia="黑体" w:cs="黑体"/>
          <w:color w:val="000000" w:themeColor="text1"/>
          <w:sz w:val="32"/>
          <w:szCs w:val="32"/>
        </w:rPr>
        <w:t>十、投标人须知前附表规定的其他材料。</w:t>
      </w:r>
    </w:p>
    <w:p>
      <w:pPr>
        <w:widowControl/>
        <w:jc w:val="left"/>
        <w:rPr>
          <w:rFonts w:ascii="黑体" w:hAnsi="新宋体" w:eastAsia="黑体" w:cs="黑体"/>
          <w:color w:val="000000" w:themeColor="text1"/>
          <w:sz w:val="28"/>
          <w:szCs w:val="28"/>
        </w:rPr>
      </w:pPr>
      <w:bookmarkStart w:id="65" w:name="_Toc215282262"/>
      <w:r>
        <w:rPr>
          <w:rFonts w:ascii="黑体" w:hAnsi="新宋体" w:eastAsia="黑体" w:cs="黑体"/>
          <w:color w:val="000000" w:themeColor="text1"/>
          <w:sz w:val="28"/>
          <w:szCs w:val="28"/>
        </w:rPr>
        <w:br w:type="page"/>
      </w:r>
    </w:p>
    <w:bookmarkEnd w:id="65"/>
    <w:p>
      <w:pPr>
        <w:autoSpaceDE w:val="0"/>
        <w:autoSpaceDN w:val="0"/>
        <w:adjustRightInd w:val="0"/>
        <w:spacing w:line="360" w:lineRule="auto"/>
        <w:jc w:val="center"/>
        <w:rPr>
          <w:rFonts w:hAnsi="宋体"/>
          <w:b/>
          <w:color w:val="000000" w:themeColor="text1"/>
          <w:sz w:val="36"/>
          <w:szCs w:val="36"/>
        </w:rPr>
      </w:pPr>
      <w:r>
        <w:rPr>
          <w:rFonts w:hint="eastAsia" w:hAnsi="宋体"/>
          <w:b/>
          <w:color w:val="000000" w:themeColor="text1"/>
          <w:sz w:val="36"/>
          <w:szCs w:val="36"/>
        </w:rPr>
        <w:t>二、监理大纲</w:t>
      </w:r>
    </w:p>
    <w:p>
      <w:pPr>
        <w:widowControl/>
        <w:ind w:firstLine="840" w:firstLineChars="350"/>
        <w:jc w:val="left"/>
        <w:rPr>
          <w:rFonts w:hAnsi="宋体"/>
          <w:color w:val="000000" w:themeColor="text1"/>
          <w:sz w:val="24"/>
        </w:rPr>
      </w:pPr>
      <w:r>
        <w:rPr>
          <w:rFonts w:hint="eastAsia" w:hAnsi="宋体"/>
          <w:color w:val="000000" w:themeColor="text1"/>
          <w:sz w:val="24"/>
        </w:rPr>
        <w:t>（1）质量控制</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（2）进度控制</w:t>
      </w:r>
      <w:r>
        <w:rPr>
          <w:rFonts w:hint="eastAsia" w:hAnsi="宋体"/>
          <w:color w:val="000000" w:themeColor="text1"/>
          <w:sz w:val="24"/>
        </w:rPr>
        <w:tab/>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（3）造价控制</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（4）安全措施</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（5）旁站监理措施</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（6）档案及合同管理</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（7）工作制度</w:t>
      </w:r>
    </w:p>
    <w:p>
      <w:pPr>
        <w:autoSpaceDE w:val="0"/>
        <w:autoSpaceDN w:val="0"/>
        <w:adjustRightInd w:val="0"/>
        <w:spacing w:line="420" w:lineRule="exact"/>
        <w:ind w:firstLine="840" w:firstLineChars="350"/>
        <w:jc w:val="left"/>
        <w:rPr>
          <w:rFonts w:hAnsi="宋体"/>
          <w:color w:val="000000" w:themeColor="text1"/>
          <w:sz w:val="24"/>
        </w:rPr>
      </w:pPr>
      <w:r>
        <w:rPr>
          <w:rFonts w:hint="eastAsia" w:hAnsi="宋体"/>
          <w:color w:val="000000" w:themeColor="text1"/>
          <w:sz w:val="24"/>
        </w:rPr>
        <w:t>（8）组织协调及合理化建议</w:t>
      </w:r>
    </w:p>
    <w:p>
      <w:pPr>
        <w:widowControl/>
        <w:jc w:val="left"/>
        <w:rPr>
          <w:rFonts w:hAnsi="宋体"/>
          <w:color w:val="000000" w:themeColor="text1"/>
          <w:sz w:val="24"/>
        </w:rPr>
      </w:pPr>
    </w:p>
    <w:p>
      <w:pPr>
        <w:widowControl/>
        <w:jc w:val="left"/>
        <w:rPr>
          <w:rFonts w:ascii="宋体" w:hAnsi="宋体" w:cs="宋体"/>
          <w:b/>
          <w:bdr w:val="single" w:color="auto" w:sz="4" w:space="0"/>
        </w:rPr>
      </w:pPr>
    </w:p>
    <w:sectPr>
      <w:footerReference r:id="rId3" w:type="default"/>
      <w:footerReference r:id="rId4" w:type="even"/>
      <w:pgSz w:w="11906" w:h="16838"/>
      <w:pgMar w:top="1418" w:right="1418" w:bottom="1418" w:left="1418"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clear" w:pos="8306"/>
      </w:tabs>
      <w:ind w:right="360"/>
      <w:jc w:val="both"/>
      <w:rPr>
        <w:kern w:val="0"/>
        <w:szCs w:val="21"/>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1"/>
                            </w:rPr>
                          </w:pPr>
                          <w:r>
                            <w:fldChar w:fldCharType="begin"/>
                          </w:r>
                          <w:r>
                            <w:rPr>
                              <w:rStyle w:val="41"/>
                            </w:rPr>
                            <w:instrText xml:space="preserve">PAGE  </w:instrText>
                          </w:r>
                          <w:r>
                            <w:fldChar w:fldCharType="separate"/>
                          </w:r>
                          <w:r>
                            <w:rPr>
                              <w:rStyle w:val="41"/>
                            </w:rPr>
                            <w:t>31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6"/>
                      <w:rPr>
                        <w:rStyle w:val="41"/>
                      </w:rPr>
                    </w:pPr>
                    <w:r>
                      <w:fldChar w:fldCharType="begin"/>
                    </w:r>
                    <w:r>
                      <w:rPr>
                        <w:rStyle w:val="41"/>
                      </w:rPr>
                      <w:instrText xml:space="preserve">PAGE  </w:instrText>
                    </w:r>
                    <w:r>
                      <w:fldChar w:fldCharType="separate"/>
                    </w:r>
                    <w:r>
                      <w:rPr>
                        <w:rStyle w:val="41"/>
                      </w:rP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6EC68B"/>
    <w:multiLevelType w:val="singleLevel"/>
    <w:tmpl w:val="FD6EC68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00"/>
    <w:rsid w:val="00002457"/>
    <w:rsid w:val="00004A93"/>
    <w:rsid w:val="000055DE"/>
    <w:rsid w:val="00014B50"/>
    <w:rsid w:val="000255B1"/>
    <w:rsid w:val="0002569B"/>
    <w:rsid w:val="000256DF"/>
    <w:rsid w:val="00031489"/>
    <w:rsid w:val="000400B4"/>
    <w:rsid w:val="00045105"/>
    <w:rsid w:val="00045F6B"/>
    <w:rsid w:val="00046408"/>
    <w:rsid w:val="00053169"/>
    <w:rsid w:val="000612A4"/>
    <w:rsid w:val="00061839"/>
    <w:rsid w:val="00067801"/>
    <w:rsid w:val="00074B7F"/>
    <w:rsid w:val="000767AD"/>
    <w:rsid w:val="00076A70"/>
    <w:rsid w:val="000775B9"/>
    <w:rsid w:val="0008334F"/>
    <w:rsid w:val="00083A46"/>
    <w:rsid w:val="000915F3"/>
    <w:rsid w:val="00094872"/>
    <w:rsid w:val="000A49E6"/>
    <w:rsid w:val="000A5293"/>
    <w:rsid w:val="000A6EFC"/>
    <w:rsid w:val="000B2D4A"/>
    <w:rsid w:val="000C247F"/>
    <w:rsid w:val="000C499E"/>
    <w:rsid w:val="000C707A"/>
    <w:rsid w:val="000C7514"/>
    <w:rsid w:val="000F4D4D"/>
    <w:rsid w:val="00100782"/>
    <w:rsid w:val="001021A1"/>
    <w:rsid w:val="00116EC0"/>
    <w:rsid w:val="00116F95"/>
    <w:rsid w:val="00137E7E"/>
    <w:rsid w:val="0014282C"/>
    <w:rsid w:val="00143376"/>
    <w:rsid w:val="001435D3"/>
    <w:rsid w:val="00147A98"/>
    <w:rsid w:val="00147CE6"/>
    <w:rsid w:val="0015122B"/>
    <w:rsid w:val="0015242C"/>
    <w:rsid w:val="00153A14"/>
    <w:rsid w:val="001557EC"/>
    <w:rsid w:val="00157BC2"/>
    <w:rsid w:val="00160028"/>
    <w:rsid w:val="00163B02"/>
    <w:rsid w:val="00165B71"/>
    <w:rsid w:val="0017238B"/>
    <w:rsid w:val="00172A27"/>
    <w:rsid w:val="00173565"/>
    <w:rsid w:val="00175A0C"/>
    <w:rsid w:val="00185D0F"/>
    <w:rsid w:val="001937A5"/>
    <w:rsid w:val="001962D5"/>
    <w:rsid w:val="001B0382"/>
    <w:rsid w:val="001C5B74"/>
    <w:rsid w:val="001C69ED"/>
    <w:rsid w:val="001C7AEA"/>
    <w:rsid w:val="001E1A3A"/>
    <w:rsid w:val="001E4A6A"/>
    <w:rsid w:val="001E732E"/>
    <w:rsid w:val="001E7A6D"/>
    <w:rsid w:val="00203F01"/>
    <w:rsid w:val="00206590"/>
    <w:rsid w:val="00212D0B"/>
    <w:rsid w:val="00214915"/>
    <w:rsid w:val="002212EA"/>
    <w:rsid w:val="002358C7"/>
    <w:rsid w:val="00235B5E"/>
    <w:rsid w:val="002402D7"/>
    <w:rsid w:val="00245733"/>
    <w:rsid w:val="002517AA"/>
    <w:rsid w:val="002528BA"/>
    <w:rsid w:val="00252ECB"/>
    <w:rsid w:val="002577AB"/>
    <w:rsid w:val="00260F11"/>
    <w:rsid w:val="00270089"/>
    <w:rsid w:val="00272736"/>
    <w:rsid w:val="00274844"/>
    <w:rsid w:val="002776EA"/>
    <w:rsid w:val="00290A2E"/>
    <w:rsid w:val="00296BE4"/>
    <w:rsid w:val="002A3F42"/>
    <w:rsid w:val="002A6AC4"/>
    <w:rsid w:val="002A75BE"/>
    <w:rsid w:val="002B7DEC"/>
    <w:rsid w:val="002C2508"/>
    <w:rsid w:val="002C3E37"/>
    <w:rsid w:val="002C68C9"/>
    <w:rsid w:val="002C7B83"/>
    <w:rsid w:val="002D4C25"/>
    <w:rsid w:val="002E261F"/>
    <w:rsid w:val="002E445D"/>
    <w:rsid w:val="00301678"/>
    <w:rsid w:val="00305678"/>
    <w:rsid w:val="00306C88"/>
    <w:rsid w:val="00310A98"/>
    <w:rsid w:val="00315DC1"/>
    <w:rsid w:val="0032164E"/>
    <w:rsid w:val="00322DCC"/>
    <w:rsid w:val="00322F4F"/>
    <w:rsid w:val="003238D4"/>
    <w:rsid w:val="003264E3"/>
    <w:rsid w:val="0034276B"/>
    <w:rsid w:val="0034459C"/>
    <w:rsid w:val="0034565F"/>
    <w:rsid w:val="003469AB"/>
    <w:rsid w:val="00346CFC"/>
    <w:rsid w:val="00351D77"/>
    <w:rsid w:val="00352A32"/>
    <w:rsid w:val="0036174A"/>
    <w:rsid w:val="00370E14"/>
    <w:rsid w:val="00374D8D"/>
    <w:rsid w:val="00377268"/>
    <w:rsid w:val="0039163D"/>
    <w:rsid w:val="003A1511"/>
    <w:rsid w:val="003A3CBD"/>
    <w:rsid w:val="003A5AFA"/>
    <w:rsid w:val="003B0E23"/>
    <w:rsid w:val="003B17D9"/>
    <w:rsid w:val="003B1E4A"/>
    <w:rsid w:val="003B4410"/>
    <w:rsid w:val="003B566F"/>
    <w:rsid w:val="003B5F8F"/>
    <w:rsid w:val="003C340E"/>
    <w:rsid w:val="003C5BF4"/>
    <w:rsid w:val="003C605C"/>
    <w:rsid w:val="003D2F0A"/>
    <w:rsid w:val="003D32FB"/>
    <w:rsid w:val="003E5DC5"/>
    <w:rsid w:val="003E7026"/>
    <w:rsid w:val="003F092D"/>
    <w:rsid w:val="003F32F0"/>
    <w:rsid w:val="003F526E"/>
    <w:rsid w:val="003F7A0E"/>
    <w:rsid w:val="003F7BF0"/>
    <w:rsid w:val="00403419"/>
    <w:rsid w:val="004154EF"/>
    <w:rsid w:val="00417480"/>
    <w:rsid w:val="0041785B"/>
    <w:rsid w:val="00420A3C"/>
    <w:rsid w:val="0043278E"/>
    <w:rsid w:val="00433EDB"/>
    <w:rsid w:val="00445121"/>
    <w:rsid w:val="004453DF"/>
    <w:rsid w:val="00445DF3"/>
    <w:rsid w:val="0045568F"/>
    <w:rsid w:val="00456F16"/>
    <w:rsid w:val="004627E6"/>
    <w:rsid w:val="004641F3"/>
    <w:rsid w:val="0047286A"/>
    <w:rsid w:val="00485169"/>
    <w:rsid w:val="00486F2A"/>
    <w:rsid w:val="004870C9"/>
    <w:rsid w:val="00490DAE"/>
    <w:rsid w:val="00493D59"/>
    <w:rsid w:val="004941C4"/>
    <w:rsid w:val="004A0263"/>
    <w:rsid w:val="004A6A20"/>
    <w:rsid w:val="004B33AC"/>
    <w:rsid w:val="004B581C"/>
    <w:rsid w:val="004C2EB6"/>
    <w:rsid w:val="004C3ACE"/>
    <w:rsid w:val="004D0177"/>
    <w:rsid w:val="004D05B0"/>
    <w:rsid w:val="004E0B77"/>
    <w:rsid w:val="004F146F"/>
    <w:rsid w:val="004F4434"/>
    <w:rsid w:val="004F5042"/>
    <w:rsid w:val="004F642A"/>
    <w:rsid w:val="00503F9A"/>
    <w:rsid w:val="00513AC3"/>
    <w:rsid w:val="00516AE0"/>
    <w:rsid w:val="00526625"/>
    <w:rsid w:val="0053309B"/>
    <w:rsid w:val="005342AD"/>
    <w:rsid w:val="005549C5"/>
    <w:rsid w:val="00555104"/>
    <w:rsid w:val="00557656"/>
    <w:rsid w:val="00564ADB"/>
    <w:rsid w:val="00573F66"/>
    <w:rsid w:val="00577FED"/>
    <w:rsid w:val="00585115"/>
    <w:rsid w:val="00585CFD"/>
    <w:rsid w:val="00590BB3"/>
    <w:rsid w:val="00592DD7"/>
    <w:rsid w:val="00593AAD"/>
    <w:rsid w:val="005A2BEC"/>
    <w:rsid w:val="005A5FE6"/>
    <w:rsid w:val="005B3520"/>
    <w:rsid w:val="005C6E78"/>
    <w:rsid w:val="005C7760"/>
    <w:rsid w:val="005D1483"/>
    <w:rsid w:val="005E5154"/>
    <w:rsid w:val="005E52CD"/>
    <w:rsid w:val="006021A3"/>
    <w:rsid w:val="006070AA"/>
    <w:rsid w:val="00607BDB"/>
    <w:rsid w:val="00611661"/>
    <w:rsid w:val="00614C30"/>
    <w:rsid w:val="00615FB2"/>
    <w:rsid w:val="0062296C"/>
    <w:rsid w:val="00623185"/>
    <w:rsid w:val="00623AFA"/>
    <w:rsid w:val="00625054"/>
    <w:rsid w:val="006259EC"/>
    <w:rsid w:val="006308E5"/>
    <w:rsid w:val="00630A59"/>
    <w:rsid w:val="00642B01"/>
    <w:rsid w:val="0064509D"/>
    <w:rsid w:val="006461D5"/>
    <w:rsid w:val="0065297F"/>
    <w:rsid w:val="00657B82"/>
    <w:rsid w:val="00660533"/>
    <w:rsid w:val="006669CD"/>
    <w:rsid w:val="006708B5"/>
    <w:rsid w:val="0067196B"/>
    <w:rsid w:val="0067443F"/>
    <w:rsid w:val="00676123"/>
    <w:rsid w:val="006859A7"/>
    <w:rsid w:val="00690813"/>
    <w:rsid w:val="00694159"/>
    <w:rsid w:val="006A4F66"/>
    <w:rsid w:val="006B259C"/>
    <w:rsid w:val="006B33A1"/>
    <w:rsid w:val="006C2CC2"/>
    <w:rsid w:val="006D5312"/>
    <w:rsid w:val="006E035A"/>
    <w:rsid w:val="006E079A"/>
    <w:rsid w:val="006E2376"/>
    <w:rsid w:val="006E4C81"/>
    <w:rsid w:val="006E6EA7"/>
    <w:rsid w:val="006F4761"/>
    <w:rsid w:val="006F7742"/>
    <w:rsid w:val="007112BD"/>
    <w:rsid w:val="00713842"/>
    <w:rsid w:val="00715909"/>
    <w:rsid w:val="0072178C"/>
    <w:rsid w:val="00743EF4"/>
    <w:rsid w:val="00753448"/>
    <w:rsid w:val="0076142C"/>
    <w:rsid w:val="00761F0A"/>
    <w:rsid w:val="0076288D"/>
    <w:rsid w:val="007628A2"/>
    <w:rsid w:val="007677EA"/>
    <w:rsid w:val="00772BE3"/>
    <w:rsid w:val="00775E9A"/>
    <w:rsid w:val="0077609E"/>
    <w:rsid w:val="0078241F"/>
    <w:rsid w:val="0078397C"/>
    <w:rsid w:val="0078707C"/>
    <w:rsid w:val="00797E91"/>
    <w:rsid w:val="007A54D9"/>
    <w:rsid w:val="007B5740"/>
    <w:rsid w:val="007C2CF9"/>
    <w:rsid w:val="007C7DF7"/>
    <w:rsid w:val="007D3911"/>
    <w:rsid w:val="007D6B49"/>
    <w:rsid w:val="007E14A2"/>
    <w:rsid w:val="007E7E8E"/>
    <w:rsid w:val="007F4A98"/>
    <w:rsid w:val="007F4D82"/>
    <w:rsid w:val="007F580F"/>
    <w:rsid w:val="008051B6"/>
    <w:rsid w:val="00807479"/>
    <w:rsid w:val="00811DAB"/>
    <w:rsid w:val="00813D2B"/>
    <w:rsid w:val="00820967"/>
    <w:rsid w:val="008241D5"/>
    <w:rsid w:val="00830447"/>
    <w:rsid w:val="008416E5"/>
    <w:rsid w:val="00841BD2"/>
    <w:rsid w:val="00842449"/>
    <w:rsid w:val="00842BC2"/>
    <w:rsid w:val="00847504"/>
    <w:rsid w:val="00847CF0"/>
    <w:rsid w:val="00862DA8"/>
    <w:rsid w:val="00864D5E"/>
    <w:rsid w:val="00866F5B"/>
    <w:rsid w:val="00875BB8"/>
    <w:rsid w:val="0087761C"/>
    <w:rsid w:val="00880A51"/>
    <w:rsid w:val="00881FA3"/>
    <w:rsid w:val="00882A04"/>
    <w:rsid w:val="00886D70"/>
    <w:rsid w:val="00894D8B"/>
    <w:rsid w:val="008A0743"/>
    <w:rsid w:val="008A6C51"/>
    <w:rsid w:val="008B3097"/>
    <w:rsid w:val="008B3256"/>
    <w:rsid w:val="008B35CA"/>
    <w:rsid w:val="008C186B"/>
    <w:rsid w:val="008C1B14"/>
    <w:rsid w:val="008D0F21"/>
    <w:rsid w:val="008D1FD8"/>
    <w:rsid w:val="008D4382"/>
    <w:rsid w:val="008E47BF"/>
    <w:rsid w:val="008E7172"/>
    <w:rsid w:val="008F5BF3"/>
    <w:rsid w:val="00901B5B"/>
    <w:rsid w:val="009101FF"/>
    <w:rsid w:val="00912AD4"/>
    <w:rsid w:val="00914B60"/>
    <w:rsid w:val="009174DE"/>
    <w:rsid w:val="00917BB9"/>
    <w:rsid w:val="0092367A"/>
    <w:rsid w:val="00923D1D"/>
    <w:rsid w:val="00923E2F"/>
    <w:rsid w:val="0093112E"/>
    <w:rsid w:val="00934D6E"/>
    <w:rsid w:val="009507BE"/>
    <w:rsid w:val="009536EB"/>
    <w:rsid w:val="0095662A"/>
    <w:rsid w:val="009605C7"/>
    <w:rsid w:val="00971BFD"/>
    <w:rsid w:val="00972869"/>
    <w:rsid w:val="00972A05"/>
    <w:rsid w:val="009732E5"/>
    <w:rsid w:val="00974CF9"/>
    <w:rsid w:val="00995F76"/>
    <w:rsid w:val="0099636E"/>
    <w:rsid w:val="009A2BB0"/>
    <w:rsid w:val="009A3232"/>
    <w:rsid w:val="009A7021"/>
    <w:rsid w:val="009A7A6A"/>
    <w:rsid w:val="009B4535"/>
    <w:rsid w:val="009B4F23"/>
    <w:rsid w:val="009B51B3"/>
    <w:rsid w:val="009B54F8"/>
    <w:rsid w:val="009B7F68"/>
    <w:rsid w:val="009C74BC"/>
    <w:rsid w:val="009C7FC7"/>
    <w:rsid w:val="009D2589"/>
    <w:rsid w:val="009D5578"/>
    <w:rsid w:val="009E10FD"/>
    <w:rsid w:val="009E1FAB"/>
    <w:rsid w:val="009E49DD"/>
    <w:rsid w:val="009E4FEA"/>
    <w:rsid w:val="009E5CC8"/>
    <w:rsid w:val="009F6845"/>
    <w:rsid w:val="009F6910"/>
    <w:rsid w:val="009F7D8D"/>
    <w:rsid w:val="00A11427"/>
    <w:rsid w:val="00A11B0B"/>
    <w:rsid w:val="00A1461A"/>
    <w:rsid w:val="00A14628"/>
    <w:rsid w:val="00A20E22"/>
    <w:rsid w:val="00A3349E"/>
    <w:rsid w:val="00A33796"/>
    <w:rsid w:val="00A40E55"/>
    <w:rsid w:val="00A51BC3"/>
    <w:rsid w:val="00A54882"/>
    <w:rsid w:val="00A56656"/>
    <w:rsid w:val="00A762E7"/>
    <w:rsid w:val="00A811E1"/>
    <w:rsid w:val="00A84FF2"/>
    <w:rsid w:val="00A865CB"/>
    <w:rsid w:val="00A86D77"/>
    <w:rsid w:val="00A94AFC"/>
    <w:rsid w:val="00A9787E"/>
    <w:rsid w:val="00AA2C6A"/>
    <w:rsid w:val="00AA7F66"/>
    <w:rsid w:val="00AB6EDD"/>
    <w:rsid w:val="00AC1822"/>
    <w:rsid w:val="00AC696F"/>
    <w:rsid w:val="00AD76F1"/>
    <w:rsid w:val="00AD7878"/>
    <w:rsid w:val="00AE67D4"/>
    <w:rsid w:val="00AE7E7F"/>
    <w:rsid w:val="00AF1161"/>
    <w:rsid w:val="00AF68B4"/>
    <w:rsid w:val="00AF6F12"/>
    <w:rsid w:val="00B12792"/>
    <w:rsid w:val="00B21278"/>
    <w:rsid w:val="00B21ECE"/>
    <w:rsid w:val="00B24E36"/>
    <w:rsid w:val="00B2568F"/>
    <w:rsid w:val="00B352B1"/>
    <w:rsid w:val="00B378E4"/>
    <w:rsid w:val="00B46B2F"/>
    <w:rsid w:val="00B50B9B"/>
    <w:rsid w:val="00B522DD"/>
    <w:rsid w:val="00B657C2"/>
    <w:rsid w:val="00B65DC2"/>
    <w:rsid w:val="00B70228"/>
    <w:rsid w:val="00B81A6C"/>
    <w:rsid w:val="00B84EC4"/>
    <w:rsid w:val="00B904A8"/>
    <w:rsid w:val="00B9546E"/>
    <w:rsid w:val="00B95590"/>
    <w:rsid w:val="00B95AD4"/>
    <w:rsid w:val="00BA10C7"/>
    <w:rsid w:val="00BA22C3"/>
    <w:rsid w:val="00BB2D99"/>
    <w:rsid w:val="00BB3010"/>
    <w:rsid w:val="00BB4179"/>
    <w:rsid w:val="00BB4FBE"/>
    <w:rsid w:val="00BC1C7A"/>
    <w:rsid w:val="00BC4836"/>
    <w:rsid w:val="00BD5EFF"/>
    <w:rsid w:val="00BE692C"/>
    <w:rsid w:val="00BF3442"/>
    <w:rsid w:val="00BF4C5D"/>
    <w:rsid w:val="00C018E1"/>
    <w:rsid w:val="00C02369"/>
    <w:rsid w:val="00C05084"/>
    <w:rsid w:val="00C063BD"/>
    <w:rsid w:val="00C07821"/>
    <w:rsid w:val="00C21527"/>
    <w:rsid w:val="00C23374"/>
    <w:rsid w:val="00C24152"/>
    <w:rsid w:val="00C4026B"/>
    <w:rsid w:val="00C40461"/>
    <w:rsid w:val="00C4205D"/>
    <w:rsid w:val="00C42290"/>
    <w:rsid w:val="00C42522"/>
    <w:rsid w:val="00C425BA"/>
    <w:rsid w:val="00C504AF"/>
    <w:rsid w:val="00C510E5"/>
    <w:rsid w:val="00C525E4"/>
    <w:rsid w:val="00C54238"/>
    <w:rsid w:val="00C57B3A"/>
    <w:rsid w:val="00C67597"/>
    <w:rsid w:val="00C675CF"/>
    <w:rsid w:val="00C74523"/>
    <w:rsid w:val="00C81223"/>
    <w:rsid w:val="00C81359"/>
    <w:rsid w:val="00C83B47"/>
    <w:rsid w:val="00C850DD"/>
    <w:rsid w:val="00C90983"/>
    <w:rsid w:val="00C940B1"/>
    <w:rsid w:val="00C95636"/>
    <w:rsid w:val="00C96927"/>
    <w:rsid w:val="00C976FE"/>
    <w:rsid w:val="00CA315D"/>
    <w:rsid w:val="00CA4458"/>
    <w:rsid w:val="00CB312A"/>
    <w:rsid w:val="00CB40CA"/>
    <w:rsid w:val="00CC16E7"/>
    <w:rsid w:val="00CC3EC9"/>
    <w:rsid w:val="00CC4F04"/>
    <w:rsid w:val="00CE1608"/>
    <w:rsid w:val="00CE73BF"/>
    <w:rsid w:val="00CE7746"/>
    <w:rsid w:val="00CF3919"/>
    <w:rsid w:val="00CF4D80"/>
    <w:rsid w:val="00CF5A29"/>
    <w:rsid w:val="00CF667B"/>
    <w:rsid w:val="00D019AC"/>
    <w:rsid w:val="00D04E59"/>
    <w:rsid w:val="00D064D3"/>
    <w:rsid w:val="00D07F3B"/>
    <w:rsid w:val="00D10149"/>
    <w:rsid w:val="00D12D4B"/>
    <w:rsid w:val="00D13BC4"/>
    <w:rsid w:val="00D216EF"/>
    <w:rsid w:val="00D21C23"/>
    <w:rsid w:val="00D23B89"/>
    <w:rsid w:val="00D23BD1"/>
    <w:rsid w:val="00D33A68"/>
    <w:rsid w:val="00D34076"/>
    <w:rsid w:val="00D3553F"/>
    <w:rsid w:val="00D40EEC"/>
    <w:rsid w:val="00D472FD"/>
    <w:rsid w:val="00D53A0B"/>
    <w:rsid w:val="00D54D7A"/>
    <w:rsid w:val="00D6011F"/>
    <w:rsid w:val="00D671EE"/>
    <w:rsid w:val="00D70116"/>
    <w:rsid w:val="00D70198"/>
    <w:rsid w:val="00D71305"/>
    <w:rsid w:val="00D775EF"/>
    <w:rsid w:val="00D776A2"/>
    <w:rsid w:val="00D8689B"/>
    <w:rsid w:val="00D9091F"/>
    <w:rsid w:val="00D9179F"/>
    <w:rsid w:val="00D945D9"/>
    <w:rsid w:val="00D95C0B"/>
    <w:rsid w:val="00DA01A8"/>
    <w:rsid w:val="00DA3FBD"/>
    <w:rsid w:val="00DA484D"/>
    <w:rsid w:val="00DB0C2D"/>
    <w:rsid w:val="00DC01C8"/>
    <w:rsid w:val="00DC202B"/>
    <w:rsid w:val="00DC515F"/>
    <w:rsid w:val="00DC630C"/>
    <w:rsid w:val="00DD12AB"/>
    <w:rsid w:val="00DD4210"/>
    <w:rsid w:val="00DD7869"/>
    <w:rsid w:val="00DF4D63"/>
    <w:rsid w:val="00E00157"/>
    <w:rsid w:val="00E02439"/>
    <w:rsid w:val="00E03269"/>
    <w:rsid w:val="00E160A8"/>
    <w:rsid w:val="00E20DF4"/>
    <w:rsid w:val="00E32CA2"/>
    <w:rsid w:val="00E4771D"/>
    <w:rsid w:val="00E478B6"/>
    <w:rsid w:val="00E51444"/>
    <w:rsid w:val="00E51AC3"/>
    <w:rsid w:val="00E52C63"/>
    <w:rsid w:val="00E71BC6"/>
    <w:rsid w:val="00E7316B"/>
    <w:rsid w:val="00E7590E"/>
    <w:rsid w:val="00E77BE3"/>
    <w:rsid w:val="00E8121A"/>
    <w:rsid w:val="00E848F5"/>
    <w:rsid w:val="00E86A6D"/>
    <w:rsid w:val="00E870C3"/>
    <w:rsid w:val="00E94AE9"/>
    <w:rsid w:val="00EA5017"/>
    <w:rsid w:val="00EA6685"/>
    <w:rsid w:val="00EB1D72"/>
    <w:rsid w:val="00EB4131"/>
    <w:rsid w:val="00EB4CDB"/>
    <w:rsid w:val="00EB541C"/>
    <w:rsid w:val="00EC51BB"/>
    <w:rsid w:val="00EE76E5"/>
    <w:rsid w:val="00F0567A"/>
    <w:rsid w:val="00F05FD9"/>
    <w:rsid w:val="00F07174"/>
    <w:rsid w:val="00F13055"/>
    <w:rsid w:val="00F16005"/>
    <w:rsid w:val="00F20FD4"/>
    <w:rsid w:val="00F21D6F"/>
    <w:rsid w:val="00F32445"/>
    <w:rsid w:val="00F329A4"/>
    <w:rsid w:val="00F3569E"/>
    <w:rsid w:val="00F421FF"/>
    <w:rsid w:val="00F4543D"/>
    <w:rsid w:val="00F46682"/>
    <w:rsid w:val="00F54463"/>
    <w:rsid w:val="00F55432"/>
    <w:rsid w:val="00F56D65"/>
    <w:rsid w:val="00F56F2F"/>
    <w:rsid w:val="00F63E27"/>
    <w:rsid w:val="00F6551C"/>
    <w:rsid w:val="00F66A7B"/>
    <w:rsid w:val="00F73999"/>
    <w:rsid w:val="00F80DEE"/>
    <w:rsid w:val="00F9355E"/>
    <w:rsid w:val="00F939F3"/>
    <w:rsid w:val="00F9729C"/>
    <w:rsid w:val="00FA1AD9"/>
    <w:rsid w:val="00FA4B66"/>
    <w:rsid w:val="00FA7B4F"/>
    <w:rsid w:val="00FB06B6"/>
    <w:rsid w:val="00FC4F6A"/>
    <w:rsid w:val="00FC59A6"/>
    <w:rsid w:val="00FC64B5"/>
    <w:rsid w:val="00FD0F24"/>
    <w:rsid w:val="00FD7C58"/>
    <w:rsid w:val="00FE1B7E"/>
    <w:rsid w:val="00FE2E2D"/>
    <w:rsid w:val="00FE44F3"/>
    <w:rsid w:val="00FE7546"/>
    <w:rsid w:val="00FF0C70"/>
    <w:rsid w:val="00FF2D0B"/>
    <w:rsid w:val="00FF5A58"/>
    <w:rsid w:val="00FF7A9B"/>
    <w:rsid w:val="02DA423D"/>
    <w:rsid w:val="03A37AD6"/>
    <w:rsid w:val="042C7630"/>
    <w:rsid w:val="049C4F1D"/>
    <w:rsid w:val="04FF1D9D"/>
    <w:rsid w:val="05051C9B"/>
    <w:rsid w:val="063E2460"/>
    <w:rsid w:val="06814E67"/>
    <w:rsid w:val="06A87C6C"/>
    <w:rsid w:val="06EC3639"/>
    <w:rsid w:val="075B74B8"/>
    <w:rsid w:val="092C3A18"/>
    <w:rsid w:val="09876A21"/>
    <w:rsid w:val="09914A41"/>
    <w:rsid w:val="09A57461"/>
    <w:rsid w:val="09A76BE4"/>
    <w:rsid w:val="09D3544F"/>
    <w:rsid w:val="09FE7B0A"/>
    <w:rsid w:val="0AF23FF9"/>
    <w:rsid w:val="0B407154"/>
    <w:rsid w:val="0C75012B"/>
    <w:rsid w:val="0C762681"/>
    <w:rsid w:val="0D5605EF"/>
    <w:rsid w:val="0DBB5D95"/>
    <w:rsid w:val="0F4B77A5"/>
    <w:rsid w:val="0F990FEF"/>
    <w:rsid w:val="110C1984"/>
    <w:rsid w:val="11AB7E7F"/>
    <w:rsid w:val="11D96A0D"/>
    <w:rsid w:val="125420BC"/>
    <w:rsid w:val="12633B65"/>
    <w:rsid w:val="128817FF"/>
    <w:rsid w:val="12EB5A38"/>
    <w:rsid w:val="137F1734"/>
    <w:rsid w:val="1389559C"/>
    <w:rsid w:val="13BE0706"/>
    <w:rsid w:val="13D00FE3"/>
    <w:rsid w:val="13FE0224"/>
    <w:rsid w:val="141A084F"/>
    <w:rsid w:val="144349CA"/>
    <w:rsid w:val="14C34F09"/>
    <w:rsid w:val="15021179"/>
    <w:rsid w:val="155E117B"/>
    <w:rsid w:val="15AD1A1E"/>
    <w:rsid w:val="16466162"/>
    <w:rsid w:val="168815A7"/>
    <w:rsid w:val="169776ED"/>
    <w:rsid w:val="173C643B"/>
    <w:rsid w:val="17AC1B2A"/>
    <w:rsid w:val="17C058E7"/>
    <w:rsid w:val="17C3775C"/>
    <w:rsid w:val="181D5B03"/>
    <w:rsid w:val="18494EA3"/>
    <w:rsid w:val="185C3A54"/>
    <w:rsid w:val="188E3FC6"/>
    <w:rsid w:val="18F970F1"/>
    <w:rsid w:val="194B570C"/>
    <w:rsid w:val="198B5B9C"/>
    <w:rsid w:val="19D057A1"/>
    <w:rsid w:val="1A0035E0"/>
    <w:rsid w:val="1A4F7538"/>
    <w:rsid w:val="1ADB25CF"/>
    <w:rsid w:val="1B583353"/>
    <w:rsid w:val="1C764A1F"/>
    <w:rsid w:val="1C8A35E0"/>
    <w:rsid w:val="1C903B3C"/>
    <w:rsid w:val="1CCB7C15"/>
    <w:rsid w:val="1D2F1160"/>
    <w:rsid w:val="1D8E0A09"/>
    <w:rsid w:val="1E450873"/>
    <w:rsid w:val="1ED6766B"/>
    <w:rsid w:val="1FBE43E9"/>
    <w:rsid w:val="200F7A29"/>
    <w:rsid w:val="20994D3A"/>
    <w:rsid w:val="218871A7"/>
    <w:rsid w:val="21D6591A"/>
    <w:rsid w:val="21E15742"/>
    <w:rsid w:val="226A1E07"/>
    <w:rsid w:val="22EE239A"/>
    <w:rsid w:val="23263178"/>
    <w:rsid w:val="232E7598"/>
    <w:rsid w:val="23B1689B"/>
    <w:rsid w:val="23F10DD5"/>
    <w:rsid w:val="242B0763"/>
    <w:rsid w:val="249C3519"/>
    <w:rsid w:val="25204DE9"/>
    <w:rsid w:val="254856B7"/>
    <w:rsid w:val="254C7941"/>
    <w:rsid w:val="25E24B0D"/>
    <w:rsid w:val="269975E3"/>
    <w:rsid w:val="26BF5A4C"/>
    <w:rsid w:val="27A04912"/>
    <w:rsid w:val="28101B80"/>
    <w:rsid w:val="283B6D0F"/>
    <w:rsid w:val="284468EF"/>
    <w:rsid w:val="28EE4234"/>
    <w:rsid w:val="28FC0B0D"/>
    <w:rsid w:val="29361E54"/>
    <w:rsid w:val="298B3CAC"/>
    <w:rsid w:val="29AC36EE"/>
    <w:rsid w:val="2A5E570F"/>
    <w:rsid w:val="2A962AC4"/>
    <w:rsid w:val="2B114558"/>
    <w:rsid w:val="2B21681C"/>
    <w:rsid w:val="2C43682A"/>
    <w:rsid w:val="2CC10BDF"/>
    <w:rsid w:val="2CD17019"/>
    <w:rsid w:val="2D622504"/>
    <w:rsid w:val="2DE7292D"/>
    <w:rsid w:val="2E8D676F"/>
    <w:rsid w:val="2F0B662E"/>
    <w:rsid w:val="2F9A2FF3"/>
    <w:rsid w:val="2FA310F8"/>
    <w:rsid w:val="2FED673C"/>
    <w:rsid w:val="300025EF"/>
    <w:rsid w:val="31457D9A"/>
    <w:rsid w:val="319702E1"/>
    <w:rsid w:val="31D914A3"/>
    <w:rsid w:val="32734F9B"/>
    <w:rsid w:val="32953FF3"/>
    <w:rsid w:val="3339635F"/>
    <w:rsid w:val="33460B01"/>
    <w:rsid w:val="33FC32B8"/>
    <w:rsid w:val="34133204"/>
    <w:rsid w:val="346052BE"/>
    <w:rsid w:val="34C36F47"/>
    <w:rsid w:val="35F821F2"/>
    <w:rsid w:val="367252E0"/>
    <w:rsid w:val="36841E78"/>
    <w:rsid w:val="36992C2D"/>
    <w:rsid w:val="369A6CD2"/>
    <w:rsid w:val="37010E20"/>
    <w:rsid w:val="371162A8"/>
    <w:rsid w:val="376C0D7B"/>
    <w:rsid w:val="378C0985"/>
    <w:rsid w:val="389030DC"/>
    <w:rsid w:val="39140914"/>
    <w:rsid w:val="39DD31B6"/>
    <w:rsid w:val="3A0E7EA6"/>
    <w:rsid w:val="3A1E7BD3"/>
    <w:rsid w:val="3B1648E8"/>
    <w:rsid w:val="3B29534D"/>
    <w:rsid w:val="3B3E74C2"/>
    <w:rsid w:val="3BC36D0C"/>
    <w:rsid w:val="3BC47A04"/>
    <w:rsid w:val="3CB81B70"/>
    <w:rsid w:val="3CBE53B5"/>
    <w:rsid w:val="3D6227C8"/>
    <w:rsid w:val="3D6A6231"/>
    <w:rsid w:val="3D753386"/>
    <w:rsid w:val="3DDA64B7"/>
    <w:rsid w:val="3EC571F3"/>
    <w:rsid w:val="3F675107"/>
    <w:rsid w:val="404051C5"/>
    <w:rsid w:val="40754507"/>
    <w:rsid w:val="41093221"/>
    <w:rsid w:val="410D5F39"/>
    <w:rsid w:val="416D4F4F"/>
    <w:rsid w:val="41C73B79"/>
    <w:rsid w:val="42B4012C"/>
    <w:rsid w:val="4346663C"/>
    <w:rsid w:val="439F33FF"/>
    <w:rsid w:val="43B64351"/>
    <w:rsid w:val="44030F25"/>
    <w:rsid w:val="45B872F1"/>
    <w:rsid w:val="46480535"/>
    <w:rsid w:val="46C73C2B"/>
    <w:rsid w:val="47B12581"/>
    <w:rsid w:val="4942132B"/>
    <w:rsid w:val="49931312"/>
    <w:rsid w:val="49F416B8"/>
    <w:rsid w:val="49F641D3"/>
    <w:rsid w:val="4A8F3FE1"/>
    <w:rsid w:val="4AC00034"/>
    <w:rsid w:val="4B4F4AED"/>
    <w:rsid w:val="4BC27DAB"/>
    <w:rsid w:val="4C1279BC"/>
    <w:rsid w:val="4D3D334B"/>
    <w:rsid w:val="4D6C0A89"/>
    <w:rsid w:val="4E0F0720"/>
    <w:rsid w:val="4E6B5875"/>
    <w:rsid w:val="4F296DD8"/>
    <w:rsid w:val="4F7711B6"/>
    <w:rsid w:val="504D5C21"/>
    <w:rsid w:val="507E179E"/>
    <w:rsid w:val="508C084C"/>
    <w:rsid w:val="509B32CD"/>
    <w:rsid w:val="50BF7703"/>
    <w:rsid w:val="50C32ECF"/>
    <w:rsid w:val="511C4B20"/>
    <w:rsid w:val="52314330"/>
    <w:rsid w:val="52C4222A"/>
    <w:rsid w:val="52CE7321"/>
    <w:rsid w:val="52F4236C"/>
    <w:rsid w:val="531F2622"/>
    <w:rsid w:val="53225CBA"/>
    <w:rsid w:val="533C039D"/>
    <w:rsid w:val="534B234A"/>
    <w:rsid w:val="53641D13"/>
    <w:rsid w:val="547748A2"/>
    <w:rsid w:val="54B41F7C"/>
    <w:rsid w:val="55EE5388"/>
    <w:rsid w:val="55F03316"/>
    <w:rsid w:val="560662B2"/>
    <w:rsid w:val="56C42739"/>
    <w:rsid w:val="57606E8E"/>
    <w:rsid w:val="578473CB"/>
    <w:rsid w:val="58641614"/>
    <w:rsid w:val="58882773"/>
    <w:rsid w:val="589A2D0A"/>
    <w:rsid w:val="58F06320"/>
    <w:rsid w:val="5909783B"/>
    <w:rsid w:val="5924294C"/>
    <w:rsid w:val="5A033863"/>
    <w:rsid w:val="5A2C3BAD"/>
    <w:rsid w:val="5C2A6C07"/>
    <w:rsid w:val="5C522B03"/>
    <w:rsid w:val="5C6C7C77"/>
    <w:rsid w:val="5D2850E5"/>
    <w:rsid w:val="5D324376"/>
    <w:rsid w:val="5DD06C1F"/>
    <w:rsid w:val="5DE01011"/>
    <w:rsid w:val="5DE146A5"/>
    <w:rsid w:val="5E0E629F"/>
    <w:rsid w:val="5E692DDE"/>
    <w:rsid w:val="5F245E25"/>
    <w:rsid w:val="60CE483F"/>
    <w:rsid w:val="60D45B6B"/>
    <w:rsid w:val="61356E89"/>
    <w:rsid w:val="61C40A40"/>
    <w:rsid w:val="620552DA"/>
    <w:rsid w:val="62D3551E"/>
    <w:rsid w:val="63546E84"/>
    <w:rsid w:val="63DE7002"/>
    <w:rsid w:val="63E1459D"/>
    <w:rsid w:val="64664B0A"/>
    <w:rsid w:val="64D02953"/>
    <w:rsid w:val="650F78C4"/>
    <w:rsid w:val="658A36F3"/>
    <w:rsid w:val="664C7B60"/>
    <w:rsid w:val="66855032"/>
    <w:rsid w:val="676B0058"/>
    <w:rsid w:val="676F7EB7"/>
    <w:rsid w:val="68265C84"/>
    <w:rsid w:val="68F71FC3"/>
    <w:rsid w:val="699356C4"/>
    <w:rsid w:val="6B94610F"/>
    <w:rsid w:val="6CBA19C8"/>
    <w:rsid w:val="6D116E5A"/>
    <w:rsid w:val="6D2A6574"/>
    <w:rsid w:val="6D887843"/>
    <w:rsid w:val="6DD45449"/>
    <w:rsid w:val="6E202503"/>
    <w:rsid w:val="6E260713"/>
    <w:rsid w:val="6EA30500"/>
    <w:rsid w:val="6F6A2A19"/>
    <w:rsid w:val="70A0047A"/>
    <w:rsid w:val="710E35F8"/>
    <w:rsid w:val="71560FFF"/>
    <w:rsid w:val="716F13A8"/>
    <w:rsid w:val="718E316F"/>
    <w:rsid w:val="71CC218A"/>
    <w:rsid w:val="72B33AB5"/>
    <w:rsid w:val="72DC4DC1"/>
    <w:rsid w:val="73707BF4"/>
    <w:rsid w:val="737E7A61"/>
    <w:rsid w:val="738D3D1A"/>
    <w:rsid w:val="73E245F9"/>
    <w:rsid w:val="73E440FC"/>
    <w:rsid w:val="74113669"/>
    <w:rsid w:val="745C7F79"/>
    <w:rsid w:val="74B25E9F"/>
    <w:rsid w:val="7510188F"/>
    <w:rsid w:val="75554C39"/>
    <w:rsid w:val="75557930"/>
    <w:rsid w:val="75B31995"/>
    <w:rsid w:val="75ED2186"/>
    <w:rsid w:val="766024C5"/>
    <w:rsid w:val="777E66DA"/>
    <w:rsid w:val="77D71946"/>
    <w:rsid w:val="7839173A"/>
    <w:rsid w:val="78A960D0"/>
    <w:rsid w:val="791F6127"/>
    <w:rsid w:val="792257D8"/>
    <w:rsid w:val="796A5940"/>
    <w:rsid w:val="79FE25E4"/>
    <w:rsid w:val="7A40469E"/>
    <w:rsid w:val="7A5A25BF"/>
    <w:rsid w:val="7A81554B"/>
    <w:rsid w:val="7AE76131"/>
    <w:rsid w:val="7B6A670A"/>
    <w:rsid w:val="7B702CAC"/>
    <w:rsid w:val="7B944A8A"/>
    <w:rsid w:val="7C070D63"/>
    <w:rsid w:val="7CB10C20"/>
    <w:rsid w:val="7D1A59F6"/>
    <w:rsid w:val="7D3447DB"/>
    <w:rsid w:val="7D3A787F"/>
    <w:rsid w:val="7D8C1234"/>
    <w:rsid w:val="7E3977A2"/>
    <w:rsid w:val="7E5B119C"/>
    <w:rsid w:val="7E7A56B3"/>
    <w:rsid w:val="7EA02D9F"/>
    <w:rsid w:val="7EFB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0"/>
    <w:pPr>
      <w:keepNext/>
      <w:keepLines/>
      <w:spacing w:before="340" w:after="330" w:line="576" w:lineRule="auto"/>
      <w:outlineLvl w:val="0"/>
    </w:pPr>
    <w:rPr>
      <w:b/>
      <w:kern w:val="44"/>
      <w:sz w:val="44"/>
      <w:szCs w:val="20"/>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6"/>
    <w:qFormat/>
    <w:uiPriority w:val="0"/>
    <w:pPr>
      <w:keepNext/>
      <w:keepLines/>
      <w:spacing w:before="260" w:after="260" w:line="413" w:lineRule="auto"/>
      <w:outlineLvl w:val="2"/>
    </w:pPr>
    <w:rPr>
      <w:b/>
      <w:bCs/>
      <w:sz w:val="32"/>
      <w:szCs w:val="32"/>
    </w:rPr>
  </w:style>
  <w:style w:type="paragraph" w:styleId="7">
    <w:name w:val="heading 4"/>
    <w:basedOn w:val="1"/>
    <w:next w:val="1"/>
    <w:link w:val="7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9"/>
    <w:pPr>
      <w:keepNext/>
      <w:keepLines/>
      <w:spacing w:before="280" w:after="290" w:line="376" w:lineRule="auto"/>
      <w:outlineLvl w:val="4"/>
    </w:pPr>
    <w:rPr>
      <w:rFonts w:ascii="宋体"/>
      <w:b/>
      <w:bCs/>
      <w:kern w:val="0"/>
      <w:sz w:val="28"/>
      <w:szCs w:val="28"/>
    </w:rPr>
  </w:style>
  <w:style w:type="paragraph" w:styleId="9">
    <w:name w:val="heading 6"/>
    <w:basedOn w:val="1"/>
    <w:next w:val="1"/>
    <w:link w:val="82"/>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sz w:val="24"/>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jc w:val="left"/>
      <w:outlineLvl w:val="6"/>
    </w:pPr>
    <w:rPr>
      <w:b/>
      <w:bCs/>
      <w:sz w:val="24"/>
    </w:rPr>
  </w:style>
  <w:style w:type="paragraph" w:styleId="11">
    <w:name w:val="heading 8"/>
    <w:basedOn w:val="1"/>
    <w:next w:val="1"/>
    <w:link w:val="54"/>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rPr>
  </w:style>
  <w:style w:type="paragraph" w:styleId="12">
    <w:name w:val="heading 9"/>
    <w:basedOn w:val="1"/>
    <w:next w:val="1"/>
    <w:link w:val="51"/>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52"/>
    <w:qFormat/>
    <w:uiPriority w:val="0"/>
    <w:pPr>
      <w:spacing w:after="120"/>
    </w:p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qFormat/>
    <w:uiPriority w:val="0"/>
    <w:pPr>
      <w:ind w:firstLine="420" w:firstLineChars="200"/>
    </w:pPr>
  </w:style>
  <w:style w:type="paragraph" w:styleId="15">
    <w:name w:val="Document Map"/>
    <w:basedOn w:val="1"/>
    <w:link w:val="61"/>
    <w:qFormat/>
    <w:uiPriority w:val="0"/>
    <w:pPr>
      <w:shd w:val="clear" w:color="auto" w:fill="000080"/>
    </w:pPr>
  </w:style>
  <w:style w:type="paragraph" w:styleId="16">
    <w:name w:val="annotation text"/>
    <w:basedOn w:val="1"/>
    <w:link w:val="47"/>
    <w:qFormat/>
    <w:uiPriority w:val="0"/>
    <w:pPr>
      <w:jc w:val="left"/>
    </w:pPr>
  </w:style>
  <w:style w:type="paragraph" w:styleId="17">
    <w:name w:val="Body Text 3"/>
    <w:basedOn w:val="1"/>
    <w:link w:val="50"/>
    <w:qFormat/>
    <w:uiPriority w:val="0"/>
    <w:rPr>
      <w:rFonts w:ascii="宋体"/>
      <w:sz w:val="24"/>
    </w:rPr>
  </w:style>
  <w:style w:type="paragraph" w:styleId="18">
    <w:name w:val="Body Text Indent"/>
    <w:basedOn w:val="1"/>
    <w:link w:val="80"/>
    <w:qFormat/>
    <w:uiPriority w:val="0"/>
    <w:pPr>
      <w:spacing w:after="120"/>
      <w:ind w:left="420" w:leftChars="200"/>
    </w:pPr>
  </w:style>
  <w:style w:type="paragraph" w:styleId="19">
    <w:name w:val="toc 5"/>
    <w:basedOn w:val="1"/>
    <w:next w:val="1"/>
    <w:qFormat/>
    <w:uiPriority w:val="0"/>
    <w:pPr>
      <w:ind w:left="1680" w:leftChars="800"/>
    </w:pPr>
    <w:rPr>
      <w:rFonts w:ascii="Calibri" w:hAnsi="Calibri"/>
      <w:szCs w:val="22"/>
    </w:rPr>
  </w:style>
  <w:style w:type="paragraph" w:styleId="20">
    <w:name w:val="toc 3"/>
    <w:basedOn w:val="1"/>
    <w:next w:val="1"/>
    <w:qFormat/>
    <w:uiPriority w:val="0"/>
    <w:pPr>
      <w:tabs>
        <w:tab w:val="right" w:leader="dot" w:pos="9012"/>
      </w:tabs>
      <w:ind w:firstLine="210" w:firstLineChars="100"/>
    </w:pPr>
  </w:style>
  <w:style w:type="paragraph" w:styleId="21">
    <w:name w:val="Plain Text"/>
    <w:basedOn w:val="1"/>
    <w:link w:val="71"/>
    <w:qFormat/>
    <w:uiPriority w:val="0"/>
    <w:rPr>
      <w:rFonts w:ascii="宋体" w:hAnsi="Courier New" w:cs="Courier New"/>
      <w:szCs w:val="21"/>
    </w:rPr>
  </w:style>
  <w:style w:type="paragraph" w:styleId="22">
    <w:name w:val="toc 8"/>
    <w:basedOn w:val="1"/>
    <w:next w:val="1"/>
    <w:qFormat/>
    <w:uiPriority w:val="0"/>
    <w:pPr>
      <w:ind w:left="2940" w:leftChars="1400"/>
    </w:pPr>
    <w:rPr>
      <w:rFonts w:ascii="Calibri" w:hAnsi="Calibri"/>
      <w:szCs w:val="22"/>
    </w:rPr>
  </w:style>
  <w:style w:type="paragraph" w:styleId="23">
    <w:name w:val="Date"/>
    <w:basedOn w:val="1"/>
    <w:next w:val="1"/>
    <w:link w:val="60"/>
    <w:qFormat/>
    <w:uiPriority w:val="0"/>
    <w:rPr>
      <w:sz w:val="24"/>
    </w:rPr>
  </w:style>
  <w:style w:type="paragraph" w:styleId="24">
    <w:name w:val="Body Text Indent 2"/>
    <w:basedOn w:val="1"/>
    <w:qFormat/>
    <w:uiPriority w:val="0"/>
    <w:pPr>
      <w:tabs>
        <w:tab w:val="left" w:pos="1158"/>
        <w:tab w:val="left" w:pos="1544"/>
      </w:tabs>
      <w:spacing w:line="360" w:lineRule="auto"/>
      <w:ind w:firstLine="578"/>
    </w:pPr>
    <w:rPr>
      <w:rFonts w:hint="eastAsia" w:ascii="宋体" w:hAnsi="宋体"/>
      <w:sz w:val="32"/>
    </w:rPr>
  </w:style>
  <w:style w:type="paragraph" w:styleId="25">
    <w:name w:val="Balloon Text"/>
    <w:basedOn w:val="1"/>
    <w:link w:val="74"/>
    <w:qFormat/>
    <w:uiPriority w:val="0"/>
    <w:rPr>
      <w:sz w:val="18"/>
      <w:szCs w:val="18"/>
    </w:rPr>
  </w:style>
  <w:style w:type="paragraph" w:styleId="26">
    <w:name w:val="footer"/>
    <w:basedOn w:val="1"/>
    <w:link w:val="49"/>
    <w:qFormat/>
    <w:uiPriority w:val="99"/>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1260" w:leftChars="600"/>
    </w:pPr>
    <w:rPr>
      <w:rFonts w:ascii="Calibri" w:hAnsi="Calibri"/>
      <w:szCs w:val="22"/>
    </w:rPr>
  </w:style>
  <w:style w:type="paragraph" w:styleId="30">
    <w:name w:val="toc 6"/>
    <w:basedOn w:val="1"/>
    <w:next w:val="1"/>
    <w:qFormat/>
    <w:uiPriority w:val="0"/>
    <w:pPr>
      <w:ind w:left="2100" w:leftChars="1000"/>
    </w:pPr>
    <w:rPr>
      <w:rFonts w:ascii="Calibri" w:hAnsi="Calibri"/>
      <w:szCs w:val="22"/>
    </w:rPr>
  </w:style>
  <w:style w:type="paragraph" w:styleId="31">
    <w:name w:val="Body Text Indent 3"/>
    <w:basedOn w:val="1"/>
    <w:link w:val="70"/>
    <w:qFormat/>
    <w:uiPriority w:val="0"/>
    <w:pPr>
      <w:spacing w:after="120"/>
      <w:ind w:left="420" w:leftChars="200"/>
    </w:pPr>
    <w:rPr>
      <w:sz w:val="16"/>
      <w:szCs w:val="16"/>
    </w:rPr>
  </w:style>
  <w:style w:type="paragraph" w:styleId="32">
    <w:name w:val="toc 2"/>
    <w:basedOn w:val="1"/>
    <w:next w:val="1"/>
    <w:qFormat/>
    <w:uiPriority w:val="0"/>
    <w:pPr>
      <w:tabs>
        <w:tab w:val="left" w:pos="1260"/>
        <w:tab w:val="right" w:leader="dot" w:pos="9012"/>
      </w:tabs>
      <w:spacing w:line="360" w:lineRule="auto"/>
      <w:ind w:left="420" w:leftChars="200"/>
    </w:pPr>
    <w:rPr>
      <w:rFonts w:ascii="新宋体" w:hAnsi="新宋体" w:eastAsia="新宋体" w:cs="黑体"/>
    </w:rPr>
  </w:style>
  <w:style w:type="paragraph" w:styleId="33">
    <w:name w:val="toc 9"/>
    <w:basedOn w:val="1"/>
    <w:next w:val="1"/>
    <w:qFormat/>
    <w:uiPriority w:val="0"/>
    <w:pPr>
      <w:ind w:left="3360" w:leftChars="1600"/>
    </w:pPr>
    <w:rPr>
      <w:rFonts w:ascii="Calibri" w:hAnsi="Calibri"/>
      <w:szCs w:val="22"/>
    </w:rPr>
  </w:style>
  <w:style w:type="paragraph" w:styleId="34">
    <w:name w:val="Normal (Web)"/>
    <w:basedOn w:val="1"/>
    <w:qFormat/>
    <w:uiPriority w:val="0"/>
    <w:rPr>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link w:val="57"/>
    <w:qFormat/>
    <w:uiPriority w:val="0"/>
    <w:pPr>
      <w:adjustRightInd w:val="0"/>
      <w:spacing w:before="240" w:after="60" w:line="420" w:lineRule="atLeast"/>
      <w:jc w:val="center"/>
      <w:textAlignment w:val="baseline"/>
      <w:outlineLvl w:val="0"/>
    </w:pPr>
    <w:rPr>
      <w:rFonts w:ascii="Arial" w:hAnsi="Arial"/>
      <w:b/>
      <w:sz w:val="32"/>
    </w:rPr>
  </w:style>
  <w:style w:type="paragraph" w:styleId="37">
    <w:name w:val="annotation subject"/>
    <w:basedOn w:val="16"/>
    <w:next w:val="16"/>
    <w:qFormat/>
    <w:uiPriority w:val="0"/>
    <w:rPr>
      <w:b/>
      <w:bCs/>
    </w:rPr>
  </w:style>
  <w:style w:type="character" w:styleId="40">
    <w:name w:val="Strong"/>
    <w:basedOn w:val="39"/>
    <w:qFormat/>
    <w:uiPriority w:val="0"/>
    <w:rPr>
      <w:rFonts w:ascii="Times New Roman" w:hAnsi="Times New Roman" w:eastAsia="宋体" w:cs="Times New Roman"/>
      <w:b/>
      <w:bCs/>
    </w:rPr>
  </w:style>
  <w:style w:type="character" w:styleId="41">
    <w:name w:val="page number"/>
    <w:basedOn w:val="39"/>
    <w:qFormat/>
    <w:uiPriority w:val="0"/>
    <w:rPr>
      <w:rFonts w:ascii="Times New Roman" w:hAnsi="Times New Roman" w:eastAsia="宋体" w:cs="Times New Roman"/>
    </w:rPr>
  </w:style>
  <w:style w:type="character" w:styleId="42">
    <w:name w:val="FollowedHyperlink"/>
    <w:basedOn w:val="39"/>
    <w:qFormat/>
    <w:uiPriority w:val="0"/>
    <w:rPr>
      <w:rFonts w:ascii="Times New Roman" w:hAnsi="Times New Roman" w:eastAsia="宋体" w:cs="Times New Roman"/>
      <w:color w:val="000000"/>
      <w:u w:val="none"/>
    </w:rPr>
  </w:style>
  <w:style w:type="character" w:styleId="43">
    <w:name w:val="Emphasis"/>
    <w:basedOn w:val="39"/>
    <w:qFormat/>
    <w:uiPriority w:val="0"/>
    <w:rPr>
      <w:rFonts w:ascii="Times New Roman" w:hAnsi="Times New Roman" w:eastAsia="宋体" w:cs="Times New Roman"/>
    </w:rPr>
  </w:style>
  <w:style w:type="character" w:styleId="44">
    <w:name w:val="Hyperlink"/>
    <w:basedOn w:val="39"/>
    <w:qFormat/>
    <w:uiPriority w:val="0"/>
    <w:rPr>
      <w:rFonts w:ascii="Times New Roman" w:hAnsi="Times New Roman" w:eastAsia="宋体" w:cs="Times New Roman"/>
      <w:color w:val="000000"/>
      <w:u w:val="none"/>
    </w:rPr>
  </w:style>
  <w:style w:type="character" w:styleId="45">
    <w:name w:val="annotation reference"/>
    <w:basedOn w:val="39"/>
    <w:uiPriority w:val="0"/>
    <w:rPr>
      <w:rFonts w:ascii="Times New Roman" w:hAnsi="Times New Roman" w:eastAsia="宋体" w:cs="Times New Roman"/>
      <w:sz w:val="21"/>
      <w:szCs w:val="21"/>
    </w:rPr>
  </w:style>
  <w:style w:type="character" w:customStyle="1" w:styleId="46">
    <w:name w:val="hover25"/>
    <w:basedOn w:val="39"/>
    <w:uiPriority w:val="0"/>
    <w:rPr>
      <w:rFonts w:ascii="Times New Roman" w:hAnsi="Times New Roman" w:eastAsia="宋体" w:cs="Times New Roman"/>
    </w:rPr>
  </w:style>
  <w:style w:type="character" w:customStyle="1" w:styleId="47">
    <w:name w:val="批注文字 Char"/>
    <w:basedOn w:val="39"/>
    <w:link w:val="16"/>
    <w:uiPriority w:val="0"/>
    <w:rPr>
      <w:rFonts w:ascii="Times New Roman" w:hAnsi="Times New Roman" w:eastAsia="宋体" w:cs="Times New Roman"/>
      <w:kern w:val="2"/>
      <w:sz w:val="21"/>
      <w:szCs w:val="24"/>
      <w:lang w:val="en-US" w:eastAsia="zh-CN" w:bidi="ar-SA"/>
    </w:rPr>
  </w:style>
  <w:style w:type="character" w:customStyle="1" w:styleId="48">
    <w:name w:val="Char Char19"/>
    <w:basedOn w:val="39"/>
    <w:link w:val="4"/>
    <w:uiPriority w:val="0"/>
    <w:rPr>
      <w:rFonts w:ascii="Times New Roman" w:hAnsi="Times New Roman" w:eastAsia="宋体" w:cs="Times New Roman"/>
      <w:b/>
      <w:bCs/>
      <w:kern w:val="44"/>
      <w:sz w:val="44"/>
      <w:szCs w:val="44"/>
      <w:lang w:val="en-US" w:eastAsia="zh-CN" w:bidi="ar-SA"/>
    </w:rPr>
  </w:style>
  <w:style w:type="character" w:customStyle="1" w:styleId="49">
    <w:name w:val="页脚 Char"/>
    <w:basedOn w:val="39"/>
    <w:link w:val="26"/>
    <w:qFormat/>
    <w:uiPriority w:val="99"/>
    <w:rPr>
      <w:rFonts w:ascii="Times New Roman" w:hAnsi="Times New Roman" w:eastAsia="宋体" w:cs="Times New Roman"/>
      <w:kern w:val="2"/>
      <w:sz w:val="18"/>
      <w:szCs w:val="18"/>
      <w:lang w:val="en-US" w:eastAsia="zh-CN" w:bidi="ar-SA"/>
    </w:rPr>
  </w:style>
  <w:style w:type="character" w:customStyle="1" w:styleId="50">
    <w:name w:val="正文文本 3 Char"/>
    <w:basedOn w:val="39"/>
    <w:link w:val="17"/>
    <w:qFormat/>
    <w:uiPriority w:val="0"/>
    <w:rPr>
      <w:rFonts w:ascii="宋体" w:hAnsi="Times New Roman" w:eastAsia="宋体" w:cs="Times New Roman"/>
      <w:kern w:val="2"/>
      <w:sz w:val="24"/>
      <w:lang w:val="en-US" w:eastAsia="zh-CN" w:bidi="ar-SA"/>
    </w:rPr>
  </w:style>
  <w:style w:type="character" w:customStyle="1" w:styleId="51">
    <w:name w:val="标题 9 Char"/>
    <w:basedOn w:val="39"/>
    <w:link w:val="12"/>
    <w:uiPriority w:val="0"/>
    <w:rPr>
      <w:rFonts w:ascii="Arial" w:hAnsi="Arial" w:eastAsia="黑体" w:cs="Times New Roman"/>
      <w:sz w:val="21"/>
      <w:szCs w:val="21"/>
      <w:lang w:val="en-US" w:eastAsia="zh-CN" w:bidi="ar-SA"/>
    </w:rPr>
  </w:style>
  <w:style w:type="character" w:customStyle="1" w:styleId="52">
    <w:name w:val="正文文本 Char"/>
    <w:basedOn w:val="39"/>
    <w:link w:val="3"/>
    <w:qFormat/>
    <w:uiPriority w:val="0"/>
    <w:rPr>
      <w:rFonts w:ascii="Times New Roman" w:hAnsi="Times New Roman" w:eastAsia="宋体" w:cs="Times New Roman"/>
      <w:kern w:val="2"/>
      <w:sz w:val="21"/>
      <w:szCs w:val="24"/>
      <w:lang w:val="en-US" w:eastAsia="zh-CN" w:bidi="ar-SA"/>
    </w:rPr>
  </w:style>
  <w:style w:type="character" w:customStyle="1" w:styleId="53">
    <w:name w:val="font21"/>
    <w:basedOn w:val="39"/>
    <w:uiPriority w:val="0"/>
    <w:rPr>
      <w:rFonts w:hint="eastAsia" w:ascii="宋体" w:hAnsi="宋体" w:eastAsia="宋体" w:cs="宋体"/>
      <w:color w:val="000000"/>
      <w:sz w:val="40"/>
      <w:szCs w:val="40"/>
      <w:u w:val="none"/>
    </w:rPr>
  </w:style>
  <w:style w:type="character" w:customStyle="1" w:styleId="54">
    <w:name w:val="标题 8 Char"/>
    <w:basedOn w:val="39"/>
    <w:link w:val="11"/>
    <w:uiPriority w:val="0"/>
    <w:rPr>
      <w:rFonts w:ascii="Arial" w:hAnsi="Arial" w:eastAsia="黑体" w:cs="Times New Roman"/>
      <w:sz w:val="24"/>
      <w:szCs w:val="24"/>
      <w:lang w:val="en-US" w:eastAsia="zh-CN" w:bidi="ar-SA"/>
    </w:rPr>
  </w:style>
  <w:style w:type="character" w:customStyle="1" w:styleId="55">
    <w:name w:val="gb-jt"/>
    <w:basedOn w:val="39"/>
    <w:uiPriority w:val="0"/>
    <w:rPr>
      <w:rFonts w:ascii="Times New Roman" w:hAnsi="Times New Roman" w:eastAsia="宋体" w:cs="Times New Roman"/>
    </w:rPr>
  </w:style>
  <w:style w:type="character" w:customStyle="1" w:styleId="56">
    <w:name w:val="标题 3 Char"/>
    <w:basedOn w:val="39"/>
    <w:link w:val="6"/>
    <w:uiPriority w:val="0"/>
    <w:rPr>
      <w:rFonts w:ascii="Times New Roman" w:hAnsi="Times New Roman" w:eastAsia="宋体" w:cs="Times New Roman"/>
      <w:b/>
      <w:bCs/>
      <w:kern w:val="2"/>
      <w:sz w:val="32"/>
      <w:szCs w:val="32"/>
      <w:lang w:val="en-US" w:eastAsia="zh-CN" w:bidi="ar-SA"/>
    </w:rPr>
  </w:style>
  <w:style w:type="character" w:customStyle="1" w:styleId="57">
    <w:name w:val="标题 Char"/>
    <w:basedOn w:val="39"/>
    <w:link w:val="36"/>
    <w:uiPriority w:val="0"/>
    <w:rPr>
      <w:rFonts w:ascii="Arial" w:hAnsi="Arial" w:eastAsia="宋体" w:cs="Times New Roman"/>
      <w:b/>
      <w:sz w:val="32"/>
      <w:lang w:val="en-US" w:eastAsia="zh-CN" w:bidi="ar-SA"/>
    </w:rPr>
  </w:style>
  <w:style w:type="character" w:customStyle="1" w:styleId="58">
    <w:name w:val="页眉 Char"/>
    <w:basedOn w:val="39"/>
    <w:link w:val="27"/>
    <w:uiPriority w:val="0"/>
    <w:rPr>
      <w:rFonts w:ascii="Times New Roman" w:hAnsi="Times New Roman" w:eastAsia="宋体" w:cs="Times New Roman"/>
      <w:kern w:val="2"/>
      <w:sz w:val="18"/>
      <w:szCs w:val="18"/>
      <w:lang w:val="en-US" w:eastAsia="zh-CN" w:bidi="ar-SA"/>
    </w:rPr>
  </w:style>
  <w:style w:type="character" w:customStyle="1" w:styleId="59">
    <w:name w:val="green1"/>
    <w:basedOn w:val="39"/>
    <w:uiPriority w:val="0"/>
    <w:rPr>
      <w:rFonts w:ascii="Times New Roman" w:hAnsi="Times New Roman" w:eastAsia="宋体" w:cs="Times New Roman"/>
      <w:color w:val="66AE00"/>
      <w:sz w:val="18"/>
      <w:szCs w:val="18"/>
    </w:rPr>
  </w:style>
  <w:style w:type="character" w:customStyle="1" w:styleId="60">
    <w:name w:val="日期 Char"/>
    <w:basedOn w:val="39"/>
    <w:link w:val="23"/>
    <w:uiPriority w:val="0"/>
    <w:rPr>
      <w:rFonts w:ascii="Times New Roman" w:hAnsi="Times New Roman" w:eastAsia="宋体" w:cs="Times New Roman"/>
      <w:kern w:val="2"/>
      <w:sz w:val="24"/>
      <w:lang w:val="en-US" w:eastAsia="zh-CN" w:bidi="ar-SA"/>
    </w:rPr>
  </w:style>
  <w:style w:type="character" w:customStyle="1" w:styleId="61">
    <w:name w:val="文档结构图 Char"/>
    <w:basedOn w:val="39"/>
    <w:link w:val="15"/>
    <w:uiPriority w:val="0"/>
    <w:rPr>
      <w:rFonts w:ascii="Times New Roman" w:hAnsi="Times New Roman" w:eastAsia="宋体" w:cs="Times New Roman"/>
      <w:kern w:val="2"/>
      <w:sz w:val="21"/>
      <w:szCs w:val="24"/>
      <w:lang w:val="en-US" w:eastAsia="zh-CN" w:bidi="ar-SA"/>
    </w:rPr>
  </w:style>
  <w:style w:type="character" w:customStyle="1" w:styleId="62">
    <w:name w:val="red1"/>
    <w:basedOn w:val="39"/>
    <w:uiPriority w:val="0"/>
    <w:rPr>
      <w:rFonts w:ascii="Times New Roman" w:hAnsi="Times New Roman" w:eastAsia="宋体" w:cs="Times New Roman"/>
      <w:color w:val="FF0000"/>
      <w:sz w:val="18"/>
      <w:szCs w:val="18"/>
    </w:rPr>
  </w:style>
  <w:style w:type="character" w:customStyle="1" w:styleId="63">
    <w:name w:val="Char Char15"/>
    <w:basedOn w:val="39"/>
    <w:uiPriority w:val="0"/>
    <w:rPr>
      <w:rFonts w:ascii="Times New Roman" w:hAnsi="Times New Roman" w:eastAsia="宋体" w:cs="Times New Roman"/>
      <w:b/>
      <w:bCs/>
      <w:sz w:val="32"/>
      <w:szCs w:val="32"/>
    </w:rPr>
  </w:style>
  <w:style w:type="character" w:customStyle="1" w:styleId="64">
    <w:name w:val="red2"/>
    <w:basedOn w:val="39"/>
    <w:uiPriority w:val="0"/>
    <w:rPr>
      <w:rFonts w:ascii="Times New Roman" w:hAnsi="Times New Roman" w:eastAsia="宋体" w:cs="Times New Roman"/>
      <w:color w:val="FF0000"/>
    </w:rPr>
  </w:style>
  <w:style w:type="character" w:customStyle="1" w:styleId="65">
    <w:name w:val="font81"/>
    <w:basedOn w:val="39"/>
    <w:uiPriority w:val="0"/>
    <w:rPr>
      <w:rFonts w:hint="default" w:ascii="Times New Roman" w:hAnsi="Times New Roman" w:eastAsia="宋体" w:cs="Times New Roman"/>
      <w:color w:val="000000"/>
      <w:sz w:val="40"/>
      <w:szCs w:val="40"/>
      <w:u w:val="none"/>
    </w:rPr>
  </w:style>
  <w:style w:type="character" w:customStyle="1" w:styleId="66">
    <w:name w:val="right"/>
    <w:basedOn w:val="39"/>
    <w:uiPriority w:val="0"/>
    <w:rPr>
      <w:rFonts w:ascii="Times New Roman" w:hAnsi="Times New Roman" w:eastAsia="宋体" w:cs="Times New Roman"/>
      <w:color w:val="999999"/>
      <w:sz w:val="18"/>
      <w:szCs w:val="18"/>
    </w:rPr>
  </w:style>
  <w:style w:type="character" w:customStyle="1" w:styleId="67">
    <w:name w:val="标题 7 Char"/>
    <w:basedOn w:val="39"/>
    <w:link w:val="10"/>
    <w:uiPriority w:val="0"/>
    <w:rPr>
      <w:rFonts w:ascii="Times New Roman" w:hAnsi="Times New Roman" w:eastAsia="宋体" w:cs="Times New Roman"/>
      <w:b/>
      <w:bCs/>
      <w:sz w:val="24"/>
      <w:szCs w:val="24"/>
      <w:lang w:val="en-US" w:eastAsia="zh-CN" w:bidi="ar-SA"/>
    </w:rPr>
  </w:style>
  <w:style w:type="character" w:customStyle="1" w:styleId="68">
    <w:name w:val="Char Char Char"/>
    <w:basedOn w:val="39"/>
    <w:uiPriority w:val="0"/>
    <w:rPr>
      <w:rFonts w:ascii="宋体" w:hAnsi="Courier New" w:eastAsia="宋体" w:cs="Courier New"/>
      <w:kern w:val="2"/>
      <w:sz w:val="21"/>
      <w:szCs w:val="21"/>
      <w:lang w:val="en-US" w:eastAsia="zh-CN" w:bidi="ar-SA"/>
    </w:rPr>
  </w:style>
  <w:style w:type="character" w:customStyle="1" w:styleId="69">
    <w:name w:val="标题 2 Char"/>
    <w:basedOn w:val="39"/>
    <w:link w:val="5"/>
    <w:uiPriority w:val="0"/>
    <w:rPr>
      <w:rFonts w:ascii="Arial" w:hAnsi="Arial" w:eastAsia="黑体" w:cs="Times New Roman"/>
      <w:b/>
      <w:bCs/>
      <w:kern w:val="2"/>
      <w:sz w:val="32"/>
      <w:szCs w:val="32"/>
      <w:lang w:val="en-US" w:eastAsia="zh-CN" w:bidi="ar-SA"/>
    </w:rPr>
  </w:style>
  <w:style w:type="character" w:customStyle="1" w:styleId="70">
    <w:name w:val="正文文本缩进 3 Char"/>
    <w:basedOn w:val="39"/>
    <w:link w:val="31"/>
    <w:uiPriority w:val="0"/>
    <w:rPr>
      <w:rFonts w:ascii="Times New Roman" w:hAnsi="Times New Roman" w:eastAsia="宋体" w:cs="Times New Roman"/>
      <w:kern w:val="2"/>
      <w:sz w:val="16"/>
      <w:szCs w:val="16"/>
      <w:lang w:val="en-US" w:eastAsia="zh-CN" w:bidi="ar-SA"/>
    </w:rPr>
  </w:style>
  <w:style w:type="character" w:customStyle="1" w:styleId="71">
    <w:name w:val="纯文本 Char"/>
    <w:basedOn w:val="39"/>
    <w:link w:val="21"/>
    <w:uiPriority w:val="0"/>
    <w:rPr>
      <w:rFonts w:ascii="宋体" w:hAnsi="Courier New" w:eastAsia="宋体" w:cs="Courier New"/>
      <w:kern w:val="2"/>
      <w:sz w:val="21"/>
      <w:szCs w:val="21"/>
      <w:lang w:val="en-US" w:eastAsia="zh-CN" w:bidi="ar-SA"/>
    </w:rPr>
  </w:style>
  <w:style w:type="character" w:customStyle="1" w:styleId="72">
    <w:name w:val="标题 4 Char"/>
    <w:basedOn w:val="39"/>
    <w:link w:val="7"/>
    <w:uiPriority w:val="0"/>
    <w:rPr>
      <w:rFonts w:ascii="Arial" w:hAnsi="Arial" w:eastAsia="黑体" w:cs="Times New Roman"/>
      <w:b/>
      <w:bCs/>
      <w:kern w:val="2"/>
      <w:sz w:val="28"/>
      <w:szCs w:val="28"/>
      <w:lang w:val="en-US" w:eastAsia="zh-CN" w:bidi="ar-SA"/>
    </w:rPr>
  </w:style>
  <w:style w:type="character" w:customStyle="1" w:styleId="73">
    <w:name w:val="apple-style-span"/>
    <w:basedOn w:val="39"/>
    <w:uiPriority w:val="0"/>
    <w:rPr>
      <w:rFonts w:ascii="Times New Roman" w:hAnsi="Times New Roman" w:eastAsia="宋体" w:cs="Times New Roman"/>
    </w:rPr>
  </w:style>
  <w:style w:type="character" w:customStyle="1" w:styleId="74">
    <w:name w:val="批注框文本 Char"/>
    <w:basedOn w:val="39"/>
    <w:link w:val="25"/>
    <w:uiPriority w:val="0"/>
    <w:rPr>
      <w:rFonts w:ascii="Times New Roman" w:hAnsi="Times New Roman" w:eastAsia="宋体" w:cs="Times New Roman"/>
      <w:kern w:val="2"/>
      <w:sz w:val="18"/>
      <w:szCs w:val="18"/>
      <w:lang w:val="en-US" w:eastAsia="zh-CN" w:bidi="ar-SA"/>
    </w:rPr>
  </w:style>
  <w:style w:type="character" w:customStyle="1" w:styleId="75">
    <w:name w:val="blue"/>
    <w:basedOn w:val="39"/>
    <w:uiPriority w:val="0"/>
    <w:rPr>
      <w:rFonts w:ascii="Times New Roman" w:hAnsi="Times New Roman" w:eastAsia="宋体" w:cs="Times New Roman"/>
      <w:color w:val="0371C6"/>
      <w:sz w:val="21"/>
      <w:szCs w:val="21"/>
    </w:rPr>
  </w:style>
  <w:style w:type="character" w:customStyle="1" w:styleId="76">
    <w:name w:val="font31"/>
    <w:basedOn w:val="39"/>
    <w:uiPriority w:val="0"/>
    <w:rPr>
      <w:rFonts w:hint="eastAsia" w:ascii="宋体" w:hAnsi="宋体" w:eastAsia="宋体" w:cs="宋体"/>
      <w:color w:val="000000"/>
      <w:sz w:val="40"/>
      <w:szCs w:val="40"/>
      <w:u w:val="none"/>
    </w:rPr>
  </w:style>
  <w:style w:type="character" w:customStyle="1" w:styleId="77">
    <w:name w:val="green"/>
    <w:basedOn w:val="39"/>
    <w:uiPriority w:val="0"/>
    <w:rPr>
      <w:rFonts w:ascii="Times New Roman" w:hAnsi="Times New Roman" w:eastAsia="宋体" w:cs="Times New Roman"/>
      <w:color w:val="66AE00"/>
      <w:sz w:val="18"/>
      <w:szCs w:val="18"/>
    </w:rPr>
  </w:style>
  <w:style w:type="character" w:customStyle="1" w:styleId="78">
    <w:name w:val="font161"/>
    <w:basedOn w:val="39"/>
    <w:uiPriority w:val="0"/>
    <w:rPr>
      <w:rFonts w:ascii="Times New Roman" w:hAnsi="Times New Roman" w:eastAsia="宋体" w:cs="Times New Roman"/>
      <w:b/>
      <w:bCs/>
      <w:sz w:val="32"/>
      <w:szCs w:val="32"/>
    </w:rPr>
  </w:style>
  <w:style w:type="character" w:customStyle="1" w:styleId="79">
    <w:name w:val="red"/>
    <w:basedOn w:val="39"/>
    <w:uiPriority w:val="0"/>
    <w:rPr>
      <w:rFonts w:ascii="Times New Roman" w:hAnsi="Times New Roman" w:eastAsia="宋体" w:cs="Times New Roman"/>
      <w:color w:val="FF0000"/>
      <w:sz w:val="18"/>
      <w:szCs w:val="18"/>
    </w:rPr>
  </w:style>
  <w:style w:type="character" w:customStyle="1" w:styleId="80">
    <w:name w:val="正文文本缩进 Char"/>
    <w:basedOn w:val="39"/>
    <w:link w:val="18"/>
    <w:uiPriority w:val="0"/>
    <w:rPr>
      <w:rFonts w:ascii="Times New Roman" w:hAnsi="Times New Roman" w:eastAsia="宋体" w:cs="Times New Roman"/>
      <w:kern w:val="2"/>
      <w:sz w:val="21"/>
      <w:szCs w:val="24"/>
      <w:lang w:val="en-US" w:eastAsia="zh-CN" w:bidi="ar-SA"/>
    </w:rPr>
  </w:style>
  <w:style w:type="character" w:customStyle="1" w:styleId="81">
    <w:name w:val="hover"/>
    <w:basedOn w:val="39"/>
    <w:uiPriority w:val="0"/>
    <w:rPr>
      <w:rFonts w:ascii="Times New Roman" w:hAnsi="Times New Roman" w:eastAsia="宋体" w:cs="Times New Roman"/>
    </w:rPr>
  </w:style>
  <w:style w:type="character" w:customStyle="1" w:styleId="82">
    <w:name w:val="标题 6 Char"/>
    <w:basedOn w:val="39"/>
    <w:link w:val="9"/>
    <w:uiPriority w:val="0"/>
    <w:rPr>
      <w:rFonts w:ascii="Arial" w:hAnsi="Arial" w:eastAsia="黑体" w:cs="Times New Roman"/>
      <w:b/>
      <w:bCs/>
      <w:sz w:val="24"/>
      <w:szCs w:val="24"/>
      <w:lang w:val="en-US" w:eastAsia="zh-CN" w:bidi="ar-SA"/>
    </w:rPr>
  </w:style>
  <w:style w:type="character" w:customStyle="1" w:styleId="83">
    <w:name w:val="标题 1 Char"/>
    <w:link w:val="4"/>
    <w:qFormat/>
    <w:uiPriority w:val="0"/>
    <w:rPr>
      <w:rFonts w:ascii="Times New Roman" w:hAnsi="Times New Roman" w:eastAsia="宋体" w:cs="Times New Roman"/>
      <w:b/>
      <w:kern w:val="44"/>
      <w:sz w:val="44"/>
    </w:rPr>
  </w:style>
  <w:style w:type="character" w:customStyle="1" w:styleId="84">
    <w:name w:val="font41"/>
    <w:basedOn w:val="39"/>
    <w:qFormat/>
    <w:uiPriority w:val="0"/>
    <w:rPr>
      <w:rFonts w:hint="default" w:ascii="Times New Roman" w:hAnsi="Times New Roman" w:eastAsia="宋体" w:cs="Times New Roman"/>
      <w:color w:val="000000"/>
      <w:sz w:val="40"/>
      <w:szCs w:val="40"/>
      <w:u w:val="none"/>
    </w:rPr>
  </w:style>
  <w:style w:type="paragraph" w:customStyle="1" w:styleId="85">
    <w:name w:val="_Style 11"/>
    <w:basedOn w:val="1"/>
    <w:qFormat/>
    <w:uiPriority w:val="0"/>
    <w:pPr>
      <w:snapToGrid w:val="0"/>
      <w:spacing w:line="360" w:lineRule="auto"/>
      <w:ind w:firstLine="200" w:firstLineChars="200"/>
    </w:pPr>
    <w:rPr>
      <w:szCs w:val="20"/>
    </w:rPr>
  </w:style>
  <w:style w:type="paragraph" w:customStyle="1" w:styleId="86">
    <w:name w:val="表格"/>
    <w:basedOn w:val="1"/>
    <w:qFormat/>
    <w:uiPriority w:val="0"/>
    <w:pPr>
      <w:jc w:val="center"/>
      <w:textAlignment w:val="center"/>
    </w:pPr>
    <w:rPr>
      <w:rFonts w:ascii="华文细黑" w:hAnsi="华文细黑"/>
      <w:kern w:val="0"/>
      <w:szCs w:val="20"/>
    </w:rPr>
  </w:style>
  <w:style w:type="paragraph" w:styleId="87">
    <w:name w:val="List Paragraph"/>
    <w:basedOn w:val="1"/>
    <w:qFormat/>
    <w:uiPriority w:val="0"/>
    <w:pPr>
      <w:ind w:firstLine="420" w:firstLineChars="200"/>
    </w:pPr>
  </w:style>
  <w:style w:type="paragraph" w:customStyle="1" w:styleId="88">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8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sz w:val="32"/>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_Style 32"/>
    <w:basedOn w:val="1"/>
    <w:qFormat/>
    <w:uiPriority w:val="0"/>
  </w:style>
  <w:style w:type="paragraph" w:customStyle="1" w:styleId="92">
    <w:name w:val="_Style 6"/>
    <w:basedOn w:val="4"/>
    <w:next w:val="1"/>
    <w:qFormat/>
    <w:uiPriority w:val="0"/>
    <w:pPr>
      <w:outlineLvl w:val="9"/>
    </w:pPr>
    <w:rPr>
      <w:rFonts w:ascii="Calibri" w:hAnsi="Calibri"/>
      <w:bCs/>
      <w:szCs w:val="44"/>
    </w:rPr>
  </w:style>
  <w:style w:type="paragraph" w:customStyle="1" w:styleId="93">
    <w:name w:val="p19"/>
    <w:basedOn w:val="1"/>
    <w:qFormat/>
    <w:uiPriority w:val="0"/>
    <w:pPr>
      <w:widowControl/>
    </w:pPr>
    <w:rPr>
      <w:kern w:val="0"/>
      <w:szCs w:val="21"/>
    </w:rPr>
  </w:style>
  <w:style w:type="paragraph" w:customStyle="1" w:styleId="94">
    <w:name w:val="样式"/>
    <w:basedOn w:val="1"/>
    <w:next w:val="1"/>
    <w:qFormat/>
    <w:uiPriority w:val="0"/>
    <w:pPr>
      <w:ind w:firstLine="420" w:firstLineChars="200"/>
    </w:pPr>
    <w:rPr>
      <w:rFonts w:hint="eastAsia"/>
      <w:b/>
      <w:sz w:val="96"/>
    </w:rPr>
  </w:style>
  <w:style w:type="paragraph" w:customStyle="1" w:styleId="95">
    <w:name w:val="Char1 Char Char Char"/>
    <w:basedOn w:val="1"/>
    <w:qFormat/>
    <w:uiPriority w:val="0"/>
  </w:style>
  <w:style w:type="paragraph" w:customStyle="1" w:styleId="96">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9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98">
    <w:name w:val="1"/>
    <w:basedOn w:val="1"/>
    <w:qFormat/>
    <w:uiPriority w:val="0"/>
  </w:style>
  <w:style w:type="paragraph" w:customStyle="1" w:styleId="99">
    <w:name w:val="p18"/>
    <w:basedOn w:val="1"/>
    <w:qFormat/>
    <w:uiPriority w:val="0"/>
    <w:pPr>
      <w:widowControl/>
    </w:pPr>
    <w:rPr>
      <w:kern w:val="0"/>
      <w:szCs w:val="21"/>
    </w:rPr>
  </w:style>
  <w:style w:type="paragraph" w:customStyle="1" w:styleId="100">
    <w:name w:val="Char"/>
    <w:basedOn w:val="1"/>
    <w:qFormat/>
    <w:uiPriority w:val="0"/>
    <w:rPr>
      <w:rFonts w:ascii="仿宋_GB2312" w:eastAsia="仿宋_GB2312"/>
      <w:b/>
      <w:sz w:val="32"/>
      <w:szCs w:val="32"/>
    </w:rPr>
  </w:style>
  <w:style w:type="paragraph" w:customStyle="1" w:styleId="101">
    <w:name w:val="Char1 Char Char Char1"/>
    <w:basedOn w:val="1"/>
    <w:qFormat/>
    <w:uiPriority w:val="0"/>
    <w:rPr>
      <w:rFonts w:ascii="Tahoma" w:hAnsi="Tahoma"/>
      <w:sz w:val="24"/>
      <w:szCs w:val="20"/>
    </w:rPr>
  </w:style>
  <w:style w:type="paragraph" w:customStyle="1" w:styleId="102">
    <w:name w:val="Char11"/>
    <w:basedOn w:val="1"/>
    <w:qFormat/>
    <w:uiPriority w:val="0"/>
    <w:rPr>
      <w:rFonts w:ascii="仿宋_GB2312" w:eastAsia="仿宋_GB2312"/>
      <w:b/>
      <w:sz w:val="32"/>
      <w:szCs w:val="32"/>
    </w:rPr>
  </w:style>
  <w:style w:type="paragraph" w:customStyle="1" w:styleId="103">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样式1"/>
    <w:basedOn w:val="1"/>
    <w:next w:val="7"/>
    <w:qFormat/>
    <w:uiPriority w:val="0"/>
    <w:pPr>
      <w:spacing w:line="360" w:lineRule="auto"/>
      <w:ind w:firstLine="420" w:firstLineChars="200"/>
    </w:pPr>
    <w:rPr>
      <w:rFonts w:ascii="宋体" w:hAnsi="宋体"/>
      <w:szCs w:val="21"/>
    </w:rPr>
  </w:style>
  <w:style w:type="paragraph" w:customStyle="1" w:styleId="106">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07">
    <w:name w:val="表格文字"/>
    <w:basedOn w:val="1"/>
    <w:qFormat/>
    <w:uiPriority w:val="0"/>
    <w:pPr>
      <w:adjustRightInd w:val="0"/>
      <w:spacing w:line="420" w:lineRule="atLeast"/>
      <w:jc w:val="left"/>
      <w:textAlignment w:val="baseline"/>
    </w:pPr>
    <w:rPr>
      <w:kern w:val="0"/>
      <w:szCs w:val="20"/>
    </w:rPr>
  </w:style>
  <w:style w:type="paragraph" w:customStyle="1" w:styleId="108">
    <w:name w:val="p0"/>
    <w:basedOn w:val="1"/>
    <w:qFormat/>
    <w:uiPriority w:val="0"/>
    <w:pPr>
      <w:widowControl/>
    </w:pPr>
    <w:rPr>
      <w:kern w:val="0"/>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10">
    <w:name w:val="纯文本 Char1"/>
    <w:basedOn w:val="39"/>
    <w:semiHidden/>
    <w:qFormat/>
    <w:uiPriority w:val="99"/>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5407</Words>
  <Characters>30825</Characters>
  <Lines>256</Lines>
  <Paragraphs>72</Paragraphs>
  <TotalTime>2</TotalTime>
  <ScaleCrop>false</ScaleCrop>
  <LinksUpToDate>false</LinksUpToDate>
  <CharactersWithSpaces>36160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2019-05-09T15:46:00Z</dcterms:created>
  <dc:creator>微软用户</dc:creator>
  <cp:lastModifiedBy>深圳市合创建设工程顾问有限公司:王富祯</cp:lastModifiedBy>
  <cp:lastPrinted>2019-05-06T05:45:00Z</cp:lastPrinted>
  <dcterms:modified xsi:type="dcterms:W3CDTF">2019-05-10T06:00:58Z</dcterms:modified>
  <dc:title>附件二：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