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pPr>
      <w:bookmarkStart w:id="0" w:name="_Toc17900"/>
      <w:r>
        <w:rPr>
          <w:rFonts w:hint="eastAsia"/>
        </w:rPr>
        <w:t>开标一览表</w:t>
      </w:r>
    </w:p>
    <w:p>
      <w:pPr>
        <w:spacing w:before="50" w:afterLines="50" w:line="360" w:lineRule="auto"/>
        <w:contextualSpacing/>
        <w:jc w:val="left"/>
        <w:rPr>
          <w:rFonts w:ascii="宋体" w:hAnsi="宋体"/>
          <w:color w:val="000000"/>
          <w:sz w:val="24"/>
          <w:szCs w:val="24"/>
        </w:rPr>
      </w:pPr>
      <w:r>
        <w:rPr>
          <w:rFonts w:hint="eastAsia" w:ascii="宋体" w:hAnsi="宋体"/>
          <w:color w:val="000000"/>
          <w:sz w:val="24"/>
          <w:szCs w:val="24"/>
        </w:rPr>
        <w:t>项目编号：YZCG-G2019080</w:t>
      </w:r>
    </w:p>
    <w:p>
      <w:pPr>
        <w:spacing w:line="360" w:lineRule="auto"/>
        <w:contextualSpacing/>
        <w:rPr>
          <w:rFonts w:ascii="宋体" w:hAnsi="宋体"/>
          <w:color w:val="000000"/>
          <w:sz w:val="24"/>
          <w:szCs w:val="24"/>
        </w:rPr>
      </w:pPr>
      <w:r>
        <w:rPr>
          <w:rFonts w:hint="eastAsia" w:ascii="宋体" w:hAnsi="宋体"/>
          <w:color w:val="000000"/>
          <w:sz w:val="24"/>
          <w:szCs w:val="24"/>
        </w:rPr>
        <w:t xml:space="preserve">项目名称：禹州市市场监督管理局创建国家食品安全城食品抽样检测项目                                             </w:t>
      </w:r>
      <w:r>
        <w:rPr>
          <w:rFonts w:hint="eastAsia" w:ascii="宋体" w:hAnsi="宋体" w:cs="Arial"/>
          <w:sz w:val="24"/>
          <w:szCs w:val="24"/>
        </w:rPr>
        <w:t>单位：元（人民币）</w:t>
      </w:r>
    </w:p>
    <w:tbl>
      <w:tblPr>
        <w:tblStyle w:val="9"/>
        <w:tblW w:w="9041" w:type="dxa"/>
        <w:tblInd w:w="0" w:type="dxa"/>
        <w:tblLayout w:type="fixed"/>
        <w:tblCellMar>
          <w:top w:w="0" w:type="dxa"/>
          <w:left w:w="108" w:type="dxa"/>
          <w:bottom w:w="0" w:type="dxa"/>
          <w:right w:w="108" w:type="dxa"/>
        </w:tblCellMar>
      </w:tblPr>
      <w:tblGrid>
        <w:gridCol w:w="737"/>
        <w:gridCol w:w="2204"/>
        <w:gridCol w:w="1365"/>
        <w:gridCol w:w="2008"/>
        <w:gridCol w:w="2043"/>
        <w:gridCol w:w="684"/>
      </w:tblGrid>
      <w:tr>
        <w:tblPrEx>
          <w:tblLayout w:type="fixed"/>
          <w:tblCellMar>
            <w:top w:w="0" w:type="dxa"/>
            <w:left w:w="108" w:type="dxa"/>
            <w:bottom w:w="0" w:type="dxa"/>
            <w:right w:w="108" w:type="dxa"/>
          </w:tblCellMar>
        </w:tblPrEx>
        <w:trPr>
          <w:trHeight w:val="851" w:hRule="atLeast"/>
        </w:trPr>
        <w:tc>
          <w:tcPr>
            <w:tcW w:w="737" w:type="dxa"/>
            <w:tcBorders>
              <w:top w:val="single" w:color="auto" w:sz="4" w:space="0"/>
              <w:left w:val="single" w:color="auto" w:sz="4" w:space="0"/>
              <w:bottom w:val="single" w:color="auto" w:sz="6" w:space="0"/>
              <w:right w:val="single" w:color="auto" w:sz="6" w:space="0"/>
            </w:tcBorders>
            <w:shd w:val="clear" w:color="auto" w:fill="F1F1F1"/>
            <w:noWrap w:val="0"/>
            <w:vAlign w:val="center"/>
          </w:tcPr>
          <w:p>
            <w:pPr>
              <w:pStyle w:val="12"/>
              <w:bidi w:val="0"/>
              <w:rPr>
                <w:lang w:val="zh-CN"/>
              </w:rPr>
            </w:pPr>
            <w:r>
              <w:rPr>
                <w:rFonts w:hint="eastAsia"/>
                <w:lang w:val="zh-CN"/>
              </w:rPr>
              <w:t>标段</w:t>
            </w:r>
          </w:p>
        </w:tc>
        <w:tc>
          <w:tcPr>
            <w:tcW w:w="2204" w:type="dxa"/>
            <w:tcBorders>
              <w:top w:val="single" w:color="auto" w:sz="4" w:space="0"/>
              <w:left w:val="single" w:color="auto" w:sz="6" w:space="0"/>
              <w:bottom w:val="single" w:color="auto" w:sz="6" w:space="0"/>
              <w:right w:val="single" w:color="auto" w:sz="6" w:space="0"/>
            </w:tcBorders>
            <w:shd w:val="clear" w:color="auto" w:fill="F1F1F1"/>
            <w:noWrap w:val="0"/>
            <w:vAlign w:val="center"/>
          </w:tcPr>
          <w:p>
            <w:pPr>
              <w:pStyle w:val="12"/>
              <w:bidi w:val="0"/>
              <w:rPr>
                <w:lang w:val="zh-CN"/>
              </w:rPr>
            </w:pPr>
            <w:r>
              <w:rPr>
                <w:rFonts w:hint="eastAsia"/>
                <w:lang w:val="zh-CN"/>
              </w:rPr>
              <w:t>项目名称</w:t>
            </w:r>
          </w:p>
        </w:tc>
        <w:tc>
          <w:tcPr>
            <w:tcW w:w="1365" w:type="dxa"/>
            <w:tcBorders>
              <w:top w:val="single" w:color="auto" w:sz="4" w:space="0"/>
              <w:left w:val="single" w:color="auto" w:sz="6" w:space="0"/>
              <w:bottom w:val="single" w:color="auto" w:sz="6" w:space="0"/>
              <w:right w:val="single" w:color="auto" w:sz="6" w:space="0"/>
            </w:tcBorders>
            <w:shd w:val="clear" w:color="auto" w:fill="F1F1F1"/>
            <w:noWrap w:val="0"/>
            <w:vAlign w:val="center"/>
          </w:tcPr>
          <w:p>
            <w:pPr>
              <w:pStyle w:val="12"/>
              <w:bidi w:val="0"/>
              <w:rPr>
                <w:lang w:val="zh-CN"/>
              </w:rPr>
            </w:pPr>
            <w:r>
              <w:rPr>
                <w:rFonts w:hint="default"/>
              </w:rPr>
              <w:t>共报食品细类</w:t>
            </w:r>
          </w:p>
        </w:tc>
        <w:tc>
          <w:tcPr>
            <w:tcW w:w="2008" w:type="dxa"/>
            <w:tcBorders>
              <w:top w:val="single" w:color="auto" w:sz="4" w:space="0"/>
              <w:left w:val="single" w:color="auto" w:sz="6" w:space="0"/>
              <w:bottom w:val="single" w:color="auto" w:sz="6" w:space="0"/>
              <w:right w:val="single" w:color="auto" w:sz="6" w:space="0"/>
            </w:tcBorders>
            <w:shd w:val="clear" w:color="auto" w:fill="F1F1F1"/>
            <w:noWrap w:val="0"/>
            <w:vAlign w:val="center"/>
          </w:tcPr>
          <w:p>
            <w:pPr>
              <w:pStyle w:val="12"/>
              <w:bidi w:val="0"/>
              <w:rPr>
                <w:rFonts w:hint="default"/>
                <w:lang w:val="en-US" w:eastAsia="zh-CN"/>
              </w:rPr>
            </w:pPr>
            <w:r>
              <w:rPr>
                <w:rFonts w:hint="eastAsia"/>
                <w:lang w:val="zh-CN"/>
              </w:rPr>
              <w:t>占全部</w:t>
            </w:r>
            <w:r>
              <w:rPr>
                <w:rFonts w:hint="eastAsia"/>
                <w:lang w:val="en-US" w:eastAsia="zh-CN"/>
              </w:rPr>
              <w:t>259个食品细类的百分比</w:t>
            </w:r>
          </w:p>
        </w:tc>
        <w:tc>
          <w:tcPr>
            <w:tcW w:w="2043" w:type="dxa"/>
            <w:tcBorders>
              <w:top w:val="single" w:color="auto" w:sz="4" w:space="0"/>
              <w:left w:val="single" w:color="auto" w:sz="6" w:space="0"/>
              <w:bottom w:val="single" w:color="auto" w:sz="6" w:space="0"/>
              <w:right w:val="single" w:color="auto" w:sz="4" w:space="0"/>
            </w:tcBorders>
            <w:shd w:val="clear" w:color="auto" w:fill="F1F1F1"/>
            <w:noWrap w:val="0"/>
            <w:vAlign w:val="center"/>
          </w:tcPr>
          <w:p>
            <w:pPr>
              <w:pStyle w:val="12"/>
              <w:bidi w:val="0"/>
              <w:rPr>
                <w:rFonts w:hint="eastAsia"/>
                <w:lang w:val="zh-CN"/>
              </w:rPr>
            </w:pPr>
            <w:r>
              <w:rPr>
                <w:rFonts w:hint="eastAsia"/>
                <w:lang w:val="zh-CN"/>
              </w:rPr>
              <w:t>投标细类单批次均价</w:t>
            </w:r>
          </w:p>
        </w:tc>
        <w:tc>
          <w:tcPr>
            <w:tcW w:w="684" w:type="dxa"/>
            <w:tcBorders>
              <w:top w:val="single" w:color="auto" w:sz="6" w:space="0"/>
              <w:left w:val="single" w:color="auto" w:sz="4" w:space="0"/>
              <w:bottom w:val="single" w:color="auto" w:sz="6" w:space="0"/>
              <w:right w:val="single" w:color="auto" w:sz="6" w:space="0"/>
            </w:tcBorders>
            <w:shd w:val="clear" w:color="auto" w:fill="F1F1F1"/>
            <w:noWrap w:val="0"/>
            <w:vAlign w:val="center"/>
          </w:tcPr>
          <w:p>
            <w:pPr>
              <w:pStyle w:val="12"/>
              <w:bidi w:val="0"/>
              <w:rPr>
                <w:rFonts w:hint="eastAsia"/>
                <w:lang w:val="zh-CN"/>
              </w:rPr>
            </w:pPr>
            <w:r>
              <w:rPr>
                <w:rFonts w:hint="eastAsia"/>
                <w:lang w:val="zh-CN"/>
              </w:rPr>
              <w:t>备注</w:t>
            </w:r>
          </w:p>
        </w:tc>
      </w:tr>
      <w:tr>
        <w:tblPrEx>
          <w:tblLayout w:type="fixed"/>
          <w:tblCellMar>
            <w:top w:w="0" w:type="dxa"/>
            <w:left w:w="108" w:type="dxa"/>
            <w:bottom w:w="0" w:type="dxa"/>
            <w:right w:w="108" w:type="dxa"/>
          </w:tblCellMar>
        </w:tblPrEx>
        <w:trPr>
          <w:trHeight w:val="1973" w:hRule="atLeast"/>
        </w:trPr>
        <w:tc>
          <w:tcPr>
            <w:tcW w:w="737" w:type="dxa"/>
            <w:tcBorders>
              <w:top w:val="single" w:color="auto" w:sz="6" w:space="0"/>
              <w:left w:val="single" w:color="auto" w:sz="4" w:space="0"/>
              <w:bottom w:val="single" w:color="auto" w:sz="6" w:space="0"/>
              <w:right w:val="single" w:color="auto" w:sz="6" w:space="0"/>
            </w:tcBorders>
            <w:noWrap w:val="0"/>
            <w:vAlign w:val="center"/>
          </w:tcPr>
          <w:p>
            <w:pPr>
              <w:pStyle w:val="12"/>
              <w:bidi w:val="0"/>
              <w:rPr>
                <w:rFonts w:hint="eastAsia" w:eastAsia="宋体"/>
                <w:lang w:val="en-US" w:eastAsia="zh-CN"/>
              </w:rPr>
            </w:pPr>
            <w:r>
              <w:rPr>
                <w:rFonts w:hint="eastAsia"/>
                <w:lang w:val="en-US" w:eastAsia="zh-CN"/>
              </w:rPr>
              <w:t>1</w:t>
            </w:r>
          </w:p>
        </w:tc>
        <w:tc>
          <w:tcPr>
            <w:tcW w:w="2204" w:type="dxa"/>
            <w:tcBorders>
              <w:top w:val="single" w:color="auto" w:sz="6" w:space="0"/>
              <w:left w:val="single" w:color="auto" w:sz="6" w:space="0"/>
              <w:bottom w:val="single" w:color="auto" w:sz="6" w:space="0"/>
              <w:right w:val="single" w:color="auto" w:sz="6" w:space="0"/>
            </w:tcBorders>
            <w:noWrap w:val="0"/>
            <w:vAlign w:val="center"/>
          </w:tcPr>
          <w:p>
            <w:pPr>
              <w:pStyle w:val="12"/>
              <w:bidi w:val="0"/>
            </w:pPr>
            <w:r>
              <w:rPr>
                <w:rFonts w:hint="eastAsia" w:ascii="宋体" w:hAnsi="宋体"/>
                <w:color w:val="000000"/>
                <w:sz w:val="24"/>
                <w:szCs w:val="24"/>
              </w:rPr>
              <w:t>禹州市市场监督管理局创建国家食品安全城食品抽样检测项目</w:t>
            </w:r>
          </w:p>
        </w:tc>
        <w:tc>
          <w:tcPr>
            <w:tcW w:w="1365" w:type="dxa"/>
            <w:tcBorders>
              <w:top w:val="single" w:color="auto" w:sz="6" w:space="0"/>
              <w:left w:val="single" w:color="auto" w:sz="6" w:space="0"/>
              <w:bottom w:val="single" w:color="auto" w:sz="6" w:space="0"/>
              <w:right w:val="single" w:color="auto" w:sz="6" w:space="0"/>
            </w:tcBorders>
            <w:noWrap w:val="0"/>
            <w:vAlign w:val="center"/>
          </w:tcPr>
          <w:p>
            <w:pPr>
              <w:pStyle w:val="12"/>
              <w:bidi w:val="0"/>
              <w:rPr>
                <w:rFonts w:hint="default"/>
              </w:rPr>
            </w:pPr>
            <w:r>
              <w:rPr>
                <w:rFonts w:hint="default"/>
              </w:rPr>
              <w:t xml:space="preserve">         </w:t>
            </w:r>
            <w:r>
              <w:rPr>
                <w:rFonts w:hint="eastAsia"/>
                <w:lang w:val="en-US" w:eastAsia="zh-CN"/>
              </w:rPr>
              <w:t>250</w:t>
            </w:r>
            <w:r>
              <w:rPr>
                <w:rFonts w:hint="default"/>
              </w:rPr>
              <w:t xml:space="preserve"> 个</w:t>
            </w:r>
          </w:p>
          <w:p>
            <w:pPr>
              <w:pStyle w:val="12"/>
              <w:bidi w:val="0"/>
              <w:rPr>
                <w:lang w:val="zh-CN"/>
              </w:rPr>
            </w:pPr>
          </w:p>
        </w:tc>
        <w:tc>
          <w:tcPr>
            <w:tcW w:w="2008" w:type="dxa"/>
            <w:tcBorders>
              <w:top w:val="single" w:color="auto" w:sz="6" w:space="0"/>
              <w:left w:val="single" w:color="auto" w:sz="6" w:space="0"/>
              <w:bottom w:val="single" w:color="auto" w:sz="6" w:space="0"/>
              <w:right w:val="single" w:color="auto" w:sz="6" w:space="0"/>
            </w:tcBorders>
            <w:noWrap w:val="0"/>
            <w:vAlign w:val="center"/>
          </w:tcPr>
          <w:p>
            <w:pPr>
              <w:pStyle w:val="12"/>
              <w:bidi w:val="0"/>
              <w:jc w:val="center"/>
              <w:rPr>
                <w:lang w:val="zh-CN"/>
              </w:rPr>
            </w:pPr>
            <w:r>
              <w:rPr>
                <w:rFonts w:hint="eastAsia"/>
                <w:lang w:val="en-US" w:eastAsia="zh-CN"/>
              </w:rPr>
              <w:t>96.53</w:t>
            </w:r>
            <w:r>
              <w:rPr>
                <w:rFonts w:hint="default"/>
              </w:rPr>
              <w:t xml:space="preserve">  %</w:t>
            </w:r>
          </w:p>
        </w:tc>
        <w:tc>
          <w:tcPr>
            <w:tcW w:w="2043" w:type="dxa"/>
            <w:tcBorders>
              <w:top w:val="single" w:color="auto" w:sz="6" w:space="0"/>
              <w:left w:val="single" w:color="auto" w:sz="6" w:space="0"/>
              <w:bottom w:val="single" w:color="auto" w:sz="6" w:space="0"/>
              <w:right w:val="single" w:color="auto" w:sz="4" w:space="0"/>
            </w:tcBorders>
            <w:noWrap w:val="0"/>
            <w:vAlign w:val="center"/>
          </w:tcPr>
          <w:p>
            <w:pPr>
              <w:pStyle w:val="12"/>
              <w:bidi w:val="0"/>
              <w:jc w:val="center"/>
              <w:rPr>
                <w:lang w:val="zh-CN"/>
              </w:rPr>
            </w:pPr>
            <w:r>
              <w:rPr>
                <w:rFonts w:hint="eastAsia"/>
                <w:lang w:val="en-US" w:eastAsia="zh-CN"/>
              </w:rPr>
              <w:t>1298.82</w:t>
            </w:r>
            <w:r>
              <w:rPr>
                <w:rFonts w:hint="default"/>
              </w:rPr>
              <w:t>元</w:t>
            </w:r>
          </w:p>
        </w:tc>
        <w:tc>
          <w:tcPr>
            <w:tcW w:w="684" w:type="dxa"/>
            <w:tcBorders>
              <w:top w:val="single" w:color="auto" w:sz="6" w:space="0"/>
              <w:left w:val="single" w:color="auto" w:sz="4" w:space="0"/>
              <w:bottom w:val="single" w:color="auto" w:sz="6" w:space="0"/>
              <w:right w:val="single" w:color="auto" w:sz="6" w:space="0"/>
            </w:tcBorders>
            <w:noWrap w:val="0"/>
            <w:vAlign w:val="center"/>
          </w:tcPr>
          <w:p>
            <w:pPr>
              <w:pStyle w:val="12"/>
              <w:bidi w:val="0"/>
              <w:rPr>
                <w:lang w:val="zh-CN"/>
              </w:rPr>
            </w:pPr>
          </w:p>
        </w:tc>
      </w:tr>
      <w:tr>
        <w:tblPrEx>
          <w:tblLayout w:type="fixed"/>
          <w:tblCellMar>
            <w:top w:w="0" w:type="dxa"/>
            <w:left w:w="108" w:type="dxa"/>
            <w:bottom w:w="0" w:type="dxa"/>
            <w:right w:w="108" w:type="dxa"/>
          </w:tblCellMar>
        </w:tblPrEx>
        <w:trPr>
          <w:trHeight w:val="914" w:hRule="atLeast"/>
        </w:trPr>
        <w:tc>
          <w:tcPr>
            <w:tcW w:w="737" w:type="dxa"/>
            <w:tcBorders>
              <w:top w:val="single" w:color="auto" w:sz="6" w:space="0"/>
              <w:left w:val="single" w:color="auto" w:sz="4" w:space="0"/>
              <w:bottom w:val="single" w:color="auto" w:sz="4" w:space="0"/>
              <w:right w:val="single" w:color="auto" w:sz="6" w:space="0"/>
            </w:tcBorders>
            <w:noWrap w:val="0"/>
            <w:vAlign w:val="center"/>
          </w:tcPr>
          <w:p>
            <w:pPr>
              <w:pStyle w:val="12"/>
              <w:bidi w:val="0"/>
            </w:pPr>
          </w:p>
        </w:tc>
        <w:tc>
          <w:tcPr>
            <w:tcW w:w="2204" w:type="dxa"/>
            <w:tcBorders>
              <w:top w:val="single" w:color="auto" w:sz="6" w:space="0"/>
              <w:left w:val="single" w:color="auto" w:sz="6" w:space="0"/>
              <w:bottom w:val="single" w:color="auto" w:sz="4" w:space="0"/>
              <w:right w:val="single" w:color="auto" w:sz="6" w:space="0"/>
            </w:tcBorders>
            <w:noWrap w:val="0"/>
            <w:vAlign w:val="center"/>
          </w:tcPr>
          <w:p>
            <w:pPr>
              <w:pStyle w:val="12"/>
              <w:bidi w:val="0"/>
            </w:pPr>
          </w:p>
        </w:tc>
        <w:tc>
          <w:tcPr>
            <w:tcW w:w="1365" w:type="dxa"/>
            <w:tcBorders>
              <w:top w:val="single" w:color="auto" w:sz="6" w:space="0"/>
              <w:left w:val="single" w:color="auto" w:sz="6" w:space="0"/>
              <w:bottom w:val="single" w:color="auto" w:sz="4" w:space="0"/>
              <w:right w:val="single" w:color="auto" w:sz="6" w:space="0"/>
            </w:tcBorders>
            <w:noWrap w:val="0"/>
            <w:vAlign w:val="center"/>
          </w:tcPr>
          <w:p>
            <w:pPr>
              <w:pStyle w:val="12"/>
              <w:bidi w:val="0"/>
              <w:rPr>
                <w:rFonts w:hint="default"/>
              </w:rPr>
            </w:pPr>
          </w:p>
        </w:tc>
        <w:tc>
          <w:tcPr>
            <w:tcW w:w="2008" w:type="dxa"/>
            <w:tcBorders>
              <w:top w:val="single" w:color="auto" w:sz="6" w:space="0"/>
              <w:left w:val="single" w:color="auto" w:sz="6" w:space="0"/>
              <w:bottom w:val="single" w:color="auto" w:sz="4" w:space="0"/>
              <w:right w:val="single" w:color="auto" w:sz="6" w:space="0"/>
            </w:tcBorders>
            <w:noWrap w:val="0"/>
            <w:vAlign w:val="center"/>
          </w:tcPr>
          <w:p>
            <w:pPr>
              <w:pStyle w:val="12"/>
              <w:bidi w:val="0"/>
              <w:rPr>
                <w:lang w:val="zh-CN"/>
              </w:rPr>
            </w:pPr>
          </w:p>
        </w:tc>
        <w:tc>
          <w:tcPr>
            <w:tcW w:w="2043" w:type="dxa"/>
            <w:tcBorders>
              <w:top w:val="single" w:color="auto" w:sz="6" w:space="0"/>
              <w:left w:val="single" w:color="auto" w:sz="6" w:space="0"/>
              <w:bottom w:val="single" w:color="auto" w:sz="4" w:space="0"/>
              <w:right w:val="single" w:color="auto" w:sz="4" w:space="0"/>
            </w:tcBorders>
            <w:noWrap w:val="0"/>
            <w:vAlign w:val="center"/>
          </w:tcPr>
          <w:p>
            <w:pPr>
              <w:pStyle w:val="12"/>
              <w:bidi w:val="0"/>
              <w:rPr>
                <w:lang w:val="zh-CN"/>
              </w:rPr>
            </w:pPr>
          </w:p>
        </w:tc>
        <w:tc>
          <w:tcPr>
            <w:tcW w:w="684" w:type="dxa"/>
            <w:tcBorders>
              <w:top w:val="single" w:color="auto" w:sz="6" w:space="0"/>
              <w:left w:val="single" w:color="auto" w:sz="4" w:space="0"/>
              <w:bottom w:val="single" w:color="auto" w:sz="6" w:space="0"/>
              <w:right w:val="single" w:color="auto" w:sz="6" w:space="0"/>
            </w:tcBorders>
            <w:noWrap w:val="0"/>
            <w:vAlign w:val="center"/>
          </w:tcPr>
          <w:p>
            <w:pPr>
              <w:pStyle w:val="12"/>
              <w:bidi w:val="0"/>
              <w:rPr>
                <w:lang w:val="zh-CN"/>
              </w:rPr>
            </w:pPr>
          </w:p>
        </w:tc>
      </w:tr>
    </w:tbl>
    <w:p>
      <w:pPr>
        <w:autoSpaceDE w:val="0"/>
        <w:autoSpaceDN w:val="0"/>
        <w:adjustRightInd w:val="0"/>
        <w:spacing w:line="480" w:lineRule="auto"/>
        <w:rPr>
          <w:rFonts w:hint="eastAsia" w:ascii="宋体" w:hAnsi="宋体" w:cs="宋体"/>
          <w:sz w:val="24"/>
          <w:szCs w:val="24"/>
          <w:lang w:val="zh-CN"/>
        </w:rPr>
      </w:pP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投标人名称：</w:t>
      </w:r>
      <w:r>
        <w:rPr>
          <w:rFonts w:hint="eastAsia" w:ascii="宋体" w:hAnsi="宋体" w:cs="宋体"/>
          <w:sz w:val="24"/>
          <w:szCs w:val="24"/>
          <w:u w:val="single"/>
          <w:lang w:val="zh-CN"/>
        </w:rPr>
        <w:t xml:space="preserve">中检集团中原农食产品检测（河南）有限公司 </w:t>
      </w:r>
      <w:r>
        <w:rPr>
          <w:rFonts w:hint="eastAsia" w:ascii="宋体" w:hAnsi="宋体" w:cs="宋体"/>
          <w:sz w:val="24"/>
          <w:szCs w:val="24"/>
          <w:lang w:val="zh-CN"/>
        </w:rPr>
        <w:t>（公章）：</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投标人法定代表人（或授权代表）签字：</w:t>
      </w:r>
    </w:p>
    <w:p>
      <w:pPr>
        <w:autoSpaceDE w:val="0"/>
        <w:autoSpaceDN w:val="0"/>
        <w:adjustRightInd w:val="0"/>
        <w:spacing w:line="480" w:lineRule="auto"/>
        <w:rPr>
          <w:rFonts w:hint="eastAsia" w:ascii="宋体" w:hAnsi="宋体" w:cs="宋体"/>
          <w:sz w:val="24"/>
          <w:szCs w:val="24"/>
          <w:lang w:val="en-US" w:eastAsia="zh-CN"/>
        </w:rPr>
      </w:pPr>
      <w:r>
        <w:rPr>
          <w:rFonts w:hint="eastAsia" w:ascii="宋体" w:hAnsi="宋体" w:cs="宋体"/>
          <w:sz w:val="24"/>
          <w:szCs w:val="24"/>
          <w:lang w:val="zh-CN"/>
        </w:rPr>
        <w:t>日期：</w:t>
      </w:r>
      <w:r>
        <w:rPr>
          <w:rFonts w:hint="eastAsia" w:ascii="宋体" w:hAnsi="宋体" w:cs="宋体"/>
          <w:sz w:val="24"/>
          <w:szCs w:val="24"/>
          <w:lang w:val="en-US" w:eastAsia="zh-CN"/>
        </w:rPr>
        <w:t>2019</w:t>
      </w:r>
      <w:r>
        <w:rPr>
          <w:rFonts w:hint="eastAsia" w:ascii="宋体" w:hAnsi="宋体" w:cs="宋体"/>
          <w:sz w:val="24"/>
          <w:szCs w:val="24"/>
          <w:lang w:val="zh-CN"/>
        </w:rPr>
        <w:t>年</w:t>
      </w:r>
      <w:r>
        <w:rPr>
          <w:rFonts w:hint="eastAsia" w:ascii="宋体" w:hAnsi="宋体" w:cs="宋体"/>
          <w:sz w:val="24"/>
          <w:szCs w:val="24"/>
          <w:lang w:val="en-US" w:eastAsia="zh-CN"/>
        </w:rPr>
        <w:t>05</w:t>
      </w:r>
      <w:r>
        <w:rPr>
          <w:rFonts w:hint="eastAsia" w:ascii="宋体" w:hAnsi="宋体" w:cs="宋体"/>
          <w:sz w:val="24"/>
          <w:szCs w:val="24"/>
          <w:lang w:val="zh-CN"/>
        </w:rPr>
        <w:t>月</w:t>
      </w:r>
      <w:r>
        <w:rPr>
          <w:rFonts w:hint="eastAsia" w:ascii="宋体" w:hAnsi="宋体" w:cs="宋体"/>
          <w:sz w:val="24"/>
          <w:szCs w:val="24"/>
          <w:lang w:val="en-US" w:eastAsia="zh-CN"/>
        </w:rPr>
        <w:t>07</w:t>
      </w:r>
      <w:r>
        <w:rPr>
          <w:rFonts w:hint="eastAsia" w:ascii="宋体" w:hAnsi="宋体" w:cs="宋体"/>
          <w:sz w:val="24"/>
          <w:szCs w:val="24"/>
          <w:lang w:val="zh-CN"/>
        </w:rPr>
        <w:t>日</w:t>
      </w:r>
      <w:r>
        <w:rPr>
          <w:rFonts w:hint="eastAsia" w:ascii="宋体" w:hAnsi="宋体" w:cs="宋体"/>
          <w:sz w:val="24"/>
          <w:szCs w:val="24"/>
          <w:lang w:val="en-US" w:eastAsia="zh-CN"/>
        </w:rPr>
        <w:t xml:space="preserve"> </w:t>
      </w:r>
    </w:p>
    <w:p>
      <w:pPr>
        <w:autoSpaceDE w:val="0"/>
        <w:autoSpaceDN w:val="0"/>
        <w:adjustRightInd w:val="0"/>
        <w:spacing w:line="480" w:lineRule="auto"/>
        <w:rPr>
          <w:rFonts w:hint="eastAsia" w:ascii="宋体" w:hAnsi="宋体" w:cs="宋体"/>
          <w:sz w:val="24"/>
          <w:szCs w:val="24"/>
          <w:lang w:val="en-US" w:eastAsia="zh-CN"/>
        </w:rPr>
      </w:pPr>
    </w:p>
    <w:p>
      <w:pPr>
        <w:autoSpaceDE w:val="0"/>
        <w:autoSpaceDN w:val="0"/>
        <w:adjustRightInd w:val="0"/>
        <w:spacing w:line="480" w:lineRule="auto"/>
        <w:rPr>
          <w:rFonts w:hint="eastAsia" w:ascii="宋体" w:hAnsi="宋体" w:cs="宋体"/>
          <w:sz w:val="24"/>
          <w:szCs w:val="24"/>
          <w:lang w:val="en-US" w:eastAsia="zh-CN"/>
        </w:rPr>
      </w:pPr>
    </w:p>
    <w:p>
      <w:pPr>
        <w:autoSpaceDE w:val="0"/>
        <w:autoSpaceDN w:val="0"/>
        <w:adjustRightInd w:val="0"/>
        <w:spacing w:line="480" w:lineRule="auto"/>
        <w:rPr>
          <w:rFonts w:hint="eastAsia" w:ascii="宋体" w:hAnsi="宋体" w:cs="宋体"/>
          <w:sz w:val="24"/>
          <w:szCs w:val="24"/>
          <w:lang w:val="en-US" w:eastAsia="zh-CN"/>
        </w:rPr>
      </w:pPr>
    </w:p>
    <w:p>
      <w:pPr>
        <w:autoSpaceDE w:val="0"/>
        <w:autoSpaceDN w:val="0"/>
        <w:adjustRightInd w:val="0"/>
        <w:spacing w:line="480" w:lineRule="auto"/>
        <w:rPr>
          <w:rFonts w:hint="eastAsia" w:ascii="宋体" w:hAnsi="宋体" w:cs="宋体"/>
          <w:sz w:val="24"/>
          <w:szCs w:val="24"/>
          <w:lang w:val="en-US" w:eastAsia="zh-CN"/>
        </w:rPr>
      </w:pPr>
    </w:p>
    <w:p>
      <w:pPr>
        <w:autoSpaceDE w:val="0"/>
        <w:autoSpaceDN w:val="0"/>
        <w:adjustRightInd w:val="0"/>
        <w:spacing w:line="480" w:lineRule="auto"/>
        <w:rPr>
          <w:rFonts w:hint="eastAsia" w:ascii="宋体" w:hAnsi="宋体" w:cs="宋体"/>
          <w:sz w:val="24"/>
          <w:szCs w:val="24"/>
          <w:lang w:val="en-US" w:eastAsia="zh-CN"/>
        </w:rPr>
      </w:pPr>
    </w:p>
    <w:p>
      <w:pPr>
        <w:autoSpaceDE w:val="0"/>
        <w:autoSpaceDN w:val="0"/>
        <w:adjustRightInd w:val="0"/>
        <w:spacing w:line="480" w:lineRule="auto"/>
        <w:rPr>
          <w:rFonts w:hint="eastAsia" w:ascii="宋体" w:hAnsi="宋体" w:cs="宋体"/>
          <w:sz w:val="24"/>
          <w:szCs w:val="24"/>
          <w:lang w:val="en-US" w:eastAsia="zh-CN"/>
        </w:rPr>
      </w:pPr>
    </w:p>
    <w:p>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pPr>
        <w:pStyle w:val="3"/>
        <w:bidi w:val="0"/>
        <w:jc w:val="center"/>
        <w:rPr>
          <w:rFonts w:hint="eastAsia"/>
          <w:lang w:val="en-US" w:eastAsia="zh-CN"/>
        </w:rPr>
      </w:pPr>
      <w:r>
        <w:rPr>
          <w:rFonts w:hint="eastAsia"/>
          <w:lang w:val="en-US" w:eastAsia="zh-CN"/>
        </w:rPr>
        <w:t>分项报价表</w:t>
      </w:r>
      <w:bookmarkStart w:id="4" w:name="_GoBack"/>
      <w:bookmarkEnd w:id="4"/>
    </w:p>
    <w:tbl>
      <w:tblPr>
        <w:tblStyle w:val="9"/>
        <w:tblW w:w="8336" w:type="dxa"/>
        <w:tblInd w:w="0" w:type="dxa"/>
        <w:shd w:val="clear" w:color="auto" w:fill="auto"/>
        <w:tblLayout w:type="fixed"/>
        <w:tblCellMar>
          <w:top w:w="0" w:type="dxa"/>
          <w:left w:w="0" w:type="dxa"/>
          <w:bottom w:w="0" w:type="dxa"/>
          <w:right w:w="0" w:type="dxa"/>
        </w:tblCellMar>
      </w:tblPr>
      <w:tblGrid>
        <w:gridCol w:w="494"/>
        <w:gridCol w:w="749"/>
        <w:gridCol w:w="748"/>
        <w:gridCol w:w="758"/>
        <w:gridCol w:w="830"/>
        <w:gridCol w:w="1666"/>
        <w:gridCol w:w="739"/>
        <w:gridCol w:w="749"/>
        <w:gridCol w:w="686"/>
        <w:gridCol w:w="917"/>
      </w:tblGrid>
      <w:tr>
        <w:tblPrEx>
          <w:shd w:val="clear" w:color="auto" w:fill="auto"/>
          <w:tblLayout w:type="fixed"/>
          <w:tblCellMar>
            <w:top w:w="0" w:type="dxa"/>
            <w:left w:w="0" w:type="dxa"/>
            <w:bottom w:w="0" w:type="dxa"/>
            <w:right w:w="0" w:type="dxa"/>
          </w:tblCellMar>
        </w:tblPrEx>
        <w:trPr>
          <w:trHeight w:val="480" w:hRule="atLeast"/>
        </w:trPr>
        <w:tc>
          <w:tcPr>
            <w:tcW w:w="4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序号</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食品大类</w:t>
            </w:r>
          </w:p>
        </w:tc>
        <w:tc>
          <w:tcPr>
            <w:tcW w:w="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食品亚类</w:t>
            </w:r>
          </w:p>
        </w:tc>
        <w:tc>
          <w:tcPr>
            <w:tcW w:w="7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食品品种</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食品细类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检测项目</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单项目检测费</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单批次检测费</w:t>
            </w: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单批次采样费</w:t>
            </w:r>
          </w:p>
        </w:tc>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单批次总报价</w:t>
            </w: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粮食加工品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大米</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大米</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大米</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总汞（以Hg计）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640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690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无机砷（以As计）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小麦粉</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小麦粉</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通用小麦粉、专用小麦粉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1620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玉米赤霉烯酮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脱氧雪腐镰刀菌烯醇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赭曲霉毒素A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苯并[a]芘</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过氧化苯甲酰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滑石粉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二氧化钛</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挂面</w:t>
            </w:r>
          </w:p>
        </w:tc>
        <w:tc>
          <w:tcPr>
            <w:tcW w:w="7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挂面</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普通挂面、手工面</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其他粮食加工品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谷物加工品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谷物加工品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谷物碾磨加工品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玉米粉、玉米片、玉米渣</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1040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1090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脱氧雪腐镰刀菌烯醇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赭曲霉毒素A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玉米赤霉烯酮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米粉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72</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234</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284</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72</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其他谷物碾磨加工品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380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430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赭曲霉毒素A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谷物粉类制成品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生湿面制品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460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发酵面制品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1160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米粉制品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1235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其他谷物粉类制成品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食用油、油脂及其制品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食用植物油(含煎炸用油)</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食用植物油(半精炼</w:t>
            </w:r>
            <w:r>
              <w:rPr>
                <w:rFonts w:hint="eastAsia"/>
                <w:lang w:val="en-US" w:eastAsia="zh-CN"/>
              </w:rPr>
              <w:br w:type="textWrapping"/>
            </w:r>
            <w:r>
              <w:rPr>
                <w:rFonts w:hint="eastAsia"/>
                <w:lang w:val="en-US" w:eastAsia="zh-CN"/>
              </w:rPr>
              <w:t>、全精炼)</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花生油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酸值/酸价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1045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1095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苯并[a]芘</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溶剂残留量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丁基羟基茴香醚（BHA）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二丁基羟基甲苯（BHT）</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特丁基对苯二酚（TBHQ）</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玉米油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酸值/酸价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1045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1095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苯并[a]芘</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溶剂残留量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丁基羟基茴香醚（BHA）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二丁基羟基甲苯（BHT）</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特丁基对苯二酚（TBHQ）</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芝麻油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酸值/酸价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1045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1095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苯并[a]芘</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溶剂残留量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丁基羟基茴香醚（BHA）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二丁基羟基甲苯（BHT）</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特丁基对苯二酚（TBHQ）</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橄榄油、油橄榄果渣油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酸值/酸价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1045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1095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苯并[a]芘</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溶剂残留量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丁基羟基茴香醚（BHA）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二丁基羟基甲苯（BHT）</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特丁基对苯二酚（TBHQ）</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菜籽油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酸值/酸价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1045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1095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苯并[a]芘</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溶剂残留量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丁基羟基茴香醚（BHA）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二丁基羟基甲苯（BHT）</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特丁基对苯二酚（TBHQ）</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大豆油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酸值/酸价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1045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1095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苯并[a]芘</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溶剂残留量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丁基羟基茴香醚（BHA）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二丁基羟基甲苯（BHT）</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特丁基对苯二酚（TBHQ）</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食用植物调和油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酸值/酸价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1045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1095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苯并[a]芘</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溶剂残留量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丁基羟基茴香醚（BHA）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二丁基羟基甲苯（BHT）</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特丁基对苯二酚（TBHQ）</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其他食用植物油(半精炼、全精炼)</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酸值/酸价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苯并[a]芘</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溶剂残留量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游离棉酚</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丁基羟基茴香醚（BHA）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二丁基羟基甲苯（BHT）</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特丁基对苯二酚（TBHQ）</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煎炸过程用油(餐饮环节)</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煎炸过程用油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350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极性组分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游离棉酚</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食用动物油脂</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食用动物油脂</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食用动物油脂</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920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丙二醛</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苯并[a]芘</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丁基羟基茴香醚（BHA）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二丁基羟基甲苯（BHT）</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特丁基对苯二酚（TBHQ）</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食用油脂制品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食用油脂制品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食用油脂制品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1155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镍（以Ni计）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苯并[a]芘</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丁基羟基茴香醚（BHA）（以油脂中的含量计）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二丁基羟基甲苯（BHT）（以油脂中的含量计）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特丁基对苯二酚（TBHQ）（以油脂中的含量计）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调味品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酱油</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酱油</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酿造酱油、配制酱油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氨基酸态氮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2070</w:t>
            </w: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铵盐（以占氨基酸态氮的百分比计）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3-氯-1,2-丙二醇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对羟基苯甲酸酯类及其钠盐（以对羟基苯甲酸计）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食醋</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食醋</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酿造食醋、配制食醋</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总酸（以乙酸计）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游离矿酸</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对羟基苯甲酸酯类及其钠盐（以对羟基苯甲酸计）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阿斯巴甜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酱类</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酱类</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黄豆酱、甜面酱等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氨基酸态氮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1520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调味料酒</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调味料酒</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料酒</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香辛料类</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香辛料类</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香辛料调味油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罗丹明B</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苏丹红I-IV</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丁基羟基茴香醚（BHA）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二丁基羟基甲苯（BHT）</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特丁基对苯二酚（TBHQ）</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辣椒、花椒、辣椒粉、花椒粉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马拉硫磷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罗丹明B</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苏丹红I-IV</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香辛料酱（芥末酱、青芥酱等）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410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其他香辛料调味品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苏丹红I-IV</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调味料</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固体复合调味料</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鸡粉、鸡精调味料</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谷氨酸钠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1020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呈味核苷酸二钠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阿斯巴甜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其他固体调味料</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1120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苏丹红I-IV</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阿斯巴甜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调味品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调味料</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半固体复合调味料</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蛋黄酱、沙拉酱</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纳他霉素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坚果与籽类的泥（酱），包括花生酱等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935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辣椒酱</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1495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1545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苏丹红I-IV</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阿斯巴甜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火锅底料、麻辣烫底料及蘸料</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苏丹红I-IV</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副溶血性弧菌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其他半固体调味料</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1720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苏丹红I-IV</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阿斯巴甜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副溶血性弧菌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液体复合调味料</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蚝油、虾油、鱼露</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1445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1495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副溶血性弧菌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其他液体调味料</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1855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1905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阿斯巴甜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副溶血性弧菌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味精</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味精</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味精</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谷氨酸钠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234</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284</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72</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72</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肉制品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预制肉制品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调理肉制品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调理肉制品</w:t>
            </w:r>
            <w:r>
              <w:rPr>
                <w:rFonts w:hint="eastAsia"/>
                <w:lang w:val="en-US" w:eastAsia="zh-CN"/>
              </w:rPr>
              <w:br w:type="textWrapping"/>
            </w:r>
            <w:r>
              <w:rPr>
                <w:rFonts w:hint="eastAsia"/>
                <w:lang w:val="en-US" w:eastAsia="zh-CN"/>
              </w:rPr>
              <w:t>（非速冻）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72</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252</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302</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腌腊肉制品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腌腊肉制品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三甲胺氮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1455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N-二甲基亚硝胺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亚硝酸盐（以亚硝酸钠计）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胭脂红</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熟肉制品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发酵肉制品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发酵肉制品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1705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1755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亚硝酸盐（以亚硝酸钠计）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胭脂红</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单核细胞增生李斯特氏菌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大肠埃希氏菌O157:H7</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酱卤肉制品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酱卤肉制品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2490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2540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酸性橙Ⅱ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亚硝酸盐（以亚硝酸钠计）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胭脂红</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单核细胞增生李斯特氏菌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大肠埃希氏菌O157:H7</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熟肉干制品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熟肉干制品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1830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1880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单核细胞增生李斯特氏菌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大肠埃希氏菌O157:H7</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熏烧烤肉制品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熏烧烤肉制品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苯并[a]芘</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1550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1600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N-二甲基亚硝胺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亚硝酸盐（以亚硝酸钠计）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单核细胞增生李斯特氏菌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大肠埃希氏菌O157:H7</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熏煮香肠火腿制品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熏煮香肠火腿制品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2030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2080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亚硝酸盐（以亚硝酸钠计）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单核细胞增生李斯特氏菌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大肠埃希氏菌O157:H7</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乳制品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乳制品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液体乳</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巴氏杀菌乳</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1545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1595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地塞米松</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灭菌乳</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脂肪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1220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非脂乳固体</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地塞米松</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发酵乳</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脂肪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1645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1695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非脂乳固体</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乳酸菌数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酵母</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调制乳</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脂肪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乳清粉和乳清蛋白粉（企业原料）</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脱盐乳清粉、非脱盐乳清粉、浓缩乳清蛋白粉、分离乳清蛋白粉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925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975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乳粉</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全脂乳粉、脱脂乳粉、部分脱脂乳粉、调制乳粉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脂肪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1620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亚硝酸盐(以NaNO2计)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其他乳制品(炼乳、奶油、干酪、固态成型产品)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淡炼乳、加糖炼乳和调制炼乳</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1650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1700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脂肪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乳固体</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干酪(奶酪)</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1435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单核细胞增生李斯特氏菌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酵母</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再制干酪</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脂肪（干物中）</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1820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1870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干物质含量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单核细胞增生李斯特氏菌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酵母</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奶片、奶条等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稀奶油、奶油和无水奶油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1550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1600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脂肪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非脂乳固体</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饮料</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饮料</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包装饮用水</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饮用天然矿泉水</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界限指标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镍（以Ni计）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溴酸盐</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硝酸盐(以NO3 -计)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亚硝酸盐(以NO2-计)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粪链球菌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产气荚膜梭菌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铜绿假单胞菌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饮用纯净水</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耗氧量(以O2计)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650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亚硝酸盐(以NO2-计)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余氯(游离氯)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三氯甲烷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溴酸盐</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铜绿假单胞菌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其他饮用水</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浑浊度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750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800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耗氧量(以O2计)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亚硝酸盐(以NO2-计)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余氯(游离氯)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三氯甲烷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溴酸盐</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挥发性酚(以苯酚计)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铜绿假单胞菌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果、蔬汁饮料</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果、蔬汁饮料</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2285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2335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展青霉素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纳他霉素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安赛蜜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144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合成着色剂（赤藓红、酸性红、苋菜红、新红、胭脂红、柠檬黄、日落黄、亮蓝）</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酵母</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蛋白饮料</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蛋白饮料</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棕榈烯酸/总脂肪酸</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2500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2550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亚麻酸/总脂肪酸</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花生酸/总脂肪酸</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山嵛酸/总脂肪酸</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油酸/总脂肪酸</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亚油酸/总脂肪酸</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（花生酸+山嵛酸）/总脂肪酸</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酵母</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碳酸饮料 (汽水)</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碳酸饮料 (汽水)</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二氧化碳气容量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1175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1225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酵母</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茶饮料</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茶饮料</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茶多酚</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975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1025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咖啡因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固体饮料</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固体饮料</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赭曲霉毒素A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安赛蜜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合成着色剂（苋菜红、胭脂红、柠檬黄、日落黄、亮蓝）</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其他饮料</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其他饮料</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1750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安赛蜜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120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合成着色剂（赤藓红、苋菜红、新红、胭脂红、柠檬黄、日落黄、亮蓝）</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酵母</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方便食品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方便食品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方便面</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油炸面、非油炸面、方便米粉（米线）、方便粉丝</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865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915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调味面制品a</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调味面制品a</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1650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富马酸二甲酯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其他方便食品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方便粥、方便盒饭、冷面及其他熟制方便食品等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1760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饼干</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饼干</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饼干</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饼干</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1685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铝的残留量(干样品，以Al计)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罐头</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罐头</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畜禽水产罐头</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畜禽肉类罐头</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980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1030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亚硝酸盐（以亚硝酸钠计）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水产动物类罐头</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组胺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1310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无机砷（以As计）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甲基汞（以Hg计）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果蔬罐头</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水果类罐头</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锡（以Sn计）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1385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展青霉素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144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合成着色剂（柠檬黄、日落黄、苋菜红、胭脂红、赤藓红、诱惑红、亮蓝、靛蓝）</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阿斯巴甜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蔬菜类罐头</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1150</w:t>
            </w: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阿斯巴甜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乙二胺四乙酸二钠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霉菌计数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食用菌罐头</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1065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1115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总汞（以Hg计）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乙二胺四乙酸二钠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其他罐头</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其他罐头</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1235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阿斯巴甜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乙二胺四乙酸二钠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冷冻饮品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冷冻饮品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冷冻饮品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冰淇淋、雪糕、雪泥、冰棍、食用冰、甜味冰、其他类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1135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11</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速冻食品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速冻面米食品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速冻面米食品</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水饺、元宵</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260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包子、馒头等熟制品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850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速冻其他食品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速冻谷物食品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玉米等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速冻肉制品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速冻调理肉制品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615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665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胭脂红</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速冻水产制品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速冻水产制品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475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525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N-二甲基亚硝胺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速冻蔬菜制品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速冻蔬菜制品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485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速冻水果制品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速冻水果制品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1075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1125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阿斯巴甜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 xml:space="preserve">大肠埃希氏菌O157:H7 </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薯类和膨化食品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薯类和膨化食品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膨化食品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含油型膨化食品和非含油型膨化食品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1425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1475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薯类食品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干制薯类（马铃薯片）</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935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干制薯类（除马铃薯片外）</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535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冷冻薯类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薯泥（酱）类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810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薯粉类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535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薯类和膨化食品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薯类和膨化食品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薯类食品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13</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糖果制品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糖果制品 (含巧克力及制 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835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合成着色剂(柠檬黄、苋菜红、胭脂红、日落黄）</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相同色泽着色剂混合使用时各自用量占其最大使用量的比例之和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巧克力及巧克力制品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巧克力、巧克力制品、代可可脂巧克力及代可可脂巧克力制品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395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445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果冻</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果冻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1085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酵母</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14</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茶叶及相关制品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茶叶</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茶叶</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绿茶、红茶、乌龙茶、黄茶、白茶、黑茶、花茶、袋泡茶</w:t>
            </w:r>
            <w:r>
              <w:rPr>
                <w:rFonts w:hint="eastAsia"/>
                <w:lang w:val="en-US" w:eastAsia="zh-CN"/>
              </w:rPr>
              <w:br w:type="textWrapping"/>
            </w:r>
            <w:r>
              <w:rPr>
                <w:rFonts w:hint="eastAsia"/>
                <w:lang w:val="en-US" w:eastAsia="zh-CN"/>
              </w:rPr>
              <w:t>、紧压茶</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1926</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1976</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吡虫啉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草甘膦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除虫脲</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联苯菊酯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滴滴涕</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三氯杀螨醇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吡蚜酮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特丁硫磷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茚虫威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茶叶</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砖茶</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黑砖茶、花砖茶、茯砖茶、康砖茶、金尖茶、青砖茶、米砖茶等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2061</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2111</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吡虫啉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除虫脲</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哒螨灵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硫丹</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噻虫嗪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噻嗪酮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杀螟丹</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三氯杀螨醇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吡蚜酮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特丁硫磷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茚虫威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含茶制品和代用茶</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含茶制品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速溶茶类、其它含茶制品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代用茶</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代用茶</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72</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162</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212</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酒类</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蒸馏酒</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白酒</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白酒、白酒（液态）、白酒（原 酒）</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酒精度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氰化物(以HCN计)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三氯蔗糖</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发酵酒</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黄酒</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黄酒</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酒精度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785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三氯蔗糖</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啤酒</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啤酒</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酒精度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甲醛</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警示语标注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葡萄酒</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葡萄酒</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酒精度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1385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赭曲霉毒素A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纳他霉素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三氯蔗糖</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果酒</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果酒</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酒精度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展青霉素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三氯蔗糖</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其他酒</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其他发酵酒</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其他发酵酒</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酒精度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485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配制酒</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以蒸馏酒及食用酒精为酒基的配制酒</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酒精度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735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氰化物(以HCN计)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以发酵酒为酒基的配制酒</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酒精度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其他蒸馏酒</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其他蒸馏酒</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酒精度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氰化物(以HCN计)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16</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蔬菜制品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蔬菜制品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酱腌菜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酱腌菜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2060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亚硝酸盐（以NaNO2计）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阿斯巴甜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纽甜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三氯蔗糖</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苏丹红I-IV</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蔬菜干制品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自然干制品、热风干燥蔬菜、冷冻干燥蔬菜、蔬菜脆片、蔬菜粉及制品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1085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苏丹红I-IV</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阿斯巴甜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食用菌制品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干制食用菌</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315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总汞（以Hg计）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腌渍食用菌</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915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965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总汞（以Hg计）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三氯蔗糖</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其他蔬菜制品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其他蔬菜制品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485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水果制品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水果制品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蜜饯</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蜜饯类、凉果类、果脯类、话化类、果糕类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2260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展青霉素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合成着色剂（亮蓝、柠檬黄、日落黄、苋菜红、胭脂红）</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相同色泽着色剂混合使用时各自用量占其最大使用量的比例之和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乙二胺四乙酸二钠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水果干制品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水果干制品 (含干枸杞)</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1910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1960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展青霉素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吡虫啉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果酱</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果酱</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展青霉素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1825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1875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18</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炒货食品及坚果制品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炒货食品及坚果制品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炒货食品及坚果制品（ 烘炒类、油炸类、其他类）</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开心果、杏仁、松仁、瓜子</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1585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三氯蔗糖</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纽甜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其他炒货食品及坚果制品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1585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三氯蔗糖</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纽甜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19</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蛋制品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蛋制品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再制蛋</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再制蛋</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985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其他类</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985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干蛋类</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干蛋类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835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冰蛋类</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冰蛋类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835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可可及焙烤咖啡产品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焙炒咖啡</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焙炒咖啡</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焙炒咖啡</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咖啡因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赭曲霉毒素A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可可制品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可可制品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可可制品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420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21</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食糖</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食糖</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食糖</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白砂糖</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蔗糖分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520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还原糖分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色值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绵白糖</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蔗糖分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520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还原糖分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色值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赤砂糖</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不溶于水杂质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红糖</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不溶于水杂质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冰糖</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蔗糖分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520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还原糖分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色值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21</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食糖</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食糖</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食糖</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冰片糖</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还原糖分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方糖</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蔗糖分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520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还原糖分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色值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其他糖</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蔗糖分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620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还原糖分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色值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22</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水产制品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水产制品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干制水产品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藻类干制品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1235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副溶血性弧菌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预制动物性水产干制品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585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N-二甲基亚硝胺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盐渍水产品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盐渍鱼</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785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组胺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N-二甲基亚硝胺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盐渍藻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310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其他盐渍水产品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N-二甲基亚硝胺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鱼糜制品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预制鱼糜制品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N-二甲基亚硝胺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熟制动物性水产制品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熟制动物性水产制品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N-二甲基亚硝胺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苯并[a]芘</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副溶血性弧菌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生食水产品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生食动物性水产品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2135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2185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N-二甲基亚硝胺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苯并[a]芘</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铝的残留量（以即食海蜇中Al计）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副溶血性弧菌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吸虫囊蚴</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线虫幼虫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绦虫裂头蚴</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水生动物油脂及制品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水生动物油脂及制品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丁基羟基茴香醚（BHA）（以油脂中的含量计）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500</w:t>
            </w: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二丁基羟基甲苯（BHT）（以油脂中的含量计）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特丁基对苯二酚（TBHQ）（以油脂中的含量计）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没食子酸丙酯（PG）（以油脂中的含量计）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其他水产制品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其他水产制品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1445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1495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甲基汞（以Hg计）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无机砷（以As计）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N-二甲基亚硝胺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副溶血性弧菌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23</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淀粉及淀粉制品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淀粉及淀粉制品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淀粉</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淀粉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霉菌/霉菌和酵母</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淀粉制品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粉丝粉条</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985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铝的残留量（干样品，以Al计）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其他淀粉制品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985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铝的残留量（干样品，以Al计）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淀粉糖</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淀粉糖</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285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24</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糕点</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糕点</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糕点</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糕点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2368</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2418</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48</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富马酸二甲酯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苏丹红I-IV</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安赛蜜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铝的残留量（干样品，以Al计）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丙酸及其钠盐、钙盐(以丙酸计)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纳他霉素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三氯蔗糖</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丙二醇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140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140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140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140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140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月饼</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月饼</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2150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2200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富马酸二甲酯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苏丹红I-IV</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铝的残留量（干样品，以Al计）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丙酸及其钠盐钙盐</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纳他霉素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粽子</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粽子</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粽子</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苏丹红I-IV</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1625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1675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安赛蜜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豆制品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豆制品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发酵性豆制品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腐乳、豆豉、纳豆等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1535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甜蜜素(以环己基氨基磺酸计)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铝的残留量（干样品，以Al计）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非发酵性豆制品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豆干、豆腐、豆皮等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脲酶试验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丙酸及其钠盐、钙盐（以丙酸计）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防腐剂混合使用时各自用量占其最大使用量的比例之和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三氯蔗糖</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铝的残留量（干样品，以Al计）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腐竹、油皮</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1410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三氯蔗糖</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铝的残留量（干样品，以Al计）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其他豆制品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大豆蛋白类制品等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1235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脱氢乙酸及其钠盐（以脱氢乙酸计）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三氯蔗糖</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铝的残留量（干样品，以Al计）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26</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蜂产品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蜂产品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蜂蜜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蜂蜜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果糖和葡萄糖</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1385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1435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蔗糖</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喹诺酮类（洛美沙星、培氟沙星、氧氟沙星、诺氟沙星）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霉菌计数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嗜渗酵母计数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蜂王浆（含蜂王浆冻干粉）</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蜂王浆（含蜂王浆冻干粉）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10-羟基-2-癸烯酸</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350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400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总糖分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蜂花粉</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蜂花粉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750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蜂产品制品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蜂产品制品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935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985</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霉菌计数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酵母计数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27</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保健食品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保健食品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保健食品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保健食品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功效/标志性成分</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水分</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可溶性固形物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崩解时限</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铅（Pb）</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总砷（As）</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总汞（以Hg计）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胶囊壳中的铬</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西布曲明</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N-单去甲基西布曲明</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N，N-双去甲基西布曲明</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麻黄碱</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芬氟拉明</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酚酞</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甲苯磺丁脲</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格列本脲</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格列齐特</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格列吡嗪</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格列喹酮</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格列美脲</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马来酸罗格列酮</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瑞格列奈</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盐酸吡格列酮</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盐酸二甲双胍</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盐酸苯乙双胍</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盐酸丁二胍</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格列波脲</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那红地那非</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红地那非</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伐地那非</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羟基豪莫西地那非</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西地那非</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豪莫西地那非</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氨基他达拉非</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他达拉非</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硫代艾地那非</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伪伐地那非</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那莫西地那非</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地西泮</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硝西泮</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氯硝西泮</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氯氮卓</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奥沙西泮</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马来酸咪哒唑仑</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劳拉西泮</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艾司唑仑</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阿普唑仑</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三唑仑</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巴比妥</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苯巴比妥</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异戊巴比妥</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司可巴比妥</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氯美扎酮</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佐匹克隆</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氯苯那敏</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扎来普隆</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文拉法辛</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青藤碱</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罗通定</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阿替洛尔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盐酸可乐定</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氢氯噻嗪</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卡托普利</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哌唑嗪</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利血平</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硝苯地平</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氨氯地平</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尼群地平</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尼莫地平</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尼索地平</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非洛地平</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霉菌和酵母</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28</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特殊膳食食品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婴幼儿辅助食品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婴幼儿谷类辅助食品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婴幼儿谷物辅助食品、婴幼儿高蛋白谷物辅助食品、婴幼儿生制类谷物辅助食品、婴幼儿饼干或其他婴幼儿谷物辅助食品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能量</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脂肪</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亚油酸/总脂肪酸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月桂酸占总脂肪的比值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肉豆蔻酸占总脂肪的比值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维生素A</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维生素D</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钙</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铁</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维生素E</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维生素B2</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维生素B6</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维生素B12</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烟酸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叶酸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泛酸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维生素C</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生物素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磷</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碘</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钾</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水分</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不溶性膳食纤维</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脲酶活性定性测定</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无机砷（以As计）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锡（以Sn计）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硝酸盐（以NaNO3计）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亚硝酸盐（以NaNO2计）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二十二碳六烯酸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花生四烯酸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婴幼儿罐装辅助食品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泥（糊）状罐装食品、颗粒状罐装食品、汁类罐装食品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脂肪</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无机砷（以As计）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总汞（以Hg计）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锡（以Sn计）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硝酸盐（以NaNO3计）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亚硝酸盐（以NaNO2计）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霉菌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28</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特殊膳食食品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营养补充品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营养补充品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辅食营养素补充食品、辅食营养素补充片、辅食营养素撒剂</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钙</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铁</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维生素A</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维生素D</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维生素B2</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维生素K1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维生素B6</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叶酸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维生素B12</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泛酸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胆碱</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生物素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维生素C</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二十二碳六烯酸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脲酶活性定性</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硝酸盐（以NaNO3计）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亚硝酸盐（以NaNO2计）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孕妇及乳母营养补充食品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铁</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维生素A</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维生素D</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叶酸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维生素B12</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钙</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镁</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硒</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维生素E</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维生素K</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维生素B1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维生素 B2</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维生素B6</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烟酸（烟酰胺）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泛酸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胆碱</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生物素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维生素C</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二十二碳六烯酸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脲酶活性定性</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硝酸盐（以NaNO3计）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亚硝酸盐（以NaNO2计）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黄曲霉毒素M1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 xml:space="preserve"> 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29</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特殊医学用途配方食品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特殊医学用途配方食品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特殊医学用途婴儿配方食品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特殊医学用途婴儿配方食品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脂肪</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亚油酸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α-亚麻酸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亚油酸与α-亚麻酸比值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120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终产品脂肪中月桂酸和肉豆蔻酸（十四烷酸）总量与总脂肪酸的比值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芥酸与总脂肪酸比值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反式脂肪酸最高含量与总脂肪酸比值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碳水化合物</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维生素A</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维生素D</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维生素E</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维生素K1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维生素B2</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维生素B6</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维生素B12</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烟酸（烟酰胺）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叶酸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泛酸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维生素C</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生物素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钾</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铜</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镁</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铁</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锰</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钙</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磷</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钙磷比值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碘</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硒</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胆碱</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肌醇</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牛磺酸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二十二碳六烯酸与总脂肪酸比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二十碳四烯酸与总脂肪酸比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二十二碳六烯酸（22:6n-3）与二十碳四烯酸（20:4n-6）的比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120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长链不饱和脂肪酸中二十碳五烯酸（20:5n-3）的量与二十二碳六烯酸的量的比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二十二碳六烯酸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二十碳四烯酸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水分</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灰分</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杂质度</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脲酶活性定性测定</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核苷酸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叶黄素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硝酸盐（以NaNO3计）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亚硝酸盐（以NaNO2计）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阪崎肠杆菌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果聚糖</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特殊医学用途配方食品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全营养配方食品、特定全营养配方食品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亚油酸供能比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α-亚麻酸供能比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维生素A</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维生素D</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维生素E</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维生素K1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维生素B2</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维生素B6</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维生素B12</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烟酸（烟酰胺）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叶酸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泛酸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维生素C</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生物素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钾</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铜</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镁</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铁</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锰</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钙</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磷</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碘</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硒</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胆碱</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肌醇</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牛磺酸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左旋肉碱</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二十二碳六烯酸与总脂肪酸比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二十碳四烯酸与总脂肪酸比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二十二碳六烯酸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二十碳四烯酸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核苷酸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黄曲霉毒素M1或黄曲霉毒素B1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硝酸盐（以NaNO3计）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亚硝酸盐（以NaNO2计）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商业无菌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婴幼儿配方食品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婴幼儿配方食品</w:t>
            </w:r>
            <w:r>
              <w:rPr>
                <w:rFonts w:hint="eastAsia"/>
                <w:lang w:val="en-US" w:eastAsia="zh-CN"/>
              </w:rPr>
              <w:br w:type="textWrapping"/>
            </w:r>
            <w:r>
              <w:rPr>
                <w:rFonts w:hint="eastAsia"/>
                <w:lang w:val="en-US" w:eastAsia="zh-CN"/>
              </w:rPr>
              <w:t>（湿法工艺、干法工艺、干湿法混合工艺）</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婴儿配方食品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乳基婴儿配方食品、豆基婴儿配方食品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脂肪</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碳水化合物</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乳糖占碳水化合物总量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亚油酸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α-亚麻酸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亚油酸与α-亚麻酸比值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120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终产品脂肪中月桂酸和肉豆蔻酸（十四烷酸）总量占总脂肪酸的比值量</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芥酸与总脂肪酸比值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反式脂肪酸与总脂肪酸比值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维生素A</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维生素D</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维生素E</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维生素K1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维生素B2</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维生素B6</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维生素B12</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烟酸（烟酰胺）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叶酸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泛酸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维生素C</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生物素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钾</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铜</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镁</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铁</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锰</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钙</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磷</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钙磷比值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碘</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硒</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胆碱</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肌醇</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牛磺酸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左旋肉碱</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二十二碳六烯酸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二十碳四烯酸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二十二碳六烯酸与总脂肪酸比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二十碳四烯酸与总脂肪酸比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二十二碳六烯酸（22:6n-3）与二十碳四烯酸（20:4n-6）的比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120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长链不饱和脂肪酸中二十碳五烯酸（20:5n-3）的量与二十二碳六烯酸的量的比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叶黄素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核苷酸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水分</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灰分</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杂质度</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果聚糖</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黄曲霉毒素M1或黄曲霉毒素B1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硝酸盐（以NaNO3计）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亚硝酸盐（以NaNO2计）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脲酶活性定性测定</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金黄色葡萄球菌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阪崎肠杆菌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婴幼儿配方食品（湿法工艺、干法工艺、干湿法混合工艺）</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较大婴儿和幼儿配方食品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乳基较大婴儿和幼儿配方食品、豆基较大婴儿和幼儿配方食品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蛋白质</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脂肪</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亚油酸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维生素A</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维生素D</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维生素E</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维生素K1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维生素B2</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维生素B6</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维生素B12</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烟酸（烟酰胺）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叶酸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泛酸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维生素C</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生物素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钾</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铜</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镁</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铁</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锰</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钙</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磷</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钙磷比值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碘</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硒</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胆碱</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肌醇</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牛磺酸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左旋肉碱</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二十二碳六烯酸与总脂肪酸比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二十碳四烯酸与总脂肪酸比</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二十二碳六烯酸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二十碳四烯酸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反式脂肪酸与总脂肪酸比值</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水分</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灰分</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杂质度</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叶黄素</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核苷酸</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果聚糖</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黄曲霉毒素M1或黄曲霉毒素B1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硝酸盐（以NaNO3计）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亚硝酸盐（以NaNO2计）</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脲酶活性定性测定</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三聚氰胺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31</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餐饮食品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米面及其制品(自制)</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小麦粉制品(自制)</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发酵面制品 (自制)</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350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油炸面制品 (自制)</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铝的残留量（干样品，以Al计）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肉制品 (自制)</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熟肉制品 (自制)</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酱卤肉制品、肉灌肠、其他熟肉 (自制)</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胭脂红</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450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亚硝酸盐(以亚硝酸钠计)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苯甲酸及其钠盐(以苯甲酸计)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山梨酸及其钾盐(以山梨酸计)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肉冻、皮冻 (自制)</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铬(以Cr计)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120</w:t>
            </w: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复合调味料(自制)</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半固态调味料(自制)</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火锅调味料 (底料、蘸料)(自制)</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罂粟碱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750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800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吗啡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可待因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那可丁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蒂巴因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31</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餐饮食品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水产及水产制品（餐饮）</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水产及水产制品（餐饮）</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生食动物性水产品（餐饮）</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吸虫囊蚴</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线虫幼虫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绦虫裂头蚴</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坚果及籽类食品（餐饮）</w:t>
            </w:r>
          </w:p>
        </w:tc>
        <w:tc>
          <w:tcPr>
            <w:tcW w:w="7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坚果及籽类食品（餐饮）</w:t>
            </w:r>
          </w:p>
        </w:tc>
        <w:tc>
          <w:tcPr>
            <w:tcW w:w="8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花生及其制品（餐饮)</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240</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240</w:t>
            </w:r>
          </w:p>
        </w:tc>
        <w:tc>
          <w:tcPr>
            <w:tcW w:w="6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290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餐饮具</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复用餐饮具</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复用餐饮具</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475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525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游离性余氯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阴离子合成洗涤剂（以十二烷基苯磺酸钠计）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沙门氏菌</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32</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食品添加剂</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食品添加剂</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增稠剂</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明胶</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凝冻强度（6.67%）</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430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480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铬（Cr）</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铅（Pb）</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总砷（As）</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复配食品添加剂</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复配膨松剂</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重金属（以Pb计）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72</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234</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284</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砷（As）</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72</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溴酸钾</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复配食品添加剂（用于小麦粉）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铅（Pb）</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395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445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溴酸钾</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致病性微生物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复配食品添加剂（其他）</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铅（Pb）</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致病性微生物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食品用香精</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食品用香精</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重金属（以Pb计）含量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470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520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砷（以As计）含量/无机砷含量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菌落总数</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防腐剂</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山梨酸钾</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山梨酸钾（以C6H7KO2计）（以干基计）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280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330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重金属（以Pb计）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铅（Pb）</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砷（As）</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甜味剂</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木糖醇</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木糖醇含量（以干基计）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370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还原糖（以葡萄糖计）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铅（Pb）</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镍（Ni）</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33</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食盐</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食盐</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食盐</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食盐</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氯化钠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氯化钾</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碘（以I计）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钡（以Ba计）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镉（以Cd计）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总汞(以Hg计)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亚硝酸盐</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亚铁氰化钾（以亚铁氰根计）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34</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食用农产品</w:t>
            </w: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畜禽肉及副产品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畜肉</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猪肉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2190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2240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克伦特罗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沙丁胺醇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莱克多巴胺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特布他林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多西环素(强力霉素）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氯丙嗪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270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喹乙醇代谢物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利巴韦林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牛肉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2100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2150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克伦特罗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沙丁胺醇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莱克多巴胺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特布他林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多西环素(强力霉素）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地塞米松</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林可霉素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270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羊肉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2046</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2096</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克伦特罗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沙丁胺醇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莱克多巴胺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特布他林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达氟沙星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氟甲喹</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270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其他畜肉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2440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2490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克伦特罗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沙丁胺醇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莱克多巴胺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特布他林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禽肉</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鸡肉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2510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多西环素(强力霉素）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四环素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沙拉沙星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270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替米考星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尼卡巴嗪残留标志物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金刚烷胺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金刚乙胺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利巴韦林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鸭肉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多西环素(强力霉素）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四环素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其他禽肉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多西环素(强力霉素）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四环素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畜副产品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猪肝</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1872</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1922</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克伦特罗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沙丁胺醇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莱克多巴胺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特布他林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多西环素(强力霉素）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270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牛肝</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克伦特罗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2450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沙丁胺醇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莱克多巴胺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特布他林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多西环素(强力霉素）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羊肝</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48</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2328</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2378</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克伦特罗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沙丁胺醇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莱克多巴胺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特布他林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猪肾</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克伦特罗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2450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沙丁胺醇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莱克多巴胺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特布他林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多西环素(强力霉素）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牛肾</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克伦特罗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2400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2450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沙丁胺醇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莱克多巴胺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特布他林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多西环素(强力霉素）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羊肾</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48</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2328</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2378</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克伦特罗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沙丁胺醇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莱克多巴胺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特布他林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其他畜副产品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克伦特罗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2550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2600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沙丁胺醇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莱克多巴胺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特布他林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禽副产品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鸡肝</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总汞（以Hg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2530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2580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 Cr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替米考星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金刚烷胺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金刚乙胺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利巴韦林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其他禽副产品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 Cr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蔬菜</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豆芽</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豆芽</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680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730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 Cr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亚硫酸盐（以 SO2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6-苄基腺嘌呤（6-BA）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4-氯苯氧乙酸钠（以 4-氯苯氧乙酸计）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鲜食用菌</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鲜食用菌</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615</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665</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总砷（以As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总汞（以Hg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氯氟氰菊酯和高效氯氟氰菊酯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氟氯氰菊酯和高效氟氯氰菊酯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鳞茎类蔬菜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韭菜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敌敌畏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对硫磷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二甲戊灵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腐霉利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氯氟氰菊酯和高效氯氟氰菊酯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内吸磷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芸薹属类蔬菜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结球甘蓝</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哒螨灵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氟吡甲禾灵和高效氟吡甲禾灵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甲氨基阿维菌素苯甲酸盐</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甲基异柳磷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噻虫胺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噻虫啉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肟菌酯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花椰菜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氟酰脲</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甲霜灵和精甲霜灵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菜薹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2220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2270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敌敌畏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对硫磷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甲基对硫磷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甲基异柳磷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甲萘威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联苯菊酯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咪鲜胺和咪鲜胺锰盐</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杀螟硫磷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涕灭威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乙酰甲胺磷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叶菜类蔬菜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菠菜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二嗪磷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伏杀硫磷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甲霜灵和精甲霜灵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芹菜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1820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1870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百菌清</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氯氟氰菊酯和高效氯氟氰菊酯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肟菌酯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普通白菜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丙溴磷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虫螨腈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虫酰肼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甲氨基阿维菌素苯甲酸盐</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久效磷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内吸磷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叶菜类蔬菜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油麦菜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48</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2256</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2306</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48</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虫酰肼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对硫磷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甲基对硫磷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甲基硫环磷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甲基异柳磷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甲萘威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久效磷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硫环磷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内吸磷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杀螟硫磷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涕灭威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乙酰甲胺磷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大白菜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3252</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3302</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百菌清</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吡虫啉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吡唑醚菌酯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虫螨腈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虫酰肼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除虫脲</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敌敌畏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对硫磷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二嗪磷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伏杀硫磷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氟胺氰菊酯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氟苯脲</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氟啶脲</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氟氯氰菊酯和高效氟氯氰菊酯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甲氨基阿维菌素苯甲酸盐</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甲基硫环磷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甲基异柳磷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甲萘威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久效磷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氯氟氰菊酯和高效氯氟氰菊酯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马拉硫磷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醚菊酯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内吸磷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炔螨特</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杀螟丹</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杀螟硫磷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涕灭威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亚胺硫磷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乙酰甲胺磷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唑虫酰胺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茄果类蔬菜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茄子</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2220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2270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内吸磷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噻虫啉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噻螨酮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肟菌酯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唑螨酯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辣椒</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2120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2170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吡唑醚菌酯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虫酰肼</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甲霜灵和精甲霜灵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咪鲜胺和咪鲜胺锰盐</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内吸磷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唑螨酯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番茄</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苯酰菌胺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啶氧菌酯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甲氨基阿维菌素苯甲酸盐</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氯氟氰菊酯和高效氯氟氰菊酯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噻虫胺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双甲脒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肟菌酯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乙霉威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唑螨酯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甜椒</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2982</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3032</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敌敌畏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对硫磷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二嗪磷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粉唑醇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氟酰脲</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甲苯氟磺胺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甲基对硫磷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甲基硫环磷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甲基硫菌灵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甲基异柳磷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甲萘威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久效磷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抗蚜威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联苯肼酯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氯苯嘧啶醇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氯氟氰菊酯和高效氯氟氰菊酯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嘧菌环胺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内吸磷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噻虫啉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三唑酮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杀螟硫磷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杀线威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霜霉威和霜霉威盐酸盐</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涕灭威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五氯硝基苯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烯酰吗啉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乙酰甲胺磷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肟菌酯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唑螨酯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瓜类蔬菜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48</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2336</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2386</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48</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吡虫啉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吡唑醚菌酯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哒螨灵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呋虫胺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甲氨基阿维菌素苯甲酸盐</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甲霜灵和精甲霜灵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腈苯唑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腈菌唑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联苯肼酯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醚菌酯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内吸磷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噻虫啉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杀线威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四螨嗪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乙霉威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唑螨酯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豆类蔬菜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豇豆</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1920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1970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甲基异柳磷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联苯肼酯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灭蝇胺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内吸磷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菜豆</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1920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1970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联苯肼酯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嘧霉胺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灭蝇胺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内吸磷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溴螨酯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根茎类和薯芋类蔬菜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山药</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1992</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2042</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对硫磷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甲基对硫磷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甲基硫环磷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甲基异柳磷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甲萘威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久效磷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联苯菊酯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硫环磷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氯氟氰菊酯和高效氯氟氰菊酯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马拉硫磷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内吸磷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杀螟硫磷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涕灭威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乙酰甲胺磷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水产品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淡水产品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淡水鱼</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2406</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2456</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孔雀石绿</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甲砜霉素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四环素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330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地西泮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地美硝唑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洛硝哒唑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羟基甲硝唑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羟甲基甲硝咪唑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淡水虾</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2346</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2396</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孔雀石绿</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四环素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330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地西泮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地美硝唑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洛硝哒唑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羟基甲硝唑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羟甲基甲硝咪唑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淡水蟹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2316</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2366</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孔雀石绿</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四环素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330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地西泮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地美硝唑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洛硝哒唑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羟基甲硝唑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羟甲基甲硝咪唑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海水产品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海水鱼</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2526</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2576</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组胺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孔雀石绿</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甲砜霉素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四环素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330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地西泮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地美硝唑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洛硝哒唑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羟基甲硝唑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羟甲基甲硝咪唑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海水虾</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2391</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2441</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孔雀石绿</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四环素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330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地西泮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地美硝唑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洛硝哒唑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羟基甲硝唑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羟甲基甲硝咪唑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海水蟹</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2391</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2441</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孔雀石绿</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四环素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330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地西泮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地美硝唑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洛硝哒唑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羟基甲硝唑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羟甲基甲硝咪唑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五氯酚酸钠（以五氯酚计）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贝类</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贝类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挥发性盐基氮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2328</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2378</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无机砷（以 As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36</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孔雀石绿</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四环素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土霉素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磺胺类（总量）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330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地西泮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地美硝唑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洛硝哒唑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90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羟基甲硝唑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羟甲基甲硝咪唑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其他水产品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其他水产品</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1890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1940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甲基汞（以 Hg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无机砷（以 As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孔雀石绿</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水果类</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仁果类水果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苹果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2510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烯唑醇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四螨嗪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噻螨酮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螺螨酯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腈菌唑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甲基硫菌灵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氟氯氰菊酯和高效氟氯氰菊酯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氟虫脲</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啶酰菌胺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丙溴磷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吡唑醚菌酯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甲基异柳磷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对硫磷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敌敌畏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梨</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2560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2610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烯唑醇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四螨嗪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醚菌酯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氯氟氰菊酯和高效氯氟氰菊酯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腈菌唑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甲基硫菌灵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氟氯氰菊酯和高效氟氯氰菊酯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氟硅唑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敌敌畏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吡虫啉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百菌清</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甲基异柳磷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枇杷</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唑螨酯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杀螟硫磷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氯吡脲</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抗蚜威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甲基异柳磷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核果类水果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枣</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糖精钠（以糖精计）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桃</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抗蚜威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腈苯唑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吡唑醚菌酯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油桃</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抗蚜威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杏</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嘧霉胺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联苯三唑醇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抗蚜威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腈菌唑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腈苯唑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氟硅唑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樱桃</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李子</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抗蚜威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腈菌唑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柑橘类水果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柑、橘</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2410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抑霉唑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乙螨唑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四螨嗪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噻嗪酮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螺螨酯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联苯菊酯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氟氯氰菊酯和高效氟氯氰菊酯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丙溴磷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狄氏剂</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柚</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1960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2010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抑霉唑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乙螨唑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四螨嗪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噻嗪酮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联苯菊酯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氟氯氰菊酯和高效氟氯氰菊酯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丙溴磷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柠檬</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2160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2210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抑霉唑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乙螨唑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四螨嗪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噻嗪酮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螺螨酯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联苯菊酯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氟氯氰菊酯和高效氟氯氰菊酯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草甘膦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丙溴磷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狄氏剂</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橙</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48</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2288</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2338</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抑霉唑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乙螨唑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四螨嗪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三唑磷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噻嗪酮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氯氟氰菊酯和高效氯氟氰菊酯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螺螨酯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联苯菊酯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氟氯氰菊酯和高效氟氯氰菊酯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狄氏剂</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草甘膦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丙溴磷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氯吡脲</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80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浆果和其他小型水果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葡萄</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戊菌唑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嘧霉胺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氯吡脲</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甲霜灵和精甲霜灵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己唑醇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氟硅唑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啶酰菌胺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百菌清</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蓝莓</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氯氟氰菊酯和高效氯氟氰菊酯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甲基异柳磷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多杀霉素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敌敌畏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草甘膦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草莓</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烯酰吗啉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戊菌唑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醚菌酯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联苯菊酯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腐霉利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粉唑醇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啶酰菌胺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草甘膦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嘧霉胺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桑葚</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草甘膦</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久效磷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猕猴桃</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氯吡脲</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倍硫磷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久效磷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西番莲（百香果）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1560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氯氟氰菊酯和高效氯氟氰菊酯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克百威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对硫磷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敌敌畏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热带和亚热带水果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香蕉</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1670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烯唑醇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肟菌酯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腈菌唑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腈苯唑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百菌清</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吡唑醚菌酯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芒果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氧乐果</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嘧菌环胺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丙溴磷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吡唑醚菌酯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火龙果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久效磷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硫环磷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内吸磷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柿子</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960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水胺硫磷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甲基异柳磷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对硫磷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甲拌磷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菠萝</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莠灭净</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烯酰吗啉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二嗪磷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久效磷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硫环磷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内吸磷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荔枝</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1360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1410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溴氰菊酯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腈菌唑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甲霜灵和精甲霜灵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吡唑醚菌酯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乙酰甲胺磷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龙眼</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氯氰菊酯和高效氯氰菊酯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毒死蜱</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乙酰甲胺磷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石榴</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杀扑磷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氯唑磷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敌百虫</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久效磷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硫环磷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硫线磷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灭多威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内吸磷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瓜果类水果</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西瓜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1660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1710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肟菌酯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涕灭威</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嘧菌酯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咪鲜胺和咪鲜胺锰盐</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氯吡脲</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甲霜灵和精甲霜灵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甲基硫菌灵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啶氧菌酯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啶虫脒</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乙酰甲胺磷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噻虫嗪</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甜瓜类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1160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1210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辛硫磷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烯酰吗啉</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戊唑醇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氰戊菊酯和 S-氰戊菊酯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醚菌酯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啶酰菌胺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吡唑醚菌酯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阿维菌素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乙酰甲胺磷</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氯吡脲</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鲜蛋</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鲜蛋</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鸡蛋</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2510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2560</w:t>
            </w:r>
          </w:p>
        </w:tc>
      </w:tr>
      <w:tr>
        <w:tblPrEx>
          <w:tblLayout w:type="fixed"/>
          <w:tblCellMar>
            <w:top w:w="0" w:type="dxa"/>
            <w:left w:w="0" w:type="dxa"/>
            <w:bottom w:w="0" w:type="dxa"/>
            <w:right w:w="0" w:type="dxa"/>
          </w:tblCellMar>
        </w:tblPrEx>
        <w:trPr>
          <w:trHeight w:val="72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恩诺沙星（以恩诺沙星与环丙沙星之和计）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多西环素(强力霉素）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金刚烷胺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金刚乙胺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利巴韦林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氟虫腈（以氟虫腈、氟甲腈、氟虫腈砜、氟虫腈亚砜之和计）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其他禽蛋</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2210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2260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培氟沙星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氧氟沙星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诺氟沙星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洛美沙星</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氯霉素</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氟苯尼考</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呋喃它酮代谢物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呋喃唑酮代谢物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呋喃西林代谢物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呋喃妥因代谢物</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金刚烷胺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金刚乙胺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利巴韦林</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150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96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氟虫腈（以氟虫腈、氟甲腈、氟虫腈砜、氟虫腈亚砜之和计）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豆类</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豆类</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豆类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780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830</w:t>
            </w: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铬（以 Cr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赭曲霉毒素 A</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烯草酮</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丙炔氟草胺</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氯嘧磺隆</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氟磺胺草醚</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生干坚果与籽类食品</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生干坚果与籽类食品</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生干坚果</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760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810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唑螨酯</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生干籽类</w:t>
            </w: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酸价（以脂肪计）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1020</w:t>
            </w:r>
          </w:p>
        </w:tc>
        <w:tc>
          <w:tcPr>
            <w:tcW w:w="6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50</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1070</w:t>
            </w:r>
          </w:p>
        </w:tc>
      </w:tr>
      <w:tr>
        <w:tblPrEx>
          <w:tblLayout w:type="fixed"/>
          <w:tblCellMar>
            <w:top w:w="0" w:type="dxa"/>
            <w:left w:w="0" w:type="dxa"/>
            <w:bottom w:w="0" w:type="dxa"/>
            <w:right w:w="0" w:type="dxa"/>
          </w:tblCellMar>
        </w:tblPrEx>
        <w:trPr>
          <w:trHeight w:val="480"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过氧化值（以脂肪计）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铅（以Pb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镉（以 Cd 计）</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60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黄曲霉毒素 B1</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200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多菌灵</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苯醚甲环唑</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粉唑醇</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100</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二氧化硫残留量</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4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16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r>
              <w:rPr>
                <w:rFonts w:hint="eastAsia"/>
                <w:lang w:val="en-US" w:eastAsia="zh-CN"/>
              </w:rPr>
              <w:t>大肠菌群</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175</w:t>
            </w:r>
          </w:p>
        </w:tc>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6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2"/>
              <w:bidi w:val="0"/>
              <w:rPr>
                <w:rFonts w:hint="eastAsia"/>
              </w:rPr>
            </w:pPr>
          </w:p>
        </w:tc>
      </w:tr>
      <w:tr>
        <w:tblPrEx>
          <w:tblLayout w:type="fixed"/>
          <w:tblCellMar>
            <w:top w:w="0" w:type="dxa"/>
            <w:left w:w="0" w:type="dxa"/>
            <w:bottom w:w="0" w:type="dxa"/>
            <w:right w:w="0" w:type="dxa"/>
          </w:tblCellMar>
        </w:tblPrEx>
        <w:trPr>
          <w:trHeight w:val="285" w:hRule="atLeast"/>
        </w:trPr>
        <w:tc>
          <w:tcPr>
            <w:tcW w:w="7419"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投标细类单批次均价</w:t>
            </w: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1298.82元</w:t>
            </w:r>
          </w:p>
        </w:tc>
      </w:tr>
      <w:tr>
        <w:tblPrEx>
          <w:tblLayout w:type="fixed"/>
          <w:tblCellMar>
            <w:top w:w="0" w:type="dxa"/>
            <w:left w:w="0" w:type="dxa"/>
            <w:bottom w:w="0" w:type="dxa"/>
            <w:right w:w="0" w:type="dxa"/>
          </w:tblCellMar>
        </w:tblPrEx>
        <w:trPr>
          <w:trHeight w:val="285" w:hRule="atLeast"/>
        </w:trPr>
        <w:tc>
          <w:tcPr>
            <w:tcW w:w="8336" w:type="dxa"/>
            <w:gridSpan w:val="10"/>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2"/>
              <w:bidi w:val="0"/>
              <w:rPr>
                <w:rFonts w:hint="eastAsia"/>
              </w:rPr>
            </w:pPr>
            <w:r>
              <w:rPr>
                <w:rFonts w:hint="eastAsia"/>
                <w:lang w:val="en-US" w:eastAsia="zh-CN"/>
              </w:rPr>
              <w:t>合计：共报 250 个食品细类，占全259个食品细类的 96.53 %。</w:t>
            </w:r>
          </w:p>
        </w:tc>
      </w:tr>
    </w:tbl>
    <w:p>
      <w:pPr>
        <w:rPr>
          <w:rFonts w:hint="eastAsia"/>
        </w:rPr>
      </w:pPr>
      <w:r>
        <w:rPr>
          <w:rFonts w:hint="eastAsia"/>
        </w:rPr>
        <w:br w:type="page"/>
      </w:r>
    </w:p>
    <w:p>
      <w:pPr>
        <w:pStyle w:val="4"/>
        <w:jc w:val="center"/>
        <w:rPr>
          <w:rFonts w:hint="eastAsia"/>
        </w:rPr>
      </w:pPr>
      <w:r>
        <w:rPr>
          <w:rStyle w:val="13"/>
          <w:rFonts w:hint="eastAsia"/>
          <w:b/>
          <w:bCs/>
        </w:rPr>
        <w:t>服</w:t>
      </w:r>
      <w:r>
        <w:rPr>
          <w:rStyle w:val="13"/>
          <w:b/>
          <w:bCs/>
        </w:rPr>
        <w:t>务</w:t>
      </w:r>
      <w:r>
        <w:rPr>
          <w:rStyle w:val="13"/>
          <w:rFonts w:hint="eastAsia"/>
          <w:b/>
          <w:bCs/>
        </w:rPr>
        <w:t>承</w:t>
      </w:r>
      <w:r>
        <w:rPr>
          <w:rStyle w:val="13"/>
          <w:b/>
          <w:bCs/>
        </w:rPr>
        <w:t>诺</w:t>
      </w:r>
      <w:r>
        <w:rPr>
          <w:rStyle w:val="13"/>
          <w:rFonts w:hint="eastAsia"/>
          <w:b/>
          <w:bCs/>
        </w:rPr>
        <w:t>书</w:t>
      </w:r>
      <w:bookmarkEnd w:id="0"/>
    </w:p>
    <w:p>
      <w:pPr>
        <w:pStyle w:val="5"/>
      </w:pPr>
      <w:bookmarkStart w:id="1" w:name="_Toc7243"/>
      <w:r>
        <w:rPr>
          <w:rFonts w:hint="eastAsia"/>
          <w:lang w:val="en-US" w:eastAsia="zh-CN"/>
        </w:rPr>
        <w:t>1.</w:t>
      </w:r>
      <w:r>
        <w:rPr>
          <w:rFonts w:hint="eastAsia"/>
        </w:rPr>
        <w:t>相关服务承诺</w:t>
      </w:r>
      <w:bookmarkEnd w:id="1"/>
    </w:p>
    <w:p>
      <w:pPr>
        <w:ind w:firstLine="480"/>
      </w:pPr>
      <w:r>
        <w:rPr>
          <w:rFonts w:hint="eastAsia"/>
        </w:rPr>
        <w:t>中检中原公司承诺在本次</w:t>
      </w:r>
      <w:r>
        <w:rPr>
          <w:rFonts w:hint="eastAsia" w:ascii="仿宋" w:hAnsi="仿宋" w:cs="仿宋"/>
          <w:color w:val="000000"/>
          <w:kern w:val="0"/>
        </w:rPr>
        <w:t>禹州市市场监督管理局</w:t>
      </w:r>
      <w:r>
        <w:rPr>
          <w:rFonts w:hint="eastAsia" w:ascii="仿宋" w:hAnsi="仿宋" w:cs="仿宋"/>
        </w:rPr>
        <w:t>创建国家食品安全城食品抽样检测项目</w:t>
      </w:r>
      <w:r>
        <w:rPr>
          <w:rFonts w:hint="eastAsia"/>
        </w:rPr>
        <w:t>服务有效期内，为</w:t>
      </w:r>
      <w:r>
        <w:rPr>
          <w:rFonts w:hint="eastAsia" w:ascii="仿宋" w:hAnsi="仿宋" w:cs="仿宋"/>
          <w:color w:val="000000"/>
          <w:kern w:val="0"/>
        </w:rPr>
        <w:t>禹州市市场监督管理局</w:t>
      </w:r>
      <w:r>
        <w:rPr>
          <w:rFonts w:hint="eastAsia"/>
        </w:rPr>
        <w:t>提供提供咨询、食品安全风险评估、合理化建议及对本次</w:t>
      </w:r>
      <w:r>
        <w:rPr>
          <w:rFonts w:hint="eastAsia" w:ascii="仿宋" w:hAnsi="仿宋" w:cs="仿宋"/>
          <w:color w:val="000000"/>
          <w:kern w:val="0"/>
        </w:rPr>
        <w:t>禹州市市场监督管理局</w:t>
      </w:r>
      <w:r>
        <w:rPr>
          <w:rFonts w:hint="eastAsia" w:ascii="仿宋" w:hAnsi="仿宋" w:cs="仿宋"/>
        </w:rPr>
        <w:t>创建国家食品安全城食品抽样检测项目</w:t>
      </w:r>
      <w:r>
        <w:rPr>
          <w:rFonts w:hint="eastAsia"/>
        </w:rPr>
        <w:t>高度重视等全方位服务，承诺与</w:t>
      </w:r>
      <w:r>
        <w:rPr>
          <w:rFonts w:hint="eastAsia" w:ascii="仿宋" w:hAnsi="仿宋" w:cs="仿宋"/>
          <w:color w:val="000000"/>
          <w:kern w:val="0"/>
        </w:rPr>
        <w:t>禹州市市场监督管理局</w:t>
      </w:r>
      <w:r>
        <w:rPr>
          <w:rFonts w:hint="eastAsia"/>
        </w:rPr>
        <w:t>及相关单位建立定期或不定期的沟通服务。</w:t>
      </w:r>
    </w:p>
    <w:p>
      <w:pPr>
        <w:ind w:firstLine="480"/>
        <w:jc w:val="left"/>
      </w:pPr>
      <w:r>
        <w:rPr>
          <w:rFonts w:hint="eastAsia"/>
        </w:rPr>
        <w:t>特此承诺！</w:t>
      </w:r>
    </w:p>
    <w:p>
      <w:pPr>
        <w:ind w:firstLine="480"/>
        <w:jc w:val="right"/>
      </w:pPr>
      <w:r>
        <w:rPr>
          <w:rFonts w:hint="eastAsia"/>
        </w:rPr>
        <w:t>投标人：（盖章）中检集团中原农食产品检测（河南）有限公司</w:t>
      </w:r>
    </w:p>
    <w:p>
      <w:pPr>
        <w:ind w:firstLine="480"/>
        <w:jc w:val="right"/>
      </w:pPr>
      <w:r>
        <w:rPr>
          <w:rFonts w:hint="eastAsia"/>
        </w:rPr>
        <w:t>日期：2019年05月07日</w:t>
      </w:r>
    </w:p>
    <w:p>
      <w:pPr>
        <w:ind w:firstLine="480"/>
        <w:jc w:val="left"/>
        <w:rPr>
          <w:rFonts w:hint="eastAsia"/>
        </w:rPr>
      </w:pPr>
      <w:r>
        <w:rPr>
          <w:rFonts w:hint="eastAsia"/>
        </w:rPr>
        <w:t>具体</w:t>
      </w:r>
      <w:r>
        <w:t>服务内容</w:t>
      </w:r>
      <w:r>
        <w:rPr>
          <w:rFonts w:hint="eastAsia"/>
        </w:rPr>
        <w:t>如下</w:t>
      </w:r>
      <w:r>
        <w:t>：</w:t>
      </w:r>
    </w:p>
    <w:p>
      <w:pPr>
        <w:pStyle w:val="6"/>
        <w:numPr>
          <w:ilvl w:val="0"/>
          <w:numId w:val="1"/>
        </w:numPr>
        <w:rPr>
          <w:rFonts w:hint="eastAsia"/>
        </w:rPr>
      </w:pPr>
      <w:r>
        <w:rPr>
          <w:rFonts w:hint="eastAsia"/>
        </w:rPr>
        <w:t>技术咨询服务</w:t>
      </w:r>
      <w:r>
        <w:rPr>
          <w:rFonts w:hint="eastAsia"/>
        </w:rPr>
        <w:tab/>
      </w:r>
    </w:p>
    <w:p>
      <w:pPr>
        <w:ind w:firstLine="480"/>
        <w:rPr>
          <w:rFonts w:hint="eastAsia"/>
        </w:rPr>
      </w:pPr>
      <w:r>
        <w:rPr>
          <w:rFonts w:hint="eastAsia"/>
        </w:rPr>
        <w:t>中检中原</w:t>
      </w:r>
      <w:r>
        <w:t>公司</w:t>
      </w:r>
      <w:r>
        <w:rPr>
          <w:rFonts w:hint="eastAsia"/>
        </w:rPr>
        <w:t>依托中检集团机构和人员网络化优势，为禹州市市场监督管理局各级食品安全主管部门提供技术咨询服务。中检中原</w:t>
      </w:r>
      <w:r>
        <w:t>公司</w:t>
      </w:r>
      <w:r>
        <w:rPr>
          <w:rFonts w:hint="eastAsia"/>
        </w:rPr>
        <w:t>拥有完善的信息网络系统，专家与技术力量雄厚，组织网络体系遍及各学科、各行业及全国各地。中检中原</w:t>
      </w:r>
      <w:r>
        <w:t>公司</w:t>
      </w:r>
      <w:r>
        <w:rPr>
          <w:rFonts w:hint="eastAsia"/>
        </w:rPr>
        <w:t>可以充分调动整个集团公司的技术专家力量，积极为禹州市市场监督管理局各级食品安全主管部门提供技术咨询、技术培训、国外先进技术引进交流与合作等技术服务内容。</w:t>
      </w:r>
    </w:p>
    <w:p>
      <w:pPr>
        <w:pStyle w:val="6"/>
        <w:numPr>
          <w:ilvl w:val="0"/>
          <w:numId w:val="1"/>
        </w:numPr>
        <w:rPr>
          <w:rFonts w:hint="eastAsia"/>
        </w:rPr>
      </w:pPr>
      <w:r>
        <w:rPr>
          <w:rFonts w:hint="eastAsia"/>
        </w:rPr>
        <w:t>食品安全风险评估</w:t>
      </w:r>
      <w:r>
        <w:rPr>
          <w:rFonts w:hint="eastAsia"/>
        </w:rPr>
        <w:tab/>
      </w:r>
    </w:p>
    <w:p>
      <w:pPr>
        <w:ind w:firstLine="480"/>
      </w:pPr>
      <w:r>
        <w:rPr>
          <w:rFonts w:hint="eastAsia"/>
        </w:rPr>
        <w:t>中检中原</w:t>
      </w:r>
      <w:r>
        <w:t>公司将积极承担食品安全风险</w:t>
      </w:r>
      <w:r>
        <w:rPr>
          <w:rFonts w:hint="eastAsia"/>
        </w:rPr>
        <w:t>评估</w:t>
      </w:r>
      <w:r>
        <w:t>工作，并结合工作基础对</w:t>
      </w:r>
      <w:r>
        <w:rPr>
          <w:rFonts w:hint="eastAsia"/>
        </w:rPr>
        <w:t>禹州市市场监督管理局各级食品安全主管部门</w:t>
      </w:r>
      <w:r>
        <w:t>提出合理化建议。具体内容如下：</w:t>
      </w:r>
    </w:p>
    <w:p>
      <w:pPr>
        <w:ind w:firstLine="480"/>
        <w:rPr>
          <w:rFonts w:hint="eastAsia"/>
        </w:rPr>
      </w:pPr>
      <w:r>
        <w:t>公司项目组和专家团队及时整理和搜集食品安全风险信息，结合中检集团</w:t>
      </w:r>
      <w:r>
        <w:rPr>
          <w:rFonts w:hint="eastAsia"/>
        </w:rPr>
        <w:t>庞大</w:t>
      </w:r>
      <w:r>
        <w:t>网络</w:t>
      </w:r>
      <w:r>
        <w:rPr>
          <w:rFonts w:hint="eastAsia"/>
        </w:rPr>
        <w:t>的</w:t>
      </w:r>
      <w:r>
        <w:t>优势，对食品、食品添加剂中生物性、化学性和物理性危害对人体健康可能造成的不良影响进行科学评估：包括危害识别、危害特征描述、暴露评估、风险特征描述等内容</w:t>
      </w:r>
      <w:r>
        <w:rPr>
          <w:rFonts w:hint="eastAsia"/>
        </w:rPr>
        <w:t>。</w:t>
      </w:r>
    </w:p>
    <w:p>
      <w:pPr>
        <w:pStyle w:val="6"/>
        <w:numPr>
          <w:ilvl w:val="0"/>
          <w:numId w:val="1"/>
        </w:numPr>
        <w:rPr>
          <w:rFonts w:hint="eastAsia"/>
        </w:rPr>
      </w:pPr>
      <w:r>
        <w:rPr>
          <w:rFonts w:hint="eastAsia"/>
        </w:rPr>
        <w:t>合理化建议</w:t>
      </w:r>
      <w:r>
        <w:rPr>
          <w:rFonts w:hint="eastAsia"/>
        </w:rPr>
        <w:tab/>
      </w:r>
    </w:p>
    <w:p>
      <w:pPr>
        <w:ind w:firstLine="480"/>
        <w:rPr>
          <w:rFonts w:hint="eastAsia"/>
        </w:rPr>
      </w:pPr>
      <w:r>
        <w:t>针对不同食品类别，结合本机构已掌握的该种类原料、主要加工生产工艺、食品产品质量安全特性、相关标准以及既往监管、检验检测、舆情信息、国内外动态等相关资料、信息，根据食品特性、区域分布、关键因素等，评估食品安全状况，并针对检测项目提出建议；分析食品污染及其他有害因素的消长规律，研究提出预防和控制措施。通过对监测发现的主要问题及时组织分析研判（根据问题产生的原因进行分析、甄别、分类，建立追溯体系及节点控制），为</w:t>
      </w:r>
      <w:r>
        <w:rPr>
          <w:rFonts w:hint="eastAsia"/>
        </w:rPr>
        <w:t>禹州市市场监督管理局各级食品安全主管部门</w:t>
      </w:r>
      <w:r>
        <w:t>监管工作提供合理化建议；加强食品风险监测基础性工作，针对不同食品种类，建立全产业链分析体系，对各环节产生的风险进行识别，提出拟开展的项目工作建议。</w:t>
      </w:r>
    </w:p>
    <w:p>
      <w:pPr>
        <w:pStyle w:val="6"/>
        <w:numPr>
          <w:ilvl w:val="0"/>
          <w:numId w:val="1"/>
        </w:numPr>
        <w:rPr>
          <w:rFonts w:hint="eastAsia"/>
        </w:rPr>
      </w:pPr>
      <w:r>
        <w:rPr>
          <w:rFonts w:hint="eastAsia"/>
        </w:rPr>
        <w:t>高度重视本次项目</w:t>
      </w:r>
      <w:r>
        <w:rPr>
          <w:rFonts w:hint="eastAsia"/>
        </w:rPr>
        <w:tab/>
      </w:r>
    </w:p>
    <w:p>
      <w:pPr>
        <w:ind w:firstLine="480"/>
        <w:rPr>
          <w:rFonts w:hint="eastAsia"/>
          <w:lang w:val="zh-CN"/>
        </w:rPr>
      </w:pPr>
      <w:r>
        <w:rPr>
          <w:rFonts w:hint="eastAsia"/>
          <w:lang w:val="zh-CN"/>
        </w:rPr>
        <w:t>中检中原</w:t>
      </w:r>
      <w:r>
        <w:rPr>
          <w:rFonts w:hint="eastAsia"/>
        </w:rPr>
        <w:t>公司高度重视本次</w:t>
      </w:r>
      <w:r>
        <w:rPr>
          <w:rFonts w:hint="eastAsia"/>
          <w:lang w:val="zh-CN"/>
        </w:rPr>
        <w:t>禹州市市场监督管理局创建国家食品安全城食品抽样检测项目</w:t>
      </w:r>
      <w:r>
        <w:rPr>
          <w:rFonts w:hint="eastAsia"/>
        </w:rPr>
        <w:t>，集合公司业务骨干、技术专家成立</w:t>
      </w:r>
      <w:r>
        <w:rPr>
          <w:rFonts w:hint="eastAsia"/>
          <w:lang w:val="zh-CN"/>
        </w:rPr>
        <w:t>禹州市市场监督管理局创建国家食品安全城食品抽样检测项目</w:t>
      </w:r>
      <w:r>
        <w:rPr>
          <w:rFonts w:hint="eastAsia"/>
        </w:rPr>
        <w:t>组，负责与</w:t>
      </w:r>
      <w:r>
        <w:rPr>
          <w:rFonts w:hint="eastAsia"/>
          <w:lang w:val="zh-CN"/>
        </w:rPr>
        <w:t>禹州市市场监督管理局</w:t>
      </w:r>
      <w:r>
        <w:rPr>
          <w:rFonts w:hint="eastAsia"/>
        </w:rPr>
        <w:t>的沟通、协调工作，公</w:t>
      </w:r>
      <w:r>
        <w:rPr>
          <w:rFonts w:hint="eastAsia"/>
          <w:lang w:val="zh-CN"/>
        </w:rPr>
        <w:t>司技术负责人全面负责禹州市市场监督管理局食品安全评价性抽检购买第三方服务招标项目管理工作。</w:t>
      </w:r>
    </w:p>
    <w:p>
      <w:pPr>
        <w:ind w:firstLine="480"/>
        <w:rPr>
          <w:rFonts w:hint="eastAsia"/>
        </w:rPr>
      </w:pPr>
      <w:r>
        <w:rPr>
          <w:rFonts w:hint="eastAsia"/>
        </w:rPr>
        <w:t>项目组由公司总经理牵头、技术经理统筹负责，针对本次整个</w:t>
      </w:r>
      <w:r>
        <w:rPr>
          <w:rFonts w:hint="eastAsia"/>
          <w:lang w:val="zh-CN"/>
        </w:rPr>
        <w:t>创建国家食品安全城食品抽样检测项目</w:t>
      </w:r>
      <w:r>
        <w:rPr>
          <w:rFonts w:hint="eastAsia"/>
        </w:rPr>
        <w:t>，特别是抽样、检验、数据上报等关键环节实行分管领导下的专人负责制，各个环节紧密联系，确保项目完成的效率与质量。</w:t>
      </w:r>
    </w:p>
    <w:p>
      <w:pPr>
        <w:pStyle w:val="6"/>
        <w:numPr>
          <w:ilvl w:val="0"/>
          <w:numId w:val="1"/>
        </w:numPr>
        <w:rPr>
          <w:rFonts w:hint="eastAsia"/>
        </w:rPr>
      </w:pPr>
      <w:r>
        <w:rPr>
          <w:rFonts w:hint="eastAsia"/>
        </w:rPr>
        <w:t>其他相关服务与承诺</w:t>
      </w:r>
      <w:r>
        <w:rPr>
          <w:rFonts w:hint="eastAsia"/>
        </w:rPr>
        <w:tab/>
      </w:r>
    </w:p>
    <w:p>
      <w:pPr>
        <w:numPr>
          <w:ilvl w:val="0"/>
          <w:numId w:val="2"/>
        </w:numPr>
        <w:ind w:firstLineChars="0"/>
        <w:rPr>
          <w:rFonts w:hint="eastAsia"/>
          <w:b/>
          <w:bCs/>
        </w:rPr>
      </w:pPr>
      <w:r>
        <w:rPr>
          <w:rFonts w:hint="eastAsia"/>
          <w:b/>
          <w:bCs/>
        </w:rPr>
        <w:t>报送检验公示信息</w:t>
      </w:r>
      <w:r>
        <w:rPr>
          <w:rFonts w:hint="eastAsia"/>
          <w:b/>
          <w:bCs/>
        </w:rPr>
        <w:tab/>
      </w:r>
    </w:p>
    <w:p>
      <w:pPr>
        <w:ind w:firstLine="480"/>
      </w:pPr>
      <w:r>
        <w:t>按照《食品安全抽样检验管理办法》(国家食品药品监督管理总局令第11 号)要求，</w:t>
      </w:r>
      <w:r>
        <w:rPr>
          <w:rFonts w:hint="eastAsia"/>
        </w:rPr>
        <w:t>样品</w:t>
      </w:r>
      <w:r>
        <w:rPr>
          <w:rFonts w:hint="eastAsia"/>
          <w:b/>
          <w:bCs/>
        </w:rPr>
        <w:t>检验周期为20个工作日</w:t>
      </w:r>
      <w:r>
        <w:rPr>
          <w:rFonts w:hint="eastAsia"/>
        </w:rPr>
        <w:t>，中检集团中原农食产品检测（河南）有限公司严格</w:t>
      </w:r>
      <w:r>
        <w:t>按规定的时限完成检验、信息填报。发现不合格的，</w:t>
      </w:r>
      <w:r>
        <w:rPr>
          <w:b/>
          <w:bCs/>
        </w:rPr>
        <w:t>按要求报送电子及纸版材料</w:t>
      </w:r>
      <w:r>
        <w:t>。涉及突发食品安全事件或违法案件的食品抽检，在检验技术许可情况下的最短时间内出具检验报告书，按时完成食品安全抽检监测及数据报送工作。</w:t>
      </w:r>
    </w:p>
    <w:p>
      <w:pPr>
        <w:ind w:firstLine="482"/>
      </w:pPr>
      <w:r>
        <w:rPr>
          <w:rFonts w:hint="eastAsia"/>
          <w:b/>
          <w:bCs/>
        </w:rPr>
        <w:t>中检中原公司拥有安全有效的信息化管理系统和信息分析汇总人员，能够按时完成食品安全抽检监测及数据报送工作，并</w:t>
      </w:r>
      <w:r>
        <w:rPr>
          <w:b/>
          <w:bCs/>
        </w:rPr>
        <w:t>及时、准确地上报样品信息、检验结果、检验报告和抽检监测工作分析总结报告。</w:t>
      </w:r>
      <w:r>
        <w:rPr>
          <w:rFonts w:hint="eastAsia"/>
          <w:b/>
          <w:bCs/>
        </w:rPr>
        <w:t>检验过程中若发现被检样品存在严重安全问题，或检验出现明显异常情况，我公司在确认问题无误后立即向禹州市市场监督管理局报告。</w:t>
      </w:r>
      <w:r>
        <w:t>结果专报机制，就是由项目负责人负责，及时将食品检测结果、结果分析报告报送及不合格信息上报</w:t>
      </w:r>
      <w:r>
        <w:rPr>
          <w:rFonts w:hint="eastAsia"/>
        </w:rPr>
        <w:t>禹州市市场监督管理局</w:t>
      </w:r>
      <w:r>
        <w:t>，从而实现对抽检整体工作的有效反馈，促进抽检工作顺利进行。具体如下：</w:t>
      </w:r>
    </w:p>
    <w:p>
      <w:pPr>
        <w:ind w:firstLine="480"/>
      </w:pPr>
      <w:r>
        <w:t>中检中原公司按照要求报送检测结果、如实出具检测报告（检测过程中，原始记录如实填写，保证真实、准确、清晰；不得随意涂改，更改处应当经检验人员签字或盖章确认）。检测工作结束后，中检中原公司一季度如实出具一次抽检报告，将《样品信息登记表》、《检验结果汇总表》和《不合格信息登记表》以及结果分析报告等报送</w:t>
      </w:r>
      <w:r>
        <w:rPr>
          <w:rFonts w:hint="eastAsia"/>
        </w:rPr>
        <w:t>禹州市市场监督管理局</w:t>
      </w:r>
      <w:r>
        <w:t>。同时每个月报送所抽检的食品品种整体质量安全状况报告。</w:t>
      </w:r>
    </w:p>
    <w:p>
      <w:pPr>
        <w:ind w:firstLine="480"/>
        <w:rPr>
          <w:szCs w:val="28"/>
        </w:rPr>
      </w:pPr>
      <w:r>
        <w:rPr>
          <w:szCs w:val="28"/>
        </w:rPr>
        <w:t>针对食品抽检中发现的不合格食品信息，中检中原公司确保在第一时间报告</w:t>
      </w:r>
      <w:r>
        <w:rPr>
          <w:rFonts w:hint="eastAsia"/>
          <w:szCs w:val="28"/>
        </w:rPr>
        <w:t>禹州市市场监督管理局</w:t>
      </w:r>
      <w:r>
        <w:rPr>
          <w:szCs w:val="28"/>
        </w:rPr>
        <w:t>。检验工作完成后，按照规定的格式分别出具国家食品安全监督抽检检验报告和风险监测检验报告，保证报告内容真实齐全、数据准确。检验项目全部符合标准要求，综合判定为所检项目合格；检验项目有一项不符合标准要求的，综合判定为不合格。同时根据检测实验室的检测结果，对检测数据进行汇总、统计和分析，根据要求报送食品品种整体质量安全状况报告。</w:t>
      </w:r>
    </w:p>
    <w:p>
      <w:pPr>
        <w:ind w:firstLine="480"/>
        <w:rPr>
          <w:rFonts w:hint="eastAsia"/>
        </w:rPr>
      </w:pPr>
      <w:r>
        <w:rPr>
          <w:szCs w:val="28"/>
        </w:rPr>
        <w:t>在确保抽检结果顺利上报</w:t>
      </w:r>
      <w:r>
        <w:rPr>
          <w:rFonts w:hint="eastAsia"/>
          <w:szCs w:val="28"/>
        </w:rPr>
        <w:t>禹州市市场监督管理局</w:t>
      </w:r>
      <w:r>
        <w:rPr>
          <w:szCs w:val="28"/>
        </w:rPr>
        <w:t>的同时，中检中原公司加强人员的监督管理和保密意识，与相关人员签订保密协议，严格要求承担抽样检测任务的人员不得擅自对外透漏抽样计划、抽样实施方案、检测结果等信息。</w:t>
      </w:r>
    </w:p>
    <w:p>
      <w:pPr>
        <w:numPr>
          <w:ilvl w:val="0"/>
          <w:numId w:val="2"/>
        </w:numPr>
        <w:ind w:firstLineChars="0"/>
        <w:rPr>
          <w:rFonts w:hint="eastAsia"/>
          <w:b/>
          <w:bCs/>
        </w:rPr>
      </w:pPr>
      <w:r>
        <w:rPr>
          <w:rFonts w:hint="eastAsia"/>
          <w:b/>
          <w:bCs/>
        </w:rPr>
        <w:t>配合处理异议复检</w:t>
      </w:r>
      <w:r>
        <w:rPr>
          <w:rFonts w:hint="eastAsia"/>
          <w:b/>
          <w:bCs/>
        </w:rPr>
        <w:tab/>
      </w:r>
    </w:p>
    <w:p>
      <w:pPr>
        <w:ind w:firstLine="480"/>
        <w:rPr>
          <w:rFonts w:hint="eastAsia"/>
        </w:rPr>
      </w:pPr>
      <w:r>
        <w:rPr>
          <w:rFonts w:hint="eastAsia"/>
        </w:rPr>
        <w:t>中检中原公司严格按照根据《食品安全法》及其实施条例、国家食药总局令第11 号《食品安全抽样检验管理办法》、国质检认〔2012〕244 号《关于进一步规范食品检验机构委托检验工作的通知》，制定严格的程序以确保工作平稳有效开展，积极配合禹州市市场监督管理局抽检工作中出现的各项异议和复检工作。具体如下：</w:t>
      </w:r>
    </w:p>
    <w:p>
      <w:pPr>
        <w:ind w:firstLine="482"/>
        <w:rPr>
          <w:rFonts w:hint="eastAsia"/>
        </w:rPr>
      </w:pPr>
      <w:r>
        <w:rPr>
          <w:rFonts w:hint="eastAsia"/>
          <w:b/>
          <w:bCs/>
        </w:rPr>
        <w:t>1、专人负责制。</w:t>
      </w:r>
      <w:r>
        <w:rPr>
          <w:rFonts w:hint="eastAsia"/>
        </w:rPr>
        <w:t>公司指定专人负责对接禹州市市场监督管理局以口头或电子邮件等形式提出的异议和复检，确保“7*24小时”开机。</w:t>
      </w:r>
    </w:p>
    <w:p>
      <w:pPr>
        <w:ind w:firstLine="482"/>
        <w:rPr>
          <w:rFonts w:hint="eastAsia"/>
        </w:rPr>
      </w:pPr>
      <w:r>
        <w:rPr>
          <w:rFonts w:hint="eastAsia"/>
          <w:b/>
          <w:bCs/>
        </w:rPr>
        <w:t>2、样品复检流程：</w:t>
      </w:r>
    </w:p>
    <w:p>
      <w:pPr>
        <w:ind w:firstLine="480"/>
        <w:rPr>
          <w:rFonts w:hint="eastAsia"/>
        </w:rPr>
      </w:pPr>
      <w:r>
        <w:rPr>
          <w:rFonts w:hint="eastAsia"/>
        </w:rPr>
        <w:t>（1）样品调取：在接到被抽样单位/生产单位复检要求及禹州市市场监督管理局出具的《复检备份样品调用通知书》后，公司将复检备份样品在5个工作日内送达复检机构。样品运输过程严格按照相关标准规定或样品标示的条件，确保备份样品不会出现封条、包装被破坏，或其他对结果判定产生影响的情况，以免影响复检工作。</w:t>
      </w:r>
    </w:p>
    <w:p>
      <w:pPr>
        <w:ind w:firstLine="480"/>
        <w:rPr>
          <w:rFonts w:hint="eastAsia"/>
        </w:rPr>
      </w:pPr>
      <w:r>
        <w:rPr>
          <w:rFonts w:hint="eastAsia"/>
        </w:rPr>
        <w:t>（2）样品确认：复检工作开展前，我公司将与复检机构、复检申请人严格按照要求予以样品确认，同时填写《复检备份样品确认单》并签字盖章。</w:t>
      </w:r>
    </w:p>
    <w:p>
      <w:pPr>
        <w:ind w:firstLine="480"/>
        <w:rPr>
          <w:rFonts w:hint="eastAsia"/>
        </w:rPr>
      </w:pPr>
      <w:r>
        <w:rPr>
          <w:rFonts w:hint="eastAsia"/>
        </w:rPr>
        <w:t>3、异议处理流程：</w:t>
      </w:r>
    </w:p>
    <w:p>
      <w:pPr>
        <w:ind w:firstLine="480"/>
        <w:rPr>
          <w:rFonts w:hint="eastAsia"/>
        </w:rPr>
      </w:pPr>
      <w:r>
        <w:rPr>
          <w:rFonts w:hint="eastAsia"/>
        </w:rPr>
        <w:t>（1）信息记录：在接到异议后，公司专人书面记录异议内容，及时向公司项目负责人汇报。</w:t>
      </w:r>
    </w:p>
    <w:p>
      <w:pPr>
        <w:ind w:firstLine="480"/>
        <w:rPr>
          <w:rFonts w:hint="eastAsia"/>
        </w:rPr>
      </w:pPr>
      <w:r>
        <w:rPr>
          <w:rFonts w:hint="eastAsia"/>
        </w:rPr>
        <w:t>（2）根据异议内容，由项目负责人会同检测部、市场部有关负责人分析原因，形成书面回复，并于2个工作日内提交至禹州市市场监督管理局；如必要，由项目负责人前往禹州市市场监督管理局提交情况说明并当面说明情况。</w:t>
      </w:r>
    </w:p>
    <w:p>
      <w:pPr>
        <w:numPr>
          <w:ilvl w:val="0"/>
          <w:numId w:val="2"/>
        </w:numPr>
        <w:ind w:firstLineChars="0"/>
        <w:rPr>
          <w:rFonts w:hint="eastAsia"/>
          <w:b/>
          <w:bCs/>
        </w:rPr>
      </w:pPr>
      <w:r>
        <w:rPr>
          <w:rFonts w:hint="eastAsia"/>
          <w:b/>
          <w:bCs/>
        </w:rPr>
        <w:t>投诉机制</w:t>
      </w:r>
      <w:r>
        <w:rPr>
          <w:rFonts w:hint="eastAsia"/>
          <w:b/>
          <w:bCs/>
        </w:rPr>
        <w:tab/>
      </w:r>
    </w:p>
    <w:p>
      <w:pPr>
        <w:ind w:firstLine="480"/>
      </w:pPr>
      <w:r>
        <w:rPr>
          <w:rFonts w:hint="eastAsia"/>
        </w:rPr>
        <w:t>为保证</w:t>
      </w:r>
      <w:r>
        <w:rPr>
          <w:rFonts w:hint="eastAsia" w:ascii="宋体" w:hAnsi="宋体"/>
        </w:rPr>
        <w:t>禹州市市场监督管理局</w:t>
      </w:r>
      <w:r>
        <w:rPr>
          <w:rFonts w:hint="eastAsia"/>
        </w:rPr>
        <w:t>切实享受各项权利和服务，中检中原公司承诺遵守</w:t>
      </w:r>
      <w:r>
        <w:rPr>
          <w:rFonts w:hint="eastAsia" w:ascii="宋体" w:hAnsi="宋体"/>
        </w:rPr>
        <w:t>禹州市市场监督管理局</w:t>
      </w:r>
      <w:r>
        <w:rPr>
          <w:rFonts w:hint="eastAsia"/>
        </w:rPr>
        <w:t>的各项规定，针对本次禹州市市场监督管理局创建国家食品安全城食品抽样检测项目开展工作中存在的问题，接受</w:t>
      </w:r>
      <w:r>
        <w:rPr>
          <w:rFonts w:hint="eastAsia" w:ascii="宋体" w:hAnsi="宋体"/>
        </w:rPr>
        <w:t>禹州市市场监督管理局</w:t>
      </w:r>
      <w:r>
        <w:rPr>
          <w:rFonts w:hint="eastAsia"/>
        </w:rPr>
        <w:t>及监管部门对中检中原公司的监督及投诉，并对投诉建议及时回应。</w:t>
      </w:r>
    </w:p>
    <w:p>
      <w:pPr>
        <w:ind w:firstLine="480"/>
      </w:pPr>
      <w:r>
        <w:rPr>
          <w:rFonts w:hint="eastAsia"/>
        </w:rPr>
        <w:t>在禹州市市场监督管理局创建国家食品安全城食品抽样检测项目期间，</w:t>
      </w:r>
      <w:r>
        <w:rPr>
          <w:rFonts w:hint="eastAsia" w:ascii="宋体" w:hAnsi="宋体"/>
        </w:rPr>
        <w:t>禹州市市场监督管理局</w:t>
      </w:r>
      <w:r>
        <w:rPr>
          <w:rFonts w:hint="eastAsia"/>
        </w:rPr>
        <w:t>可以对中检中原公司是否规范操作进行监督检查，如发现违规事件，根据具体情况可采取警告、暂停抽检计划、取消资格的措施。</w:t>
      </w:r>
    </w:p>
    <w:p>
      <w:pPr>
        <w:ind w:firstLine="482"/>
        <w:rPr>
          <w:rFonts w:hint="eastAsia"/>
          <w:b/>
          <w:bCs/>
        </w:rPr>
      </w:pPr>
      <w:r>
        <w:rPr>
          <w:rFonts w:hint="eastAsia"/>
          <w:b/>
          <w:bCs/>
        </w:rPr>
        <w:t>同时，在项目服务有效期限内，为保证禹州市市场监督管理局享受各项权利与服务，我公司接受以下各项管理要求：</w:t>
      </w:r>
    </w:p>
    <w:p>
      <w:pPr>
        <w:numPr>
          <w:ilvl w:val="0"/>
          <w:numId w:val="3"/>
        </w:numPr>
        <w:ind w:firstLine="480"/>
        <w:rPr>
          <w:rFonts w:hint="eastAsia"/>
        </w:rPr>
      </w:pPr>
      <w:r>
        <w:rPr>
          <w:rFonts w:hint="eastAsia"/>
        </w:rPr>
        <w:t>根据自愿原则由禹州市市场监督管理局与中检集团中原农食产品检测（河南）有限公司就禹州市市场监督管理局食品安全评价性抽检购买第三方服务招标项目签订协议书。</w:t>
      </w:r>
    </w:p>
    <w:p>
      <w:pPr>
        <w:numPr>
          <w:ilvl w:val="0"/>
          <w:numId w:val="3"/>
        </w:numPr>
        <w:ind w:firstLine="480"/>
        <w:rPr>
          <w:rFonts w:hint="eastAsia"/>
        </w:rPr>
      </w:pPr>
      <w:r>
        <w:rPr>
          <w:rFonts w:hint="eastAsia"/>
        </w:rPr>
        <w:t>遵守统一服务承诺，做好各项服务工作，认真履行义务。</w:t>
      </w:r>
    </w:p>
    <w:p>
      <w:pPr>
        <w:numPr>
          <w:ilvl w:val="0"/>
          <w:numId w:val="3"/>
        </w:numPr>
        <w:ind w:firstLine="480"/>
        <w:rPr>
          <w:rFonts w:hint="eastAsia"/>
        </w:rPr>
      </w:pPr>
      <w:r>
        <w:rPr>
          <w:rFonts w:hint="eastAsia"/>
        </w:rPr>
        <w:t>在服务期内，中检集团中原农食产品检测（河南）有限公司接受食品安全办、监管部门及相关部门的管理。</w:t>
      </w:r>
    </w:p>
    <w:p>
      <w:pPr>
        <w:numPr>
          <w:ilvl w:val="0"/>
          <w:numId w:val="3"/>
        </w:numPr>
        <w:ind w:firstLine="480"/>
        <w:rPr>
          <w:rFonts w:hint="eastAsia"/>
        </w:rPr>
      </w:pPr>
      <w:r>
        <w:rPr>
          <w:rFonts w:hint="eastAsia"/>
        </w:rPr>
        <w:t>业务建档制度：中检集团中原农食产品检测（河南）有限公司针对禹州市市场监督管理局食品安全评价性抽检购买第三方服务招标项目的检测业务建立单独的业务档案资料，并于抽检报告出具之日起三日内报送禹州市市场监督管理局进行备案。并通过禹州市市场监督管理局指定的抽检系统及时报送检验结果。</w:t>
      </w:r>
    </w:p>
    <w:p>
      <w:pPr>
        <w:numPr>
          <w:ilvl w:val="0"/>
          <w:numId w:val="3"/>
        </w:numPr>
        <w:ind w:firstLine="480"/>
        <w:rPr>
          <w:rFonts w:hint="eastAsia"/>
        </w:rPr>
      </w:pPr>
      <w:r>
        <w:rPr>
          <w:rFonts w:hint="eastAsia"/>
        </w:rPr>
        <w:t>投诉制度：禹州市市场监督管理局及监管部门有权对中检集团中原农食产品检测（河南）有限公司监督投诉。</w:t>
      </w:r>
    </w:p>
    <w:p>
      <w:pPr>
        <w:numPr>
          <w:ilvl w:val="0"/>
          <w:numId w:val="3"/>
        </w:numPr>
        <w:ind w:firstLine="480"/>
        <w:rPr>
          <w:rFonts w:hint="eastAsia"/>
        </w:rPr>
      </w:pPr>
      <w:r>
        <w:rPr>
          <w:rFonts w:hint="eastAsia"/>
        </w:rPr>
        <w:t>违规处理：禹州市市场监督管理局可在服务期内对中检集团中原农食产品检测（河南）有限公司是否规范操作进行监督检查，如发现违规事件，可根据具体情况分别采取警告、暂停抽检计划、取消资格的措施。</w:t>
      </w:r>
    </w:p>
    <w:p>
      <w:pPr>
        <w:ind w:left="0" w:leftChars="0" w:firstLine="0" w:firstLineChars="0"/>
        <w:rPr>
          <w:rFonts w:hint="eastAsia"/>
        </w:rPr>
      </w:pPr>
      <w:bookmarkStart w:id="2" w:name="_Toc30224"/>
      <w:bookmarkStart w:id="3" w:name="_Toc30985"/>
    </w:p>
    <w:p>
      <w:pPr>
        <w:pStyle w:val="5"/>
        <w:rPr>
          <w:rFonts w:hint="eastAsia"/>
          <w:lang w:val="en-US" w:eastAsia="zh-CN"/>
        </w:rPr>
      </w:pPr>
      <w:r>
        <w:rPr>
          <w:rFonts w:hint="eastAsia"/>
          <w:lang w:val="en-US" w:eastAsia="zh-CN"/>
        </w:rPr>
        <w:t>2.建立定期或不定期的沟通机制</w:t>
      </w:r>
      <w:bookmarkEnd w:id="2"/>
      <w:r>
        <w:rPr>
          <w:rFonts w:hint="eastAsia"/>
          <w:lang w:val="en-US" w:eastAsia="zh-CN"/>
        </w:rPr>
        <w:t>及方案</w:t>
      </w:r>
      <w:bookmarkEnd w:id="3"/>
    </w:p>
    <w:p>
      <w:pPr>
        <w:ind w:firstLine="480"/>
        <w:rPr>
          <w:rFonts w:hint="eastAsia"/>
        </w:rPr>
      </w:pPr>
      <w:r>
        <w:rPr>
          <w:rFonts w:hint="eastAsia"/>
        </w:rPr>
        <w:t>中检中原公司承诺在本次禹州市市场监督管理局创建国家食品安全城食品抽样检测项目服务有效期内，与禹州市市场监督管理局及相关单位建立定期或不定期的沟通服务机制。</w:t>
      </w:r>
    </w:p>
    <w:p>
      <w:pPr>
        <w:ind w:firstLine="0" w:firstLineChars="0"/>
        <w:rPr>
          <w:rFonts w:hint="eastAsia"/>
        </w:rPr>
      </w:pPr>
      <w:r>
        <w:rPr>
          <w:rFonts w:hint="eastAsia"/>
          <w:b/>
          <w:bCs/>
          <w:u w:val="single"/>
        </w:rPr>
        <w:t>特此承诺！</w:t>
      </w:r>
    </w:p>
    <w:p>
      <w:pPr>
        <w:ind w:firstLine="480"/>
        <w:jc w:val="right"/>
        <w:rPr>
          <w:rFonts w:hint="eastAsia"/>
        </w:rPr>
      </w:pPr>
      <w:r>
        <w:rPr>
          <w:rFonts w:hint="eastAsia"/>
        </w:rPr>
        <w:t>投标人：（盖章）中检集团中原农食产品检测（河南）有限公司</w:t>
      </w:r>
    </w:p>
    <w:p>
      <w:pPr>
        <w:spacing w:line="437" w:lineRule="auto"/>
        <w:ind w:firstLine="2400" w:firstLineChars="1000"/>
        <w:rPr>
          <w:rFonts w:hint="eastAsia"/>
        </w:rPr>
      </w:pPr>
      <w:r>
        <w:rPr>
          <w:rFonts w:hint="eastAsia"/>
        </w:rPr>
        <w:t>日期：</w:t>
      </w:r>
      <w:r>
        <w:rPr>
          <w:rFonts w:hint="eastAsia" w:ascii="仿宋" w:hAnsi="仿宋" w:cs="仿宋"/>
          <w:color w:val="000000"/>
        </w:rPr>
        <w:t>2019年05月07日</w:t>
      </w:r>
    </w:p>
    <w:p>
      <w:pPr>
        <w:ind w:firstLine="480"/>
        <w:rPr>
          <w:rFonts w:hint="eastAsia"/>
        </w:rPr>
      </w:pPr>
      <w:r>
        <w:rPr>
          <w:rFonts w:hint="eastAsia"/>
        </w:rPr>
        <w:t>具体沟通服务方案如下：</w:t>
      </w:r>
    </w:p>
    <w:p>
      <w:pPr>
        <w:ind w:firstLine="480"/>
        <w:rPr>
          <w:rFonts w:hint="eastAsia"/>
        </w:rPr>
      </w:pPr>
      <w:r>
        <w:rPr>
          <w:rFonts w:hint="eastAsia"/>
        </w:rPr>
        <w:t>中检中原公司与禹州市市场监督管理局双方建立适当的沟通机制，定期或不定期举行互访；</w:t>
      </w:r>
    </w:p>
    <w:p>
      <w:pPr>
        <w:ind w:firstLine="480"/>
        <w:rPr>
          <w:rFonts w:hint="eastAsia"/>
        </w:rPr>
      </w:pPr>
      <w:r>
        <w:rPr>
          <w:rFonts w:hint="eastAsia"/>
        </w:rPr>
        <w:t>针对需要商榷的事宜，中检中原公司承诺与禹州市市场监督管理局进行会谈或专门会议，就双方合作中的相关问题进行沟通交流、协商；</w:t>
      </w:r>
    </w:p>
    <w:p>
      <w:pPr>
        <w:tabs>
          <w:tab w:val="left" w:pos="360"/>
          <w:tab w:val="left" w:pos="540"/>
        </w:tabs>
        <w:ind w:firstLine="480"/>
        <w:rPr>
          <w:rFonts w:hint="eastAsia"/>
        </w:rPr>
      </w:pPr>
      <w:r>
        <w:rPr>
          <w:rFonts w:hint="eastAsia"/>
        </w:rPr>
        <w:t>中检中原公司在本次项目服务期（</w:t>
      </w:r>
      <w:r>
        <w:rPr>
          <w:rFonts w:hint="eastAsia" w:ascii="宋体" w:hAnsi="宋体" w:cs="宋体"/>
        </w:rPr>
        <w:t>截止到2019年创建国家食品安全城食品抽样检测工作完成</w:t>
      </w:r>
      <w:r>
        <w:rPr>
          <w:rFonts w:hint="eastAsia"/>
        </w:rPr>
        <w:t>）内的所有沟通服务经由禹州市市场监督管理局创建国家食品安全城食品抽样检测项目组（简称项目组）负责，并由项目组总负责人全权负责；</w:t>
      </w:r>
    </w:p>
    <w:p>
      <w:pPr>
        <w:ind w:firstLine="480"/>
        <w:rPr>
          <w:rFonts w:hint="eastAsia"/>
        </w:rPr>
      </w:pPr>
      <w:r>
        <w:rPr>
          <w:rFonts w:hint="eastAsia"/>
        </w:rPr>
        <w:t>禹州市市场监督管理局如有任何与项目相关的疑问，均可与项目组及时沟通，项目组及时响应沟通，并在24小时内作出口头或书面解释。</w:t>
      </w:r>
    </w:p>
    <w:p>
      <w:pPr>
        <w:ind w:firstLine="480"/>
        <w:rPr>
          <w:rFonts w:hint="eastAsia"/>
        </w:rPr>
      </w:pPr>
      <w:r>
        <w:rPr>
          <w:rFonts w:hint="eastAsia"/>
        </w:rPr>
        <w:t>在本次项目服务期内，禹州市市场监督管理局对中检中原公司提供的沟通服务可随时提出反馈意见不满意，如对中检中原限公司项目组人员的沟通服务不满意，可随时向中检中原公司项目组负责人进行投诉。项目组负责人将在24小时内对投诉进行响应处理并给出调整方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8580AA"/>
    <w:multiLevelType w:val="singleLevel"/>
    <w:tmpl w:val="8B8580AA"/>
    <w:lvl w:ilvl="0" w:tentative="0">
      <w:start w:val="1"/>
      <w:numFmt w:val="decimalEnclosedCircleChinese"/>
      <w:suff w:val="nothing"/>
      <w:lvlText w:val="%1　"/>
      <w:lvlJc w:val="left"/>
      <w:pPr>
        <w:ind w:left="0" w:firstLine="400"/>
      </w:pPr>
      <w:rPr>
        <w:rFonts w:hint="eastAsia"/>
      </w:rPr>
    </w:lvl>
  </w:abstractNum>
  <w:abstractNum w:abstractNumId="1">
    <w:nsid w:val="DAA1269B"/>
    <w:multiLevelType w:val="singleLevel"/>
    <w:tmpl w:val="DAA1269B"/>
    <w:lvl w:ilvl="0" w:tentative="0">
      <w:start w:val="1"/>
      <w:numFmt w:val="bullet"/>
      <w:lvlText w:val=""/>
      <w:lvlJc w:val="left"/>
      <w:pPr>
        <w:ind w:left="420" w:hanging="420"/>
      </w:pPr>
      <w:rPr>
        <w:rFonts w:hint="default" w:ascii="Wingdings" w:hAnsi="Wingdings"/>
      </w:rPr>
    </w:lvl>
  </w:abstractNum>
  <w:abstractNum w:abstractNumId="2">
    <w:nsid w:val="596093A5"/>
    <w:multiLevelType w:val="singleLevel"/>
    <w:tmpl w:val="596093A5"/>
    <w:lvl w:ilvl="0" w:tentative="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0D2011"/>
    <w:rsid w:val="04D2348A"/>
    <w:rsid w:val="0F0D2011"/>
    <w:rsid w:val="42476D14"/>
    <w:rsid w:val="5BCA2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723" w:firstLineChars="200"/>
      <w:jc w:val="both"/>
    </w:pPr>
    <w:rPr>
      <w:rFonts w:ascii="Times New Roman" w:hAnsi="Times New Roman" w:eastAsia="仿宋" w:cs="Times New Roman"/>
      <w:kern w:val="2"/>
      <w:sz w:val="24"/>
      <w:szCs w:val="24"/>
      <w:lang w:val="en-US" w:eastAsia="zh-CN" w:bidi="ar-SA"/>
    </w:rPr>
  </w:style>
  <w:style w:type="paragraph" w:styleId="3">
    <w:name w:val="heading 1"/>
    <w:basedOn w:val="1"/>
    <w:next w:val="1"/>
    <w:link w:val="13"/>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beforeLines="0" w:beforeAutospacing="0" w:after="260" w:afterLines="0" w:afterAutospacing="0" w:line="360" w:lineRule="auto"/>
      <w:ind w:firstLine="0" w:firstLineChars="0"/>
      <w:jc w:val="left"/>
      <w:outlineLvl w:val="1"/>
    </w:pPr>
    <w:rPr>
      <w:rFonts w:ascii="Arial" w:hAnsi="Arial"/>
      <w:b/>
      <w:kern w:val="0"/>
      <w:sz w:val="32"/>
      <w:szCs w:val="20"/>
    </w:rPr>
  </w:style>
  <w:style w:type="paragraph" w:styleId="5">
    <w:name w:val="heading 3"/>
    <w:basedOn w:val="1"/>
    <w:next w:val="1"/>
    <w:qFormat/>
    <w:uiPriority w:val="0"/>
    <w:pPr>
      <w:keepNext/>
      <w:keepLines/>
      <w:spacing w:before="120" w:beforeLines="0" w:beforeAutospacing="0" w:after="120" w:afterLines="0" w:afterAutospacing="0" w:line="360" w:lineRule="auto"/>
      <w:ind w:firstLine="0" w:firstLineChars="0"/>
      <w:jc w:val="left"/>
      <w:outlineLvl w:val="2"/>
    </w:pPr>
    <w:rPr>
      <w:b/>
      <w:sz w:val="30"/>
    </w:rPr>
  </w:style>
  <w:style w:type="paragraph" w:styleId="6">
    <w:name w:val="heading 4"/>
    <w:basedOn w:val="1"/>
    <w:next w:val="1"/>
    <w:qFormat/>
    <w:uiPriority w:val="0"/>
    <w:pPr>
      <w:keepNext/>
      <w:keepLines/>
      <w:spacing w:before="120" w:beforeLines="0" w:beforeAutospacing="0" w:after="120" w:afterLines="0" w:afterAutospacing="0" w:line="360" w:lineRule="auto"/>
      <w:ind w:firstLine="0" w:firstLineChars="0"/>
      <w:outlineLvl w:val="3"/>
    </w:pPr>
    <w:rPr>
      <w:b/>
      <w:kern w:val="0"/>
      <w:sz w:val="28"/>
      <w:szCs w:val="20"/>
    </w:rPr>
  </w:style>
  <w:style w:type="paragraph" w:styleId="7">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Message Header"/>
    <w:basedOn w:val="1"/>
    <w:unhideWhenUsed/>
    <w:qFormat/>
    <w:uiPriority w:val="99"/>
    <w:pPr>
      <w:pBdr>
        <w:top w:val="single" w:color="auto" w:sz="6" w:space="1"/>
        <w:left w:val="single" w:color="auto" w:sz="6" w:space="1"/>
        <w:bottom w:val="single" w:color="auto" w:sz="6" w:space="1"/>
        <w:right w:val="single" w:color="auto" w:sz="6" w:space="1"/>
      </w:pBdr>
      <w:shd w:val="clear" w:color="auto" w:fill="7F7F7F"/>
      <w:spacing w:before="100" w:beforeAutospacing="1" w:after="100" w:afterAutospacing="1"/>
      <w:ind w:left="1080" w:leftChars="500" w:hanging="1080" w:hangingChars="500"/>
    </w:pPr>
    <w:rPr>
      <w:rFonts w:ascii="Arial" w:hAnsi="Arial"/>
      <w:sz w:val="24"/>
      <w:szCs w:val="24"/>
    </w:rPr>
  </w:style>
  <w:style w:type="paragraph" w:styleId="8">
    <w:name w:val="Plain Text"/>
    <w:basedOn w:val="1"/>
    <w:qFormat/>
    <w:uiPriority w:val="0"/>
    <w:rPr>
      <w:rFonts w:eastAsia="宋体"/>
      <w:sz w:val="24"/>
    </w:rPr>
  </w:style>
  <w:style w:type="character" w:customStyle="1" w:styleId="11">
    <w:name w:val="font51"/>
    <w:basedOn w:val="10"/>
    <w:qFormat/>
    <w:uiPriority w:val="0"/>
    <w:rPr>
      <w:rFonts w:hint="eastAsia" w:ascii="宋体" w:hAnsi="宋体" w:eastAsia="宋体" w:cs="宋体"/>
      <w:b/>
      <w:color w:val="000000"/>
      <w:sz w:val="21"/>
      <w:szCs w:val="21"/>
      <w:u w:val="none"/>
    </w:rPr>
  </w:style>
  <w:style w:type="paragraph" w:customStyle="1" w:styleId="12">
    <w:name w:val="表格"/>
    <w:qFormat/>
    <w:uiPriority w:val="0"/>
    <w:pPr>
      <w:jc w:val="center"/>
    </w:pPr>
    <w:rPr>
      <w:rFonts w:ascii="Times New Roman" w:hAnsi="Times New Roman" w:eastAsia="宋体" w:cs="Times New Roman"/>
    </w:rPr>
  </w:style>
  <w:style w:type="character" w:customStyle="1" w:styleId="13">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2019-05-09T07:56:00Z</dcterms:created>
  <dc:creator>Administrator</dc:creator>
  <cp:lastModifiedBy>Administrator</cp:lastModifiedBy>
  <dcterms:modified xsi:type="dcterms:W3CDTF">2019-05-09T08:23:38Z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