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left"/>
        <w:rPr>
          <w:rFonts w:hint="eastAsia" w:ascii="宋体" w:hAnsi="宋体" w:eastAsia="宋体" w:cs="宋体"/>
          <w:color w:val="000000"/>
          <w:kern w:val="0"/>
          <w:sz w:val="31"/>
          <w:szCs w:val="31"/>
          <w:lang w:val="en-US" w:eastAsia="zh-CN" w:bidi="ar"/>
        </w:rPr>
      </w:pPr>
    </w:p>
    <w:p>
      <w:pPr>
        <w:keepNext w:val="0"/>
        <w:keepLines w:val="0"/>
        <w:widowControl/>
        <w:suppressLineNumbers w:val="0"/>
        <w:jc w:val="left"/>
        <w:rPr>
          <w:rFonts w:hint="eastAsia" w:ascii="宋体" w:hAnsi="宋体" w:eastAsia="宋体" w:cs="宋体"/>
          <w:color w:val="000000"/>
          <w:kern w:val="0"/>
          <w:sz w:val="31"/>
          <w:szCs w:val="31"/>
          <w:lang w:val="en-US" w:eastAsia="zh-CN" w:bidi="ar"/>
        </w:rPr>
      </w:pPr>
    </w:p>
    <w:p>
      <w:pPr>
        <w:keepNext w:val="0"/>
        <w:keepLines w:val="0"/>
        <w:widowControl/>
        <w:suppressLineNumbers w:val="0"/>
        <w:jc w:val="left"/>
      </w:pPr>
      <w:r>
        <w:rPr>
          <w:rFonts w:hint="eastAsia" w:ascii="宋体" w:hAnsi="宋体" w:eastAsia="宋体" w:cs="宋体"/>
          <w:color w:val="000000"/>
          <w:kern w:val="0"/>
          <w:sz w:val="31"/>
          <w:szCs w:val="31"/>
          <w:lang w:val="en-US" w:eastAsia="zh-CN" w:bidi="ar"/>
        </w:rPr>
        <w:t xml:space="preserve">所投项目名称：禹州市市场监督管理局创建国家食品安全城 </w:t>
      </w:r>
    </w:p>
    <w:p>
      <w:pPr>
        <w:keepNext w:val="0"/>
        <w:keepLines w:val="0"/>
        <w:widowControl/>
        <w:suppressLineNumbers w:val="0"/>
        <w:jc w:val="left"/>
      </w:pPr>
      <w:r>
        <w:rPr>
          <w:rFonts w:hint="eastAsia" w:ascii="宋体" w:hAnsi="宋体" w:eastAsia="宋体" w:cs="宋体"/>
          <w:color w:val="000000"/>
          <w:kern w:val="0"/>
          <w:sz w:val="31"/>
          <w:szCs w:val="31"/>
          <w:lang w:val="en-US" w:eastAsia="zh-CN" w:bidi="ar"/>
        </w:rPr>
        <w:t xml:space="preserve">食品抽样检测项目 </w:t>
      </w:r>
    </w:p>
    <w:p>
      <w:pPr>
        <w:keepNext w:val="0"/>
        <w:keepLines w:val="0"/>
        <w:widowControl/>
        <w:suppressLineNumbers w:val="0"/>
        <w:jc w:val="left"/>
      </w:pPr>
      <w:r>
        <w:rPr>
          <w:rFonts w:hint="eastAsia" w:ascii="宋体" w:hAnsi="宋体" w:eastAsia="宋体" w:cs="宋体"/>
          <w:color w:val="000000"/>
          <w:kern w:val="0"/>
          <w:sz w:val="31"/>
          <w:szCs w:val="31"/>
          <w:lang w:val="en-US" w:eastAsia="zh-CN" w:bidi="ar"/>
        </w:rPr>
        <w:t xml:space="preserve">项目编号：YZCG-G2019080 </w:t>
      </w:r>
    </w:p>
    <w:p>
      <w:pPr>
        <w:bidi w:val="0"/>
        <w:rPr>
          <w:rFonts w:hint="eastAsia"/>
        </w:rPr>
      </w:pPr>
    </w:p>
    <w:p>
      <w:pPr>
        <w:bidi w:val="0"/>
        <w:rPr>
          <w:rFonts w:hint="eastAsia"/>
        </w:rPr>
      </w:pPr>
    </w:p>
    <w:p>
      <w:pPr>
        <w:bidi w:val="0"/>
        <w:rPr>
          <w:rFonts w:hint="eastAsia"/>
        </w:rPr>
      </w:pPr>
    </w:p>
    <w:p>
      <w:pPr>
        <w:bidi w:val="0"/>
        <w:rPr>
          <w:rFonts w:hint="eastAsia"/>
        </w:rPr>
      </w:pPr>
    </w:p>
    <w:p>
      <w:pPr>
        <w:bidi w:val="0"/>
        <w:rPr>
          <w:rFonts w:hint="eastAsia"/>
        </w:rPr>
      </w:pPr>
    </w:p>
    <w:p>
      <w:pPr>
        <w:bidi w:val="0"/>
        <w:rPr>
          <w:rFonts w:hint="eastAsia"/>
        </w:rPr>
      </w:pPr>
    </w:p>
    <w:p>
      <w:pPr>
        <w:bidi w:val="0"/>
        <w:rPr>
          <w:rFonts w:hint="eastAsia"/>
        </w:rPr>
      </w:pPr>
    </w:p>
    <w:p>
      <w:pPr>
        <w:bidi w:val="0"/>
        <w:rPr>
          <w:rFonts w:hint="eastAsia"/>
        </w:rPr>
      </w:pPr>
    </w:p>
    <w:p>
      <w:pPr>
        <w:rPr>
          <w:rFonts w:hint="eastAsia"/>
        </w:rPr>
      </w:pPr>
    </w:p>
    <w:p>
      <w:pPr>
        <w:rPr>
          <w:rFonts w:hint="eastAsia"/>
        </w:rPr>
      </w:pPr>
    </w:p>
    <w:p>
      <w:pPr>
        <w:pStyle w:val="4"/>
        <w:rPr>
          <w:rFonts w:hint="eastAsia"/>
        </w:rPr>
      </w:pPr>
    </w:p>
    <w:p>
      <w:pPr>
        <w:pStyle w:val="4"/>
        <w:rPr>
          <w:rFonts w:hint="eastAsia"/>
        </w:rPr>
      </w:pPr>
    </w:p>
    <w:p>
      <w:pPr>
        <w:pStyle w:val="4"/>
        <w:rPr>
          <w:rFonts w:hint="eastAsia"/>
        </w:rPr>
      </w:pPr>
    </w:p>
    <w:p>
      <w:pPr>
        <w:pStyle w:val="4"/>
        <w:rPr>
          <w:rFonts w:hint="eastAsia"/>
        </w:rPr>
      </w:pPr>
    </w:p>
    <w:p>
      <w:pPr>
        <w:pStyle w:val="4"/>
        <w:rPr>
          <w:rFonts w:hint="eastAsia"/>
        </w:rPr>
      </w:pPr>
    </w:p>
    <w:p>
      <w:pPr>
        <w:bidi w:val="0"/>
        <w:rPr>
          <w:rFonts w:hint="eastAsia"/>
        </w:rPr>
      </w:pPr>
    </w:p>
    <w:p>
      <w:pPr>
        <w:bidi w:val="0"/>
        <w:rPr>
          <w:rFonts w:hint="eastAsia"/>
        </w:rPr>
      </w:pPr>
    </w:p>
    <w:p>
      <w:pPr>
        <w:bidi w:val="0"/>
        <w:rPr>
          <w:rFonts w:hint="eastAsia"/>
          <w:lang w:val="en-US" w:eastAsia="zh-CN"/>
        </w:rPr>
      </w:pPr>
    </w:p>
    <w:p>
      <w:pPr>
        <w:bidi w:val="0"/>
        <w:rPr>
          <w:rFonts w:hint="eastAsia"/>
          <w:lang w:val="en-US" w:eastAsia="zh-CN"/>
        </w:rPr>
      </w:pPr>
    </w:p>
    <w:p>
      <w:pPr>
        <w:keepNext w:val="0"/>
        <w:keepLines w:val="0"/>
        <w:widowControl/>
        <w:suppressLineNumbers w:val="0"/>
        <w:jc w:val="left"/>
      </w:pPr>
      <w:r>
        <w:rPr>
          <w:rFonts w:hint="eastAsia" w:ascii="宋体" w:hAnsi="宋体" w:eastAsia="宋体" w:cs="宋体"/>
          <w:color w:val="000000"/>
          <w:kern w:val="0"/>
          <w:sz w:val="31"/>
          <w:szCs w:val="31"/>
          <w:lang w:val="en-US" w:eastAsia="zh-CN" w:bidi="ar"/>
        </w:rPr>
        <w:t>投 标 人: 河南国康检测技术有限公司</w:t>
      </w:r>
    </w:p>
    <w:p>
      <w:pPr>
        <w:keepNext w:val="0"/>
        <w:keepLines w:val="0"/>
        <w:widowControl/>
        <w:suppressLineNumbers w:val="0"/>
        <w:jc w:val="left"/>
      </w:pPr>
      <w:r>
        <w:rPr>
          <w:rFonts w:hint="eastAsia" w:ascii="宋体" w:hAnsi="宋体" w:eastAsia="宋体" w:cs="宋体"/>
          <w:color w:val="000000"/>
          <w:kern w:val="0"/>
          <w:sz w:val="31"/>
          <w:szCs w:val="31"/>
          <w:lang w:val="en-US" w:eastAsia="zh-CN" w:bidi="ar"/>
        </w:rPr>
        <w:t>日</w:t>
      </w:r>
      <w:r>
        <w:rPr>
          <w:rFonts w:hint="default" w:ascii="Times New Roman" w:hAnsi="Times New Roman" w:eastAsia="宋体" w:cs="Times New Roman"/>
          <w:color w:val="000000"/>
          <w:kern w:val="0"/>
          <w:sz w:val="31"/>
          <w:szCs w:val="31"/>
          <w:lang w:val="en-US" w:eastAsia="zh-CN" w:bidi="ar"/>
        </w:rPr>
        <w:t xml:space="preserve"> </w:t>
      </w:r>
      <w:r>
        <w:rPr>
          <w:rFonts w:hint="eastAsia" w:ascii="宋体" w:hAnsi="宋体" w:eastAsia="宋体" w:cs="宋体"/>
          <w:color w:val="000000"/>
          <w:kern w:val="0"/>
          <w:sz w:val="31"/>
          <w:szCs w:val="31"/>
          <w:lang w:val="en-US" w:eastAsia="zh-CN" w:bidi="ar"/>
        </w:rPr>
        <w:t>期：</w:t>
      </w:r>
      <w:r>
        <w:rPr>
          <w:rFonts w:hint="default" w:ascii="Times New Roman" w:hAnsi="Times New Roman" w:eastAsia="宋体" w:cs="Times New Roman"/>
          <w:color w:val="000000"/>
          <w:kern w:val="0"/>
          <w:sz w:val="31"/>
          <w:szCs w:val="31"/>
          <w:lang w:val="en-US" w:eastAsia="zh-CN" w:bidi="ar"/>
        </w:rPr>
        <w:t xml:space="preserve">2019 </w:t>
      </w:r>
      <w:r>
        <w:rPr>
          <w:rFonts w:hint="eastAsia" w:ascii="宋体" w:hAnsi="宋体" w:eastAsia="宋体" w:cs="宋体"/>
          <w:color w:val="000000"/>
          <w:kern w:val="0"/>
          <w:sz w:val="31"/>
          <w:szCs w:val="31"/>
          <w:lang w:val="en-US" w:eastAsia="zh-CN" w:bidi="ar"/>
        </w:rPr>
        <w:t xml:space="preserve">年 </w:t>
      </w:r>
      <w:r>
        <w:rPr>
          <w:rFonts w:hint="default" w:ascii="Times New Roman" w:hAnsi="Times New Roman" w:eastAsia="宋体" w:cs="Times New Roman"/>
          <w:color w:val="000000"/>
          <w:kern w:val="0"/>
          <w:sz w:val="31"/>
          <w:szCs w:val="31"/>
          <w:lang w:val="en-US" w:eastAsia="zh-CN" w:bidi="ar"/>
        </w:rPr>
        <w:t xml:space="preserve">5 </w:t>
      </w:r>
      <w:r>
        <w:rPr>
          <w:rFonts w:hint="eastAsia" w:ascii="宋体" w:hAnsi="宋体" w:eastAsia="宋体" w:cs="宋体"/>
          <w:color w:val="000000"/>
          <w:kern w:val="0"/>
          <w:sz w:val="31"/>
          <w:szCs w:val="31"/>
          <w:lang w:val="en-US" w:eastAsia="zh-CN" w:bidi="ar"/>
        </w:rPr>
        <w:t xml:space="preserve">月 </w:t>
      </w:r>
      <w:r>
        <w:rPr>
          <w:rFonts w:hint="eastAsia" w:ascii="Times New Roman" w:hAnsi="Times New Roman" w:cs="Times New Roman"/>
          <w:color w:val="000000"/>
          <w:kern w:val="0"/>
          <w:sz w:val="31"/>
          <w:szCs w:val="31"/>
          <w:lang w:val="en-US" w:eastAsia="zh-CN" w:bidi="ar"/>
        </w:rPr>
        <w:t>9</w:t>
      </w:r>
      <w:r>
        <w:rPr>
          <w:rFonts w:hint="default" w:ascii="Times New Roman" w:hAnsi="Times New Roman" w:eastAsia="宋体" w:cs="Times New Roman"/>
          <w:color w:val="000000"/>
          <w:kern w:val="0"/>
          <w:sz w:val="31"/>
          <w:szCs w:val="31"/>
          <w:lang w:val="en-US" w:eastAsia="zh-CN" w:bidi="ar"/>
        </w:rPr>
        <w:t xml:space="preserve"> </w:t>
      </w:r>
      <w:r>
        <w:rPr>
          <w:rFonts w:hint="eastAsia" w:ascii="宋体" w:hAnsi="宋体" w:eastAsia="宋体" w:cs="宋体"/>
          <w:color w:val="000000"/>
          <w:kern w:val="0"/>
          <w:sz w:val="31"/>
          <w:szCs w:val="31"/>
          <w:lang w:val="en-US" w:eastAsia="zh-CN" w:bidi="ar"/>
        </w:rPr>
        <w:t>日</w:t>
      </w:r>
    </w:p>
    <w:p>
      <w:pPr>
        <w:pStyle w:val="5"/>
        <w:bidi w:val="0"/>
        <w:jc w:val="center"/>
      </w:pPr>
      <w:r>
        <w:rPr>
          <w:rFonts w:hint="eastAsia"/>
        </w:rPr>
        <w:br w:type="page"/>
      </w:r>
      <w:r>
        <w:rPr>
          <w:rFonts w:hint="eastAsia"/>
          <w:lang w:eastAsia="zh-CN"/>
        </w:rPr>
        <w:t>二、</w:t>
      </w:r>
      <w:r>
        <w:rPr>
          <w:rFonts w:hint="eastAsia"/>
        </w:rPr>
        <w:t>开标一览表</w:t>
      </w:r>
    </w:p>
    <w:p>
      <w:pPr>
        <w:spacing w:before="50" w:afterLines="50" w:line="360" w:lineRule="auto"/>
        <w:contextualSpacing/>
        <w:jc w:val="left"/>
        <w:rPr>
          <w:rFonts w:ascii="宋体" w:hAnsi="宋体"/>
          <w:color w:val="000000"/>
          <w:sz w:val="24"/>
          <w:szCs w:val="24"/>
        </w:rPr>
      </w:pPr>
      <w:r>
        <w:rPr>
          <w:rFonts w:hint="eastAsia" w:ascii="宋体" w:hAnsi="宋体"/>
          <w:color w:val="000000"/>
          <w:sz w:val="24"/>
          <w:szCs w:val="24"/>
        </w:rPr>
        <w:t>项目编号：YZCG-G2019080</w:t>
      </w:r>
    </w:p>
    <w:p>
      <w:pPr>
        <w:spacing w:line="360" w:lineRule="auto"/>
        <w:contextualSpacing/>
        <w:rPr>
          <w:rFonts w:ascii="宋体" w:hAnsi="宋体"/>
          <w:color w:val="000000"/>
          <w:sz w:val="24"/>
          <w:szCs w:val="24"/>
        </w:rPr>
      </w:pPr>
      <w:r>
        <w:rPr>
          <w:rFonts w:hint="eastAsia" w:ascii="宋体" w:hAnsi="宋体"/>
          <w:color w:val="000000"/>
          <w:sz w:val="24"/>
          <w:szCs w:val="24"/>
        </w:rPr>
        <w:t>项目名称：</w:t>
      </w:r>
      <w:r>
        <w:rPr>
          <w:rFonts w:hint="eastAsia" w:ascii="宋体" w:hAnsi="宋体"/>
          <w:color w:val="000000"/>
          <w:sz w:val="24"/>
          <w:szCs w:val="24"/>
          <w:lang w:val="zh-CN" w:eastAsia="zh-CN"/>
        </w:rPr>
        <w:t>禹州市市场监督管理局创建国家食品安全城食品抽样检测项目</w:t>
      </w:r>
      <w:r>
        <w:rPr>
          <w:rFonts w:hint="eastAsia" w:ascii="宋体" w:hAnsi="宋体"/>
          <w:color w:val="000000"/>
          <w:sz w:val="24"/>
          <w:szCs w:val="24"/>
        </w:rPr>
        <w:t xml:space="preserve">    </w:t>
      </w:r>
      <w:r>
        <w:rPr>
          <w:rFonts w:hint="eastAsia" w:ascii="宋体" w:hAnsi="宋体"/>
          <w:color w:val="000000"/>
          <w:sz w:val="24"/>
          <w:szCs w:val="24"/>
          <w:lang w:val="en-US" w:eastAsia="zh-CN"/>
        </w:rPr>
        <w:t xml:space="preserve">     </w:t>
      </w:r>
      <w:r>
        <w:rPr>
          <w:rFonts w:hint="eastAsia" w:ascii="宋体" w:hAnsi="宋体"/>
          <w:color w:val="000000"/>
          <w:sz w:val="24"/>
          <w:szCs w:val="24"/>
        </w:rPr>
        <w:t xml:space="preserve">  </w:t>
      </w:r>
      <w:r>
        <w:rPr>
          <w:rFonts w:hint="eastAsia" w:ascii="宋体" w:hAnsi="宋体" w:cs="Arial"/>
          <w:sz w:val="24"/>
          <w:szCs w:val="24"/>
        </w:rPr>
        <w:t>单位：元（人民币）</w:t>
      </w:r>
    </w:p>
    <w:tbl>
      <w:tblPr>
        <w:tblStyle w:val="18"/>
        <w:tblW w:w="9041" w:type="dxa"/>
        <w:tblInd w:w="0" w:type="dxa"/>
        <w:tblLayout w:type="fixed"/>
        <w:tblCellMar>
          <w:top w:w="0" w:type="dxa"/>
          <w:left w:w="108" w:type="dxa"/>
          <w:bottom w:w="0" w:type="dxa"/>
          <w:right w:w="108" w:type="dxa"/>
        </w:tblCellMar>
      </w:tblPr>
      <w:tblGrid>
        <w:gridCol w:w="737"/>
        <w:gridCol w:w="1419"/>
        <w:gridCol w:w="1665"/>
        <w:gridCol w:w="2493"/>
        <w:gridCol w:w="2043"/>
        <w:gridCol w:w="684"/>
      </w:tblGrid>
      <w:tr>
        <w:tblPrEx>
          <w:tblLayout w:type="fixed"/>
          <w:tblCellMar>
            <w:top w:w="0" w:type="dxa"/>
            <w:left w:w="108" w:type="dxa"/>
            <w:bottom w:w="0" w:type="dxa"/>
            <w:right w:w="108" w:type="dxa"/>
          </w:tblCellMar>
        </w:tblPrEx>
        <w:trPr>
          <w:trHeight w:val="851" w:hRule="atLeast"/>
        </w:trPr>
        <w:tc>
          <w:tcPr>
            <w:tcW w:w="737" w:type="dxa"/>
            <w:tcBorders>
              <w:top w:val="single" w:color="auto" w:sz="6" w:space="0"/>
              <w:left w:val="single" w:color="auto" w:sz="6" w:space="0"/>
              <w:bottom w:val="single" w:color="auto" w:sz="6" w:space="0"/>
              <w:right w:val="single" w:color="auto" w:sz="6" w:space="0"/>
            </w:tcBorders>
            <w:shd w:val="clear" w:color="auto" w:fill="F1F1F1"/>
            <w:noWrap w:val="0"/>
            <w:vAlign w:val="center"/>
          </w:tcPr>
          <w:p>
            <w:pPr>
              <w:autoSpaceDE w:val="0"/>
              <w:autoSpaceDN w:val="0"/>
              <w:adjustRightInd w:val="0"/>
              <w:spacing w:line="480" w:lineRule="exact"/>
              <w:jc w:val="center"/>
              <w:rPr>
                <w:rFonts w:ascii="宋体" w:hAnsi="宋体" w:cs="宋体"/>
                <w:b/>
                <w:sz w:val="24"/>
                <w:szCs w:val="24"/>
                <w:lang w:val="zh-CN"/>
              </w:rPr>
            </w:pPr>
            <w:r>
              <w:rPr>
                <w:rFonts w:hint="eastAsia" w:ascii="宋体" w:hAnsi="宋体" w:cs="宋体"/>
                <w:b/>
                <w:sz w:val="24"/>
                <w:szCs w:val="24"/>
                <w:lang w:val="zh-CN"/>
              </w:rPr>
              <w:t>标段</w:t>
            </w:r>
          </w:p>
        </w:tc>
        <w:tc>
          <w:tcPr>
            <w:tcW w:w="1419" w:type="dxa"/>
            <w:tcBorders>
              <w:top w:val="single" w:color="auto" w:sz="6" w:space="0"/>
              <w:left w:val="single" w:color="auto" w:sz="6" w:space="0"/>
              <w:bottom w:val="single" w:color="auto" w:sz="6" w:space="0"/>
              <w:right w:val="single" w:color="auto" w:sz="6" w:space="0"/>
            </w:tcBorders>
            <w:shd w:val="clear" w:color="auto" w:fill="F1F1F1"/>
            <w:noWrap w:val="0"/>
            <w:vAlign w:val="center"/>
          </w:tcPr>
          <w:p>
            <w:pPr>
              <w:autoSpaceDE w:val="0"/>
              <w:autoSpaceDN w:val="0"/>
              <w:adjustRightInd w:val="0"/>
              <w:spacing w:line="480" w:lineRule="exact"/>
              <w:jc w:val="center"/>
              <w:rPr>
                <w:rFonts w:ascii="宋体" w:hAnsi="宋体" w:cs="宋体"/>
                <w:b/>
                <w:sz w:val="24"/>
                <w:szCs w:val="24"/>
                <w:lang w:val="zh-CN"/>
              </w:rPr>
            </w:pPr>
            <w:r>
              <w:rPr>
                <w:rFonts w:hint="eastAsia" w:ascii="宋体" w:hAnsi="宋体" w:cs="宋体"/>
                <w:b/>
                <w:sz w:val="24"/>
                <w:szCs w:val="24"/>
                <w:lang w:val="zh-CN"/>
              </w:rPr>
              <w:t>项目名称</w:t>
            </w:r>
          </w:p>
        </w:tc>
        <w:tc>
          <w:tcPr>
            <w:tcW w:w="1665" w:type="dxa"/>
            <w:tcBorders>
              <w:top w:val="single" w:color="auto" w:sz="6" w:space="0"/>
              <w:left w:val="single" w:color="auto" w:sz="6" w:space="0"/>
              <w:bottom w:val="single" w:color="auto" w:sz="6" w:space="0"/>
              <w:right w:val="single" w:color="auto" w:sz="6" w:space="0"/>
            </w:tcBorders>
            <w:shd w:val="clear" w:color="auto" w:fill="F1F1F1"/>
            <w:noWrap w:val="0"/>
            <w:vAlign w:val="center"/>
          </w:tcPr>
          <w:p>
            <w:pPr>
              <w:pStyle w:val="13"/>
              <w:spacing w:line="360" w:lineRule="auto"/>
              <w:jc w:val="center"/>
              <w:rPr>
                <w:rStyle w:val="30"/>
                <w:rFonts w:hint="default"/>
              </w:rPr>
            </w:pPr>
            <w:r>
              <w:rPr>
                <w:rStyle w:val="30"/>
                <w:rFonts w:hint="default"/>
              </w:rPr>
              <w:t>共报食品细类</w:t>
            </w:r>
          </w:p>
          <w:p>
            <w:pPr>
              <w:autoSpaceDE w:val="0"/>
              <w:autoSpaceDN w:val="0"/>
              <w:adjustRightInd w:val="0"/>
              <w:spacing w:line="480" w:lineRule="exact"/>
              <w:jc w:val="center"/>
              <w:rPr>
                <w:rFonts w:ascii="宋体" w:hAnsi="宋体" w:cs="宋体"/>
                <w:b/>
                <w:sz w:val="24"/>
                <w:szCs w:val="24"/>
                <w:lang w:val="zh-CN"/>
              </w:rPr>
            </w:pPr>
          </w:p>
        </w:tc>
        <w:tc>
          <w:tcPr>
            <w:tcW w:w="2493" w:type="dxa"/>
            <w:tcBorders>
              <w:top w:val="single" w:color="auto" w:sz="6" w:space="0"/>
              <w:left w:val="single" w:color="auto" w:sz="6" w:space="0"/>
              <w:bottom w:val="single" w:color="auto" w:sz="6" w:space="0"/>
              <w:right w:val="single" w:color="auto" w:sz="6" w:space="0"/>
            </w:tcBorders>
            <w:shd w:val="clear" w:color="auto" w:fill="F1F1F1"/>
            <w:noWrap w:val="0"/>
            <w:vAlign w:val="center"/>
          </w:tcPr>
          <w:p>
            <w:pPr>
              <w:autoSpaceDE w:val="0"/>
              <w:autoSpaceDN w:val="0"/>
              <w:adjustRightInd w:val="0"/>
              <w:spacing w:line="480" w:lineRule="exact"/>
              <w:jc w:val="center"/>
              <w:rPr>
                <w:rFonts w:hint="default" w:ascii="宋体" w:hAnsi="宋体" w:eastAsia="宋体" w:cs="宋体"/>
                <w:b/>
                <w:sz w:val="24"/>
                <w:szCs w:val="24"/>
                <w:lang w:val="en-US" w:eastAsia="zh-CN"/>
              </w:rPr>
            </w:pPr>
            <w:r>
              <w:rPr>
                <w:rFonts w:hint="eastAsia" w:ascii="宋体" w:hAnsi="宋体" w:cs="宋体"/>
                <w:b/>
                <w:sz w:val="24"/>
                <w:szCs w:val="24"/>
                <w:lang w:val="zh-CN"/>
              </w:rPr>
              <w:t>占全部</w:t>
            </w:r>
            <w:r>
              <w:rPr>
                <w:rFonts w:hint="eastAsia" w:ascii="宋体" w:hAnsi="宋体" w:cs="宋体"/>
                <w:b/>
                <w:sz w:val="24"/>
                <w:szCs w:val="24"/>
                <w:lang w:val="en-US" w:eastAsia="zh-CN"/>
              </w:rPr>
              <w:t>259个食品细类的百分比</w:t>
            </w:r>
          </w:p>
        </w:tc>
        <w:tc>
          <w:tcPr>
            <w:tcW w:w="2043" w:type="dxa"/>
            <w:tcBorders>
              <w:top w:val="single" w:color="auto" w:sz="6" w:space="0"/>
              <w:left w:val="single" w:color="auto" w:sz="6" w:space="0"/>
              <w:bottom w:val="single" w:color="auto" w:sz="6" w:space="0"/>
              <w:right w:val="single" w:color="auto" w:sz="6" w:space="0"/>
            </w:tcBorders>
            <w:shd w:val="clear" w:color="auto" w:fill="F1F1F1"/>
            <w:noWrap w:val="0"/>
            <w:vAlign w:val="center"/>
          </w:tcPr>
          <w:p>
            <w:pPr>
              <w:autoSpaceDE w:val="0"/>
              <w:autoSpaceDN w:val="0"/>
              <w:adjustRightInd w:val="0"/>
              <w:spacing w:line="480" w:lineRule="exact"/>
              <w:jc w:val="center"/>
              <w:rPr>
                <w:rFonts w:hint="eastAsia" w:ascii="宋体" w:hAnsi="宋体" w:cs="宋体"/>
                <w:b/>
                <w:sz w:val="24"/>
                <w:szCs w:val="24"/>
                <w:lang w:val="zh-CN"/>
              </w:rPr>
            </w:pPr>
            <w:r>
              <w:rPr>
                <w:rFonts w:hint="eastAsia" w:ascii="宋体" w:hAnsi="宋体" w:cs="宋体"/>
                <w:b/>
                <w:sz w:val="24"/>
                <w:szCs w:val="24"/>
                <w:lang w:val="zh-CN"/>
              </w:rPr>
              <w:t>投标细类单批次均价</w:t>
            </w:r>
          </w:p>
        </w:tc>
        <w:tc>
          <w:tcPr>
            <w:tcW w:w="684" w:type="dxa"/>
            <w:tcBorders>
              <w:top w:val="single" w:color="auto" w:sz="6" w:space="0"/>
              <w:left w:val="single" w:color="auto" w:sz="6" w:space="0"/>
              <w:bottom w:val="single" w:color="auto" w:sz="6" w:space="0"/>
              <w:right w:val="single" w:color="auto" w:sz="6" w:space="0"/>
            </w:tcBorders>
            <w:shd w:val="clear" w:color="auto" w:fill="F1F1F1"/>
            <w:noWrap w:val="0"/>
            <w:vAlign w:val="center"/>
          </w:tcPr>
          <w:p>
            <w:pPr>
              <w:autoSpaceDE w:val="0"/>
              <w:autoSpaceDN w:val="0"/>
              <w:adjustRightInd w:val="0"/>
              <w:spacing w:line="480" w:lineRule="exact"/>
              <w:jc w:val="center"/>
              <w:rPr>
                <w:rFonts w:hint="eastAsia" w:ascii="宋体" w:hAnsi="宋体" w:cs="宋体"/>
                <w:b/>
                <w:sz w:val="24"/>
                <w:szCs w:val="24"/>
                <w:lang w:val="zh-CN"/>
              </w:rPr>
            </w:pPr>
            <w:r>
              <w:rPr>
                <w:rFonts w:hint="eastAsia" w:ascii="宋体" w:hAnsi="宋体" w:cs="宋体"/>
                <w:b/>
                <w:sz w:val="24"/>
                <w:szCs w:val="24"/>
                <w:lang w:val="zh-CN"/>
              </w:rPr>
              <w:t>备注</w:t>
            </w:r>
          </w:p>
        </w:tc>
      </w:tr>
      <w:tr>
        <w:tblPrEx>
          <w:tblLayout w:type="fixed"/>
          <w:tblCellMar>
            <w:top w:w="0" w:type="dxa"/>
            <w:left w:w="108" w:type="dxa"/>
            <w:bottom w:w="0" w:type="dxa"/>
            <w:right w:w="108" w:type="dxa"/>
          </w:tblCellMar>
        </w:tblPrEx>
        <w:trPr>
          <w:trHeight w:val="1973" w:hRule="atLeast"/>
        </w:trPr>
        <w:tc>
          <w:tcPr>
            <w:tcW w:w="737"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480" w:lineRule="exact"/>
              <w:ind w:firstLine="240"/>
              <w:jc w:val="center"/>
              <w:rPr>
                <w:rFonts w:hint="eastAsia" w:ascii="宋体" w:hAnsi="宋体" w:eastAsia="宋体"/>
                <w:sz w:val="24"/>
                <w:szCs w:val="24"/>
                <w:lang w:val="en-US" w:eastAsia="zh-CN"/>
              </w:rPr>
            </w:pPr>
            <w:r>
              <w:rPr>
                <w:rFonts w:hint="eastAsia" w:ascii="宋体" w:hAnsi="宋体"/>
                <w:sz w:val="24"/>
                <w:szCs w:val="24"/>
                <w:lang w:val="en-US" w:eastAsia="zh-CN"/>
              </w:rPr>
              <w:t>第1标段</w:t>
            </w:r>
          </w:p>
        </w:tc>
        <w:tc>
          <w:tcPr>
            <w:tcW w:w="1419"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480" w:lineRule="exact"/>
              <w:jc w:val="center"/>
              <w:rPr>
                <w:rFonts w:ascii="宋体" w:hAnsi="宋体"/>
                <w:sz w:val="24"/>
                <w:szCs w:val="24"/>
              </w:rPr>
            </w:pPr>
            <w:r>
              <w:rPr>
                <w:rFonts w:hint="eastAsia" w:ascii="宋体" w:hAnsi="宋体"/>
                <w:sz w:val="24"/>
                <w:szCs w:val="24"/>
                <w:lang w:val="zh-CN" w:eastAsia="zh-CN"/>
              </w:rPr>
              <w:t>禹州市市场监督管理局创建国家食品安全城食品抽样检测项目</w:t>
            </w:r>
          </w:p>
        </w:tc>
        <w:tc>
          <w:tcPr>
            <w:tcW w:w="1665" w:type="dxa"/>
            <w:tcBorders>
              <w:top w:val="single" w:color="auto" w:sz="6" w:space="0"/>
              <w:left w:val="single" w:color="auto" w:sz="6" w:space="0"/>
              <w:bottom w:val="single" w:color="auto" w:sz="6" w:space="0"/>
              <w:right w:val="single" w:color="auto" w:sz="6" w:space="0"/>
            </w:tcBorders>
            <w:noWrap w:val="0"/>
            <w:vAlign w:val="center"/>
          </w:tcPr>
          <w:p>
            <w:pPr>
              <w:pStyle w:val="13"/>
              <w:spacing w:line="360" w:lineRule="auto"/>
              <w:jc w:val="center"/>
              <w:rPr>
                <w:rStyle w:val="30"/>
                <w:rFonts w:hint="eastAsia"/>
                <w:u w:val="single"/>
                <w:lang w:val="en-US" w:eastAsia="zh-CN"/>
              </w:rPr>
            </w:pPr>
          </w:p>
          <w:p>
            <w:pPr>
              <w:pStyle w:val="13"/>
              <w:spacing w:line="360" w:lineRule="auto"/>
              <w:jc w:val="center"/>
              <w:rPr>
                <w:rStyle w:val="30"/>
                <w:rFonts w:hint="default"/>
              </w:rPr>
            </w:pPr>
            <w:r>
              <w:rPr>
                <w:rStyle w:val="30"/>
                <w:rFonts w:hint="eastAsia"/>
                <w:u w:val="single"/>
                <w:lang w:val="en-US" w:eastAsia="zh-CN"/>
              </w:rPr>
              <w:t>259</w:t>
            </w:r>
            <w:r>
              <w:rPr>
                <w:rStyle w:val="30"/>
                <w:rFonts w:hint="default"/>
                <w:u w:val="single"/>
              </w:rPr>
              <w:t xml:space="preserve">   </w:t>
            </w:r>
            <w:r>
              <w:rPr>
                <w:rStyle w:val="30"/>
                <w:rFonts w:hint="default"/>
              </w:rPr>
              <w:t>个</w:t>
            </w:r>
          </w:p>
          <w:p>
            <w:pPr>
              <w:autoSpaceDE w:val="0"/>
              <w:autoSpaceDN w:val="0"/>
              <w:adjustRightInd w:val="0"/>
              <w:spacing w:line="480" w:lineRule="exact"/>
              <w:jc w:val="center"/>
              <w:rPr>
                <w:rFonts w:ascii="宋体" w:hAnsi="宋体" w:cs="宋体"/>
                <w:sz w:val="24"/>
                <w:szCs w:val="24"/>
                <w:lang w:val="zh-CN"/>
              </w:rPr>
            </w:pPr>
          </w:p>
        </w:tc>
        <w:tc>
          <w:tcPr>
            <w:tcW w:w="2493" w:type="dxa"/>
            <w:tcBorders>
              <w:top w:val="single" w:color="auto" w:sz="6" w:space="0"/>
              <w:left w:val="single" w:color="auto" w:sz="6" w:space="0"/>
              <w:bottom w:val="single" w:color="auto" w:sz="6" w:space="0"/>
              <w:right w:val="single" w:color="auto" w:sz="6" w:space="0"/>
            </w:tcBorders>
            <w:noWrap w:val="0"/>
            <w:vAlign w:val="center"/>
          </w:tcPr>
          <w:p>
            <w:pPr>
              <w:pStyle w:val="13"/>
              <w:spacing w:line="360" w:lineRule="auto"/>
              <w:jc w:val="center"/>
              <w:rPr>
                <w:rStyle w:val="30"/>
                <w:rFonts w:hint="eastAsia"/>
                <w:u w:val="single"/>
                <w:lang w:val="en-US" w:eastAsia="zh-CN"/>
              </w:rPr>
            </w:pPr>
          </w:p>
          <w:p>
            <w:pPr>
              <w:pStyle w:val="13"/>
              <w:spacing w:line="360" w:lineRule="auto"/>
              <w:jc w:val="center"/>
              <w:rPr>
                <w:rStyle w:val="30"/>
                <w:rFonts w:hint="default"/>
              </w:rPr>
            </w:pPr>
            <w:r>
              <w:rPr>
                <w:rStyle w:val="30"/>
                <w:rFonts w:hint="eastAsia"/>
                <w:u w:val="single"/>
                <w:lang w:val="en-US" w:eastAsia="zh-CN"/>
              </w:rPr>
              <w:t>100</w:t>
            </w:r>
            <w:r>
              <w:rPr>
                <w:rStyle w:val="30"/>
                <w:rFonts w:hint="default"/>
                <w:u w:val="single"/>
              </w:rPr>
              <w:t xml:space="preserve">   </w:t>
            </w:r>
            <w:r>
              <w:rPr>
                <w:rStyle w:val="30"/>
                <w:rFonts w:hint="default"/>
              </w:rPr>
              <w:t>%</w:t>
            </w:r>
          </w:p>
          <w:p>
            <w:pPr>
              <w:autoSpaceDE w:val="0"/>
              <w:autoSpaceDN w:val="0"/>
              <w:adjustRightInd w:val="0"/>
              <w:spacing w:line="480" w:lineRule="exact"/>
              <w:ind w:firstLine="240"/>
              <w:jc w:val="center"/>
              <w:rPr>
                <w:rFonts w:ascii="宋体" w:hAnsi="宋体" w:cs="宋体"/>
                <w:sz w:val="24"/>
                <w:szCs w:val="24"/>
                <w:lang w:val="zh-CN"/>
              </w:rPr>
            </w:pPr>
          </w:p>
        </w:tc>
        <w:tc>
          <w:tcPr>
            <w:tcW w:w="204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480" w:lineRule="exact"/>
              <w:jc w:val="center"/>
              <w:rPr>
                <w:rFonts w:ascii="宋体" w:hAnsi="宋体" w:cs="宋体"/>
                <w:sz w:val="24"/>
                <w:szCs w:val="24"/>
                <w:lang w:val="zh-CN"/>
              </w:rPr>
            </w:pPr>
            <w:r>
              <w:rPr>
                <w:rStyle w:val="30"/>
                <w:rFonts w:hint="eastAsia"/>
                <w:u w:val="single"/>
                <w:lang w:val="en-US" w:eastAsia="zh-CN"/>
              </w:rPr>
              <w:t>948.42</w:t>
            </w:r>
            <w:r>
              <w:rPr>
                <w:rStyle w:val="30"/>
                <w:rFonts w:hint="default"/>
                <w:u w:val="single"/>
              </w:rPr>
              <w:t xml:space="preserve"> </w:t>
            </w:r>
            <w:r>
              <w:rPr>
                <w:rStyle w:val="30"/>
                <w:rFonts w:hint="default"/>
              </w:rPr>
              <w:t>元</w:t>
            </w:r>
          </w:p>
        </w:tc>
        <w:tc>
          <w:tcPr>
            <w:tcW w:w="684"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480" w:lineRule="exact"/>
              <w:ind w:firstLine="240"/>
              <w:jc w:val="center"/>
              <w:rPr>
                <w:rFonts w:ascii="宋体" w:hAnsi="宋体" w:cs="宋体"/>
                <w:sz w:val="24"/>
                <w:szCs w:val="24"/>
                <w:lang w:val="zh-CN"/>
              </w:rPr>
            </w:pPr>
          </w:p>
        </w:tc>
      </w:tr>
    </w:tbl>
    <w:p>
      <w:pPr>
        <w:autoSpaceDE w:val="0"/>
        <w:autoSpaceDN w:val="0"/>
        <w:adjustRightInd w:val="0"/>
        <w:spacing w:line="480" w:lineRule="auto"/>
        <w:rPr>
          <w:rFonts w:ascii="宋体" w:hAnsi="宋体" w:cs="宋体"/>
          <w:sz w:val="24"/>
          <w:szCs w:val="24"/>
          <w:lang w:val="zh-CN"/>
        </w:rPr>
      </w:pPr>
      <w:r>
        <w:rPr>
          <w:rFonts w:hint="eastAsia" w:ascii="宋体" w:hAnsi="宋体" w:cs="宋体"/>
          <w:sz w:val="24"/>
          <w:szCs w:val="24"/>
          <w:lang w:val="zh-CN"/>
        </w:rPr>
        <w:t>投标人名称：</w:t>
      </w:r>
      <w:r>
        <w:rPr>
          <w:rFonts w:hint="eastAsia" w:ascii="宋体" w:hAnsi="宋体" w:cs="宋体"/>
          <w:sz w:val="24"/>
          <w:szCs w:val="24"/>
          <w:u w:val="single"/>
          <w:lang w:val="zh-CN"/>
        </w:rPr>
        <w:t xml:space="preserve"> </w:t>
      </w:r>
      <w:r>
        <w:rPr>
          <w:rFonts w:hint="eastAsia" w:ascii="宋体" w:hAnsi="宋体" w:cs="宋体"/>
          <w:sz w:val="24"/>
          <w:szCs w:val="24"/>
          <w:u w:val="single"/>
          <w:lang w:val="zh-CN" w:eastAsia="zh-CN"/>
        </w:rPr>
        <w:t>河南国康检测技术有限公司</w:t>
      </w:r>
      <w:r>
        <w:rPr>
          <w:rFonts w:hint="eastAsia" w:ascii="宋体" w:hAnsi="宋体" w:cs="宋体"/>
          <w:sz w:val="24"/>
          <w:szCs w:val="24"/>
          <w:u w:val="single"/>
          <w:lang w:val="zh-CN"/>
        </w:rPr>
        <w:t>（全称）</w:t>
      </w:r>
      <w:r>
        <w:rPr>
          <w:rFonts w:hint="eastAsia" w:ascii="宋体" w:hAnsi="宋体" w:cs="宋体"/>
          <w:sz w:val="24"/>
          <w:szCs w:val="24"/>
          <w:lang w:val="zh-CN"/>
        </w:rPr>
        <w:t>（公章）：</w:t>
      </w:r>
    </w:p>
    <w:p>
      <w:pPr>
        <w:autoSpaceDE w:val="0"/>
        <w:autoSpaceDN w:val="0"/>
        <w:adjustRightInd w:val="0"/>
        <w:spacing w:line="480" w:lineRule="auto"/>
        <w:rPr>
          <w:rFonts w:ascii="宋体" w:hAnsi="宋体" w:cs="宋体"/>
          <w:sz w:val="24"/>
          <w:szCs w:val="24"/>
          <w:lang w:val="zh-CN"/>
        </w:rPr>
      </w:pPr>
      <w:r>
        <w:rPr>
          <w:rFonts w:hint="eastAsia" w:ascii="宋体" w:hAnsi="宋体" w:cs="宋体"/>
          <w:sz w:val="24"/>
          <w:szCs w:val="24"/>
          <w:lang w:val="zh-CN"/>
        </w:rPr>
        <w:t>投标人法定代表人（或授权代表）签字：</w:t>
      </w:r>
    </w:p>
    <w:p>
      <w:pPr>
        <w:rPr>
          <w:rFonts w:hint="eastAsia"/>
        </w:rPr>
      </w:pPr>
      <w:r>
        <w:rPr>
          <w:rFonts w:hint="eastAsia" w:ascii="宋体" w:hAnsi="宋体" w:cs="宋体"/>
          <w:sz w:val="24"/>
          <w:szCs w:val="24"/>
          <w:lang w:val="zh-CN"/>
        </w:rPr>
        <w:t>日期：</w:t>
      </w:r>
      <w:r>
        <w:rPr>
          <w:rFonts w:hint="eastAsia" w:ascii="宋体" w:hAnsi="宋体" w:cs="宋体"/>
          <w:sz w:val="24"/>
          <w:szCs w:val="24"/>
          <w:lang w:val="en-US" w:eastAsia="zh-CN"/>
        </w:rPr>
        <w:t xml:space="preserve">2019 </w:t>
      </w:r>
      <w:r>
        <w:rPr>
          <w:rFonts w:hint="eastAsia" w:ascii="宋体" w:hAnsi="宋体" w:cs="宋体"/>
          <w:sz w:val="24"/>
          <w:szCs w:val="24"/>
          <w:lang w:val="zh-CN"/>
        </w:rPr>
        <w:t>年</w:t>
      </w:r>
      <w:r>
        <w:rPr>
          <w:rFonts w:ascii="宋体" w:hAnsi="宋体" w:cs="宋体"/>
          <w:sz w:val="24"/>
          <w:szCs w:val="24"/>
          <w:lang w:val="zh-CN"/>
        </w:rPr>
        <w:t xml:space="preserve"> </w:t>
      </w:r>
      <w:r>
        <w:rPr>
          <w:rFonts w:hint="eastAsia" w:ascii="宋体" w:hAnsi="宋体" w:cs="宋体"/>
          <w:sz w:val="24"/>
          <w:szCs w:val="24"/>
          <w:lang w:val="en-US" w:eastAsia="zh-CN"/>
        </w:rPr>
        <w:t>5</w:t>
      </w:r>
      <w:r>
        <w:rPr>
          <w:rFonts w:ascii="宋体" w:hAnsi="宋体" w:cs="宋体"/>
          <w:sz w:val="24"/>
          <w:szCs w:val="24"/>
          <w:lang w:val="zh-CN"/>
        </w:rPr>
        <w:t xml:space="preserve"> </w:t>
      </w:r>
      <w:r>
        <w:rPr>
          <w:rFonts w:hint="eastAsia" w:ascii="宋体" w:hAnsi="宋体" w:cs="宋体"/>
          <w:sz w:val="24"/>
          <w:szCs w:val="24"/>
          <w:lang w:val="zh-CN"/>
        </w:rPr>
        <w:t>月</w:t>
      </w:r>
      <w:r>
        <w:rPr>
          <w:rFonts w:ascii="宋体" w:hAnsi="宋体" w:cs="宋体"/>
          <w:sz w:val="24"/>
          <w:szCs w:val="24"/>
          <w:lang w:val="zh-CN"/>
        </w:rPr>
        <w:t xml:space="preserve"> </w:t>
      </w:r>
      <w:r>
        <w:rPr>
          <w:rFonts w:hint="eastAsia" w:ascii="宋体" w:hAnsi="宋体" w:cs="宋体"/>
          <w:sz w:val="24"/>
          <w:szCs w:val="24"/>
          <w:lang w:val="en-US" w:eastAsia="zh-CN"/>
        </w:rPr>
        <w:t>8</w:t>
      </w:r>
      <w:r>
        <w:rPr>
          <w:rFonts w:ascii="宋体" w:hAnsi="宋体" w:cs="宋体"/>
          <w:sz w:val="24"/>
          <w:szCs w:val="24"/>
          <w:lang w:val="zh-CN"/>
        </w:rPr>
        <w:t xml:space="preserve"> </w:t>
      </w:r>
      <w:r>
        <w:rPr>
          <w:rFonts w:hint="eastAsia" w:ascii="宋体" w:hAnsi="宋体" w:cs="宋体"/>
          <w:sz w:val="24"/>
          <w:szCs w:val="24"/>
          <w:lang w:val="zh-CN"/>
        </w:rPr>
        <w:t>日</w:t>
      </w:r>
    </w:p>
    <w:p>
      <w:pPr>
        <w:rPr>
          <w:rFonts w:hint="eastAsia"/>
        </w:rPr>
      </w:pPr>
      <w:r>
        <w:rPr>
          <w:rFonts w:hint="eastAsia"/>
        </w:rPr>
        <w:br w:type="page"/>
      </w:r>
    </w:p>
    <w:p>
      <w:pPr>
        <w:pStyle w:val="6"/>
      </w:pPr>
      <w:r>
        <w:rPr>
          <w:rFonts w:hint="eastAsia"/>
        </w:rPr>
        <w:t>4.1服务项目报价明</w:t>
      </w:r>
      <w:r>
        <w:t>细表</w:t>
      </w:r>
    </w:p>
    <w:p>
      <w:pPr>
        <w:spacing w:afterLines="50" w:line="360" w:lineRule="auto"/>
        <w:rPr>
          <w:rFonts w:ascii="宋体" w:hAnsi="宋体"/>
          <w:sz w:val="24"/>
        </w:rPr>
      </w:pPr>
      <w:r>
        <w:rPr>
          <w:rFonts w:ascii="宋体" w:hAnsi="宋体" w:cs="Arial"/>
          <w:color w:val="000000"/>
          <w:sz w:val="24"/>
          <w:szCs w:val="24"/>
        </w:rPr>
        <w:t xml:space="preserve"> </w:t>
      </w:r>
      <w:r>
        <w:rPr>
          <w:rFonts w:hint="eastAsia" w:ascii="宋体" w:hAnsi="宋体"/>
          <w:sz w:val="24"/>
        </w:rPr>
        <w:t>同第二部分：项目需求及其它要求中《大宗食品检验检测机构协议供货检测品种、项目及报价表》</w:t>
      </w:r>
    </w:p>
    <w:tbl>
      <w:tblPr>
        <w:tblStyle w:val="18"/>
        <w:tblW w:w="9375" w:type="dxa"/>
        <w:tblInd w:w="0" w:type="dxa"/>
        <w:tblLayout w:type="fixed"/>
        <w:tblCellMar>
          <w:top w:w="0" w:type="dxa"/>
          <w:left w:w="0" w:type="dxa"/>
          <w:bottom w:w="0" w:type="dxa"/>
          <w:right w:w="0" w:type="dxa"/>
        </w:tblCellMar>
      </w:tblPr>
      <w:tblGrid>
        <w:gridCol w:w="495"/>
        <w:gridCol w:w="915"/>
        <w:gridCol w:w="930"/>
        <w:gridCol w:w="945"/>
        <w:gridCol w:w="930"/>
        <w:gridCol w:w="2244"/>
        <w:gridCol w:w="720"/>
        <w:gridCol w:w="690"/>
        <w:gridCol w:w="531"/>
        <w:gridCol w:w="975"/>
      </w:tblGrid>
      <w:tr>
        <w:tblPrEx>
          <w:tblLayout w:type="fixed"/>
          <w:tblCellMar>
            <w:top w:w="0" w:type="dxa"/>
            <w:left w:w="0" w:type="dxa"/>
            <w:bottom w:w="0" w:type="dxa"/>
            <w:right w:w="0" w:type="dxa"/>
          </w:tblCellMar>
        </w:tblPrEx>
        <w:trPr>
          <w:trHeight w:val="675" w:hRule="atLeast"/>
        </w:trPr>
        <w:tc>
          <w:tcPr>
            <w:tcW w:w="9375" w:type="dxa"/>
            <w:gridSpan w:val="10"/>
            <w:tcBorders>
              <w:top w:val="nil"/>
              <w:left w:val="nil"/>
              <w:bottom w:val="nil"/>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24"/>
                <w:szCs w:val="24"/>
              </w:rPr>
            </w:pPr>
            <w:r>
              <w:rPr>
                <w:rFonts w:hint="eastAsia" w:ascii="宋体" w:hAnsi="宋体"/>
                <w:b/>
                <w:bCs/>
                <w:sz w:val="24"/>
              </w:rPr>
              <w:t>大宗食品检验检测机构协议供货检测品种、项目及报价表</w:t>
            </w:r>
          </w:p>
        </w:tc>
      </w:tr>
      <w:tr>
        <w:tblPrEx>
          <w:tblLayout w:type="fixed"/>
          <w:tblCellMar>
            <w:top w:w="0" w:type="dxa"/>
            <w:left w:w="0" w:type="dxa"/>
            <w:bottom w:w="0" w:type="dxa"/>
            <w:right w:w="0" w:type="dxa"/>
          </w:tblCellMar>
        </w:tblPrEx>
        <w:trPr>
          <w:trHeight w:val="312" w:hRule="atLeast"/>
        </w:trPr>
        <w:tc>
          <w:tcPr>
            <w:tcW w:w="49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序号</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食品大类</w:t>
            </w:r>
          </w:p>
        </w:tc>
        <w:tc>
          <w:tcPr>
            <w:tcW w:w="9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食品亚类</w:t>
            </w:r>
          </w:p>
        </w:tc>
        <w:tc>
          <w:tcPr>
            <w:tcW w:w="94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食品品种</w:t>
            </w:r>
          </w:p>
        </w:tc>
        <w:tc>
          <w:tcPr>
            <w:tcW w:w="9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食品细类</w:t>
            </w:r>
          </w:p>
        </w:tc>
        <w:tc>
          <w:tcPr>
            <w:tcW w:w="224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检测项目</w:t>
            </w:r>
          </w:p>
        </w:tc>
        <w:tc>
          <w:tcPr>
            <w:tcW w:w="72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单项目检测费</w:t>
            </w:r>
          </w:p>
        </w:tc>
        <w:tc>
          <w:tcPr>
            <w:tcW w:w="69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单批次检测费</w:t>
            </w:r>
          </w:p>
        </w:tc>
        <w:tc>
          <w:tcPr>
            <w:tcW w:w="53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单批次采样费</w:t>
            </w:r>
          </w:p>
        </w:tc>
        <w:tc>
          <w:tcPr>
            <w:tcW w:w="97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单批次总报价</w:t>
            </w:r>
          </w:p>
        </w:tc>
      </w:tr>
      <w:tr>
        <w:tblPrEx>
          <w:tblLayout w:type="fixed"/>
          <w:tblCellMar>
            <w:top w:w="0" w:type="dxa"/>
            <w:left w:w="0" w:type="dxa"/>
            <w:bottom w:w="0" w:type="dxa"/>
            <w:right w:w="0" w:type="dxa"/>
          </w:tblCellMar>
        </w:tblPrEx>
        <w:trPr>
          <w:trHeight w:val="500"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9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9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224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7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5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restart"/>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91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粮食加工品</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大米</w:t>
            </w: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大米</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大米</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总汞（以Hg计）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310</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330</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无机砷（以As计）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铬（以Cr计）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镉（以Cd计）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黄曲霉毒素B1</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小麦粉</w:t>
            </w: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小麦粉</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通用小麦粉</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、专用小麦粉</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631</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651</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镉（以Cd计）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玉米赤霉烯酮</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脱氧雪腐镰刀菌烯醇</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赭曲霉毒素A</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黄曲霉毒素B1</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苯并[a]芘</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过氧化苯甲酰</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滑石粉</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二氧化钛</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挂面</w:t>
            </w:r>
          </w:p>
        </w:tc>
        <w:tc>
          <w:tcPr>
            <w:tcW w:w="94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挂面</w:t>
            </w:r>
          </w:p>
        </w:tc>
        <w:tc>
          <w:tcPr>
            <w:tcW w:w="93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普通挂面、手工面</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53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w:t>
            </w:r>
          </w:p>
        </w:tc>
        <w:tc>
          <w:tcPr>
            <w:tcW w:w="97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68</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其他粮食加工品</w:t>
            </w: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谷物加工</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品</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谷物加工品</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166</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186</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镉（以Cd计）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黄曲霉毒素B1</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谷物碾磨加工品</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玉米粉、玉米片、玉米渣</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472</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492</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总砷（以As计）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铬（以Cr计）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镉（以Cd计）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黄曲霉毒素B1</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脱氧雪腐镰刀菌烯醇</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赭曲霉毒素A</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玉米赤霉烯酮</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米粉</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166</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186</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铬（以Cr计）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二氧化硫残留量</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其他谷物碾磨加工品</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214</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234</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总砷（以As计）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铬（以Cr计）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赭曲霉毒素A</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谷物粉类制成品</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生湿面制品</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183</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203</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苯甲酸及其钠盐（以苯甲酸计）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山梨酸及其钾盐（以山梨酸计）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脱氢乙酸及其钠盐（以脱氢乙酸计）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发酵面制品</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368</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388</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苯甲酸及其钠盐（以苯甲酸计）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山梨酸及其钾盐（以山梨酸计）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脱氢乙酸及其钠盐（以脱氢乙酸计）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菌落总数</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大肠菌群</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沙门氏菌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金黄色葡萄球菌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米粉制品</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438</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458</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苯甲酸及其钠盐（以苯甲酸计）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山梨酸及其钾盐（以山梨酸计）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脱氢乙酸及其钠盐（以脱氢乙酸计）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二氧化硫残留量</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菌落总数</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大肠菌群</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沙门氏菌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金黄色葡萄球菌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其他谷物粉类制成品</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393</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413</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黄曲霉毒素B1</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苯甲酸及其钠盐（以苯甲酸计）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山梨酸及其钾盐（以山梨酸计）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菌落总数</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大肠菌群</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沙门氏菌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金黄色葡萄球菌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restart"/>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w:t>
            </w:r>
          </w:p>
        </w:tc>
        <w:tc>
          <w:tcPr>
            <w:tcW w:w="91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食用油、油脂及其制品</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食用植物油(含煎炸用油)</w:t>
            </w: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食用植物油(半精炼</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、全精炼)</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花生油</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酸值/酸价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606</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656</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过氧化值</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总砷（以As计）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黄曲霉毒素B1</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苯并[a]芘</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溶剂残留量</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丁基羟基茴香醚（BHA）</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二丁基羟基甲苯（BHT）</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特丁基对苯二酚（TBHQ）</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玉米油</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酸值/酸价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606</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656</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过氧化值</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总砷（以As计）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黄曲霉毒素B1</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苯并[a]芘</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溶剂残留量</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丁基羟基茴香醚（BHA）</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二丁基羟基甲苯（BHT）</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特丁基对苯二酚（TBHQ）</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芝麻油</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酸值/酸价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606</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656</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过氧化值</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总砷（以As计）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黄曲霉毒素B1</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苯并[a]芘</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溶剂残留量</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丁基羟基茴香醚（BHA）</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二丁基羟基甲苯（BHT）</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特丁基对苯二酚（TBHQ）</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橄榄油、油橄榄果渣油</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酸值/酸价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606</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656</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过氧化值</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总砷（以As计）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黄曲霉毒素B1</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苯并[a]芘</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溶剂残留量</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丁基羟基茴香醚（BHA）</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二丁基羟基甲苯（BHT）</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特丁基对苯二酚（TBHQ）</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菜籽油</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酸值/酸价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606</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656</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过氧化值</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总砷（以As计）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黄曲霉毒素B1</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苯并[a]芘</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溶剂残留量</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丁基羟基茴香醚（BHA）</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二丁基羟基甲苯（BHT）</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特丁基对苯二酚（TBHQ）</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大豆油</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酸值/酸价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606</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656</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过氧化值</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总砷（以As计）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黄曲霉毒素B1</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苯并[a]芘</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溶剂残留量</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丁基羟基茴香醚（BHA）</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二丁基羟基甲苯（BHT）</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特丁基对苯二酚（TBHQ）</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食用植物调和油</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酸值/酸价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606</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656</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过氧化值</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总砷（以As计）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黄曲霉毒素B1</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苯并[a]芘</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溶剂残留量</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丁基羟基茴香醚（BHA）</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二丁基羟基甲苯（BHT）</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特丁基对苯二酚（TBHQ）</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其他食用植物油(半精炼、全精炼)</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酸值/酸价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651</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701</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过氧化值</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总砷（以As计）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黄曲霉毒素B1</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苯并[a]芘</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溶剂残留量</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游离棉酚</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丁基羟基茴香醚（BHA）</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二丁基羟基甲苯（BHT）</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特丁基对苯二酚（TBHQ）</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煎炸过程用油(餐饮环节)</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煎炸过程用油</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酸价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135</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185</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极性组分</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游离棉酚</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食用动物油脂</w:t>
            </w: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食用动物油脂</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食用动物油脂</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酸价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511</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561</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过氧化值</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丙二醛</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总砷（以As计）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苯并[a]芘</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丁基羟基茴香醚（BHA）</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二丁基羟基甲苯（BHT）</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特丁基对苯二酚（TBHQ）</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食用油脂制品</w:t>
            </w: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食用油脂制品</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食用油脂制品</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酸价（以脂肪计）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609</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659</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过氧化值（以脂肪计）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总砷（以As计）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镍（以Ni计）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苯并 [a]芘</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丁基羟基茴香醚（BHA）（以油脂中的含量计）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二丁基羟基甲苯（BHT）（以油脂中的含量计）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特丁基对苯二酚（TBHQ）（以油脂中的含量计）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大肠菌群</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霉菌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restart"/>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w:t>
            </w:r>
          </w:p>
        </w:tc>
        <w:tc>
          <w:tcPr>
            <w:tcW w:w="91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调味品</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酱油</w:t>
            </w: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酱油</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酿造酱油、配制酱油</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氨基酸态氮</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806</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826</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铵盐（以占氨基酸态氮的百分比计）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总砷（以As计）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黄曲霉毒素B1</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3-氯-1,2-丙二醇</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苯甲酸及其钠盐（以苯甲酸计）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山梨酸及其钾盐（以山梨酸计）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脱氢乙酸及其钠盐（以脱氢乙酸计）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对羟基苯甲酸酯类及其钠盐（以对羟基苯甲酸计）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防腐剂混合使用时各自用量占其最大使用量的比例之和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糖精钠（以糖精计）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菌落总数</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大肠菌群</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金黄色葡萄球菌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沙门氏菌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食醋</w:t>
            </w: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食醋</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酿造食醋、配制食醋</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总酸（以乙酸计）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694</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714</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游离矿酸</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总砷（以As计）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黄曲霉毒素B1</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苯甲酸及其钠盐（以苯甲酸计）</w:t>
            </w:r>
          </w:p>
        </w:tc>
        <w:tc>
          <w:tcPr>
            <w:tcW w:w="720"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山梨酸及其钾盐（以山梨酸计）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脱氢乙酸及其钠盐（以脱氢乙酸计）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对羟基苯甲酸酯类及其钠盐（以对羟基苯甲酸计）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防腐剂混合使用时各自用量占其最大使用量的比例之和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糖精钠（以糖精计）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阿斯巴甜</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菌落总数</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大肠菌群</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酱类</w:t>
            </w: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酱类</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黄豆酱、甜面酱等</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氨基酸态氮</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576</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596</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总砷（以As计）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黄曲霉毒素B1</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苯甲酸及其钠盐（以苯甲酸计）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山梨酸及其钾盐（以山梨酸计）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脱氢乙酸及其钠盐（以脱氢乙酸计）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防腐剂混合使用时各自用量占其最大使用量的比例之和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糖精钠（以糖精计）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大肠菌群</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金黄色葡萄球菌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沙门氏菌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调味料酒</w:t>
            </w: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调味料酒</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料酒</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366</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386</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总砷（以As计）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苯甲酸及其钠盐（以苯甲酸计）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山梨酸及其钾盐（以山梨酸计）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脱氢乙酸及其钠盐（以脱氢乙酸计）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防腐剂混合使用时各自用量占其最大使用量的比例之和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糖精钠（以糖精计）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甜蜜素（以环己基氨基磺酸计）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香辛料类</w:t>
            </w: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香辛料类</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香辛料调味油</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528</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548</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罗丹明B</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苏丹红I-IV</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丁基羟基茴香醚（BHA）</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二丁基羟基甲苯（BHT）</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0"/>
                <w:szCs w:val="20"/>
              </w:rPr>
              <w:t>特丁基对苯二酚（TBHQ）</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辣椒、花椒</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、辣椒粉、</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花椒粉</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593</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613</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戊唑醇</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马拉硫磷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罗丹明B</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苏丹红I-IV</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苯甲酸及其钠盐（以苯甲酸计）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山梨酸及其钾盐（以山梨酸计）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糖精钠（以糖精计）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香辛料酱</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（芥末酱、</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青芥酱等）</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183</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203</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苯甲酸及其钠盐（以苯甲酸计）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山梨酸及其钾盐（以山梨酸计）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糖精钠（以糖精计）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其他香辛料调味品</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383</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403</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苏丹红I-IV</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苯甲酸及其钠盐（以苯甲酸计）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山梨酸及其钾盐（以山梨酸计）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糖精钠（以糖精计）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调味料</w:t>
            </w: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固体复合调味料</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鸡粉、鸡精调味料</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谷氨酸钠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416</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436</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呈味核苷酸二钠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总砷（以As计）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糖精钠（以糖精计）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甜蜜素（以环己基氨基磺酸计）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阿斯巴甜</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菌落总数</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大肠菌群</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其他固体调味料</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611</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631</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总砷（以As计）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苏丹红I-IV</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苯甲酸及其钠盐（以苯甲酸计）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山梨酸及其钾盐（以山梨酸计）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脱氢乙酸及其钠盐（以脱氢乙酸计）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防腐剂混合使用时各自用量占其最大使用量的比例之和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糖精钠（以糖精计）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甜蜜素（以环己基氨基磺酸计）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阿斯巴甜</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restart"/>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w:t>
            </w:r>
          </w:p>
        </w:tc>
        <w:tc>
          <w:tcPr>
            <w:tcW w:w="91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调味品</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调味料</w:t>
            </w: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半固体复合调味料</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蛋黄酱、沙拉酱</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436</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456</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总砷（以As计）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苯甲酸及其钠盐（以苯甲酸计）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山梨酸及其钾盐（以山梨酸计）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脱氢乙酸及其钠盐（以脱氢乙酸计）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防腐剂混合使用时各自用量占其最大使用量的比例之和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纳他霉素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金黄色葡萄球菌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沙门氏菌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坚果与籽类的泥</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（酱），包括花生酱等</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343</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363</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黄曲霉毒素B1</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苯甲酸及其钠盐（以苯甲酸计）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山梨酸及其钾盐（以山梨酸计）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脱氢乙酸及其钠盐（以脱氢乙酸计）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防腐剂混合使用时各自用量占其最大使用量的比例之和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沙门氏菌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辣椒酱</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771</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791</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总砷（以As计）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苏丹红I-IV</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苯甲酸及其钠盐（以苯甲酸计）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山梨酸及其钾盐（以山梨酸计）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脱氢乙酸及其钠盐（以脱氢乙酸计）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防腐剂混合使用时各自用量占其最大使用量的比例之和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二氧化硫残留量</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糖精钠（以糖精计）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甜蜜素（以环己基氨基磺酸计）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阿斯巴甜</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金黄色葡萄球菌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沙门氏菌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火锅底料、麻辣烫底料及蘸料</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526</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546</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总砷（以As计）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苏丹红I-IV</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苯甲酸及其钠盐（以苯甲酸计）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山梨酸及其钾盐（以山梨酸计）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脱氢乙酸及其钠盐（以脱氢乙酸计）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防腐剂混合使用时各自用量占其最大使用量的比例之和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二氧化硫残留量</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金黄色葡萄球菌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沙门氏菌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副溶血性弧菌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其他半固体调味料</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816</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836</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总砷（以As计）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苏丹红I-IV</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苯甲酸及其钠盐（以苯甲酸计）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山梨酸及其钾盐（以山梨酸计）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脱氢乙酸及其钠盐（以脱氢乙酸计）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防腐剂混合使用时各自用量占其最大使用量的比例之和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二氧化硫残留量</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糖精钠（以糖精计）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甜蜜素（以环己基氨基磺酸计）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阿斯巴甜</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金黄色葡萄球菌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沙门氏菌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副溶血性弧菌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液体复合调味料</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蚝油、虾油</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、鱼露</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506</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526</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镉（以Cd计）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苯甲酸及其钠盐（以苯甲酸计）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山梨酸及其钾盐（以山梨酸计）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脱氢乙酸及其钠盐（以脱氢乙酸计）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防腐剂混合使用时各自用量占其最大使用量的比例之和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菌落总数</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大肠菌群</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金黄色葡萄球菌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沙门氏菌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副溶血性弧菌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其他液体调味料</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689</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709</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总砷（以As计）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镉（以Cd计）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苯甲酸及其钠盐（以苯甲酸计）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山梨酸及其钾盐（以山梨酸计）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脱氢乙酸及其钠盐（以脱氢乙酸计）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防腐剂混合使用时各自用量占其最大使用量的比例之和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糖精钠（以糖精计）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甜蜜素（以环己基氨基磺酸计）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阿斯巴甜</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菌落总数</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大肠菌群</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金黄色葡萄球菌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沙门氏菌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副溶血性弧菌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味精</w:t>
            </w: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味精</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味精</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谷氨酸钠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141</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161</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总砷（以As计）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restart"/>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w:t>
            </w:r>
          </w:p>
        </w:tc>
        <w:tc>
          <w:tcPr>
            <w:tcW w:w="91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肉制品</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预制肉制品</w:t>
            </w: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调理肉制品</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调理肉制品</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（非速冻）</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118</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60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178</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氯霉素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腌腊肉制品</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腌腊肉制品</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三甲胺氮</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714</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60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774</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过氧化值（以脂肪计）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铬（以Cr计）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总砷（以As计）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N-二甲基亚硝胺</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氯霉素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亚硝酸盐（以亚硝酸钠计）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苯甲酸及其钠盐（以苯甲酸计）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山梨酸及其钾盐（以山梨酸计)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脱氢乙酸及其钠盐（以脱氢乙酸计）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防腐剂混合使用时各自用量占其最大使用量的比例之和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胭脂红</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糖精钠（以糖精计）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熟肉制品</w:t>
            </w: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发酵肉制品</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发酵肉制品</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694</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60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754</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镉（以Cd计）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铬（以Cr计）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氯霉素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亚硝酸盐（以亚硝酸钠计）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苯甲酸及其钠盐（以苯甲酸计）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山梨酸及其钾盐（以山梨酸计）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防腐剂混合使用时各自用量占其最大使用量的比例之和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胭脂红</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大肠菌群</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沙门氏菌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金黄色葡萄球菌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单核细胞增生李斯特氏菌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大肠埃希氏菌O157:H7</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酱卤肉制品</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酱卤肉制品</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992</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60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1052</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镉（以Cd计）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铬（以Cr计）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总砷（以As计）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氯霉素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酸性橙Ⅱ</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亚硝酸盐（以亚硝酸钠计）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苯甲酸及其钠盐（以苯甲酸计）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山梨酸及其钾盐（以山梨酸计）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脱氢乙酸及其钠盐（以脱氢乙酸计）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防腐剂混合使用时各自用量占其最大使用量的比例之和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胭脂红</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糖精钠（以糖精计）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菌落总数</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大肠菌群</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沙门氏菌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金黄色葡萄球菌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单核细胞增生李斯特氏菌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大肠埃希氏菌O157:H7</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商业无菌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熟肉干制品</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熟肉干制品</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669</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60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729</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镉（以Cd计）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铬（以Cr计）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氯霉素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苯甲酸及其钠盐（以苯甲酸计）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山梨酸及其钾盐（以山梨酸计）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脱氢乙酸及其钠盐（以脱氢乙酸计）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防腐剂混合使用时各自用量占其最大使用量的比例之和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菌落总数</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大肠菌群</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沙门氏菌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金黄色葡萄球菌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单核细胞增生李斯特氏菌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大肠埃希氏菌O157:H7</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熏烧烤肉制品</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熏烧烤肉制品</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苯并[a]芘</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485</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60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545</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N-二甲基亚硝胺</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亚硝酸盐（以亚硝酸钠计）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菌落总数</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大肠菌群</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沙门氏菌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金黄色葡萄球菌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单核细胞增生李斯特氏菌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大肠埃希氏菌O157:H7</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熏煮香肠火腿制品</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熏煮香肠火腿制品</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784</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60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844</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镉（以Cd计）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铬（以Cr计）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氯霉素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亚硝酸盐（以亚硝酸钠计）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苯甲酸及其钠盐（以苯甲酸计）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山梨酸及其钾盐（以山梨酸计）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脱氢乙酸及其钠盐（以脱氢乙酸计）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防腐剂混合使用时各自用量占其最大使用量的比例之和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糖精钠（以糖精计）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菌落总数</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大肠菌群</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沙门氏菌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金黄色葡萄球菌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单核细胞增生李斯特氏菌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大肠埃希氏菌O157:H7</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restart"/>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w:t>
            </w:r>
          </w:p>
        </w:tc>
        <w:tc>
          <w:tcPr>
            <w:tcW w:w="91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乳制品</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乳制品</w:t>
            </w: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液体乳</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巴氏杀菌乳</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蛋白质</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581</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601</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酸度</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铬(以Cr计)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黄曲霉毒素M1</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地塞米松</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三聚氰胺</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菌落总数</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大肠菌群</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沙门氏菌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金黄色葡萄球菌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灭菌乳</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脂肪</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556</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576</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蛋白质</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非脂乳固体</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酸度</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铬(以Cr计)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黄曲霉毒素M1</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地塞米松</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三聚氰胺</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商业无菌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发酵乳</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脂肪</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761</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781</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蛋白质</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非脂乳固体</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酸度</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乳酸菌数</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铬(以Cr计)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黄曲霉毒素M1</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三聚氰胺</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山梨酸及其钾盐（以山梨酸计）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酵母</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金黄色葡萄球菌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霉菌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沙门氏菌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大肠菌群</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调制乳</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脂肪</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556</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576</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蛋白质</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铬(以Cr计)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黄曲霉毒素M1</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三聚氰胺</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菌落总数</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大肠菌群</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金黄色葡萄球菌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沙门氏菌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商业无菌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乳清粉和乳清蛋白粉（企业原料）</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脱盐乳清粉</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、非脱盐乳清粉、浓缩乳清蛋白粉</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、分离乳清</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蛋白粉</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蛋白质</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368</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388</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水分</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黄曲霉毒素M1</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三聚氰胺</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金黄色葡萄球菌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沙门氏菌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乳粉</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全脂乳粉、脱脂乳粉、部分脱脂乳粉、调制乳</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粉</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脂肪</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674</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724</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蛋白质</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水分</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总砷(以As计)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铬(以Cr计)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黄曲霉毒素M1</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亚硝酸盐(以NaNO2计)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三聚氰胺</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菌落总数</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大肠菌群</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金黄色葡萄球菌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沙门氏菌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其他乳制品(炼乳、奶油、干酪、固态成型产品)</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淡炼乳、加糖炼乳和调制炼乳</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酸度</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643</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693</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脂肪</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水分</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蛋白质</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乳固体</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黄曲霉毒素M1</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三聚氰胺</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菌落总数</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大肠菌群</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金黄色葡萄球菌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沙门氏菌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商业无菌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干酪(奶酪)</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463</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513</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黄曲霉毒素M1</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三聚氰胺</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大肠菌群</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金黄色葡萄球菌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沙门氏菌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单核细胞增生李斯特氏菌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酵母</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霉菌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再制干酪</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脂肪（干物中）</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598</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648</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干物质含量</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黄曲霉毒素M1</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三聚氰胺</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菌落总数</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大肠菌群</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金黄色葡萄球菌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沙门氏菌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单核细胞增生李斯特氏菌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酵母</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霉菌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奶片、奶条等</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188</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208</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黄曲霉毒素M1</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三聚氰胺</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稀奶油、奶油和无水奶油</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水分</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598</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618</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脂肪</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酸度</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非脂乳固体</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三聚氰胺</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商业无菌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菌落总数</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大肠菌群</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金黄色葡萄球菌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沙门氏菌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霉菌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restart"/>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6</w:t>
            </w:r>
          </w:p>
        </w:tc>
        <w:tc>
          <w:tcPr>
            <w:tcW w:w="91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饮料</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饮料</w:t>
            </w: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包装饮用水</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饮用天然矿泉水</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界限指标</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486</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506</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镍（以Ni计）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锑</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溴酸盐</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硝酸盐(以NO3 -计)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亚硝酸盐(以NO2 -计)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大肠菌群</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粪链球菌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产气荚膜梭菌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铜绿假单胞菌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饮用纯净水</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耗氧量(以O2计)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395</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415</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亚硝酸盐(以NO2 -计)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余氯(游离氯)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三氯甲烷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溴酸盐</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大肠菌群</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铜绿假单胞菌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其他饮用水</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浑浊度</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510</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530</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耗氧量(以O2计)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亚硝酸盐(以NO2 -计)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余氯(游离氯)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三氯甲烷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溴酸盐</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 xml:space="preserve">挥发性酚(以苯酚计)                        </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大肠菌群</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铜绿假单胞菌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果、蔬汁饮料</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果、蔬汁饮料</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798</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818</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展青霉素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苯甲酸及其钠盐(以苯甲酸计)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山梨酸及其钾盐(以山梨酸计)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脱氢乙酸及其钠盐(以脱氢乙酸计)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纳他霉素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防腐剂混合使用时各自用量占其最大使用量的比例之和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糖精钠 (以糖精计)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安赛蜜</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甜蜜素(以环己基氨基磺酸计)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合成着色剂（赤藓红、酸性红、苋菜红、新红、胭脂红、柠檬黄、日落黄、亮蓝</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菌落总数</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大肠菌群</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霉菌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酵母</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金黄色葡萄球菌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沙门氏菌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蛋白饮料</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蛋白饮料</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棕榈烯酸/总脂肪酸</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920</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940</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亚麻酸/总脂肪酸</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花生酸/总脂肪酸</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山嵛酸/总脂肪酸</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油酸/总脂肪酸</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亚油酸/总脂肪酸</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(花生酸+山嵛酸)/总脂肪酸</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蛋白质</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三聚氰胺</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糖精钠(以糖精计)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甜蜜素(以环己基氨基磺酸计)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菌落总数</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大肠菌群</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霉菌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酵母</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金黄色葡萄球菌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沙门氏菌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碳酸饮料 (汽水)</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碳酸饮料 (汽水)</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二氧化碳气容量</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410</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430</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苯甲酸及其钠盐(以苯甲酸计)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山梨酸及其钾盐(以山梨酸计)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防腐剂混合使用时各自用量占其最大使用量的比例之和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糖精钠(以糖精计)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甜蜜素(以环己基氨基磺酸计)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菌落总数</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大肠菌群</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霉菌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酵母</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茶饮料</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茶饮料</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茶多酚</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365</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385</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咖啡因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甜蜜素(以环己基氨基磺酸计)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菌落总数</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金黄色葡萄球菌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沙门氏菌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商业无菌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固体饮料</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固体饮料</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蛋白质</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688</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708</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赭曲霉毒素A</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苯甲酸及其钠盐(以苯甲酸计)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山梨酸及其钾盐(以山梨酸计)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防腐剂混合使用时各自用量占其最大使用量的比例之和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糖精钠(以糖精计)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安赛蜜</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甜蜜素(以环己基氨基磺酸计)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合成着色剂（苋菜红、胭脂红、柠檬黄、日落黄、亮蓝）</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菌落总数</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大肠菌群</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霉菌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金黄色葡萄球菌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沙门氏菌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其他饮料</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其他饮料</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苯甲酸及其钠盐(以苯甲酸计)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795</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815</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山梨酸及其钾盐(以山梨酸计)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脱氢乙酸及其钠盐(以脱氢乙酸计)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防腐剂混合使用时各自用量占其最大使用量的比例之和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糖精钠(以糖精计)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安赛蜜</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甜蜜素(以环己基氨基磺酸计)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合成着色剂（赤藓红、苋菜红、新红、胭脂红、柠檬黄、日落黄、亮蓝）</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菌落总数</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霉菌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酵母</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金黄色葡萄球菌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沙门氏菌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restart"/>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w:t>
            </w:r>
          </w:p>
        </w:tc>
        <w:tc>
          <w:tcPr>
            <w:tcW w:w="91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方便食品</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方便食品</w:t>
            </w: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方便面</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油炸面、非油炸面、方便米粉（米线）、方便</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粉丝</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水分</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320</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340</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酸价（以脂肪计）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过氧化值（以脂肪计）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菌落总数</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大肠菌群</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沙门氏菌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金黄色葡萄球菌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调味面制品a</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调味面制品a</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酸价（以脂肪计）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545</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565</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过氧化值（以脂肪计）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糖精钠（以糖精计）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富马酸二甲酯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苯甲酸及其钠盐（以苯甲酸计）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山梨酸及其钾盐（以山梨酸计）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脱氢乙酸及其钠盐（以脱氢乙酸计）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菌落总数</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大肠菌群</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霉菌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沙门氏菌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金黄色葡萄球菌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其他方便食品</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方便粥、方便盒饭、冷面及其他熟制方便食品</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等</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酸价（以脂肪计）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618</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638</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过氧化值（以脂肪计）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黄曲霉毒素B1</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苯甲酸及其钠盐（以苯甲酸计）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山梨酸及其钾盐（以山梨酸计）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糖精钠（以糖精计）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菌落总数</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大肠菌群</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霉菌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商业无菌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沙门氏菌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金黄色葡萄球菌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restart"/>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8</w:t>
            </w:r>
          </w:p>
        </w:tc>
        <w:tc>
          <w:tcPr>
            <w:tcW w:w="91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饼干</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饼干</w:t>
            </w: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饼干</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饼干</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酸价（以脂肪计）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918</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938</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过氧化值（以脂肪计）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苯甲酸及其钠盐（以苯甲酸计）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山梨酸及其钾盐（以山梨酸计）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糖精钠（以糖精计）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铝的残留量（干样品，以Al计）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二氧化硫残留量</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脱氢乙酸及其钠盐（以脱氢乙酸计）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菌落总数</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大肠菌群</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金黄色葡萄球菌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沙门氏菌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霉菌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restart"/>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w:t>
            </w:r>
          </w:p>
        </w:tc>
        <w:tc>
          <w:tcPr>
            <w:tcW w:w="91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罐头</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罐头</w:t>
            </w: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畜禽水产罐头</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畜禽肉类罐头</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439</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469</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镉（以Cd计）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铬（以Cr计）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脱氢乙酸及其钠盐（以脱氢乙酸计）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苯甲酸及其钠盐（以苯甲酸计）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山梨酸及其钾盐（以山梨酸计）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糖精钠（以糖精计）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亚硝酸盐（以亚硝酸钠计）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防腐剂混合使用时各自用量占其最大使用量的比例之和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商业无菌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水产动物类罐头</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组胺</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436</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466</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无机砷（以As计）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镉（以Cd计）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甲基汞（以Hg计）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脱氢乙酸及其钠盐（以脱氢乙酸计）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苯甲酸及其钠盐（以苯甲酸计）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山梨酸及其钾盐（以山梨酸计）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糖精钠（以糖精计）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商业无菌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果蔬罐头</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水果类罐头</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锡（以Sn计）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778</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808</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展青霉素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二氧化硫残留量</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合成着色剂（柠檬黄、日落黄、苋菜红、胭脂红、赤藓红、诱惑红、亮蓝、靛蓝）</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脱氢乙酸及其钠盐（以脱氢乙酸计）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苯甲酸及其钠盐（以苯甲酸计）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山梨酸及其钾盐（以山梨酸计）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糖精钠（以糖精计）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甜蜜素（以环己基氨基磺酸计）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阿斯巴甜</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商业无菌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蔬菜类罐头</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二氧化硫残留量</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455</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485</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脱氢乙酸及其钠盐（以脱氢乙酸计）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苯甲酸及其钠盐（以苯甲酸计）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山梨酸及其钾盐（以山梨酸计）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糖精钠（以糖精计）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阿斯巴甜</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乙二胺四乙酸二钠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霉菌计数</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商业无菌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食用菌罐头</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总砷（以As计）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557</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587</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镉（以Cd计）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总汞（以Hg计）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二氧化硫残留量</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脱氢乙酸及其钠盐（以脱氢乙酸计）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苯甲酸及其钠盐（以苯甲酸计）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山梨酸及其钾盐（以山梨酸计）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糖精钠（以糖精计）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乙二胺四乙酸二钠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商业无菌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其他罐头</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其他罐头</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528</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558</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黄曲霉毒素B1</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二氧化硫残留量</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脱氢乙酸及其钠盐（以脱氢乙酸计）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苯甲酸及其钠盐（以苯甲酸计）</w:t>
            </w:r>
          </w:p>
        </w:tc>
        <w:tc>
          <w:tcPr>
            <w:tcW w:w="720"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山梨酸及其钾盐（以山梨酸计）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糖精钠（以糖精计）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阿斯巴甜</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乙二胺四乙酸二钠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商业无菌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restart"/>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10</w:t>
            </w:r>
          </w:p>
        </w:tc>
        <w:tc>
          <w:tcPr>
            <w:tcW w:w="91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冷冻饮品</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冷冻饮品</w:t>
            </w: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冷冻饮品</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冰淇淋、雪糕、雪泥、冰棍、食用冰、甜味冰</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、其他类</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蛋白质</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368</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388</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糖精钠（以糖精计）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甜蜜素（以环己基氨基磺酸计）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菌落总数</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大肠菌群</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沙门氏菌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金黄色葡萄球菌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992" w:hRule="atLeast"/>
        </w:trPr>
        <w:tc>
          <w:tcPr>
            <w:tcW w:w="495" w:type="dxa"/>
            <w:vMerge w:val="restart"/>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11</w:t>
            </w:r>
          </w:p>
        </w:tc>
        <w:tc>
          <w:tcPr>
            <w:tcW w:w="91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速冻食品</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速冻面米食品</w:t>
            </w: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速冻面米食品</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水饺、元宵</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、馄饨等生</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制品</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过氧化值（以脂肪计）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20"/>
                <w:szCs w:val="20"/>
                <w:lang w:val="en-US" w:eastAsia="zh-CN"/>
              </w:rPr>
            </w:pPr>
            <w:r>
              <w:rPr>
                <w:rFonts w:hint="eastAsia" w:ascii="宋体" w:hAnsi="宋体" w:cs="宋体"/>
                <w:color w:val="000000"/>
                <w:kern w:val="0"/>
                <w:sz w:val="20"/>
                <w:szCs w:val="20"/>
                <w:lang w:val="en-US" w:eastAsia="zh-CN"/>
              </w:rPr>
              <w:t>90</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20"/>
                <w:szCs w:val="20"/>
                <w:lang w:val="en-US" w:eastAsia="zh-CN"/>
              </w:rPr>
            </w:pPr>
            <w:r>
              <w:rPr>
                <w:rFonts w:hint="eastAsia" w:ascii="宋体" w:hAnsi="宋体" w:cs="宋体"/>
                <w:color w:val="000000"/>
                <w:kern w:val="0"/>
                <w:sz w:val="20"/>
                <w:szCs w:val="20"/>
                <w:lang w:val="en-US" w:eastAsia="zh-CN"/>
              </w:rPr>
              <w:t>110</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糖精钠（以糖精计）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包子、馒头等熟制品</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糖精钠（以糖精计）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230</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250</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菌落总数</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大肠菌群</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金黄色葡萄球菌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沙门氏菌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速冻其他食品</w:t>
            </w: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速冻谷物食品</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玉米等</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20"/>
                <w:szCs w:val="20"/>
                <w:lang w:val="en-US" w:eastAsia="zh-CN"/>
              </w:rPr>
            </w:pPr>
            <w:r>
              <w:rPr>
                <w:rFonts w:hint="eastAsia" w:ascii="宋体" w:hAnsi="宋体" w:cs="宋体"/>
                <w:color w:val="000000"/>
                <w:kern w:val="0"/>
                <w:sz w:val="20"/>
                <w:szCs w:val="20"/>
                <w:lang w:val="en-US" w:eastAsia="zh-CN"/>
              </w:rPr>
              <w:t>253</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20"/>
                <w:szCs w:val="20"/>
                <w:lang w:val="en-US" w:eastAsia="zh-CN"/>
              </w:rPr>
            </w:pPr>
            <w:r>
              <w:rPr>
                <w:rFonts w:hint="eastAsia" w:ascii="宋体" w:hAnsi="宋体" w:cs="宋体"/>
                <w:color w:val="000000"/>
                <w:kern w:val="0"/>
                <w:sz w:val="20"/>
                <w:szCs w:val="20"/>
                <w:lang w:val="en-US" w:eastAsia="zh-CN"/>
              </w:rPr>
              <w:t>273</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黄曲霉毒素B1</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糖精钠（以糖精计）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金黄色葡萄球菌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vMerge w:val="restart"/>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沙门氏菌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vMerge w:val="continue"/>
            <w:tcBorders>
              <w:top w:val="nil"/>
              <w:left w:val="nil"/>
              <w:bottom w:val="single" w:color="000000" w:sz="8" w:space="0"/>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eastAsia="宋体" w:cs="宋体"/>
                <w:color w:val="000000"/>
                <w:sz w:val="20"/>
                <w:szCs w:val="20"/>
                <w:lang w:eastAsia="zh-CN"/>
              </w:rPr>
            </w:pPr>
            <w:r>
              <w:rPr>
                <w:rFonts w:hint="eastAsia" w:ascii="宋体" w:hAnsi="宋体" w:cs="宋体"/>
                <w:color w:val="000000"/>
                <w:kern w:val="0"/>
                <w:sz w:val="20"/>
                <w:szCs w:val="20"/>
                <w:lang w:val="en-US" w:eastAsia="zh-CN"/>
              </w:rPr>
              <w:t>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速冻肉制品</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速冻调理肉制品</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过氧化值（以脂肪计）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352</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402</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镉（以Cd计）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铬（以Cr计）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总砷（以As计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氯霉素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胭脂红</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速冻水产制品</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速冻水产制品</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过氧化值（以脂肪计）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205</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255</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N-二甲基亚硝胺</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苯甲酸及其钠盐（以苯甲酸计）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山梨酸及其钾盐（以山梨酸计）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速冻蔬菜制品</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速冻蔬菜制品</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253</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283</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苯甲酸及其钠盐（以苯甲酸计）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二氧化硫残留量</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山梨酸及其钾盐（以山梨酸计）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糖精钠（以糖精计）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速冻水果制品</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速冻水果制品</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糖精钠（以糖精计）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320</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370</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阿斯巴甜</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菌落总数</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大肠菌群</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沙门氏菌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金黄色葡萄球菌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0"/>
                <w:szCs w:val="20"/>
              </w:rPr>
              <w:t>大肠埃希氏菌 O157:H7</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restart"/>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12</w:t>
            </w:r>
          </w:p>
        </w:tc>
        <w:tc>
          <w:tcPr>
            <w:tcW w:w="91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薯类和膨化食品</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薯类和膨化食品</w:t>
            </w: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膨化食品</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含油型膨化食品和非含油型膨化食</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品</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水分</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573</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623</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酸价（以脂肪计）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过氧化值（以脂肪计）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黄曲霉毒素B1</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糖精钠（以糖精计）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苯甲酸及其钠盐（以苯甲酸计）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山梨酸及其钾盐（以山梨酸计）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菌落总数</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大肠菌群</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沙门氏菌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金黄色葡萄球菌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薯类食品</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干制薯类</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（马铃薯</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片）</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酸价（以脂肪计）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323</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373</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过氧化值（以脂肪计）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菌落总数</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大肠菌群</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沙门氏菌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金黄色葡萄球菌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干制薯类</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（除马铃薯</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片外）</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208</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258</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二氧化硫残留量</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沙门氏菌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金黄色葡萄球菌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冷冻薯类</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138</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188</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沙门氏菌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金黄色葡萄球菌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薯泥（酱）类</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273</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323</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苯甲酸及其钠盐（以苯甲酸计）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山梨酸及其钾盐（以山梨酸计）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沙门氏菌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金黄色葡萄球菌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商业无菌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薯粉类</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208</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258</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二氧化硫残留量</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沙门氏菌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金黄色葡萄球菌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restart"/>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12</w:t>
            </w:r>
          </w:p>
        </w:tc>
        <w:tc>
          <w:tcPr>
            <w:tcW w:w="91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薯类和膨化食品</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薯类和膨化食品</w:t>
            </w: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薯类食品</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其他类</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138</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188</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沙门氏菌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金黄色葡萄球菌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restart"/>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13</w:t>
            </w:r>
          </w:p>
        </w:tc>
        <w:tc>
          <w:tcPr>
            <w:tcW w:w="91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糖果制品</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糖果制品 (含巧克力及制 品)</w:t>
            </w: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糖果</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糖果</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328</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348</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糖精钠（以糖精计）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合成着色剂(柠檬黄、苋菜红、胭脂红、日落黄）</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相同色泽着色剂混合使用时各自用量占其最大使用量的比例之和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二氧化硫残留量</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菌落总数</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大肠菌群</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巧克力及巧克力制品</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巧克力、巧克力制品、代可可脂巧克力及代可可脂巧克力制品</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186</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236</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总砷（以As计）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糖精钠（以糖精计）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沙门氏菌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果冻</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果冻</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413</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433</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山梨酸及其钾盐（以山梨酸计）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苯甲酸及其钠盐（以苯甲酸计）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糖精钠（以糖精计）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甜蜜素（以环己基氨基磺酸计）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菌落总数</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大肠菌群</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霉菌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酵母</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restart"/>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14</w:t>
            </w:r>
          </w:p>
        </w:tc>
        <w:tc>
          <w:tcPr>
            <w:tcW w:w="91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茶叶及相关制品</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茶叶</w:t>
            </w: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茶叶</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绿茶、红茶</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、乌龙茶、黄茶、白茶</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、黑茶、花茶、袋泡茶</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、紧压茶</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2248</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2268</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吡虫啉</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草甘膦</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除虫脲</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多菌灵</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甲氰菊酯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联苯菊酯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氯氰菊酯和高效氯氰菊酯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灭多威</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滴滴涕</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三氯杀螨醇</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氰戊菊酯和S-氰戊菊酯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甲胺磷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啶虫脒</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吡蚜酮</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敌百虫</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甲拌磷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克百威</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氯唑磷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灭线磷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水胺硫磷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特丁硫磷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氧乐果</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茚虫威</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茶叶</w:t>
            </w: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砖茶</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黑砖茶、花砖茶、茯砖茶、康砖茶</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、金尖茶、青砖茶、米砖茶等</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2236</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2256</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苯醚甲环唑</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吡虫啉</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除虫脲</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哒螨灵</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多菌灵</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甲氰菊酯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硫丹</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噻虫嗪</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噻嗪酮</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杀螟丹</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三氯杀螨醇</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氰戊菊酯和S-氰戊菊酯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甲胺磷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啶虫脒</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吡蚜酮</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敌百虫</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甲拌磷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克百威</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氯唑磷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灭线磷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水胺硫磷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特丁硫磷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氧乐果</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茚虫威</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含茶制品和代用茶</w:t>
            </w: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含茶制品</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速溶茶类、其它含茶制品</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143</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163</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菌落总数</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大肠菌群</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代用茶</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代用茶</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118</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138</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二氧化硫</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restart"/>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15</w:t>
            </w:r>
          </w:p>
        </w:tc>
        <w:tc>
          <w:tcPr>
            <w:tcW w:w="91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酒类</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蒸馏酒</w:t>
            </w: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白酒</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白酒、白酒</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（液态）、白酒（原 酒）</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酒精度</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393</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443</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甲醇</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氰化物（以HCN计）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糖精钠（以糖精计）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甜蜜素（以环己基氨基磺酸计）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三氯蔗糖</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发酵酒</w:t>
            </w: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黄酒</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黄酒</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酒精度</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343</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393</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苯甲酸及其钠盐（以苯甲酸计）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山梨酸及其钾盐（以山梨酸计）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糖精钠（以糖精计）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甜蜜素（以环己基氨基磺酸计）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三氯蔗糖</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啤酒</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啤酒</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酒精度</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278</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328</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甲醛</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nil"/>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二氧化硫残留量</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single" w:color="000000" w:sz="8" w:space="0"/>
              <w:left w:val="nil"/>
              <w:bottom w:val="nil"/>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警示语标注</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葡萄酒</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葡萄酒</w:t>
            </w:r>
          </w:p>
        </w:tc>
        <w:tc>
          <w:tcPr>
            <w:tcW w:w="2244" w:type="dxa"/>
            <w:tcBorders>
              <w:top w:val="single" w:color="000000" w:sz="8" w:space="0"/>
              <w:left w:val="single" w:color="000000" w:sz="8" w:space="0"/>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酒精度</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20"/>
                <w:szCs w:val="20"/>
                <w:lang w:val="en-US" w:eastAsia="zh-CN"/>
              </w:rPr>
            </w:pPr>
            <w:r>
              <w:rPr>
                <w:rFonts w:hint="eastAsia" w:ascii="宋体" w:hAnsi="宋体" w:cs="宋体"/>
                <w:color w:val="000000"/>
                <w:kern w:val="0"/>
                <w:sz w:val="20"/>
                <w:szCs w:val="20"/>
                <w:lang w:val="en-US" w:eastAsia="zh-CN"/>
              </w:rPr>
              <w:t>668</w:t>
            </w:r>
          </w:p>
        </w:tc>
        <w:tc>
          <w:tcPr>
            <w:tcW w:w="53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80</w:t>
            </w:r>
          </w:p>
        </w:tc>
        <w:tc>
          <w:tcPr>
            <w:tcW w:w="97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20"/>
                <w:szCs w:val="20"/>
                <w:lang w:val="en-US" w:eastAsia="zh-CN"/>
              </w:rPr>
            </w:pPr>
            <w:r>
              <w:rPr>
                <w:rFonts w:hint="eastAsia" w:ascii="宋体" w:hAnsi="宋体" w:cs="宋体"/>
                <w:color w:val="000000"/>
                <w:kern w:val="0"/>
                <w:sz w:val="20"/>
                <w:szCs w:val="20"/>
                <w:lang w:val="en-US" w:eastAsia="zh-CN"/>
              </w:rPr>
              <w:t>748</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single" w:color="000000" w:sz="8" w:space="0"/>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single" w:color="000000" w:sz="8" w:space="0"/>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赭曲霉毒素A</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single" w:color="000000" w:sz="8" w:space="0"/>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甲醇</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single" w:color="000000" w:sz="8" w:space="0"/>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苯甲酸及其钠盐（以苯甲酸计）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single" w:color="000000" w:sz="8" w:space="0"/>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山梨酸及其钾盐（以山梨酸计）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single" w:color="000000" w:sz="8" w:space="0"/>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脱氢乙酸及其钠盐（以脱氢乙酸计）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single" w:color="000000" w:sz="8" w:space="0"/>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纳他霉素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single" w:color="000000" w:sz="8" w:space="0"/>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二氧化硫残留量</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1278"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single" w:color="000000" w:sz="8" w:space="0"/>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糖精钠（以糖精</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single" w:color="000000" w:sz="8" w:space="0"/>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甜蜜素（以环己基氨基磺酸计）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single" w:color="000000" w:sz="8" w:space="0"/>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三氯蔗糖</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果酒</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果酒</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酒精度</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348</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80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428</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展青霉素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二氧化硫残留量</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糖精钠（以糖精计）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三氯蔗糖</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其他酒</w:t>
            </w: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其他发酵酒</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其他发酵酒</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酒精度</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228</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80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308</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苯甲酸及其钠盐（以苯甲酸计）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山梨酸及其钾盐（以山梨酸计）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糖精钠（以糖精计）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配制酒</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以蒸馏酒及食用酒精为酒基的配制酒</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酒精度</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393</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80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473</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甲醇</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氰化物（以HCN计）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二氧化硫残留量</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糖精钠（以糖精计）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甜蜜素（以环己基氨基磺酸计）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以发酵酒为酒基的配制酒</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酒精度</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343</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80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423</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苯甲酸及其钠盐（以苯甲酸计）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山梨酸及其钾盐（以山梨酸计）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二氧化硫残留量</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糖精钠（以糖精计）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甜蜜素（以环己基氨基磺酸计）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其他蒸馏酒</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其他蒸馏酒</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酒精度</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303</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80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383</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甲醇</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氰化物（以HCN计）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vMerge w:val="restart"/>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糖精钠（以糖精计）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vMerge w:val="continue"/>
            <w:tcBorders>
              <w:top w:val="nil"/>
              <w:left w:val="nil"/>
              <w:bottom w:val="single" w:color="000000" w:sz="8" w:space="0"/>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restart"/>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16</w:t>
            </w:r>
          </w:p>
        </w:tc>
        <w:tc>
          <w:tcPr>
            <w:tcW w:w="91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蔬菜制品</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蔬菜制品</w:t>
            </w: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酱腌菜</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酱腌菜</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963</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993</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亚硝酸盐（以NaNO2计）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阿斯巴甜</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苯甲酸及其钠盐（以苯甲酸计）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二氧化硫残留量</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防腐剂混合使用时各自用量占其最大使用量比例之和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纽甜</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三氯蔗糖</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山梨酸及其钾盐（以山梨酸计）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糖精钠（以糖精计）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甜蜜素（以环己基氨基磺酸计）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脱氢乙酸及其钠盐（以脱氢乙酸计）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苏丹红I-IV</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大肠菌群</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金黄色葡萄球菌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沙门氏菌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蔬菜干制品</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自然干制品</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、热风干燥蔬菜、冷冻干燥蔬菜、蔬菜脆片、蔬菜粉及制品</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458</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80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538</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苯甲酸及其钠盐（以苯甲酸计）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二氧化硫残留量</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山梨酸及其钾盐（以山梨酸计）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糖精钠（以糖精计）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苏丹红I-IV</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阿斯巴甜</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金黄色葡萄球菌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沙门氏菌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食用菌制品</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干制食用菌</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镉（以Cd计）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262</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80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342</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总汞（以Hg计）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总砷（以As计）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二氧化硫残留量</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腌渍食用菌</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镉（以Cd计）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467</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80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547</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总汞（以Hg计）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总砷（以As计）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苯甲酸及其钠盐（以苯甲酸计）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二氧化硫残留量</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防腐剂混合使用时各自用量占其最大使用量比例之和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三氯蔗糖</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山梨酸及其钾盐（以山梨酸计）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脱氢乙酸及其钠盐（以脱氢乙酸计）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其他蔬菜制品</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其他蔬菜制品</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253</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80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333</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苯甲酸及其钠盐（以苯甲酸计）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二氧化硫残留量</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山梨酸及其钾盐（以山梨酸计）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糖精钠（以糖精计）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restart"/>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17</w:t>
            </w:r>
          </w:p>
        </w:tc>
        <w:tc>
          <w:tcPr>
            <w:tcW w:w="91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水果制品</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水果制品</w:t>
            </w: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蜜饯</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蜜饯类、凉果类、果脯类、话化类</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、果糕类</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758</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778</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展青霉素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苯甲酸及其钠盐（以苯甲酸计）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山梨酸及其钾盐（以山梨酸计）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脱氢乙酸及其钠盐（以脱氢乙酸计）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防腐剂混合使用时各自用量占其最大使用量的比例之和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糖精钠（以糖精计）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甜蜜素（以环己基氨基磺酸计）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二氧化硫残留量</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合成着色剂（亮蓝、柠檬黄、日落黄、苋菜红、胭脂红）</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相同色泽着色剂混合使用时各自用量占其最大使用量的比例之和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乙二胺四乙酸二钠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菌落总数</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大肠菌群</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霉菌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沙门氏菌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金黄色葡萄球菌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水果干制品</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水果干制品 (含干枸杞)</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643</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663</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展青霉素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吡虫啉</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克百威</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山梨酸及其钾盐（以山梨酸计）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脱氢乙酸及其钠盐（以脱氢乙酸计）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防腐剂混合使用时各自用量占其最大使用量的比例之和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糖精钠（以糖精计）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二氧化硫残留量</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菌落总数</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大肠菌群</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霉菌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沙门氏菌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金黄色葡萄球菌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果酱</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果酱</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展青霉素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500</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520</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苯甲酸及其钠盐（以苯甲酸计）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脱氢乙酸及其钠盐（以脱氢乙酸计）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防腐剂混合使用时各自用量占其最大使用量的比例之和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糖精钠（以糖精计）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甜蜜素（以环己基氨基磺酸计）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菌落总数</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大肠菌群</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霉菌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商业无菌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沙门氏菌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金黄色葡萄球菌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restart"/>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18</w:t>
            </w:r>
          </w:p>
        </w:tc>
        <w:tc>
          <w:tcPr>
            <w:tcW w:w="91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炒货食品及坚果制品</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炒货食品及坚果制品</w:t>
            </w: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炒货食品及坚果制品（ 烘炒类、油炸类、其他类）</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开心果、杏仁、松仁、</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瓜子</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酸价（以脂肪计）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648</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60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708</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过氧化值（以脂肪计）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黄曲霉毒素B1</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糖精钠（以糖精计）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甜蜜素（以环己基氨基磺酸计）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三氯蔗糖</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纽甜</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二氧化硫残留量</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大肠菌群</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霉菌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沙门氏菌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其他炒货食品及坚果制</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品</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酸价（以脂肪计）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648</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60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708</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过氧化值（以脂肪计）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黄曲霉毒素B1</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糖精钠（以糖精计）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甜蜜素（以环己基氨基磺酸计）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三氯蔗糖</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纽甜</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二氧化硫残留量</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大肠菌群</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霉菌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沙门氏菌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restart"/>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19</w:t>
            </w:r>
          </w:p>
        </w:tc>
        <w:tc>
          <w:tcPr>
            <w:tcW w:w="91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蛋制品</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蛋制品</w:t>
            </w: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再制蛋</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再制蛋</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323</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343</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苯甲酸及其钠盐（以苯甲酸计）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山梨酸及其钾盐（以山梨酸计）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菌落总数</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大肠菌群</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沙门氏菌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商业无菌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其他类</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其他类</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323</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343</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苯甲酸及其钠盐（以苯甲酸计）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山梨酸及其钾盐（以山梨酸计）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菌落总数</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大肠菌群</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沙门氏菌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商业无菌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干蛋类</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干蛋类</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278</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298</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苯甲酸及其钠盐（以苯甲酸计）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山梨酸及其钾盐（以山梨酸计）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菌落总数</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大肠菌群</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沙门氏菌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冰蛋类</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冰蛋类</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nil"/>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278</w:t>
            </w:r>
          </w:p>
        </w:tc>
        <w:tc>
          <w:tcPr>
            <w:tcW w:w="531" w:type="dxa"/>
            <w:vMerge w:val="restart"/>
            <w:tcBorders>
              <w:top w:val="nil"/>
              <w:left w:val="nil"/>
              <w:bottom w:val="nil"/>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w:t>
            </w:r>
          </w:p>
        </w:tc>
        <w:tc>
          <w:tcPr>
            <w:tcW w:w="975" w:type="dxa"/>
            <w:vMerge w:val="restart"/>
            <w:tcBorders>
              <w:top w:val="nil"/>
              <w:left w:val="nil"/>
              <w:bottom w:val="nil"/>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298</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苯甲酸及其钠盐（以苯甲酸计）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山梨酸及其钾盐（以山梨酸计）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菌落总数</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大肠菌群</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69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nil"/>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沙门氏菌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restart"/>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w:t>
            </w:r>
          </w:p>
        </w:tc>
        <w:tc>
          <w:tcPr>
            <w:tcW w:w="91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可可及焙烤咖啡产品</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焙炒咖啡</w:t>
            </w: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焙炒咖啡</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焙炒咖啡</w:t>
            </w:r>
          </w:p>
        </w:tc>
        <w:tc>
          <w:tcPr>
            <w:tcW w:w="2244" w:type="dxa"/>
            <w:tcBorders>
              <w:top w:val="single" w:color="000000" w:sz="8" w:space="0"/>
              <w:left w:val="single" w:color="000000" w:sz="8" w:space="0"/>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咖啡因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restart"/>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188</w:t>
            </w:r>
          </w:p>
        </w:tc>
        <w:tc>
          <w:tcPr>
            <w:tcW w:w="531" w:type="dxa"/>
            <w:vMerge w:val="restart"/>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60</w:t>
            </w:r>
          </w:p>
        </w:tc>
        <w:tc>
          <w:tcPr>
            <w:tcW w:w="975" w:type="dxa"/>
            <w:vMerge w:val="restart"/>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248</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single" w:color="000000" w:sz="8" w:space="0"/>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single" w:color="000000" w:sz="8" w:space="0"/>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赭曲霉毒素A</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可可制品</w:t>
            </w: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可可制品</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可可制品</w:t>
            </w:r>
          </w:p>
        </w:tc>
        <w:tc>
          <w:tcPr>
            <w:tcW w:w="2244" w:type="dxa"/>
            <w:tcBorders>
              <w:top w:val="nil"/>
              <w:left w:val="single" w:color="000000" w:sz="8" w:space="0"/>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211</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211</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single" w:color="000000" w:sz="8" w:space="0"/>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总砷（以As计）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single" w:color="000000" w:sz="8" w:space="0"/>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二氧化硫残留量</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single" w:color="000000" w:sz="8" w:space="0"/>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沙门氏菌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restart"/>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21</w:t>
            </w:r>
          </w:p>
        </w:tc>
        <w:tc>
          <w:tcPr>
            <w:tcW w:w="91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食糖</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食糖</w:t>
            </w: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食糖</w:t>
            </w:r>
          </w:p>
        </w:tc>
        <w:tc>
          <w:tcPr>
            <w:tcW w:w="9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白砂糖</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蔗糖分</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371</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401</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还原糖分</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色值</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总砷（以As计）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二氧化硫残留量</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螨</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绵白糖</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蔗糖分</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371</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401</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还原糖分</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色值</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总砷（以As计）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二氧化硫残留量</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螨</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赤砂糖</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总糖分</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326</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356</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不溶于水杂质</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总砷（以As计）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二氧化硫残留量</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螨</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红糖</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总糖分</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326</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356</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不溶于水杂质</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总砷（以As计）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二氧化硫残留量</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螨</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nil"/>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冰糖</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蔗糖分</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371</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401</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还原糖分</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色值</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总砷（以As计）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二氧化硫残留量</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螨</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restart"/>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21</w:t>
            </w:r>
          </w:p>
        </w:tc>
        <w:tc>
          <w:tcPr>
            <w:tcW w:w="91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食糖</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食糖</w:t>
            </w:r>
          </w:p>
        </w:tc>
        <w:tc>
          <w:tcPr>
            <w:tcW w:w="945" w:type="dxa"/>
            <w:vMerge w:val="restart"/>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食糖</w:t>
            </w:r>
          </w:p>
        </w:tc>
        <w:tc>
          <w:tcPr>
            <w:tcW w:w="930"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冰片糖</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总糖分</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326</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356</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还原糖分</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总砷（以As计）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二氧化硫残留量</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nil"/>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螨</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方糖</w:t>
            </w:r>
          </w:p>
        </w:tc>
        <w:tc>
          <w:tcPr>
            <w:tcW w:w="2244" w:type="dxa"/>
            <w:tcBorders>
              <w:top w:val="single" w:color="000000" w:sz="8" w:space="0"/>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蔗糖分</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371</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401</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还原糖分</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色值</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总砷（以As计）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二氧化硫残留量</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螨</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其他糖</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蔗糖分</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416</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446</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总糖分</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还原糖分</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色值</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总砷（以As计）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二氧化硫残留量</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螨</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restart"/>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22</w:t>
            </w:r>
          </w:p>
        </w:tc>
        <w:tc>
          <w:tcPr>
            <w:tcW w:w="91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水产制品</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水产制品</w:t>
            </w:r>
          </w:p>
        </w:tc>
        <w:tc>
          <w:tcPr>
            <w:tcW w:w="945" w:type="dxa"/>
            <w:vMerge w:val="restart"/>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干制水产品</w:t>
            </w:r>
          </w:p>
        </w:tc>
        <w:tc>
          <w:tcPr>
            <w:tcW w:w="930" w:type="dxa"/>
            <w:vMerge w:val="restar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藻类干制品</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393</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423</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二氧化硫残留量</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菌落总数</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大肠菌群</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沙门氏菌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金黄色葡萄球菌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副溶血性弧菌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霉菌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预制动物性水产干制品</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镉（以Cd计）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278</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308</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N-二甲基亚硝胺</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苯甲酸及其钠盐（以苯甲酸计）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山梨酸及其钾盐（以山梨酸计）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二氧化硫残留量</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restart"/>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盐渍水产品</w:t>
            </w:r>
          </w:p>
        </w:tc>
        <w:tc>
          <w:tcPr>
            <w:tcW w:w="930" w:type="dxa"/>
            <w:vMerge w:val="restar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盐渍鱼</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过氧化值（以脂肪计）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298</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328</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组胺</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镉（以Cd计）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N-二甲基亚硝胺</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苯甲酸及其钠盐（以苯甲酸计）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山梨酸及其钾盐（以山梨酸计）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盐渍藻</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rPr>
              <w:t>铅（以</w:t>
            </w:r>
            <w:r>
              <w:rPr>
                <w:rFonts w:hint="eastAsia" w:ascii="宋体" w:hAnsi="宋体" w:cs="宋体"/>
                <w:color w:val="000000"/>
                <w:kern w:val="0"/>
                <w:sz w:val="20"/>
                <w:szCs w:val="20"/>
              </w:rPr>
              <w:t>Pb</w:t>
            </w:r>
            <w:r>
              <w:rPr>
                <w:rFonts w:hint="eastAsia" w:ascii="宋体" w:hAnsi="宋体" w:cs="宋体"/>
                <w:color w:val="000000"/>
                <w:kern w:val="0"/>
                <w:sz w:val="24"/>
                <w:szCs w:val="24"/>
              </w:rPr>
              <w:t>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138</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168</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苯甲酸及其钠盐（以苯甲酸计）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山梨酸及其钾盐（以山梨酸计）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其他盐渍水产品</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N-二甲基亚硝胺</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160</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190</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苯甲酸及其钠盐（以苯甲酸计）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山梨酸及其钾盐（以山梨酸计）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restart"/>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鱼糜制品</w:t>
            </w:r>
          </w:p>
        </w:tc>
        <w:tc>
          <w:tcPr>
            <w:tcW w:w="930" w:type="dxa"/>
            <w:vMerge w:val="restar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预制鱼糜制品</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挥发性盐基氮</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205</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235</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N-二甲基亚硝胺</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苯甲酸及其钠盐（以苯甲酸计）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山梨酸及其钾盐（以山梨酸计）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restart"/>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熟制动物性水产制</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品</w:t>
            </w:r>
          </w:p>
        </w:tc>
        <w:tc>
          <w:tcPr>
            <w:tcW w:w="930" w:type="dxa"/>
            <w:vMerge w:val="restar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熟制动物性水产制品</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镉（以Cd计）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528</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558</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N-二甲基亚硝胺</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苯并[a]芘</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苯甲酸及其钠盐（以苯甲酸计）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山梨酸及其钾盐（以山梨酸计）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糖精钠（以糖精计）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二氧化硫残留量</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沙门氏菌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金黄色葡萄球菌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副溶血性弧菌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restart"/>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生食水产品</w:t>
            </w:r>
          </w:p>
        </w:tc>
        <w:tc>
          <w:tcPr>
            <w:tcW w:w="930" w:type="dxa"/>
            <w:vMerge w:val="restar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生食动物性水产品</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挥发性盐基氮</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1063</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1093</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镉（以Cd计）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N-二甲基亚硝胺</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苯并[a]芘</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苯甲酸及其钠盐（以苯甲酸计）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山梨酸及其钾盐（以山梨酸计）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铝的残留量（以即食海蜇中Al计）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菌落总数</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大肠菌群</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沙门氏菌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金黄色葡萄球菌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副溶血性弧菌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吸虫囊蚴</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线虫幼虫</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绦虫裂头蚴</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restart"/>
            <w:tcBorders>
              <w:top w:val="nil"/>
              <w:left w:val="nil"/>
              <w:bottom w:val="nil"/>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水生动物油脂及制</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品</w:t>
            </w:r>
          </w:p>
        </w:tc>
        <w:tc>
          <w:tcPr>
            <w:tcW w:w="930" w:type="dxa"/>
            <w:vMerge w:val="restar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水生动物油脂及制品</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丁基羟基茴香醚（BHA）（以油脂中的含量计）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restart"/>
            <w:tcBorders>
              <w:top w:val="nil"/>
              <w:left w:val="nil"/>
              <w:bottom w:val="nil"/>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255</w:t>
            </w:r>
          </w:p>
        </w:tc>
        <w:tc>
          <w:tcPr>
            <w:tcW w:w="531" w:type="dxa"/>
            <w:vMerge w:val="restart"/>
            <w:tcBorders>
              <w:top w:val="nil"/>
              <w:left w:val="nil"/>
              <w:bottom w:val="nil"/>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w:t>
            </w:r>
          </w:p>
        </w:tc>
        <w:tc>
          <w:tcPr>
            <w:tcW w:w="975" w:type="dxa"/>
            <w:vMerge w:val="restart"/>
            <w:tcBorders>
              <w:top w:val="nil"/>
              <w:left w:val="nil"/>
              <w:bottom w:val="nil"/>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285</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nil"/>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二丁基羟基甲苯（BHT）（以油脂中的含量计）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nil"/>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特丁基对苯二酚（TBHQ）（以油脂中的含量计）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nil"/>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没食子酸丙酯（PG）（以油脂中的含量计）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restart"/>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其他水产制品</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其他水产制品</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509</w:t>
            </w:r>
          </w:p>
        </w:tc>
        <w:tc>
          <w:tcPr>
            <w:tcW w:w="531" w:type="dxa"/>
            <w:vMerge w:val="restart"/>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w:t>
            </w:r>
          </w:p>
        </w:tc>
        <w:tc>
          <w:tcPr>
            <w:tcW w:w="975" w:type="dxa"/>
            <w:vMerge w:val="restart"/>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539</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甲基汞（以Hg计）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无机砷（以As计）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铬（以Cr计）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N-二甲基亚硝胺</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苯甲酸及其钠盐（以苯甲酸计）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山梨酸及其钾盐（以山梨酸计）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沙门氏菌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金黄色葡萄球菌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副溶血性弧菌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restart"/>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23</w:t>
            </w:r>
          </w:p>
        </w:tc>
        <w:tc>
          <w:tcPr>
            <w:tcW w:w="91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淀粉及淀粉制品</w:t>
            </w:r>
          </w:p>
        </w:tc>
        <w:tc>
          <w:tcPr>
            <w:tcW w:w="930" w:type="dxa"/>
            <w:vMerge w:val="restart"/>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淀粉及淀粉制品</w:t>
            </w:r>
          </w:p>
        </w:tc>
        <w:tc>
          <w:tcPr>
            <w:tcW w:w="945" w:type="dxa"/>
            <w:vMerge w:val="restar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淀粉</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淀粉</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303</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333</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二氧化硫残留量</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菌落总数</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大肠菌群</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霉菌和酵母</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霉菌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restar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淀粉制品</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粉丝粉条</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603</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633</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铝的残留量（干样品，以Al计）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二氧化硫残留量</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菌落总数</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大肠菌群</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金黄色葡萄球菌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沙门氏菌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其他淀粉制品</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603</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633</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铝的残留量（干样品，以Al计）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二氧化硫残留量</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菌落总数</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大肠菌群</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金黄色葡萄球菌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沙门氏菌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restart"/>
            <w:tcBorders>
              <w:top w:val="nil"/>
              <w:left w:val="single" w:color="000000" w:sz="8" w:space="0"/>
              <w:bottom w:val="nil"/>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淀粉糖</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淀粉糖</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163</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193</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single" w:color="000000" w:sz="8" w:space="0"/>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二氧化硫残留量</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single" w:color="000000" w:sz="8" w:space="0"/>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糖精钠（以糖精计）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restart"/>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24</w:t>
            </w:r>
          </w:p>
        </w:tc>
        <w:tc>
          <w:tcPr>
            <w:tcW w:w="915" w:type="dxa"/>
            <w:vMerge w:val="restart"/>
            <w:tcBorders>
              <w:top w:val="nil"/>
              <w:left w:val="nil"/>
              <w:bottom w:val="nil"/>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糕点</w:t>
            </w:r>
          </w:p>
        </w:tc>
        <w:tc>
          <w:tcPr>
            <w:tcW w:w="930" w:type="dxa"/>
            <w:vMerge w:val="restart"/>
            <w:tcBorders>
              <w:top w:val="nil"/>
              <w:left w:val="nil"/>
              <w:bottom w:val="nil"/>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糕点</w:t>
            </w:r>
          </w:p>
        </w:tc>
        <w:tc>
          <w:tcPr>
            <w:tcW w:w="945"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糕点</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糕点</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酸价（以脂肪计）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1413</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1433</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过氧化值（以脂肪计）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富马酸二甲酯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苏丹红I-IV</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苯甲酸及其钠盐（以苯甲酸计）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山梨酸及其钾盐（以山梨酸计）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糖精钠（以糖精计）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甜蜜素（以环己基氨基磺酸计）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安赛蜜</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铝的残留量（干样品，以Al计）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丙酸及其钠盐、钙盐(以丙酸计)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脱氢乙酸及其钠盐(以脱氢乙酸计)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纳他霉素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三氯蔗糖</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丙二醇</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防腐剂混合使用时各自用量占其最大使用量的比例之和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菌落总数</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大肠菌群</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金黄色葡萄球菌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沙门氏菌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霉菌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restart"/>
            <w:tcBorders>
              <w:top w:val="nil"/>
              <w:left w:val="single" w:color="000000" w:sz="8" w:space="0"/>
              <w:bottom w:val="nil"/>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月饼</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月饼</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酸价（以脂肪计）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960</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1010</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single" w:color="000000" w:sz="8" w:space="0"/>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过氧化值（以脂肪计）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single" w:color="000000" w:sz="8" w:space="0"/>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富马酸二甲酯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single" w:color="000000" w:sz="8" w:space="0"/>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苏丹红I-IV</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single" w:color="000000" w:sz="8" w:space="0"/>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苯甲酸及其钠盐（以苯甲酸计）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single" w:color="000000" w:sz="8" w:space="0"/>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山梨酸及其钾盐（以山梨酸计）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single" w:color="000000" w:sz="8" w:space="0"/>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铝的残留量（干样品，以Al计）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single" w:color="000000" w:sz="8" w:space="0"/>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丙酸及其钠盐钙盐</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single" w:color="000000" w:sz="8" w:space="0"/>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脱氢乙酸及其钠盐(以脱氢乙酸计)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single" w:color="000000" w:sz="8" w:space="0"/>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纳他霉素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single" w:color="000000" w:sz="8" w:space="0"/>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防腐剂混合使用时各自用量占其最大使用量的比例之和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single" w:color="000000" w:sz="8" w:space="0"/>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菌落总数</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single" w:color="000000" w:sz="8" w:space="0"/>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大肠菌群</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single" w:color="000000" w:sz="8" w:space="0"/>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金黄色葡萄球菌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single" w:color="000000" w:sz="8" w:space="0"/>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沙门氏菌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nil"/>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single" w:color="000000" w:sz="8" w:space="0"/>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霉菌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粽子</w:t>
            </w:r>
          </w:p>
        </w:tc>
        <w:tc>
          <w:tcPr>
            <w:tcW w:w="945" w:type="dxa"/>
            <w:vMerge w:val="restart"/>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粽子</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粽子</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苏丹红I-IV</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200</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655</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705</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苯甲酸及其钠盐（以苯甲酸计）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山梨酸及其钾盐（以山梨酸计）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糖精钠（以糖精计）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安赛蜜</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菌落总数</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大肠菌群</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金黄色葡萄球菌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沙门氏菌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霉菌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商业无菌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restart"/>
            <w:tcBorders>
              <w:top w:val="nil"/>
              <w:left w:val="single" w:color="000000" w:sz="8" w:space="0"/>
              <w:bottom w:val="nil"/>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915" w:type="dxa"/>
            <w:vMerge w:val="restart"/>
            <w:tcBorders>
              <w:top w:val="single" w:color="000000" w:sz="8" w:space="0"/>
              <w:left w:val="single" w:color="000000" w:sz="8" w:space="0"/>
              <w:bottom w:val="nil"/>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豆制品</w:t>
            </w:r>
          </w:p>
        </w:tc>
        <w:tc>
          <w:tcPr>
            <w:tcW w:w="930" w:type="dxa"/>
            <w:vMerge w:val="restart"/>
            <w:tcBorders>
              <w:top w:val="nil"/>
              <w:left w:val="nil"/>
              <w:bottom w:val="nil"/>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豆制品</w:t>
            </w: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发酵性豆制品</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腐乳、豆豉</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、纳豆等</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783</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803</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nil"/>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single" w:color="000000" w:sz="8" w:space="0"/>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黄曲霉毒素B1</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nil"/>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single" w:color="000000" w:sz="8" w:space="0"/>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苯甲酸及其钠盐（以苯甲酸计）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nil"/>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single" w:color="000000" w:sz="8" w:space="0"/>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山梨酸及其钾盐（以山梨酸计）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nil"/>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single" w:color="000000" w:sz="8" w:space="0"/>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脱氢乙酸及其钠盐（以脱氢乙酸计）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nil"/>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single" w:color="000000" w:sz="8" w:space="0"/>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糖精钠（以糖精计）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nil"/>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single" w:color="000000" w:sz="8" w:space="0"/>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甜蜜素（以环己基氨基磺酸计）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nil"/>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single" w:color="000000" w:sz="8" w:space="0"/>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铝的残留量（干样品，以Al计）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nil"/>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single" w:color="000000" w:sz="8" w:space="0"/>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大肠菌群</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nil"/>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single" w:color="000000" w:sz="8" w:space="0"/>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沙门氏菌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nil"/>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single" w:color="000000" w:sz="8" w:space="0"/>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金黄色葡萄球菌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nil"/>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single" w:color="000000" w:sz="8" w:space="0"/>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非发酵性豆制品</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豆干、豆腐</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、豆皮等</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脲酶试验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828</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848</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nil"/>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single" w:color="000000" w:sz="8" w:space="0"/>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nil"/>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single" w:color="000000" w:sz="8" w:space="0"/>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苯甲酸及其钠盐（以苯甲酸计）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nil"/>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single" w:color="000000" w:sz="8" w:space="0"/>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山梨酸及其钾盐（以山梨酸计）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nil"/>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single" w:color="000000" w:sz="8" w:space="0"/>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脱氢乙酸及其钠盐（以脱氢乙酸计）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nil"/>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single" w:color="000000" w:sz="8" w:space="0"/>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丙酸及其钠盐、钙盐（以丙酸计）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nil"/>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single" w:color="000000" w:sz="8" w:space="0"/>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防腐剂混合使用时各自用量占其最大使用量的比例之和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nil"/>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single" w:color="000000" w:sz="8" w:space="0"/>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糖精钠（以糖精计）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nil"/>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single" w:color="000000" w:sz="8" w:space="0"/>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三氯蔗糖</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nil"/>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single" w:color="000000" w:sz="8" w:space="0"/>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铝的残留量（干样品，以Al计）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nil"/>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single" w:color="000000" w:sz="8" w:space="0"/>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大肠菌群</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nil"/>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single" w:color="000000" w:sz="8" w:space="0"/>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沙门氏菌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nil"/>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single" w:color="000000" w:sz="8" w:space="0"/>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金黄色葡萄球菌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nil"/>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single" w:color="000000" w:sz="8" w:space="0"/>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腐竹、油皮</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808</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828</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nil"/>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single" w:color="000000" w:sz="8" w:space="0"/>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苯甲酸及其钠盐（以苯甲酸计）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nil"/>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single" w:color="000000" w:sz="8" w:space="0"/>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山梨酸及其钾盐（以山梨酸计）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nil"/>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single" w:color="000000" w:sz="8" w:space="0"/>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脱氢乙酸及其钠盐（以脱氢乙酸计）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nil"/>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single" w:color="000000" w:sz="8" w:space="0"/>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糖精钠（以糖精计）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nil"/>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single" w:color="000000" w:sz="8" w:space="0"/>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三氯蔗糖</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nil"/>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single" w:color="000000" w:sz="8" w:space="0"/>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二氧化硫残留量</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nil"/>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single" w:color="000000" w:sz="8" w:space="0"/>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铝的残留量（干样品，以 Al计）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nil"/>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single" w:color="000000" w:sz="8" w:space="0"/>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大肠菌群</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nil"/>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single" w:color="000000" w:sz="8" w:space="0"/>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沙门氏菌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nil"/>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single" w:color="000000" w:sz="8" w:space="0"/>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金黄色葡萄球菌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nil"/>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single" w:color="000000" w:sz="8" w:space="0"/>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其他豆制品</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大豆蛋白类制品等</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693</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713</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nil"/>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single" w:color="000000" w:sz="8" w:space="0"/>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山梨酸及其钾盐（以山梨酸计）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nil"/>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single" w:color="000000" w:sz="8" w:space="0"/>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脱氢乙酸及其钠盐（以脱氢乙酸计）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nil"/>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single" w:color="000000" w:sz="8" w:space="0"/>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糖精钠（以糖精计）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nil"/>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single" w:color="000000" w:sz="8" w:space="0"/>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三氯蔗糖</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nil"/>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single" w:color="000000" w:sz="8" w:space="0"/>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铝的残留量（干样品，以Al计）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nil"/>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single" w:color="000000" w:sz="8" w:space="0"/>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大肠菌群</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nil"/>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single" w:color="000000" w:sz="8" w:space="0"/>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沙门氏菌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nil"/>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single" w:color="000000" w:sz="8" w:space="0"/>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金黄色葡萄球菌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restart"/>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26</w:t>
            </w:r>
          </w:p>
        </w:tc>
        <w:tc>
          <w:tcPr>
            <w:tcW w:w="915" w:type="dxa"/>
            <w:vMerge w:val="restart"/>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蜂产品</w:t>
            </w:r>
          </w:p>
        </w:tc>
        <w:tc>
          <w:tcPr>
            <w:tcW w:w="930" w:type="dxa"/>
            <w:vMerge w:val="restart"/>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蜂产品</w:t>
            </w: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蜂蜜</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蜂蜜</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果糖和葡萄糖</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533</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80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613</w:t>
            </w: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蔗糖</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氯霉素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喹诺酮类（洛美沙星、培氟沙星、氧氟沙星、诺氟沙星）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山梨酸及其钾盐（以山梨酸计）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菌落总数</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大肠菌群</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霉菌计数</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嗜渗酵母计数</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蜂王浆</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（含蜂王浆冻干</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粉）</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蜂王浆（含蜂王浆冻干粉）</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10-羟基-2-癸烯酸</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160</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80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240</w:t>
            </w: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总糖分</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酸度</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蜂花粉</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蜂花粉</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蛋白质</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278</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80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358</w:t>
            </w: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水分</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菌落总数</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大肠菌群</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霉菌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restart"/>
            <w:tcBorders>
              <w:top w:val="nil"/>
              <w:left w:val="nil"/>
              <w:bottom w:val="nil"/>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蜂产品制品</w:t>
            </w:r>
          </w:p>
        </w:tc>
        <w:tc>
          <w:tcPr>
            <w:tcW w:w="930" w:type="dxa"/>
            <w:vMerge w:val="restart"/>
            <w:tcBorders>
              <w:top w:val="nil"/>
              <w:left w:val="nil"/>
              <w:bottom w:val="nil"/>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蜂产品制品</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nil"/>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368</w:t>
            </w:r>
          </w:p>
        </w:tc>
        <w:tc>
          <w:tcPr>
            <w:tcW w:w="531" w:type="dxa"/>
            <w:vMerge w:val="restart"/>
            <w:tcBorders>
              <w:top w:val="nil"/>
              <w:left w:val="nil"/>
              <w:bottom w:val="nil"/>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80</w:t>
            </w:r>
          </w:p>
        </w:tc>
        <w:tc>
          <w:tcPr>
            <w:tcW w:w="975" w:type="dxa"/>
            <w:vMerge w:val="restart"/>
            <w:tcBorders>
              <w:top w:val="nil"/>
              <w:left w:val="nil"/>
              <w:bottom w:val="nil"/>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448</w:t>
            </w: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糖精钠（以糖精计）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苯甲酸及其钠盐（以苯甲酸计）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山梨酸及其钾盐（以山梨酸计）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菌落总数</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大肠菌群</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69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霉菌计数</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酵母计数</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restart"/>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27</w:t>
            </w:r>
          </w:p>
        </w:tc>
        <w:tc>
          <w:tcPr>
            <w:tcW w:w="91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保健食品</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保健食品</w:t>
            </w:r>
          </w:p>
        </w:tc>
        <w:tc>
          <w:tcPr>
            <w:tcW w:w="945" w:type="dxa"/>
            <w:vMerge w:val="restart"/>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保健食品</w:t>
            </w:r>
          </w:p>
        </w:tc>
        <w:tc>
          <w:tcPr>
            <w:tcW w:w="930" w:type="dxa"/>
            <w:vMerge w:val="restart"/>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保健食品</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功效/标志性成分</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restart"/>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2000</w:t>
            </w:r>
          </w:p>
        </w:tc>
        <w:tc>
          <w:tcPr>
            <w:tcW w:w="531" w:type="dxa"/>
            <w:vMerge w:val="restart"/>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150</w:t>
            </w:r>
          </w:p>
        </w:tc>
        <w:tc>
          <w:tcPr>
            <w:tcW w:w="975" w:type="dxa"/>
            <w:vMerge w:val="restart"/>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2150</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水分</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可溶性固形物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酸价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过氧化值</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崩解时限</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铅（Pb）</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总砷（As）</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总汞（以Hg计）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镉(以Cd计）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胶囊壳中的铬</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西布曲明</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N-单去甲基西布曲明</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N，N-双去甲基西布曲明</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麻黄碱</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芬氟拉明</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酚酞</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甲苯磺丁脲</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格列本脲</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格列齐特</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格列吡嗪</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格列喹酮</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格列美脲</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马来酸罗格列酮</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瑞格列奈</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盐酸吡格列酮</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盐酸二甲双胍</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盐酸苯乙双胍</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盐酸丁二胍</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格列波脲</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那红地那非</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红地那非</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伐地那非</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羟基豪莫西地那非</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西地那非</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豪莫西地那非</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氨基他达拉非</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他达拉非</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硫代艾地那非</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伪伐地那非</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那莫西地那非</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地西泮</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硝西泮</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氯硝西泮</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氯氮卓</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奥沙西泮</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马来酸咪哒唑仑</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劳拉西泮</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艾司唑仑</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阿普唑仑</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三唑仑</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巴比妥</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苯巴比妥</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异戊巴比妥</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司可巴比妥</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氯美扎酮</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佐匹克隆</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氯苯那敏</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扎来普隆</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文拉法辛</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青藤碱</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罗通定</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阿替洛尔</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盐酸可乐定</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氢氯噻嗪</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卡托普利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哌唑嗪</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利血平</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硝苯地平</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氨氯地平</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尼群地平</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尼莫地平</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尼索地平</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非洛地平</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菌落总数</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大肠菌群</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霉菌和酵母</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金黄色葡萄球菌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沙门氏菌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restart"/>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28</w:t>
            </w:r>
          </w:p>
        </w:tc>
        <w:tc>
          <w:tcPr>
            <w:tcW w:w="91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特殊膳食食品</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婴幼儿辅助食品</w:t>
            </w: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婴幼儿谷类辅助食品</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婴幼儿谷物辅助食品、婴幼儿高蛋白谷物辅助食品、婴幼儿生制类谷物辅助食品</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、婴幼儿饼干或其他婴</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幼儿谷物辅助食品</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能量</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1025</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150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1175</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蛋白质</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脂肪</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亚油酸/总脂肪酸</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月桂酸占总脂肪的比值</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肉豆蔻酸占总脂肪的比值</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维生素A</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维生素 D</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维生素B1</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钙</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铁</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维生素E</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维生素B2</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维生素B6</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维生素B12</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烟酸</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叶酸</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泛酸</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维 生素C</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生物素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碘</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nil"/>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钾</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single" w:color="000000" w:sz="8" w:space="0"/>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水分</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不溶性膳食纤维</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脲酶活性定性测定</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无机砷（以As计）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锡（以Sn计）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镉（以Cd计）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黄曲霉毒素B1</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硝酸盐（以NaNO3计）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亚硝酸盐（以NaNO2计）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菌落总数</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大肠菌群</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沙门氏菌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二十二碳六烯酸</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花生四烯酸</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婴幼儿罐装辅助食品</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泥（糊）状罐装食品、颗粒状罐装食品、汁类</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罐装食品</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蛋白质</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275</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150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425</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脂肪</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总钠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无机砷（以As计）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总汞（以Hg计）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锡（以Sn计）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硝酸盐（以NaNO3计）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亚硝酸盐（以NaNO2计）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商业无菌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霉菌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restart"/>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28</w:t>
            </w:r>
          </w:p>
        </w:tc>
        <w:tc>
          <w:tcPr>
            <w:tcW w:w="915" w:type="dxa"/>
            <w:vMerge w:val="restart"/>
            <w:tcBorders>
              <w:top w:val="nil"/>
              <w:left w:val="nil"/>
              <w:bottom w:val="nil"/>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特殊膳食食品</w:t>
            </w:r>
          </w:p>
        </w:tc>
        <w:tc>
          <w:tcPr>
            <w:tcW w:w="930" w:type="dxa"/>
            <w:vMerge w:val="restart"/>
            <w:tcBorders>
              <w:top w:val="nil"/>
              <w:left w:val="nil"/>
              <w:bottom w:val="nil"/>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营养补充品</w:t>
            </w:r>
          </w:p>
        </w:tc>
        <w:tc>
          <w:tcPr>
            <w:tcW w:w="945" w:type="dxa"/>
            <w:vMerge w:val="restart"/>
            <w:tcBorders>
              <w:top w:val="nil"/>
              <w:left w:val="nil"/>
              <w:bottom w:val="nil"/>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营养补充品</w:t>
            </w:r>
          </w:p>
        </w:tc>
        <w:tc>
          <w:tcPr>
            <w:tcW w:w="930" w:type="dxa"/>
            <w:vMerge w:val="restart"/>
            <w:tcBorders>
              <w:top w:val="nil"/>
              <w:left w:val="nil"/>
              <w:bottom w:val="nil"/>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辅食营养素补充食品、辅食营养素补充片、辅食营养素撒剂</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蛋白质</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restart"/>
            <w:tcBorders>
              <w:top w:val="nil"/>
              <w:left w:val="nil"/>
              <w:bottom w:val="nil"/>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700</w:t>
            </w:r>
          </w:p>
        </w:tc>
        <w:tc>
          <w:tcPr>
            <w:tcW w:w="531" w:type="dxa"/>
            <w:vMerge w:val="restart"/>
            <w:tcBorders>
              <w:top w:val="nil"/>
              <w:left w:val="nil"/>
              <w:bottom w:val="nil"/>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150</w:t>
            </w:r>
          </w:p>
        </w:tc>
        <w:tc>
          <w:tcPr>
            <w:tcW w:w="975" w:type="dxa"/>
            <w:vMerge w:val="restart"/>
            <w:tcBorders>
              <w:top w:val="nil"/>
              <w:left w:val="nil"/>
              <w:bottom w:val="nil"/>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850</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钙</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铁</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维生素A</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维生素D</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维生素B1</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维生素B2</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维生素K1</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nil"/>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维生素B6</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叶酸</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维生素B12</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泛酸</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胆碱</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生物素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维生素C</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二十二碳六烯酸</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脲酶活性定性</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总砷（以As计）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黄曲霉毒素M1</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黄曲霉毒素B1</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硝酸盐（以NaNO3计）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亚硝酸盐（以NaNO2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菌落总数</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大肠菌群</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69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沙门氏菌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孕妇及乳母营养补充食品</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铁</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restart"/>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750</w:t>
            </w:r>
          </w:p>
        </w:tc>
        <w:tc>
          <w:tcPr>
            <w:tcW w:w="531" w:type="dxa"/>
            <w:vMerge w:val="restart"/>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150</w:t>
            </w:r>
          </w:p>
        </w:tc>
        <w:tc>
          <w:tcPr>
            <w:tcW w:w="975" w:type="dxa"/>
            <w:vMerge w:val="restart"/>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900</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维生素A</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维生素D</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叶酸</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维生素B12</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钙</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镁</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硒</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维生素E</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维生素K</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维生素B1</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维生素 B2</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维生素B6</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烟酸（烟酰胺）</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泛酸</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胆碱</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生物素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维生素C</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二十二碳六烯酸</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脲酶活性定性</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总砷（以As计）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硝酸盐（以NaNO3计）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亚硝酸盐（以NaNO2计）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黄曲霉毒素M1</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黄曲霉毒素B1</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大肠菌群</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沙门氏菌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restart"/>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29</w:t>
            </w:r>
          </w:p>
        </w:tc>
        <w:tc>
          <w:tcPr>
            <w:tcW w:w="915" w:type="dxa"/>
            <w:vMerge w:val="restart"/>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特殊医学用途配方食品</w:t>
            </w:r>
          </w:p>
        </w:tc>
        <w:tc>
          <w:tcPr>
            <w:tcW w:w="930" w:type="dxa"/>
            <w:vMerge w:val="restart"/>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特殊医学用途配方食品</w:t>
            </w:r>
          </w:p>
        </w:tc>
        <w:tc>
          <w:tcPr>
            <w:tcW w:w="945" w:type="dxa"/>
            <w:vMerge w:val="restart"/>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特殊医学用途婴儿配方食品</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特殊医学用途婴儿配方食品</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蛋白质</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1650</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150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1800</w:t>
            </w: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脂肪</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亚油酸</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α-亚麻酸</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亚油酸与α-亚麻酸比值</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终产品脂肪中月桂酸和肉豆蔻酸（十四烷酸）总量与总脂肪酸的比值</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芥酸与总脂肪酸比值</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反式脂肪酸最高含量与总脂肪酸比值</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碳水化合物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维生素A</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维生素D</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维生素E</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维生素K1</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维生素B1</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维生素B2</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维生素B6</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维生素B12</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烟酸（烟酰胺）</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叶酸</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泛酸</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维生素C</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生物素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钾</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铜</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镁</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铁</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锰</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钙</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钙磷比值</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碘</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硒</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铬</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钼</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胆碱</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肌醇</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牛磺酸</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二十二碳六烯酸与总脂肪酸比</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二十碳四烯酸与总脂肪酸比</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二十二碳六烯酸（22:6n-3）与二十碳四烯酸（20:4n-6）的比</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长链不饱和脂肪酸中二十碳五烯酸（20:5n-3）的量与二十二碳六烯酸的量的比</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二十二碳六烯酸</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二十碳四烯酸</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水分</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灰分</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杂质度</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脲酶活性定性测定</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核苷酸</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叶黄素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黄曲霉毒素M1</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黄曲霉毒素B1</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硝酸盐（以NaNO3计）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亚硝酸盐（以NaNO2计）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三聚氰胺</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菌落总数</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大肠菌群</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沙门氏菌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金黄色葡萄球菌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阪崎肠杆菌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商业无菌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果聚糖</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特殊医学用途配方食品</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全营养配方食品、特定全营养配方食品</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蛋白质</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1275</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150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1425</w:t>
            </w: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亚油酸供能比</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α-亚麻酸供能比</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维生素A</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维生素D</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维生素E</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维生素K1</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4"/>
                <w:szCs w:val="24"/>
              </w:rPr>
            </w:pPr>
            <w:r>
              <w:rPr>
                <w:rFonts w:hint="eastAsia" w:ascii="宋体" w:hAnsi="宋体" w:cs="宋体"/>
                <w:color w:val="000000"/>
                <w:kern w:val="0"/>
                <w:sz w:val="24"/>
                <w:szCs w:val="24"/>
              </w:rPr>
              <w:t>维生素</w:t>
            </w:r>
            <w:r>
              <w:rPr>
                <w:rFonts w:hint="eastAsia" w:ascii="宋体" w:hAnsi="宋体" w:cs="宋体"/>
                <w:color w:val="000000"/>
                <w:kern w:val="0"/>
                <w:sz w:val="20"/>
                <w:szCs w:val="20"/>
              </w:rPr>
              <w:t>B1</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维生素B2</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维生素B6</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维生素B12</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烟酸（烟酰胺）</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叶酸</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泛酸</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维生素C</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生物素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钾</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铜</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镁</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铁</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锰</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钙</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碘</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硒</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铬</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钼</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胆碱</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肌醇</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牛磺酸</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左旋肉碱</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二十二碳六烯酸与总脂肪酸比</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二十碳四烯酸与总脂肪酸比</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二十二碳六烯酸</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二十碳四烯酸</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核苷酸</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黄曲霉毒素M1或黄曲霉毒素B1</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硝酸盐（以NaNO3计）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亚硝酸盐（以NaNO2计）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三聚氰胺</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菌落总数</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大肠菌群</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沙门氏菌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金黄色葡萄球菌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商业无菌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restart"/>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w:t>
            </w:r>
          </w:p>
        </w:tc>
        <w:tc>
          <w:tcPr>
            <w:tcW w:w="91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婴幼儿配方食品</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婴幼儿配方食品</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（湿法工艺、干法工艺、干湿法混合工艺）</w:t>
            </w: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婴儿配方食品</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乳基婴儿配方食品、豆基婴儿配方食品</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蛋白质</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1600</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150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1750</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脂肪</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碳水化合物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乳糖占碳水化合物总量</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亚油酸</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α-亚麻酸</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亚油酸与α-亚麻酸比值</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终产品脂肪中月桂酸和肉豆蔻酸（十四烷酸）总量占总脂肪酸的比值量</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芥酸与总脂肪酸比值</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反式脂肪酸与总脂肪酸比值</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维生素A</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维生素D</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维生素E</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维生素K1</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维生素B1</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维生素B2</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维生素B6</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维生素B12</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烟酸（烟酰胺）</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叶酸</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泛酸</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维生素C</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生物素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钾</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铜</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镁</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铁</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锰</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钙</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钙磷比值</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碘</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硒</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胆碱</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肌醇</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牛磺酸</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左旋肉碱</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二十二碳六烯酸</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二十碳四烯酸</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二十二碳六烯酸与总脂肪酸比</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nil"/>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二十碳四烯酸与总脂肪酸比</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single" w:color="000000" w:sz="8" w:space="0"/>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二十二碳六烯酸（22:6n-3）与二十碳四烯酸（20:4n-6）的比</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长链不饱和脂肪酸中二十碳五烯酸（20:5n-3）的量与二十二碳六烯酸的量的比</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叶黄素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核苷酸</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水分</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灰分</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杂质度</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果聚糖</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黄曲霉毒素M1或黄曲霉毒素B1</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硝酸盐（以NaNO3计）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亚硝酸盐（以NaNO2计）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脲酶活性定性测定</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三聚氰胺</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菌落总数</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大肠菌群</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金黄色葡萄球菌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沙门氏菌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阪崎肠杆菌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婴幼儿配方食品</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（湿法工艺、干法工艺、干湿法混合工艺）</w:t>
            </w: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较大婴儿和幼儿配方食品</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乳基较大婴儿和幼儿配方食品、豆基较大婴儿和幼儿配方食品</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蛋白质</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1350</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150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1500</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脂肪</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亚油酸</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维生素A</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维生素D</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维生素E</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维生素K1</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维生素B1</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维生素B2</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维生素B6</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维生素B12</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烟酸（烟酰胺）</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叶酸</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泛酸</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维生素C</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生物素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钾</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铜</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镁</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铁</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锰</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钙</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钙磷比值</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碘</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硒</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胆碱</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肌醇</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牛磺酸</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左旋肉碱</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二十二碳六烯酸与总脂肪酸比</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二十碳四烯酸与总脂肪酸比</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二十二碳六烯酸</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二十碳四烯酸</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反式脂肪酸与总脂肪酸比值</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水分</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灰分</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杂质度</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叶黄素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核苷酸</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果聚糖</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黄曲霉毒素M1或黄曲霉毒素B1</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硝酸盐（以NaNO3计）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亚硝酸盐（以NaNO2计）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脲酶活性定性测定</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三聚氰胺</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菌落总数</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大肠菌群</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沙门氏菌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restart"/>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31</w:t>
            </w:r>
          </w:p>
        </w:tc>
        <w:tc>
          <w:tcPr>
            <w:tcW w:w="91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餐饮食品</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米面及其制品(自制)</w:t>
            </w: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小麦粉制品(自制)</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发酵面制品 (自制)</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苯甲酸及其钠盐(以苯甲酸计)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135</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165</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山梨酸及其钾盐(以山梨酸计)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糖精钠(以糖精计）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油炸面制品 (自制)</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铝的残留量(干样品,以Al计)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300</w:t>
            </w:r>
          </w:p>
        </w:tc>
        <w:tc>
          <w:tcPr>
            <w:tcW w:w="69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300</w:t>
            </w:r>
          </w:p>
        </w:tc>
        <w:tc>
          <w:tcPr>
            <w:tcW w:w="53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w:t>
            </w:r>
          </w:p>
        </w:tc>
        <w:tc>
          <w:tcPr>
            <w:tcW w:w="97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330</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肉制品 (自制)</w:t>
            </w: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熟肉制品 (自制)</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酱卤肉制品</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、肉灌肠、其他熟肉 (自制)</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胭脂红</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435</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80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515</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亚硝酸盐(以亚硝酸钠计)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苯甲酸及其钠盐(以苯甲酸计)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山梨酸及其钾盐(以山梨酸计)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肉冻、皮冻 (自制)</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铬(以Cr计)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53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w:t>
            </w:r>
          </w:p>
        </w:tc>
        <w:tc>
          <w:tcPr>
            <w:tcW w:w="97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68</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复合调味料(自制)</w:t>
            </w: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半固态调味料(自制)</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火锅调味料 (底料、蘸</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料)(自制)</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罂粟碱</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350</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370</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吗啡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可待因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那可丁</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蒂巴因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restart"/>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31</w:t>
            </w:r>
          </w:p>
        </w:tc>
        <w:tc>
          <w:tcPr>
            <w:tcW w:w="91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餐饮食品</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水产及水产制品（餐饮）</w:t>
            </w: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水产及水产制品（餐饮）</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生食动物性水产品（餐饮）</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挥发性盐基氮</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303</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323</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镉</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吸虫囊蚴</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线虫幼虫</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绦虫裂头蚴</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坚果及籽类食品（餐饮）</w:t>
            </w:r>
          </w:p>
        </w:tc>
        <w:tc>
          <w:tcPr>
            <w:tcW w:w="94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坚果及籽类食品（餐饮）</w:t>
            </w:r>
          </w:p>
        </w:tc>
        <w:tc>
          <w:tcPr>
            <w:tcW w:w="93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花生及其制品（餐饮)</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黄曲霉毒素B1</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531"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w:t>
            </w:r>
          </w:p>
        </w:tc>
        <w:tc>
          <w:tcPr>
            <w:tcW w:w="97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餐饮具</w:t>
            </w: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复用餐饮具</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复用餐饮具</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黄曲霉毒素B1</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965</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985</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游离性余氯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阴离子合成洗涤剂（以十二烷基苯磺酸钠计）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大肠菌群</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沙门氏菌</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restart"/>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32</w:t>
            </w:r>
          </w:p>
        </w:tc>
        <w:tc>
          <w:tcPr>
            <w:tcW w:w="91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食品添加剂</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食品添加剂</w:t>
            </w: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增稠剂</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明胶</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凝冻强度（6.67%）</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354</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374</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铬（Cr）</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铅（Pb）</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总砷（As）</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二氧化硫</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过氧化物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复配食品添加剂</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复配膨松剂</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重金属（以Pb计）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141</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161</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砷（As）</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溴酸钾</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复配食品添加剂（用于小麦粉）</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铅（Pb）</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211</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231</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砷（以As计）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溴酸钾</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致病性微生物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复配食品添加剂（其</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他）</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铅（Pb）</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166</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186</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砷（以As计）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致病性微生物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食品用香精</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食品用香精</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重金属（以Pb计）含量</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191</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211</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砷（以As计）含量/无机砷含量</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菌落总数</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大肠菌群</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防腐剂</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山梨酸钾</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山梨酸钾（以C6H7KO2计）（以干基计）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214</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234</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重金属（以Pb计）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铅（Pb）</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砷（As）</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甜味剂</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木糖醇</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木糖醇含量（以干基计）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316</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336</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还原糖（以葡萄糖计）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150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铅（Pb）</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镍（Ni）</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restart"/>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33</w:t>
            </w:r>
          </w:p>
        </w:tc>
        <w:tc>
          <w:tcPr>
            <w:tcW w:w="91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食盐</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食盐</w:t>
            </w: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食盐</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食盐</w:t>
            </w: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氯化钠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798</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818</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氯化钾</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碘（以I计）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钡（以Ba计）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总砷（以As计）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镉（以Cd计）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总汞(以Hg计)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亚硝酸盐</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亚铁氰化钾（以亚铁氰根计）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restar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34</w:t>
            </w:r>
          </w:p>
        </w:tc>
        <w:tc>
          <w:tcPr>
            <w:tcW w:w="91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食用农产品</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畜禽肉及副产品</w:t>
            </w: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畜肉</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猪肉</w:t>
            </w: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挥发性盐基氮</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2025</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60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2085</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克伦特罗</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沙丁胺醇</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莱克多巴胺</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特布他林</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呋喃唑酮代谢物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呋喃它酮代谢物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呋喃西林代谢物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呋喃妥因代谢物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氯霉素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氟苯尼考</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多西环素(强力霉素）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土霉素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恩诺沙星（以恩诺沙星与环丙沙星之和计）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洛美沙星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培氟沙星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氧氟沙星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诺氟沙星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氯丙嗪</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磺胺类（总量）</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五氯酚酸钠（以五氯酚计）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喹乙醇代谢物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利巴韦林</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牛肉</w:t>
            </w: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挥发性盐基氮</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1935</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80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2015</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克伦特罗</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沙丁胺醇</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莱克多巴胺</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特布他林</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呋喃唑酮代谢物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呋喃它酮代谢物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呋喃西林代谢物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呋喃妥因代谢物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氯霉素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氟苯尼考</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多西环素(强力霉素）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土霉素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地塞米松</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恩诺沙星（以恩诺沙星与环丙沙星之和计）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洛美沙星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培氟沙星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氧氟沙星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诺氟沙星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林可霉素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磺胺类（总量）</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五氯酚酸钠（以五氯酚计）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羊肉</w:t>
            </w: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挥发性盐基氮</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1893</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80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1973</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克伦特罗</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沙丁胺醇</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莱克多巴胺</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特布他林</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呋喃唑酮代谢物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呋喃它酮代谢物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呋喃西林代谢物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呋喃妥因代谢物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氯霉素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氟苯尼考</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土霉素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恩诺沙星（以恩诺沙星与环丙沙星之和计）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洛美沙星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培氟沙星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氧氟沙星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诺氟沙星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达氟沙星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氟甲喹</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磺胺类（总量）</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五氯酚酸钠（以五氯酚计）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其他畜肉</w:t>
            </w: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挥发性盐基氮</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1665</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80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1745</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克伦特罗</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沙丁胺醇</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莱克多巴胺</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特布他林</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呋喃唑酮代谢物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呋喃它酮代谢物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呋喃西林代谢物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呋喃妥因代谢物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氯霉素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氟苯尼考</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土霉素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恩诺沙星（以恩诺沙星与环丙沙星之和计）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洛美沙星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培氟沙星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氧氟沙星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诺氟沙星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磺胺类（总量）</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五氯酚酸钠（以五氯酚计）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禽肉</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鸡肉</w:t>
            </w: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挥发性盐基氮</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2205</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60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2265</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呋喃唑酮代谢物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呋喃它酮代谢物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呋喃西林代谢物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呋喃妥因代谢物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氯霉素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氟苯尼考</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多西环素(强力霉素）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土霉素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金霉素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四环素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恩诺沙星（以恩诺沙星与环丙沙星之和计）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洛美沙星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培氟沙星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氧氟沙星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诺氟沙星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沙拉沙星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磺胺类（总量）</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五氯酚酸钠（以五氯酚计）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替米考星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尼卡巴嗪残留标志物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金刚烷胺</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金刚乙胺</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利巴韦林</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甲硝唑</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鸭肉</w:t>
            </w: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挥发性盐基氮</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1575</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60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1635</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呋喃唑酮代谢物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呋喃它酮代谢物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呋喃西林代谢物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呋喃妥因代谢物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氯霉素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氟苯尼考</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多西环素(强力霉素）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土霉素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金霉素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四环素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恩诺沙星（以恩诺沙星与环丙沙星之和计）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洛美沙星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培氟沙星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氧氟沙星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诺氟沙星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磺胺类（总量）</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五氯酚酸钠（以五氯酚计）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其他禽肉</w:t>
            </w: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挥发性盐基氮</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1575</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60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1635</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呋喃唑酮代谢物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呋喃它酮代谢物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呋喃西林代谢物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呋喃妥因代谢物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氯霉素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氟苯尼考</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多西环素(强力霉素）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土霉素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金霉素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四环素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恩诺沙星（以恩诺沙星与环丙沙星之和计）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洛美沙星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培氟沙星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氧氟沙星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诺氟沙星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磺胺类（总量）</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五氯酚酸钠（以五氯酚计）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畜副产品</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猪肝</w:t>
            </w: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镉（以 Cd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1716</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60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1776</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总砷（以As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克伦特罗</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沙丁胺醇</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莱克多巴胺</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特布他林</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呋喃唑酮代谢物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呋喃它酮代谢物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呋喃西林代谢物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氯霉素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氟苯尼考</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多西环素(强力霉素）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土霉素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恩诺沙星（以恩诺沙星与环丙沙星之和计）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洛美沙星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培氟沙星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氧氟沙星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诺氟沙星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磺胺类（总量）</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五氯酚酸钠（以五氯酚计）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牛肝</w:t>
            </w: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克伦特罗</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1620</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60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1680</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沙丁胺醇</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莱克多巴胺</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特布他林</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呋喃唑酮代谢物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呋喃它酮代谢物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呋喃西林代谢物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氯霉素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氟苯尼考</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多西环素(强力霉素）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土霉素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恩诺沙星（以恩诺沙星与环丙沙星之和计）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洛美沙星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培氟沙星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氧氟沙星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诺氟沙星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磺胺类（总量）</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五氯酚酸钠（以五氯酚计）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羊肝</w:t>
            </w: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总砷（以As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1578</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60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1638</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克伦特罗</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沙丁胺醇</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莱克多巴胺</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特布他林</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呋喃唑酮代谢物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呋喃它酮代谢物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呋喃西林代谢物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氯霉素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氟苯尼考</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土霉素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恩诺沙星（以恩诺沙星与环丙沙星之和计）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洛美沙星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培氟沙星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氧氟沙星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诺氟沙星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磺胺类（总量）</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五氯酚酸钠（以五氯酚计）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猪肾</w:t>
            </w: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克伦特罗</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1620</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60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1680</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沙丁胺醇</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莱克多巴胺</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特布他林</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呋喃唑酮代谢物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呋喃它酮代谢物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呋喃西林代谢物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氯霉素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氟苯尼考</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多西环素(强力霉素）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土霉素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恩诺沙星（以恩诺沙星与环丙沙星之和计）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洛美沙星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培氟沙星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氧氟沙星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诺氟沙星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磺胺类（总量）</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五氯酚酸钠（以五氯酚计）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牛肾</w:t>
            </w: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克伦特罗</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1620</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60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1680</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沙丁胺醇</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莱克多巴胺</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特布他林</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呋喃唑酮代谢物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呋喃它酮代谢物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呋喃西林代谢物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氯霉素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氟苯尼考</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多西环素(强力霉素）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土霉素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恩诺沙星（以恩诺沙星与环丙沙星之和计）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洛美沙星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培氟沙星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氧氟沙星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诺氟沙星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磺胺类（总量）</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五氯酚酸钠（以五氯酚计）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羊肾</w:t>
            </w: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镉（以 Cd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1578</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60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1638</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克伦特罗</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沙丁胺醇</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莱克多巴胺</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特布他林</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呋喃唑酮代谢物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呋喃它酮代谢物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呋喃西林代谢物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氯霉素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氟苯尼考</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土霉素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恩诺沙星（以恩诺沙星与环丙沙星之和计）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洛美沙星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培氟沙星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氧氟沙星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诺氟沙星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磺胺类（总量）</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五氯酚酸钠（以五氯酚计）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其他畜副产品</w:t>
            </w: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克伦特罗</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1350</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60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1410</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沙丁胺醇</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莱克多巴胺</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特布他林</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呋喃唑酮代谢物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呋喃它酮代谢物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呋喃西林代谢物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氯霉素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土霉素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磺胺类（总量）</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洛美沙星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培氟沙星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氧氟沙星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诺氟沙星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五氯酚酸钠（以五氯酚计）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禽副产品</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鸡肝</w:t>
            </w: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总汞（以Hg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1494</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60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1554</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总砷（以As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铬（以 Cr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呋喃唑酮代谢物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呋喃它酮代谢物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呋喃西林代谢物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呋喃妥因代谢物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氯霉素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氟苯尼考</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洛美沙星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培氟沙星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氧氟沙星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诺氟沙星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五氯酚酸钠（以五氯酚计）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替米考星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金刚烷胺</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金刚乙胺</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利巴韦林</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其他禽副产品</w:t>
            </w: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铬（以 Cr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1038</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60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1098</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呋喃唑酮代谢物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呋喃它酮代谢物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呋喃西林代谢物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呋喃妥因代谢物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氯霉素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氟苯尼考</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洛美沙星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培氟沙星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氧氟沙星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诺氟沙星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五氯酚酸钠（以五氯酚计）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蔬菜</w:t>
            </w: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豆芽</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豆芽</w:t>
            </w: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834</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864</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镉（以 Cd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铬（以 Cr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亚硫酸盐（以 SO2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6-苄基腺嘌呤（6-BA）</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4-氯苯氧乙酸钠（以 4-氯苯氧乙酸计）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鲜食用菌</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鲜食用菌</w:t>
            </w: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552</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572</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镉（以 Cd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总砷（以As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总汞（以Hg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氯氟氰菊酯和高效氯氟氰菊酯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氯氰菊酯和高效氯氰菊酯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氟氯氰菊酯和高效氟氯氰菊酯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二氧化硫残留量</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鳞茎类蔬菜</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韭菜</w:t>
            </w: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2796</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2826</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镉（以 Cd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阿维菌素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倍硫磷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敌敌畏</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毒死蜱</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对硫磷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多菌灵</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二甲戊灵</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氟虫腈</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腐霉利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甲拌磷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克百威</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乐果</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氯氟氰菊酯和高效氯氟氰菊酯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氯氰菊酯和高效氯氰菊酯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氯唑磷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灭多威</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内吸磷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杀扑磷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水胺硫磷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辛硫磷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氧乐果</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灭线磷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芸薹属类蔬菜</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结球甘蓝</w:t>
            </w: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2436</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2466</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镉（以 Cd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阿维菌素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倍硫磷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哒螨灵</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敌百虫</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氟吡甲禾灵和高效氟吡甲禾灵</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氟虫腈</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甲氨基阿维菌素苯甲酸盐</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甲胺磷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甲基异柳磷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硫线磷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氯氰菊酯和高效氯氰菊酯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氯唑磷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灭多威</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噻虫胺</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噻虫啉</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杀扑磷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水胺硫磷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氧乐果</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肟菌酯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花椰菜</w:t>
            </w: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1776</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1806</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镉（以 Cd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阿维菌素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倍硫磷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敌百虫</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毒死蜱</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氟虫腈</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氟酰脲</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甲拌磷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甲霜灵和精甲霜灵</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硫线磷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氯氰菊酯和高效氯氰菊酯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氯唑磷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杀扑磷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水胺硫磷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戊唑醇</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菜薹</w:t>
            </w: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2196</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2226</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镉（以 Cd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敌敌畏</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对硫磷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氟虫腈</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甲胺磷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甲拌磷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甲基对硫磷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甲基异柳磷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甲萘威</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克百威</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联苯菊酯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氯氰菊酯和高效氯氰菊酯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咪鲜胺和咪鲜胺锰盐</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灭多威</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三环唑</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杀螟硫磷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水胺硫磷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涕灭威</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辛硫磷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氧乐果</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乙酰甲胺磷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叶菜类蔬菜</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菠菜</w:t>
            </w: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1776</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1806</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镉（以 Cd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阿维菌素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倍硫磷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毒死蜱</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二嗪磷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伏杀硫磷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氟虫腈</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甲霜灵和精甲霜灵</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克百威</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硫线磷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氯氰菊酯和高效氯氰菊酯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灭多威</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杀扑磷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水胺硫磷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氧乐果</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芹菜</w:t>
            </w: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2256</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2286</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镉（以 Cd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阿维菌素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百菌清</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倍硫磷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毒死蜱</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氟虫腈</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甲拌磷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克百威</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乐果</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硫线磷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氯氟氰菊酯和高效氯氟氰菊酯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氯氰菊酯和高效氯氰菊酯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灭多威</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杀扑磷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水胺硫磷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辛硫磷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氧乐果</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肟菌酯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普通白菜</w:t>
            </w: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2916</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2946</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镉（以 Cd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阿维菌素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倍硫磷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丙溴磷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虫螨腈</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虫酰肼</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敌百虫</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啶虫脒</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毒死蜱</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氟虫腈</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甲氨基阿维菌素苯甲酸盐</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甲拌磷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久效磷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克百威</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硫线磷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氯氰菊酯和高效氯氰菊酯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氯唑磷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灭多威</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内吸磷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杀扑磷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水胺硫磷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氧乐果</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甲胺磷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叶菜类蔬菜</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油麦菜</w:t>
            </w: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2946</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2976</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镉（以 Cd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倍硫磷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虫酰肼</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敌百虫</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对硫磷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氟虫腈</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甲胺磷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甲拌磷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甲基对硫磷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甲基硫环磷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甲基异柳磷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甲萘威</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久效磷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克百威</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硫环磷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硫线磷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氯唑磷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灭多威</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灭线磷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内吸磷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杀螟硫磷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杀扑磷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水胺硫磷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涕灭威</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辛硫磷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氧乐果</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乙酰甲胺磷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大白菜</w:t>
            </w: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5706</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5736</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镉（以 Cd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阿维菌素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百菌清</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倍硫磷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苯醚甲环唑</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吡虫啉</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吡唑醚菌酯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虫螨腈</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虫酰肼</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除虫脲</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敌百虫</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敌敌畏</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啶虫脒</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毒死蜱</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对硫磷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二嗪磷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伏杀硫磷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氟胺氰菊酯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氟苯脲</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氟虫腈</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氟啶脲</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氟氯氰菊酯和高效氟氯氰菊酯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甲氨基阿维菌素苯甲酸盐</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甲胺磷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甲拌磷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甲基硫环磷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甲基异柳磷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甲萘威</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甲氰菊酯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久效磷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克百威</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乐果</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氯氟氰菊酯和高效氯氟氰菊酯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氯氰菊酯和高效氯氰菊酯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氯唑磷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马拉硫磷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醚菊酯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灭多威</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灭线磷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内吸磷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氰戊菊酯和 S-氰戊菊酯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炔螨特</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杀螟丹</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杀螟硫磷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杀扑磷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水胺硫磷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涕灭威</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辛硫磷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溴氰菊酯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亚胺硫磷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氧乐果</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乙酰甲胺磷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唑虫酰胺</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茄果类蔬菜</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茄子</w:t>
            </w: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2616</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2646</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镉（以 Cd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阿维菌素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倍硫磷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敌百虫</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啶虫脒</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氟虫腈</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甲胺磷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甲拌磷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克百威</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硫线磷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氯氰菊酯和高效氯氰菊酯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氯唑磷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灭多威</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内吸磷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噻虫啉</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噻螨酮</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三唑醇</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杀扑磷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水胺硫磷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氧乐果</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肟菌酯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唑螨酯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辣椒</w:t>
            </w: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2316</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2346</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镉（以 Cd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倍硫磷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吡唑醚菌酯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虫酰肼</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敌百虫</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氟虫腈</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甲拌磷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甲霜灵和精甲霜灵</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克百威</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硫线磷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氯氰菊酯和高效氯氰菊酯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氯唑磷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咪鲜胺和咪鲜胺锰盐</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灭多威</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内吸磷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三唑醇</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杀扑磷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水胺硫磷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氧乐果</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唑螨酯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多菌灵</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番茄</w:t>
            </w: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2226</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2256</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镉（以 Cd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阿维菌素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苯醚甲环唑</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苯酰菌胺</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啶氧菌酯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氟虫腈</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甲氨基阿维菌素苯甲酸盐</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硫线磷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氯氟氰菊酯和高效氯氟氰菊酯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氯氰菊酯和高效氯氰菊酯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嘧菌酯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灭多威</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噻虫胺</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杀扑磷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双甲脒</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水胺硫磷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肟菌酯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氧乐果</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乙霉威</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唑螨酯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甜椒</w:t>
            </w: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5046</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5076</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镉（以 Cd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阿维菌素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倍硫磷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敌百虫</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敌敌畏</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对硫磷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二嗪磷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粉唑醇</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氟虫腈</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氟酰脲</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甲胺磷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甲拌磷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甲苯氟磺胺</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甲基对硫磷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甲基硫环磷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甲基硫菌灵</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甲基异柳磷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甲萘威</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甲氰菊酯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久效磷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抗蚜威</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克百威</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联苯肼酯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硫线磷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氯苯嘧啶醇</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氯氟氰菊酯和高效氯氟氰菊酯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氯唑磷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嘧菌环胺</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灭多威</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灭线磷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内吸磷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噻虫啉</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三唑醇</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三唑酮</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杀螟硫磷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杀扑磷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杀线威</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霜霉威和霜霉威盐酸盐</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水胺硫磷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涕灭威</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五氯硝基苯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戊唑醇</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烯酰吗啉</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辛硫磷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氧乐果</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乙酰甲胺磷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肟菌酯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唑螨酯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瓜类蔬菜</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黄瓜</w:t>
            </w: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3036</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3066</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镉（以 Cd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阿维菌素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苯醚甲环唑</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吡虫啉</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吡唑醚菌酯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哒螨灵</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毒死蜱</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呋虫胺</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氟虫腈</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甲氨基阿维菌素苯甲酸盐</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甲拌磷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甲霜灵和精甲霜灵</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腈苯唑</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腈菌唑</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克百威</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联苯肼酯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硫线磷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氯唑磷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醚菌酯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灭多威</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内吸磷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噻虫啉</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杀扑磷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杀线威</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水胺硫磷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四螨嗪</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氧乐果</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乙霉威</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唑螨酯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豆类蔬菜</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豇豆</w:t>
            </w: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2346</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2376</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镉（以 Cd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阿维菌素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倍硫磷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敌百虫</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氟虫腈</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甲拌磷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甲基异柳磷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克百威</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联苯肼酯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硫线磷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氯氰菊酯和高效氯氰菊酯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氯唑磷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灭多威</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灭蝇胺</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内吸磷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杀扑磷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水胺硫磷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氧乐果</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甲胺磷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菜豆</w:t>
            </w: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2346</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2376</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镉（以 Cd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阿维菌素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倍硫磷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敌百虫</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氟虫腈</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甲拌磷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克百威</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联苯肼酯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硫线磷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氯氰菊酯和高效氯氰菊酯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氯唑磷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嘧霉胺</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灭多威</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灭蝇胺</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内吸磷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杀扑磷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水胺硫磷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溴螨酯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氧乐果</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根茎类和薯芋类蔬菜</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山药</w:t>
            </w: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3396</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3426</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镉（以 Cd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倍硫磷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敌百虫</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对硫磷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氟虫腈</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氟氰戊菊酯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甲胺磷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甲拌磷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甲基对硫磷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甲基硫环磷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甲基异柳磷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甲萘威</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久效磷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克百威</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乐果</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联苯菊酯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硫环磷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硫线磷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氯氟氰菊酯和高效氯氟氰菊酯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氯唑磷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马拉硫磷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灭多威</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灭线磷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内吸磷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氰戊菊酯和 S-氰戊菊酯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杀螟硫磷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杀扑磷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水胺硫磷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涕灭威</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辛硫磷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氧乐果</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乙酰甲胺磷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水产品</w:t>
            </w: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淡水产品</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淡水鱼</w:t>
            </w: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挥发性盐基氮</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2253</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2303</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镉（以 Cd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孔雀石绿</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氯霉素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甲砜霉素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氟苯尼考</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呋喃唑酮代谢物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呋喃它酮代谢物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呋喃西林代谢物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呋喃妥因代谢物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恩诺沙星（以恩诺沙星与环丙沙星之和计）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氧氟沙星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培氟沙星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洛美沙星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诺氟沙星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四环素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金霉素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土霉素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磺胺类（总量）</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地西泮</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甲硝唑</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地美硝唑</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洛硝哒唑</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羟基甲硝唑</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羟甲基甲硝咪唑</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五氯酚酸钠（以五氯酚计）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淡水虾</w:t>
            </w: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挥发性盐基氮</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2163</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2213</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镉（以 Cd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孔雀石绿</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氯霉素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氟苯尼考</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呋喃唑酮代谢物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呋喃它酮代谢物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呋喃西林代谢物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呋喃妥因代谢物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恩诺沙星（以恩诺沙星与环丙沙星之和计）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氧氟沙星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培氟沙星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洛美沙星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诺氟沙星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四环素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金霉素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土霉素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磺胺类（总量）</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地西泮</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甲硝唑</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地美硝唑</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洛硝哒唑</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羟基甲硝唑</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羟甲基甲硝咪唑</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五氯酚酸钠（以五氯酚计）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淡水蟹</w:t>
            </w: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镉（以 Cd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2118</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60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2178</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孔雀石绿</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氯霉素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氟苯尼考</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呋喃唑酮代谢物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呋喃它酮代谢物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呋喃西林代谢物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呋喃妥因代谢物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恩诺沙星（以恩诺沙星与环丙沙星之和计）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氧氟沙星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培氟沙星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洛美沙星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诺氟沙星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四环素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金霉素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土霉素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磺胺类（总量）</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地西泮</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甲硝唑</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地美硝唑</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洛硝哒唑</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羟基甲硝唑</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羟甲基甲硝咪唑</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五氯酚酸钠（以五氯酚计）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海水产品</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海水鱼</w:t>
            </w: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挥发性盐基氮</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2298</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60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2358</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组胺</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镉（以 Cd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孔雀石绿</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氯霉素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甲砜霉素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氟苯尼考</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呋喃唑酮代谢物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呋喃它酮代谢物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呋喃西林代谢物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呋喃妥因代谢物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恩诺沙星（以恩诺沙星与环丙沙星之和计）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氧氟沙星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培氟沙星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洛美沙星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诺氟沙星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四环素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金霉素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土霉素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磺胺类（总量）</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地西泮</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甲硝唑</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地美硝唑</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洛硝哒唑</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羟基甲硝唑</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羟甲基甲硝咪唑</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五氯酚酸钠（以五氯酚计）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海水虾</w:t>
            </w: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挥发性盐基氮</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2253</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60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2313</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镉（以 Cd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孔雀石绿</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氯霉素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氟苯尼考</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呋喃唑酮代谢物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呋喃它酮代谢物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呋喃西林代谢物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呋喃妥因代谢物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恩诺沙星（以恩诺沙星与环丙沙星之和计）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氧氟沙星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培氟沙星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洛美沙星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诺氟沙星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四环素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金霉素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土霉素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磺胺类（总量）</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地西泮</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甲硝唑</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地美硝唑</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洛硝哒唑</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羟基甲硝唑</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羟甲基甲硝咪唑</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五氯酚酸钠（以五氯酚计）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二氧化硫残留量</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海水蟹</w:t>
            </w: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挥发性盐基氮</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2253</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60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2313</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镉（以 Cd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孔雀石绿</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氯霉素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氟苯尼考</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呋喃唑酮代谢物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呋喃它酮代谢物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呋喃西林代谢物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呋喃妥因代谢物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恩诺沙星（以恩诺沙星与环丙沙星之和计）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氧氟沙星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培氟沙星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洛美沙星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诺氟沙星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四环素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金霉素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土霉素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磺胺类（总量）</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地西泮</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甲硝唑</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地美硝唑</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洛硝哒唑</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羟基甲硝唑</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羟甲基甲硝咪唑</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五氯酚酸钠（以五氯酚计）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二氧化硫残留量</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贝类</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贝类</w:t>
            </w: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挥发性盐基氮</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2169</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60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2229</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镉（以 Cd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无机砷（以 As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孔雀石绿</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氯霉素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氟苯尼考</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呋喃唑酮代谢物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呋喃它酮代谢物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呋喃西林代谢物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呋喃妥因代谢物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恩诺沙星（以恩诺沙星与环丙沙星之和计）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氧氟沙星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培氟沙星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洛美沙星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诺氟沙星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四环素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金霉素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土霉素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磺胺类（总量）</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地西泮</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甲硝唑</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地美硝唑</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洛硝哒唑</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羟基甲硝唑</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羟甲基甲硝咪唑</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其他水产品</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其他水产品</w:t>
            </w: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1224</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60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1284</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镉（以 Cd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甲基汞（以 Hg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无机砷（以 As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孔雀石绿</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氯霉素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呋喃唑酮代谢物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呋喃它酮代谢物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呋喃西林代谢物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呋喃妥因代谢物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恩诺沙星（以恩诺沙星与环丙沙星之和计）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氧氟沙星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培氟沙星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洛美沙星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诺氟沙星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水果类</w:t>
            </w: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仁果类水果</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苹果</w:t>
            </w: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2628</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2658</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辛硫磷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烯唑醇</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戊唑醇</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四螨嗪</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噻螨酮</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噻菌灵</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螺螨酯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腈菌唑</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甲基硫菌灵</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氟氯氰菊酯和高效氟氯氰菊酯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氟环唑</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氟虫脲</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氟虫腈</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毒死蜱</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啶酰菌胺</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丙溴磷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吡唑醚菌酯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苯醚甲环唑</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阿维菌素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甲基异柳磷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氯氰菊酯和高效氯氰菊酯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丙环唑</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对硫磷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敌敌畏</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梨</w:t>
            </w: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2928</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2958</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氧乐果</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辛硫磷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烯唑醇</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戊唑醇</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四螨嗪</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噻菌灵</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氰戊菊酯和 S-氰戊菊酯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灭线磷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醚菌酯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氯氟氰菊酯和高效氯氟氰菊酯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腈菌唑</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甲基硫菌灵</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氟氯氰菊酯和高效氟氯氰菊酯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氟硅唑</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氟虫腈</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多菌灵</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毒死蜱</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敌敌畏</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吡虫啉</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苯醚甲环唑</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百菌清</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阿维菌素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甲基异柳磷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氯氰菊酯和高效氯氰菊酯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克百威</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枇杷</w:t>
            </w: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1386</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1416</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镉（以 Cd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唑螨酯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辛硫磷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戊唑醇</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杀螟硫磷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噻菌灵</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氰戊菊酯和 S-氰戊菊酯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氯吡脲</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抗蚜威</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氟虫腈</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啶虫脒</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敌百虫</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甲基异柳磷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核果类水果</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枣</w:t>
            </w: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998</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1028</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氧乐果</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辛硫磷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氯氰菊酯和高效氯氰菊酯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嘧菌酯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氟虫腈</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氰戊菊酯和 S-氰戊菊酯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啶虫脒</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乐果</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糖精钠（以糖精计）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桃</w:t>
            </w: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1218</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1248</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辛硫磷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戊唑醇</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氰戊菊酯和 S-氰戊菊酯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氯氰菊酯和高效氯氰菊酯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抗蚜威</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腈苯唑</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氟虫腈</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吡唑醚菌酯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苯醚甲环唑</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啶虫脒</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乐果</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多菌灵</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氯唑磷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油桃</w:t>
            </w: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1128</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1158</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辛硫磷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戊唑醇</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氰戊菊酯和 S-氰戊菊酯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氯氰菊酯和高效氯氰菊酯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克百威</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抗蚜威</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甲胺磷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氟虫腈</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苯醚甲环唑</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啶虫脒</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乐果</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多菌灵</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杏</w:t>
            </w: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1218</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1248</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溴氰菊酯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辛硫磷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戊唑醇</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氰戊菊酯和 S-氰戊菊酯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嘧霉胺</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氯氰菊酯和高效氯氰菊酯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联苯三唑醇</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抗蚜威</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腈菌唑</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腈苯唑</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氟硅唑</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啶虫脒</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乐果</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樱桃</w:t>
            </w: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768</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798</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溴氰菊酯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辛硫磷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戊唑醇</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苯醚甲环唑</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啶虫脒</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氟虫腈</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氰戊菊酯和 S-氰戊菊酯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乐果</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李子</w:t>
            </w: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1038</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1068</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溴氰菊酯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辛硫磷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戊唑醇</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氰戊菊酯和 S-氰戊菊酯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抗蚜威</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腈菌唑</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甲氰菊酯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氟虫腈</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苯醚甲环唑</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啶虫脒</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乐果</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柑橘类水果</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柑、橘</w:t>
            </w: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2748</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2778</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抑霉唑</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乙螨唑</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溴氰菊酯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辛硫磷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戊唑醇</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四螨嗪</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三唑磷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噻嗪酮</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氰戊菊酯和 S-氰戊菊酯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氯氰菊酯和高效氯氰菊酯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螺螨酯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联苯菊酯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克百威</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氟氯氰菊酯和高效氟氯氰菊酯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氟虫腈</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毒死蜱</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丙溴磷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苯醚甲环唑</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阿维菌素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杀扑磷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多菌灵</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狄氏剂</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氧乐果</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柚</w:t>
            </w: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2178</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2208</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抑霉唑</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乙螨唑</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溴氰菊酯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辛硫磷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戊唑醇</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四螨嗪</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噻嗪酮</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氰戊菊酯和 S-氰戊菊酯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联苯菊酯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氟氯氰菊酯和高效氟氯氰菊酯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氟虫腈</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毒死蜱</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啶虫脒</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丙溴磷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阿维菌素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杀扑磷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氯氰菊酯和高效氯氰菊酯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嘧菌酯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苯醚甲环唑</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柠檬</w:t>
            </w: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2468</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2498</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抑霉唑</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乙螨唑</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辛硫磷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戊唑醇</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四螨嗪</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噻嗪酮</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噻菌灵</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氰戊菊酯和 S-氰戊菊酯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嘧菌酯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螺螨酯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联苯菊酯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氟氯氰菊酯和高效氟氯氰菊酯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氟虫腈</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毒死蜱</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啶虫脒</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草甘膦</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丙溴磷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苯醚甲环唑</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阿维菌素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狄氏剂</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杀扑磷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橙</w:t>
            </w: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3308</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3338</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抑霉唑</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乙螨唑</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溴氰菊酯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辛硫磷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戊唑醇</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四螨嗪</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三唑磷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噻嗪酮</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噻菌灵</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氰戊菊酯和 S-氰戊菊酯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嘧菌酯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氯唑磷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氯氰菊酯和高效氯氰菊酯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氯氟氰菊酯和高效氯氟氰菊酯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螺螨酯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联苯菊酯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克百威</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氟氯氰菊酯和高效氟氯氰菊酯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氟虫腈</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毒死蜱</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狄氏剂</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草甘膦</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丙溴磷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苯醚甲环唑</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阿维菌素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杀扑磷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氯吡脲</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氧乐果</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浆果和其他小型水果</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葡萄</w:t>
            </w: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1698</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1728</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辛硫磷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戊唑醇</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戊菌唑</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噻菌灵</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氰戊菊酯和 S-氰戊菊酯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嘧霉胺</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嘧菌酯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氯吡脲</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甲霜灵和精甲霜灵</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己唑醇</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氟硅唑</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氟虫腈</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啶酰菌胺</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苯醚甲环唑</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溴氰菊酯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百菌清</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蓝莓</w:t>
            </w: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1538</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1568</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氧乐果</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辛硫磷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水胺硫磷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杀扑磷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灭线磷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灭多威</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氯氟氰菊酯和高效氯氟氰菊酯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克百威</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甲基异柳磷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甲胺磷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多杀霉素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敌敌畏</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草甘膦</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草莓</w:t>
            </w: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2018</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2048</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辛硫磷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烯酰吗啉</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戊菌唑</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氰戊菊酯和 S-氰戊菊酯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醚菌酯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氯氰菊酯和高效氯氰菊酯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联苯菊酯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腐霉利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氟虫腈</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粉唑醇</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啶酰菌胺</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草甘膦</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阿维菌素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溴氰菊酯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嘧霉胺</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多菌灵</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桑葚</w:t>
            </w: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1178</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1208</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辛硫磷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戊唑醇</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水胺硫磷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杀扑磷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灭多威</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草甘膦</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倍硫磷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敌百虫</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久效磷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猕猴桃</w:t>
            </w: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978</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1008</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辛硫磷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氰戊菊酯和 S-氰戊菊酯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氯吡脲</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氟虫腈</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溴氰菊酯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倍硫磷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敌百虫</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久效磷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西番莲</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（百香</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果）</w:t>
            </w: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1818</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1848</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氧乐果</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辛硫磷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戊唑醇</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氰戊菊酯和 S-氰戊菊酯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氯唑磷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氯氟氰菊酯和高效氯氟氰菊酯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克百威</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甲胺磷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氟虫腈</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对硫磷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敌敌畏</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敌百虫</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苯醚甲环唑</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水胺硫磷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杀扑磷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热带和亚热带水果</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香蕉</w:t>
            </w: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1656</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1686</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镉（以 Cd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溴氰菊酯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辛硫磷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烯唑醇</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肟菌酯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噻菌灵</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氰戊菊酯和 S-氰戊菊酯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嘧菌酯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腈菌唑</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腈苯唑</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氟环唑</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氟虫腈</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丙环唑</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苯醚甲环唑</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百菌清</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吡唑醚菌酯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芒果</w:t>
            </w: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1548</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1578</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氧乐果</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溴氰菊酯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辛硫磷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戊唑醇</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噻菌灵</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氰戊菊酯和 S-氰戊菊酯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嘧菌酯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嘧菌环胺</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氟虫腈</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丙溴磷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吡唑醚菌酯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苯醚甲环唑</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火龙果</w:t>
            </w: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1068</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1098</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辛硫磷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水胺硫磷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敌百虫</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久效磷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硫环磷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硫线磷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氯唑磷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灭多威</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内吸磷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柿子</w:t>
            </w: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858</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888</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辛硫磷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水胺硫磷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杀扑磷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氰戊菊酯和 S-氰戊菊酯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氯唑磷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甲基异柳磷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对硫磷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甲拌磷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菠萝</w:t>
            </w: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1038</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1068</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莠灭净</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辛硫磷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烯酰吗啉</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丙环唑</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二嗪磷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溴氰菊酯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久效磷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硫环磷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硫线磷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灭多威</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内吸磷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荔枝</w:t>
            </w: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1428</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1458</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溴氰菊酯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辛硫磷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氰戊菊酯和 S-氰戊菊酯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嘧菌酯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氯氰菊酯和高效氯氰菊酯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腈菌唑</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甲霜灵和精甲霜灵</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氟虫腈</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毒死蜱</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敌百虫</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吡唑醚菌酯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苯醚甲环唑</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乙酰甲胺磷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龙眼</w:t>
            </w: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888</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918</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辛硫磷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氰戊菊酯和 S-氰戊菊酯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氯氰菊酯和高效氯氰菊酯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氟虫腈</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毒死蜱</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敌百虫</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乙酰甲胺磷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石榴</w:t>
            </w: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1248</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1278</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辛硫磷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杀扑磷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氰戊菊酯和 S-氰戊菊酯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氯唑磷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氟虫腈</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敌百虫</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久效磷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硫环磷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硫线磷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灭多威</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内吸磷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瓜果类水果</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西瓜</w:t>
            </w: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1698</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1728</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辛硫磷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肟菌酯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涕灭威</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氰戊菊酯和 S-氰戊菊酯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嘧菌酯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咪鲜胺和咪鲜胺锰盐</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氯吡脲</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甲霜灵和精甲霜灵</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甲基硫菌灵</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氟虫腈</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啶氧菌酯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啶虫脒</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苯醚甲环唑</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阿维菌素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乙酰甲胺磷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噻虫嗪</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甜瓜类</w:t>
            </w: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1248</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1278</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辛硫磷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烯酰吗啉</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戊唑醇</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氰戊菊酯和 S-氰戊菊酯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醚菌酯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氟虫腈</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啶酰菌胺</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吡唑醚菌酯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阿维菌素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乙酰甲胺磷</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氯吡脲</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鲜蛋</w:t>
            </w: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鲜蛋</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鸡蛋</w:t>
            </w: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1488</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1518</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恩诺沙星（以恩诺沙星与环丙沙星之和计）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培氟沙星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氧氟沙星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诺氟沙星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洛美沙星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氯霉素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氟苯尼考</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多西环素(强力霉素）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呋喃它酮代谢物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呋喃唑酮代谢物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呋喃西林代谢物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呋喃妥因代谢物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金刚烷胺</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金刚乙胺</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利巴韦林</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氟虫腈（以氟虫腈、氟甲腈、氟虫腈砜、氟虫腈亚砜之和计）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其他禽蛋</w:t>
            </w: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1308</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1338</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培氟沙星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氧氟沙星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诺氟沙星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洛美沙星</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氯霉素</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氟苯尼考</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呋喃它酮代谢物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呋喃唑酮代谢物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呋喃西林代谢物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呋喃妥因代谢物</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金刚烷胺</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金刚乙胺</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利巴韦林</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氟虫腈（以氟虫腈、氟甲腈、氟虫腈砜、氟虫腈亚砜之和计）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豆类</w:t>
            </w: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豆类</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豆类</w:t>
            </w: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594</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624</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镉（以 Cd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铬（以 Cr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赭曲霉毒素 A</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烯草酮</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丙炔氟草胺</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氯嘧磺隆</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氟磺胺草醚</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生干坚果与籽类食品</w:t>
            </w:r>
          </w:p>
        </w:tc>
        <w:tc>
          <w:tcPr>
            <w:tcW w:w="94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生干坚果与籽类食品</w:t>
            </w: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生干坚果</w:t>
            </w: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酸价（以脂肪计）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548</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60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608</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过氧化值（以脂肪计）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唑螨酯</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苯醚甲环唑</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多菌灵</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二氧化硫残留量</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大肠菌群</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生干籽类</w:t>
            </w: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酸价（以脂肪计）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686</w:t>
            </w:r>
          </w:p>
        </w:tc>
        <w:tc>
          <w:tcPr>
            <w:tcW w:w="531"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60</w:t>
            </w:r>
          </w:p>
        </w:tc>
        <w:tc>
          <w:tcPr>
            <w:tcW w:w="97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746</w:t>
            </w: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过氧化值（以脂肪计）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45</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铅（以Pb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镉（以 Cd 计）</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黄曲霉毒素 B1</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多菌灵</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苯醚甲环唑</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粉唑醇</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二氧化硫残留量</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4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1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4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3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2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大肠菌群</w:t>
            </w:r>
          </w:p>
        </w:tc>
        <w:tc>
          <w:tcPr>
            <w:tcW w:w="72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50</w:t>
            </w:r>
          </w:p>
        </w:tc>
        <w:tc>
          <w:tcPr>
            <w:tcW w:w="69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531"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97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Layout w:type="fixed"/>
          <w:tblCellMar>
            <w:top w:w="0" w:type="dxa"/>
            <w:left w:w="0" w:type="dxa"/>
            <w:bottom w:w="0" w:type="dxa"/>
            <w:right w:w="0" w:type="dxa"/>
          </w:tblCellMar>
        </w:tblPrEx>
        <w:trPr>
          <w:trHeight w:val="481" w:hRule="atLeast"/>
        </w:trPr>
        <w:tc>
          <w:tcPr>
            <w:tcW w:w="8400" w:type="dxa"/>
            <w:gridSpan w:val="9"/>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投标细类单批次均价</w:t>
            </w:r>
          </w:p>
        </w:tc>
        <w:tc>
          <w:tcPr>
            <w:tcW w:w="975" w:type="dxa"/>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948.</w:t>
            </w:r>
            <w:r>
              <w:rPr>
                <w:rFonts w:hint="eastAsia" w:ascii="宋体" w:hAnsi="宋体" w:cs="宋体"/>
                <w:b/>
                <w:color w:val="000000"/>
                <w:kern w:val="0"/>
                <w:sz w:val="20"/>
                <w:szCs w:val="20"/>
                <w:lang w:val="en-US" w:eastAsia="zh-CN"/>
              </w:rPr>
              <w:t>42</w:t>
            </w:r>
            <w:r>
              <w:rPr>
                <w:rFonts w:hint="eastAsia" w:ascii="宋体" w:hAnsi="宋体" w:cs="宋体"/>
                <w:b/>
                <w:color w:val="000000"/>
                <w:kern w:val="0"/>
                <w:sz w:val="20"/>
                <w:szCs w:val="20"/>
              </w:rPr>
              <w:t>元</w:t>
            </w:r>
          </w:p>
        </w:tc>
      </w:tr>
      <w:tr>
        <w:tblPrEx>
          <w:tblLayout w:type="fixed"/>
          <w:tblCellMar>
            <w:top w:w="0" w:type="dxa"/>
            <w:left w:w="0" w:type="dxa"/>
            <w:bottom w:w="0" w:type="dxa"/>
            <w:right w:w="0" w:type="dxa"/>
          </w:tblCellMar>
        </w:tblPrEx>
        <w:trPr>
          <w:trHeight w:val="481" w:hRule="atLeast"/>
        </w:trPr>
        <w:tc>
          <w:tcPr>
            <w:tcW w:w="9375" w:type="dxa"/>
            <w:gridSpan w:val="10"/>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合计：共报 259 个食品细类，占全259个食品细类的 100 %。</w:t>
            </w:r>
          </w:p>
        </w:tc>
      </w:tr>
    </w:tbl>
    <w:p>
      <w:pPr>
        <w:spacing w:afterLines="50" w:line="360" w:lineRule="auto"/>
        <w:rPr>
          <w:rFonts w:ascii="宋体" w:hAnsi="宋体"/>
          <w:sz w:val="24"/>
        </w:rPr>
      </w:pPr>
    </w:p>
    <w:p>
      <w:pPr>
        <w:snapToGrid w:val="0"/>
        <w:spacing w:line="360" w:lineRule="auto"/>
        <w:ind w:firstLine="480" w:firstLineChars="200"/>
        <w:rPr>
          <w:rFonts w:ascii="宋体" w:hAnsi="宋体" w:cs="宋体"/>
          <w:b/>
          <w:sz w:val="24"/>
        </w:rPr>
      </w:pPr>
      <w:r>
        <w:rPr>
          <w:rFonts w:hint="eastAsia" w:ascii="宋体" w:hAnsi="宋体" w:cs="宋体"/>
          <w:bCs/>
          <w:sz w:val="24"/>
        </w:rPr>
        <w:t>注：1、若该表中某食品细类中某些检测项目没有检测资质，请在该检测项目的“检测费”栏划“/”，同时在该食品细类的“单批次检测费、单批次采样费、单批次总报价”栏划“/”。附表中检测项目对应的检测方法均指该产品类别国家标准中规定的检测方法。</w:t>
      </w:r>
      <w:r>
        <w:rPr>
          <w:rFonts w:hint="eastAsia" w:ascii="宋体" w:hAnsi="宋体" w:cs="宋体"/>
          <w:bCs/>
          <w:sz w:val="24"/>
        </w:rPr>
        <w:br w:type="textWrapping"/>
      </w:r>
      <w:r>
        <w:rPr>
          <w:rFonts w:hint="eastAsia" w:ascii="宋体" w:hAnsi="宋体" w:cs="宋体"/>
          <w:bCs/>
          <w:sz w:val="24"/>
        </w:rPr>
        <w:t xml:space="preserve">    2、检测费是指大宗食品在实验室检测期间产生的费用，包括检测、报告、结果分析等项目。采样费是指除了实验室检测费以外产生的费用，包括买样采样、送样产生的费用。单批次检测费为该食品细类单项目检测费之和。单批次总报价为该食品细类单批次检测费与单批次采样费之和。</w:t>
      </w:r>
      <w:r>
        <w:rPr>
          <w:rFonts w:hint="eastAsia" w:ascii="宋体" w:hAnsi="宋体" w:cs="宋体"/>
          <w:bCs/>
          <w:sz w:val="24"/>
        </w:rPr>
        <w:br w:type="textWrapping"/>
      </w:r>
      <w:r>
        <w:rPr>
          <w:rFonts w:hint="eastAsia" w:ascii="宋体" w:hAnsi="宋体" w:cs="宋体"/>
          <w:bCs/>
          <w:sz w:val="24"/>
        </w:rPr>
        <w:t xml:space="preserve">    3、投标细类单批次均价=投标细类单批次总报价之和/投标细类总数。</w:t>
      </w:r>
    </w:p>
    <w:p>
      <w:pPr>
        <w:spacing w:afterLines="50" w:line="360" w:lineRule="exact"/>
        <w:ind w:firstLine="480" w:firstLineChars="200"/>
        <w:rPr>
          <w:rFonts w:ascii="宋体" w:hAnsi="宋体"/>
          <w:sz w:val="24"/>
        </w:rPr>
      </w:pPr>
      <w:r>
        <w:rPr>
          <w:rFonts w:hint="eastAsia" w:ascii="宋体" w:hAnsi="宋体"/>
          <w:sz w:val="24"/>
        </w:rPr>
        <w:t>（</w:t>
      </w:r>
      <w:r>
        <w:rPr>
          <w:rFonts w:hint="eastAsia" w:ascii="宋体" w:hAnsi="宋体"/>
          <w:sz w:val="24"/>
          <w:u w:val="single"/>
        </w:rPr>
        <w:t>不得对检测种类、品种、项目进行随意删减）</w:t>
      </w:r>
      <w:r>
        <w:rPr>
          <w:rFonts w:hint="eastAsia" w:ascii="宋体" w:hAnsi="宋体"/>
          <w:sz w:val="24"/>
        </w:rPr>
        <w:t>。</w:t>
      </w:r>
    </w:p>
    <w:p>
      <w:pPr>
        <w:spacing w:line="360" w:lineRule="exact"/>
        <w:ind w:firstLine="429" w:firstLineChars="195"/>
        <w:rPr>
          <w:rFonts w:ascii="宋体" w:hAnsi="宋体"/>
          <w:sz w:val="22"/>
        </w:rPr>
      </w:pPr>
      <w:r>
        <w:rPr>
          <w:rFonts w:hint="eastAsia" w:ascii="宋体" w:hAnsi="宋体"/>
          <w:sz w:val="22"/>
        </w:rPr>
        <w:t>投标人：（盖章）</w:t>
      </w:r>
      <w:r>
        <w:rPr>
          <w:rFonts w:hint="eastAsia" w:ascii="宋体" w:hAnsi="宋体"/>
          <w:sz w:val="22"/>
          <w:lang w:val="zh-CN"/>
        </w:rPr>
        <w:t>河南国康检测技术有限公司</w:t>
      </w:r>
    </w:p>
    <w:p>
      <w:pPr>
        <w:spacing w:line="360" w:lineRule="exact"/>
        <w:ind w:firstLine="429" w:firstLineChars="195"/>
        <w:rPr>
          <w:rFonts w:ascii="宋体" w:hAnsi="宋体"/>
          <w:sz w:val="22"/>
        </w:rPr>
      </w:pPr>
    </w:p>
    <w:p>
      <w:pPr>
        <w:spacing w:line="360" w:lineRule="exact"/>
        <w:ind w:firstLine="429" w:firstLineChars="195"/>
        <w:rPr>
          <w:rFonts w:ascii="宋体" w:hAnsi="宋体"/>
          <w:sz w:val="22"/>
        </w:rPr>
      </w:pPr>
      <w:r>
        <w:rPr>
          <w:rFonts w:hint="eastAsia" w:ascii="宋体" w:hAnsi="宋体"/>
          <w:sz w:val="22"/>
        </w:rPr>
        <w:t>法定代表人或其委托代理人：（签字或盖章）</w:t>
      </w:r>
    </w:p>
    <w:p>
      <w:pPr>
        <w:spacing w:line="360" w:lineRule="exact"/>
        <w:ind w:firstLine="429" w:firstLineChars="195"/>
        <w:rPr>
          <w:rFonts w:ascii="宋体" w:hAnsi="宋体"/>
          <w:sz w:val="22"/>
        </w:rPr>
      </w:pPr>
    </w:p>
    <w:p>
      <w:pPr>
        <w:spacing w:afterLines="50" w:line="360" w:lineRule="auto"/>
        <w:rPr>
          <w:rFonts w:ascii="Arial" w:hAnsi="Arial" w:cs="Arial"/>
          <w:color w:val="000000"/>
        </w:rPr>
      </w:pPr>
      <w:r>
        <w:rPr>
          <w:rFonts w:hint="eastAsia" w:ascii="宋体" w:hAnsi="宋体"/>
          <w:sz w:val="22"/>
        </w:rPr>
        <w:t xml:space="preserve">    日  期：2019</w:t>
      </w:r>
      <w:r>
        <w:rPr>
          <w:rFonts w:hint="eastAsia" w:ascii="宋体" w:hAnsi="宋体"/>
          <w:sz w:val="22"/>
          <w:lang w:val="zh-CN"/>
        </w:rPr>
        <w:t>年</w:t>
      </w:r>
      <w:r>
        <w:rPr>
          <w:rFonts w:hint="eastAsia" w:ascii="宋体" w:hAnsi="宋体"/>
          <w:sz w:val="22"/>
        </w:rPr>
        <w:t>5</w:t>
      </w:r>
      <w:r>
        <w:rPr>
          <w:rFonts w:hint="eastAsia" w:ascii="宋体" w:hAnsi="宋体"/>
          <w:sz w:val="22"/>
          <w:lang w:val="zh-CN"/>
        </w:rPr>
        <w:t>月</w:t>
      </w:r>
      <w:r>
        <w:rPr>
          <w:rFonts w:hint="eastAsia" w:ascii="宋体" w:hAnsi="宋体"/>
          <w:sz w:val="22"/>
        </w:rPr>
        <w:t>8</w:t>
      </w:r>
      <w:r>
        <w:rPr>
          <w:rFonts w:hint="eastAsia" w:ascii="宋体" w:hAnsi="宋体"/>
          <w:sz w:val="22"/>
          <w:lang w:val="zh-CN"/>
        </w:rPr>
        <w:t xml:space="preserve">日 </w:t>
      </w:r>
      <w:r>
        <w:rPr>
          <w:rFonts w:ascii="宋体" w:hAnsi="宋体" w:cs="Arial"/>
          <w:color w:val="000000"/>
          <w:sz w:val="24"/>
          <w:szCs w:val="24"/>
        </w:rPr>
        <w:t xml:space="preserve">                         </w:t>
      </w:r>
    </w:p>
    <w:p>
      <w:pPr>
        <w:spacing w:line="480" w:lineRule="exact"/>
        <w:rPr>
          <w:rFonts w:hAnsi="宋体"/>
          <w:b/>
          <w:bCs/>
          <w:color w:val="000000"/>
          <w:position w:val="6"/>
          <w:szCs w:val="24"/>
        </w:rPr>
      </w:pPr>
      <w:r>
        <w:rPr>
          <w:rFonts w:hAnsi="宋体"/>
          <w:b/>
          <w:bCs/>
          <w:color w:val="000000"/>
          <w:position w:val="6"/>
          <w:szCs w:val="24"/>
        </w:rPr>
        <w:br w:type="page"/>
      </w:r>
    </w:p>
    <w:p>
      <w:pPr>
        <w:pStyle w:val="6"/>
      </w:pPr>
      <w:r>
        <w:rPr>
          <w:rFonts w:hint="eastAsia"/>
        </w:rPr>
        <w:t>4.2服</w:t>
      </w:r>
      <w:r>
        <w:t>务</w:t>
      </w:r>
      <w:r>
        <w:rPr>
          <w:rFonts w:hint="eastAsia"/>
        </w:rPr>
        <w:t>承</w:t>
      </w:r>
      <w:r>
        <w:t>诺</w:t>
      </w:r>
      <w:r>
        <w:rPr>
          <w:rFonts w:hint="eastAsia"/>
        </w:rPr>
        <w:t>书</w:t>
      </w:r>
    </w:p>
    <w:p>
      <w:pPr>
        <w:pStyle w:val="7"/>
      </w:pPr>
      <w:bookmarkStart w:id="0" w:name="_Toc5164"/>
      <w:bookmarkStart w:id="1" w:name="_Toc1180"/>
      <w:bookmarkStart w:id="2" w:name="_Toc29578"/>
      <w:bookmarkStart w:id="3" w:name="_Toc13399"/>
      <w:bookmarkStart w:id="4" w:name="_Toc23150"/>
      <w:bookmarkStart w:id="5" w:name="_Toc7209"/>
      <w:bookmarkStart w:id="6" w:name="_Toc29076"/>
      <w:bookmarkStart w:id="7" w:name="_Toc30460"/>
      <w:bookmarkStart w:id="8" w:name="_Toc6926"/>
      <w:bookmarkStart w:id="9" w:name="_Toc7264"/>
      <w:bookmarkStart w:id="10" w:name="_Toc1969"/>
      <w:r>
        <w:rPr>
          <w:rFonts w:hint="eastAsia"/>
        </w:rPr>
        <w:t>4.2.1 与采购单位提供咨询、食品安全风险评估、合理化建议及对本次项目重视程度等全方位服务</w:t>
      </w:r>
      <w:bookmarkEnd w:id="0"/>
      <w:bookmarkEnd w:id="1"/>
      <w:bookmarkEnd w:id="2"/>
      <w:bookmarkEnd w:id="3"/>
      <w:bookmarkEnd w:id="4"/>
      <w:bookmarkEnd w:id="5"/>
      <w:bookmarkEnd w:id="6"/>
      <w:bookmarkEnd w:id="7"/>
      <w:bookmarkEnd w:id="8"/>
      <w:bookmarkEnd w:id="9"/>
      <w:bookmarkEnd w:id="10"/>
    </w:p>
    <w:p>
      <w:pPr>
        <w:widowControl/>
        <w:spacing w:line="360" w:lineRule="auto"/>
        <w:ind w:firstLine="482" w:firstLineChars="200"/>
        <w:textAlignment w:val="baseline"/>
        <w:rPr>
          <w:rFonts w:ascii="宋体" w:hAnsi="宋体" w:cs="宋体"/>
          <w:sz w:val="24"/>
          <w:szCs w:val="24"/>
        </w:rPr>
      </w:pPr>
      <w:r>
        <w:rPr>
          <w:rFonts w:hint="eastAsia" w:ascii="宋体" w:hAnsi="宋体" w:cs="宋体"/>
          <w:b/>
          <w:bCs/>
          <w:sz w:val="24"/>
          <w:szCs w:val="24"/>
        </w:rPr>
        <w:t>（1）提供咨询服务</w:t>
      </w:r>
    </w:p>
    <w:p>
      <w:pPr>
        <w:widowControl/>
        <w:spacing w:line="336" w:lineRule="auto"/>
        <w:ind w:firstLine="482"/>
        <w:textAlignment w:val="baseline"/>
        <w:rPr>
          <w:rFonts w:ascii="宋体" w:hAnsi="宋体" w:cs="宋体"/>
          <w:sz w:val="24"/>
          <w:szCs w:val="24"/>
        </w:rPr>
      </w:pPr>
      <w:r>
        <w:rPr>
          <w:rFonts w:hint="eastAsia" w:ascii="宋体" w:hAnsi="宋体" w:cs="宋体"/>
          <w:sz w:val="24"/>
          <w:szCs w:val="24"/>
        </w:rPr>
        <w:t>与采购人建立项目专人沟通机制，保持24小时通讯畅通，随时响应采购人问询，为采购人提供抽检计划、抽检方案、检验进度、检验技术及结果分析等咨询服务，并且义务为采购人提供技术支持服务，随时为采购人答疑解惑，讲解实验，分析结果，并提供必要的合理化建议供采购人参考。服务期间，欢迎采购人随时提出相关咨询，拨打0371-63461896服务热线，进行咨询服务，我公司第一时间电话或现场解答，及时帮助采购人解决相关疑惑。</w:t>
      </w:r>
    </w:p>
    <w:p>
      <w:pPr>
        <w:widowControl/>
        <w:spacing w:line="336" w:lineRule="auto"/>
        <w:ind w:firstLine="482" w:firstLineChars="200"/>
        <w:textAlignment w:val="baseline"/>
        <w:rPr>
          <w:rFonts w:ascii="宋体" w:hAnsi="宋体" w:cs="宋体"/>
          <w:b/>
          <w:bCs/>
          <w:sz w:val="24"/>
          <w:szCs w:val="24"/>
        </w:rPr>
      </w:pPr>
      <w:r>
        <w:rPr>
          <w:rFonts w:hint="eastAsia" w:ascii="宋体" w:hAnsi="宋体" w:cs="宋体"/>
          <w:b/>
          <w:bCs/>
          <w:sz w:val="24"/>
          <w:szCs w:val="24"/>
        </w:rPr>
        <w:t>（2）提供食品安全风险评估</w:t>
      </w:r>
    </w:p>
    <w:p>
      <w:pPr>
        <w:widowControl/>
        <w:spacing w:line="336" w:lineRule="auto"/>
        <w:ind w:firstLine="482"/>
        <w:textAlignment w:val="baseline"/>
        <w:rPr>
          <w:rFonts w:ascii="宋体" w:hAnsi="宋体" w:cs="宋体"/>
          <w:sz w:val="24"/>
          <w:szCs w:val="24"/>
        </w:rPr>
      </w:pPr>
      <w:r>
        <w:rPr>
          <w:rFonts w:hint="eastAsia" w:ascii="宋体" w:hAnsi="宋体" w:cs="宋体"/>
          <w:sz w:val="24"/>
          <w:szCs w:val="24"/>
        </w:rPr>
        <w:t>目前市场上食品品种繁杂，</w:t>
      </w:r>
      <w:r>
        <w:rPr>
          <w:rFonts w:hint="eastAsia" w:ascii="宋体" w:hAnsi="宋体" w:cs="宋体"/>
          <w:bCs/>
          <w:sz w:val="24"/>
          <w:szCs w:val="24"/>
        </w:rPr>
        <w:t>新的食品添加剂、农兽药、非法添加物层出不穷。这些潜在的食品安全隐患，随时可能引发社会食品安全危机，</w:t>
      </w:r>
      <w:r>
        <w:rPr>
          <w:rFonts w:hint="eastAsia" w:ascii="宋体" w:hAnsi="宋体" w:cs="宋体"/>
          <w:sz w:val="24"/>
          <w:szCs w:val="24"/>
        </w:rPr>
        <w:t>市场规范有待完善，抽检方案一定因时因地制宜，灵活制定，并提高覆盖率，保证抽取样品全面可靠符合市场现状。本公司将根据检验结果，以目前已统计的社会食品安全情况大数据为依托，为采购人提供食品安全风险评估，评定不同样品所测项目的风险等级，方便采购人制定合乎社会现实需要的抽检方案。</w:t>
      </w:r>
    </w:p>
    <w:p>
      <w:pPr>
        <w:widowControl/>
        <w:spacing w:line="336" w:lineRule="auto"/>
        <w:ind w:firstLine="482"/>
        <w:textAlignment w:val="baseline"/>
        <w:rPr>
          <w:rFonts w:ascii="宋体" w:hAnsi="宋体" w:cs="宋体"/>
          <w:bCs/>
          <w:sz w:val="24"/>
          <w:szCs w:val="24"/>
        </w:rPr>
      </w:pPr>
      <w:r>
        <w:rPr>
          <w:rFonts w:hint="eastAsia" w:ascii="宋体" w:hAnsi="宋体" w:cs="宋体"/>
          <w:bCs/>
          <w:sz w:val="24"/>
          <w:szCs w:val="24"/>
        </w:rPr>
        <w:t>抽检方案制定基本原则：</w:t>
      </w:r>
    </w:p>
    <w:p>
      <w:pPr>
        <w:widowControl/>
        <w:spacing w:line="336" w:lineRule="auto"/>
        <w:ind w:firstLine="480" w:firstLineChars="200"/>
        <w:textAlignment w:val="baseline"/>
        <w:rPr>
          <w:rFonts w:ascii="宋体" w:hAnsi="宋体" w:cs="宋体"/>
          <w:bCs/>
          <w:sz w:val="24"/>
          <w:szCs w:val="24"/>
          <w:shd w:val="clear" w:color="auto" w:fill="FFFFFF"/>
        </w:rPr>
      </w:pPr>
      <w:r>
        <w:rPr>
          <w:rFonts w:hint="eastAsia" w:ascii="宋体" w:hAnsi="宋体" w:cs="宋体"/>
          <w:bCs/>
          <w:sz w:val="24"/>
          <w:szCs w:val="24"/>
          <w:shd w:val="clear" w:color="auto" w:fill="FFFFFF"/>
        </w:rPr>
        <w:t>1）覆盖率高</w:t>
      </w:r>
    </w:p>
    <w:p>
      <w:pPr>
        <w:widowControl/>
        <w:spacing w:line="336" w:lineRule="auto"/>
        <w:ind w:firstLine="482"/>
        <w:textAlignment w:val="baseline"/>
        <w:rPr>
          <w:rFonts w:ascii="宋体" w:hAnsi="宋体" w:cs="宋体"/>
          <w:sz w:val="24"/>
          <w:szCs w:val="24"/>
        </w:rPr>
      </w:pPr>
      <w:r>
        <w:rPr>
          <w:rFonts w:hint="eastAsia" w:ascii="宋体" w:hAnsi="宋体" w:cs="宋体"/>
          <w:sz w:val="24"/>
          <w:szCs w:val="24"/>
        </w:rPr>
        <w:t>根据采购人抽检区域不同，被抽检单位分布的区域区别。抽检时，应全面考虑抽取范围，不要集中抽检，重复抽检。尽可能提高被抽检单位的覆盖率，提高抽检样品品种的覆盖率。做到对整个区域的把控和数据统计分析，使抽检工作能够起到对整个市场的监督作用。</w:t>
      </w:r>
    </w:p>
    <w:p>
      <w:pPr>
        <w:widowControl/>
        <w:spacing w:line="336" w:lineRule="auto"/>
        <w:ind w:firstLine="480" w:firstLineChars="200"/>
        <w:textAlignment w:val="baseline"/>
        <w:rPr>
          <w:rFonts w:ascii="宋体" w:hAnsi="宋体" w:cs="宋体"/>
          <w:bCs/>
          <w:sz w:val="24"/>
          <w:szCs w:val="24"/>
          <w:shd w:val="clear" w:color="auto" w:fill="FFFFFF"/>
        </w:rPr>
      </w:pPr>
      <w:r>
        <w:rPr>
          <w:rFonts w:hint="eastAsia" w:ascii="宋体" w:hAnsi="宋体" w:cs="宋体"/>
          <w:bCs/>
          <w:sz w:val="24"/>
          <w:szCs w:val="24"/>
          <w:shd w:val="clear" w:color="auto" w:fill="FFFFFF"/>
        </w:rPr>
        <w:t>2）根据抽检项目准备抽检设备</w:t>
      </w:r>
    </w:p>
    <w:p>
      <w:pPr>
        <w:widowControl/>
        <w:spacing w:line="336" w:lineRule="auto"/>
        <w:ind w:firstLine="482"/>
        <w:textAlignment w:val="baseline"/>
        <w:rPr>
          <w:rFonts w:ascii="宋体" w:hAnsi="宋体" w:cs="宋体"/>
          <w:sz w:val="24"/>
          <w:szCs w:val="24"/>
        </w:rPr>
      </w:pPr>
      <w:r>
        <w:rPr>
          <w:rFonts w:hint="eastAsia" w:ascii="宋体" w:hAnsi="宋体" w:cs="宋体"/>
          <w:sz w:val="24"/>
          <w:szCs w:val="24"/>
        </w:rPr>
        <w:t>抽检样品的性质决定了抽检工作的开展方式，比如速冷、速冻样品需要提供低温冷藏运输设备，防止温度变化引起样品性质改变，导致检测结果不准确的情况出现。抽检微生物项目的样品时应携带无菌袋进行无菌抽样，防止外部污染导致抽检样品不合格的检测事故出现。所有抽检样品应分类隔离存放，不得挤压堆积，相互接触，防止样品交叉污染。</w:t>
      </w:r>
    </w:p>
    <w:p>
      <w:pPr>
        <w:widowControl/>
        <w:spacing w:line="336" w:lineRule="auto"/>
        <w:ind w:firstLine="480" w:firstLineChars="200"/>
        <w:textAlignment w:val="baseline"/>
        <w:rPr>
          <w:rFonts w:ascii="宋体" w:hAnsi="宋体" w:cs="宋体"/>
          <w:bCs/>
          <w:sz w:val="24"/>
          <w:szCs w:val="24"/>
          <w:shd w:val="clear" w:color="auto" w:fill="FFFFFF"/>
        </w:rPr>
      </w:pPr>
      <w:r>
        <w:rPr>
          <w:rFonts w:hint="eastAsia" w:ascii="宋体" w:hAnsi="宋体" w:cs="宋体"/>
          <w:bCs/>
          <w:sz w:val="24"/>
          <w:szCs w:val="24"/>
          <w:shd w:val="clear" w:color="auto" w:fill="FFFFFF"/>
        </w:rPr>
        <w:t>3）根据市场情况合理安排抽检项目</w:t>
      </w:r>
    </w:p>
    <w:p>
      <w:pPr>
        <w:widowControl/>
        <w:spacing w:line="336" w:lineRule="auto"/>
        <w:ind w:firstLine="482"/>
        <w:textAlignment w:val="baseline"/>
        <w:rPr>
          <w:rFonts w:ascii="宋体" w:hAnsi="宋体" w:cs="宋体"/>
          <w:sz w:val="24"/>
          <w:szCs w:val="24"/>
        </w:rPr>
      </w:pPr>
      <w:r>
        <w:rPr>
          <w:rFonts w:hint="eastAsia" w:ascii="宋体" w:hAnsi="宋体" w:cs="宋体"/>
          <w:sz w:val="24"/>
          <w:szCs w:val="24"/>
        </w:rPr>
        <w:t>我公司通过对多年来市场上存在的食品安全问题的研究，并总结以往抽检工作的经验，以目前社会上食品安全情况的大数据为依托。将不同商品的不同风险等级项目分别统计，为采购人提供安排抽检项目的参考依据，有目的性、针对性地进行市场抽检工作。将不同样品在不同时间、区域中所具有的不同的潜在安全风险进行评估分类，根据抽检食品种类制定合理的抽检项目，防止出现由于抽检项目不具有代表性，而导致抽检工作起不到监督作用。</w:t>
      </w:r>
    </w:p>
    <w:p>
      <w:pPr>
        <w:widowControl/>
        <w:spacing w:line="336" w:lineRule="auto"/>
        <w:ind w:firstLine="482" w:firstLineChars="200"/>
        <w:textAlignment w:val="baseline"/>
        <w:rPr>
          <w:rFonts w:ascii="宋体" w:hAnsi="宋体" w:cs="宋体"/>
          <w:sz w:val="24"/>
          <w:szCs w:val="24"/>
        </w:rPr>
      </w:pPr>
      <w:r>
        <w:rPr>
          <w:rFonts w:hint="eastAsia" w:ascii="宋体" w:hAnsi="宋体" w:cs="宋体"/>
          <w:b/>
          <w:bCs/>
          <w:sz w:val="24"/>
          <w:szCs w:val="24"/>
        </w:rPr>
        <w:t>（3）提供合理化建议</w:t>
      </w:r>
    </w:p>
    <w:p>
      <w:pPr>
        <w:widowControl/>
        <w:spacing w:line="336" w:lineRule="auto"/>
        <w:ind w:firstLine="482"/>
        <w:textAlignment w:val="baseline"/>
        <w:rPr>
          <w:rFonts w:ascii="宋体" w:hAnsi="宋体" w:cs="宋体"/>
          <w:sz w:val="24"/>
          <w:szCs w:val="24"/>
        </w:rPr>
      </w:pPr>
      <w:r>
        <w:rPr>
          <w:rFonts w:hint="eastAsia" w:ascii="宋体" w:hAnsi="宋体" w:cs="宋体"/>
          <w:sz w:val="24"/>
          <w:szCs w:val="24"/>
        </w:rPr>
        <w:t>我公司将按照项目要求提供合理化的抽检方案，抽检区域、抽检品种、抽检项目按照采购人计划进行，抽检时间和频次原则上均衡分配。季节性生产销售的食品或存在季节性质量安全风险的食品在相应季节增加采样量。</w:t>
      </w:r>
    </w:p>
    <w:p>
      <w:pPr>
        <w:widowControl/>
        <w:spacing w:line="336" w:lineRule="auto"/>
        <w:ind w:firstLine="482"/>
        <w:textAlignment w:val="baseline"/>
        <w:rPr>
          <w:rFonts w:ascii="宋体" w:hAnsi="宋体" w:cs="宋体"/>
          <w:sz w:val="24"/>
          <w:szCs w:val="24"/>
        </w:rPr>
      </w:pPr>
      <w:r>
        <w:rPr>
          <w:rFonts w:hint="eastAsia" w:ascii="宋体" w:hAnsi="宋体" w:cs="宋体"/>
          <w:sz w:val="24"/>
          <w:szCs w:val="24"/>
        </w:rPr>
        <w:t>我公司将按照《食品安全抽样检验管理办法》、《食品安全监督抽检和风险监测工作规范》、《食品安全监督抽检和风险监测实施细则》、《实施细则》等规定执行抽检监测工作程序，履行法定手续。相关样品采集执法文书按照《食品药品监管总局办公厅关于印发食品安全监督抽检和风险监测工作规范的通知》中文书制定。保证提供专业人员配合执法人员进行采样，主动配合抽检部门进行食品抽检工作；具备满足速冻及冷饮类储运条件的设备，能够保证全项微生物待检测样品在4小时内进入实验室。我公司具备专业的检测队伍及科学的实验室体系管理制度，承诺严格遵守国家和我省有关食品检验工作规范和管理规定，确保检测数据的真实性和准确性；能够在规定时间内出具检验报告，并按照规定时限分析、上报检测结果。</w:t>
      </w:r>
    </w:p>
    <w:p>
      <w:pPr>
        <w:widowControl/>
        <w:spacing w:line="336" w:lineRule="auto"/>
        <w:ind w:firstLine="482" w:firstLineChars="200"/>
        <w:textAlignment w:val="baseline"/>
        <w:rPr>
          <w:rFonts w:ascii="宋体" w:hAnsi="宋体" w:cs="宋体"/>
          <w:sz w:val="24"/>
          <w:szCs w:val="24"/>
        </w:rPr>
      </w:pPr>
      <w:r>
        <w:rPr>
          <w:rFonts w:hint="eastAsia" w:ascii="宋体" w:hAnsi="宋体" w:cs="宋体"/>
          <w:b/>
          <w:bCs/>
          <w:sz w:val="24"/>
          <w:szCs w:val="24"/>
        </w:rPr>
        <w:t>（4）高度重视本项目，开通重点开展绿色通道</w:t>
      </w:r>
    </w:p>
    <w:p>
      <w:pPr>
        <w:widowControl/>
        <w:spacing w:line="336" w:lineRule="auto"/>
        <w:ind w:firstLine="482"/>
        <w:textAlignment w:val="baseline"/>
        <w:rPr>
          <w:rFonts w:ascii="宋体" w:hAnsi="宋体" w:cs="宋体"/>
          <w:sz w:val="24"/>
          <w:szCs w:val="24"/>
        </w:rPr>
      </w:pPr>
      <w:r>
        <w:rPr>
          <w:rFonts w:hint="eastAsia" w:ascii="宋体" w:hAnsi="宋体" w:cs="宋体"/>
          <w:sz w:val="24"/>
          <w:szCs w:val="24"/>
        </w:rPr>
        <w:t>我公司对本项目工作十分重视，为保证工作顺利、高效完成，我们特成立项目小组，开通绿色通道，对本项目工作第一时间做出反应，本项目样品第一时间进入下单检测环节，质管部门重点监控，检测数据完成后，第一时间进行复核，复核无误后进行报告编写，保证工作高效、准确。</w:t>
      </w:r>
    </w:p>
    <w:p>
      <w:pPr>
        <w:widowControl/>
        <w:spacing w:line="336" w:lineRule="auto"/>
        <w:ind w:firstLine="480" w:firstLineChars="200"/>
        <w:textAlignment w:val="baseline"/>
        <w:rPr>
          <w:rFonts w:ascii="宋体" w:hAnsi="宋体" w:cs="宋体"/>
          <w:sz w:val="24"/>
          <w:szCs w:val="24"/>
        </w:rPr>
      </w:pPr>
      <w:r>
        <w:rPr>
          <w:rFonts w:hint="eastAsia" w:ascii="宋体" w:hAnsi="宋体" w:cs="宋体"/>
          <w:sz w:val="24"/>
          <w:szCs w:val="24"/>
        </w:rPr>
        <w:t>1）及时响应，提高服务质量</w:t>
      </w:r>
    </w:p>
    <w:p>
      <w:pPr>
        <w:widowControl/>
        <w:spacing w:line="336" w:lineRule="auto"/>
        <w:ind w:firstLine="482"/>
        <w:textAlignment w:val="baseline"/>
        <w:rPr>
          <w:rFonts w:ascii="宋体" w:hAnsi="宋体" w:cs="宋体"/>
          <w:sz w:val="24"/>
          <w:szCs w:val="24"/>
        </w:rPr>
      </w:pPr>
      <w:r>
        <w:rPr>
          <w:rFonts w:hint="eastAsia" w:ascii="宋体" w:hAnsi="宋体" w:cs="宋体"/>
          <w:sz w:val="24"/>
          <w:szCs w:val="24"/>
        </w:rPr>
        <w:t>接到检测任务后，30分钟内回复，4个小时内到达抽样现场。当天抽取的样品当天送达检测机构，次日完成样品信息录入和样品检测任务分派，进入检测环节。</w:t>
      </w:r>
    </w:p>
    <w:p>
      <w:pPr>
        <w:widowControl/>
        <w:spacing w:line="336" w:lineRule="auto"/>
        <w:ind w:firstLine="480" w:firstLineChars="200"/>
        <w:textAlignment w:val="baseline"/>
        <w:rPr>
          <w:rFonts w:ascii="宋体" w:hAnsi="宋体" w:cs="宋体"/>
          <w:sz w:val="24"/>
          <w:szCs w:val="24"/>
        </w:rPr>
      </w:pPr>
      <w:r>
        <w:rPr>
          <w:rFonts w:hint="eastAsia" w:ascii="宋体" w:hAnsi="宋体" w:cs="宋体"/>
          <w:sz w:val="24"/>
          <w:szCs w:val="24"/>
        </w:rPr>
        <w:t>2）按时报送结果，确保抽检时效</w:t>
      </w:r>
    </w:p>
    <w:p>
      <w:pPr>
        <w:widowControl/>
        <w:spacing w:line="336" w:lineRule="auto"/>
        <w:ind w:firstLine="480" w:firstLineChars="200"/>
        <w:textAlignment w:val="baseline"/>
        <w:rPr>
          <w:rFonts w:ascii="宋体" w:hAnsi="宋体" w:cs="宋体"/>
          <w:sz w:val="24"/>
          <w:szCs w:val="24"/>
        </w:rPr>
      </w:pPr>
      <w:r>
        <w:rPr>
          <w:rFonts w:hint="eastAsia" w:ascii="宋体" w:hAnsi="宋体" w:cs="宋体"/>
          <w:sz w:val="24"/>
          <w:szCs w:val="24"/>
        </w:rPr>
        <w:t>每个周期抽检前制定详细抽检方案。检测工作结束后，及时出具检测报告。将《样品信息登记表》、《检验结果汇总表》和《不合格信息登记表》以及结果分析报告等报送相关部门。检验结论为不合格的，在检验结论作出后2日历天内上报结果，检验结论为合格的，在检验结论作出后5日历天内上报结果。</w:t>
      </w:r>
    </w:p>
    <w:p>
      <w:pPr>
        <w:widowControl/>
        <w:spacing w:line="336" w:lineRule="auto"/>
        <w:ind w:firstLine="482" w:firstLineChars="200"/>
        <w:textAlignment w:val="baseline"/>
        <w:rPr>
          <w:rFonts w:ascii="宋体" w:hAnsi="宋体" w:cs="宋体"/>
          <w:b/>
          <w:bCs/>
          <w:sz w:val="24"/>
          <w:szCs w:val="24"/>
        </w:rPr>
      </w:pPr>
      <w:r>
        <w:rPr>
          <w:rFonts w:hint="eastAsia" w:ascii="宋体" w:hAnsi="宋体" w:cs="宋体"/>
          <w:b/>
          <w:bCs/>
          <w:sz w:val="24"/>
          <w:szCs w:val="24"/>
        </w:rPr>
        <w:t>（5）抽检培训</w:t>
      </w:r>
    </w:p>
    <w:p>
      <w:pPr>
        <w:spacing w:line="336" w:lineRule="auto"/>
        <w:ind w:firstLine="480" w:firstLineChars="200"/>
        <w:rPr>
          <w:rFonts w:ascii="宋体" w:hAnsi="宋体" w:cs="宋体"/>
          <w:sz w:val="24"/>
          <w:szCs w:val="24"/>
        </w:rPr>
      </w:pPr>
      <w:r>
        <w:rPr>
          <w:rFonts w:hint="eastAsia" w:ascii="宋体" w:hAnsi="宋体" w:cs="宋体"/>
          <w:sz w:val="24"/>
          <w:szCs w:val="24"/>
        </w:rPr>
        <w:t>我公司郑重承诺为采购人提供抽检培训及结果分析等相关服务，具体内容如下：</w:t>
      </w:r>
    </w:p>
    <w:p>
      <w:pPr>
        <w:spacing w:line="336" w:lineRule="auto"/>
        <w:ind w:firstLine="480" w:firstLineChars="200"/>
        <w:rPr>
          <w:rFonts w:ascii="宋体" w:hAnsi="宋体" w:cs="宋体"/>
          <w:sz w:val="24"/>
          <w:szCs w:val="24"/>
        </w:rPr>
      </w:pPr>
      <w:r>
        <w:rPr>
          <w:rFonts w:hint="eastAsia" w:ascii="宋体" w:hAnsi="宋体" w:cs="宋体"/>
          <w:sz w:val="24"/>
          <w:szCs w:val="24"/>
        </w:rPr>
        <w:t>1）提供抽检培训服务</w:t>
      </w:r>
    </w:p>
    <w:p>
      <w:pPr>
        <w:spacing w:line="336" w:lineRule="auto"/>
        <w:ind w:firstLine="480" w:firstLineChars="200"/>
        <w:rPr>
          <w:rFonts w:ascii="宋体" w:hAnsi="宋体" w:cs="宋体"/>
          <w:bCs/>
          <w:sz w:val="24"/>
          <w:szCs w:val="24"/>
        </w:rPr>
      </w:pPr>
      <w:r>
        <w:rPr>
          <w:rFonts w:hint="eastAsia" w:ascii="宋体" w:hAnsi="宋体" w:cs="宋体"/>
          <w:sz w:val="24"/>
          <w:szCs w:val="24"/>
        </w:rPr>
        <w:t>我公司安排技术专家和营销经理定期回访，了解监督抽检工作进展情况，根据工作需要，免费提供抽检技术培训，免费提供培训资料，免费提供抽检方案编制培训。</w:t>
      </w:r>
      <w:r>
        <w:rPr>
          <w:rFonts w:hint="eastAsia" w:ascii="宋体" w:hAnsi="宋体" w:cs="宋体"/>
          <w:bCs/>
          <w:sz w:val="24"/>
          <w:szCs w:val="24"/>
        </w:rPr>
        <w:t>本公司拥有专业的抽样与检验工作技术团队，可以为</w:t>
      </w:r>
      <w:r>
        <w:rPr>
          <w:rFonts w:hint="eastAsia" w:ascii="宋体" w:hAnsi="宋体" w:cs="宋体"/>
          <w:sz w:val="24"/>
          <w:szCs w:val="24"/>
        </w:rPr>
        <w:t>采购人</w:t>
      </w:r>
      <w:r>
        <w:rPr>
          <w:rFonts w:hint="eastAsia" w:ascii="宋体" w:hAnsi="宋体" w:cs="宋体"/>
          <w:bCs/>
          <w:sz w:val="24"/>
          <w:szCs w:val="24"/>
        </w:rPr>
        <w:t>提供具体的项目操作要求、检测流程、结果分析等专业培训。我公司参考市场经验以及自己在工作中总结的问题解决办法，将其整理成文，并根据实际情况，针对</w:t>
      </w:r>
      <w:r>
        <w:rPr>
          <w:rFonts w:hint="eastAsia" w:ascii="宋体" w:hAnsi="宋体" w:cs="宋体"/>
          <w:sz w:val="24"/>
          <w:szCs w:val="24"/>
        </w:rPr>
        <w:t>采购人</w:t>
      </w:r>
      <w:r>
        <w:rPr>
          <w:rFonts w:hint="eastAsia" w:ascii="宋体" w:hAnsi="宋体" w:cs="宋体"/>
          <w:bCs/>
          <w:sz w:val="24"/>
          <w:szCs w:val="24"/>
        </w:rPr>
        <w:t>提出的技术要求和培训需要，为</w:t>
      </w:r>
      <w:r>
        <w:rPr>
          <w:rFonts w:hint="eastAsia" w:ascii="宋体" w:hAnsi="宋体" w:cs="宋体"/>
          <w:sz w:val="24"/>
          <w:szCs w:val="24"/>
        </w:rPr>
        <w:t>采购人</w:t>
      </w:r>
      <w:r>
        <w:rPr>
          <w:rFonts w:hint="eastAsia" w:ascii="宋体" w:hAnsi="宋体" w:cs="宋体"/>
          <w:bCs/>
          <w:sz w:val="24"/>
          <w:szCs w:val="24"/>
        </w:rPr>
        <w:t>提供培训服务</w:t>
      </w:r>
    </w:p>
    <w:p>
      <w:pPr>
        <w:spacing w:line="336" w:lineRule="auto"/>
        <w:ind w:firstLine="480" w:firstLineChars="200"/>
        <w:rPr>
          <w:rFonts w:ascii="宋体" w:hAnsi="宋体" w:cs="宋体"/>
          <w:sz w:val="24"/>
          <w:szCs w:val="24"/>
        </w:rPr>
      </w:pPr>
      <w:r>
        <w:rPr>
          <w:rFonts w:hint="eastAsia" w:ascii="宋体" w:hAnsi="宋体" w:cs="宋体"/>
          <w:sz w:val="24"/>
          <w:szCs w:val="24"/>
        </w:rPr>
        <w:t>2）提供结果分析服务</w:t>
      </w:r>
    </w:p>
    <w:p>
      <w:pPr>
        <w:spacing w:line="336" w:lineRule="auto"/>
        <w:ind w:firstLine="480" w:firstLineChars="200"/>
        <w:rPr>
          <w:rFonts w:ascii="宋体" w:hAnsi="宋体" w:cs="宋体"/>
          <w:sz w:val="24"/>
          <w:szCs w:val="24"/>
        </w:rPr>
      </w:pPr>
      <w:r>
        <w:rPr>
          <w:rFonts w:hint="eastAsia" w:ascii="宋体" w:hAnsi="宋体" w:cs="宋体"/>
          <w:sz w:val="24"/>
          <w:szCs w:val="24"/>
        </w:rPr>
        <w:t>检测工作完成后，由项目负责人组织检测结果审核，保证检测结果准确无误。实行检测结果专报机制，检测结果出来后，组织专项技术负责人进行审核监督，并及时报送《样品信息登记表》、《检验结果汇总表》和《不合格信息登记表》以及结果分析报告等资料至相关部门，并将结果及时反馈给采购人。配备专业的技术服务人员积极与采购人沟通联系，提供技术支持，保证随时为采购人提供实验结果分析服务，对采购人的咨询负责到底。对产品不合格产生的原因、危害，免费提供结果分析，以便采购人在以后的工作监管中更有针对性。</w:t>
      </w:r>
    </w:p>
    <w:p>
      <w:pPr>
        <w:widowControl/>
        <w:spacing w:line="336" w:lineRule="auto"/>
        <w:ind w:firstLine="480" w:firstLineChars="200"/>
        <w:textAlignment w:val="baseline"/>
        <w:rPr>
          <w:rFonts w:ascii="宋体" w:hAnsi="宋体" w:cs="宋体"/>
          <w:sz w:val="24"/>
          <w:szCs w:val="24"/>
        </w:rPr>
      </w:pPr>
      <w:r>
        <w:rPr>
          <w:rFonts w:hint="eastAsia" w:ascii="宋体" w:hAnsi="宋体" w:cs="宋体"/>
          <w:sz w:val="24"/>
          <w:szCs w:val="24"/>
        </w:rPr>
        <w:t>3）提供食品安全质量分析报告</w:t>
      </w:r>
    </w:p>
    <w:p>
      <w:pPr>
        <w:widowControl/>
        <w:adjustRightInd w:val="0"/>
        <w:spacing w:line="336" w:lineRule="auto"/>
        <w:ind w:firstLine="480" w:firstLineChars="200"/>
        <w:textAlignment w:val="baseline"/>
        <w:rPr>
          <w:rFonts w:ascii="宋体" w:hAnsi="宋体" w:cs="宋体"/>
          <w:sz w:val="24"/>
          <w:szCs w:val="24"/>
        </w:rPr>
      </w:pPr>
      <w:r>
        <w:rPr>
          <w:rFonts w:hint="eastAsia" w:ascii="宋体" w:hAnsi="宋体" w:cs="宋体"/>
          <w:sz w:val="24"/>
          <w:szCs w:val="24"/>
        </w:rPr>
        <w:t>我公司根据《食品安全监督抽检和风险监测工作规范》的要求和采购人意见，出具合格准确的食品安全监督抽检检验报告及食品安全质量分析报告。</w:t>
      </w:r>
    </w:p>
    <w:p>
      <w:pPr>
        <w:widowControl/>
        <w:adjustRightInd w:val="0"/>
        <w:spacing w:line="336" w:lineRule="auto"/>
        <w:ind w:firstLine="480" w:firstLineChars="200"/>
        <w:textAlignment w:val="baseline"/>
        <w:rPr>
          <w:rFonts w:ascii="宋体" w:hAnsi="宋体" w:cs="宋体"/>
          <w:sz w:val="24"/>
          <w:szCs w:val="24"/>
        </w:rPr>
      </w:pPr>
      <w:r>
        <w:rPr>
          <w:rFonts w:hint="eastAsia" w:ascii="宋体" w:hAnsi="宋体" w:cs="宋体"/>
          <w:sz w:val="24"/>
          <w:szCs w:val="24"/>
        </w:rPr>
        <w:t>检测报告能准确、清晰、真实和完整的表达检测结果、使用法定计量单位、并符合检测方法中规定的要求。食品安全质量分析报告包括抽检样品的品种情况、采样点分布情况、各类产品抽检批次分布情况、检测结果及分析、存在的主要问题及结果分析、对策措施及建议、合格产品及不做判定产品登记表、不合格产品登记。</w:t>
      </w:r>
    </w:p>
    <w:p>
      <w:pPr>
        <w:spacing w:line="336" w:lineRule="auto"/>
        <w:ind w:firstLine="480" w:firstLineChars="200"/>
        <w:rPr>
          <w:rFonts w:ascii="宋体" w:hAnsi="宋体" w:cs="宋体"/>
          <w:sz w:val="24"/>
          <w:szCs w:val="24"/>
        </w:rPr>
      </w:pPr>
      <w:r>
        <w:rPr>
          <w:rFonts w:hint="eastAsia" w:ascii="宋体" w:hAnsi="宋体" w:cs="宋体"/>
          <w:sz w:val="24"/>
          <w:szCs w:val="24"/>
        </w:rPr>
        <w:t>食品安全质量分析报告为采购人日常监督抽检工作提供技术支持和执法依据。</w:t>
      </w:r>
    </w:p>
    <w:p>
      <w:pPr>
        <w:spacing w:line="360" w:lineRule="auto"/>
        <w:ind w:firstLine="480" w:firstLineChars="200"/>
        <w:jc w:val="left"/>
        <w:rPr>
          <w:rFonts w:asciiTheme="minorEastAsia" w:hAnsiTheme="minorEastAsia" w:eastAsiaTheme="minorEastAsia" w:cstheme="minorEastAsia"/>
          <w:sz w:val="24"/>
          <w:szCs w:val="24"/>
        </w:rPr>
      </w:pPr>
    </w:p>
    <w:p>
      <w:pPr>
        <w:spacing w:line="360" w:lineRule="auto"/>
        <w:ind w:firstLine="480" w:firstLineChars="200"/>
        <w:jc w:val="left"/>
        <w:rPr>
          <w:rFonts w:asciiTheme="minorEastAsia" w:hAnsiTheme="minorEastAsia" w:eastAsiaTheme="minorEastAsia" w:cstheme="minorEastAsia"/>
          <w:sz w:val="24"/>
          <w:szCs w:val="24"/>
        </w:rPr>
      </w:pPr>
      <w:r>
        <w:rPr>
          <w:rFonts w:hint="eastAsia" w:ascii="宋体" w:hAnsi="宋体" w:cs="宋体"/>
          <w:sz w:val="24"/>
          <w:szCs w:val="24"/>
        </w:rPr>
        <w:t>投标人名称（盖章）</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河南国康检测技术有限公司</w:t>
      </w:r>
    </w:p>
    <w:p>
      <w:pPr>
        <w:spacing w:line="360" w:lineRule="auto"/>
        <w:ind w:firstLine="480" w:firstLineChars="200"/>
        <w:jc w:val="left"/>
        <w:rPr>
          <w:rFonts w:asciiTheme="minorEastAsia" w:hAnsiTheme="minorEastAsia" w:eastAsiaTheme="minorEastAsia" w:cstheme="minorEastAsia"/>
          <w:sz w:val="24"/>
          <w:szCs w:val="24"/>
        </w:rPr>
      </w:pPr>
      <w:r>
        <w:rPr>
          <w:rFonts w:hint="eastAsia" w:ascii="宋体" w:hAnsi="宋体" w:cs="宋体"/>
          <w:sz w:val="24"/>
          <w:szCs w:val="24"/>
        </w:rPr>
        <w:t>投标人法定代表人（或法定代表人授权代表）签字或盖章</w:t>
      </w:r>
      <w:r>
        <w:rPr>
          <w:rFonts w:hint="eastAsia" w:asciiTheme="minorEastAsia" w:hAnsiTheme="minorEastAsia" w:eastAsiaTheme="minorEastAsia" w:cstheme="minorEastAsia"/>
          <w:sz w:val="24"/>
          <w:szCs w:val="24"/>
        </w:rPr>
        <w:t>：</w:t>
      </w:r>
    </w:p>
    <w:p>
      <w:pPr>
        <w:spacing w:line="360" w:lineRule="auto"/>
        <w:ind w:firstLine="480" w:firstLineChars="200"/>
        <w:jc w:val="lef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日  期：</w:t>
      </w:r>
      <w:r>
        <w:rPr>
          <w:rFonts w:hint="eastAsia" w:asciiTheme="minorEastAsia" w:hAnsiTheme="minorEastAsia" w:eastAsiaTheme="minorEastAsia" w:cstheme="minorEastAsia"/>
          <w:sz w:val="24"/>
          <w:szCs w:val="24"/>
          <w:u w:val="single"/>
        </w:rPr>
        <w:t>2019</w:t>
      </w:r>
      <w:r>
        <w:rPr>
          <w:rStyle w:val="22"/>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年</w:t>
      </w:r>
      <w:r>
        <w:rPr>
          <w:rStyle w:val="22"/>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u w:val="single"/>
        </w:rPr>
        <w:t> 5 </w:t>
      </w:r>
      <w:r>
        <w:rPr>
          <w:rFonts w:hint="eastAsia" w:asciiTheme="minorEastAsia" w:hAnsiTheme="minorEastAsia" w:eastAsiaTheme="minorEastAsia" w:cstheme="minorEastAsia"/>
          <w:sz w:val="24"/>
          <w:szCs w:val="24"/>
        </w:rPr>
        <w:t>月</w:t>
      </w:r>
      <w:r>
        <w:rPr>
          <w:rStyle w:val="22"/>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u w:val="single"/>
        </w:rPr>
        <w:t> 8 </w:t>
      </w:r>
      <w:r>
        <w:rPr>
          <w:rFonts w:hint="eastAsia" w:asciiTheme="minorEastAsia" w:hAnsiTheme="minorEastAsia" w:eastAsiaTheme="minorEastAsia" w:cstheme="minorEastAsia"/>
          <w:sz w:val="24"/>
          <w:szCs w:val="24"/>
        </w:rPr>
        <w:t>日</w:t>
      </w:r>
      <w:bookmarkStart w:id="11" w:name="_Toc21000"/>
      <w:bookmarkStart w:id="12" w:name="_Toc27305"/>
      <w:r>
        <w:rPr>
          <w:rFonts w:hint="eastAsia"/>
        </w:rPr>
        <w:br w:type="page"/>
      </w:r>
    </w:p>
    <w:p>
      <w:pPr>
        <w:pStyle w:val="7"/>
      </w:pPr>
      <w:r>
        <w:rPr>
          <w:rFonts w:hint="eastAsia"/>
        </w:rPr>
        <w:t>4.2.2 与采购人及相关单位建立定期或不定期的沟通</w:t>
      </w:r>
      <w:bookmarkEnd w:id="11"/>
      <w:r>
        <w:rPr>
          <w:rFonts w:hint="eastAsia"/>
        </w:rPr>
        <w:t>服务及方案</w:t>
      </w:r>
      <w:bookmarkEnd w:id="12"/>
    </w:p>
    <w:p>
      <w:pPr>
        <w:pStyle w:val="13"/>
        <w:spacing w:line="360" w:lineRule="auto"/>
        <w:rPr>
          <w:rFonts w:ascii="宋体" w:hAnsi="宋体" w:cs="宋体"/>
          <w:szCs w:val="24"/>
        </w:rPr>
      </w:pPr>
      <w:r>
        <w:rPr>
          <w:rFonts w:hint="eastAsia" w:ascii="宋体" w:hAnsi="宋体" w:cs="宋体"/>
          <w:szCs w:val="24"/>
        </w:rPr>
        <w:t xml:space="preserve">    我公司承诺与采购人及相关单位建立定期或不定期的沟通服务机制，确保公司向采购人提供服务前、服务中和服务后的咨询和沟通。充分理解并确定采购人的要求，不断提高和改进服务质量。</w:t>
      </w:r>
    </w:p>
    <w:p>
      <w:pPr>
        <w:pStyle w:val="13"/>
        <w:spacing w:line="360" w:lineRule="auto"/>
        <w:rPr>
          <w:rFonts w:ascii="宋体" w:hAnsi="宋体" w:cs="宋体"/>
          <w:szCs w:val="24"/>
        </w:rPr>
      </w:pPr>
      <w:r>
        <w:rPr>
          <w:rFonts w:hint="eastAsia" w:ascii="宋体" w:hAnsi="宋体" w:cs="宋体"/>
          <w:szCs w:val="24"/>
        </w:rPr>
        <w:t xml:space="preserve">    （1）职责分工</w:t>
      </w:r>
    </w:p>
    <w:p>
      <w:pPr>
        <w:pStyle w:val="13"/>
        <w:spacing w:line="360" w:lineRule="auto"/>
        <w:rPr>
          <w:rFonts w:ascii="宋体" w:hAnsi="宋体" w:cs="宋体"/>
          <w:szCs w:val="24"/>
        </w:rPr>
      </w:pPr>
      <w:r>
        <w:rPr>
          <w:rFonts w:hint="eastAsia" w:ascii="宋体" w:hAnsi="宋体" w:cs="宋体"/>
          <w:szCs w:val="24"/>
        </w:rPr>
        <w:t xml:space="preserve">    1）质量负责人负责对采购人的管理工作。</w:t>
      </w:r>
    </w:p>
    <w:p>
      <w:pPr>
        <w:pStyle w:val="13"/>
        <w:spacing w:line="360" w:lineRule="auto"/>
        <w:rPr>
          <w:rFonts w:ascii="宋体" w:hAnsi="宋体" w:cs="宋体"/>
          <w:szCs w:val="24"/>
        </w:rPr>
      </w:pPr>
      <w:r>
        <w:rPr>
          <w:rFonts w:hint="eastAsia" w:ascii="宋体" w:hAnsi="宋体" w:cs="宋体"/>
          <w:szCs w:val="24"/>
        </w:rPr>
        <w:t xml:space="preserve">    2）质量管理部负责对采购人要求的受理工作。</w:t>
      </w:r>
    </w:p>
    <w:p>
      <w:pPr>
        <w:pStyle w:val="13"/>
        <w:spacing w:line="360" w:lineRule="auto"/>
        <w:rPr>
          <w:rFonts w:ascii="宋体" w:hAnsi="宋体" w:cs="宋体"/>
          <w:szCs w:val="24"/>
        </w:rPr>
      </w:pPr>
      <w:r>
        <w:rPr>
          <w:rFonts w:hint="eastAsia" w:ascii="宋体" w:hAnsi="宋体" w:cs="宋体"/>
          <w:szCs w:val="24"/>
        </w:rPr>
        <w:t xml:space="preserve">    3）其他部门协助质量管理部工作。</w:t>
      </w:r>
    </w:p>
    <w:p>
      <w:pPr>
        <w:pStyle w:val="13"/>
        <w:spacing w:line="360" w:lineRule="auto"/>
        <w:rPr>
          <w:rFonts w:ascii="宋体" w:hAnsi="宋体" w:cs="宋体"/>
          <w:szCs w:val="24"/>
        </w:rPr>
      </w:pPr>
      <w:r>
        <w:rPr>
          <w:rFonts w:hint="eastAsia" w:ascii="宋体" w:hAnsi="宋体" w:cs="宋体"/>
          <w:szCs w:val="24"/>
        </w:rPr>
        <w:t xml:space="preserve">    （2）采购人服务要求的确定和实施</w:t>
      </w:r>
    </w:p>
    <w:p>
      <w:pPr>
        <w:pStyle w:val="13"/>
        <w:spacing w:line="360" w:lineRule="auto"/>
        <w:rPr>
          <w:rFonts w:ascii="宋体" w:hAnsi="宋体" w:cs="宋体"/>
          <w:szCs w:val="24"/>
        </w:rPr>
      </w:pPr>
      <w:r>
        <w:rPr>
          <w:rFonts w:hint="eastAsia" w:ascii="宋体" w:hAnsi="宋体" w:cs="宋体"/>
          <w:szCs w:val="24"/>
        </w:rPr>
        <w:t xml:space="preserve">    1）公司提供检测服务前、服务中和服务后，除检测要求外，采购人提出的服务要求，可能包括（但不限于）：</w:t>
      </w:r>
    </w:p>
    <w:p>
      <w:pPr>
        <w:pStyle w:val="13"/>
        <w:spacing w:line="360" w:lineRule="auto"/>
        <w:rPr>
          <w:rFonts w:ascii="宋体" w:hAnsi="宋体" w:cs="宋体"/>
          <w:szCs w:val="24"/>
        </w:rPr>
      </w:pPr>
      <w:r>
        <w:rPr>
          <w:rFonts w:hint="eastAsia" w:ascii="宋体" w:hAnsi="宋体" w:cs="宋体"/>
          <w:szCs w:val="24"/>
        </w:rPr>
        <w:t xml:space="preserve">    a.采购人或其代表要求进入检测区域目击或监视与其有关的检测工作；</w:t>
      </w:r>
    </w:p>
    <w:p>
      <w:pPr>
        <w:pStyle w:val="13"/>
        <w:spacing w:line="360" w:lineRule="auto"/>
        <w:ind w:firstLine="480" w:firstLineChars="200"/>
        <w:rPr>
          <w:rFonts w:ascii="宋体" w:hAnsi="宋体" w:cs="宋体"/>
          <w:szCs w:val="24"/>
        </w:rPr>
      </w:pPr>
      <w:r>
        <w:rPr>
          <w:rFonts w:hint="eastAsia" w:ascii="宋体" w:hAnsi="宋体" w:cs="宋体"/>
          <w:szCs w:val="24"/>
        </w:rPr>
        <w:t>b.检测方案(包括抽样)的咨询；</w:t>
      </w:r>
    </w:p>
    <w:p>
      <w:pPr>
        <w:pStyle w:val="13"/>
        <w:spacing w:line="360" w:lineRule="auto"/>
        <w:ind w:firstLine="480" w:firstLineChars="200"/>
        <w:rPr>
          <w:rFonts w:ascii="宋体" w:hAnsi="宋体" w:cs="宋体"/>
          <w:szCs w:val="24"/>
        </w:rPr>
      </w:pPr>
      <w:r>
        <w:rPr>
          <w:rFonts w:hint="eastAsia" w:ascii="宋体" w:hAnsi="宋体" w:cs="宋体"/>
          <w:szCs w:val="24"/>
        </w:rPr>
        <w:t>c.对检测结果的解释和说明。</w:t>
      </w:r>
    </w:p>
    <w:p>
      <w:pPr>
        <w:pStyle w:val="13"/>
        <w:spacing w:line="360" w:lineRule="auto"/>
        <w:rPr>
          <w:rFonts w:ascii="宋体" w:hAnsi="宋体" w:cs="宋体"/>
          <w:szCs w:val="24"/>
        </w:rPr>
      </w:pPr>
      <w:r>
        <w:rPr>
          <w:rFonts w:hint="eastAsia" w:ascii="宋体" w:hAnsi="宋体" w:cs="宋体"/>
          <w:szCs w:val="24"/>
        </w:rPr>
        <w:t xml:space="preserve">    2）质管部负责接待、识别并确定采购人提出的服务要求，填写《样品受理登记表》和签订《委托检测合同》，技术负责人批准后，组织人员实施。</w:t>
      </w:r>
    </w:p>
    <w:p>
      <w:pPr>
        <w:pStyle w:val="13"/>
        <w:spacing w:line="360" w:lineRule="auto"/>
        <w:rPr>
          <w:rFonts w:ascii="宋体" w:hAnsi="宋体" w:cs="宋体"/>
          <w:szCs w:val="24"/>
        </w:rPr>
      </w:pPr>
      <w:r>
        <w:rPr>
          <w:rFonts w:hint="eastAsia" w:ascii="宋体" w:hAnsi="宋体" w:cs="宋体"/>
          <w:szCs w:val="24"/>
        </w:rPr>
        <w:t xml:space="preserve">    3）当采购人或其代表要求进入公司相关检测区域，直接观察或监视为其检测工作时，在确保其他采购人机密情况下，公司领导可合理批准采购人的要求，在公司人员陪同下进入相关区域；接待活动执行公司《保密工作程序》，保存相应的接待记录。</w:t>
      </w:r>
    </w:p>
    <w:p>
      <w:pPr>
        <w:pStyle w:val="13"/>
        <w:spacing w:line="360" w:lineRule="auto"/>
        <w:rPr>
          <w:rFonts w:ascii="宋体" w:hAnsi="宋体" w:cs="宋体"/>
          <w:szCs w:val="24"/>
        </w:rPr>
      </w:pPr>
      <w:r>
        <w:rPr>
          <w:rFonts w:hint="eastAsia" w:ascii="宋体" w:hAnsi="宋体" w:cs="宋体"/>
          <w:szCs w:val="24"/>
        </w:rPr>
        <w:t xml:space="preserve">    4）样品管理员负责接洽和安排采购人为验证目的提出的检测样品的服务要求。</w:t>
      </w:r>
    </w:p>
    <w:p>
      <w:pPr>
        <w:pStyle w:val="13"/>
        <w:spacing w:line="360" w:lineRule="auto"/>
        <w:rPr>
          <w:rFonts w:ascii="宋体" w:hAnsi="宋体" w:cs="宋体"/>
          <w:szCs w:val="24"/>
        </w:rPr>
      </w:pPr>
      <w:r>
        <w:rPr>
          <w:rFonts w:hint="eastAsia" w:ascii="宋体" w:hAnsi="宋体" w:cs="宋体"/>
          <w:szCs w:val="24"/>
        </w:rPr>
        <w:t xml:space="preserve">    5）质管部组织接待采购人有关检测方案包括抽样方案的咨询，记录采购人咨询时提出的要求，为后续可能的合同评审做好准备。</w:t>
      </w:r>
    </w:p>
    <w:p>
      <w:pPr>
        <w:pStyle w:val="13"/>
        <w:spacing w:line="360" w:lineRule="auto"/>
        <w:rPr>
          <w:rFonts w:ascii="宋体" w:hAnsi="宋体" w:cs="宋体"/>
          <w:szCs w:val="24"/>
        </w:rPr>
      </w:pPr>
      <w:r>
        <w:rPr>
          <w:rFonts w:hint="eastAsia" w:ascii="宋体" w:hAnsi="宋体" w:cs="宋体"/>
          <w:szCs w:val="24"/>
        </w:rPr>
        <w:t xml:space="preserve">    6）质管部与采购人保持密切联系。当采购人需要公司对检测结果提出意见和解释时，公司指定有资格人员独立科学地提出意见和解释，并指出意见和解释依据的文件。</w:t>
      </w:r>
    </w:p>
    <w:p>
      <w:pPr>
        <w:pStyle w:val="13"/>
        <w:spacing w:line="360" w:lineRule="auto"/>
        <w:rPr>
          <w:rFonts w:ascii="宋体" w:hAnsi="宋体" w:cs="宋体"/>
          <w:szCs w:val="24"/>
        </w:rPr>
      </w:pPr>
      <w:r>
        <w:rPr>
          <w:rFonts w:hint="eastAsia" w:ascii="宋体" w:hAnsi="宋体" w:cs="宋体"/>
          <w:szCs w:val="24"/>
        </w:rPr>
        <w:t xml:space="preserve">    （3）公司承诺将检测过程中的任何延误和主要偏离及时通知采购人。</w:t>
      </w:r>
    </w:p>
    <w:p>
      <w:pPr>
        <w:pStyle w:val="13"/>
        <w:spacing w:line="360" w:lineRule="auto"/>
        <w:rPr>
          <w:rFonts w:ascii="宋体" w:hAnsi="宋体" w:cs="宋体"/>
          <w:szCs w:val="24"/>
        </w:rPr>
      </w:pPr>
      <w:r>
        <w:rPr>
          <w:rFonts w:hint="eastAsia" w:ascii="宋体" w:hAnsi="宋体" w:cs="宋体"/>
          <w:szCs w:val="24"/>
        </w:rPr>
        <w:t xml:space="preserve">    （4）采购人反馈的收集和处置</w:t>
      </w:r>
    </w:p>
    <w:p>
      <w:pPr>
        <w:pStyle w:val="13"/>
        <w:spacing w:line="360" w:lineRule="auto"/>
        <w:rPr>
          <w:rFonts w:ascii="宋体" w:hAnsi="宋体" w:cs="宋体"/>
          <w:szCs w:val="24"/>
        </w:rPr>
      </w:pPr>
      <w:r>
        <w:rPr>
          <w:rFonts w:hint="eastAsia" w:ascii="宋体" w:hAnsi="宋体" w:cs="宋体"/>
          <w:szCs w:val="24"/>
        </w:rPr>
        <w:t xml:space="preserve">    1）质量管理部人员收集有关采购人对公司检测工作的正面的和负面的以及建议和希望的反馈信息，并负责分发、回收《采购人满意度调查表》，进行汇总统计。</w:t>
      </w:r>
    </w:p>
    <w:p>
      <w:pPr>
        <w:pStyle w:val="13"/>
        <w:spacing w:line="360" w:lineRule="auto"/>
        <w:rPr>
          <w:rFonts w:ascii="宋体" w:hAnsi="宋体" w:cs="宋体"/>
          <w:szCs w:val="24"/>
        </w:rPr>
      </w:pPr>
      <w:r>
        <w:rPr>
          <w:rFonts w:hint="eastAsia" w:ascii="宋体" w:hAnsi="宋体" w:cs="宋体"/>
          <w:szCs w:val="24"/>
        </w:rPr>
        <w:t xml:space="preserve">    2）质量管理部负责答复采购人的负面反馈意见和建议，以及采购人希望反馈的处理结果，保存答复记录。</w:t>
      </w:r>
    </w:p>
    <w:p>
      <w:pPr>
        <w:pStyle w:val="13"/>
        <w:spacing w:line="360" w:lineRule="auto"/>
        <w:rPr>
          <w:rFonts w:ascii="宋体" w:hAnsi="宋体" w:cs="宋体"/>
          <w:szCs w:val="24"/>
        </w:rPr>
      </w:pPr>
      <w:r>
        <w:rPr>
          <w:rFonts w:hint="eastAsia" w:ascii="宋体" w:hAnsi="宋体" w:cs="宋体"/>
          <w:szCs w:val="24"/>
        </w:rPr>
        <w:t xml:space="preserve">    3）质量管理部组织对《采购人满意度调查表》反映的采购人反馈信息进行分析，对采购人的检测需求、建议，用于改进管理体系、检测活动及对采购人的服务，采取并记录相应措施和结果。以取得采购人的持续满意。</w:t>
      </w:r>
    </w:p>
    <w:p>
      <w:pPr>
        <w:pStyle w:val="13"/>
        <w:spacing w:line="360" w:lineRule="auto"/>
        <w:rPr>
          <w:rFonts w:ascii="宋体" w:hAnsi="宋体" w:cs="宋体"/>
          <w:szCs w:val="24"/>
        </w:rPr>
      </w:pPr>
      <w:r>
        <w:rPr>
          <w:rFonts w:hint="eastAsia" w:ascii="宋体" w:hAnsi="宋体" w:cs="宋体"/>
          <w:szCs w:val="24"/>
        </w:rPr>
        <w:t xml:space="preserve">    4）质量管理部负责收集的有关采购人投诉的信息，执行《投诉处理程序》。</w:t>
      </w:r>
    </w:p>
    <w:p>
      <w:pPr>
        <w:pStyle w:val="13"/>
        <w:spacing w:line="360" w:lineRule="auto"/>
        <w:rPr>
          <w:rFonts w:ascii="宋体" w:hAnsi="宋体" w:cs="宋体"/>
          <w:szCs w:val="24"/>
        </w:rPr>
      </w:pPr>
      <w:r>
        <w:rPr>
          <w:rFonts w:hint="eastAsia" w:ascii="宋体" w:hAnsi="宋体" w:cs="宋体"/>
          <w:szCs w:val="24"/>
        </w:rPr>
        <w:t xml:space="preserve">    （5）质量管理部负责编制采购人反馈信息汇总的文件，质量负责人审核，作为管理评审的输入。</w:t>
      </w:r>
    </w:p>
    <w:p>
      <w:pPr>
        <w:pStyle w:val="13"/>
        <w:spacing w:line="360" w:lineRule="auto"/>
        <w:rPr>
          <w:rFonts w:ascii="宋体" w:hAnsi="宋体" w:cs="宋体"/>
          <w:szCs w:val="24"/>
        </w:rPr>
      </w:pPr>
      <w:r>
        <w:rPr>
          <w:rFonts w:hint="eastAsia" w:ascii="宋体" w:hAnsi="宋体" w:cs="宋体"/>
          <w:szCs w:val="24"/>
        </w:rPr>
        <w:t xml:space="preserve">    （6）记录的保存，与招标人相关的记录，由档案管理员分类归档保存。</w:t>
      </w:r>
    </w:p>
    <w:p>
      <w:pPr>
        <w:spacing w:line="360" w:lineRule="auto"/>
        <w:ind w:firstLine="480" w:firstLineChars="200"/>
        <w:jc w:val="left"/>
        <w:rPr>
          <w:rFonts w:asciiTheme="minorEastAsia" w:hAnsiTheme="minorEastAsia" w:eastAsiaTheme="minorEastAsia" w:cstheme="minorEastAsia"/>
          <w:sz w:val="24"/>
          <w:szCs w:val="24"/>
        </w:rPr>
      </w:pPr>
    </w:p>
    <w:p>
      <w:pPr>
        <w:spacing w:line="360" w:lineRule="auto"/>
        <w:ind w:firstLine="480" w:firstLineChars="200"/>
        <w:jc w:val="left"/>
        <w:rPr>
          <w:rFonts w:asciiTheme="minorEastAsia" w:hAnsiTheme="minorEastAsia" w:eastAsiaTheme="minorEastAsia" w:cstheme="minorEastAsia"/>
          <w:sz w:val="24"/>
          <w:szCs w:val="24"/>
        </w:rPr>
      </w:pPr>
      <w:bookmarkStart w:id="13" w:name="_Toc19746"/>
      <w:bookmarkStart w:id="14" w:name="_Toc64"/>
      <w:bookmarkStart w:id="15" w:name="_Toc1684"/>
      <w:bookmarkStart w:id="16" w:name="_Toc11738"/>
      <w:bookmarkStart w:id="17" w:name="_Toc8349"/>
      <w:bookmarkStart w:id="18" w:name="_Toc9986"/>
      <w:bookmarkStart w:id="19" w:name="_Toc6128"/>
      <w:bookmarkStart w:id="20" w:name="_Toc7300"/>
      <w:r>
        <w:rPr>
          <w:rFonts w:hint="eastAsia" w:ascii="宋体" w:hAnsi="宋体" w:cs="宋体"/>
          <w:sz w:val="24"/>
          <w:szCs w:val="24"/>
        </w:rPr>
        <w:t>投标人名称（盖章）</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河南国康检测技术有限公司</w:t>
      </w:r>
    </w:p>
    <w:p>
      <w:pPr>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宋体" w:hAnsi="宋体" w:cs="宋体"/>
          <w:sz w:val="24"/>
          <w:szCs w:val="24"/>
        </w:rPr>
        <w:t>投标人法定代表人（或法定代表人授权代表）签字或盖章</w:t>
      </w:r>
      <w:r>
        <w:rPr>
          <w:rFonts w:hint="eastAsia" w:asciiTheme="minorEastAsia" w:hAnsiTheme="minorEastAsia" w:eastAsiaTheme="minorEastAsia" w:cstheme="minorEastAsia"/>
          <w:sz w:val="24"/>
          <w:szCs w:val="24"/>
        </w:rPr>
        <w:t>：</w:t>
      </w:r>
    </w:p>
    <w:p>
      <w:pPr>
        <w:spacing w:line="360" w:lineRule="auto"/>
        <w:ind w:firstLine="480" w:firstLineChars="200"/>
        <w:jc w:val="lef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日  期：</w:t>
      </w:r>
      <w:r>
        <w:rPr>
          <w:rFonts w:hint="eastAsia" w:asciiTheme="minorEastAsia" w:hAnsiTheme="minorEastAsia" w:eastAsiaTheme="minorEastAsia" w:cstheme="minorEastAsia"/>
          <w:sz w:val="24"/>
          <w:szCs w:val="24"/>
          <w:u w:val="single"/>
        </w:rPr>
        <w:t>2019</w:t>
      </w:r>
      <w:r>
        <w:rPr>
          <w:rStyle w:val="22"/>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年</w:t>
      </w:r>
      <w:r>
        <w:rPr>
          <w:rStyle w:val="22"/>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u w:val="single"/>
        </w:rPr>
        <w:t> 5 </w:t>
      </w:r>
      <w:r>
        <w:rPr>
          <w:rFonts w:hint="eastAsia" w:asciiTheme="minorEastAsia" w:hAnsiTheme="minorEastAsia" w:eastAsiaTheme="minorEastAsia" w:cstheme="minorEastAsia"/>
          <w:sz w:val="24"/>
          <w:szCs w:val="24"/>
        </w:rPr>
        <w:t>月</w:t>
      </w:r>
      <w:r>
        <w:rPr>
          <w:rStyle w:val="22"/>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u w:val="single"/>
        </w:rPr>
        <w:t> 8 </w:t>
      </w:r>
      <w:r>
        <w:rPr>
          <w:rFonts w:hint="eastAsia" w:asciiTheme="minorEastAsia" w:hAnsiTheme="minorEastAsia" w:eastAsiaTheme="minorEastAsia" w:cstheme="minorEastAsia"/>
          <w:sz w:val="24"/>
          <w:szCs w:val="24"/>
        </w:rPr>
        <w:t>日</w:t>
      </w:r>
    </w:p>
    <w:p>
      <w:pPr>
        <w:widowControl/>
        <w:jc w:val="left"/>
        <w:rPr>
          <w:rFonts w:ascii="宋体" w:hAnsi="宋体"/>
          <w:b/>
          <w:sz w:val="30"/>
        </w:rPr>
      </w:pPr>
      <w:r>
        <w:br w:type="page"/>
      </w:r>
    </w:p>
    <w:p>
      <w:pPr>
        <w:pStyle w:val="7"/>
      </w:pPr>
      <w:r>
        <w:rPr>
          <w:rFonts w:hint="eastAsia"/>
        </w:rPr>
        <w:t>4.2.3 为采购单位提供食品安全检验结果分析、食品安全质量分析报告</w:t>
      </w:r>
      <w:bookmarkEnd w:id="13"/>
      <w:bookmarkEnd w:id="14"/>
      <w:bookmarkEnd w:id="15"/>
      <w:bookmarkEnd w:id="16"/>
      <w:bookmarkEnd w:id="17"/>
      <w:bookmarkEnd w:id="18"/>
      <w:bookmarkEnd w:id="19"/>
      <w:bookmarkEnd w:id="20"/>
    </w:p>
    <w:p>
      <w:pPr>
        <w:widowControl/>
        <w:spacing w:line="360" w:lineRule="auto"/>
        <w:ind w:firstLine="482" w:firstLineChars="200"/>
        <w:textAlignment w:val="baseline"/>
        <w:rPr>
          <w:rFonts w:ascii="宋体" w:hAnsi="宋体" w:cs="宋体"/>
          <w:b/>
          <w:bCs/>
          <w:sz w:val="24"/>
          <w:szCs w:val="24"/>
        </w:rPr>
      </w:pPr>
      <w:r>
        <w:rPr>
          <w:rFonts w:hint="eastAsia" w:ascii="宋体" w:hAnsi="宋体" w:cs="宋体"/>
          <w:b/>
          <w:bCs/>
          <w:sz w:val="24"/>
          <w:szCs w:val="24"/>
        </w:rPr>
        <w:t>（1）为采购单位提供食品安全检验结果技术分析</w:t>
      </w:r>
    </w:p>
    <w:p>
      <w:pPr>
        <w:widowControl/>
        <w:spacing w:line="360" w:lineRule="auto"/>
        <w:ind w:firstLine="480" w:firstLineChars="200"/>
        <w:textAlignment w:val="baseline"/>
        <w:rPr>
          <w:rFonts w:ascii="宋体" w:hAnsi="宋体" w:cs="宋体"/>
          <w:sz w:val="24"/>
          <w:szCs w:val="24"/>
        </w:rPr>
      </w:pPr>
      <w:r>
        <w:rPr>
          <w:rFonts w:hint="eastAsia" w:ascii="宋体" w:hAnsi="宋体" w:cs="宋体"/>
          <w:bCs/>
          <w:sz w:val="24"/>
          <w:szCs w:val="24"/>
        </w:rPr>
        <w:t>检测工作完成后，由项目负责人组织检测结果审核，保证检测结果准确无误。实行检测结果专报机制，检测结果出来后，组织专项技术负责人进行审核监督，</w:t>
      </w:r>
      <w:r>
        <w:rPr>
          <w:rFonts w:hint="eastAsia" w:ascii="宋体" w:hAnsi="宋体" w:cs="宋体"/>
          <w:sz w:val="24"/>
          <w:szCs w:val="24"/>
        </w:rPr>
        <w:t>并及时报送《样品信息登记表》、《检验结果汇总表》和《不合格信息登记表》以及结果分析报告等资料至相关部门，</w:t>
      </w:r>
      <w:r>
        <w:rPr>
          <w:rFonts w:hint="eastAsia" w:ascii="宋体" w:hAnsi="宋体" w:cs="宋体"/>
          <w:bCs/>
          <w:sz w:val="24"/>
          <w:szCs w:val="24"/>
        </w:rPr>
        <w:t>并将结果及时反馈给</w:t>
      </w:r>
      <w:r>
        <w:rPr>
          <w:rFonts w:hint="eastAsia" w:ascii="宋体" w:hAnsi="宋体" w:cs="宋体"/>
          <w:sz w:val="24"/>
          <w:szCs w:val="24"/>
        </w:rPr>
        <w:t>采购人</w:t>
      </w:r>
      <w:r>
        <w:rPr>
          <w:rFonts w:hint="eastAsia" w:ascii="宋体" w:hAnsi="宋体" w:cs="宋体"/>
          <w:bCs/>
          <w:sz w:val="24"/>
          <w:szCs w:val="24"/>
        </w:rPr>
        <w:t>。配备专业的技术服务人员积极与</w:t>
      </w:r>
      <w:r>
        <w:rPr>
          <w:rFonts w:hint="eastAsia" w:ascii="宋体" w:hAnsi="宋体" w:cs="宋体"/>
          <w:sz w:val="24"/>
          <w:szCs w:val="24"/>
        </w:rPr>
        <w:t>采购人</w:t>
      </w:r>
      <w:r>
        <w:rPr>
          <w:rFonts w:hint="eastAsia" w:ascii="宋体" w:hAnsi="宋体" w:cs="宋体"/>
          <w:bCs/>
          <w:sz w:val="24"/>
          <w:szCs w:val="24"/>
        </w:rPr>
        <w:t>沟通联系，提供技术支持，保证随时为</w:t>
      </w:r>
      <w:r>
        <w:rPr>
          <w:rFonts w:hint="eastAsia" w:ascii="宋体" w:hAnsi="宋体" w:cs="宋体"/>
          <w:sz w:val="24"/>
          <w:szCs w:val="24"/>
        </w:rPr>
        <w:t>采购人</w:t>
      </w:r>
      <w:r>
        <w:rPr>
          <w:rFonts w:hint="eastAsia" w:ascii="宋体" w:hAnsi="宋体" w:cs="宋体"/>
          <w:bCs/>
          <w:sz w:val="24"/>
          <w:szCs w:val="24"/>
        </w:rPr>
        <w:t>提供实验结果分析服务，对</w:t>
      </w:r>
      <w:r>
        <w:rPr>
          <w:rFonts w:hint="eastAsia" w:ascii="宋体" w:hAnsi="宋体" w:cs="宋体"/>
          <w:sz w:val="24"/>
          <w:szCs w:val="24"/>
        </w:rPr>
        <w:t>采购人</w:t>
      </w:r>
      <w:r>
        <w:rPr>
          <w:rFonts w:hint="eastAsia" w:ascii="宋体" w:hAnsi="宋体" w:cs="宋体"/>
          <w:bCs/>
          <w:sz w:val="24"/>
          <w:szCs w:val="24"/>
        </w:rPr>
        <w:t>的咨询负责到底。</w:t>
      </w:r>
      <w:r>
        <w:rPr>
          <w:rFonts w:hint="eastAsia" w:ascii="宋体" w:hAnsi="宋体" w:cs="宋体"/>
          <w:sz w:val="24"/>
          <w:szCs w:val="24"/>
        </w:rPr>
        <w:t>对产品不合格产生的原因、危害，免费提供结果分析，以便采购人在以后的工作监管中更有针对性。</w:t>
      </w:r>
    </w:p>
    <w:p>
      <w:pPr>
        <w:widowControl/>
        <w:spacing w:line="360" w:lineRule="auto"/>
        <w:ind w:firstLine="482" w:firstLineChars="200"/>
        <w:textAlignment w:val="baseline"/>
        <w:rPr>
          <w:rFonts w:ascii="宋体" w:hAnsi="宋体" w:cs="宋体"/>
          <w:b/>
          <w:bCs/>
          <w:sz w:val="24"/>
          <w:szCs w:val="24"/>
        </w:rPr>
      </w:pPr>
      <w:r>
        <w:rPr>
          <w:rFonts w:hint="eastAsia" w:ascii="宋体" w:hAnsi="宋体" w:cs="宋体"/>
          <w:b/>
          <w:bCs/>
          <w:sz w:val="24"/>
          <w:szCs w:val="24"/>
        </w:rPr>
        <w:t>（2）提供食品安全质量分析报告</w:t>
      </w:r>
    </w:p>
    <w:p>
      <w:pPr>
        <w:widowControl/>
        <w:spacing w:line="360" w:lineRule="auto"/>
        <w:ind w:firstLine="480" w:firstLineChars="200"/>
        <w:textAlignment w:val="baseline"/>
        <w:rPr>
          <w:rFonts w:ascii="宋体" w:hAnsi="宋体" w:cs="宋体"/>
          <w:sz w:val="24"/>
          <w:szCs w:val="24"/>
        </w:rPr>
      </w:pPr>
      <w:r>
        <w:rPr>
          <w:rFonts w:hint="eastAsia" w:ascii="宋体" w:hAnsi="宋体" w:cs="宋体"/>
          <w:sz w:val="24"/>
          <w:szCs w:val="24"/>
        </w:rPr>
        <w:t>我公司根据《食品安全监督抽检和风险监测工作规范》的要求和采购人意见，出具合格准确的食品安全监督抽检检验报告及食品安全质量分析报告。</w:t>
      </w:r>
    </w:p>
    <w:p>
      <w:pPr>
        <w:widowControl/>
        <w:spacing w:line="360" w:lineRule="auto"/>
        <w:ind w:firstLine="480" w:firstLineChars="200"/>
        <w:textAlignment w:val="baseline"/>
        <w:rPr>
          <w:rFonts w:ascii="宋体" w:hAnsi="宋体" w:cs="宋体"/>
          <w:sz w:val="24"/>
          <w:szCs w:val="24"/>
        </w:rPr>
      </w:pPr>
      <w:r>
        <w:rPr>
          <w:rFonts w:hint="eastAsia" w:ascii="宋体" w:hAnsi="宋体" w:cs="宋体"/>
          <w:sz w:val="24"/>
          <w:szCs w:val="24"/>
        </w:rPr>
        <w:t>检测报告能准确、清晰、真实和完整的表达检测结果、使用法定计量单位、并符合检测方法中规定的要求。食品安全质量分析报告包括抽检样品的品种情况、采样点分布情况、各类产品抽检批次分布情况、检测结果及分析、存在的主要问题及结果分析、对策措施及建议、合格产品及不做判定产品登记表、不合格产品登记。食品安全质量分析报告为采购人日常监督抽检工作提供技术支持和执法依据。</w:t>
      </w:r>
    </w:p>
    <w:p>
      <w:pPr>
        <w:spacing w:line="360" w:lineRule="auto"/>
        <w:ind w:firstLine="480" w:firstLineChars="200"/>
        <w:jc w:val="left"/>
        <w:rPr>
          <w:rFonts w:asciiTheme="minorEastAsia" w:hAnsiTheme="minorEastAsia" w:eastAsiaTheme="minorEastAsia" w:cstheme="minorEastAsia"/>
          <w:sz w:val="24"/>
          <w:szCs w:val="24"/>
        </w:rPr>
      </w:pPr>
    </w:p>
    <w:p>
      <w:pPr>
        <w:spacing w:line="360" w:lineRule="auto"/>
        <w:ind w:firstLine="480" w:firstLineChars="200"/>
        <w:jc w:val="left"/>
        <w:rPr>
          <w:rFonts w:asciiTheme="minorEastAsia" w:hAnsiTheme="minorEastAsia" w:eastAsiaTheme="minorEastAsia" w:cstheme="minorEastAsia"/>
          <w:sz w:val="24"/>
          <w:szCs w:val="24"/>
        </w:rPr>
      </w:pPr>
      <w:r>
        <w:rPr>
          <w:rFonts w:hint="eastAsia" w:ascii="宋体" w:hAnsi="宋体" w:cs="宋体"/>
          <w:sz w:val="24"/>
          <w:szCs w:val="24"/>
        </w:rPr>
        <w:t>投标人名称（盖章）</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河南国康检测技术有限公司</w:t>
      </w:r>
    </w:p>
    <w:p>
      <w:pPr>
        <w:spacing w:line="360" w:lineRule="auto"/>
        <w:ind w:firstLine="480" w:firstLineChars="200"/>
        <w:jc w:val="left"/>
        <w:rPr>
          <w:rFonts w:asciiTheme="minorEastAsia" w:hAnsiTheme="minorEastAsia" w:eastAsiaTheme="minorEastAsia" w:cstheme="minorEastAsia"/>
          <w:sz w:val="24"/>
          <w:szCs w:val="24"/>
        </w:rPr>
      </w:pPr>
      <w:r>
        <w:rPr>
          <w:rFonts w:hint="eastAsia" w:ascii="宋体" w:hAnsi="宋体" w:cs="宋体"/>
          <w:sz w:val="24"/>
          <w:szCs w:val="24"/>
        </w:rPr>
        <w:t>投标人法定代表人（或法定代表人授权代表）签字或盖章</w:t>
      </w:r>
      <w:r>
        <w:rPr>
          <w:rFonts w:hint="eastAsia" w:asciiTheme="minorEastAsia" w:hAnsiTheme="minorEastAsia" w:eastAsiaTheme="minorEastAsia" w:cstheme="minorEastAsia"/>
          <w:sz w:val="24"/>
          <w:szCs w:val="24"/>
        </w:rPr>
        <w:t>：</w:t>
      </w:r>
    </w:p>
    <w:p>
      <w:pPr>
        <w:spacing w:line="360" w:lineRule="auto"/>
        <w:ind w:firstLine="480" w:firstLineChars="200"/>
        <w:jc w:val="lef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日  期：</w:t>
      </w:r>
      <w:r>
        <w:rPr>
          <w:rFonts w:hint="eastAsia" w:asciiTheme="minorEastAsia" w:hAnsiTheme="minorEastAsia" w:eastAsiaTheme="minorEastAsia" w:cstheme="minorEastAsia"/>
          <w:sz w:val="24"/>
          <w:szCs w:val="24"/>
          <w:u w:val="single"/>
        </w:rPr>
        <w:t>2019</w:t>
      </w:r>
      <w:r>
        <w:rPr>
          <w:rStyle w:val="22"/>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年</w:t>
      </w:r>
      <w:r>
        <w:rPr>
          <w:rStyle w:val="22"/>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u w:val="single"/>
        </w:rPr>
        <w:t> 5 </w:t>
      </w:r>
      <w:r>
        <w:rPr>
          <w:rFonts w:hint="eastAsia" w:asciiTheme="minorEastAsia" w:hAnsiTheme="minorEastAsia" w:eastAsiaTheme="minorEastAsia" w:cstheme="minorEastAsia"/>
          <w:sz w:val="24"/>
          <w:szCs w:val="24"/>
        </w:rPr>
        <w:t>月</w:t>
      </w:r>
      <w:r>
        <w:rPr>
          <w:rStyle w:val="22"/>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u w:val="single"/>
        </w:rPr>
        <w:t> 8 </w:t>
      </w:r>
      <w:r>
        <w:rPr>
          <w:rFonts w:hint="eastAsia" w:asciiTheme="minorEastAsia" w:hAnsiTheme="minorEastAsia" w:eastAsiaTheme="minorEastAsia" w:cstheme="minorEastAsia"/>
          <w:sz w:val="24"/>
          <w:szCs w:val="24"/>
        </w:rPr>
        <w:t>日</w:t>
      </w:r>
    </w:p>
    <w:p>
      <w:pPr>
        <w:widowControl/>
        <w:adjustRightInd w:val="0"/>
        <w:spacing w:line="480" w:lineRule="auto"/>
        <w:textAlignment w:val="baseline"/>
        <w:rPr>
          <w:rFonts w:ascii="宋体" w:hAnsi="宋体" w:cs="宋体"/>
          <w:sz w:val="24"/>
          <w:szCs w:val="24"/>
        </w:rPr>
      </w:pPr>
    </w:p>
    <w:p>
      <w:pPr>
        <w:rPr>
          <w:rFonts w:ascii="宋体" w:hAnsi="宋体" w:cs="宋体"/>
          <w:sz w:val="24"/>
          <w:szCs w:val="24"/>
        </w:rPr>
      </w:pPr>
      <w:bookmarkStart w:id="21" w:name="_Toc13881"/>
      <w:bookmarkStart w:id="22" w:name="_Toc1159"/>
      <w:bookmarkStart w:id="23" w:name="_Toc51"/>
      <w:r>
        <w:rPr>
          <w:rFonts w:hint="eastAsia" w:ascii="宋体" w:hAnsi="宋体" w:cs="宋体"/>
          <w:sz w:val="24"/>
          <w:szCs w:val="24"/>
        </w:rPr>
        <w:br w:type="page"/>
      </w:r>
    </w:p>
    <w:p>
      <w:pPr>
        <w:pStyle w:val="7"/>
      </w:pPr>
      <w:r>
        <w:rPr>
          <w:rFonts w:hint="eastAsia"/>
        </w:rPr>
        <w:t>4.2.4 为采购人提供检验技术咨询、报送检验公示信息、配合处理异议复检等相关服务</w:t>
      </w:r>
      <w:bookmarkEnd w:id="21"/>
      <w:bookmarkEnd w:id="22"/>
      <w:bookmarkEnd w:id="23"/>
    </w:p>
    <w:p>
      <w:pPr>
        <w:widowControl/>
        <w:spacing w:line="360" w:lineRule="auto"/>
        <w:rPr>
          <w:rFonts w:ascii="宋体" w:hAnsi="宋体" w:cs="宋体"/>
          <w:bCs/>
          <w:sz w:val="24"/>
          <w:szCs w:val="24"/>
        </w:rPr>
      </w:pPr>
      <w:r>
        <w:rPr>
          <w:rFonts w:hint="eastAsia" w:ascii="宋体" w:hAnsi="宋体" w:cs="宋体"/>
          <w:bCs/>
          <w:sz w:val="24"/>
          <w:szCs w:val="24"/>
        </w:rPr>
        <w:t>我公司承诺：</w:t>
      </w:r>
    </w:p>
    <w:p>
      <w:pPr>
        <w:widowControl/>
        <w:spacing w:line="360" w:lineRule="auto"/>
        <w:ind w:firstLine="480" w:firstLineChars="200"/>
        <w:rPr>
          <w:rFonts w:ascii="宋体" w:hAnsi="宋体" w:cs="宋体"/>
          <w:bCs/>
          <w:sz w:val="24"/>
          <w:szCs w:val="24"/>
        </w:rPr>
      </w:pPr>
      <w:r>
        <w:rPr>
          <w:rFonts w:hint="eastAsia" w:ascii="宋体" w:hAnsi="宋体" w:cs="宋体"/>
          <w:bCs/>
          <w:sz w:val="24"/>
          <w:szCs w:val="24"/>
        </w:rPr>
        <w:t>将为</w:t>
      </w:r>
      <w:r>
        <w:rPr>
          <w:rFonts w:hint="eastAsia" w:ascii="宋体" w:hAnsi="宋体" w:cs="宋体"/>
          <w:sz w:val="24"/>
          <w:szCs w:val="24"/>
        </w:rPr>
        <w:t>采购人</w:t>
      </w:r>
      <w:r>
        <w:rPr>
          <w:rFonts w:hint="eastAsia" w:ascii="宋体" w:hAnsi="宋体" w:cs="宋体"/>
          <w:bCs/>
          <w:sz w:val="24"/>
          <w:szCs w:val="24"/>
        </w:rPr>
        <w:t>提供检验技术咨询、报送检验公示信息、配合处理异议复检等相关服务。</w:t>
      </w:r>
    </w:p>
    <w:p>
      <w:pPr>
        <w:widowControl/>
        <w:spacing w:line="360" w:lineRule="auto"/>
        <w:ind w:firstLine="482" w:firstLineChars="200"/>
        <w:rPr>
          <w:rFonts w:ascii="宋体" w:hAnsi="宋体" w:cs="宋体"/>
          <w:b/>
          <w:sz w:val="24"/>
          <w:szCs w:val="24"/>
        </w:rPr>
      </w:pPr>
      <w:r>
        <w:rPr>
          <w:rFonts w:hint="eastAsia" w:ascii="宋体" w:hAnsi="宋体" w:cs="宋体"/>
          <w:b/>
          <w:sz w:val="24"/>
          <w:szCs w:val="24"/>
        </w:rPr>
        <w:t>（1）检验技术咨询</w:t>
      </w:r>
    </w:p>
    <w:p>
      <w:pPr>
        <w:widowControl/>
        <w:spacing w:line="360" w:lineRule="auto"/>
        <w:ind w:firstLine="480" w:firstLineChars="200"/>
        <w:rPr>
          <w:rFonts w:ascii="宋体" w:hAnsi="宋体" w:cs="宋体"/>
          <w:bCs/>
          <w:sz w:val="24"/>
          <w:szCs w:val="24"/>
        </w:rPr>
      </w:pPr>
      <w:r>
        <w:rPr>
          <w:rFonts w:hint="eastAsia" w:ascii="宋体" w:hAnsi="宋体" w:cs="宋体"/>
          <w:bCs/>
          <w:sz w:val="24"/>
          <w:szCs w:val="24"/>
        </w:rPr>
        <w:t>食品安全抽检工作专业性、技术性要求高，我公司将抽检工作分节处理，为</w:t>
      </w:r>
      <w:r>
        <w:rPr>
          <w:rFonts w:hint="eastAsia" w:ascii="宋体" w:hAnsi="宋体" w:cs="宋体"/>
          <w:sz w:val="24"/>
          <w:szCs w:val="24"/>
        </w:rPr>
        <w:t>采购人</w:t>
      </w:r>
      <w:r>
        <w:rPr>
          <w:rFonts w:hint="eastAsia" w:ascii="宋体" w:hAnsi="宋体" w:cs="宋体"/>
          <w:bCs/>
          <w:sz w:val="24"/>
          <w:szCs w:val="24"/>
        </w:rPr>
        <w:t>提供各个环节的技术咨询，环节划分如下：</w:t>
      </w:r>
    </w:p>
    <w:p>
      <w:pPr>
        <w:widowControl/>
        <w:spacing w:line="360" w:lineRule="auto"/>
        <w:ind w:firstLine="480" w:firstLineChars="200"/>
        <w:rPr>
          <w:rFonts w:ascii="宋体" w:hAnsi="宋体" w:cs="宋体"/>
          <w:bCs/>
          <w:color w:val="333333"/>
          <w:sz w:val="24"/>
          <w:szCs w:val="24"/>
          <w:shd w:val="clear" w:color="auto" w:fill="FFFFFF"/>
        </w:rPr>
      </w:pPr>
      <w:r>
        <w:rPr>
          <w:rFonts w:hint="eastAsia" w:ascii="宋体" w:hAnsi="宋体" w:cs="宋体"/>
          <w:bCs/>
          <w:color w:val="333333"/>
          <w:sz w:val="24"/>
          <w:szCs w:val="24"/>
          <w:shd w:val="clear" w:color="auto" w:fill="FFFFFF"/>
        </w:rPr>
        <w:t>1）抽检方案的制定</w:t>
      </w:r>
    </w:p>
    <w:p>
      <w:pPr>
        <w:widowControl/>
        <w:spacing w:line="360" w:lineRule="auto"/>
        <w:ind w:firstLine="480" w:firstLineChars="200"/>
        <w:rPr>
          <w:rFonts w:ascii="宋体" w:hAnsi="宋体" w:cs="宋体"/>
          <w:bCs/>
          <w:sz w:val="24"/>
          <w:szCs w:val="24"/>
        </w:rPr>
      </w:pPr>
      <w:r>
        <w:rPr>
          <w:rFonts w:hint="eastAsia" w:ascii="宋体" w:hAnsi="宋体" w:cs="宋体"/>
          <w:bCs/>
          <w:sz w:val="24"/>
          <w:szCs w:val="24"/>
        </w:rPr>
        <w:t>抽检工作开始前由项目负责人根据抽检任务制定抽检方案，并与</w:t>
      </w:r>
      <w:r>
        <w:rPr>
          <w:rFonts w:hint="eastAsia" w:ascii="宋体" w:hAnsi="宋体" w:cs="宋体"/>
          <w:sz w:val="24"/>
          <w:szCs w:val="24"/>
        </w:rPr>
        <w:t>采购人</w:t>
      </w:r>
      <w:r>
        <w:rPr>
          <w:rFonts w:hint="eastAsia" w:ascii="宋体" w:hAnsi="宋体" w:cs="宋体"/>
          <w:bCs/>
          <w:sz w:val="24"/>
          <w:szCs w:val="24"/>
        </w:rPr>
        <w:t>沟通，积极调整抽检工作，有针对性、有目的的进行抽检工作。</w:t>
      </w:r>
    </w:p>
    <w:p>
      <w:pPr>
        <w:widowControl/>
        <w:spacing w:line="360" w:lineRule="auto"/>
        <w:ind w:firstLine="480" w:firstLineChars="200"/>
        <w:rPr>
          <w:rFonts w:ascii="宋体" w:hAnsi="宋体" w:cs="宋体"/>
          <w:bCs/>
          <w:color w:val="333333"/>
          <w:sz w:val="24"/>
          <w:szCs w:val="24"/>
          <w:shd w:val="clear" w:color="auto" w:fill="FFFFFF"/>
        </w:rPr>
      </w:pPr>
      <w:r>
        <w:rPr>
          <w:rFonts w:hint="eastAsia" w:ascii="宋体" w:hAnsi="宋体" w:cs="宋体"/>
          <w:bCs/>
          <w:color w:val="333333"/>
          <w:sz w:val="24"/>
          <w:szCs w:val="24"/>
          <w:shd w:val="clear" w:color="auto" w:fill="FFFFFF"/>
        </w:rPr>
        <w:t>2）抽样工作安排</w:t>
      </w:r>
    </w:p>
    <w:p>
      <w:pPr>
        <w:widowControl/>
        <w:spacing w:line="360" w:lineRule="auto"/>
        <w:ind w:firstLine="480" w:firstLineChars="200"/>
        <w:rPr>
          <w:rFonts w:ascii="宋体" w:hAnsi="宋体" w:cs="宋体"/>
          <w:bCs/>
          <w:sz w:val="24"/>
          <w:szCs w:val="24"/>
        </w:rPr>
      </w:pPr>
      <w:r>
        <w:rPr>
          <w:rFonts w:hint="eastAsia" w:ascii="宋体" w:hAnsi="宋体" w:cs="宋体"/>
          <w:bCs/>
          <w:sz w:val="24"/>
          <w:szCs w:val="24"/>
        </w:rPr>
        <w:t>我公司拥有专业的抽样队伍，拥有经验丰富的抽样人员，抽样前安排包括：人员、文书准备与填写、车辆、设备、工作技术要求等，为</w:t>
      </w:r>
      <w:r>
        <w:rPr>
          <w:rFonts w:hint="eastAsia" w:ascii="宋体" w:hAnsi="宋体" w:cs="宋体"/>
          <w:sz w:val="24"/>
          <w:szCs w:val="24"/>
        </w:rPr>
        <w:t>采购人</w:t>
      </w:r>
      <w:r>
        <w:rPr>
          <w:rFonts w:hint="eastAsia" w:ascii="宋体" w:hAnsi="宋体" w:cs="宋体"/>
          <w:bCs/>
          <w:sz w:val="24"/>
          <w:szCs w:val="24"/>
        </w:rPr>
        <w:t>进行市场抽样工作服务时，提供抽样工作咨询服务，随时解答、解决抽样工作中存在的问题。</w:t>
      </w:r>
    </w:p>
    <w:p>
      <w:pPr>
        <w:widowControl/>
        <w:spacing w:line="360" w:lineRule="auto"/>
        <w:ind w:firstLine="480" w:firstLineChars="200"/>
        <w:rPr>
          <w:rFonts w:ascii="宋体" w:hAnsi="宋体" w:cs="宋体"/>
          <w:bCs/>
          <w:color w:val="333333"/>
          <w:sz w:val="24"/>
          <w:szCs w:val="24"/>
          <w:shd w:val="clear" w:color="auto" w:fill="FFFFFF"/>
        </w:rPr>
      </w:pPr>
      <w:r>
        <w:rPr>
          <w:rFonts w:hint="eastAsia" w:ascii="宋体" w:hAnsi="宋体" w:cs="宋体"/>
          <w:bCs/>
          <w:color w:val="333333"/>
          <w:sz w:val="24"/>
          <w:szCs w:val="24"/>
          <w:shd w:val="clear" w:color="auto" w:fill="FFFFFF"/>
        </w:rPr>
        <w:t>3）检测工作安排</w:t>
      </w:r>
    </w:p>
    <w:p>
      <w:pPr>
        <w:widowControl/>
        <w:spacing w:line="360" w:lineRule="auto"/>
        <w:ind w:firstLine="480" w:firstLineChars="200"/>
        <w:rPr>
          <w:rFonts w:ascii="宋体" w:hAnsi="宋体" w:cs="宋体"/>
          <w:sz w:val="24"/>
          <w:szCs w:val="24"/>
        </w:rPr>
      </w:pPr>
      <w:r>
        <w:rPr>
          <w:rFonts w:hint="eastAsia" w:ascii="宋体" w:hAnsi="宋体" w:cs="宋体"/>
          <w:sz w:val="24"/>
          <w:szCs w:val="24"/>
        </w:rPr>
        <w:t>实验室合理安排实验时间和人员，保证样品一旦进入实验室，即刻开始检测工作，由检测项目负责人统筹安排检测人员检测工作，将工作流程细化，保证检测工作流畅进行。公司对所采取的质量控制措施进行数据分析，在分析结果超出预定范围时，应采取纠正和预防措施，以确保为客户提供可靠的检测结果。</w:t>
      </w:r>
    </w:p>
    <w:p>
      <w:pPr>
        <w:widowControl/>
        <w:spacing w:line="360" w:lineRule="auto"/>
        <w:ind w:firstLine="480" w:firstLineChars="200"/>
        <w:rPr>
          <w:rFonts w:ascii="宋体" w:hAnsi="宋体" w:cs="宋体"/>
          <w:sz w:val="24"/>
          <w:szCs w:val="24"/>
        </w:rPr>
      </w:pPr>
      <w:r>
        <w:rPr>
          <w:rFonts w:hint="eastAsia" w:ascii="宋体" w:hAnsi="宋体" w:cs="宋体"/>
          <w:sz w:val="24"/>
          <w:szCs w:val="24"/>
        </w:rPr>
        <w:t xml:space="preserve">4）出具检测报告 </w:t>
      </w:r>
    </w:p>
    <w:p>
      <w:pPr>
        <w:pStyle w:val="23"/>
        <w:widowControl/>
        <w:spacing w:line="360" w:lineRule="auto"/>
        <w:ind w:firstLine="0" w:firstLineChars="0"/>
        <w:rPr>
          <w:rFonts w:ascii="宋体" w:hAnsi="宋体" w:cs="宋体"/>
          <w:sz w:val="24"/>
          <w:szCs w:val="24"/>
        </w:rPr>
      </w:pPr>
      <w:r>
        <w:rPr>
          <w:rFonts w:hint="eastAsia" w:ascii="宋体" w:hAnsi="宋体" w:cs="宋体"/>
          <w:sz w:val="24"/>
          <w:szCs w:val="24"/>
        </w:rPr>
        <w:t xml:space="preserve">    我公司具备专业的检测队伍及科学的实验室体系管理制度，能够在规定时间内出具检验报告，并按照规定时限分析、上报检测结果。</w:t>
      </w:r>
    </w:p>
    <w:p>
      <w:pPr>
        <w:widowControl/>
        <w:spacing w:line="360" w:lineRule="auto"/>
        <w:ind w:firstLine="482" w:firstLineChars="200"/>
        <w:rPr>
          <w:rFonts w:ascii="宋体" w:hAnsi="宋体" w:cs="宋体"/>
          <w:b/>
          <w:sz w:val="24"/>
          <w:szCs w:val="24"/>
        </w:rPr>
      </w:pPr>
      <w:r>
        <w:rPr>
          <w:rFonts w:hint="eastAsia" w:ascii="宋体" w:hAnsi="宋体" w:cs="宋体"/>
          <w:b/>
          <w:sz w:val="24"/>
          <w:szCs w:val="24"/>
        </w:rPr>
        <w:t>（2）报送检验公示信息</w:t>
      </w:r>
    </w:p>
    <w:p>
      <w:pPr>
        <w:pStyle w:val="23"/>
        <w:widowControl/>
        <w:spacing w:line="360" w:lineRule="auto"/>
        <w:ind w:firstLine="420" w:firstLineChars="0"/>
        <w:rPr>
          <w:rFonts w:ascii="宋体" w:hAnsi="宋体" w:cs="宋体"/>
          <w:color w:val="000000"/>
          <w:sz w:val="24"/>
          <w:szCs w:val="24"/>
        </w:rPr>
      </w:pPr>
      <w:r>
        <w:rPr>
          <w:rFonts w:hint="eastAsia" w:ascii="宋体" w:hAnsi="宋体" w:cs="宋体"/>
          <w:color w:val="000000"/>
          <w:sz w:val="24"/>
          <w:szCs w:val="24"/>
        </w:rPr>
        <w:t>按照《中华人民共和国政府信息公开条例》和《食品安全抽样检验管理办法》等有关规定，及时向社会公布抽检结果。我公司将在检验结果出来后第一时间向食品药品监管部门报送实验结果及公示信息，报送的检验公示信息应包括产品合格的企业和不合格的企业、产品名称、检验项目、合格与不合格的检测值、生产企业及抽取样品的地点等。对公布的不合格产品，进行高风险、较高风险和一般风险的解读。报送检验信息时应同时报送抽样检验结果，不合格产品风险情况、对不合格产品采取的处理措施等，并对消费者进行风险提示。</w:t>
      </w:r>
    </w:p>
    <w:p>
      <w:pPr>
        <w:pStyle w:val="23"/>
        <w:widowControl/>
        <w:spacing w:line="360" w:lineRule="auto"/>
        <w:ind w:firstLine="482"/>
        <w:rPr>
          <w:rFonts w:ascii="宋体" w:hAnsi="宋体" w:cs="宋体"/>
          <w:b/>
          <w:bCs/>
          <w:color w:val="000000"/>
          <w:sz w:val="24"/>
          <w:szCs w:val="24"/>
        </w:rPr>
      </w:pPr>
      <w:r>
        <w:rPr>
          <w:rFonts w:hint="eastAsia" w:ascii="宋体" w:hAnsi="宋体" w:cs="宋体"/>
          <w:b/>
          <w:bCs/>
          <w:color w:val="000000"/>
          <w:sz w:val="24"/>
          <w:szCs w:val="24"/>
        </w:rPr>
        <w:t>（3）配合处理异议复检</w:t>
      </w:r>
    </w:p>
    <w:p>
      <w:pPr>
        <w:pStyle w:val="23"/>
        <w:widowControl/>
        <w:spacing w:line="360" w:lineRule="auto"/>
        <w:ind w:firstLine="420" w:firstLineChars="0"/>
        <w:rPr>
          <w:rFonts w:ascii="宋体" w:hAnsi="宋体" w:cs="宋体"/>
          <w:color w:val="000000"/>
          <w:sz w:val="24"/>
          <w:szCs w:val="24"/>
        </w:rPr>
      </w:pPr>
      <w:r>
        <w:rPr>
          <w:rFonts w:hint="eastAsia" w:ascii="宋体" w:hAnsi="宋体" w:cs="宋体"/>
          <w:color w:val="000000"/>
          <w:sz w:val="24"/>
          <w:szCs w:val="24"/>
        </w:rPr>
        <w:t>目前我国《产品质量法》、《食品安全法》等明确规定：“生产者、销售者对抽查检验的结果有异议的，可以申请复检”。因此，可以说异议处理在监督抽查过程中是一个非常重要的环节，所以必须高度重视、认真核查、公开程序、耐心讲解、秉公处理，以确保整个监督检验工作的质量。我公司建立一套科学的检验结果异议处理的工作流程：结果确认、异议受理、备样复检。采购人可通过两种渠道提出异议附件，一种是电话，一种是书面回执，我公司均承诺给出书面回复。</w:t>
      </w:r>
    </w:p>
    <w:p>
      <w:pPr>
        <w:pStyle w:val="17"/>
        <w:widowControl/>
        <w:spacing w:line="360" w:lineRule="auto"/>
        <w:rPr>
          <w:rFonts w:ascii="宋体" w:hAnsi="宋体" w:cs="宋体"/>
          <w:color w:val="000000"/>
        </w:rPr>
      </w:pPr>
      <w:r>
        <w:rPr>
          <w:rFonts w:hint="eastAsia" w:ascii="宋体" w:hAnsi="宋体" w:cs="宋体"/>
          <w:color w:val="000000"/>
        </w:rPr>
        <w:t xml:space="preserve">    1）对检验方法和判定依据有异议时</w:t>
      </w:r>
    </w:p>
    <w:p>
      <w:pPr>
        <w:pStyle w:val="17"/>
        <w:widowControl/>
        <w:spacing w:line="360" w:lineRule="auto"/>
        <w:ind w:firstLine="480" w:firstLineChars="200"/>
        <w:rPr>
          <w:rFonts w:ascii="宋体" w:hAnsi="宋体" w:cs="宋体"/>
          <w:color w:val="000000"/>
        </w:rPr>
      </w:pPr>
      <w:r>
        <w:rPr>
          <w:rFonts w:hint="eastAsia" w:ascii="宋体" w:hAnsi="宋体" w:cs="宋体"/>
          <w:color w:val="000000"/>
        </w:rPr>
        <w:t>应复核检验方法和判定依据（涉及抽样、检验项目、判定依据等抽查方案相关要素）是否符合法律、法规、技术标准、技术规范等。</w:t>
      </w:r>
    </w:p>
    <w:p>
      <w:pPr>
        <w:pStyle w:val="17"/>
        <w:widowControl/>
        <w:spacing w:line="360" w:lineRule="auto"/>
        <w:ind w:firstLine="480" w:firstLineChars="200"/>
        <w:rPr>
          <w:rFonts w:ascii="宋体" w:hAnsi="宋体" w:cs="宋体"/>
          <w:color w:val="000000"/>
        </w:rPr>
      </w:pPr>
      <w:r>
        <w:rPr>
          <w:rFonts w:hint="eastAsia" w:ascii="宋体" w:hAnsi="宋体" w:cs="宋体"/>
          <w:color w:val="000000"/>
        </w:rPr>
        <w:t>2）对检验数据有异议时</w:t>
      </w:r>
    </w:p>
    <w:p>
      <w:pPr>
        <w:pStyle w:val="17"/>
        <w:widowControl/>
        <w:spacing w:line="360" w:lineRule="auto"/>
        <w:rPr>
          <w:rFonts w:ascii="宋体" w:hAnsi="宋体" w:cs="宋体"/>
          <w:color w:val="000000"/>
        </w:rPr>
      </w:pPr>
      <w:r>
        <w:rPr>
          <w:rFonts w:hint="eastAsia" w:ascii="宋体" w:hAnsi="宋体" w:cs="宋体"/>
          <w:color w:val="000000"/>
        </w:rPr>
        <w:t xml:space="preserve">    证明原检验数据是否真实、准确、合理。</w:t>
      </w:r>
    </w:p>
    <w:p>
      <w:pPr>
        <w:pStyle w:val="17"/>
        <w:widowControl/>
        <w:spacing w:line="360" w:lineRule="auto"/>
        <w:ind w:firstLine="480" w:firstLineChars="200"/>
        <w:rPr>
          <w:rFonts w:ascii="宋体" w:hAnsi="宋体" w:cs="宋体"/>
          <w:color w:val="000000"/>
        </w:rPr>
      </w:pPr>
      <w:r>
        <w:rPr>
          <w:rFonts w:hint="eastAsia" w:ascii="宋体" w:hAnsi="宋体" w:cs="宋体"/>
          <w:color w:val="000000"/>
        </w:rPr>
        <w:t>a.无需复检的：核查不合格项目相关证据，能够以原始记录、或与不合格项目相关联的其它质量数据等检验证据证明检验数据的真确与否。</w:t>
      </w:r>
    </w:p>
    <w:p>
      <w:pPr>
        <w:pStyle w:val="17"/>
        <w:widowControl/>
        <w:spacing w:line="360" w:lineRule="auto"/>
        <w:ind w:firstLine="480" w:firstLineChars="200"/>
        <w:rPr>
          <w:rFonts w:ascii="宋体" w:hAnsi="宋体" w:cs="宋体"/>
          <w:color w:val="000000"/>
        </w:rPr>
      </w:pPr>
      <w:r>
        <w:rPr>
          <w:rFonts w:hint="eastAsia" w:ascii="宋体" w:hAnsi="宋体" w:cs="宋体"/>
          <w:color w:val="000000"/>
        </w:rPr>
        <w:t>b.检验数据可以再现的，可以在原样上检验的在原样上复检，不可以在原样上检验的采用备用样复检。</w:t>
      </w:r>
    </w:p>
    <w:p>
      <w:pPr>
        <w:pStyle w:val="17"/>
        <w:widowControl/>
        <w:spacing w:line="360" w:lineRule="auto"/>
        <w:ind w:firstLine="480"/>
        <w:rPr>
          <w:rFonts w:ascii="宋体" w:hAnsi="宋体" w:cs="宋体"/>
          <w:color w:val="000000"/>
        </w:rPr>
      </w:pPr>
      <w:r>
        <w:rPr>
          <w:rFonts w:hint="eastAsia" w:ascii="宋体" w:hAnsi="宋体" w:cs="宋体"/>
          <w:color w:val="000000"/>
        </w:rPr>
        <w:t>c.检验数据无法再现的，我公司将在检验过程中保存相关记录或与不合格项目相关联的其它质量数据等检验证据。无法提供有效检验证据的，应当采用备用样复检。</w:t>
      </w:r>
    </w:p>
    <w:p>
      <w:pPr>
        <w:widowControl/>
        <w:spacing w:line="360" w:lineRule="auto"/>
        <w:ind w:firstLine="480"/>
        <w:rPr>
          <w:rFonts w:ascii="宋体" w:hAnsi="宋体" w:cs="宋体"/>
          <w:color w:val="000000"/>
          <w:sz w:val="24"/>
          <w:szCs w:val="24"/>
        </w:rPr>
      </w:pPr>
      <w:r>
        <w:rPr>
          <w:rFonts w:hint="eastAsia" w:ascii="宋体" w:hAnsi="宋体" w:cs="宋体"/>
          <w:color w:val="000000"/>
          <w:sz w:val="24"/>
          <w:szCs w:val="24"/>
        </w:rPr>
        <w:t>d.法律、法规、标准等对复检有规定的，从其规定。</w:t>
      </w:r>
    </w:p>
    <w:p>
      <w:pPr>
        <w:spacing w:line="360" w:lineRule="auto"/>
        <w:ind w:firstLine="480" w:firstLineChars="200"/>
        <w:jc w:val="left"/>
        <w:rPr>
          <w:rFonts w:asciiTheme="minorEastAsia" w:hAnsiTheme="minorEastAsia" w:eastAsiaTheme="minorEastAsia" w:cstheme="minorEastAsia"/>
          <w:sz w:val="24"/>
          <w:szCs w:val="24"/>
        </w:rPr>
      </w:pPr>
    </w:p>
    <w:p>
      <w:pPr>
        <w:spacing w:line="360" w:lineRule="auto"/>
        <w:ind w:firstLine="480" w:firstLineChars="200"/>
        <w:jc w:val="left"/>
        <w:rPr>
          <w:rFonts w:asciiTheme="minorEastAsia" w:hAnsiTheme="minorEastAsia" w:eastAsiaTheme="minorEastAsia" w:cstheme="minorEastAsia"/>
          <w:sz w:val="24"/>
          <w:szCs w:val="24"/>
        </w:rPr>
      </w:pPr>
      <w:r>
        <w:rPr>
          <w:rFonts w:hint="eastAsia" w:ascii="宋体" w:hAnsi="宋体" w:cs="宋体"/>
          <w:sz w:val="24"/>
          <w:szCs w:val="24"/>
        </w:rPr>
        <w:t>投标人名称（盖章）</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河南国康检测技术有限公司</w:t>
      </w:r>
    </w:p>
    <w:p>
      <w:pPr>
        <w:spacing w:line="360" w:lineRule="auto"/>
        <w:ind w:firstLine="480" w:firstLineChars="200"/>
        <w:jc w:val="left"/>
        <w:rPr>
          <w:rFonts w:asciiTheme="minorEastAsia" w:hAnsiTheme="minorEastAsia" w:eastAsiaTheme="minorEastAsia" w:cstheme="minorEastAsia"/>
          <w:sz w:val="24"/>
          <w:szCs w:val="24"/>
        </w:rPr>
      </w:pPr>
      <w:r>
        <w:rPr>
          <w:rFonts w:hint="eastAsia" w:ascii="宋体" w:hAnsi="宋体" w:cs="宋体"/>
          <w:sz w:val="24"/>
          <w:szCs w:val="24"/>
        </w:rPr>
        <w:t>投标人法定代表人（或法定代表人授权代表）签字或盖章</w:t>
      </w:r>
      <w:r>
        <w:rPr>
          <w:rFonts w:hint="eastAsia" w:asciiTheme="minorEastAsia" w:hAnsiTheme="minorEastAsia" w:eastAsiaTheme="minorEastAsia" w:cstheme="minorEastAsia"/>
          <w:sz w:val="24"/>
          <w:szCs w:val="24"/>
        </w:rPr>
        <w:t>：</w:t>
      </w:r>
    </w:p>
    <w:p>
      <w:pPr>
        <w:spacing w:line="360" w:lineRule="auto"/>
        <w:ind w:firstLine="480" w:firstLineChars="200"/>
        <w:jc w:val="lef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日  期：</w:t>
      </w:r>
      <w:r>
        <w:rPr>
          <w:rFonts w:hint="eastAsia" w:asciiTheme="minorEastAsia" w:hAnsiTheme="minorEastAsia" w:eastAsiaTheme="minorEastAsia" w:cstheme="minorEastAsia"/>
          <w:sz w:val="24"/>
          <w:szCs w:val="24"/>
          <w:u w:val="single"/>
        </w:rPr>
        <w:t>2019</w:t>
      </w:r>
      <w:r>
        <w:rPr>
          <w:rStyle w:val="22"/>
          <w:rFonts w:hint="eastAsia" w:asciiTheme="minorEastAsia" w:hAnsiTheme="minorEastAsia" w:eastAsiaTheme="minorEastAsia" w:cstheme="minorEastAsia"/>
          <w:sz w:val="24"/>
          <w:szCs w:val="24"/>
          <w:u w:val="single"/>
        </w:rPr>
        <w:t> </w:t>
      </w:r>
      <w:r>
        <w:rPr>
          <w:rFonts w:hint="eastAsia" w:asciiTheme="minorEastAsia" w:hAnsiTheme="minorEastAsia" w:eastAsiaTheme="minorEastAsia" w:cstheme="minorEastAsia"/>
          <w:sz w:val="24"/>
          <w:szCs w:val="24"/>
        </w:rPr>
        <w:t>年</w:t>
      </w:r>
      <w:r>
        <w:rPr>
          <w:rStyle w:val="22"/>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u w:val="single"/>
        </w:rPr>
        <w:t> 5 </w:t>
      </w:r>
      <w:r>
        <w:rPr>
          <w:rFonts w:hint="eastAsia" w:asciiTheme="minorEastAsia" w:hAnsiTheme="minorEastAsia" w:eastAsiaTheme="minorEastAsia" w:cstheme="minorEastAsia"/>
          <w:sz w:val="24"/>
          <w:szCs w:val="24"/>
        </w:rPr>
        <w:t>月</w:t>
      </w:r>
      <w:r>
        <w:rPr>
          <w:rStyle w:val="22"/>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sz w:val="24"/>
          <w:szCs w:val="24"/>
          <w:u w:val="single"/>
        </w:rPr>
        <w:t> 8 </w:t>
      </w:r>
      <w:r>
        <w:rPr>
          <w:rFonts w:hint="eastAsia" w:asciiTheme="minorEastAsia" w:hAnsiTheme="minorEastAsia" w:eastAsiaTheme="minorEastAsia" w:cstheme="minorEastAsia"/>
          <w:sz w:val="24"/>
          <w:szCs w:val="24"/>
        </w:rPr>
        <w:t>日</w:t>
      </w:r>
    </w:p>
    <w:p>
      <w:pPr>
        <w:pStyle w:val="24"/>
        <w:spacing w:before="60" w:afterLines="50" w:line="320" w:lineRule="exact"/>
        <w:ind w:firstLine="0" w:firstLineChars="0"/>
        <w:rPr>
          <w:rFonts w:ascii="宋体" w:hAnsi="宋体" w:cs="Arial"/>
          <w:color w:val="000000"/>
          <w:szCs w:val="24"/>
        </w:rPr>
      </w:pPr>
    </w:p>
    <w:p>
      <w:pPr>
        <w:pStyle w:val="24"/>
        <w:spacing w:before="60" w:afterLines="50" w:line="320" w:lineRule="exact"/>
        <w:ind w:firstLine="0" w:firstLineChars="0"/>
        <w:rPr>
          <w:rFonts w:ascii="宋体" w:hAnsi="宋体" w:cs="Arial"/>
          <w:color w:val="000000"/>
          <w:szCs w:val="24"/>
        </w:rPr>
      </w:pPr>
    </w:p>
    <w:p>
      <w:pPr>
        <w:pStyle w:val="24"/>
        <w:spacing w:before="60" w:afterLines="50" w:line="320" w:lineRule="exact"/>
        <w:ind w:firstLine="0" w:firstLineChars="0"/>
        <w:rPr>
          <w:rFonts w:ascii="宋体" w:hAnsi="宋体" w:cs="Arial"/>
          <w:color w:val="000000"/>
          <w:szCs w:val="24"/>
        </w:rPr>
      </w:pPr>
    </w:p>
    <w:p>
      <w:pPr>
        <w:rPr>
          <w:rFonts w:ascii="宋体" w:hAnsi="宋体"/>
          <w:b/>
          <w:bCs/>
          <w:color w:val="000000"/>
          <w:sz w:val="36"/>
          <w:szCs w:val="36"/>
        </w:rPr>
      </w:pPr>
      <w:bookmarkStart w:id="24" w:name="_GoBack"/>
      <w:bookmarkEnd w:id="24"/>
    </w:p>
    <w:sectPr>
      <w:pgSz w:w="11906" w:h="16838"/>
      <w:pgMar w:top="1440" w:right="1474" w:bottom="1440"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B42DF5"/>
    <w:rsid w:val="00060C0F"/>
    <w:rsid w:val="00064930"/>
    <w:rsid w:val="004203A9"/>
    <w:rsid w:val="005810EF"/>
    <w:rsid w:val="00614FE7"/>
    <w:rsid w:val="008333AA"/>
    <w:rsid w:val="008B3E1F"/>
    <w:rsid w:val="008C1369"/>
    <w:rsid w:val="009372BE"/>
    <w:rsid w:val="00AC489C"/>
    <w:rsid w:val="00D21261"/>
    <w:rsid w:val="00D84C17"/>
    <w:rsid w:val="00E27B8D"/>
    <w:rsid w:val="00F04633"/>
    <w:rsid w:val="06D04B8C"/>
    <w:rsid w:val="1E601DE6"/>
    <w:rsid w:val="3CF405DF"/>
    <w:rsid w:val="519E0EEF"/>
    <w:rsid w:val="5BB42D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iPriority="99"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qFormat="1" w:uiPriority="99"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5">
    <w:name w:val="heading 1"/>
    <w:basedOn w:val="1"/>
    <w:next w:val="1"/>
    <w:qFormat/>
    <w:uiPriority w:val="0"/>
    <w:pPr>
      <w:keepNext/>
      <w:keepLines/>
      <w:spacing w:line="360" w:lineRule="auto"/>
      <w:jc w:val="center"/>
      <w:outlineLvl w:val="0"/>
    </w:pPr>
    <w:rPr>
      <w:rFonts w:ascii="宋体" w:hAnsi="宋体"/>
      <w:b/>
      <w:kern w:val="44"/>
      <w:sz w:val="36"/>
    </w:rPr>
  </w:style>
  <w:style w:type="paragraph" w:styleId="6">
    <w:name w:val="heading 2"/>
    <w:basedOn w:val="1"/>
    <w:next w:val="1"/>
    <w:unhideWhenUsed/>
    <w:qFormat/>
    <w:uiPriority w:val="0"/>
    <w:pPr>
      <w:keepNext/>
      <w:keepLines/>
      <w:spacing w:line="360" w:lineRule="auto"/>
      <w:jc w:val="center"/>
      <w:outlineLvl w:val="1"/>
    </w:pPr>
    <w:rPr>
      <w:rFonts w:ascii="宋体" w:hAnsi="宋体"/>
      <w:b/>
      <w:sz w:val="36"/>
    </w:rPr>
  </w:style>
  <w:style w:type="paragraph" w:styleId="7">
    <w:name w:val="heading 3"/>
    <w:basedOn w:val="1"/>
    <w:next w:val="1"/>
    <w:unhideWhenUsed/>
    <w:qFormat/>
    <w:uiPriority w:val="0"/>
    <w:pPr>
      <w:keepNext/>
      <w:keepLines/>
      <w:spacing w:line="360" w:lineRule="auto"/>
      <w:outlineLvl w:val="2"/>
    </w:pPr>
    <w:rPr>
      <w:rFonts w:ascii="宋体" w:hAnsi="宋体"/>
      <w:b/>
      <w:sz w:val="30"/>
    </w:rPr>
  </w:style>
  <w:style w:type="paragraph" w:styleId="8">
    <w:name w:val="heading 4"/>
    <w:basedOn w:val="9"/>
    <w:next w:val="1"/>
    <w:unhideWhenUsed/>
    <w:qFormat/>
    <w:uiPriority w:val="0"/>
    <w:pPr>
      <w:jc w:val="left"/>
      <w:outlineLvl w:val="3"/>
    </w:pPr>
    <w:rPr>
      <w:sz w:val="28"/>
    </w:rPr>
  </w:style>
  <w:style w:type="paragraph" w:styleId="9">
    <w:name w:val="heading 5"/>
    <w:basedOn w:val="1"/>
    <w:next w:val="1"/>
    <w:unhideWhenUsed/>
    <w:qFormat/>
    <w:uiPriority w:val="0"/>
    <w:pPr>
      <w:keepNext/>
      <w:keepLines/>
      <w:spacing w:line="360" w:lineRule="auto"/>
      <w:outlineLvl w:val="4"/>
    </w:pPr>
    <w:rPr>
      <w:rFonts w:ascii="宋体" w:hAnsi="宋体"/>
      <w:b/>
      <w:sz w:val="24"/>
    </w:rPr>
  </w:style>
  <w:style w:type="character" w:default="1" w:styleId="19">
    <w:name w:val="Default Paragraph Font"/>
    <w:link w:val="20"/>
    <w:semiHidden/>
    <w:unhideWhenUsed/>
    <w:qFormat/>
    <w:uiPriority w:val="1"/>
    <w:rPr>
      <w:szCs w:val="24"/>
    </w:rPr>
  </w:style>
  <w:style w:type="table" w:default="1" w:styleId="18">
    <w:name w:val="Normal Table"/>
    <w:semiHidden/>
    <w:unhideWhenUsed/>
    <w:qFormat/>
    <w:uiPriority w:val="99"/>
    <w:tblPr>
      <w:tblLayout w:type="fixed"/>
      <w:tblCellMar>
        <w:top w:w="0" w:type="dxa"/>
        <w:left w:w="108" w:type="dxa"/>
        <w:bottom w:w="0" w:type="dxa"/>
        <w:right w:w="108" w:type="dxa"/>
      </w:tblCellMar>
    </w:tblPr>
  </w:style>
  <w:style w:type="paragraph" w:styleId="2">
    <w:name w:val="Message Header"/>
    <w:basedOn w:val="1"/>
    <w:next w:val="3"/>
    <w:unhideWhenUsed/>
    <w:qFormat/>
    <w:uiPriority w:val="99"/>
    <w:pPr>
      <w:pBdr>
        <w:top w:val="single" w:color="auto" w:sz="6" w:space="1"/>
        <w:left w:val="single" w:color="auto" w:sz="6" w:space="1"/>
        <w:bottom w:val="single" w:color="auto" w:sz="6" w:space="1"/>
        <w:right w:val="single" w:color="auto" w:sz="6" w:space="1"/>
      </w:pBdr>
      <w:shd w:val="clear" w:color="auto" w:fill="7F7F7F"/>
      <w:spacing w:before="100" w:beforeAutospacing="1" w:after="100" w:afterAutospacing="1"/>
      <w:ind w:left="1080" w:leftChars="500" w:hanging="1080" w:hangingChars="500"/>
    </w:pPr>
    <w:rPr>
      <w:rFonts w:ascii="Arial" w:hAnsi="Arial"/>
      <w:sz w:val="24"/>
      <w:szCs w:val="24"/>
    </w:rPr>
  </w:style>
  <w:style w:type="paragraph" w:styleId="3">
    <w:name w:val="Body Text"/>
    <w:basedOn w:val="1"/>
    <w:next w:val="4"/>
    <w:unhideWhenUsed/>
    <w:qFormat/>
    <w:uiPriority w:val="99"/>
    <w:pPr>
      <w:spacing w:after="120"/>
    </w:pPr>
  </w:style>
  <w:style w:type="paragraph" w:styleId="4">
    <w:name w:val="Body Text 2"/>
    <w:basedOn w:val="1"/>
    <w:qFormat/>
    <w:uiPriority w:val="0"/>
    <w:pPr>
      <w:spacing w:after="120" w:line="480" w:lineRule="auto"/>
    </w:pPr>
  </w:style>
  <w:style w:type="paragraph" w:styleId="10">
    <w:name w:val="caption"/>
    <w:basedOn w:val="1"/>
    <w:next w:val="1"/>
    <w:qFormat/>
    <w:uiPriority w:val="0"/>
    <w:rPr>
      <w:rFonts w:ascii="Arial" w:hAnsi="Arial" w:eastAsia="黑体" w:cs="Arial"/>
      <w:sz w:val="20"/>
      <w:szCs w:val="20"/>
    </w:rPr>
  </w:style>
  <w:style w:type="paragraph" w:styleId="11">
    <w:name w:val="Document Map"/>
    <w:basedOn w:val="1"/>
    <w:link w:val="27"/>
    <w:qFormat/>
    <w:uiPriority w:val="0"/>
    <w:rPr>
      <w:rFonts w:ascii="宋体"/>
      <w:sz w:val="18"/>
      <w:szCs w:val="18"/>
    </w:rPr>
  </w:style>
  <w:style w:type="paragraph" w:styleId="12">
    <w:name w:val="Body Text 3"/>
    <w:basedOn w:val="1"/>
    <w:unhideWhenUsed/>
    <w:qFormat/>
    <w:uiPriority w:val="99"/>
    <w:pPr>
      <w:spacing w:after="120"/>
    </w:pPr>
    <w:rPr>
      <w:kern w:val="0"/>
      <w:sz w:val="16"/>
      <w:szCs w:val="16"/>
    </w:rPr>
  </w:style>
  <w:style w:type="paragraph" w:styleId="13">
    <w:name w:val="Plain Text"/>
    <w:basedOn w:val="1"/>
    <w:qFormat/>
    <w:uiPriority w:val="0"/>
    <w:rPr>
      <w:sz w:val="24"/>
    </w:rPr>
  </w:style>
  <w:style w:type="paragraph" w:styleId="14">
    <w:name w:val="Balloon Text"/>
    <w:basedOn w:val="1"/>
    <w:link w:val="26"/>
    <w:qFormat/>
    <w:uiPriority w:val="0"/>
    <w:rPr>
      <w:sz w:val="18"/>
      <w:szCs w:val="18"/>
    </w:rPr>
  </w:style>
  <w:style w:type="paragraph" w:styleId="15">
    <w:name w:val="footer"/>
    <w:basedOn w:val="1"/>
    <w:link w:val="29"/>
    <w:qFormat/>
    <w:uiPriority w:val="0"/>
    <w:pPr>
      <w:tabs>
        <w:tab w:val="center" w:pos="4153"/>
        <w:tab w:val="right" w:pos="8306"/>
      </w:tabs>
      <w:snapToGrid w:val="0"/>
      <w:jc w:val="left"/>
    </w:pPr>
    <w:rPr>
      <w:sz w:val="18"/>
      <w:szCs w:val="18"/>
    </w:rPr>
  </w:style>
  <w:style w:type="paragraph" w:styleId="16">
    <w:name w:val="header"/>
    <w:basedOn w:val="1"/>
    <w:link w:val="28"/>
    <w:qFormat/>
    <w:uiPriority w:val="0"/>
    <w:pPr>
      <w:pBdr>
        <w:bottom w:val="single" w:color="auto" w:sz="6" w:space="1"/>
      </w:pBdr>
      <w:tabs>
        <w:tab w:val="center" w:pos="4153"/>
        <w:tab w:val="right" w:pos="8306"/>
      </w:tabs>
      <w:snapToGrid w:val="0"/>
      <w:jc w:val="center"/>
    </w:pPr>
    <w:rPr>
      <w:sz w:val="18"/>
      <w:szCs w:val="18"/>
    </w:rPr>
  </w:style>
  <w:style w:type="paragraph" w:styleId="17">
    <w:name w:val="Normal (Web)"/>
    <w:basedOn w:val="1"/>
    <w:qFormat/>
    <w:uiPriority w:val="99"/>
    <w:rPr>
      <w:sz w:val="24"/>
      <w:szCs w:val="24"/>
    </w:rPr>
  </w:style>
  <w:style w:type="paragraph" w:customStyle="1" w:styleId="20">
    <w:name w:val=" Char"/>
    <w:basedOn w:val="1"/>
    <w:link w:val="19"/>
    <w:qFormat/>
    <w:uiPriority w:val="0"/>
    <w:rPr>
      <w:szCs w:val="24"/>
    </w:rPr>
  </w:style>
  <w:style w:type="paragraph" w:customStyle="1" w:styleId="21">
    <w:name w:val="Char"/>
    <w:basedOn w:val="1"/>
    <w:qFormat/>
    <w:uiPriority w:val="0"/>
    <w:rPr>
      <w:szCs w:val="24"/>
    </w:rPr>
  </w:style>
  <w:style w:type="character" w:customStyle="1" w:styleId="22">
    <w:name w:val="apple-converted-space"/>
    <w:basedOn w:val="19"/>
    <w:qFormat/>
    <w:uiPriority w:val="0"/>
  </w:style>
  <w:style w:type="paragraph" w:customStyle="1" w:styleId="23">
    <w:name w:val="标书正文"/>
    <w:basedOn w:val="1"/>
    <w:qFormat/>
    <w:uiPriority w:val="0"/>
    <w:pPr>
      <w:ind w:firstLine="200" w:firstLineChars="200"/>
    </w:pPr>
    <w:rPr>
      <w:rFonts w:ascii="Times New Roman" w:hAnsi="Times New Roman"/>
      <w:sz w:val="22"/>
    </w:rPr>
  </w:style>
  <w:style w:type="paragraph" w:customStyle="1" w:styleId="24">
    <w:name w:val="正文缩进1"/>
    <w:basedOn w:val="1"/>
    <w:qFormat/>
    <w:uiPriority w:val="0"/>
    <w:pPr>
      <w:adjustRightInd w:val="0"/>
      <w:spacing w:line="360" w:lineRule="atLeast"/>
      <w:ind w:firstLine="420" w:firstLineChars="200"/>
      <w:jc w:val="left"/>
      <w:textAlignment w:val="baseline"/>
    </w:pPr>
    <w:rPr>
      <w:rFonts w:ascii="Times New Roman" w:hAnsi="Times New Roman"/>
      <w:kern w:val="0"/>
      <w:sz w:val="24"/>
      <w:szCs w:val="20"/>
    </w:rPr>
  </w:style>
  <w:style w:type="paragraph" w:customStyle="1" w:styleId="25">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character" w:customStyle="1" w:styleId="26">
    <w:name w:val="批注框文本 Char"/>
    <w:basedOn w:val="19"/>
    <w:link w:val="14"/>
    <w:qFormat/>
    <w:uiPriority w:val="0"/>
    <w:rPr>
      <w:rFonts w:ascii="Calibri" w:hAnsi="Calibri" w:eastAsia="宋体" w:cs="Times New Roman"/>
      <w:kern w:val="2"/>
      <w:sz w:val="18"/>
      <w:szCs w:val="18"/>
    </w:rPr>
  </w:style>
  <w:style w:type="character" w:customStyle="1" w:styleId="27">
    <w:name w:val="文档结构图 Char"/>
    <w:basedOn w:val="19"/>
    <w:link w:val="11"/>
    <w:qFormat/>
    <w:uiPriority w:val="0"/>
    <w:rPr>
      <w:rFonts w:ascii="宋体" w:hAnsi="Calibri" w:eastAsia="宋体" w:cs="Times New Roman"/>
      <w:kern w:val="2"/>
      <w:sz w:val="18"/>
      <w:szCs w:val="18"/>
    </w:rPr>
  </w:style>
  <w:style w:type="character" w:customStyle="1" w:styleId="28">
    <w:name w:val="页眉 Char"/>
    <w:basedOn w:val="19"/>
    <w:link w:val="16"/>
    <w:uiPriority w:val="0"/>
    <w:rPr>
      <w:rFonts w:ascii="Calibri" w:hAnsi="Calibri" w:eastAsia="宋体" w:cs="Times New Roman"/>
      <w:kern w:val="2"/>
      <w:sz w:val="18"/>
      <w:szCs w:val="18"/>
    </w:rPr>
  </w:style>
  <w:style w:type="character" w:customStyle="1" w:styleId="29">
    <w:name w:val="页脚 Char"/>
    <w:basedOn w:val="19"/>
    <w:link w:val="15"/>
    <w:qFormat/>
    <w:uiPriority w:val="0"/>
    <w:rPr>
      <w:rFonts w:ascii="Calibri" w:hAnsi="Calibri" w:eastAsia="宋体" w:cs="Times New Roman"/>
      <w:kern w:val="2"/>
      <w:sz w:val="18"/>
      <w:szCs w:val="18"/>
    </w:rPr>
  </w:style>
  <w:style w:type="character" w:customStyle="1" w:styleId="30">
    <w:name w:val="font51"/>
    <w:basedOn w:val="19"/>
    <w:qFormat/>
    <w:uiPriority w:val="0"/>
    <w:rPr>
      <w:rFonts w:hint="eastAsia" w:ascii="宋体" w:hAnsi="宋体" w:eastAsia="宋体" w:cs="宋体"/>
      <w:b/>
      <w:color w:val="000000"/>
      <w:sz w:val="21"/>
      <w:szCs w:val="21"/>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270</Pages>
  <Words>15081</Words>
  <Characters>85962</Characters>
  <Lines>716</Lines>
  <Paragraphs>201</Paragraphs>
  <TotalTime>2</TotalTime>
  <ScaleCrop>false</ScaleCrop>
  <LinksUpToDate>false</LinksUpToDate>
  <CharactersWithSpaces>100842</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2019-05-06T08:08:00Z</dcterms:created>
  <dc:creator>Administrator</dc:creator>
  <cp:lastModifiedBy>just   we</cp:lastModifiedBy>
  <cp:lastPrinted>2019-05-06T08:59:00Z</cp:lastPrinted>
  <dcterms:modified xsi:type="dcterms:W3CDTF">2019-05-09T08:16:08Z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