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outlineLvl w:val="1"/>
        <w:rPr>
          <w:rFonts w:hint="eastAsia"/>
        </w:rPr>
      </w:pPr>
      <w:bookmarkStart w:id="20" w:name="_GoBack"/>
      <w:bookmarkEnd w:id="20"/>
      <w:r>
        <w:rPr>
          <w:rFonts w:hint="eastAsia"/>
        </w:rPr>
        <w:t>报价一览表</w:t>
      </w:r>
    </w:p>
    <w:p>
      <w:pPr>
        <w:widowControl w:val="0"/>
        <w:autoSpaceDE w:val="0"/>
        <w:autoSpaceDN w:val="0"/>
        <w:adjustRightInd w:val="0"/>
        <w:spacing w:line="360" w:lineRule="auto"/>
        <w:rPr>
          <w:rFonts w:hint="eastAsia" w:cs="宋体" w:asciiTheme="minorEastAsia" w:hAnsiTheme="minorEastAsia"/>
          <w:kern w:val="0"/>
          <w:sz w:val="24"/>
          <w:szCs w:val="24"/>
        </w:rPr>
      </w:pPr>
    </w:p>
    <w:p>
      <w:pPr>
        <w:widowControl w:val="0"/>
        <w:autoSpaceDE w:val="0"/>
        <w:autoSpaceDN w:val="0"/>
        <w:adjustRightInd w:val="0"/>
        <w:spacing w:line="360" w:lineRule="auto"/>
        <w:rPr>
          <w:rFonts w:cs="宋体" w:asciiTheme="minorEastAsia" w:hAnsiTheme="minorEastAsia"/>
          <w:kern w:val="0"/>
          <w:sz w:val="24"/>
          <w:szCs w:val="24"/>
        </w:rPr>
      </w:pPr>
      <w:r>
        <w:rPr>
          <w:rFonts w:hint="eastAsia" w:cs="宋体" w:asciiTheme="minorEastAsia" w:hAnsiTheme="minorEastAsia"/>
          <w:kern w:val="0"/>
          <w:sz w:val="24"/>
          <w:szCs w:val="24"/>
        </w:rPr>
        <w:t>项目编号：</w:t>
      </w:r>
      <w:r>
        <w:rPr>
          <w:rFonts w:cs="宋体" w:asciiTheme="minorEastAsia" w:hAnsiTheme="minorEastAsia"/>
          <w:kern w:val="0"/>
          <w:sz w:val="24"/>
          <w:szCs w:val="24"/>
        </w:rPr>
        <w:t>YZCG-G2019080</w:t>
      </w:r>
    </w:p>
    <w:p>
      <w:pPr>
        <w:widowControl w:val="0"/>
        <w:autoSpaceDE w:val="0"/>
        <w:autoSpaceDN w:val="0"/>
        <w:adjustRightInd w:val="0"/>
        <w:spacing w:line="360" w:lineRule="auto"/>
        <w:rPr>
          <w:rFonts w:hint="eastAsia" w:cs="宋体" w:asciiTheme="minorEastAsia" w:hAnsiTheme="minorEastAsia"/>
          <w:kern w:val="0"/>
          <w:sz w:val="24"/>
          <w:szCs w:val="24"/>
        </w:rPr>
      </w:pPr>
      <w:r>
        <w:rPr>
          <w:rFonts w:hint="eastAsia" w:cs="宋体" w:asciiTheme="minorEastAsia" w:hAnsiTheme="minorEastAsia"/>
          <w:kern w:val="0"/>
          <w:sz w:val="24"/>
          <w:szCs w:val="24"/>
        </w:rPr>
        <w:t>项目名称：禹州市市场监督管理局创建国家食品安全城食品抽样检测项目</w:t>
      </w:r>
    </w:p>
    <w:p>
      <w:pPr>
        <w:widowControl w:val="0"/>
        <w:autoSpaceDE w:val="0"/>
        <w:autoSpaceDN w:val="0"/>
        <w:adjustRightInd w:val="0"/>
        <w:spacing w:line="360" w:lineRule="auto"/>
        <w:rPr>
          <w:rFonts w:hint="eastAsia" w:cs="宋体" w:asciiTheme="minorEastAsia" w:hAnsiTheme="minorEastAsia"/>
          <w:kern w:val="0"/>
          <w:sz w:val="24"/>
          <w:szCs w:val="24"/>
        </w:rPr>
      </w:pPr>
    </w:p>
    <w:tbl>
      <w:tblPr>
        <w:tblStyle w:val="12"/>
        <w:tblW w:w="8720" w:type="dxa"/>
        <w:jc w:val="righ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10"/>
        <w:gridCol w:w="5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right"/>
        </w:trPr>
        <w:tc>
          <w:tcPr>
            <w:tcW w:w="3510" w:type="dxa"/>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标段</w:t>
            </w:r>
          </w:p>
        </w:tc>
        <w:tc>
          <w:tcPr>
            <w:tcW w:w="5210" w:type="dxa"/>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一标段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3" w:hRule="atLeast"/>
          <w:jc w:val="right"/>
        </w:trPr>
        <w:tc>
          <w:tcPr>
            <w:tcW w:w="3510" w:type="dxa"/>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项目名称</w:t>
            </w:r>
          </w:p>
        </w:tc>
        <w:tc>
          <w:tcPr>
            <w:tcW w:w="5210" w:type="dxa"/>
            <w:vAlign w:val="center"/>
          </w:tcPr>
          <w:p>
            <w:pPr>
              <w:spacing w:line="360" w:lineRule="auto"/>
              <w:jc w:val="center"/>
              <w:rPr>
                <w:rFonts w:asciiTheme="minorEastAsia" w:hAnsiTheme="minorEastAsia"/>
                <w:sz w:val="24"/>
                <w:szCs w:val="24"/>
              </w:rPr>
            </w:pPr>
            <w:r>
              <w:rPr>
                <w:rFonts w:hint="eastAsia" w:cs="宋体" w:asciiTheme="minorEastAsia" w:hAnsiTheme="minorEastAsia"/>
                <w:kern w:val="0"/>
                <w:sz w:val="24"/>
                <w:szCs w:val="24"/>
              </w:rPr>
              <w:t>禹州市市场监督管理局创建国家食品安全城食品抽样检测项目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jc w:val="right"/>
        </w:trPr>
        <w:tc>
          <w:tcPr>
            <w:tcW w:w="3510" w:type="dxa"/>
            <w:vAlign w:val="center"/>
          </w:tcPr>
          <w:p>
            <w:pPr>
              <w:spacing w:line="360" w:lineRule="auto"/>
              <w:jc w:val="center"/>
              <w:rPr>
                <w:rFonts w:asciiTheme="minorEastAsia" w:hAnsiTheme="minorEastAsia"/>
                <w:sz w:val="24"/>
                <w:szCs w:val="24"/>
              </w:rPr>
            </w:pPr>
            <w:r>
              <w:rPr>
                <w:rFonts w:hint="eastAsia" w:cs="宋体" w:asciiTheme="minorEastAsia" w:hAnsiTheme="minorEastAsia"/>
                <w:kern w:val="0"/>
                <w:sz w:val="24"/>
                <w:szCs w:val="24"/>
              </w:rPr>
              <w:t>共报食品细类</w:t>
            </w:r>
          </w:p>
        </w:tc>
        <w:tc>
          <w:tcPr>
            <w:tcW w:w="5210" w:type="dxa"/>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250 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jc w:val="right"/>
        </w:trPr>
        <w:tc>
          <w:tcPr>
            <w:tcW w:w="3510" w:type="dxa"/>
            <w:vAlign w:val="center"/>
          </w:tcPr>
          <w:p>
            <w:pPr>
              <w:widowControl w:val="0"/>
              <w:autoSpaceDE w:val="0"/>
              <w:autoSpaceDN w:val="0"/>
              <w:adjustRightInd w:val="0"/>
              <w:spacing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占全部</w:t>
            </w:r>
            <w:r>
              <w:rPr>
                <w:rFonts w:cs="宋体" w:asciiTheme="minorEastAsia" w:hAnsiTheme="minorEastAsia"/>
                <w:kern w:val="0"/>
                <w:sz w:val="24"/>
                <w:szCs w:val="24"/>
              </w:rPr>
              <w:t>259</w:t>
            </w:r>
            <w:r>
              <w:rPr>
                <w:rFonts w:hint="eastAsia" w:cs="宋体" w:asciiTheme="minorEastAsia" w:hAnsiTheme="minorEastAsia"/>
                <w:kern w:val="0"/>
                <w:sz w:val="24"/>
                <w:szCs w:val="24"/>
              </w:rPr>
              <w:t>个食品细类的百分比</w:t>
            </w:r>
          </w:p>
        </w:tc>
        <w:tc>
          <w:tcPr>
            <w:tcW w:w="5210" w:type="dxa"/>
            <w:vAlign w:val="center"/>
          </w:tcPr>
          <w:p>
            <w:pPr>
              <w:spacing w:line="360" w:lineRule="auto"/>
              <w:jc w:val="center"/>
              <w:rPr>
                <w:rFonts w:asciiTheme="minorEastAsia" w:hAnsiTheme="minorEastAsia"/>
                <w:sz w:val="24"/>
                <w:szCs w:val="24"/>
              </w:rPr>
            </w:pPr>
            <w:r>
              <w:rPr>
                <w:rFonts w:cs="宋体" w:asciiTheme="minorEastAsia" w:hAnsiTheme="minorEastAsia"/>
                <w:kern w:val="0"/>
                <w:sz w:val="24"/>
                <w:szCs w:val="24"/>
              </w:rPr>
              <w:t>96.53%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0" w:hRule="atLeast"/>
          <w:jc w:val="right"/>
        </w:trPr>
        <w:tc>
          <w:tcPr>
            <w:tcW w:w="3510" w:type="dxa"/>
            <w:vAlign w:val="center"/>
          </w:tcPr>
          <w:p>
            <w:pPr>
              <w:widowControl w:val="0"/>
              <w:autoSpaceDE w:val="0"/>
              <w:autoSpaceDN w:val="0"/>
              <w:adjustRightInd w:val="0"/>
              <w:spacing w:line="360" w:lineRule="auto"/>
              <w:jc w:val="center"/>
              <w:rPr>
                <w:rFonts w:cs="宋体" w:asciiTheme="minorEastAsia" w:hAnsiTheme="minorEastAsia"/>
                <w:kern w:val="0"/>
                <w:sz w:val="24"/>
                <w:szCs w:val="24"/>
              </w:rPr>
            </w:pPr>
            <w:r>
              <w:rPr>
                <w:rFonts w:hint="eastAsia" w:cs="宋体" w:asciiTheme="minorEastAsia" w:hAnsiTheme="minorEastAsia"/>
                <w:kern w:val="0"/>
                <w:sz w:val="24"/>
                <w:szCs w:val="24"/>
              </w:rPr>
              <w:t>投标细类单批次均价</w:t>
            </w:r>
          </w:p>
        </w:tc>
        <w:tc>
          <w:tcPr>
            <w:tcW w:w="5210" w:type="dxa"/>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lang w:eastAsia="zh-CN"/>
              </w:rPr>
              <w:t>￥</w:t>
            </w:r>
            <w:r>
              <w:rPr>
                <w:rFonts w:hint="eastAsia" w:asciiTheme="minorEastAsia" w:hAnsiTheme="minorEastAsia"/>
                <w:sz w:val="24"/>
                <w:szCs w:val="24"/>
              </w:rPr>
              <w:t>1097.62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right"/>
        </w:trPr>
        <w:tc>
          <w:tcPr>
            <w:tcW w:w="3510" w:type="dxa"/>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备注</w:t>
            </w:r>
          </w:p>
        </w:tc>
        <w:tc>
          <w:tcPr>
            <w:tcW w:w="5210" w:type="dxa"/>
            <w:vAlign w:val="center"/>
          </w:tcPr>
          <w:p>
            <w:pPr>
              <w:widowControl w:val="0"/>
              <w:autoSpaceDE w:val="0"/>
              <w:autoSpaceDN w:val="0"/>
              <w:adjustRightInd w:val="0"/>
              <w:jc w:val="center"/>
              <w:rPr>
                <w:rFonts w:cs="宋体" w:asciiTheme="minorEastAsia" w:hAnsiTheme="minorEastAsia"/>
                <w:kern w:val="0"/>
                <w:sz w:val="24"/>
                <w:szCs w:val="24"/>
              </w:rPr>
            </w:pPr>
            <w:r>
              <w:rPr>
                <w:rFonts w:hint="eastAsia" w:cs="宋体" w:asciiTheme="minorEastAsia" w:hAnsiTheme="minorEastAsia"/>
                <w:kern w:val="0"/>
                <w:sz w:val="24"/>
                <w:szCs w:val="24"/>
              </w:rPr>
              <w:t>河南省京测检测技术有限公司是中小企业</w:t>
            </w:r>
          </w:p>
        </w:tc>
      </w:tr>
    </w:tbl>
    <w:p>
      <w:pPr>
        <w:widowControl w:val="0"/>
        <w:autoSpaceDE w:val="0"/>
        <w:autoSpaceDN w:val="0"/>
        <w:adjustRightInd w:val="0"/>
        <w:rPr>
          <w:rFonts w:hint="eastAsia" w:ascii="宋体" w:eastAsia="宋体" w:cs="宋体"/>
          <w:kern w:val="0"/>
          <w:sz w:val="24"/>
          <w:szCs w:val="24"/>
        </w:rPr>
      </w:pPr>
    </w:p>
    <w:p>
      <w:pPr>
        <w:widowControl w:val="0"/>
        <w:autoSpaceDE w:val="0"/>
        <w:autoSpaceDN w:val="0"/>
        <w:adjustRightInd w:val="0"/>
        <w:rPr>
          <w:rFonts w:hint="eastAsia" w:ascii="宋体" w:eastAsia="宋体" w:cs="宋体"/>
          <w:kern w:val="0"/>
          <w:sz w:val="24"/>
          <w:szCs w:val="24"/>
        </w:rPr>
      </w:pPr>
    </w:p>
    <w:p>
      <w:pPr>
        <w:widowControl w:val="0"/>
        <w:autoSpaceDE w:val="0"/>
        <w:autoSpaceDN w:val="0"/>
        <w:adjustRightInd w:val="0"/>
        <w:spacing w:line="360" w:lineRule="auto"/>
        <w:jc w:val="right"/>
        <w:rPr>
          <w:rFonts w:ascii="宋体" w:eastAsia="宋体" w:cs="宋体"/>
          <w:kern w:val="0"/>
          <w:sz w:val="24"/>
          <w:szCs w:val="24"/>
        </w:rPr>
      </w:pPr>
      <w:r>
        <w:rPr>
          <w:rFonts w:hint="eastAsia" w:ascii="宋体" w:eastAsia="宋体" w:cs="宋体"/>
          <w:kern w:val="0"/>
          <w:sz w:val="24"/>
          <w:szCs w:val="24"/>
        </w:rPr>
        <w:t>投标人名称：河南省京测检测技术有限公司（公章）</w:t>
      </w:r>
    </w:p>
    <w:p>
      <w:pPr>
        <w:widowControl w:val="0"/>
        <w:autoSpaceDE w:val="0"/>
        <w:autoSpaceDN w:val="0"/>
        <w:adjustRightInd w:val="0"/>
        <w:spacing w:line="360" w:lineRule="auto"/>
        <w:jc w:val="right"/>
        <w:rPr>
          <w:rFonts w:ascii="宋体" w:eastAsia="宋体" w:cs="宋体"/>
          <w:kern w:val="0"/>
          <w:sz w:val="24"/>
          <w:szCs w:val="24"/>
        </w:rPr>
      </w:pPr>
      <w:r>
        <w:rPr>
          <w:rFonts w:hint="eastAsia" w:ascii="宋体" w:eastAsia="宋体" w:cs="宋体"/>
          <w:kern w:val="0"/>
          <w:sz w:val="24"/>
          <w:szCs w:val="24"/>
        </w:rPr>
        <w:t>投标人法定代表人（或授权代表）签字：李欲晓</w:t>
      </w:r>
    </w:p>
    <w:p>
      <w:pPr>
        <w:spacing w:line="360" w:lineRule="auto"/>
        <w:ind w:firstLine="420"/>
        <w:jc w:val="right"/>
        <w:rPr>
          <w:rFonts w:hint="eastAsia" w:ascii="宋体" w:eastAsia="宋体" w:cs="宋体"/>
          <w:kern w:val="0"/>
          <w:sz w:val="24"/>
          <w:szCs w:val="24"/>
        </w:rPr>
      </w:pPr>
      <w:r>
        <w:rPr>
          <w:rFonts w:hint="eastAsia" w:ascii="宋体" w:eastAsia="宋体" w:cs="宋体"/>
          <w:kern w:val="0"/>
          <w:sz w:val="24"/>
          <w:szCs w:val="24"/>
        </w:rPr>
        <w:t>日期：</w:t>
      </w:r>
      <w:r>
        <w:rPr>
          <w:rFonts w:ascii="宋体" w:hAnsi="宋体" w:eastAsia="宋体" w:cs="宋体"/>
          <w:kern w:val="0"/>
          <w:sz w:val="24"/>
          <w:szCs w:val="24"/>
        </w:rPr>
        <w:t xml:space="preserve">2019 </w:t>
      </w:r>
      <w:r>
        <w:rPr>
          <w:rFonts w:hint="eastAsia" w:ascii="宋体" w:eastAsia="宋体" w:cs="宋体"/>
          <w:kern w:val="0"/>
          <w:sz w:val="24"/>
          <w:szCs w:val="24"/>
        </w:rPr>
        <w:t>年</w:t>
      </w:r>
      <w:r>
        <w:rPr>
          <w:rFonts w:ascii="宋体" w:hAnsi="宋体" w:eastAsia="宋体" w:cs="宋体"/>
          <w:kern w:val="0"/>
          <w:sz w:val="24"/>
          <w:szCs w:val="24"/>
        </w:rPr>
        <w:t xml:space="preserve">05 </w:t>
      </w:r>
      <w:r>
        <w:rPr>
          <w:rFonts w:hint="eastAsia" w:ascii="宋体" w:eastAsia="宋体" w:cs="宋体"/>
          <w:kern w:val="0"/>
          <w:sz w:val="24"/>
          <w:szCs w:val="24"/>
        </w:rPr>
        <w:t>月</w:t>
      </w:r>
      <w:r>
        <w:rPr>
          <w:rFonts w:ascii="宋体" w:hAnsi="宋体" w:eastAsia="宋体" w:cs="宋体"/>
          <w:kern w:val="0"/>
          <w:sz w:val="24"/>
          <w:szCs w:val="24"/>
        </w:rPr>
        <w:t>0</w:t>
      </w:r>
      <w:r>
        <w:rPr>
          <w:rFonts w:hint="eastAsia" w:ascii="宋体" w:hAnsi="宋体" w:eastAsia="宋体" w:cs="宋体"/>
          <w:kern w:val="0"/>
          <w:sz w:val="24"/>
          <w:szCs w:val="24"/>
          <w:lang w:val="en-US" w:eastAsia="zh-CN"/>
        </w:rPr>
        <w:t>9</w:t>
      </w:r>
      <w:r>
        <w:rPr>
          <w:rFonts w:ascii="宋体" w:hAnsi="宋体" w:eastAsia="宋体" w:cs="宋体"/>
          <w:kern w:val="0"/>
          <w:sz w:val="24"/>
          <w:szCs w:val="24"/>
        </w:rPr>
        <w:t xml:space="preserve"> </w:t>
      </w:r>
      <w:r>
        <w:rPr>
          <w:rFonts w:hint="eastAsia" w:ascii="宋体" w:eastAsia="宋体" w:cs="宋体"/>
          <w:kern w:val="0"/>
          <w:sz w:val="24"/>
          <w:szCs w:val="24"/>
        </w:rPr>
        <w:t>日</w:t>
      </w:r>
    </w:p>
    <w:p>
      <w:pPr>
        <w:pStyle w:val="3"/>
        <w:keepNext w:val="0"/>
        <w:keepLines w:val="0"/>
        <w:pageBreakBefore/>
        <w:widowControl w:val="0"/>
        <w:kinsoku/>
        <w:wordWrap/>
        <w:overflowPunct/>
        <w:topLinePunct w:val="0"/>
        <w:autoSpaceDE/>
        <w:autoSpaceDN/>
        <w:bidi w:val="0"/>
        <w:adjustRightInd/>
        <w:snapToGrid/>
        <w:jc w:val="center"/>
        <w:textAlignment w:val="auto"/>
        <w:outlineLvl w:val="1"/>
        <w:rPr>
          <w:rFonts w:hint="eastAsia"/>
        </w:rPr>
      </w:pPr>
      <w:r>
        <w:rPr>
          <w:rFonts w:hint="eastAsia"/>
          <w:lang w:val="en-US" w:eastAsia="zh-CN"/>
        </w:rPr>
        <w:t>4.1</w:t>
      </w:r>
      <w:r>
        <w:rPr>
          <w:rFonts w:hint="eastAsia"/>
        </w:rPr>
        <w:t>报价分项明细表</w:t>
      </w:r>
    </w:p>
    <w:p>
      <w:pPr>
        <w:bidi w:val="0"/>
        <w:rPr>
          <w:rFonts w:hint="eastAsia"/>
        </w:rPr>
      </w:pPr>
    </w:p>
    <w:tbl>
      <w:tblPr>
        <w:tblW w:w="9427" w:type="dxa"/>
        <w:tblInd w:w="-498" w:type="dxa"/>
        <w:shd w:val="clear"/>
        <w:tblLayout w:type="fixed"/>
        <w:tblCellMar>
          <w:top w:w="0" w:type="dxa"/>
          <w:left w:w="0" w:type="dxa"/>
          <w:bottom w:w="0" w:type="dxa"/>
          <w:right w:w="0" w:type="dxa"/>
        </w:tblCellMar>
      </w:tblPr>
      <w:tblGrid>
        <w:gridCol w:w="484"/>
        <w:gridCol w:w="543"/>
        <w:gridCol w:w="623"/>
        <w:gridCol w:w="646"/>
        <w:gridCol w:w="1015"/>
        <w:gridCol w:w="3231"/>
        <w:gridCol w:w="796"/>
        <w:gridCol w:w="716"/>
        <w:gridCol w:w="753"/>
        <w:gridCol w:w="620"/>
      </w:tblGrid>
      <w:tr>
        <w:tblPrEx>
          <w:shd w:val="clear"/>
          <w:tblLayout w:type="fixed"/>
          <w:tblCellMar>
            <w:top w:w="0" w:type="dxa"/>
            <w:left w:w="0" w:type="dxa"/>
            <w:bottom w:w="0" w:type="dxa"/>
            <w:right w:w="0" w:type="dxa"/>
          </w:tblCellMar>
        </w:tblPrEx>
        <w:trPr>
          <w:trHeight w:val="477" w:hRule="atLeast"/>
        </w:trPr>
        <w:tc>
          <w:tcPr>
            <w:tcW w:w="9427" w:type="dxa"/>
            <w:gridSpan w:val="10"/>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bdr w:val="none" w:color="auto" w:sz="0" w:space="0"/>
                <w:lang w:val="en-US" w:eastAsia="zh-CN" w:bidi="ar"/>
              </w:rPr>
              <w:t>大宗食品检验检测机构协议供货检测品种、项目及报价表</w:t>
            </w:r>
          </w:p>
        </w:tc>
      </w:tr>
      <w:tr>
        <w:tblPrEx>
          <w:tblLayout w:type="fixed"/>
          <w:tblCellMar>
            <w:top w:w="0" w:type="dxa"/>
            <w:left w:w="0" w:type="dxa"/>
            <w:bottom w:w="0" w:type="dxa"/>
            <w:right w:w="0" w:type="dxa"/>
          </w:tblCellMar>
        </w:tblPrEx>
        <w:trPr>
          <w:trHeight w:val="285" w:hRule="atLeast"/>
        </w:trPr>
        <w:tc>
          <w:tcPr>
            <w:tcW w:w="484" w:type="dxa"/>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序号</w:t>
            </w:r>
          </w:p>
        </w:tc>
        <w:tc>
          <w:tcPr>
            <w:tcW w:w="543"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食品大类</w:t>
            </w:r>
          </w:p>
        </w:tc>
        <w:tc>
          <w:tcPr>
            <w:tcW w:w="623" w:type="dxa"/>
            <w:tcBorders>
              <w:top w:val="nil"/>
              <w:left w:val="nil"/>
              <w:bottom w:val="nil"/>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食品亚类</w:t>
            </w:r>
          </w:p>
        </w:tc>
        <w:tc>
          <w:tcPr>
            <w:tcW w:w="646" w:type="dxa"/>
            <w:tcBorders>
              <w:top w:val="nil"/>
              <w:left w:val="nil"/>
              <w:bottom w:val="nil"/>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食品品种</w:t>
            </w:r>
          </w:p>
        </w:tc>
        <w:tc>
          <w:tcPr>
            <w:tcW w:w="101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食品细类</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抽检项目</w:t>
            </w:r>
          </w:p>
        </w:tc>
        <w:tc>
          <w:tcPr>
            <w:tcW w:w="796" w:type="dxa"/>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单项目检测费(元)</w:t>
            </w:r>
          </w:p>
        </w:tc>
        <w:tc>
          <w:tcPr>
            <w:tcW w:w="716" w:type="dxa"/>
            <w:tcBorders>
              <w:top w:val="nil"/>
              <w:left w:val="nil"/>
              <w:bottom w:val="nil"/>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单批次检测费(元)</w:t>
            </w:r>
          </w:p>
        </w:tc>
        <w:tc>
          <w:tcPr>
            <w:tcW w:w="753" w:type="dxa"/>
            <w:tcBorders>
              <w:top w:val="nil"/>
              <w:left w:val="nil"/>
              <w:bottom w:val="nil"/>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单批次采样费(元)</w:t>
            </w:r>
          </w:p>
        </w:tc>
        <w:tc>
          <w:tcPr>
            <w:tcW w:w="620" w:type="dxa"/>
            <w:tcBorders>
              <w:top w:val="nil"/>
              <w:left w:val="nil"/>
              <w:bottom w:val="nil"/>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单批次总报价</w:t>
            </w:r>
          </w:p>
        </w:tc>
      </w:tr>
      <w:tr>
        <w:tblPrEx>
          <w:tblLayout w:type="fixed"/>
          <w:tblCellMar>
            <w:top w:w="0" w:type="dxa"/>
            <w:left w:w="0" w:type="dxa"/>
            <w:bottom w:w="0" w:type="dxa"/>
            <w:right w:w="0" w:type="dxa"/>
          </w:tblCellMar>
        </w:tblPrEx>
        <w:trPr>
          <w:trHeight w:val="360" w:hRule="atLeast"/>
        </w:trPr>
        <w:tc>
          <w:tcPr>
            <w:tcW w:w="484"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54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粮食加工品</w:t>
            </w: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大米</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大米</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大米</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总汞（以Hg计）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484</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504</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无机砷（以As计）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铬（以Cr计）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镉（以Cd计）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黄曲霉毒素B1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小麦粉</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小麦粉</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通用小麦粉</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998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1018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镉（以Cd计）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玉米赤霉烯酮</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脱氧雪腐镰刀菌烯醇</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赭曲霉毒素A</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黄曲霉毒素B1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苯并[a]芘</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过氧化苯甲酰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滑石粉</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二氧化钛</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挂面</w:t>
            </w:r>
          </w:p>
        </w:tc>
        <w:tc>
          <w:tcPr>
            <w:tcW w:w="64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挂面</w:t>
            </w:r>
          </w:p>
        </w:tc>
        <w:tc>
          <w:tcPr>
            <w:tcW w:w="101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普通挂面、手工面</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53"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93</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其他粮食加工品</w:t>
            </w:r>
          </w:p>
        </w:tc>
        <w:tc>
          <w:tcPr>
            <w:tcW w:w="646" w:type="dxa"/>
            <w:vMerge w:val="restart"/>
            <w:tcBorders>
              <w:top w:val="nil"/>
              <w:left w:val="nil"/>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bdr w:val="none" w:color="auto" w:sz="0" w:space="0"/>
                <w:lang w:val="en-US" w:eastAsia="zh-CN" w:bidi="ar"/>
              </w:rPr>
            </w:pPr>
            <w:r>
              <w:rPr>
                <w:rFonts w:hint="eastAsia" w:ascii="宋体" w:hAnsi="宋体" w:eastAsia="宋体" w:cs="宋体"/>
                <w:i w:val="0"/>
                <w:color w:val="000000"/>
                <w:kern w:val="0"/>
                <w:sz w:val="20"/>
                <w:szCs w:val="20"/>
                <w:u w:val="none"/>
                <w:bdr w:val="none" w:color="auto" w:sz="0" w:space="0"/>
                <w:lang w:val="en-US" w:eastAsia="zh-CN" w:bidi="ar"/>
              </w:rPr>
              <w:t>谷物加工</w:t>
            </w:r>
          </w:p>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谷物加工品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248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268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left w:val="nil"/>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镉（以Cd计）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left w:val="nil"/>
              <w:bottom w:val="single" w:color="000000" w:sz="8" w:space="0"/>
              <w:right w:val="single" w:color="000000" w:sz="8" w:space="0"/>
            </w:tcBorders>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黄曲霉毒素B1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谷物碾磨加工品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玉米粉、玉米片、玉米渣</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768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788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铬（以Cr计）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镉（以Cd计）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黄曲霉毒素B1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脱氧雪腐镰刀菌烯醇</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赭曲霉毒素A</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玉米赤霉烯酮</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米粉</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261</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281</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铬（以Cr计）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其他谷物碾磨加工品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413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433</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铬（以Cr计）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赭曲霉毒素A</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谷物粉类制成品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生湿面制品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508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528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发酵面制品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918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938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米粉制品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975</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995</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其他谷物粉类制成品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905</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925</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黄曲霉毒素B1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w:t>
            </w:r>
          </w:p>
        </w:tc>
        <w:tc>
          <w:tcPr>
            <w:tcW w:w="54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食用油、油脂及其制品</w:t>
            </w: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食用植物油(含煎炸用油)</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食用植物油(半精炼</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花生油</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酸值/酸价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988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过氧化值</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黄曲霉毒素B1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苯并[a]芘</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溶剂残留量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丁基羟基茴香醚（BHA）</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二丁基羟基甲苯（BHT）</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特丁基对苯二酚（TBHQ）</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玉米油</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酸值/酸价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988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过氧化值</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黄曲霉毒素B1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苯并[a]芘</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溶剂残留量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丁基羟基茴香醚（BHA）</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二丁基羟基甲苯（BHT）</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特丁基对苯二酚（TBHQ）</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芝麻油</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酸值/酸价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988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过氧化值</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黄曲霉毒素B1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苯并[a]芘</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溶剂残留量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丁基羟基茴香醚（BHA）</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二丁基羟基甲苯（BHT）</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特丁基对苯二酚（TBHQ）</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橄榄油、油橄榄果渣油</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酸值/酸价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988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过氧化值</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黄曲霉毒素B1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苯并[a]芘</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溶剂残留量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丁基羟基茴香醚（BHA）</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二丁基羟基甲苯（BHT）</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特丁基对苯二酚（TBHQ）</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菜籽油</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酸值/酸价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988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过氧化值</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黄曲霉毒素B1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苯并[a]芘</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溶剂残留量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丁基羟基茴香醚（BHA）</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二丁基羟基甲苯（BHT）</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特丁基对苯二酚（TBHQ）</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大豆油</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酸值/酸价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988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过氧化值</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黄曲霉毒素B1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苯并[a]芘</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溶剂残留量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丁基羟基茴香醚（BHA）</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二丁基羟基甲苯（BHT）</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特丁基对苯二酚（TBHQ）</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食用植物调和油</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酸值/酸价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988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1038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过氧化值</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黄曲霉毒素B1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苯并[a]芘</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溶剂残留量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丁基羟基茴香醚（BHA）</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二丁基羟基甲苯（BHT）</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特丁基对苯二酚（TBHQ）</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其他食用植物油(半精炼、全精炼)</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酸值/酸价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1063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1113</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过氧化值</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黄曲霉毒素B1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苯并[a]芘</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溶剂残留量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游离棉酚</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丁基羟基茴香醚（BHA）</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二丁基羟基甲苯（BHT）</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特丁基对苯二酚（TBHQ）</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煎炸过程用油(餐饮环节)</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煎炸过程用油</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酸价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310</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320</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极性组分</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游离棉酚</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食用动物油脂</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食用动物油脂</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食用动物油脂</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酸价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886</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896</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过氧化值</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丙二醛</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苯并[a]芘</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丁基羟基茴香醚（BHA）</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二丁基羟基甲苯（BHT）</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特丁基对苯二酚（TBHQ）</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食用油脂制品</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食用油脂制品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食用油脂制品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酸价（以脂肪计）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1046</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1056</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过氧化值（以脂肪计）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镍（以Ni计）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苯并 [a]芘</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丁基羟基茴香醚（BHA）（以油脂中的含量计）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二丁基羟基甲苯（BHT）（以油脂中的含量计）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特丁基对苯二酚（TBHQ）（以油脂中的含量计）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霉菌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54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调味品</w:t>
            </w: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酱油</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酱油</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酿造酱油、配制酱油</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氨基酸态氮</w:t>
            </w:r>
          </w:p>
        </w:tc>
        <w:tc>
          <w:tcPr>
            <w:tcW w:w="796" w:type="dxa"/>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1658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1668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铵盐（以占氨基酸态氮的百分比计）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黄曲霉毒素B1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60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3-氯-1,2-丙二醇</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60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对羟基苯甲酸酯类及其钠盐（以对羟基苯甲酸计）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防腐剂混合使用时各自用量占其最大使用量的比例之和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食醋</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食醋</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酿造食醋、配制食醋</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总酸（以乙酸计）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1571</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1581</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游离矿酸</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黄曲霉毒素B1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85"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85"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0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60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对羟基苯甲酸酯类及其钠盐（以对羟基苯甲酸计）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防腐剂混合使用时各自用量占其最大使用量的比例之和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阿斯巴甜</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酱类</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酱类</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黄豆酱、甜面酱等</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氨基酸态氮</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1281</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1291</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黄曲霉毒素B1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防腐剂混合使用时各自用量占其最大使用量的比例之和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调味料酒</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调味料酒</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料酒</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918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928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防腐剂混合使用时各自用量占其最大使用量的比例之和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甜蜜素（以环己基氨基磺酸计）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香辛料类</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香辛料类</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香辛料调味油</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593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603</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罗丹明B</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苏丹红I-IV</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丁基羟基茴香醚（BHA）</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二丁基羟基甲苯（BHT）</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Style w:val="25"/>
                <w:bdr w:val="none" w:color="auto" w:sz="0" w:space="0"/>
                <w:lang w:val="en-US" w:eastAsia="zh-CN" w:bidi="ar"/>
              </w:rPr>
              <w:t>特丁基对苯二酚（</w:t>
            </w:r>
            <w:r>
              <w:rPr>
                <w:rStyle w:val="24"/>
                <w:bdr w:val="none" w:color="auto" w:sz="0" w:space="0"/>
                <w:lang w:val="en-US" w:eastAsia="zh-CN" w:bidi="ar"/>
              </w:rPr>
              <w:t>TBHQ</w:t>
            </w:r>
            <w:r>
              <w:rPr>
                <w:rStyle w:val="25"/>
                <w:bdr w:val="none" w:color="auto" w:sz="0" w:space="0"/>
                <w:lang w:val="en-US" w:eastAsia="zh-CN" w:bidi="ar"/>
              </w:rPr>
              <w:t>）</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辣椒、花椒</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963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973</w:t>
            </w:r>
          </w:p>
        </w:tc>
      </w:tr>
      <w:tr>
        <w:tblPrEx>
          <w:tblLayout w:type="fixed"/>
          <w:tblCellMar>
            <w:top w:w="0" w:type="dxa"/>
            <w:left w:w="0" w:type="dxa"/>
            <w:bottom w:w="0" w:type="dxa"/>
            <w:right w:w="0" w:type="dxa"/>
          </w:tblCellMar>
        </w:tblPrEx>
        <w:trPr>
          <w:trHeight w:val="60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戊唑醇</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马拉硫磷</w:t>
            </w:r>
          </w:p>
        </w:tc>
        <w:tc>
          <w:tcPr>
            <w:tcW w:w="796" w:type="dxa"/>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罗丹明B</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苏丹红I-IV</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香辛料酱</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463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473</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其他香辛料调味品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560</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570</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苏丹红I-IV</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调味料</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固体复合调味料</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鸡粉、鸡精调味料</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谷氨酸钠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792</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802</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呈味核苷酸二钠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甜蜜素（以环己基氨基磺酸计）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阿斯巴甜</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其他固体调味料</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1266</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1276</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苏丹红I-IV</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85"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85"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防腐剂混合使用时各自用量占其最大使用量的比例之和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甜蜜素（以环己基氨基磺酸计）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阿斯巴甜</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w:t>
            </w:r>
          </w:p>
        </w:tc>
        <w:tc>
          <w:tcPr>
            <w:tcW w:w="54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调味品</w:t>
            </w: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调味料</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半固体复合调味料</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蛋黄酱、沙拉酱</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1035</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1045</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防腐剂混合使用时各自用量占其最大使用量的比例之和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纳他霉素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坚果与籽类的泥</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786</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796</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黄曲霉毒素B1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防腐剂混合使用时各自用量占其最大使用量的比例之和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辣椒酱</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1611</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1621</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苏丹红I-IV</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85"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85"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防腐剂混合使用时各自用量占其最大使用量的比例之和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甜蜜素（以环己基氨基磺酸计）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阿斯巴甜</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火锅底料、麻辣烫底料及蘸料</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1381</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1391</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苏丹红I-IV</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85"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85"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防腐剂混合使用时各自用量占其最大使用量的比例之和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副溶血性弧菌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其他半固体调味料</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1701</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1711</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苏丹红I-IV</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85"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85"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防腐剂混合使用时各自用量占其最大使用量的比例之和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甜蜜素（以环己基氨基磺酸计）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阿斯巴甜</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副溶血性弧菌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液体复合调味料</w:t>
            </w:r>
          </w:p>
        </w:tc>
        <w:tc>
          <w:tcPr>
            <w:tcW w:w="1015" w:type="dxa"/>
            <w:tcBorders>
              <w:top w:val="nil"/>
              <w:left w:val="nil"/>
              <w:bottom w:val="nil"/>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蚝油、虾油</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1171</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1181</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tcBorders>
              <w:top w:val="nil"/>
              <w:left w:val="nil"/>
              <w:bottom w:val="nil"/>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、鱼露</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镉（以Cd计）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tcBorders>
              <w:top w:val="nil"/>
              <w:left w:val="nil"/>
              <w:bottom w:val="nil"/>
              <w:right w:val="single" w:color="000000" w:sz="8" w:space="0"/>
            </w:tcBorders>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tcBorders>
              <w:top w:val="nil"/>
              <w:left w:val="nil"/>
              <w:bottom w:val="nil"/>
              <w:right w:val="single" w:color="000000" w:sz="8" w:space="0"/>
            </w:tcBorders>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tcBorders>
              <w:top w:val="nil"/>
              <w:left w:val="nil"/>
              <w:bottom w:val="nil"/>
              <w:right w:val="single" w:color="000000" w:sz="8" w:space="0"/>
            </w:tcBorders>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tcBorders>
              <w:top w:val="nil"/>
              <w:left w:val="nil"/>
              <w:bottom w:val="nil"/>
              <w:right w:val="single" w:color="000000" w:sz="8" w:space="0"/>
            </w:tcBorders>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防腐剂混合使用时各自用量占其最大使用量的比例之和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tcBorders>
              <w:top w:val="nil"/>
              <w:left w:val="nil"/>
              <w:bottom w:val="nil"/>
              <w:right w:val="single" w:color="000000" w:sz="8" w:space="0"/>
            </w:tcBorders>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tcBorders>
              <w:top w:val="nil"/>
              <w:left w:val="nil"/>
              <w:bottom w:val="nil"/>
              <w:right w:val="single" w:color="000000" w:sz="8" w:space="0"/>
            </w:tcBorders>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tcBorders>
              <w:top w:val="nil"/>
              <w:left w:val="nil"/>
              <w:bottom w:val="nil"/>
              <w:right w:val="single" w:color="000000" w:sz="8" w:space="0"/>
            </w:tcBorders>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tcBorders>
              <w:top w:val="nil"/>
              <w:left w:val="nil"/>
              <w:bottom w:val="nil"/>
              <w:right w:val="single" w:color="000000" w:sz="8" w:space="0"/>
            </w:tcBorders>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tcBorders>
              <w:top w:val="nil"/>
              <w:left w:val="nil"/>
              <w:bottom w:val="single" w:color="000000" w:sz="8" w:space="0"/>
              <w:right w:val="single" w:color="000000" w:sz="8" w:space="0"/>
            </w:tcBorders>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副溶血性弧菌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其他液体调味料</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1696</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1706</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镉（以Cd计）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85"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85"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防腐剂混合使用时各自用量占其最大使用量的比例之和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甜蜜素（以环己基氨基磺酸计）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阿斯巴甜</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副溶血性弧菌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味精</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味精</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味精</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谷氨酸钠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236</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246</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w:t>
            </w:r>
          </w:p>
        </w:tc>
        <w:tc>
          <w:tcPr>
            <w:tcW w:w="54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肉制品</w:t>
            </w: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预制肉制品</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调理肉制品</w:t>
            </w:r>
          </w:p>
        </w:tc>
        <w:tc>
          <w:tcPr>
            <w:tcW w:w="1015" w:type="dxa"/>
            <w:tcBorders>
              <w:top w:val="nil"/>
              <w:left w:val="nil"/>
              <w:bottom w:val="nil"/>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调理肉制品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220</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230</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（非速冻）</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腌腊肉制品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腌腊肉制品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三甲胺氮</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1387</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1397</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过氧化值（以脂肪计）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铬（以Cr计）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N-二甲基亚硝胺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亚硝酸盐（以亚硝酸钠计）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防腐剂混合使用时各自用量占其最大使用量的比例之和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胭脂红</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熟肉制品</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发酵肉制品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发酵肉制品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1351</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1361</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镉（以Cd计）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铬（以Cr计）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亚硝酸盐（以亚硝酸钠计）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防腐剂混合使用时各自用量占其最大使用量的比例之和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胭脂红</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单核细胞增生李斯特氏菌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大肠埃希氏菌O157:H7</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酱卤肉制品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酱卤肉制品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2029</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2039</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镉（以Cd计）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铬（以Cr计）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酸性橙Ⅱ</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亚硝酸盐（以亚硝酸钠计）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防腐剂混合使用时各自用量占其最大使用量的比例之和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胭脂红</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单核细胞增生李斯特氏菌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大肠埃希氏菌O157:H7</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商业无菌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熟肉干制品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熟肉干制品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1530</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1540</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镉（以Cd计）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铬（以Cr计）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防腐剂混合使用时各自用量占其最大使用量的比例之和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单核细胞增生李斯特氏菌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大肠埃希氏菌O157:H7</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熏烧烤肉制品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熏烧烤肉制品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苯并[a]芘</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806</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816</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N-二甲基亚硝胺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亚硝酸盐（以亚硝酸钠计）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单核细胞增生李斯特氏菌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大肠埃希氏菌O157:H7</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熏煮香肠火腿制品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熏煮香肠火腿制品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1660</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1670</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镉（以Cd计）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铬（以Cr计）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亚硝酸盐（以亚硝酸钠计）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防腐剂混合使用时各自用量占其最大使用量的比例之和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单核细胞增生李斯特氏菌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大肠埃希氏菌O157:H7</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54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乳制品</w:t>
            </w: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乳制品</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液体乳</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巴氏杀菌乳</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蛋白质</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1075</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1085</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酸度</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铬(以Cr计)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黄曲霉毒素M1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地塞米松</w:t>
            </w:r>
          </w:p>
        </w:tc>
        <w:tc>
          <w:tcPr>
            <w:tcW w:w="796" w:type="dxa"/>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三聚氰胺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灭菌乳</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脂肪</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105</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1005</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1015</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蛋白质</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非脂乳固体</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酸度</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铬(以Cr计)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黄曲霉毒素M1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地塞米松</w:t>
            </w:r>
          </w:p>
        </w:tc>
        <w:tc>
          <w:tcPr>
            <w:tcW w:w="796" w:type="dxa"/>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三聚氰胺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商业无菌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发酵乳</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脂肪</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105</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1500</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1510</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蛋白质</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非脂乳固体</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酸度</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乳酸菌数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铬(以Cr计)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黄曲霉毒素M1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三聚氰胺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酵母</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霉菌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调制乳</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脂肪</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105</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1095</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1105</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蛋白质</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铬(以Cr计)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黄曲霉毒素M1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三聚氰胺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商业无菌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乳清粉和乳清蛋白粉（企业原料）</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脱盐乳清粉</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蛋白质</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715</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725</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水分</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黄曲霉毒素M1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三聚氰胺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乳粉</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全脂乳粉、脱脂乳粉、部分脱脂乳粉、调制乳</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脂肪</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105</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1203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1213</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蛋白质</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水分</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铬(以Cr计)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黄曲霉毒素M1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亚硝酸盐(以NaNO2计)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三聚氰胺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其他乳制品(炼乳、奶油、干酪、固态成型产品)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淡炼乳、加糖炼乳和调制炼乳</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酸度</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1270</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1280</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脂肪</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水分</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蛋白质</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乳固体</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黄曲霉毒素M1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三聚氰胺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商业无菌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干酪(奶酪)</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920</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930</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黄曲霉毒素M1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三聚氰胺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单核细胞增生李斯特氏菌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酵母</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霉菌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再制干酪</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脂肪（干物中）</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105</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1175</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1185</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干物质含量</w:t>
            </w:r>
          </w:p>
        </w:tc>
        <w:tc>
          <w:tcPr>
            <w:tcW w:w="796" w:type="dxa"/>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黄曲霉毒素M1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三聚氰胺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单核细胞增生李斯特氏菌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酵母</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霉菌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奶片、奶条等</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275</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285</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黄曲霉毒素M1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三聚氰胺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稀奶油、奶油和无水奶油</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水分</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55</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1218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1228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脂肪</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酸度</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非脂乳固体</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三聚氰胺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商业无菌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霉菌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w:t>
            </w:r>
          </w:p>
        </w:tc>
        <w:tc>
          <w:tcPr>
            <w:tcW w:w="54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饮料</w:t>
            </w: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饮料</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包装饮用水</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饮用天然矿泉水</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界限指标</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995</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1005</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镍（以Ni计）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溴酸盐</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硝酸盐(以NO3 -计)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亚硝酸盐(以NO2 -计)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粪链球菌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产气荚膜梭菌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铜绿假单胞菌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饮用纯净水</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耗氧量(以O2计)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720</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730</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亚硝酸盐(以NO2 -计)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余氯(游离氯)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三氯甲烷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溴酸盐</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铜绿假单胞菌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其他饮用水</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浑浊度</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888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898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耗氧量(以O2计)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亚硝酸盐(以NO2 -计)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余氯(游离氯)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三氯甲烷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溴酸盐</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 xml:space="preserve">挥发性酚(以苯酚计)                        </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铜绿假单胞菌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果、蔬汁饮料</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果、蔬汁饮料</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1875</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1885</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展青霉素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纳他霉素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防腐剂混合使用时各自用量占其最大使用量的比例之和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 (以糖精计)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安赛蜜</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甜蜜素(以环己基氨基磺酸计)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85"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合成着色剂（赤藓红、酸性红、苋菜红、新红</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85"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、胭脂红、柠檬黄、日落黄、亮蓝）</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霉菌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酵母</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60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蛋白饮料</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蛋白饮料</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棕榈烯酸/总脂肪酸</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105</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1840</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1850</w:t>
            </w:r>
          </w:p>
        </w:tc>
      </w:tr>
      <w:tr>
        <w:tblPrEx>
          <w:tblLayout w:type="fixed"/>
          <w:tblCellMar>
            <w:top w:w="0" w:type="dxa"/>
            <w:left w:w="0" w:type="dxa"/>
            <w:bottom w:w="0" w:type="dxa"/>
            <w:right w:w="0" w:type="dxa"/>
          </w:tblCellMar>
        </w:tblPrEx>
        <w:trPr>
          <w:trHeight w:val="60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亚麻酸/总脂肪酸</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60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花生酸/总脂肪酸</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60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山嵛酸/总脂肪酸</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60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油酸/总脂肪酸</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60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亚油酸/总脂肪酸</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60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(花生酸+山嵛酸)/总脂肪酸</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蛋白质</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三聚氰胺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甜蜜素(以环己基氨基磺酸计)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霉菌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酵母</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碳酸饮料 (汽水)</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碳酸饮料 (汽水)</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二氧化碳气容量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1015</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1025</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防腐剂混合使用时各自用量占其最大使用量的比例之和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甜蜜素(以环己基氨基磺酸计)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霉菌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酵母</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茶饮料</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茶饮料</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茶多酚</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758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768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咖啡因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甜蜜素(以环己基氨基磺酸计)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商业无菌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固体饮料</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固体饮料</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蛋白质</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1655</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1665</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赭曲霉毒素A</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防腐剂混合使用时各自用量占其最大使用量的比例之和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安赛蜜</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甜蜜素(以环己基氨基磺酸计)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合成着色剂（苋菜红、胭脂红、柠檬黄、日落黄、亮蓝）</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霉菌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其他饮料</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其他饮料</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1340</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1350</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防腐剂混合使用时各自用量占其最大使用量的比例之和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安赛蜜</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甜蜜素(以环己基氨基磺酸计)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合成着色剂（赤藓红、苋菜红、新红、胭脂红、柠檬黄、日落黄、亮蓝）</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霉菌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酵母</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w:t>
            </w:r>
          </w:p>
        </w:tc>
        <w:tc>
          <w:tcPr>
            <w:tcW w:w="54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方便食品</w:t>
            </w: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方便食品</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方便面</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油炸面、非油炸面、方便米粉（米线）、方便</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水分</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55</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760</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770</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酸价（以脂肪计）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过氧化值（以脂肪计）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调味面制品a</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调味面制品a</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酸价（以脂肪计）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1380</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1395</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过氧化值（以脂肪计）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富马酸二甲酯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霉菌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其他方便食品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方便粥、方便盒饭、冷面及其他熟制方便食品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酸价（以脂肪计）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1465</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1475</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过氧化值（以脂肪计）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黄曲霉毒素B1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霉菌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商业无菌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w:t>
            </w:r>
          </w:p>
        </w:tc>
        <w:tc>
          <w:tcPr>
            <w:tcW w:w="54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饼干</w:t>
            </w: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饼干</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饼干</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饼干</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酸价（以脂肪计）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1494</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1504</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过氧化值（以脂肪计）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铝的残留量（干样品，以Al计）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霉菌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w:t>
            </w:r>
          </w:p>
        </w:tc>
        <w:tc>
          <w:tcPr>
            <w:tcW w:w="54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罐头</w:t>
            </w: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罐头</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畜禽水产罐头</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畜禽肉类罐头</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1133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1153</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镉（以Cd计）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铬（以Cr计）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亚硝酸盐（以亚硝酸钠计）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防腐剂混合使用时各自用量占其最大使用量的比例之和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商业无菌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水产动物类罐头</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组胺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1041</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25</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1066</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无机砷（以As计）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镉（以Cd计）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甲基汞（以Hg计）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商业无菌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果蔬罐头</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水果类罐头</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锡（以Sn计）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95</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1370</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1390</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展青霉素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合成着色剂（柠檬黄、日落黄、苋菜红、胭脂红、赤藓红、诱惑红、亮蓝、靛蓝）</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甜蜜素（以环己基氨基磺酸计）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阿斯巴甜</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商业无菌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蔬菜类罐头</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986</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1006</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阿斯巴甜</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乙二胺四乙酸二钠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霉菌计数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商业无菌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食用菌罐头</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1236</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1256</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镉（以Cd计）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总汞（以Hg计）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乙二胺四乙酸二钠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商业无菌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其他罐头</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其他罐头</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1238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1258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黄曲霉毒素B1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85"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85"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阿斯巴甜</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乙二胺四乙酸二钠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商业无菌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54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冷冻饮品</w:t>
            </w: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冷冻饮品</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冷冻饮品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冰淇淋、雪糕、雪泥、冰棍、食用冰、甜味冰</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蛋白质</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770</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780</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甜蜜素（以环己基氨基磺酸计）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85" w:hRule="atLeast"/>
        </w:trPr>
        <w:tc>
          <w:tcPr>
            <w:tcW w:w="484"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w:t>
            </w:r>
          </w:p>
        </w:tc>
        <w:tc>
          <w:tcPr>
            <w:tcW w:w="54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速冻食品</w:t>
            </w: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速冻面米食品</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速冻面米食品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水饺、元宵</w:t>
            </w:r>
          </w:p>
        </w:tc>
        <w:tc>
          <w:tcPr>
            <w:tcW w:w="3231" w:type="dxa"/>
            <w:vMerge w:val="restart"/>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过氧化值（以脂肪计）</w:t>
            </w:r>
          </w:p>
        </w:tc>
        <w:tc>
          <w:tcPr>
            <w:tcW w:w="796"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320</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340</w:t>
            </w:r>
          </w:p>
        </w:tc>
      </w:tr>
      <w:tr>
        <w:tblPrEx>
          <w:tblLayout w:type="fixed"/>
          <w:tblCellMar>
            <w:top w:w="0" w:type="dxa"/>
            <w:left w:w="0" w:type="dxa"/>
            <w:bottom w:w="0" w:type="dxa"/>
            <w:right w:w="0" w:type="dxa"/>
          </w:tblCellMar>
        </w:tblPrEx>
        <w:trPr>
          <w:trHeight w:val="285"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vMerge w:val="continue"/>
            <w:tcBorders>
              <w:top w:val="nil"/>
              <w:left w:val="nil"/>
              <w:bottom w:val="single" w:color="000000" w:sz="8" w:space="0"/>
              <w:right w:val="nil"/>
            </w:tcBorders>
            <w:shd w:val="clear"/>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796"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包子、馒头等熟制品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495</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515</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速冻其他食品</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速冻谷物食品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玉米等</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548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568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黄曲霉毒素B1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速冻肉制品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速冻调理肉制品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过氧化值（以脂肪计）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641</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661</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镉（以Cd计）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铬（以Cr计）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胭脂红</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速冻水产制品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速冻水产制品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过氧化值（以脂肪计）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508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538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N-二甲基亚硝胺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速冻蔬菜制品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速冻蔬菜制品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Style w:val="25"/>
                <w:bdr w:val="none" w:color="auto" w:sz="0" w:space="0"/>
                <w:lang w:val="en-US" w:eastAsia="zh-CN" w:bidi="ar"/>
              </w:rPr>
              <w:t>铅（以</w:t>
            </w:r>
            <w:r>
              <w:rPr>
                <w:rStyle w:val="24"/>
                <w:bdr w:val="none" w:color="auto" w:sz="0" w:space="0"/>
                <w:lang w:val="en-US" w:eastAsia="zh-CN" w:bidi="ar"/>
              </w:rPr>
              <w:t>Pb</w:t>
            </w:r>
            <w:r>
              <w:rPr>
                <w:rStyle w:val="25"/>
                <w:bdr w:val="none" w:color="auto" w:sz="0" w:space="0"/>
                <w:lang w:val="en-US" w:eastAsia="zh-CN" w:bidi="ar"/>
              </w:rPr>
              <w:t>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550</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580</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速冻水果制品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速冻水果制品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635</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665</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阿斯巴甜</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Style w:val="25"/>
                <w:bdr w:val="none" w:color="auto" w:sz="0" w:space="0"/>
                <w:lang w:val="en-US" w:eastAsia="zh-CN" w:bidi="ar"/>
              </w:rPr>
              <w:t>大肠埃希氏菌</w:t>
            </w:r>
            <w:r>
              <w:rPr>
                <w:rStyle w:val="24"/>
                <w:bdr w:val="none" w:color="auto" w:sz="0" w:space="0"/>
                <w:lang w:val="en-US" w:eastAsia="zh-CN" w:bidi="ar"/>
              </w:rPr>
              <w:t xml:space="preserve"> O157:H7</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w:t>
            </w:r>
          </w:p>
        </w:tc>
        <w:tc>
          <w:tcPr>
            <w:tcW w:w="54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薯类和膨化食品</w:t>
            </w: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薯类和膨化食品</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膨化食品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含油型膨化食品和非含油型膨化食</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水分</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55</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1325</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1355</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酸价（以脂肪计）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过氧化值（以脂肪计）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黄曲霉毒素B1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薯类食品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干制薯类</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酸价（以脂肪计）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671</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701</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过氧化值（以脂肪计）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干制薯类</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418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448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冷冻薯类</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348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378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薯泥（酱）类</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693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723</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商业无菌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薯粉类</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418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438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w:t>
            </w:r>
          </w:p>
        </w:tc>
        <w:tc>
          <w:tcPr>
            <w:tcW w:w="54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薯类和膨化食品</w:t>
            </w: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薯类和膨化食品</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薯类食品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其他类</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323</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w:t>
            </w:r>
          </w:p>
        </w:tc>
        <w:tc>
          <w:tcPr>
            <w:tcW w:w="54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糖果制品</w:t>
            </w: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糖果制品 (含巧克力及制 品)</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糖果</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糖果</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596</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616</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nil"/>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合成着色剂(柠檬黄、苋菜红、胭脂红、日落黄）</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相同色泽着色剂混合使用时各自用量占其最大使用量的比例之和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巧克力及巧克力制品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巧克力、巧克力制品、代可可脂巧克力及代可可脂巧克力制品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418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438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果冻</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果冻</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948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968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甜蜜素（以环己基氨基磺酸计）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霉菌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酵母</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14</w:t>
            </w:r>
          </w:p>
        </w:tc>
        <w:tc>
          <w:tcPr>
            <w:tcW w:w="54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茶叶及相关制品</w:t>
            </w: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茶叶</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茶叶</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绿茶、红茶</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2003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2023</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吡虫啉</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草甘膦</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除虫脲</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多菌灵</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甲氰菊酯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联苯菊酯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氯氰菊酯和高效氯氰菊酯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灭多威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滴滴涕</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三氯杀螨醇</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氰戊菊酯和S-氰戊菊酯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甲胺磷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啶虫脒</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吡蚜酮</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敌百虫</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甲拌磷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克百威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氯唑磷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灭线磷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水胺硫磷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特丁硫磷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氧乐果</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60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茚虫威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茶叶</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砖茶</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黑砖茶、花砖茶、茯砖茶、康砖茶</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2178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2198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苯醚甲环唑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吡虫啉</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除虫脲</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哒螨灵</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多菌灵</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甲氰菊酯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硫丹</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噻虫嗪</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噻嗪酮</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杀螟丹</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三氯杀螨醇</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氰戊菊酯和S-氰戊菊酯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甲胺磷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啶虫脒</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吡蚜酮</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敌百虫</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甲拌磷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克百威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氯唑磷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灭线磷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水胺硫磷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特丁硫磷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氧乐果</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60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茚虫威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含茶制品和代用茶</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含茶制品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速溶茶类、其它含茶制品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278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298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代用茶</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代用茶</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188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c>
          <w:tcPr>
            <w:tcW w:w="54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酒类</w:t>
            </w: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蒸馏酒</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白酒</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白酒、白酒</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酒精度</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甲醇</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氰化物（以HCN计）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甜蜜素（以环己基氨基磺酸计）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三氯蔗糖</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发酵酒</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黄酒</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黄酒</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酒精度</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783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903</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甜蜜素（以环己基氨基磺酸计）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三氯蔗糖</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啤酒</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啤酒</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酒精度</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458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578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甲醛</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8" w:space="0"/>
              <w:left w:val="nil"/>
              <w:bottom w:val="single" w:color="000000" w:sz="8" w:space="0"/>
              <w:right w:val="nil"/>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警示语标注</w:t>
            </w:r>
          </w:p>
        </w:tc>
        <w:tc>
          <w:tcPr>
            <w:tcW w:w="796" w:type="dxa"/>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葡萄酒</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葡萄酒</w:t>
            </w:r>
          </w:p>
        </w:tc>
        <w:tc>
          <w:tcPr>
            <w:tcW w:w="3231" w:type="dxa"/>
            <w:tcBorders>
              <w:top w:val="nil"/>
              <w:left w:val="single" w:color="000000" w:sz="8" w:space="0"/>
              <w:bottom w:val="single" w:color="000000" w:sz="8" w:space="0"/>
              <w:right w:val="nil"/>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酒精度</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restart"/>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1368</w:t>
            </w:r>
          </w:p>
        </w:tc>
        <w:tc>
          <w:tcPr>
            <w:tcW w:w="753" w:type="dxa"/>
            <w:vMerge w:val="restart"/>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120</w:t>
            </w:r>
          </w:p>
        </w:tc>
        <w:tc>
          <w:tcPr>
            <w:tcW w:w="620" w:type="dxa"/>
            <w:vMerge w:val="restart"/>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1488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single" w:color="000000" w:sz="8" w:space="0"/>
              <w:bottom w:val="single" w:color="000000" w:sz="8" w:space="0"/>
              <w:right w:val="nil"/>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single" w:color="000000" w:sz="8" w:space="0"/>
              <w:bottom w:val="single" w:color="000000" w:sz="8" w:space="0"/>
              <w:right w:val="nil"/>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赭曲霉毒素A</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single" w:color="000000" w:sz="8" w:space="0"/>
              <w:bottom w:val="single" w:color="000000" w:sz="8" w:space="0"/>
              <w:right w:val="nil"/>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甲醇</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single" w:color="000000" w:sz="8" w:space="0"/>
              <w:bottom w:val="single" w:color="000000" w:sz="8" w:space="0"/>
              <w:right w:val="nil"/>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single" w:color="000000" w:sz="8" w:space="0"/>
              <w:bottom w:val="single" w:color="000000" w:sz="8" w:space="0"/>
              <w:right w:val="nil"/>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single" w:color="000000" w:sz="8" w:space="0"/>
              <w:bottom w:val="single" w:color="000000" w:sz="8" w:space="0"/>
              <w:right w:val="nil"/>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single" w:color="000000" w:sz="8" w:space="0"/>
              <w:bottom w:val="single" w:color="000000" w:sz="8" w:space="0"/>
              <w:right w:val="nil"/>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纳他霉素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105</w:t>
            </w:r>
          </w:p>
        </w:tc>
        <w:tc>
          <w:tcPr>
            <w:tcW w:w="716"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single" w:color="000000" w:sz="8" w:space="0"/>
              <w:bottom w:val="single" w:color="000000" w:sz="8" w:space="0"/>
              <w:right w:val="nil"/>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85"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single" w:color="000000" w:sz="8" w:space="0"/>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w:t>
            </w:r>
          </w:p>
        </w:tc>
        <w:tc>
          <w:tcPr>
            <w:tcW w:w="796" w:type="dxa"/>
            <w:vMerge w:val="restart"/>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85"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single" w:color="000000" w:sz="8" w:space="0"/>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计）</w:t>
            </w:r>
          </w:p>
        </w:tc>
        <w:tc>
          <w:tcPr>
            <w:tcW w:w="796" w:type="dxa"/>
            <w:vMerge w:val="continue"/>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16"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single" w:color="000000" w:sz="8" w:space="0"/>
              <w:bottom w:val="single" w:color="000000" w:sz="8" w:space="0"/>
              <w:right w:val="nil"/>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甜蜜素（以环己基氨基磺酸计）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single" w:color="000000" w:sz="8" w:space="0"/>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三氯蔗糖</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8" w:space="0"/>
              <w:left w:val="single" w:color="000000" w:sz="8" w:space="0"/>
              <w:bottom w:val="single" w:color="000000" w:sz="4"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果酒</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果酒</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酒精度</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restart"/>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598</w:t>
            </w:r>
          </w:p>
        </w:tc>
        <w:tc>
          <w:tcPr>
            <w:tcW w:w="753" w:type="dxa"/>
            <w:vMerge w:val="restart"/>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120</w:t>
            </w:r>
          </w:p>
        </w:tc>
        <w:tc>
          <w:tcPr>
            <w:tcW w:w="620" w:type="dxa"/>
            <w:vMerge w:val="restart"/>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718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展青霉素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三氯蔗糖</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其他酒</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其他发酵酒</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其他发酵酒</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酒精度</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578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698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配制酒</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以蒸馏酒及食用酒精为酒基的配制酒</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酒精度</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763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883</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甲醇</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氰化物（以HCN计）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85"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甜蜜素</w:t>
            </w:r>
          </w:p>
        </w:tc>
        <w:tc>
          <w:tcPr>
            <w:tcW w:w="796"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85"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（以环己基氨基磺酸计）</w:t>
            </w:r>
          </w:p>
        </w:tc>
        <w:tc>
          <w:tcPr>
            <w:tcW w:w="796"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以发酵酒为酒基的配制酒</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酒精度</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928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甜蜜素（以环己基氨基磺酸计）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其他蒸馏酒</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其他蒸馏酒</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酒精度</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508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628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甲醇</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氰化物（以HCN计）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vMerge w:val="restart"/>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vMerge w:val="continue"/>
            <w:tcBorders>
              <w:top w:val="nil"/>
              <w:left w:val="nil"/>
              <w:bottom w:val="single" w:color="000000" w:sz="8" w:space="0"/>
              <w:right w:val="nil"/>
            </w:tcBorders>
            <w:shd w:val="clear"/>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796"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w:t>
            </w:r>
          </w:p>
        </w:tc>
        <w:tc>
          <w:tcPr>
            <w:tcW w:w="54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蔬菜制品</w:t>
            </w: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蔬菜制品</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酱腌菜</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酱腌菜</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1853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1863</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亚硝酸盐（以NaNO2计）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阿斯巴甜</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防腐剂混合使用时各自用量占其最大使用量比例之和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纽甜</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三氯蔗糖</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甜蜜素（以环己基氨基磺酸计）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苏丹红I-IV</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蔬菜干制品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自然干制品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971</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981</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苏丹红I-IV</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阿斯巴甜</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食用菌制品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干制食用菌</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镉（以Cd计）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407</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417</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总汞（以Hg计）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腌渍食用菌</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镉（以Cd计）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1109</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1119</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总汞（以Hg计）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防腐剂混合使用时各自用量占其最大使用量比例之和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三氯蔗糖</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其他蔬菜制品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其他蔬菜制品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508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518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17</w:t>
            </w:r>
          </w:p>
        </w:tc>
        <w:tc>
          <w:tcPr>
            <w:tcW w:w="54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水果制品</w:t>
            </w: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水果制品</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蜜饯</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蜜饯类、凉果类、果脯类、话化类</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1798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1808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展青霉素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防腐剂混合使用时各自用量占其最大使用量的比例之和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甜蜜素（以环己基氨基磺酸计）</w:t>
            </w:r>
          </w:p>
        </w:tc>
        <w:tc>
          <w:tcPr>
            <w:tcW w:w="796" w:type="dxa"/>
            <w:tcBorders>
              <w:top w:val="nil"/>
              <w:left w:val="single" w:color="000000" w:sz="8" w:space="0"/>
              <w:bottom w:val="nil"/>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合成着色剂（亮蓝、柠檬黄、日落黄、苋菜红、胭脂红）</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相同色泽着色剂混合使用时各自用量占其最大使用量的比例之和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60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乙二胺四乙酸二钠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霉菌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水果干制品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水果干制品 (含干枸杞)</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1535</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1545</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展青霉素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吡虫啉</w:t>
            </w:r>
          </w:p>
        </w:tc>
        <w:tc>
          <w:tcPr>
            <w:tcW w:w="796" w:type="dxa"/>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克百威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85"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w:t>
            </w:r>
          </w:p>
        </w:tc>
        <w:tc>
          <w:tcPr>
            <w:tcW w:w="796"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85"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（以脱氢乙酸计）</w:t>
            </w:r>
          </w:p>
        </w:tc>
        <w:tc>
          <w:tcPr>
            <w:tcW w:w="796"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防腐剂混合使用时各自用量占其最大使用量的比例之和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霉菌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果酱</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果酱</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展青霉素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1380</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1390</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防腐剂混合使用时各自用量占其最大使用量的比例之和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甜蜜素（以环己基氨基磺酸计）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霉菌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商业无菌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18</w:t>
            </w:r>
          </w:p>
        </w:tc>
        <w:tc>
          <w:tcPr>
            <w:tcW w:w="54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炒货食品及坚果制品</w:t>
            </w: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炒货食品及坚果制品</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炒货食品及坚果制品（ 烘炒类、油炸类、其他类）</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开心果、杏仁、松仁、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酸价（以脂肪计）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1235</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1245</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过氧化值（以脂肪计）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黄曲霉毒素B1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甜蜜素（以环己基氨基磺酸计）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三氯蔗糖</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纽甜</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霉菌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其他炒货食品及坚果制</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酸价（以脂肪计）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1248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1258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过氧化值（以脂肪计）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黄曲霉毒素B1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甜蜜素（以环己基氨基磺酸计）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三氯蔗糖</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纽甜</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霉菌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19</w:t>
            </w:r>
          </w:p>
        </w:tc>
        <w:tc>
          <w:tcPr>
            <w:tcW w:w="54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蛋制品</w:t>
            </w: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蛋制品</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再制蛋</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再制蛋</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813</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商业无菌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其他类</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其他类</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813</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商业无菌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干蛋类</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干蛋类</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643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653</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冰蛋类</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冰蛋类</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nil"/>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573</w:t>
            </w:r>
          </w:p>
        </w:tc>
        <w:tc>
          <w:tcPr>
            <w:tcW w:w="753" w:type="dxa"/>
            <w:vMerge w:val="restart"/>
            <w:tcBorders>
              <w:top w:val="nil"/>
              <w:left w:val="nil"/>
              <w:bottom w:val="nil"/>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nil"/>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583</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54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可可及焙烤咖啡产品</w:t>
            </w: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焙炒咖啡</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焙炒咖啡</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焙炒咖啡</w:t>
            </w:r>
          </w:p>
        </w:tc>
        <w:tc>
          <w:tcPr>
            <w:tcW w:w="3231" w:type="dxa"/>
            <w:tcBorders>
              <w:top w:val="single" w:color="000000" w:sz="8" w:space="0"/>
              <w:left w:val="single" w:color="000000" w:sz="8" w:space="0"/>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咖啡因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236</w:t>
            </w:r>
          </w:p>
        </w:tc>
        <w:tc>
          <w:tcPr>
            <w:tcW w:w="753" w:type="dxa"/>
            <w:vMerge w:val="restart"/>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256</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single" w:color="000000" w:sz="8" w:space="0"/>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single" w:color="000000" w:sz="8" w:space="0"/>
              <w:bottom w:val="single" w:color="000000" w:sz="8" w:space="0"/>
              <w:right w:val="nil"/>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赭曲霉毒素A</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可可制品</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可可制品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可可制品</w:t>
            </w:r>
          </w:p>
        </w:tc>
        <w:tc>
          <w:tcPr>
            <w:tcW w:w="3231" w:type="dxa"/>
            <w:tcBorders>
              <w:top w:val="nil"/>
              <w:left w:val="single" w:color="000000" w:sz="8" w:space="0"/>
              <w:bottom w:val="single" w:color="000000" w:sz="8" w:space="0"/>
              <w:right w:val="nil"/>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410</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430</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single" w:color="000000" w:sz="8" w:space="0"/>
              <w:bottom w:val="single" w:color="000000" w:sz="8" w:space="0"/>
              <w:right w:val="nil"/>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single" w:color="000000" w:sz="8" w:space="0"/>
              <w:bottom w:val="single" w:color="000000" w:sz="8" w:space="0"/>
              <w:right w:val="nil"/>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single" w:color="000000" w:sz="8" w:space="0"/>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21</w:t>
            </w:r>
          </w:p>
        </w:tc>
        <w:tc>
          <w:tcPr>
            <w:tcW w:w="54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食糖</w:t>
            </w: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食糖</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食糖</w:t>
            </w:r>
          </w:p>
        </w:tc>
        <w:tc>
          <w:tcPr>
            <w:tcW w:w="1015" w:type="dxa"/>
            <w:vMerge w:val="restart"/>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白砂糖</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蔗糖分</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591</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601</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还原糖分</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色值</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螨</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绵白糖</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蔗糖分</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581</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591</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还原糖分</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色值</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螨</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赤砂糖</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总糖分</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491</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501</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不溶于水杂质</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螨</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红糖</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总糖分</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501</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509</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不溶于水杂质</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螨</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nil"/>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冰糖</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蔗糖分</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581</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589</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还原糖分</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色值</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螨</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21</w:t>
            </w:r>
          </w:p>
        </w:tc>
        <w:tc>
          <w:tcPr>
            <w:tcW w:w="54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食糖</w:t>
            </w: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食糖</w:t>
            </w:r>
          </w:p>
        </w:tc>
        <w:tc>
          <w:tcPr>
            <w:tcW w:w="646" w:type="dxa"/>
            <w:vMerge w:val="restart"/>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食糖</w:t>
            </w:r>
          </w:p>
        </w:tc>
        <w:tc>
          <w:tcPr>
            <w:tcW w:w="1015" w:type="dxa"/>
            <w:vMerge w:val="restart"/>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冰片糖</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总糖分</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501</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509</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还原糖分</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螨</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方糖</w:t>
            </w:r>
          </w:p>
        </w:tc>
        <w:tc>
          <w:tcPr>
            <w:tcW w:w="3231" w:type="dxa"/>
            <w:tcBorders>
              <w:top w:val="single" w:color="000000" w:sz="8" w:space="0"/>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蔗糖分</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591</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599</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还原糖分</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色值</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螨</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其他糖</w:t>
            </w:r>
          </w:p>
        </w:tc>
        <w:tc>
          <w:tcPr>
            <w:tcW w:w="3231" w:type="dxa"/>
            <w:tcBorders>
              <w:top w:val="nil"/>
              <w:left w:val="nil"/>
              <w:bottom w:val="single" w:color="000000" w:sz="8" w:space="0"/>
              <w:right w:val="nil"/>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蔗糖分</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719</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727</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总糖分</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还原糖分</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色值</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螨</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22</w:t>
            </w:r>
          </w:p>
        </w:tc>
        <w:tc>
          <w:tcPr>
            <w:tcW w:w="54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水产制品</w:t>
            </w: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水产制品</w:t>
            </w:r>
          </w:p>
        </w:tc>
        <w:tc>
          <w:tcPr>
            <w:tcW w:w="646" w:type="dxa"/>
            <w:vMerge w:val="restart"/>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干制水产品</w:t>
            </w:r>
          </w:p>
        </w:tc>
        <w:tc>
          <w:tcPr>
            <w:tcW w:w="1015" w:type="dxa"/>
            <w:vMerge w:val="restart"/>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藻类干制品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778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793</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副溶血性弧菌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霉菌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预制动物性水产干制品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镉（以Cd计）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600</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640</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N-二甲基亚硝胺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盐渍水产品</w:t>
            </w:r>
          </w:p>
        </w:tc>
        <w:tc>
          <w:tcPr>
            <w:tcW w:w="1015" w:type="dxa"/>
            <w:vMerge w:val="restart"/>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盐渍鱼</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过氧化值（以脂肪计）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676</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691</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组胺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镉（以Cd计）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N-二甲基亚硝胺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盐渍藻</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Style w:val="25"/>
                <w:bdr w:val="none" w:color="auto" w:sz="0" w:space="0"/>
                <w:lang w:val="en-US" w:eastAsia="zh-CN" w:bidi="ar"/>
              </w:rPr>
              <w:t>铅（以</w:t>
            </w:r>
            <w:r>
              <w:rPr>
                <w:rStyle w:val="24"/>
                <w:bdr w:val="none" w:color="auto" w:sz="0" w:space="0"/>
                <w:lang w:val="en-US" w:eastAsia="zh-CN" w:bidi="ar"/>
              </w:rPr>
              <w:t>Pb</w:t>
            </w:r>
            <w:r>
              <w:rPr>
                <w:rStyle w:val="25"/>
                <w:bdr w:val="none" w:color="auto" w:sz="0" w:space="0"/>
                <w:lang w:val="en-US" w:eastAsia="zh-CN" w:bidi="ar"/>
              </w:rPr>
              <w:t>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370</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385</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其他盐渍水产品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N-二甲基亚硝胺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95</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300</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315</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鱼糜制品</w:t>
            </w:r>
          </w:p>
        </w:tc>
        <w:tc>
          <w:tcPr>
            <w:tcW w:w="1015" w:type="dxa"/>
            <w:vMerge w:val="restart"/>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预制鱼糜制品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挥发性盐基氮</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443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463</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N-二甲基亚硝胺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熟制动物性水产制</w:t>
            </w:r>
          </w:p>
        </w:tc>
        <w:tc>
          <w:tcPr>
            <w:tcW w:w="1015" w:type="dxa"/>
            <w:vMerge w:val="restart"/>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熟制动物性水产制品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镉（以Cd计）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1148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1178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N-二甲基亚硝胺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苯并[a]芘</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副溶血性弧菌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生食水产品</w:t>
            </w:r>
          </w:p>
        </w:tc>
        <w:tc>
          <w:tcPr>
            <w:tcW w:w="1015" w:type="dxa"/>
            <w:vMerge w:val="restart"/>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生食动物性水产品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挥发性盐基氮</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1570</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1600</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镉（以Cd计）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N-二甲基亚硝胺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苯并[a]芘</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铝的残留量（以即食海蜇中Al计）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副溶血性弧菌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吸虫囊蚴</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线虫幼虫</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绦虫裂头蚴</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水生动物油脂及制</w:t>
            </w:r>
          </w:p>
        </w:tc>
        <w:tc>
          <w:tcPr>
            <w:tcW w:w="1015" w:type="dxa"/>
            <w:vMerge w:val="restart"/>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水生动物油脂及制品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丁基羟基茴香醚（BHA）（以油脂中的含量计）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nil"/>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326</w:t>
            </w:r>
          </w:p>
        </w:tc>
        <w:tc>
          <w:tcPr>
            <w:tcW w:w="753" w:type="dxa"/>
            <w:vMerge w:val="restart"/>
            <w:tcBorders>
              <w:top w:val="nil"/>
              <w:left w:val="nil"/>
              <w:bottom w:val="nil"/>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nil"/>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346</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二丁基羟基甲苯（BHT）（以油脂中的含量计）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特丁基对苯二酚（TBHQ）（以油脂中的含量计）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没食子酸丙酯（PG）（以油脂中的含量计）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其他水产制品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其他水产制品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1041</w:t>
            </w:r>
          </w:p>
        </w:tc>
        <w:tc>
          <w:tcPr>
            <w:tcW w:w="753" w:type="dxa"/>
            <w:vMerge w:val="restart"/>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1061</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甲基汞（以Hg计）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无机砷（以As计）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铬（以Cr计）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N-二甲基亚硝胺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95</w:t>
            </w:r>
          </w:p>
        </w:tc>
        <w:tc>
          <w:tcPr>
            <w:tcW w:w="716"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副溶血性弧菌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23</w:t>
            </w:r>
          </w:p>
        </w:tc>
        <w:tc>
          <w:tcPr>
            <w:tcW w:w="54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淀粉及淀粉制品</w:t>
            </w:r>
          </w:p>
        </w:tc>
        <w:tc>
          <w:tcPr>
            <w:tcW w:w="623" w:type="dxa"/>
            <w:vMerge w:val="restart"/>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淀粉及淀粉制品</w:t>
            </w:r>
          </w:p>
        </w:tc>
        <w:tc>
          <w:tcPr>
            <w:tcW w:w="646" w:type="dxa"/>
            <w:vMerge w:val="restart"/>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淀粉</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淀粉</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563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573</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霉菌和酵母</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霉菌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淀粉制品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粉丝粉条</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688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698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铝的残留量（干样品，以Al计）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其他淀粉制品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713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723</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铝的残留量（干样品，以Al计）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single" w:color="000000" w:sz="8" w:space="0"/>
              <w:bottom w:val="nil"/>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淀粉糖</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淀粉糖</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335</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345</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24</w:t>
            </w:r>
          </w:p>
        </w:tc>
        <w:tc>
          <w:tcPr>
            <w:tcW w:w="543" w:type="dxa"/>
            <w:vMerge w:val="restart"/>
            <w:tcBorders>
              <w:top w:val="nil"/>
              <w:left w:val="nil"/>
              <w:bottom w:val="nil"/>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糕点</w:t>
            </w:r>
          </w:p>
        </w:tc>
        <w:tc>
          <w:tcPr>
            <w:tcW w:w="623" w:type="dxa"/>
            <w:vMerge w:val="restart"/>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糕点</w:t>
            </w:r>
          </w:p>
        </w:tc>
        <w:tc>
          <w:tcPr>
            <w:tcW w:w="646" w:type="dxa"/>
            <w:vMerge w:val="restart"/>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糕点</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糕点</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酸价（以脂肪计）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2393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2403</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过氧化值（以脂肪计）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富马酸二甲酯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苏丹红I-IV</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甜蜜素（以环己基氨基磺酸计）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安赛蜜</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铝的残留量（干样品，以Al计）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丙酸及其钠盐、钙盐(以丙酸计)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纳他霉素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三氯蔗糖</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60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丙二醇</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防腐剂混合使用时各自用量占其最大使用量的比例之和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霉菌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single" w:color="000000" w:sz="8" w:space="0"/>
              <w:bottom w:val="nil"/>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月饼</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月饼</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酸价（以脂肪计）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1900</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1910</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过氧化值（以脂肪计）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富马酸二甲酯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苏丹红I-IV</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铝的残留量（干样品，以Al计）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丙酸及其钠盐钙盐</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纳他霉素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防腐剂混合使用时各自用量占其最大使用量的比例之和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nil"/>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霉菌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restart"/>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粽子</w:t>
            </w:r>
          </w:p>
        </w:tc>
        <w:tc>
          <w:tcPr>
            <w:tcW w:w="646" w:type="dxa"/>
            <w:vMerge w:val="restart"/>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粽子</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粽子</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苏丹红I-IV</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1195</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1205</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安赛蜜</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霉菌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商业无菌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nil"/>
              <w:left w:val="single" w:color="000000" w:sz="8" w:space="0"/>
              <w:bottom w:val="nil"/>
              <w:right w:val="nil"/>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25</w:t>
            </w:r>
          </w:p>
        </w:tc>
        <w:tc>
          <w:tcPr>
            <w:tcW w:w="543" w:type="dxa"/>
            <w:vMerge w:val="restart"/>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豆制品</w:t>
            </w:r>
          </w:p>
        </w:tc>
        <w:tc>
          <w:tcPr>
            <w:tcW w:w="623" w:type="dxa"/>
            <w:vMerge w:val="restart"/>
            <w:tcBorders>
              <w:top w:val="nil"/>
              <w:left w:val="nil"/>
              <w:bottom w:val="nil"/>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豆制品</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发酵性豆制品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腐乳、豆豉</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1228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1238</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黄曲霉毒素B1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甜蜜素（以环己基氨基磺酸计）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铝的残留量（干样品，以Al计）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非发酵性豆制品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豆干、豆腐</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脲酶试验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1463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1473</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丙酸及其钠盐、钙盐（以丙酸计）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防腐剂混合使用时各自用量占其最大使用量的比例之和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三氯蔗糖</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铝的残留量（干样品，以Al计）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腐竹、油皮</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1193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1203</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三氯蔗糖</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铝的残留量（干样品，以 Al计）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其他豆制品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大豆蛋白类制品等</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955</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965</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脱氢乙酸及其钠盐（以脱氢乙酸计）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三氯蔗糖</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铝的残留量（干样品，以Al计）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nil"/>
              <w:right w:val="nil"/>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single" w:color="000000" w:sz="8" w:space="0"/>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26</w:t>
            </w:r>
          </w:p>
        </w:tc>
        <w:tc>
          <w:tcPr>
            <w:tcW w:w="543" w:type="dxa"/>
            <w:vMerge w:val="restart"/>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蜂产品</w:t>
            </w:r>
          </w:p>
        </w:tc>
        <w:tc>
          <w:tcPr>
            <w:tcW w:w="623" w:type="dxa"/>
            <w:vMerge w:val="restart"/>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蜂产品</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蜂蜜</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蜂蜜</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果糖和葡萄糖</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973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983</w:t>
            </w: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蔗糖</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600" w:hRule="atLeast"/>
        </w:trPr>
        <w:tc>
          <w:tcPr>
            <w:tcW w:w="484" w:type="dxa"/>
            <w:vMerge w:val="continue"/>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喹诺酮类（洛美沙星、培氟沙星、氧氟沙星、诺氟沙星）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霉菌计数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嗜渗酵母计数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蜂王浆</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蜂王浆（含蜂王浆冻干粉）</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10-羟基-2-癸烯酸</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235</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245</w:t>
            </w: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总糖分</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酸度</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蜂花粉</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蜂花粉</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蛋白质</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551</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561</w:t>
            </w: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水分</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霉菌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nil"/>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蜂产品制品</w:t>
            </w:r>
          </w:p>
        </w:tc>
        <w:tc>
          <w:tcPr>
            <w:tcW w:w="1015" w:type="dxa"/>
            <w:vMerge w:val="restart"/>
            <w:tcBorders>
              <w:top w:val="nil"/>
              <w:left w:val="nil"/>
              <w:bottom w:val="nil"/>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蜂产品制品</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nil"/>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675</w:t>
            </w:r>
          </w:p>
        </w:tc>
        <w:tc>
          <w:tcPr>
            <w:tcW w:w="753" w:type="dxa"/>
            <w:vMerge w:val="restart"/>
            <w:tcBorders>
              <w:top w:val="nil"/>
              <w:left w:val="nil"/>
              <w:bottom w:val="nil"/>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w:t>
            </w:r>
          </w:p>
        </w:tc>
        <w:tc>
          <w:tcPr>
            <w:tcW w:w="620" w:type="dxa"/>
            <w:vMerge w:val="restart"/>
            <w:tcBorders>
              <w:top w:val="nil"/>
              <w:left w:val="nil"/>
              <w:bottom w:val="nil"/>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685</w:t>
            </w: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霉菌计数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8" w:space="0"/>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酵母计数</w:t>
            </w:r>
          </w:p>
        </w:tc>
        <w:tc>
          <w:tcPr>
            <w:tcW w:w="796" w:type="dxa"/>
            <w:tcBorders>
              <w:top w:val="nil"/>
              <w:left w:val="single" w:color="000000" w:sz="8" w:space="0"/>
              <w:bottom w:val="nil"/>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c>
          <w:tcPr>
            <w:tcW w:w="716"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nil"/>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27</w:t>
            </w:r>
          </w:p>
        </w:tc>
        <w:tc>
          <w:tcPr>
            <w:tcW w:w="54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保健食品</w:t>
            </w:r>
          </w:p>
        </w:tc>
        <w:tc>
          <w:tcPr>
            <w:tcW w:w="62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保健食品</w:t>
            </w:r>
          </w:p>
        </w:tc>
        <w:tc>
          <w:tcPr>
            <w:tcW w:w="64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保健食品</w:t>
            </w:r>
          </w:p>
        </w:tc>
        <w:tc>
          <w:tcPr>
            <w:tcW w:w="1015"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保健食品</w:t>
            </w: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功效/标志性成分</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5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62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水分</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可溶性固形物</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酸价</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过氧化值</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60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崩解时限</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铅（Pb）</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总砷（As）</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总汞（以Hg计）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镉(以Cd计）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胶囊壳中的铬</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西布曲明</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N-单去甲基西布曲明</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N，N-双去甲基西布曲明</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麻黄碱</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芬氟拉明</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酚酞</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甲苯磺丁脲</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格列本脲</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格列齐特</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格列吡嗪</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格列喹酮</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格列美脲</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马来酸罗格列酮</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瑞格列奈</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盐酸吡格列酮</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盐酸二甲双胍</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盐酸苯乙双胍</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盐酸丁二胍</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格列波脲</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那红地那非</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红地那非</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伐地那非</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羟基豪莫西地那非</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西地那非</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豪莫西地那非</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氨基他达拉非</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他达拉非</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硫代艾地那非</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伪伐地那非</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那莫西地那非</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地西泮</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硝西泮</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氯硝西泮</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氯氮卓</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奥沙西泮</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马来酸咪哒唑仑</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劳拉西泮</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艾司唑仑</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阿普唑仑</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三唑仑</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巴比妥</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苯巴比妥</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异戊巴比妥</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司可巴比妥</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氯美扎酮</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佐匹克隆</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氯苯那敏</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扎来普隆</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文拉法辛</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青藤碱</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罗通定</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阿替洛尔</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盐酸可乐定</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氢氯噻嗪</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卡托普利</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哌唑嗪</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利血平</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硝苯地平</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氨氯地平</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尼群地平</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尼莫地平</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尼索地平</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非洛地平</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霉菌和酵母</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28</w:t>
            </w:r>
          </w:p>
        </w:tc>
        <w:tc>
          <w:tcPr>
            <w:tcW w:w="54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特殊膳食食品</w:t>
            </w:r>
          </w:p>
        </w:tc>
        <w:tc>
          <w:tcPr>
            <w:tcW w:w="62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婴幼儿辅助食品</w:t>
            </w:r>
          </w:p>
        </w:tc>
        <w:tc>
          <w:tcPr>
            <w:tcW w:w="64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婴幼儿谷类辅助食品</w:t>
            </w:r>
          </w:p>
        </w:tc>
        <w:tc>
          <w:tcPr>
            <w:tcW w:w="1015"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婴幼儿谷物辅助食品、婴幼儿高蛋白谷物辅助食品、婴幼儿生制类谷物辅助食品</w:t>
            </w: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能量</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5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蛋白质</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脂肪</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亚油酸/总脂肪酸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月桂酸占总脂肪的比值</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肉豆蔻酸占总脂肪的比值</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维生素A</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 D</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维生素B1</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钙</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铁</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锌</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钠</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维生素E</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维生素B2</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维生素B6</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维生素B12</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烟酸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叶酸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泛酸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维 生素C</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生物素</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磷</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碘</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钾</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水分</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不溶性膳食纤维</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脲酶活性定性测定</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无机砷（以As计）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锡（以Sn计）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镉（以Cd计）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黄曲霉毒素B1</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硝酸盐（以NaNO3计）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亚硝酸盐（以NaNO2计）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二十二碳六烯酸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60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花生四烯酸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婴幼儿罐装辅助食品</w:t>
            </w:r>
          </w:p>
        </w:tc>
        <w:tc>
          <w:tcPr>
            <w:tcW w:w="1015"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泥（糊）状罐装食品、颗粒状罐装食品、汁类</w:t>
            </w:r>
          </w:p>
        </w:tc>
        <w:tc>
          <w:tcPr>
            <w:tcW w:w="323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蛋白质</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5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脂肪</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总钠</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无机砷（以As计）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总汞（以Hg计）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锡（以Sn计）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硝酸盐（以NaNO3计）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亚硝酸盐（以NaNO2计）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商业无菌</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霉菌</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28</w:t>
            </w:r>
          </w:p>
        </w:tc>
        <w:tc>
          <w:tcPr>
            <w:tcW w:w="54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特殊膳食食品</w:t>
            </w:r>
          </w:p>
        </w:tc>
        <w:tc>
          <w:tcPr>
            <w:tcW w:w="62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营养补充品</w:t>
            </w:r>
          </w:p>
        </w:tc>
        <w:tc>
          <w:tcPr>
            <w:tcW w:w="64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营养补充品</w:t>
            </w:r>
          </w:p>
        </w:tc>
        <w:tc>
          <w:tcPr>
            <w:tcW w:w="1015"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辅食营养素补充食品、辅食营养素补充片、辅食营养素撒剂</w:t>
            </w: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蛋白质</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5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钙</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铁</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锌</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维生素A</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维生素D</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维生素B1</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维生素B2</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维生素K1</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维生素B6</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叶酸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维生素B12</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泛酸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胆碱</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生物素</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维生素C</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二十二碳六烯酸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脲酶活性定性</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黄曲霉毒素M1</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黄曲霉毒素B1</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硝酸盐（以NaNO3计）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亚硝酸盐（以NaNO2  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50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孕妇及乳母营养补充食品</w:t>
            </w: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铁</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5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维生素A</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维生素D</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叶酸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维生素B12</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钙</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镁</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锌</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硒</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维生素E</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60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维生素K</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维生素B1</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 B2</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维生素B6</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烟酸（烟酰胺）</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泛酸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胆碱</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生物素</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维生素C</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二十二碳六烯酸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脲酶活性定性</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硝酸盐（以NaNO3计）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亚硝酸盐（以NaNO2计）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黄曲霉毒素M1</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黄曲霉毒素B1</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54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29</w:t>
            </w:r>
          </w:p>
        </w:tc>
        <w:tc>
          <w:tcPr>
            <w:tcW w:w="54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特殊医学用途配方食品</w:t>
            </w:r>
          </w:p>
        </w:tc>
        <w:tc>
          <w:tcPr>
            <w:tcW w:w="62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特殊医学用途配方食品</w:t>
            </w:r>
          </w:p>
        </w:tc>
        <w:tc>
          <w:tcPr>
            <w:tcW w:w="64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特殊医学用途婴儿配方食品</w:t>
            </w:r>
          </w:p>
        </w:tc>
        <w:tc>
          <w:tcPr>
            <w:tcW w:w="1015"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特殊医学用途婴儿配方食品</w:t>
            </w: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蛋白质</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5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脂肪</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亚油酸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α-亚麻酸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亚油酸与α-亚麻酸比值</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50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终产品脂肪中月桂酸和肉豆蔻酸（十四烷酸）总量与总脂肪酸的比值</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芥酸与总脂肪酸比值</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60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反式脂肪酸最高含量与总脂肪酸比值</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碳水化合物</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维生素A</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维生素D</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维生素E</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维生素K1</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维生素B1</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维生素B2</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维生素B6</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维生素B12</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烟酸（烟酰胺）</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叶酸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泛酸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维生素C</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生物素</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钠</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钾</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铜</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镁</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铁</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锌</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锰</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钙</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磷</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钙磷比值</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碘</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硒</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铬</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60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钼</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胆碱</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肌醇</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牛磺酸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二十二碳六烯酸与总脂肪酸比</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二十碳四烯酸与总脂肪酸比</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50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二十二碳六烯酸（22:6n-3）与二十碳四烯酸（20:4n-6）的比</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50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长链不饱和脂肪酸中二十碳五烯酸（20:5n-3）的量与二十二碳六烯酸的量的比</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2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二十二碳六烯酸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二十碳四烯酸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水分</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灰分</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杂质度</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脲酶活性定性测定</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核苷酸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叶黄素</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黄曲霉毒素M1</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黄曲霉毒素B1</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硝酸盐（以NaNO3计）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亚硝酸盐（以NaNO2计）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三聚氰胺</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54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58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8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阪崎肠杆菌</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商业无菌</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8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果聚糖</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特殊医学用途配方食品</w:t>
            </w:r>
          </w:p>
        </w:tc>
        <w:tc>
          <w:tcPr>
            <w:tcW w:w="1015"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全营养配方食品、特定全营养配方食品</w:t>
            </w: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蛋白质</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5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亚油酸供能比</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α-亚麻酸供能比</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维生素A</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维生素D</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维生素E</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维生素K1</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Style w:val="25"/>
                <w:bdr w:val="none" w:color="auto" w:sz="0" w:space="0"/>
                <w:lang w:val="en-US" w:eastAsia="zh-CN" w:bidi="ar"/>
              </w:rPr>
              <w:t>维生素</w:t>
            </w:r>
            <w:r>
              <w:rPr>
                <w:rStyle w:val="24"/>
                <w:bdr w:val="none" w:color="auto" w:sz="0" w:space="0"/>
                <w:lang w:val="en-US" w:eastAsia="zh-CN" w:bidi="ar"/>
              </w:rPr>
              <w:t>B1</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维生素B2</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维生素B6</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维生素B12</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烟酸（烟酰胺）</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58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叶酸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52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泛酸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维生素C</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生物素</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钠</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钾</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铜</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镁</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铁</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锌</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锰</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钙</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磷</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碘</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硒</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铬</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0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钼</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胆碱</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肌醇</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牛磺酸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左旋肉碱</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二十二碳六烯酸与总脂肪酸比</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二十碳四烯酸与总脂肪酸比</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二十二碳六烯酸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二十碳四烯酸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核苷酸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8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黄曲霉毒素M1或黄曲霉毒素B1</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硝酸盐（以NaNO3计）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亚硝酸盐（以NaNO2计）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三聚氰胺</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52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50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商业无菌</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w:t>
            </w:r>
          </w:p>
        </w:tc>
        <w:tc>
          <w:tcPr>
            <w:tcW w:w="54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婴幼儿配方食品</w:t>
            </w:r>
          </w:p>
        </w:tc>
        <w:tc>
          <w:tcPr>
            <w:tcW w:w="62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婴幼儿配方食品</w:t>
            </w:r>
          </w:p>
        </w:tc>
        <w:tc>
          <w:tcPr>
            <w:tcW w:w="64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婴儿配方食品</w:t>
            </w:r>
          </w:p>
        </w:tc>
        <w:tc>
          <w:tcPr>
            <w:tcW w:w="1015"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乳基婴儿配方食品、豆基婴儿配方食品</w:t>
            </w: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蛋白质</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5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脂肪</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碳水化合物</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乳糖占碳水化合物总量</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亚油酸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α-亚麻酸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亚油酸与α-亚麻酸比值</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52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终产品脂肪中月桂酸和肉豆蔻酸（十四烷酸）总量占总脂肪酸的比值量</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芥酸与总脂肪酸比值</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54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反式脂肪酸与总脂肪酸比值</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维生素A</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维生素D</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维生素E</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维生素K1</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维生素B1</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维生素B2</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维生素B6</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维生素B12</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烟酸（烟酰胺）</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叶酸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泛酸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维生素C</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生物素</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钠</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钾</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铜</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镁</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铁</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锌</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锰</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钙</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50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磷</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钙磷比值</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碘</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8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硒</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胆碱</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肌醇</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牛磺酸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左旋肉碱</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二十二碳六烯酸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二十碳四烯酸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二十二碳六烯酸与总脂肪酸比</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二十碳四烯酸与总脂肪酸比</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8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二十二碳六烯酸（22:6n-3）与二十碳四烯酸（20:4n-6）的比</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8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长链不饱和脂肪酸中二十碳五烯酸（20:5n-3）的量与二十二碳六烯酸的量的比</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叶黄素</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核苷酸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水分</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灰分</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杂质度</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60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果聚糖</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8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黄曲霉毒素M1或黄曲霉毒素B1</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硝酸盐（以NaNO3计）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亚硝酸盐（以NaNO2计）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脲酶活性定性测定</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三聚氰胺</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50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52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金黄色葡萄球菌</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8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阪崎肠杆菌</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婴幼儿配方食品</w:t>
            </w:r>
          </w:p>
        </w:tc>
        <w:tc>
          <w:tcPr>
            <w:tcW w:w="64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较大婴儿和幼儿配方食品</w:t>
            </w:r>
          </w:p>
        </w:tc>
        <w:tc>
          <w:tcPr>
            <w:tcW w:w="1015"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乳基较大婴儿和幼儿配方食品、豆基较大婴儿和幼儿配方食品</w:t>
            </w: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蛋白质</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275</w:t>
            </w:r>
          </w:p>
        </w:tc>
        <w:tc>
          <w:tcPr>
            <w:tcW w:w="75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295</w:t>
            </w: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脂肪</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亚油酸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维生素A</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维生素D</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维生素E</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维生素K1</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维生素B1</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维生素B2</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维生素B6</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维生素B12</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烟酸（烟酰胺）</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叶酸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泛酸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维生素C</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生物素</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钠</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钾</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铜</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镁</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铁</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锌</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锰</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钙</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50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磷</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钙磷比值</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碘</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8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硒</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胆碱</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肌醇</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牛磺酸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左旋肉碱</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二十二碳六烯酸与总脂肪酸比</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二十碳四烯酸与总脂肪酸比</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二十二碳六烯酸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二十碳四烯酸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52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反式脂肪酸与总脂肪酸比值</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水分</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灰分</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杂质度</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叶黄素</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核苷酸</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50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果聚糖</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52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黄曲霉毒素M1或黄曲霉毒素B1</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硝酸盐（以NaNO3计）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亚硝酸盐（以NaNO2计）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脲酶活性定性测定</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三聚氰胺</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4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54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31</w:t>
            </w:r>
          </w:p>
        </w:tc>
        <w:tc>
          <w:tcPr>
            <w:tcW w:w="54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餐饮食品</w:t>
            </w:r>
          </w:p>
        </w:tc>
        <w:tc>
          <w:tcPr>
            <w:tcW w:w="62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米面及其制品(自制)</w:t>
            </w:r>
          </w:p>
        </w:tc>
        <w:tc>
          <w:tcPr>
            <w:tcW w:w="64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小麦粉制品(自制)</w:t>
            </w:r>
          </w:p>
        </w:tc>
        <w:tc>
          <w:tcPr>
            <w:tcW w:w="1015"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发酵面制品 (自制)</w:t>
            </w: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苯甲酸及其钠盐(以苯甲酸计)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295</w:t>
            </w:r>
          </w:p>
        </w:tc>
        <w:tc>
          <w:tcPr>
            <w:tcW w:w="75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315</w:t>
            </w: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山梨酸及其钾盐(以山梨酸计)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糖精钠(以糖精计）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油炸面制品 (自制)</w:t>
            </w: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铝的残留量(干样品,以Al计)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5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肉制品 (自制)</w:t>
            </w:r>
          </w:p>
        </w:tc>
        <w:tc>
          <w:tcPr>
            <w:tcW w:w="64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熟肉制品 (自制)</w:t>
            </w:r>
          </w:p>
        </w:tc>
        <w:tc>
          <w:tcPr>
            <w:tcW w:w="1015"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酱卤肉制品</w:t>
            </w: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胭脂红</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525</w:t>
            </w:r>
          </w:p>
        </w:tc>
        <w:tc>
          <w:tcPr>
            <w:tcW w:w="75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545</w:t>
            </w: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亚硝酸盐(以亚硝酸钠计)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苯甲酸及其钠盐(以苯甲酸计)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山梨酸及其钾盐(以山梨酸计)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肉冻、皮冻 (自制)</w:t>
            </w: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铬(以Cr计)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5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180</w:t>
            </w: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复合调味料(自制)</w:t>
            </w:r>
          </w:p>
        </w:tc>
        <w:tc>
          <w:tcPr>
            <w:tcW w:w="64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半固态调味料(自制)</w:t>
            </w:r>
          </w:p>
        </w:tc>
        <w:tc>
          <w:tcPr>
            <w:tcW w:w="1015"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火锅调味料 (底料、蘸</w:t>
            </w: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罂粟碱</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643</w:t>
            </w:r>
          </w:p>
        </w:tc>
        <w:tc>
          <w:tcPr>
            <w:tcW w:w="75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663</w:t>
            </w: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吗啡</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可待因</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那可丁</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蒂巴因</w:t>
            </w:r>
          </w:p>
        </w:tc>
        <w:tc>
          <w:tcPr>
            <w:tcW w:w="79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31</w:t>
            </w:r>
          </w:p>
        </w:tc>
        <w:tc>
          <w:tcPr>
            <w:tcW w:w="54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餐饮食品</w:t>
            </w: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水产及水产制品（餐饮）</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水产及水产制品（餐饮）</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生食动物性水产品（餐饮）</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挥发性盐基氮</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474</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494</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吸虫囊蚴</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线虫幼虫</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绦虫裂头蚴</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84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坚果及籽类食品（餐饮）</w:t>
            </w:r>
          </w:p>
        </w:tc>
        <w:tc>
          <w:tcPr>
            <w:tcW w:w="64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坚果及籽类食品（餐饮）</w:t>
            </w:r>
          </w:p>
        </w:tc>
        <w:tc>
          <w:tcPr>
            <w:tcW w:w="1015"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花生及其制品（餐饮)</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黄曲霉毒素B1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53"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餐饮具</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复用餐饮具</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复用餐饮具</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黄曲霉毒素B1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500</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520</w:t>
            </w:r>
          </w:p>
        </w:tc>
      </w:tr>
      <w:tr>
        <w:tblPrEx>
          <w:tblLayout w:type="fixed"/>
          <w:tblCellMar>
            <w:top w:w="0" w:type="dxa"/>
            <w:left w:w="0" w:type="dxa"/>
            <w:bottom w:w="0" w:type="dxa"/>
            <w:right w:w="0" w:type="dxa"/>
          </w:tblCellMar>
        </w:tblPrEx>
        <w:trPr>
          <w:trHeight w:val="315"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游离性余氯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60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阴离子合成洗涤剂（以十二烷基苯磺酸钠计）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43"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沙门氏菌</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32</w:t>
            </w:r>
          </w:p>
        </w:tc>
        <w:tc>
          <w:tcPr>
            <w:tcW w:w="54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食品添加剂</w:t>
            </w: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食品添加剂</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增稠剂</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明胶</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凝冻强度（6.67%）</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514</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534</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铬（Cr）</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铅（Pb）</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总砷（As）</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8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过氧化物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09"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复配食品添加剂</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复配膨松剂</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重金属（以Pb计）</w:t>
            </w:r>
          </w:p>
        </w:tc>
        <w:tc>
          <w:tcPr>
            <w:tcW w:w="796" w:type="dxa"/>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236</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256</w:t>
            </w:r>
          </w:p>
        </w:tc>
      </w:tr>
      <w:tr>
        <w:tblPrEx>
          <w:tblLayout w:type="fixed"/>
          <w:tblCellMar>
            <w:top w:w="0" w:type="dxa"/>
            <w:left w:w="0" w:type="dxa"/>
            <w:bottom w:w="0" w:type="dxa"/>
            <w:right w:w="0" w:type="dxa"/>
          </w:tblCellMar>
        </w:tblPrEx>
        <w:trPr>
          <w:trHeight w:val="401"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砷（As）</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溴酸钾</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复配食品添加剂（用于小麦粉）</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铅（Pb）</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396</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416</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溴酸钾</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02"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致病性微生物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复配食品添加剂（其</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铅（Pb）</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323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343</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31"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致病性微生物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食品用香精</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食品用香精</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重金属（以Pb计）含量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385</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405</w:t>
            </w:r>
          </w:p>
        </w:tc>
      </w:tr>
      <w:tr>
        <w:tblPrEx>
          <w:tblLayout w:type="fixed"/>
          <w:tblCellMar>
            <w:top w:w="0" w:type="dxa"/>
            <w:left w:w="0" w:type="dxa"/>
            <w:bottom w:w="0" w:type="dxa"/>
            <w:right w:w="0" w:type="dxa"/>
          </w:tblCellMar>
        </w:tblPrEx>
        <w:trPr>
          <w:trHeight w:val="54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砷（以As计）含量/无机砷含量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菌落总数</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防腐剂</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山梨酸钾</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山梨酸钾（以C6H7KO2计）（以干基计）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326</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346</w:t>
            </w: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重金属（以Pb计）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铅（Pb）</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砷（As）</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84"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甜味剂</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木糖醇</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木糖醇含量（以干基计）</w:t>
            </w:r>
          </w:p>
        </w:tc>
        <w:tc>
          <w:tcPr>
            <w:tcW w:w="796" w:type="dxa"/>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343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363</w:t>
            </w:r>
          </w:p>
        </w:tc>
      </w:tr>
      <w:tr>
        <w:tblPrEx>
          <w:tblLayout w:type="fixed"/>
          <w:tblCellMar>
            <w:top w:w="0" w:type="dxa"/>
            <w:left w:w="0" w:type="dxa"/>
            <w:bottom w:w="0" w:type="dxa"/>
            <w:right w:w="0" w:type="dxa"/>
          </w:tblCellMar>
        </w:tblPrEx>
        <w:trPr>
          <w:trHeight w:val="405"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还原糖（以葡萄糖计）</w:t>
            </w:r>
          </w:p>
        </w:tc>
        <w:tc>
          <w:tcPr>
            <w:tcW w:w="796" w:type="dxa"/>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97"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铅（Pb）</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镍（Ni）</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37" w:hRule="atLeast"/>
        </w:trPr>
        <w:tc>
          <w:tcPr>
            <w:tcW w:w="484" w:type="dxa"/>
            <w:vMerge w:val="restart"/>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33</w:t>
            </w:r>
          </w:p>
        </w:tc>
        <w:tc>
          <w:tcPr>
            <w:tcW w:w="54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食盐</w:t>
            </w: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食盐</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食盐</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食盐</w:t>
            </w: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氯化钠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807</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827</w:t>
            </w:r>
          </w:p>
        </w:tc>
      </w:tr>
      <w:tr>
        <w:tblPrEx>
          <w:tblLayout w:type="fixed"/>
          <w:tblCellMar>
            <w:top w:w="0" w:type="dxa"/>
            <w:left w:w="0" w:type="dxa"/>
            <w:bottom w:w="0" w:type="dxa"/>
            <w:right w:w="0" w:type="dxa"/>
          </w:tblCellMar>
        </w:tblPrEx>
        <w:trPr>
          <w:trHeight w:val="401"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氯化钾</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07"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碘（以I计）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99"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钡（以Ba计）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镉（以Cd计）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总汞(以Hg计)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36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亚硝酸盐</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20" w:hRule="atLeast"/>
        </w:trPr>
        <w:tc>
          <w:tcPr>
            <w:tcW w:w="484" w:type="dxa"/>
            <w:vMerge w:val="continue"/>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亚铁氰化钾（以亚铁氰根计）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restart"/>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34</w:t>
            </w:r>
          </w:p>
        </w:tc>
        <w:tc>
          <w:tcPr>
            <w:tcW w:w="54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食用农产品</w:t>
            </w: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畜禽肉及副产品</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畜肉</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猪肉</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挥发性盐基氮</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1945</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1965</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克伦特罗</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沙丁胺醇</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莱克多巴胺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特布他林</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呋喃唑酮代谢物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呋喃它酮代谢物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呋喃西林代谢物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呋喃妥因代谢物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氟苯尼考</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多西环素(强力霉素）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土霉素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80"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恩诺沙星（以恩诺沙星与环丙沙星之和计）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洛美沙星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培氟沙星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氧氟沙星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诺氟沙星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氯丙嗪</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磺胺类（总量）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五氯酚酸钠（以五氯酚计）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喹乙醇代谢物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利巴韦林</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牛肉</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挥发性盐基氮</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1888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1908</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克伦特罗</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沙丁胺醇</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莱克多巴胺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特布他林</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呋喃唑酮代谢物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呋喃它酮代谢物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呋喃西林代谢物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呋喃妥因代谢物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氟苯尼考</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多西环素(强力霉素）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土霉素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地塞米松</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80"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恩诺沙星（以恩诺沙星与环丙沙星之和计）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洛美沙星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培氟沙星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诺氟沙星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林可霉素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磺胺类（总量）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五氯酚酸钠（以五氯酚计）</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羊肉</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挥发性盐基氮</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1880</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1900</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克伦特罗</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沙丁胺醇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莱克多巴胺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特布他林</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呋喃唑酮代谢物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呋喃它酮代谢物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呋喃西林代谢物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呋喃妥因代谢物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氟苯尼考</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土霉素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80"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恩诺沙星（以恩诺沙星与环丙沙星之和计）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洛美沙星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培氟沙星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诺氟沙星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达氟沙星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氟甲喹</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磺胺类（总量）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五氯酚酸钠（以五氯酚计）</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其他畜肉</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挥发性盐基氮</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1660</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1680</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克伦特罗</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沙丁胺醇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莱克多巴胺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特布他林</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呋喃唑酮代谢物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呋喃它酮代谢物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呋喃西林代谢物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呋喃妥因代谢物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氟苯尼考</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土霉素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80"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恩诺沙星（以恩诺沙星与环丙沙星之和计）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洛美沙星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培氟沙星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诺氟沙星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磺胺类（总量）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五氯酚酸钠（以五氯酚计）</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禽肉</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鸡肉</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挥发性盐基氮</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2175</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2195</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呋喃唑酮代谢物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呋喃它酮代谢物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呋喃西林代谢物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呋喃妥因代谢物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氟苯尼考</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多西环素(强力霉素）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土霉素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四环素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80"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恩诺沙星（以恩诺沙星与环丙沙星之和计）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洛美沙星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培氟沙星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诺氟沙星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沙拉沙星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磺胺类（总量）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五氯酚酸钠（以五氯酚计）</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替米考星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尼卡巴嗪残留标志物</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金刚烷胺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金刚乙胺</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利巴韦林</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甲硝唑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鸭肉</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挥发性盐基氮</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1570</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1590</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呋喃唑酮代谢物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呋喃它酮代谢物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呋喃西林代谢物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呋喃妥因代谢物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氟苯尼考</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多西环素(强力霉素）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土霉素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四环素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80"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恩诺沙星（以恩诺沙星与环丙沙星之和计）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洛美沙星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培氟沙星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诺氟沙星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磺胺类（总量）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五氯酚酸钠（以五氯酚计）</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其他禽肉</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挥发性盐基氮</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1536</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1556</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呋喃唑酮代谢物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呋喃它酮代谢物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呋喃西林代谢物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呋喃妥因代谢物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氟苯尼考</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多西环素(强力霉素）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土霉素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四环素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80"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恩诺沙星（以恩诺沙星与环丙沙星之和计）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洛美沙星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培氟沙星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诺氟沙星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磺胺类（总量）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五氯酚酸钠（以五氯酚计）</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畜副产品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猪肝</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1700</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1720</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克伦特罗</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沙丁胺醇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莱克多巴胺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特布他林</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呋喃唑酮代谢物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呋喃它酮代谢物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呋喃西林代谢物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氟苯尼考</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多西环素(强力霉素）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土霉素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80"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恩诺沙星（以恩诺沙星与环丙沙星之和计）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洛美沙星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培氟沙星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诺氟沙星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磺胺类（总量）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五氯酚酸钠（以五氯酚计）</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牛肝</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克伦特罗</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1528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1548</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沙丁胺醇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莱克多巴胺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特布他林</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呋喃唑酮代谢物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呋喃它酮代谢物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呋喃西林代谢物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氟苯尼考</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多西环素(强力霉素）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土霉素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80"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恩诺沙星（以恩诺沙星与环丙沙星之和计）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洛美沙星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培氟沙星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诺氟沙星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磺胺类（总量）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五氯酚酸钠（以五氯酚计）</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羊肝</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1545</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1565</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克伦特罗</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沙丁胺醇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莱克多巴胺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特布他林</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呋喃唑酮代谢物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呋喃它酮代谢物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呋喃西林代谢物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氟苯尼考</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土霉素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80"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恩诺沙星（以恩诺沙星与环丙沙星之和计）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洛美沙星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培氟沙星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诺氟沙星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磺胺类（总量）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五氯酚酸钠（以五氯酚计）</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猪肾</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克伦特罗</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1545</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1565</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沙丁胺醇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莱克多巴胺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特布他林</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呋喃唑酮代谢物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呋喃它酮代谢物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呋喃西林代谢物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氟苯尼考</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多西环素(强力霉素）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土霉素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80"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恩诺沙星（以恩诺沙星与环丙沙星之和计）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洛美沙星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培氟沙星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诺氟沙星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磺胺类（总量）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五氯酚酸钠（以五氯酚计）</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牛肾</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克伦特罗</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1528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1548</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沙丁胺醇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莱克多巴胺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特布他林</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呋喃唑酮代谢物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呋喃它酮代谢物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呋喃西林代谢物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氟苯尼考</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多西环素(强力霉素）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土霉素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80"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恩诺沙星（以恩诺沙星与环丙沙星之和计）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洛美沙星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培氟沙星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诺氟沙星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磺胺类（总量）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五氯酚酸钠（以五氯酚计）</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羊肾</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1545</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1565</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克伦特罗</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沙丁胺醇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莱克多巴胺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特布他林</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呋喃唑酮代谢物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呋喃它酮代谢物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呋喃西林代谢物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氟苯尼考</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土霉素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80"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恩诺沙星（以恩诺沙星与环丙沙星之和计）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洛美沙星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培氟沙星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诺氟沙星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磺胺类（总量）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五氯酚酸钠（以五氯酚计）</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其他畜副产品</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克伦特罗</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1266</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1286</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沙丁胺醇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莱克多巴胺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特布他林</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呋喃唑酮代谢物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呋喃它酮代谢物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呋喃西林代谢物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土霉素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磺胺类（总量）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洛美沙星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培氟沙星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氧氟沙星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诺氟沙星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五氯酚酸钠（以五氯酚计）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禽副产品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鸡肝</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总汞（以Hg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1570</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1590</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铬（以 Cr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呋喃唑酮代谢物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呋喃它酮代谢物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呋喃西林代谢物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呋喃妥因代谢物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氟苯尼考</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洛美沙星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培氟沙星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诺氟沙星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五氯酚酸钠（以五氯酚计）</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替米考星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金刚烷胺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金刚乙胺</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利巴韦林</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其他禽副产品</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铬（以 Cr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1021</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1041</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呋喃唑酮代谢物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呋喃它酮代谢物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呋喃西林代谢物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呋喃妥因代谢物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氟苯尼考</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洛美沙星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培氟沙星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诺氟沙星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五氯酚酸钠（以五氯酚计）</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蔬菜</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豆芽</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豆芽</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506</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526</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铬（以 Cr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亚硫酸盐（以 SO2 计）</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6-苄基腺嘌呤（6-BA）</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9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4-氯苯氧乙酸钠（以 4-氯苯氧乙酸计）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鲜食用菌</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鲜食用菌</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652</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672</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总砷（以As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总汞（以Hg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氯氟氰菊酯和高效氯氟氰菊酯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氯氰菊酯和高效氯氰菊酯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氟氯氰菊酯和高效氟氯氰菊酯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鳞茎类蔬菜</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韭菜</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2111</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2131</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阿维菌素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倍硫磷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敌敌畏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毒死蜱</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对硫磷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多菌灵</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二甲戊灵</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腐霉利</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甲拌磷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克百威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氯氟氰菊酯和高效氯氟氰菊酯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氯氰菊酯和高效氯氰菊酯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氯唑磷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灭多威</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内吸磷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杀扑磷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水胺硫磷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灭线磷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芸薹属类蔬菜</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结球甘蓝</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1751</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1771</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阿维菌素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倍硫磷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哒螨灵</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敌百虫</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氟吡甲禾灵和高效氟吡甲禾灵</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甲氨基阿维菌素苯甲酸盐</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甲胺磷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甲基异柳磷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硫线磷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氯氰菊酯和高效氯氰菊酯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氯唑磷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灭多威</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噻虫胺</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噻虫啉</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杀扑磷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水胺硫磷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肟菌酯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花椰菜</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1351</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1371</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阿维菌素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倍硫磷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敌百虫</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毒死蜱</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氟酰脲</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甲拌磷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甲霜灵和精甲霜灵</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硫线磷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氯氰菊酯和高效氯氰菊酯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氯唑磷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杀扑磷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水胺硫磷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戊唑醇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菜薹</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1886</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1906</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敌敌畏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对硫磷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甲胺磷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甲拌磷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甲基对硫磷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甲基异柳磷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甲萘威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克百威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联苯菊酯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氯氰菊酯和高效氯氰菊酯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咪鲜胺和咪鲜胺锰盐</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灭多威</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三环唑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杀螟硫磷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水胺硫磷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涕灭威</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乙酰甲胺磷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叶菜类蔬菜</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菠菜</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1356</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1376</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阿维菌素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倍硫磷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毒死蜱</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二嗪磷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伏杀硫磷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甲霜灵和精甲霜灵</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克百威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硫线磷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氯氰菊酯和高效氯氰菊酯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灭多威</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杀扑磷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水胺硫磷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芹菜</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1601</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1621</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阿维菌素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百菌清</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倍硫磷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毒死蜱</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甲拌磷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克百威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硫线磷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氯氟氰菊酯和高效氯氟氰菊酯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氯氰菊酯和高效氯氰菊酯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灭多威</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杀扑磷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水胺硫磷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肟菌酯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普通白菜</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1996</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2016</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阿维菌素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倍硫磷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丙溴磷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虫螨腈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虫酰肼</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敌百虫</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啶虫脒</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毒死蜱</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甲氨基阿维菌素苯甲酸盐</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甲拌磷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久效磷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克百威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硫线磷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氯氰菊酯和高效氯氰菊酯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氯唑磷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灭多威</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内吸磷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杀扑磷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水胺硫磷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甲胺磷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叶菜类蔬菜</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油麦菜</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2321</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2341</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倍硫磷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虫酰肼</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敌百虫</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对硫磷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甲胺磷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甲拌磷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甲基对硫磷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甲基硫环磷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甲基异柳磷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甲萘威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久效磷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克百威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硫环磷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硫线磷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氯唑磷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灭多威</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灭线磷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内吸磷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杀螟硫磷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杀扑磷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水胺硫磷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涕灭威</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乙酰甲胺磷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大白菜</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4661</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4681</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阿维菌素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百菌清</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倍硫磷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苯醚甲环唑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吡虫啉</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吡唑醚菌酯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虫螨腈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虫酰肼</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除虫脲</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敌百虫</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敌敌畏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啶虫脒</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毒死蜱</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对硫磷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二嗪磷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伏杀硫磷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氟胺氰菊酯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氟苯脲</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氟啶脲</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氟氯氰菊酯和高效氟氯氰菊酯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甲氨基阿维菌素苯甲酸盐</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甲胺磷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甲拌磷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甲基硫环磷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甲基异柳磷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甲萘威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甲氰菊酯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久效磷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克百威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氯氟氰菊酯和高效氯氟氰菊酯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氯氰菊酯和高效氯氰菊酯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氯唑磷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马拉硫磷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醚菊酯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灭多威</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灭线磷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内吸磷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氰戊菊酯和 S-氰戊菊酯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炔螨特</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杀螟丹</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杀螟硫磷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杀扑磷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水胺硫磷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涕灭威</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溴氰菊酯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亚胺硫磷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乙酰甲胺磷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唑虫酰胺</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茄果类蔬菜</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茄子</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1956</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1976</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阿维菌素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倍硫磷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敌百虫</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啶虫脒</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甲胺磷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甲拌磷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克百威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硫线磷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氯氰菊酯和高效氯氰菊酯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氯唑磷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灭多威</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内吸磷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噻虫啉</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噻螨酮</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三唑醇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杀扑磷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水胺硫磷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肟菌酯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唑螨酯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辣椒</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1866</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1886</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倍硫磷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吡唑醚菌酯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虫酰肼</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敌百虫</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甲拌磷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甲霜灵和精甲霜灵</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克百威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硫线磷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氯氰菊酯和高效氯氰菊酯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氯唑磷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咪鲜胺和咪鲜胺锰盐</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灭多威</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内吸磷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三唑醇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杀扑磷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水胺硫磷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唑螨酯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多菌灵</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番茄</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1781</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1801</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阿维菌素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苯醚甲环唑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苯酰菌胺</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啶氧菌酯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甲氨基阿维菌素苯甲酸盐</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硫线磷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氯氟氰菊酯和高效氯氟氰菊酯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氯氰菊酯和高效氯氰菊酯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嘧菌酯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灭多威</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噻虫胺</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杀扑磷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双甲脒</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水胺硫磷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肟菌酯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乙霉威</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唑螨酯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甜椒</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4086</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4106</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阿维菌素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倍硫磷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敌百虫</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敌敌畏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对硫磷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二嗪磷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粉唑醇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氟酰脲</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甲胺磷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甲拌磷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甲苯氟磺胺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甲基对硫磷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甲基硫环磷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甲基硫菌灵</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甲基异柳磷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甲萘威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甲氰菊酯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久效磷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抗蚜威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克百威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联苯肼酯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硫线磷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氯苯嘧啶醇</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氯氟氰菊酯和高效氯氟氰菊酯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氯唑磷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嘧菌环胺</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灭多威</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灭线磷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内吸磷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噻虫啉</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三唑醇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三唑酮</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杀螟硫磷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杀扑磷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杀线威</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霜霉威和霜霉威盐酸盐</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水胺硫磷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涕灭威</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五氯硝基苯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戊唑醇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烯酰吗啉</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乙酰甲胺磷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肟菌酯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唑螨酯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瓜类蔬菜</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黄瓜</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2511</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2531</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阿维菌素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苯醚甲环唑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吡虫啉</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吡唑醚菌酯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哒螨灵</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毒死蜱</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呋虫胺</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甲氨基阿维菌素苯甲酸盐</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甲拌磷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甲霜灵和精甲霜灵</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腈苯唑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腈菌唑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克百威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联苯肼酯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硫线磷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氯唑磷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醚菌酯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灭多威</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内吸磷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噻虫啉</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杀扑磷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杀线威</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水胺硫磷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四螨嗪</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乙霉威</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唑螨酯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豆类蔬菜</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豇豆</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1661</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1681</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阿维菌素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倍硫磷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敌百虫</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甲拌磷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甲基异柳磷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克百威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联苯肼酯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硫线磷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氯氰菊酯和高效氯氰菊酯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氯唑磷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灭多威</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灭蝇胺</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内吸磷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杀扑磷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水胺硫磷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甲胺磷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菜豆</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1686</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1706</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阿维菌素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倍硫磷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敌百虫</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甲拌磷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克百威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联苯肼酯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硫线磷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氯氰菊酯和高效氯氰菊酯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氯唑磷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嘧霉胺</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灭多威</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灭蝇胺</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内吸磷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杀扑磷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水胺硫磷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溴螨酯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根茎类和薯芋类蔬菜</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山药</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2738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2758</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倍硫磷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敌百虫</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对硫磷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氟氰戊菊酯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甲胺磷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甲拌磷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甲基对硫磷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甲基硫环磷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甲基异柳磷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甲萘威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久效磷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克百威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联苯菊酯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硫环磷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硫线磷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氯氟氰菊酯和高效氯氟氰菊酯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氯唑磷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马拉硫磷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灭多威</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灭线磷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内吸磷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氰戊菊酯和 S-氰戊菊酯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杀螟硫磷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杀扑磷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水胺硫磷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涕灭威</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乙酰甲胺磷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水产品</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淡水产品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淡水鱼</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挥发性盐基氮</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2223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2243</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孔雀石绿</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甲砜霉素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氟苯尼考</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呋喃唑酮代谢物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呋喃它酮代谢物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呋喃西林代谢物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呋喃妥因代谢物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80"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恩诺沙星（以恩诺沙星与环丙沙星之和计）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氧氟沙星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培氟沙星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洛美沙星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诺氟沙星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四环素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土霉素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磺胺类（总量）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地西泮</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甲硝唑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地美硝唑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洛硝哒唑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羟基甲硝唑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羟甲基甲硝咪唑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五氯酚酸钠（以五氯酚计）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淡水虾</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挥发性盐基氮</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2158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2178</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孔雀石绿</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氟苯尼考</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呋喃唑酮代谢物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呋喃它酮代谢物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呋喃西林代谢物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呋喃妥因代谢物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80"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恩诺沙星（以恩诺沙星与环丙沙星之和计）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培氟沙星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洛美沙星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诺氟沙星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四环素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土霉素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磺胺类（总量）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地西泮</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甲硝唑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地美硝唑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洛硝哒唑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羟基甲硝唑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羟甲基甲硝咪唑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五氯酚酸钠（以五氯酚计）</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淡水蟹</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2075</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2095</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孔雀石绿</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氟苯尼考</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呋喃唑酮代谢物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呋喃它酮代谢物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呋喃西林代谢物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呋喃妥因代谢物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80"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恩诺沙星（以恩诺沙星与环丙沙星之和计）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培氟沙星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洛美沙星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诺氟沙星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四环素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土霉素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磺胺类（总量）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地西泮</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甲硝唑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地美硝唑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洛硝哒唑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羟基甲硝唑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羟甲基甲硝咪唑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五氯酚酸钠（以五氯酚计）</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海水产品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海水鱼</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挥发性盐基氮</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2296</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2316</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组胺</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孔雀石绿</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甲砜霉素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氟苯尼考</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呋喃唑酮代谢物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呋喃它酮代谢物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呋喃西林代谢物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呋喃妥因代谢物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80"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恩诺沙星（以恩诺沙星与环丙沙星之和计）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氧氟沙星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培氟沙星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洛美沙星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诺氟沙星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四环素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土霉素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磺胺类（总量）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地西泮</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甲硝唑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地美硝唑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洛硝哒唑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羟基甲硝唑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羟甲基甲硝咪唑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五氯酚酸钠（以五氯酚计）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海水虾</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挥发性盐基氮</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2273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2293</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孔雀石绿</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氟苯尼考</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呋喃唑酮代谢物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呋喃它酮代谢物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呋喃西林代谢物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呋喃妥因代谢物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80"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恩诺沙星（以恩诺沙星与环丙沙星之和计）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培氟沙星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洛美沙星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诺氟沙星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四环素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土霉素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磺胺类（总量）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地西泮</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甲硝唑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地美硝唑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洛硝哒唑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羟基甲硝唑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羟甲基甲硝咪唑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五氯酚酸钠（以五氯酚计）</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海水蟹</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挥发性盐基氮</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2273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2293</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孔雀石绿</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氟苯尼考</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呋喃唑酮代谢物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呋喃它酮代谢物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呋喃西林代谢物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呋喃妥因代谢物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80"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恩诺沙星（以恩诺沙星与环丙沙星之和计）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培氟沙星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洛美沙星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诺氟沙星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四环素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土霉素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磺胺类（总量）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地西泮</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甲硝唑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地美硝唑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洛硝哒唑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羟基甲硝唑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羟甲基甲硝咪唑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五氯酚酸钠（以五氯酚计）</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贝类</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贝类</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挥发性盐基氮</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2197</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2217</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无机砷（以 As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孔雀石绿</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氟苯尼考</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呋喃唑酮代谢物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呋喃它酮代谢物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呋喃西林代谢物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呋喃妥因代谢物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80"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恩诺沙星（以恩诺沙星与环丙沙星之和计）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培氟沙星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洛美沙星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诺氟沙星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四环素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土霉素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磺胺类（总量）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地西泮</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甲硝唑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地美硝唑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洛硝哒唑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羟基甲硝唑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羟甲基甲硝咪唑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其他水产品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其他水产品</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1274</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1294</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甲基汞（以 Hg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无机砷（以 As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孔雀石绿</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呋喃唑酮代谢物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呋喃它酮代谢物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呋喃西林代谢物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呋喃妥因代谢物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80"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恩诺沙星（以恩诺沙星与环丙沙星之和计）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氧氟沙星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培氟沙星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洛美沙星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诺氟沙星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水果类</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仁果类水果</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苹果</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2133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2153</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烯唑醇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戊唑醇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四螨嗪</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噻螨酮</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噻菌灵</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螺螨酯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腈菌唑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甲基硫菌灵</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氟氯氰菊酯和高效氟氯氰菊酯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氟环唑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氟虫脲</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毒死蜱</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啶酰菌胺</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丙溴磷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吡唑醚菌酯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苯醚甲环唑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阿维菌素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甲基异柳磷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氯氰菊酯和高效氯氰菊酯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丙环唑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对硫磷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敌敌畏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梨</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2181</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2201</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烯唑醇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戊唑醇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四螨嗪</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噻菌灵</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氰戊菊酯和 S-氰戊菊酯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灭线磷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醚菌酯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氯氟氰菊酯和高效氯氟氰菊酯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腈菌唑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甲基硫菌灵</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氟氯氰菊酯和高效氟氯氰菊酯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氟硅唑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多菌灵</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毒死蜱</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敌敌畏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吡虫啉</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苯醚甲环唑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百菌清</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阿维菌素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甲基异柳磷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氯氰菊酯和高效氯氰菊酯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克百威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枇杷</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1168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1188</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唑螨酯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戊唑醇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杀螟硫磷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噻菌灵</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氰戊菊酯和 S-氰戊菊酯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氯吡脲</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抗蚜威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啶虫脒</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敌百虫</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甲基异柳磷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核果类水果</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枣</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928</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氯氰菊酯和高效氯氰菊酯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嘧菌酯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氰戊菊酯和 S-氰戊菊酯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啶虫脒</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糖精钠（以糖精计）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桃</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1163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1183</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戊唑醇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氰戊菊酯和 S-氰戊菊酯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氯氰菊酯和高效氯氰菊酯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抗蚜威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腈苯唑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吡唑醚菌酯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苯醚甲环唑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啶虫脒</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多菌灵</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氯唑磷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油桃</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1103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1123</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戊唑醇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氰戊菊酯和 S-氰戊菊酯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氯氰菊酯和高效氯氰菊酯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克百威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抗蚜威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甲胺磷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苯醚甲环唑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啶虫脒</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多菌灵</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杏</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1143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1163</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溴氰菊酯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戊唑醇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氰戊菊酯和 S-氰戊菊酯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嘧霉胺</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氯氰菊酯和高效氯氰菊酯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联苯三唑醇</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抗蚜威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腈菌唑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腈苯唑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氟硅唑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啶虫脒</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樱桃</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793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813</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溴氰菊酯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戊唑醇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苯醚甲环唑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啶虫脒</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氰戊菊酯和 S-氰戊菊酯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李子</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988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1008</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溴氰菊酯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戊唑醇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氰戊菊酯和 S-氰戊菊酯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抗蚜威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腈菌唑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甲氰菊酯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苯醚甲环唑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啶虫脒</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柑橘类水果</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柑、橘</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2068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2088</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抑霉唑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乙螨唑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溴氰菊酯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戊唑醇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四螨嗪</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三唑磷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噻嗪酮</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氰戊菊酯和 S-氰戊菊酯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氯氰菊酯和高效氯氰菊酯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螺螨酯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联苯菊酯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克百威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氟氯氰菊酯和高效氟氯氰菊酯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毒死蜱</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丙溴磷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苯醚甲环唑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阿维菌素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杀扑磷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多菌灵</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狄氏剂</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柚</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1758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1778</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抑霉唑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乙螨唑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溴氰菊酯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戊唑醇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四螨嗪</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噻嗪酮</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氰戊菊酯和 S-氰戊菊酯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联苯菊酯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氟氯氰菊酯和高效氟氯氰菊酯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毒死蜱</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啶虫脒</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丙溴磷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阿维菌素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杀扑磷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氯氰菊酯和高效氯氰菊酯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嘧菌酯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苯醚甲环唑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柠檬</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1913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1933</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抑霉唑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乙螨唑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戊唑醇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四螨嗪</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噻嗪酮</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噻菌灵</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氰戊菊酯和 S-氰戊菊酯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嘧菌酯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螺螨酯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联苯菊酯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氟氯氰菊酯和高效氟氯氰菊酯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毒死蜱</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啶虫脒</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草甘膦</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丙溴磷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苯醚甲环唑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阿维菌素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狄氏剂</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杀扑磷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橙</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2438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2458</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抑霉唑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乙螨唑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溴氰菊酯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戊唑醇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四螨嗪</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三唑磷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噻嗪酮</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噻菌灵</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氰戊菊酯和 S-氰戊菊酯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嘧菌酯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氯唑磷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氯氰菊酯和高效氯氰菊酯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氯氟氰菊酯和高效氯氟氰菊酯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螺螨酯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联苯菊酯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克百威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氟氯氰菊酯和高效氟氯氰菊酯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毒死蜱</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狄氏剂</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草甘膦</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丙溴磷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苯醚甲环唑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阿维菌素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杀扑磷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氯吡脲</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浆果和其他小型水果</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葡萄</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1463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1483</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戊唑醇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戊菌唑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噻菌灵</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氰戊菊酯和 S-氰戊菊酯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嘧霉胺</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嘧菌酯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氯吡脲</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甲霜灵和精甲霜灵</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己唑醇</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氟硅唑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啶酰菌胺</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苯醚甲环唑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溴氰菊酯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百菌清</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蓝莓</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1168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1188</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水胺硫磷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杀扑磷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灭线磷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灭多威</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氯氟氰菊酯和高效氯氟氰菊酯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克百威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甲基异柳磷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甲胺磷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多杀霉素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敌敌畏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草甘膦</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草莓</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1488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1508</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烯酰吗啉</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戊菌唑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氰戊菊酯和 S-氰戊菊酯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醚菌酯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氯氰菊酯和高效氯氰菊酯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联苯菊酯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腐霉利</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粉唑醇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啶酰菌胺</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草甘膦</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阿维菌素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溴氰菊酯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嘧霉胺</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多菌灵</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桑葚</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858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878</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戊唑醇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水胺硫磷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杀扑磷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灭多威</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草甘膦</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倍硫磷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敌百虫</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久效磷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猕猴桃</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743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763</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氰戊菊酯和 S-氰戊菊酯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氯吡脲</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溴氰菊酯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倍硫磷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敌百虫</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久效磷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西番莲</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1326</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1346</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戊唑醇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氰戊菊酯和 S-氰戊菊酯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氯唑磷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氯氟氰菊酯和高效氯氟氰菊酯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克百威</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甲胺磷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对硫磷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敌敌畏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敌百虫</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苯醚甲环唑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水胺硫磷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杀扑磷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热带和亚热带水果</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香蕉</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1463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1483</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溴氰菊酯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烯唑醇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肟菌酯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噻菌灵</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氰戊菊酯和 S-氰戊菊酯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嘧菌酯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腈菌唑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腈苯唑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氟环唑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丙环唑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苯醚甲环唑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百菌清</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吡唑醚菌酯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芒果</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1173</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氧乐果</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溴氰菊酯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戊唑醇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噻菌灵</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氰戊菊酯和 S-氰戊菊酯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嘧菌酯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嘧菌环胺</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丙溴磷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吡唑醚菌酯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苯醚甲环唑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火龙果</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778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798</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水胺硫磷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敌百虫</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久效磷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硫环磷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硫线磷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氯唑磷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灭多威</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内吸磷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柿子</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803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823</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水胺硫磷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杀扑磷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氰戊菊酯和 S-氰戊菊酯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氯唑磷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氯菊酯</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甲基异柳磷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对硫磷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甲拌磷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菠萝</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988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1008</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莠灭净</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烯酰吗啉</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丙环唑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二嗪磷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溴氰菊酯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久效磷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硫环磷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硫线磷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灭多威</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内吸磷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荔枝</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1218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1238</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溴氰菊酯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氰戊菊酯和 S-氰戊菊酯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嘧菌酯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氯氰菊酯和高效氯氰菊酯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腈菌唑</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甲霜灵和精甲霜灵</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毒死蜱</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敌百虫</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吡唑醚菌酯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苯醚甲环唑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乙酰甲胺磷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龙眼</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703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723</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氰戊菊酯和 S-氰戊菊酯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氯氰菊酯和高效氯氰菊酯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毒死蜱</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敌百虫</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乙酰甲胺磷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石榴</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958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978</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杀扑磷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氰戊菊酯和 S-氰戊菊酯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氯唑磷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敌百虫</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久效磷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硫环磷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硫线磷</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灭多威</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内吸磷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瓜果类水果</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西瓜</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1463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1483</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肟菌酯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涕灭威</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氰戊菊酯和 S-氰戊菊酯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嘧菌酯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咪鲜胺和咪鲜胺锰盐</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氯吡脲</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甲霜灵和精甲霜灵</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甲基硫菌灵</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啶氧菌酯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啶虫脒</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苯醚甲环唑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阿维菌素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乙酰甲胺磷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噻虫嗪</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甜瓜类</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1038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1058</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辛硫磷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烯酰吗啉</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戊唑醇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氰戊菊酯和 S-氰戊菊酯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醚菌酯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啶酰菌胺</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吡唑醚菌酯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阿维菌素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乙酰甲胺磷</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氯吡脲</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鲜蛋</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鲜蛋</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鸡蛋</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1533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1553</w:t>
            </w:r>
          </w:p>
        </w:tc>
      </w:tr>
      <w:tr>
        <w:tblPrEx>
          <w:tblLayout w:type="fixed"/>
          <w:tblCellMar>
            <w:top w:w="0" w:type="dxa"/>
            <w:left w:w="0" w:type="dxa"/>
            <w:bottom w:w="0" w:type="dxa"/>
            <w:right w:w="0" w:type="dxa"/>
          </w:tblCellMar>
        </w:tblPrEx>
        <w:trPr>
          <w:trHeight w:val="480"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恩诺沙星（以恩诺沙星与环丙沙星之和计）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培氟沙星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诺氟沙星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洛美沙星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氟苯尼考</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160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多西环素(强力霉素）</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呋喃它酮代谢物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呋喃唑酮代谢物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呋喃西林代谢物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呋喃妥因代谢物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金刚烷胺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金刚乙胺</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利巴韦林</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80"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氟虫腈（以氟虫腈、氟甲腈、氟虫腈砜、氟虫腈亚砜之和计）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其他禽蛋</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1266</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1286</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培氟沙星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氧氟沙星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诺氟沙星</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洛美沙星</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氯霉素</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氟苯尼考</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呋喃它酮代谢物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呋喃唑酮代谢物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呋喃西林代谢物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呋喃妥因代谢物</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金刚烷胺</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金刚乙胺</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利巴韦林</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80"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氟虫腈（以氟虫腈、氟甲腈、氟虫腈砜、氟虫腈亚砜之和计）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豆类</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豆类</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豆类</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760</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780</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铬（以 Cr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Style w:val="24"/>
                <w:bdr w:val="none" w:color="auto" w:sz="0" w:space="0"/>
                <w:lang w:val="en-US" w:eastAsia="zh-CN" w:bidi="ar"/>
              </w:rPr>
              <w:t>赭曲霉毒素 A</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烯草酮</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丙炔氟草胺</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氯嘧磺隆</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氟磺胺草醚</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生干坚果与籽类食品</w:t>
            </w:r>
          </w:p>
        </w:tc>
        <w:tc>
          <w:tcPr>
            <w:tcW w:w="64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生干坚果与籽类食品</w:t>
            </w: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生干坚果</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酸价（以脂肪计）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768</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788</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过氧化值（以脂肪计）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唑螨酯</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苯醚甲环唑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多菌灵</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生干籽类</w:t>
            </w: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酸价（以脂肪计）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723</w:t>
            </w:r>
          </w:p>
        </w:tc>
        <w:tc>
          <w:tcPr>
            <w:tcW w:w="753"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w:t>
            </w:r>
          </w:p>
        </w:tc>
        <w:tc>
          <w:tcPr>
            <w:tcW w:w="620" w:type="dxa"/>
            <w:vMerge w:val="restart"/>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743</w:t>
            </w: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过氧化值（以脂肪计）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130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铅（以Pb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镉（以 Cd 计）</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73</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黄曲霉毒素 B1</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102</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多菌灵</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苯醚甲环唑</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粉唑醇</w:t>
            </w:r>
          </w:p>
        </w:tc>
        <w:tc>
          <w:tcPr>
            <w:tcW w:w="796"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二氧化硫残留量</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115</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55" w:hRule="atLeast"/>
        </w:trPr>
        <w:tc>
          <w:tcPr>
            <w:tcW w:w="484" w:type="dxa"/>
            <w:vMerge w:val="continue"/>
            <w:tcBorders>
              <w:top w:val="nil"/>
              <w:left w:val="single" w:color="000000" w:sz="8" w:space="0"/>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54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4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5"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31" w:type="dxa"/>
            <w:tcBorders>
              <w:top w:val="nil"/>
              <w:left w:val="nil"/>
              <w:bottom w:val="single" w:color="000000" w:sz="8" w:space="0"/>
              <w:right w:val="single" w:color="000000" w:sz="8"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大肠菌群</w:t>
            </w:r>
          </w:p>
        </w:tc>
        <w:tc>
          <w:tcPr>
            <w:tcW w:w="796" w:type="dxa"/>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w:t>
            </w:r>
          </w:p>
        </w:tc>
        <w:tc>
          <w:tcPr>
            <w:tcW w:w="716"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753"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0" w:type="dxa"/>
            <w:vMerge w:val="continue"/>
            <w:tcBorders>
              <w:top w:val="nil"/>
              <w:left w:val="nil"/>
              <w:bottom w:val="single" w:color="000000" w:sz="8" w:space="0"/>
              <w:right w:val="single" w:color="000000" w:sz="8"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425" w:hRule="atLeast"/>
        </w:trPr>
        <w:tc>
          <w:tcPr>
            <w:tcW w:w="7338" w:type="dxa"/>
            <w:gridSpan w:val="7"/>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投标细类单批次均价</w:t>
            </w:r>
          </w:p>
        </w:tc>
        <w:tc>
          <w:tcPr>
            <w:tcW w:w="2089" w:type="dxa"/>
            <w:gridSpan w:val="3"/>
            <w:tcBorders>
              <w:top w:val="nil"/>
              <w:left w:val="nil"/>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 xml:space="preserve"> </w:t>
            </w:r>
            <w:r>
              <w:rPr>
                <w:rFonts w:hint="eastAsia" w:asciiTheme="minorEastAsia" w:hAnsiTheme="minorEastAsia" w:eastAsiaTheme="minorEastAsia" w:cstheme="minorEastAsia"/>
                <w:b/>
                <w:bCs w:val="0"/>
                <w:i w:val="0"/>
                <w:color w:val="000000"/>
                <w:kern w:val="0"/>
                <w:sz w:val="24"/>
                <w:szCs w:val="24"/>
                <w:u w:val="none"/>
                <w:bdr w:val="none" w:color="auto" w:sz="0" w:space="0"/>
                <w:lang w:val="en-US" w:eastAsia="zh-CN" w:bidi="ar"/>
              </w:rPr>
              <w:t xml:space="preserve"> </w:t>
            </w:r>
            <w:r>
              <w:rPr>
                <w:rFonts w:hint="eastAsia" w:asciiTheme="minorEastAsia" w:hAnsiTheme="minorEastAsia" w:eastAsiaTheme="minorEastAsia" w:cstheme="minorEastAsia"/>
                <w:b/>
                <w:bCs w:val="0"/>
                <w:sz w:val="24"/>
                <w:szCs w:val="24"/>
                <w:lang w:eastAsia="zh-CN"/>
              </w:rPr>
              <w:t>￥</w:t>
            </w:r>
            <w:r>
              <w:rPr>
                <w:rFonts w:hint="eastAsia" w:asciiTheme="minorEastAsia" w:hAnsiTheme="minorEastAsia" w:eastAsiaTheme="minorEastAsia" w:cstheme="minorEastAsia"/>
                <w:b/>
                <w:bCs w:val="0"/>
                <w:sz w:val="24"/>
                <w:szCs w:val="24"/>
              </w:rPr>
              <w:t>1097.62</w:t>
            </w:r>
            <w:r>
              <w:rPr>
                <w:rFonts w:hint="eastAsia" w:asciiTheme="minorEastAsia" w:hAnsiTheme="minorEastAsia" w:eastAsiaTheme="minorEastAsia" w:cstheme="minorEastAsia"/>
                <w:b/>
                <w:bCs w:val="0"/>
                <w:i w:val="0"/>
                <w:color w:val="000000"/>
                <w:kern w:val="0"/>
                <w:sz w:val="24"/>
                <w:szCs w:val="24"/>
                <w:u w:val="none"/>
                <w:bdr w:val="none" w:color="auto" w:sz="0" w:space="0"/>
                <w:lang w:val="en-US" w:eastAsia="zh-CN" w:bidi="ar"/>
              </w:rPr>
              <w:t xml:space="preserve">  元</w:t>
            </w:r>
          </w:p>
        </w:tc>
      </w:tr>
      <w:tr>
        <w:tblPrEx>
          <w:tblLayout w:type="fixed"/>
          <w:tblCellMar>
            <w:top w:w="0" w:type="dxa"/>
            <w:left w:w="0" w:type="dxa"/>
            <w:bottom w:w="0" w:type="dxa"/>
            <w:right w:w="0" w:type="dxa"/>
          </w:tblCellMar>
        </w:tblPrEx>
        <w:trPr>
          <w:trHeight w:val="403" w:hRule="atLeast"/>
        </w:trPr>
        <w:tc>
          <w:tcPr>
            <w:tcW w:w="9427" w:type="dxa"/>
            <w:gridSpan w:val="10"/>
            <w:tcBorders>
              <w:top w:val="nil"/>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 xml:space="preserve">合计：共报   250   个食品细类，占全259个食品细类的 </w:t>
            </w:r>
            <w:r>
              <w:rPr>
                <w:rFonts w:hint="eastAsia" w:ascii="宋体" w:hAnsi="宋体" w:eastAsia="宋体" w:cs="宋体"/>
                <w:b/>
                <w:bCs w:val="0"/>
                <w:i w:val="0"/>
                <w:color w:val="000000"/>
                <w:kern w:val="0"/>
                <w:sz w:val="20"/>
                <w:szCs w:val="20"/>
                <w:u w:val="none"/>
                <w:bdr w:val="none" w:color="auto" w:sz="0" w:space="0"/>
                <w:lang w:val="en-US" w:eastAsia="zh-CN" w:bidi="ar"/>
              </w:rPr>
              <w:t xml:space="preserve"> </w:t>
            </w:r>
            <w:r>
              <w:rPr>
                <w:rFonts w:hint="eastAsia" w:eastAsia="宋体" w:cs="宋体" w:asciiTheme="minorEastAsia" w:hAnsiTheme="minorEastAsia"/>
                <w:b/>
                <w:bCs w:val="0"/>
                <w:kern w:val="0"/>
                <w:sz w:val="20"/>
                <w:szCs w:val="20"/>
                <w:lang w:val="en-US" w:eastAsia="zh-CN"/>
              </w:rPr>
              <w:t>96.53</w:t>
            </w:r>
            <w:r>
              <w:rPr>
                <w:rFonts w:hint="eastAsia" w:ascii="宋体" w:hAnsi="宋体" w:eastAsia="宋体" w:cs="宋体"/>
                <w:b/>
                <w:i w:val="0"/>
                <w:color w:val="000000"/>
                <w:kern w:val="0"/>
                <w:sz w:val="20"/>
                <w:szCs w:val="20"/>
                <w:u w:val="none"/>
                <w:bdr w:val="none" w:color="auto" w:sz="0" w:space="0"/>
                <w:lang w:val="en-US" w:eastAsia="zh-CN" w:bidi="ar"/>
              </w:rPr>
              <w:t xml:space="preserve">  %。</w:t>
            </w:r>
          </w:p>
        </w:tc>
      </w:tr>
    </w:tbl>
    <w:p>
      <w:pPr>
        <w:bidi w:val="0"/>
        <w:jc w:val="center"/>
        <w:rPr>
          <w:rFonts w:hint="eastAsia"/>
        </w:rPr>
      </w:pPr>
    </w:p>
    <w:p>
      <w:pPr>
        <w:pageBreakBefore/>
        <w:spacing w:line="480" w:lineRule="exact"/>
        <w:jc w:val="center"/>
        <w:outlineLvl w:val="1"/>
        <w:rPr>
          <w:rFonts w:ascii="宋体" w:hAnsi="宋体"/>
          <w:b/>
          <w:bCs/>
          <w:color w:val="000000"/>
          <w:sz w:val="36"/>
          <w:szCs w:val="36"/>
        </w:rPr>
      </w:pPr>
      <w:bookmarkStart w:id="0" w:name="_Toc8134206"/>
      <w:bookmarkStart w:id="1" w:name="_Toc7168898"/>
      <w:bookmarkStart w:id="2" w:name="_Toc7168774"/>
      <w:bookmarkStart w:id="3" w:name="_Toc8959"/>
      <w:r>
        <w:rPr>
          <w:rFonts w:hint="eastAsia" w:ascii="宋体" w:hAnsi="宋体"/>
          <w:b/>
          <w:bCs/>
          <w:color w:val="000000"/>
          <w:sz w:val="36"/>
          <w:szCs w:val="36"/>
        </w:rPr>
        <w:t>4.2服</w:t>
      </w:r>
      <w:r>
        <w:rPr>
          <w:rFonts w:ascii="宋体" w:hAnsi="宋体"/>
          <w:b/>
          <w:bCs/>
          <w:color w:val="000000"/>
          <w:sz w:val="36"/>
          <w:szCs w:val="36"/>
        </w:rPr>
        <w:t>务</w:t>
      </w:r>
      <w:r>
        <w:rPr>
          <w:rFonts w:hint="eastAsia" w:ascii="宋体" w:hAnsi="宋体"/>
          <w:b/>
          <w:bCs/>
          <w:color w:val="000000"/>
          <w:sz w:val="36"/>
          <w:szCs w:val="36"/>
        </w:rPr>
        <w:t>承</w:t>
      </w:r>
      <w:r>
        <w:rPr>
          <w:rFonts w:ascii="宋体" w:hAnsi="宋体"/>
          <w:b/>
          <w:bCs/>
          <w:color w:val="000000"/>
          <w:sz w:val="36"/>
          <w:szCs w:val="36"/>
        </w:rPr>
        <w:t>诺</w:t>
      </w:r>
      <w:r>
        <w:rPr>
          <w:rFonts w:hint="eastAsia" w:ascii="宋体" w:hAnsi="宋体"/>
          <w:b/>
          <w:bCs/>
          <w:color w:val="000000"/>
          <w:sz w:val="36"/>
          <w:szCs w:val="36"/>
        </w:rPr>
        <w:t>书</w:t>
      </w:r>
      <w:bookmarkEnd w:id="0"/>
      <w:bookmarkEnd w:id="1"/>
      <w:bookmarkEnd w:id="2"/>
      <w:bookmarkEnd w:id="3"/>
    </w:p>
    <w:p>
      <w:pPr>
        <w:spacing w:line="480" w:lineRule="exact"/>
        <w:ind w:left="1205" w:hanging="1200" w:hangingChars="500"/>
        <w:jc w:val="center"/>
        <w:rPr>
          <w:b/>
          <w:color w:val="000000"/>
          <w:sz w:val="24"/>
          <w:szCs w:val="24"/>
        </w:rPr>
      </w:pPr>
      <w:r>
        <w:rPr>
          <w:rFonts w:hint="eastAsia"/>
          <w:b/>
          <w:color w:val="000000"/>
          <w:sz w:val="24"/>
          <w:szCs w:val="24"/>
        </w:rPr>
        <w:t xml:space="preserve">（依据招标要求自定格式） </w:t>
      </w:r>
    </w:p>
    <w:p>
      <w:pPr>
        <w:spacing w:line="360" w:lineRule="auto"/>
        <w:ind w:firstLine="480" w:firstLineChars="200"/>
        <w:rPr>
          <w:rFonts w:ascii="宋体" w:hAnsi="宋体" w:cs="宋体"/>
          <w:sz w:val="24"/>
        </w:rPr>
      </w:pPr>
      <w:r>
        <w:rPr>
          <w:rFonts w:hint="eastAsia" w:ascii="宋体" w:hAnsi="宋体" w:cs="宋体"/>
          <w:bCs/>
          <w:sz w:val="24"/>
        </w:rPr>
        <w:t>包括执业质量、职业道德、遵守国家和我省有关食品检验工作规范和管理规定、与采购人和市食品安全主管部门配合、咨询、合理化建议等全方位服务内容。</w:t>
      </w:r>
    </w:p>
    <w:p>
      <w:pPr>
        <w:spacing w:line="360" w:lineRule="auto"/>
        <w:ind w:firstLine="480" w:firstLineChars="200"/>
        <w:rPr>
          <w:rFonts w:ascii="宋体" w:hAnsi="宋体" w:cs="宋体"/>
          <w:b/>
          <w:bCs/>
          <w:color w:val="000000"/>
          <w:sz w:val="24"/>
        </w:rPr>
      </w:pPr>
      <w:r>
        <w:rPr>
          <w:rFonts w:hint="eastAsia" w:ascii="宋体" w:hAnsi="宋体" w:cs="宋体"/>
          <w:b/>
          <w:bCs/>
          <w:color w:val="000000"/>
          <w:sz w:val="24"/>
        </w:rPr>
        <w:t>供应商服务方案及服务质量承诺</w:t>
      </w:r>
    </w:p>
    <w:p>
      <w:pPr>
        <w:spacing w:line="360" w:lineRule="auto"/>
        <w:ind w:firstLine="480" w:firstLineChars="200"/>
        <w:rPr>
          <w:rFonts w:ascii="宋体" w:hAnsi="宋体" w:cs="宋体"/>
          <w:color w:val="000000"/>
          <w:sz w:val="24"/>
        </w:rPr>
      </w:pPr>
      <w:r>
        <w:rPr>
          <w:rFonts w:hint="eastAsia" w:ascii="宋体" w:hAnsi="宋体" w:cs="宋体"/>
          <w:color w:val="000000"/>
          <w:sz w:val="24"/>
        </w:rPr>
        <w:t>为了体现河南省京测检测技术有限公司</w:t>
      </w:r>
      <w:r>
        <w:rPr>
          <w:rFonts w:hint="eastAsia" w:ascii="宋体" w:hAnsi="宋体" w:cs="宋体"/>
          <w:b/>
          <w:color w:val="000000"/>
          <w:sz w:val="24"/>
        </w:rPr>
        <w:t>对此项目的高度重视</w:t>
      </w:r>
      <w:r>
        <w:rPr>
          <w:rFonts w:hint="eastAsia" w:ascii="宋体" w:hAnsi="宋体" w:cs="宋体"/>
          <w:color w:val="000000"/>
          <w:sz w:val="24"/>
        </w:rPr>
        <w:t>，本公司在此郑重承诺：</w:t>
      </w:r>
      <w:r>
        <w:rPr>
          <w:rFonts w:hint="eastAsia" w:ascii="宋体" w:hAnsi="宋体" w:cs="宋体"/>
          <w:b/>
          <w:color w:val="000000"/>
          <w:sz w:val="24"/>
        </w:rPr>
        <w:t>如本公司能中标，将坚决保证检测质量，遵守职业道德，全力配合禹州市市场监督管理局的工作，保证按时保质保量的完成检验工作，为招标人提供更优质的服务，将工作做到精益求精，为行政执法提供最有利的技术保障和支撑</w:t>
      </w:r>
      <w:r>
        <w:rPr>
          <w:rFonts w:hint="eastAsia" w:ascii="宋体" w:hAnsi="宋体" w:cs="宋体"/>
          <w:color w:val="000000"/>
          <w:sz w:val="24"/>
        </w:rPr>
        <w:t>。</w:t>
      </w:r>
    </w:p>
    <w:p>
      <w:pPr>
        <w:pStyle w:val="5"/>
        <w:pageBreakBefore w:val="0"/>
        <w:rPr>
          <w:rFonts w:ascii="宋体" w:hAnsi="宋体" w:cs="宋体"/>
          <w:bCs w:val="0"/>
          <w:color w:val="000000"/>
        </w:rPr>
      </w:pPr>
      <w:bookmarkStart w:id="4" w:name="_Toc8134207"/>
      <w:bookmarkStart w:id="5" w:name="_Toc15938"/>
      <w:r>
        <w:rPr>
          <w:rFonts w:hint="eastAsia" w:ascii="宋体" w:hAnsi="宋体" w:cs="宋体"/>
          <w:bCs w:val="0"/>
          <w:color w:val="000000"/>
        </w:rPr>
        <w:t>4.2.1服务承诺和合理化建议</w:t>
      </w:r>
      <w:bookmarkEnd w:id="4"/>
      <w:bookmarkEnd w:id="5"/>
    </w:p>
    <w:p>
      <w:pPr>
        <w:spacing w:line="360" w:lineRule="auto"/>
        <w:rPr>
          <w:rFonts w:ascii="宋体" w:hAnsi="宋体" w:cs="宋体"/>
          <w:b/>
          <w:bCs/>
          <w:color w:val="000000"/>
          <w:sz w:val="24"/>
        </w:rPr>
      </w:pPr>
      <w:bookmarkStart w:id="6" w:name="_Toc12055"/>
      <w:r>
        <w:rPr>
          <w:rFonts w:hint="eastAsia" w:ascii="宋体" w:hAnsi="宋体" w:cs="宋体"/>
          <w:b/>
          <w:bCs/>
          <w:color w:val="000000"/>
          <w:sz w:val="24"/>
        </w:rPr>
        <w:t>4.2.1.1 保证检测质量和提高创新能力</w:t>
      </w:r>
      <w:bookmarkEnd w:id="6"/>
    </w:p>
    <w:p>
      <w:pPr>
        <w:spacing w:line="360" w:lineRule="auto"/>
        <w:ind w:firstLine="480" w:firstLineChars="200"/>
        <w:rPr>
          <w:rFonts w:ascii="宋体" w:hAnsi="宋体" w:cs="宋体"/>
          <w:color w:val="000000"/>
          <w:sz w:val="24"/>
        </w:rPr>
      </w:pPr>
      <w:r>
        <w:rPr>
          <w:rFonts w:hint="eastAsia" w:ascii="宋体" w:hAnsi="宋体" w:cs="宋体"/>
          <w:color w:val="000000"/>
          <w:sz w:val="24"/>
        </w:rPr>
        <w:t>根据承接的委托，我们将根据委托方的要求，实行技术负责人负责制，选取适用的国家规范和技术标准，使用正确的试验操作方法和适当的仪器设备进行检测。按照规范要求进行数据处理，出具检测报告，并由检测人员进行复核，待技术负责人审核签字后形成有效报告。</w:t>
      </w:r>
    </w:p>
    <w:p>
      <w:pPr>
        <w:spacing w:line="360" w:lineRule="auto"/>
        <w:ind w:firstLine="480" w:firstLineChars="200"/>
        <w:rPr>
          <w:rFonts w:ascii="宋体" w:hAnsi="宋体" w:cs="宋体"/>
          <w:color w:val="000000"/>
          <w:sz w:val="24"/>
        </w:rPr>
      </w:pPr>
      <w:r>
        <w:rPr>
          <w:rFonts w:hint="eastAsia" w:ascii="宋体" w:hAnsi="宋体" w:cs="宋体"/>
          <w:color w:val="000000"/>
          <w:sz w:val="24"/>
        </w:rPr>
        <w:t>本公司相关检测人员严格执行本实验室《质量手册》、《管理制度》、《程序文件》相关要求，确保所有检验设备检定合格后使用，且检验人员均是持证上岗，确保标准物质有效期内使用；确保样品流转未受到损坏、污染或变质；实验室在检验过程中，如发现检验数据在判定值临界点附近或检验数据异常时，实验室在确认环境条件和一些设备满足检验要求的前提下，采用内部人员或设备交叉检验的方式进行复检后，出具相应检验结论，同时将环境条件和仪器设备的确认情况、复检的原始数据（含影像资料）随检验报告存档；所有的检测工作不受来自其他方面的干扰和影响，确保检验结果的准确、公正、可靠，并对客户的样品、数据、技术资料负保密责任。</w:t>
      </w:r>
    </w:p>
    <w:p>
      <w:pPr>
        <w:spacing w:line="360" w:lineRule="auto"/>
        <w:ind w:firstLine="480" w:firstLineChars="200"/>
        <w:rPr>
          <w:rFonts w:ascii="宋体" w:hAnsi="宋体" w:cs="宋体"/>
          <w:color w:val="000000"/>
          <w:sz w:val="24"/>
        </w:rPr>
      </w:pPr>
      <w:r>
        <w:rPr>
          <w:rFonts w:hint="eastAsia" w:ascii="宋体" w:hAnsi="宋体" w:cs="宋体"/>
          <w:color w:val="000000"/>
          <w:sz w:val="24"/>
        </w:rPr>
        <w:t>本公司随时查阅更新所有标准，技术团队完成检测任务需求的同时，积极探究一些检测物质成分的检测方法，研究新型农兽药残留检测方法；公司定期组织学术研讨会，交流研究心得，确保检测数据的真实性，提高创新能力。</w:t>
      </w:r>
    </w:p>
    <w:p>
      <w:pPr>
        <w:spacing w:line="360" w:lineRule="auto"/>
        <w:rPr>
          <w:rFonts w:ascii="宋体" w:hAnsi="宋体" w:cs="宋体"/>
          <w:b/>
          <w:bCs/>
          <w:color w:val="000000"/>
          <w:sz w:val="24"/>
        </w:rPr>
      </w:pPr>
      <w:bookmarkStart w:id="7" w:name="_Toc679"/>
    </w:p>
    <w:p>
      <w:pPr>
        <w:pageBreakBefore/>
        <w:spacing w:line="360" w:lineRule="auto"/>
        <w:rPr>
          <w:rFonts w:ascii="宋体" w:hAnsi="宋体" w:cs="宋体"/>
          <w:b/>
          <w:bCs/>
          <w:color w:val="000000"/>
          <w:sz w:val="24"/>
        </w:rPr>
      </w:pPr>
      <w:r>
        <w:rPr>
          <w:rFonts w:hint="eastAsia" w:ascii="宋体" w:hAnsi="宋体" w:cs="宋体"/>
          <w:b/>
          <w:bCs/>
          <w:color w:val="000000"/>
          <w:sz w:val="24"/>
        </w:rPr>
        <w:t>4.2.1.2 严格遵守职业道德、恪守职业准则</w:t>
      </w:r>
      <w:bookmarkEnd w:id="7"/>
    </w:p>
    <w:p>
      <w:pPr>
        <w:spacing w:line="360" w:lineRule="auto"/>
        <w:ind w:firstLine="480" w:firstLineChars="200"/>
        <w:rPr>
          <w:rFonts w:ascii="宋体" w:hAnsi="宋体" w:cs="宋体"/>
          <w:color w:val="000000"/>
          <w:sz w:val="24"/>
        </w:rPr>
      </w:pPr>
      <w:r>
        <w:rPr>
          <w:rFonts w:hint="eastAsia" w:ascii="宋体" w:hAnsi="宋体" w:cs="宋体"/>
          <w:color w:val="000000"/>
          <w:sz w:val="24"/>
        </w:rPr>
        <w:t>为了确保食品安全检测项目工作的顺利开展，本公司所有参与人员严格遵守《中华人民共和国食品安全法》、《食品安全监督抽检和风险监测工作规范（2015版）》、《食品安全监督抽检和风险监测实施细则（2016年版）》、《国家食品安全监督抽检实施细则（2019年版）》等要求，结合公司实际情况，特制定了《食品安全检测工作制度》，并根据工作开展情况不断加以完善，本公司所有员工严格遵守职业道德，恪守职业准则；遵纪守法、清正廉洁；爱岗敬业、忠于职守；团结协作、严谨认真；执行标准、科学高效；公正求实、保守秘密。</w:t>
      </w:r>
    </w:p>
    <w:p>
      <w:pPr>
        <w:spacing w:line="360" w:lineRule="auto"/>
        <w:ind w:firstLine="480" w:firstLineChars="200"/>
        <w:rPr>
          <w:rFonts w:ascii="宋体" w:hAnsi="宋体" w:cs="宋体"/>
          <w:color w:val="000000"/>
          <w:sz w:val="24"/>
        </w:rPr>
      </w:pPr>
      <w:r>
        <w:rPr>
          <w:rFonts w:hint="eastAsia" w:ascii="宋体" w:hAnsi="宋体" w:cs="宋体"/>
          <w:color w:val="000000"/>
          <w:sz w:val="24"/>
        </w:rPr>
        <w:t>1、认真执行操作规程</w:t>
      </w:r>
    </w:p>
    <w:p>
      <w:pPr>
        <w:spacing w:line="360" w:lineRule="auto"/>
        <w:ind w:firstLine="480" w:firstLineChars="200"/>
        <w:rPr>
          <w:rFonts w:ascii="宋体" w:hAnsi="宋体" w:cs="宋体"/>
          <w:color w:val="000000"/>
          <w:sz w:val="24"/>
        </w:rPr>
      </w:pPr>
      <w:r>
        <w:rPr>
          <w:rFonts w:hint="eastAsia" w:ascii="宋体" w:hAnsi="宋体" w:cs="宋体"/>
          <w:color w:val="000000"/>
          <w:sz w:val="24"/>
        </w:rPr>
        <w:t>本项目抽样工作严格按照食药总局《食品安全抽样检验管理办法》（国家食品药品监督管理总局令第11号）、《食品安全监督抽检和风险监测工作规范（2015版）》、《食品安全监督抽检和风险监测实施细则（2016年版）》、《国家食品安全监督抽检实施细则（2019年版）》等规定执行。确保样品采集严格按照监督抽检工作程序，履行法定手续。被抽检单位信息以其持有许可证所载信息为准。</w:t>
      </w:r>
    </w:p>
    <w:p>
      <w:pPr>
        <w:spacing w:line="360" w:lineRule="auto"/>
        <w:ind w:firstLine="480" w:firstLineChars="200"/>
        <w:rPr>
          <w:rFonts w:ascii="宋体" w:hAnsi="宋体" w:cs="宋体"/>
          <w:color w:val="000000"/>
          <w:sz w:val="24"/>
        </w:rPr>
      </w:pPr>
      <w:r>
        <w:rPr>
          <w:rFonts w:hint="eastAsia" w:ascii="宋体" w:hAnsi="宋体" w:cs="宋体"/>
          <w:color w:val="000000"/>
          <w:sz w:val="24"/>
        </w:rPr>
        <w:t>检验员弘扬团结互助精神，培养团队精神，按照党中央提出的建立社会主义和谐社会的要求，营造和谐的人际关系氛围。增强企业凝聚力，促进食品安全事业的发展</w:t>
      </w:r>
    </w:p>
    <w:p>
      <w:pPr>
        <w:spacing w:line="360" w:lineRule="auto"/>
        <w:ind w:firstLine="480" w:firstLineChars="200"/>
        <w:rPr>
          <w:rFonts w:ascii="宋体" w:hAnsi="宋体" w:cs="宋体"/>
          <w:color w:val="000000"/>
          <w:sz w:val="24"/>
        </w:rPr>
      </w:pPr>
      <w:r>
        <w:rPr>
          <w:rFonts w:hint="eastAsia" w:ascii="宋体" w:hAnsi="宋体" w:cs="宋体"/>
          <w:color w:val="000000"/>
          <w:sz w:val="24"/>
        </w:rPr>
        <w:t>2、认真对待检验结果</w:t>
      </w:r>
    </w:p>
    <w:p>
      <w:pPr>
        <w:spacing w:line="360" w:lineRule="auto"/>
        <w:ind w:firstLine="480" w:firstLineChars="200"/>
        <w:rPr>
          <w:rFonts w:ascii="宋体" w:hAnsi="宋体" w:cs="宋体"/>
          <w:color w:val="000000"/>
          <w:sz w:val="24"/>
        </w:rPr>
      </w:pPr>
      <w:r>
        <w:rPr>
          <w:rFonts w:hint="eastAsia" w:ascii="宋体" w:hAnsi="宋体" w:cs="宋体"/>
          <w:color w:val="000000"/>
          <w:sz w:val="24"/>
        </w:rPr>
        <w:t>本公司对本项目的检验工作负责，按照食品检验技术要求开展检验工作，如实、准确、完整、及时地填写检验原始记录，保证检验工作的科学、独立、客观和规范。</w:t>
      </w:r>
    </w:p>
    <w:p>
      <w:pPr>
        <w:spacing w:line="360" w:lineRule="auto"/>
        <w:ind w:firstLine="480" w:firstLineChars="200"/>
        <w:rPr>
          <w:rFonts w:ascii="宋体" w:hAnsi="宋体" w:cs="宋体"/>
          <w:color w:val="000000"/>
          <w:sz w:val="24"/>
        </w:rPr>
      </w:pPr>
      <w:r>
        <w:rPr>
          <w:rFonts w:hint="eastAsia" w:ascii="宋体" w:hAnsi="宋体" w:cs="宋体"/>
          <w:color w:val="000000"/>
          <w:sz w:val="24"/>
        </w:rPr>
        <w:t>本公司将在规定的检验时间内按照《国家食品安全监督抽检实施细则（2019年版）》的产品评价规则对本项目招标任务要求的产品进行判定，</w:t>
      </w:r>
      <w:r>
        <w:rPr>
          <w:rFonts w:hint="eastAsia" w:ascii="宋体" w:hAnsi="宋体" w:cs="宋体"/>
          <w:b/>
          <w:bCs/>
          <w:sz w:val="24"/>
        </w:rPr>
        <w:t>具有开展食品定点委托检验所必需的设备和专业技术能力，能够按照规定时限出具检验报告、分析上报检测结果。</w:t>
      </w:r>
      <w:r>
        <w:rPr>
          <w:rFonts w:hint="eastAsia" w:ascii="宋体" w:hAnsi="宋体" w:cs="宋体"/>
          <w:sz w:val="24"/>
        </w:rPr>
        <w:t>并</w:t>
      </w:r>
      <w:r>
        <w:rPr>
          <w:rFonts w:hint="eastAsia" w:ascii="宋体" w:hAnsi="宋体" w:cs="宋体"/>
          <w:color w:val="000000"/>
          <w:sz w:val="24"/>
        </w:rPr>
        <w:t>认真核对检验结果，填写检验报告单，做好登记，签字确认后发出报告。</w:t>
      </w:r>
    </w:p>
    <w:p>
      <w:pPr>
        <w:spacing w:line="360" w:lineRule="auto"/>
        <w:ind w:firstLine="480" w:firstLineChars="200"/>
        <w:rPr>
          <w:rFonts w:ascii="宋体" w:hAnsi="宋体" w:cs="宋体"/>
          <w:color w:val="000000"/>
          <w:sz w:val="24"/>
        </w:rPr>
      </w:pPr>
      <w:r>
        <w:rPr>
          <w:rFonts w:hint="eastAsia" w:ascii="宋体" w:hAnsi="宋体" w:cs="宋体"/>
          <w:color w:val="000000"/>
          <w:sz w:val="24"/>
        </w:rPr>
        <w:t>3、如实填写检验报告</w:t>
      </w:r>
    </w:p>
    <w:p>
      <w:pPr>
        <w:spacing w:line="360" w:lineRule="auto"/>
        <w:ind w:firstLine="480" w:firstLineChars="200"/>
        <w:rPr>
          <w:rFonts w:ascii="宋体" w:hAnsi="宋体" w:cs="宋体"/>
          <w:color w:val="000000"/>
          <w:sz w:val="24"/>
        </w:rPr>
      </w:pPr>
      <w:r>
        <w:rPr>
          <w:rFonts w:hint="eastAsia" w:ascii="宋体" w:hAnsi="宋体" w:cs="宋体"/>
          <w:color w:val="000000"/>
          <w:sz w:val="24"/>
        </w:rPr>
        <w:t>坚持</w:t>
      </w:r>
      <w:r>
        <w:fldChar w:fldCharType="begin"/>
      </w:r>
      <w:r>
        <w:instrText xml:space="preserve"> HYPERLINK "http://www.so.com/s?q=%E5%8E%9F%E5%88%99&amp;ie=utf-8&amp;src=internal_wenda_recommend_textn" \t "https://wenda.so.com/q/_blank" </w:instrText>
      </w:r>
      <w:r>
        <w:fldChar w:fldCharType="separate"/>
      </w:r>
      <w:r>
        <w:rPr>
          <w:rFonts w:hint="eastAsia" w:ascii="宋体" w:hAnsi="宋体" w:cs="宋体"/>
          <w:color w:val="000000"/>
          <w:sz w:val="24"/>
        </w:rPr>
        <w:t>原则</w:t>
      </w:r>
      <w:r>
        <w:rPr>
          <w:rFonts w:hint="eastAsia" w:ascii="宋体" w:hAnsi="宋体" w:cs="宋体"/>
          <w:color w:val="000000"/>
          <w:sz w:val="24"/>
        </w:rPr>
        <w:fldChar w:fldCharType="end"/>
      </w:r>
      <w:r>
        <w:rPr>
          <w:rFonts w:hint="eastAsia" w:ascii="宋体" w:hAnsi="宋体" w:cs="宋体"/>
          <w:color w:val="000000"/>
          <w:sz w:val="24"/>
        </w:rPr>
        <w:t>、尊重科学、实事求是，准确书写检测报告，不得对食品检验结果隐瞒、谎报、缓报，不得隐匿、伪造、毁灭有关证据，或者涂改数据。否则不仅严重违反了检验人员的职业道德，还会带来不堪设想的后果，甚至会承担法律责任。</w:t>
      </w:r>
    </w:p>
    <w:p>
      <w:pPr>
        <w:spacing w:line="360" w:lineRule="auto"/>
        <w:ind w:firstLine="480" w:firstLineChars="200"/>
        <w:rPr>
          <w:rFonts w:ascii="宋体" w:hAnsi="宋体" w:cs="宋体"/>
          <w:color w:val="000000"/>
          <w:sz w:val="24"/>
        </w:rPr>
      </w:pPr>
      <w:r>
        <w:rPr>
          <w:rFonts w:hint="eastAsia" w:ascii="宋体" w:hAnsi="宋体" w:cs="宋体"/>
          <w:color w:val="000000"/>
          <w:sz w:val="24"/>
        </w:rPr>
        <w:t>检验人员应当依照有关法律、法规的规定，并按照食品安全标准和检验规范对食品进行检验，尊重科学，恪守职业道德，保证出具的检验数据和结论客观、公正，不得出具虚假检验报告。</w:t>
      </w:r>
    </w:p>
    <w:p>
      <w:pPr>
        <w:spacing w:line="360" w:lineRule="auto"/>
        <w:ind w:firstLine="480" w:firstLineChars="200"/>
        <w:rPr>
          <w:rFonts w:ascii="宋体" w:hAnsi="宋体" w:cs="宋体"/>
          <w:color w:val="000000"/>
          <w:sz w:val="24"/>
        </w:rPr>
      </w:pPr>
      <w:r>
        <w:rPr>
          <w:rFonts w:hint="eastAsia" w:ascii="宋体" w:hAnsi="宋体" w:cs="宋体"/>
          <w:color w:val="000000"/>
          <w:sz w:val="24"/>
        </w:rPr>
        <w:t>食品检验实行食品检验机构与检验人负责制。食品检验报告应当加盖食品检验机构公章，并有检验人的签名或者盖章。食品检验机构和检验人对出具的食品检验报告负责。</w:t>
      </w:r>
    </w:p>
    <w:p>
      <w:pPr>
        <w:spacing w:line="360" w:lineRule="auto"/>
        <w:rPr>
          <w:rFonts w:ascii="宋体" w:hAnsi="宋体" w:cs="宋体"/>
          <w:b/>
          <w:bCs/>
          <w:color w:val="000000"/>
          <w:sz w:val="24"/>
        </w:rPr>
      </w:pPr>
      <w:bookmarkStart w:id="8" w:name="_Toc17916"/>
    </w:p>
    <w:p>
      <w:pPr>
        <w:spacing w:line="360" w:lineRule="auto"/>
        <w:rPr>
          <w:rFonts w:ascii="宋体" w:hAnsi="宋体" w:cs="宋体"/>
          <w:color w:val="000000"/>
          <w:sz w:val="24"/>
        </w:rPr>
      </w:pPr>
      <w:r>
        <w:rPr>
          <w:rFonts w:hint="eastAsia" w:ascii="宋体" w:hAnsi="宋体" w:cs="宋体"/>
          <w:b/>
          <w:bCs/>
          <w:color w:val="000000"/>
          <w:sz w:val="24"/>
        </w:rPr>
        <w:t>4.2.1.3 遵守国家和河南省有关行业管理规定</w:t>
      </w:r>
      <w:bookmarkEnd w:id="8"/>
    </w:p>
    <w:p>
      <w:pPr>
        <w:spacing w:line="360" w:lineRule="auto"/>
        <w:rPr>
          <w:rFonts w:ascii="宋体" w:hAnsi="宋体" w:cs="宋体"/>
          <w:color w:val="000000"/>
          <w:sz w:val="24"/>
        </w:rPr>
      </w:pPr>
      <w:r>
        <w:rPr>
          <w:rFonts w:hint="eastAsia" w:ascii="宋体" w:hAnsi="宋体" w:cs="宋体"/>
          <w:color w:val="000000"/>
          <w:sz w:val="24"/>
        </w:rPr>
        <w:t>（1）严格按照相关标准和规范的抽样要求进行取样。</w:t>
      </w:r>
    </w:p>
    <w:p>
      <w:pPr>
        <w:spacing w:line="360" w:lineRule="auto"/>
        <w:ind w:firstLine="480" w:firstLineChars="200"/>
        <w:rPr>
          <w:rFonts w:ascii="宋体" w:hAnsi="宋体" w:cs="宋体"/>
          <w:color w:val="000000"/>
          <w:sz w:val="24"/>
        </w:rPr>
      </w:pPr>
      <w:r>
        <w:rPr>
          <w:rFonts w:hint="eastAsia" w:ascii="宋体" w:hAnsi="宋体" w:cs="宋体"/>
          <w:color w:val="000000"/>
          <w:sz w:val="24"/>
        </w:rPr>
        <w:t>本项目抽样工作严格按照食药总局《食品安全抽样检验管理办法》（国家食品药品监督管理总局令第11号）、《食品安全监督抽检和风险监测工作规范（2015版）》、《食品安全监督抽检和风险监测实施细则（2016年版）》《国家食品安全监督抽检实施细则（2019年版）》等规定执行。确保样品采集严格按照监督抽检工作程序，履行法定手续。被抽检单位信息以其持有许可证所载信息为准。</w:t>
      </w:r>
    </w:p>
    <w:p>
      <w:pPr>
        <w:spacing w:line="360" w:lineRule="auto"/>
        <w:rPr>
          <w:rFonts w:ascii="宋体" w:hAnsi="宋体" w:cs="宋体"/>
          <w:color w:val="000000"/>
          <w:sz w:val="24"/>
        </w:rPr>
      </w:pPr>
      <w:r>
        <w:rPr>
          <w:rFonts w:hint="eastAsia" w:ascii="宋体" w:hAnsi="宋体" w:cs="宋体"/>
          <w:color w:val="000000"/>
          <w:sz w:val="24"/>
        </w:rPr>
        <w:t>（2）严格按照相关标准和规范的检验要求进行检测。</w:t>
      </w:r>
    </w:p>
    <w:p>
      <w:pPr>
        <w:spacing w:line="360" w:lineRule="auto"/>
        <w:ind w:firstLine="480" w:firstLineChars="200"/>
        <w:rPr>
          <w:rFonts w:ascii="宋体" w:hAnsi="宋体" w:cs="宋体"/>
          <w:color w:val="000000"/>
          <w:sz w:val="24"/>
        </w:rPr>
      </w:pPr>
      <w:r>
        <w:rPr>
          <w:rFonts w:hint="eastAsia" w:ascii="宋体" w:hAnsi="宋体" w:cs="宋体"/>
          <w:color w:val="000000"/>
          <w:sz w:val="24"/>
        </w:rPr>
        <w:t>我方对本项目的检验工作负责，按照食品检验技术要求开展检验工作，如实、准确、完整、及时地填写检验原始记录，保证检验工作的科学、独立、客观和规范。</w:t>
      </w:r>
    </w:p>
    <w:p>
      <w:pPr>
        <w:spacing w:line="360" w:lineRule="auto"/>
        <w:ind w:firstLine="480" w:firstLineChars="200"/>
        <w:rPr>
          <w:rFonts w:ascii="宋体" w:hAnsi="宋体" w:cs="宋体"/>
          <w:color w:val="000000"/>
          <w:sz w:val="24"/>
        </w:rPr>
      </w:pPr>
      <w:r>
        <w:rPr>
          <w:rFonts w:hint="eastAsia" w:ascii="宋体" w:hAnsi="宋体" w:cs="宋体"/>
          <w:color w:val="000000"/>
          <w:sz w:val="24"/>
        </w:rPr>
        <w:t>我方将在规定的检验时间内按照《国家食品安全监督抽检实施细则（2019年版）》的产品评价规则对本项目招标任务要求的产品进行判定。</w:t>
      </w:r>
    </w:p>
    <w:p>
      <w:pPr>
        <w:spacing w:line="360" w:lineRule="auto"/>
        <w:rPr>
          <w:rFonts w:ascii="宋体" w:hAnsi="宋体" w:cs="宋体"/>
          <w:color w:val="000000"/>
          <w:sz w:val="24"/>
          <w:lang w:val="zh-CN"/>
        </w:rPr>
      </w:pPr>
      <w:r>
        <w:rPr>
          <w:rFonts w:hint="eastAsia" w:ascii="宋体" w:hAnsi="宋体" w:cs="宋体"/>
          <w:color w:val="000000"/>
          <w:sz w:val="24"/>
        </w:rPr>
        <w:t>（3）严格按照相关标准和规范的要求进行</w:t>
      </w:r>
      <w:r>
        <w:rPr>
          <w:rFonts w:hint="eastAsia" w:ascii="宋体" w:hAnsi="宋体" w:cs="宋体"/>
          <w:color w:val="000000"/>
          <w:sz w:val="24"/>
          <w:lang w:val="zh-CN"/>
        </w:rPr>
        <w:t>质量管理。</w:t>
      </w:r>
    </w:p>
    <w:p>
      <w:pPr>
        <w:spacing w:line="360" w:lineRule="auto"/>
        <w:ind w:firstLine="480" w:firstLineChars="200"/>
        <w:rPr>
          <w:rFonts w:ascii="宋体" w:hAnsi="宋体" w:cs="宋体"/>
          <w:color w:val="000000"/>
          <w:sz w:val="24"/>
          <w:lang w:val="zh-CN"/>
        </w:rPr>
      </w:pPr>
      <w:r>
        <w:rPr>
          <w:rFonts w:hint="eastAsia" w:ascii="宋体" w:hAnsi="宋体" w:cs="宋体"/>
          <w:color w:val="000000"/>
          <w:sz w:val="24"/>
          <w:lang w:val="zh-CN"/>
        </w:rPr>
        <w:t>我方会严格按照河南省食品药品监管局《</w:t>
      </w:r>
      <w:r>
        <w:rPr>
          <w:rFonts w:hint="eastAsia" w:ascii="宋体" w:hAnsi="宋体" w:cs="宋体"/>
          <w:color w:val="000000"/>
          <w:sz w:val="24"/>
        </w:rPr>
        <w:t>河南食品安全抽检监测管理办法(试行)</w:t>
      </w:r>
      <w:r>
        <w:rPr>
          <w:rFonts w:hint="eastAsia" w:ascii="宋体" w:hAnsi="宋体" w:cs="宋体"/>
          <w:color w:val="000000"/>
          <w:sz w:val="24"/>
          <w:lang w:val="zh-CN"/>
        </w:rPr>
        <w:t>》的要求，加强对样品采集、运输、贮存、实验室检测、数据报送等关键环节的质量控制，确保检测结果准确可靠。</w:t>
      </w:r>
    </w:p>
    <w:p>
      <w:pPr>
        <w:spacing w:line="360" w:lineRule="auto"/>
        <w:rPr>
          <w:rFonts w:ascii="宋体" w:hAnsi="宋体" w:cs="宋体"/>
          <w:color w:val="000000"/>
          <w:sz w:val="24"/>
          <w:lang w:val="zh-CN"/>
        </w:rPr>
      </w:pPr>
      <w:r>
        <w:rPr>
          <w:rFonts w:hint="eastAsia" w:ascii="宋体" w:hAnsi="宋体" w:cs="宋体"/>
          <w:color w:val="000000"/>
          <w:sz w:val="24"/>
        </w:rPr>
        <w:t>（4）严格</w:t>
      </w:r>
      <w:r>
        <w:rPr>
          <w:rFonts w:hint="eastAsia" w:ascii="宋体" w:hAnsi="宋体" w:cs="宋体"/>
          <w:color w:val="000000"/>
          <w:sz w:val="24"/>
          <w:lang w:val="zh-CN"/>
        </w:rPr>
        <w:t>工作纪律、加强工作责任、加强法律意识、加强社会责任感。</w:t>
      </w:r>
    </w:p>
    <w:p>
      <w:pPr>
        <w:spacing w:line="360" w:lineRule="auto"/>
        <w:ind w:firstLine="480" w:firstLineChars="200"/>
        <w:rPr>
          <w:rFonts w:ascii="宋体" w:hAnsi="宋体" w:cs="宋体"/>
          <w:color w:val="000000"/>
          <w:sz w:val="24"/>
          <w:lang w:val="zh-CN"/>
        </w:rPr>
      </w:pPr>
      <w:r>
        <w:rPr>
          <w:rFonts w:hint="eastAsia" w:ascii="宋体" w:hAnsi="宋体" w:cs="宋体"/>
          <w:color w:val="000000"/>
          <w:sz w:val="24"/>
          <w:lang w:val="zh-CN"/>
        </w:rPr>
        <w:t>我方会严格按照要求进行抽样、检验和结果上报，不随意更改抽样地点和样品信息，不瞒报、谎报和故意漏报、错报检测数据，确保数据信息的安全性、完整性、真实性和准确性。不擅自发布有关抽样检测的信息，不在开展抽样工作前事先通知被抽样检测单位和接受相关单位馈赠，不利用抽样检测结果开展有偿活动，牟取不正当利益。</w:t>
      </w:r>
    </w:p>
    <w:p>
      <w:pPr>
        <w:pStyle w:val="5"/>
        <w:rPr>
          <w:rFonts w:ascii="宋体" w:hAnsi="宋体" w:cs="宋体"/>
          <w:color w:val="000000"/>
        </w:rPr>
      </w:pPr>
      <w:bookmarkStart w:id="9" w:name="_Toc8134208"/>
      <w:bookmarkStart w:id="10" w:name="_Toc29023"/>
      <w:r>
        <w:rPr>
          <w:rFonts w:hint="eastAsia" w:ascii="宋体" w:hAnsi="宋体" w:cs="宋体"/>
          <w:bCs w:val="0"/>
          <w:color w:val="000000"/>
        </w:rPr>
        <w:t>4.2</w:t>
      </w:r>
      <w:r>
        <w:rPr>
          <w:rFonts w:hint="eastAsia" w:ascii="宋体" w:hAnsi="宋体" w:cs="宋体"/>
          <w:color w:val="000000"/>
        </w:rPr>
        <w:t>.2 与采购单位提供咨询、食品安全风险评估、合理化建议等全方位服务</w:t>
      </w:r>
      <w:bookmarkEnd w:id="9"/>
      <w:bookmarkEnd w:id="10"/>
    </w:p>
    <w:p>
      <w:pPr>
        <w:spacing w:line="360" w:lineRule="auto"/>
        <w:rPr>
          <w:rFonts w:ascii="宋体" w:hAnsi="宋体" w:cs="宋体"/>
          <w:b/>
          <w:bCs/>
          <w:color w:val="000000"/>
          <w:sz w:val="24"/>
        </w:rPr>
      </w:pPr>
      <w:bookmarkStart w:id="11" w:name="_Toc16580"/>
      <w:r>
        <w:rPr>
          <w:rFonts w:hint="eastAsia" w:ascii="宋体" w:hAnsi="宋体" w:cs="宋体"/>
          <w:b/>
          <w:bCs/>
          <w:color w:val="000000"/>
          <w:sz w:val="24"/>
        </w:rPr>
        <w:t>4.2</w:t>
      </w:r>
      <w:r>
        <w:rPr>
          <w:rFonts w:hint="eastAsia" w:ascii="宋体" w:hAnsi="宋体" w:cs="宋体"/>
          <w:b/>
          <w:color w:val="000000"/>
          <w:sz w:val="24"/>
        </w:rPr>
        <w:t>.2</w:t>
      </w:r>
      <w:r>
        <w:rPr>
          <w:rFonts w:hint="eastAsia" w:ascii="宋体" w:hAnsi="宋体" w:cs="宋体"/>
          <w:b/>
          <w:bCs/>
          <w:color w:val="000000"/>
          <w:sz w:val="24"/>
        </w:rPr>
        <w:t>.1 与采购单位提供咨询</w:t>
      </w:r>
      <w:bookmarkEnd w:id="11"/>
    </w:p>
    <w:p>
      <w:pPr>
        <w:pStyle w:val="23"/>
        <w:kinsoku w:val="0"/>
        <w:overflowPunct w:val="0"/>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检测工作专业技术要求高，环节多，本公司拥有一批专业的、高素质的技术团队，分别具有各个领域的专业背景，若是禹州市市场监督管理局在食品质量管理工作中遇到相关技术难题，需要技术支持，本公司将提供技术顾问尽最大可能及时向禹州市市场监督管理局提供相关咨询服务。</w:t>
      </w:r>
      <w:r>
        <w:rPr>
          <w:rFonts w:hint="eastAsia" w:ascii="宋体" w:hAnsi="宋体" w:eastAsia="宋体" w:cs="宋体"/>
          <w:b/>
          <w:bCs/>
          <w:sz w:val="24"/>
          <w:szCs w:val="24"/>
        </w:rPr>
        <w:t>本公司承诺向招标人提供免费咨询服务，为招标人提供多种可行性参考方案，制定工作计划，做到随时有问必答，全力配合解决问题，不让招标人心存疑虑开展工作。</w:t>
      </w:r>
    </w:p>
    <w:p>
      <w:pPr>
        <w:spacing w:line="360" w:lineRule="auto"/>
        <w:rPr>
          <w:rFonts w:ascii="宋体" w:hAnsi="宋体" w:cs="宋体"/>
          <w:b/>
          <w:bCs/>
          <w:color w:val="000000"/>
          <w:sz w:val="24"/>
        </w:rPr>
      </w:pPr>
      <w:bookmarkStart w:id="12" w:name="_Toc2265"/>
      <w:r>
        <w:rPr>
          <w:rFonts w:hint="eastAsia" w:ascii="宋体" w:hAnsi="宋体" w:cs="宋体"/>
          <w:b/>
          <w:bCs/>
          <w:color w:val="000000"/>
          <w:sz w:val="24"/>
        </w:rPr>
        <w:t>4.2</w:t>
      </w:r>
      <w:r>
        <w:rPr>
          <w:rFonts w:hint="eastAsia" w:ascii="宋体" w:hAnsi="宋体" w:cs="宋体"/>
          <w:b/>
          <w:color w:val="000000"/>
          <w:sz w:val="24"/>
        </w:rPr>
        <w:t>.2</w:t>
      </w:r>
      <w:r>
        <w:rPr>
          <w:rFonts w:hint="eastAsia" w:ascii="宋体" w:hAnsi="宋体" w:cs="宋体"/>
          <w:b/>
          <w:bCs/>
          <w:color w:val="000000"/>
          <w:sz w:val="24"/>
        </w:rPr>
        <w:t>.2 与采购单位提供食品安全风险评估</w:t>
      </w:r>
      <w:bookmarkEnd w:id="12"/>
    </w:p>
    <w:p>
      <w:pPr>
        <w:pStyle w:val="23"/>
        <w:kinsoku w:val="0"/>
        <w:overflowPunct w:val="0"/>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现代社会发展迅速，日新月异，新的食品添加剂、农兽药、非法添加物层出不穷。这些潜在的食品安全隐患，随时可能引发社会食品安全危机，食品安全抽检工作刻不容緩，不容解息。然而在实际工作中，我们显然不能不分轻重急缓，对市场上食品安全监督抽检项目一把抓，这样不但需要投入大量人力物力财力，还可能导致工作中无用功和重复性工作增加，浪费社会资源。所以，食品安全抽检工作应该有目的性、针对性的开展，合理制定抽检项目和抽检计划。</w:t>
      </w:r>
    </w:p>
    <w:p>
      <w:pPr>
        <w:pStyle w:val="23"/>
        <w:kinsoku w:val="0"/>
        <w:overflowPunct w:val="0"/>
        <w:spacing w:line="360" w:lineRule="auto"/>
        <w:ind w:firstLine="480" w:firstLineChars="200"/>
        <w:rPr>
          <w:rFonts w:ascii="宋体" w:hAnsi="宋体" w:eastAsia="宋体" w:cs="宋体"/>
          <w:b/>
          <w:bCs/>
          <w:sz w:val="24"/>
          <w:szCs w:val="24"/>
        </w:rPr>
      </w:pPr>
      <w:r>
        <w:rPr>
          <w:rFonts w:hint="eastAsia" w:ascii="宋体" w:hAnsi="宋体" w:eastAsia="宋体" w:cs="宋体"/>
          <w:bCs/>
          <w:sz w:val="24"/>
          <w:szCs w:val="24"/>
        </w:rPr>
        <w:t>本公司自成立以来，</w:t>
      </w:r>
      <w:r>
        <w:rPr>
          <w:rStyle w:val="22"/>
          <w:rFonts w:hint="default"/>
          <w:sz w:val="24"/>
          <w:szCs w:val="24"/>
        </w:rPr>
        <w:t>一直协助各地食药监局、工商部门及食安办等政府食品监管部门进行生产环节、流通领域及餐饮环节的食品抽样检验工作，积累了丰富的监测经验及大量的各品类食品数据情况，并熟知食品污染及食品中的有害因素，了解潜在的食品安全风险隐患。</w:t>
      </w:r>
      <w:r>
        <w:rPr>
          <w:rFonts w:hint="eastAsia" w:ascii="宋体" w:hAnsi="宋体" w:eastAsia="宋体" w:cs="宋体"/>
          <w:bCs/>
          <w:sz w:val="24"/>
          <w:szCs w:val="24"/>
        </w:rPr>
        <w:t>通过对市场上存在的食品安全问题的研究，并总结以往抽检工作的经验，以目前社会上食品安全情况的大数据为依托，将不同样品、不同项目根据时间、区域的不同做出安全风险等级评估，将不同样品在不同时间、区域中所具有的不同的潜在安全风险进行评估分类，一般分为高、较高、一般等评估等级，</w:t>
      </w:r>
      <w:r>
        <w:rPr>
          <w:rStyle w:val="22"/>
          <w:rFonts w:hint="default"/>
          <w:b/>
          <w:sz w:val="24"/>
          <w:szCs w:val="24"/>
        </w:rPr>
        <w:t>本公司将在第一时间将出现的关键点预警及可能发生的食品安全危害因素等，及时反馈给禹州市市场监督管理局，</w:t>
      </w:r>
      <w:r>
        <w:rPr>
          <w:rFonts w:hint="eastAsia" w:ascii="宋体" w:hAnsi="宋体" w:eastAsia="宋体" w:cs="宋体"/>
          <w:b/>
          <w:bCs/>
          <w:sz w:val="24"/>
          <w:szCs w:val="24"/>
        </w:rPr>
        <w:t>协助禹州市市场监督管理局进行食品安全风险评估工作。</w:t>
      </w:r>
    </w:p>
    <w:p>
      <w:pPr>
        <w:spacing w:line="360" w:lineRule="auto"/>
        <w:rPr>
          <w:rFonts w:ascii="宋体" w:hAnsi="宋体" w:cs="宋体"/>
          <w:b/>
          <w:bCs/>
          <w:color w:val="000000"/>
          <w:sz w:val="24"/>
        </w:rPr>
      </w:pPr>
      <w:bookmarkStart w:id="13" w:name="_Toc19706"/>
      <w:r>
        <w:rPr>
          <w:rFonts w:hint="eastAsia" w:ascii="宋体" w:hAnsi="宋体" w:cs="宋体"/>
          <w:b/>
          <w:bCs/>
          <w:color w:val="000000"/>
          <w:sz w:val="24"/>
        </w:rPr>
        <w:t>4.2</w:t>
      </w:r>
      <w:r>
        <w:rPr>
          <w:rFonts w:hint="eastAsia" w:ascii="宋体" w:hAnsi="宋体" w:cs="宋体"/>
          <w:b/>
          <w:color w:val="000000"/>
          <w:sz w:val="24"/>
        </w:rPr>
        <w:t>.2</w:t>
      </w:r>
      <w:r>
        <w:rPr>
          <w:rFonts w:hint="eastAsia" w:ascii="宋体" w:hAnsi="宋体" w:cs="宋体"/>
          <w:b/>
          <w:bCs/>
          <w:color w:val="000000"/>
          <w:sz w:val="24"/>
        </w:rPr>
        <w:t>.3 合理化建议</w:t>
      </w:r>
      <w:bookmarkEnd w:id="13"/>
    </w:p>
    <w:p>
      <w:pPr>
        <w:spacing w:line="360" w:lineRule="auto"/>
        <w:ind w:firstLine="480" w:firstLineChars="200"/>
        <w:rPr>
          <w:rFonts w:ascii="宋体" w:hAnsi="宋体" w:cs="宋体"/>
          <w:color w:val="000000"/>
          <w:sz w:val="24"/>
        </w:rPr>
      </w:pPr>
      <w:r>
        <w:rPr>
          <w:rFonts w:hint="eastAsia" w:ascii="宋体" w:hAnsi="宋体" w:cs="宋体"/>
          <w:color w:val="000000"/>
          <w:sz w:val="24"/>
        </w:rPr>
        <w:t>近年来，我国部分地区食品安全事故频发，暴露出了部分企业诚信缺失、一些地方和部门安全监管不到位，严重威胁人民群众生命健康安全。为了保证食品安全，保障公众身体健康和生命安全，我们应该严格遵守《中华人民共和国食品安全法》的规定；为供食用的源于农业的初级产品（即食用农产品）的质量安全管理，遵守《中华人民共和国农产品质量安全法》的规定。</w:t>
      </w:r>
    </w:p>
    <w:p>
      <w:pPr>
        <w:spacing w:line="360" w:lineRule="auto"/>
        <w:ind w:firstLine="480" w:firstLineChars="200"/>
        <w:rPr>
          <w:rFonts w:ascii="宋体" w:hAnsi="宋体" w:cs="宋体"/>
          <w:color w:val="000000"/>
          <w:sz w:val="24"/>
        </w:rPr>
      </w:pPr>
      <w:r>
        <w:rPr>
          <w:rFonts w:hint="eastAsia" w:ascii="宋体" w:hAnsi="宋体" w:cs="宋体"/>
          <w:color w:val="000000"/>
          <w:sz w:val="24"/>
        </w:rPr>
        <w:t>食品安全工作实行预防为主、风险管理、全程控制、社会共治，建立科学、严格的监督管理制度；食品生产经营者对其生产经营食品的安全负责：食品生产经营者应当依照法律、法规和食品安全标准从事生产经营活动，保证食品安全，诚信自律，对社会和公众负责，接受社会监督，承担社会责任。</w:t>
      </w:r>
    </w:p>
    <w:p>
      <w:pPr>
        <w:spacing w:line="360" w:lineRule="auto"/>
        <w:ind w:firstLine="480" w:firstLineChars="200"/>
        <w:rPr>
          <w:rFonts w:ascii="宋体" w:hAnsi="宋体" w:cs="宋体"/>
          <w:b/>
          <w:color w:val="000000"/>
          <w:sz w:val="24"/>
        </w:rPr>
      </w:pPr>
      <w:r>
        <w:rPr>
          <w:rFonts w:hint="eastAsia" w:ascii="宋体" w:hAnsi="宋体" w:cs="宋体"/>
          <w:color w:val="000000"/>
          <w:sz w:val="24"/>
        </w:rPr>
        <w:t>禹州市市场监督管理局组织的食品安全抽检工作是利国利民的大工程，作为第三方检测机构，我们也满怀诚意，愿为禹州市的食品安全工作贡献自己的力量。</w:t>
      </w:r>
      <w:r>
        <w:rPr>
          <w:rFonts w:hint="eastAsia" w:ascii="宋体" w:hAnsi="宋体" w:cs="宋体"/>
          <w:b/>
          <w:color w:val="000000"/>
          <w:sz w:val="24"/>
        </w:rPr>
        <w:t>针对具体的抽样及检测环节，提出以下建议：</w:t>
      </w:r>
    </w:p>
    <w:p>
      <w:pPr>
        <w:spacing w:line="360" w:lineRule="auto"/>
        <w:ind w:firstLine="480" w:firstLineChars="200"/>
        <w:rPr>
          <w:rFonts w:ascii="宋体" w:hAnsi="宋体" w:cs="宋体"/>
          <w:b/>
          <w:color w:val="000000"/>
          <w:sz w:val="24"/>
        </w:rPr>
      </w:pPr>
      <w:r>
        <w:rPr>
          <w:rFonts w:hint="eastAsia" w:ascii="宋体" w:hAnsi="宋体" w:cs="宋体"/>
          <w:b/>
          <w:color w:val="000000"/>
          <w:sz w:val="24"/>
        </w:rPr>
        <w:t>（1）抽样检验项目</w:t>
      </w:r>
    </w:p>
    <w:p>
      <w:pPr>
        <w:spacing w:line="360" w:lineRule="auto"/>
        <w:ind w:firstLine="480" w:firstLineChars="200"/>
        <w:rPr>
          <w:rFonts w:ascii="宋体" w:hAnsi="宋体" w:cs="宋体"/>
          <w:color w:val="000000"/>
          <w:sz w:val="24"/>
        </w:rPr>
      </w:pPr>
      <w:r>
        <w:rPr>
          <w:rFonts w:hint="eastAsia" w:ascii="宋体" w:hAnsi="宋体" w:cs="宋体"/>
          <w:color w:val="000000"/>
          <w:sz w:val="24"/>
        </w:rPr>
        <w:t>对于抽样检测项目，可围绕是否符合食品安全标准进行选取。抽样检验项目不建议完全选择质量指标项目，还应当选取与食品安全相关、强制性的卫生指标项目和相关行业标准项目。同时，京测检测还建议适当增加风险性监测项目，个别项目可不做判定，了解该类产品的安全状况。</w:t>
      </w:r>
    </w:p>
    <w:p>
      <w:pPr>
        <w:spacing w:line="360" w:lineRule="auto"/>
        <w:ind w:firstLine="480" w:firstLineChars="200"/>
        <w:rPr>
          <w:rFonts w:ascii="宋体" w:hAnsi="宋体" w:cs="宋体"/>
          <w:b/>
          <w:color w:val="000000"/>
          <w:sz w:val="24"/>
        </w:rPr>
      </w:pPr>
      <w:r>
        <w:rPr>
          <w:rFonts w:hint="eastAsia" w:ascii="宋体" w:hAnsi="宋体" w:cs="宋体"/>
          <w:b/>
          <w:color w:val="000000"/>
          <w:sz w:val="24"/>
        </w:rPr>
        <w:t>（2）抽检区域</w:t>
      </w:r>
    </w:p>
    <w:p>
      <w:pPr>
        <w:spacing w:line="360" w:lineRule="auto"/>
        <w:ind w:firstLine="480" w:firstLineChars="200"/>
        <w:rPr>
          <w:rFonts w:ascii="宋体" w:hAnsi="宋体" w:cs="宋体"/>
          <w:color w:val="000000"/>
          <w:sz w:val="24"/>
        </w:rPr>
      </w:pPr>
      <w:r>
        <w:rPr>
          <w:rFonts w:hint="eastAsia" w:ascii="宋体" w:hAnsi="宋体" w:cs="宋体"/>
          <w:color w:val="000000"/>
          <w:sz w:val="24"/>
        </w:rPr>
        <w:t>从之前抽检结果来看，农村市场、市区集贸市场等区域发现不合格产品会多于城区超市。建议加大对农村市场、市区集贸市场等区域的抽检力度，增大抽检批次及频率。</w:t>
      </w:r>
    </w:p>
    <w:p>
      <w:pPr>
        <w:spacing w:line="360" w:lineRule="auto"/>
        <w:ind w:firstLine="480" w:firstLineChars="200"/>
        <w:rPr>
          <w:rFonts w:ascii="宋体" w:hAnsi="宋体" w:cs="宋体"/>
          <w:b/>
          <w:color w:val="000000"/>
          <w:sz w:val="24"/>
        </w:rPr>
      </w:pPr>
      <w:r>
        <w:rPr>
          <w:rFonts w:hint="eastAsia" w:ascii="宋体" w:hAnsi="宋体" w:cs="宋体"/>
          <w:b/>
          <w:color w:val="000000"/>
          <w:sz w:val="24"/>
        </w:rPr>
        <w:t>（3）职能部门配合</w:t>
      </w:r>
    </w:p>
    <w:p>
      <w:pPr>
        <w:spacing w:line="360" w:lineRule="auto"/>
        <w:ind w:firstLine="480" w:firstLineChars="200"/>
        <w:rPr>
          <w:rFonts w:ascii="宋体" w:hAnsi="宋体" w:cs="宋体"/>
          <w:color w:val="000000"/>
          <w:sz w:val="24"/>
        </w:rPr>
      </w:pPr>
      <w:r>
        <w:rPr>
          <w:rFonts w:hint="eastAsia" w:ascii="宋体" w:hAnsi="宋体" w:cs="宋体"/>
          <w:color w:val="000000"/>
          <w:sz w:val="24"/>
        </w:rPr>
        <w:t>现场抽检时，大部分被采样人了解到食品安全抽检的意义及模式后，都会积极配合开展工作。但是也会遇到被采样人不配合甚至阻拦抽检的问题，此时需要分管职能部门的配合，对拒绝抽检的商户再次协商。</w:t>
      </w:r>
    </w:p>
    <w:p>
      <w:pPr>
        <w:spacing w:line="360" w:lineRule="auto"/>
        <w:ind w:firstLine="480" w:firstLineChars="200"/>
        <w:rPr>
          <w:rFonts w:ascii="宋体" w:hAnsi="宋体" w:cs="宋体"/>
          <w:b/>
          <w:color w:val="000000"/>
          <w:sz w:val="24"/>
        </w:rPr>
      </w:pPr>
      <w:r>
        <w:rPr>
          <w:rFonts w:hint="eastAsia" w:ascii="宋体" w:hAnsi="宋体" w:cs="宋体"/>
          <w:b/>
          <w:color w:val="000000"/>
          <w:sz w:val="24"/>
        </w:rPr>
        <w:t>（4）结果分析</w:t>
      </w:r>
    </w:p>
    <w:p>
      <w:pPr>
        <w:spacing w:line="360" w:lineRule="auto"/>
        <w:ind w:firstLine="480" w:firstLineChars="200"/>
        <w:rPr>
          <w:rFonts w:ascii="宋体" w:hAnsi="宋体" w:cs="宋体"/>
          <w:color w:val="000000"/>
          <w:sz w:val="24"/>
        </w:rPr>
      </w:pPr>
      <w:r>
        <w:rPr>
          <w:rFonts w:hint="eastAsia" w:ascii="宋体" w:hAnsi="宋体" w:cs="宋体"/>
          <w:color w:val="000000"/>
          <w:sz w:val="24"/>
        </w:rPr>
        <w:t>除对产品具体不合格项目的危害及原因分析之外，京测检测还建议增加采样场所、产品来源等市场综合情况的分析，有利于禹州市市场监督管理局有针对性的开展下一步工作。</w:t>
      </w:r>
    </w:p>
    <w:p>
      <w:pPr>
        <w:spacing w:line="360" w:lineRule="auto"/>
        <w:ind w:firstLine="480" w:firstLineChars="200"/>
        <w:rPr>
          <w:rFonts w:ascii="宋体" w:hAnsi="宋体" w:cs="宋体"/>
          <w:color w:val="000000"/>
          <w:sz w:val="24"/>
        </w:rPr>
      </w:pPr>
      <w:r>
        <w:rPr>
          <w:rFonts w:hint="eastAsia" w:ascii="宋体" w:hAnsi="宋体" w:cs="宋体"/>
          <w:color w:val="000000"/>
          <w:sz w:val="24"/>
        </w:rPr>
        <w:t>综上所述，食品抽检的目的不能只放在抽检工作本身，抽检工作最大的目的是起到监督管理作用，让小部分商户不采购来路不明的产品，不销售不合格食品；同时要及时发现问题，做到有的放矢，针对容易出问题的产品种类，进行专项治理，加大抽检力度。我们相信，在禹州市市场监督管理局的组织及领导下，食品安全抽检工作必将有序、有效的开展，让广大人民群众吃到放心安全的食品。</w:t>
      </w:r>
    </w:p>
    <w:p>
      <w:pPr>
        <w:tabs>
          <w:tab w:val="left" w:pos="360"/>
          <w:tab w:val="left" w:pos="540"/>
        </w:tabs>
        <w:spacing w:line="360" w:lineRule="auto"/>
        <w:ind w:firstLine="480" w:firstLineChars="200"/>
        <w:rPr>
          <w:rFonts w:ascii="宋体" w:hAnsi="宋体" w:cs="宋体"/>
          <w:b/>
          <w:color w:val="000000"/>
          <w:sz w:val="24"/>
        </w:rPr>
      </w:pPr>
      <w:r>
        <w:rPr>
          <w:rFonts w:hint="eastAsia" w:ascii="宋体" w:hAnsi="宋体" w:cs="宋体"/>
          <w:b/>
          <w:color w:val="000000"/>
          <w:sz w:val="24"/>
        </w:rPr>
        <w:t>河南省京测检测技术有限公司响应禹州市项目需求：</w:t>
      </w:r>
    </w:p>
    <w:p>
      <w:pPr>
        <w:tabs>
          <w:tab w:val="left" w:pos="360"/>
          <w:tab w:val="left" w:pos="540"/>
        </w:tabs>
        <w:spacing w:line="360" w:lineRule="auto"/>
        <w:ind w:firstLine="480" w:firstLineChars="200"/>
        <w:rPr>
          <w:rFonts w:ascii="宋体" w:hAnsi="宋体" w:cs="宋体"/>
          <w:sz w:val="24"/>
          <w:szCs w:val="24"/>
        </w:rPr>
      </w:pPr>
      <w:r>
        <w:rPr>
          <w:rFonts w:hint="eastAsia" w:ascii="宋体" w:hAnsi="宋体" w:cs="宋体"/>
          <w:color w:val="000000"/>
          <w:sz w:val="24"/>
        </w:rPr>
        <w:t>本公司将按照项目需求竞选禹州市市场监督管理局建立的食品抽样检测机构备选库，</w:t>
      </w:r>
      <w:r>
        <w:rPr>
          <w:rFonts w:hint="eastAsia" w:ascii="宋体" w:hAnsi="宋体" w:cs="宋体"/>
          <w:sz w:val="24"/>
          <w:szCs w:val="24"/>
        </w:rPr>
        <w:t>承担2019和2020年度禹州市市场监督管理局食品检验检测任务及</w:t>
      </w:r>
      <w:r>
        <w:rPr>
          <w:rFonts w:hint="eastAsia" w:ascii="宋体" w:hAnsi="宋体" w:cs="宋体"/>
          <w:snapToGrid w:val="0"/>
          <w:color w:val="000000"/>
          <w:sz w:val="24"/>
          <w:szCs w:val="24"/>
        </w:rPr>
        <w:t>食品安全突发事件应急检验任务</w:t>
      </w:r>
      <w:r>
        <w:rPr>
          <w:rFonts w:hint="eastAsia" w:ascii="宋体" w:hAnsi="宋体" w:cs="宋体"/>
          <w:sz w:val="24"/>
          <w:szCs w:val="24"/>
        </w:rPr>
        <w:t>。服务期限截止到2019年创建国家食品安全城食品抽样检测工作完成。</w:t>
      </w:r>
    </w:p>
    <w:p>
      <w:pPr>
        <w:tabs>
          <w:tab w:val="left" w:pos="360"/>
          <w:tab w:val="left" w:pos="540"/>
        </w:tabs>
        <w:spacing w:line="360" w:lineRule="auto"/>
        <w:ind w:firstLine="480" w:firstLineChars="200"/>
        <w:rPr>
          <w:rFonts w:ascii="宋体" w:hAnsi="宋体" w:cs="宋体"/>
          <w:sz w:val="24"/>
          <w:szCs w:val="24"/>
        </w:rPr>
      </w:pPr>
      <w:r>
        <w:rPr>
          <w:rFonts w:hint="eastAsia" w:ascii="宋体" w:hAnsi="宋体" w:cs="宋体"/>
          <w:sz w:val="24"/>
          <w:szCs w:val="24"/>
        </w:rPr>
        <w:t>1、承担粮食加工品、食用油、油脂及其制品、调味品、肉制品、乳制品、饮料、方便食品、饼干、罐头、冷冻饮品、速冻食品、薯类和膨化食品、糖果制品、茶叶及相关制品、酒类、蔬菜制品、水果制品、炒货食品及坚果制品、蛋制品、可可及焙烤咖啡产品、食糖、水产制品、淀粉及淀粉制品、糕点、豆制品、蜂产品、保健食品、特殊膳食食品、特殊医学用途配方食品、婴幼儿配方食品、食品添加剂、餐饮食品、食用农产品等34大类产品的抽样检验任务及</w:t>
      </w:r>
      <w:r>
        <w:rPr>
          <w:rFonts w:hint="eastAsia" w:ascii="宋体" w:hAnsi="宋体" w:cs="宋体"/>
          <w:snapToGrid w:val="0"/>
          <w:color w:val="000000"/>
          <w:sz w:val="24"/>
          <w:szCs w:val="24"/>
        </w:rPr>
        <w:t>食品安全突发事件应急检验任务</w:t>
      </w:r>
      <w:r>
        <w:rPr>
          <w:rFonts w:hint="eastAsia" w:ascii="宋体" w:hAnsi="宋体" w:cs="宋体"/>
          <w:sz w:val="24"/>
          <w:szCs w:val="24"/>
        </w:rPr>
        <w:t>。</w:t>
      </w:r>
    </w:p>
    <w:p>
      <w:pPr>
        <w:tabs>
          <w:tab w:val="left" w:pos="360"/>
          <w:tab w:val="left" w:pos="540"/>
        </w:tabs>
        <w:spacing w:line="360" w:lineRule="auto"/>
        <w:ind w:firstLine="480" w:firstLineChars="200"/>
        <w:rPr>
          <w:rFonts w:ascii="宋体" w:hAnsi="宋体" w:cs="宋体"/>
          <w:sz w:val="24"/>
          <w:szCs w:val="24"/>
        </w:rPr>
      </w:pPr>
      <w:r>
        <w:rPr>
          <w:rFonts w:hint="eastAsia" w:ascii="宋体" w:hAnsi="宋体" w:cs="宋体"/>
          <w:sz w:val="24"/>
          <w:szCs w:val="24"/>
        </w:rPr>
        <w:t>2、抽检范围覆盖禹州市下辖所有行政区域，抽样对象涵盖食品生产加工、流通及餐饮服务等环节的食品生产经营单位。</w:t>
      </w:r>
    </w:p>
    <w:p>
      <w:pPr>
        <w:tabs>
          <w:tab w:val="left" w:pos="360"/>
          <w:tab w:val="left" w:pos="540"/>
        </w:tabs>
        <w:spacing w:line="360" w:lineRule="auto"/>
        <w:ind w:firstLine="480" w:firstLineChars="200"/>
        <w:rPr>
          <w:rFonts w:ascii="宋体" w:hAnsi="宋体" w:cs="宋体"/>
          <w:sz w:val="24"/>
          <w:szCs w:val="24"/>
        </w:rPr>
      </w:pPr>
      <w:r>
        <w:rPr>
          <w:rFonts w:hint="eastAsia" w:ascii="宋体" w:hAnsi="宋体" w:cs="宋体"/>
          <w:sz w:val="24"/>
          <w:szCs w:val="24"/>
        </w:rPr>
        <w:t>3、抽样要求。按照《食品安全抽样检验管理办法》、《食品安全监督抽检和风险监测工作规范》、《食品安全监督抽检和风险监测实施细则（2019版）》、《实施细则》执行抽检监测工作程序，履行法定手续。相关样品采集执法文书按照《市场监管总局办公厅关于印发食品安全监督抽检和风险监测工作规范的通知》中文书制定。</w:t>
      </w:r>
    </w:p>
    <w:p>
      <w:pPr>
        <w:tabs>
          <w:tab w:val="left" w:pos="360"/>
          <w:tab w:val="left" w:pos="540"/>
        </w:tabs>
        <w:spacing w:line="360" w:lineRule="auto"/>
        <w:ind w:firstLine="480" w:firstLineChars="200"/>
        <w:rPr>
          <w:rFonts w:ascii="宋体" w:hAnsi="宋体" w:cs="宋体"/>
          <w:sz w:val="24"/>
          <w:szCs w:val="24"/>
        </w:rPr>
      </w:pPr>
      <w:r>
        <w:rPr>
          <w:rFonts w:hint="eastAsia" w:ascii="宋体" w:hAnsi="宋体" w:cs="宋体"/>
          <w:sz w:val="24"/>
          <w:szCs w:val="24"/>
        </w:rPr>
        <w:t>4、检测要求。具备满足速冻及冷饮类储运条件的设备，能够保证微生物待检测样品在4小时以内进入实验室。具备专业的检测队伍及科学的实验室体系管理制度，能够在抽样后的20个工作日内出具检验报告，并按照规定时限分析、上报检测结果。</w:t>
      </w:r>
    </w:p>
    <w:p>
      <w:pPr>
        <w:spacing w:line="360" w:lineRule="auto"/>
        <w:ind w:firstLine="480" w:firstLineChars="200"/>
        <w:rPr>
          <w:rFonts w:ascii="宋体" w:hAnsi="宋体" w:cs="宋体"/>
          <w:b/>
          <w:bCs/>
          <w:color w:val="000000"/>
          <w:sz w:val="24"/>
          <w:szCs w:val="24"/>
        </w:rPr>
      </w:pPr>
      <w:r>
        <w:rPr>
          <w:rFonts w:hint="eastAsia" w:ascii="宋体" w:hAnsi="宋体" w:cs="宋体"/>
          <w:sz w:val="24"/>
          <w:szCs w:val="24"/>
        </w:rPr>
        <w:t>5、大宗食品检验检测机构协议供货检测品种、项目见4.1服务项目报价明细表（在投标文件P347-P439）。</w:t>
      </w:r>
    </w:p>
    <w:p>
      <w:pPr>
        <w:spacing w:line="360" w:lineRule="auto"/>
        <w:ind w:firstLine="480" w:firstLineChars="200"/>
        <w:rPr>
          <w:rFonts w:ascii="宋体" w:hAnsi="宋体" w:cs="宋体"/>
          <w:color w:val="000000"/>
          <w:sz w:val="24"/>
          <w:highlight w:val="yellow"/>
        </w:rPr>
      </w:pPr>
    </w:p>
    <w:p>
      <w:pPr>
        <w:spacing w:line="360" w:lineRule="auto"/>
        <w:ind w:firstLine="480" w:firstLineChars="200"/>
        <w:rPr>
          <w:rFonts w:ascii="宋体" w:hAnsi="宋体" w:cs="宋体"/>
          <w:color w:val="000000"/>
          <w:sz w:val="24"/>
        </w:rPr>
      </w:pPr>
      <w:r>
        <w:rPr>
          <w:rFonts w:hint="eastAsia" w:ascii="宋体" w:hAnsi="宋体" w:cs="宋体"/>
          <w:color w:val="000000"/>
          <w:sz w:val="24"/>
        </w:rPr>
        <w:t>本公司将按照《食品安全抽样检验管理力办法》、《食品安全监督抽检和风险监测工作规范》、《食品安全监督抽检和风险监测实施细则(2019版)》、按照《实施细则》进行抽检监测工作程序，履行法定手绩。相关样品采集执法文书按照《食品药品监管总局力公厅关于印发食品安全监督抽检和风险监测工作规范的通知》中文书制定。</w:t>
      </w:r>
    </w:p>
    <w:p>
      <w:pPr>
        <w:spacing w:line="360" w:lineRule="auto"/>
        <w:ind w:firstLine="480" w:firstLineChars="200"/>
        <w:rPr>
          <w:rFonts w:ascii="宋体" w:hAnsi="宋体" w:cs="宋体"/>
          <w:color w:val="000000"/>
          <w:sz w:val="24"/>
        </w:rPr>
      </w:pPr>
      <w:r>
        <w:rPr>
          <w:rFonts w:hint="eastAsia" w:ascii="宋体" w:hAnsi="宋体" w:cs="宋体"/>
          <w:color w:val="000000"/>
          <w:sz w:val="24"/>
        </w:rPr>
        <w:t>本公司保证能够提供专业人员配合执法入员进行采样，同时具备送样的检验能力，采样过程严格按照国家《食品安全抽检实施细则》进行，服务态度良好，主动配合抽检部门进行食品抽检工作；</w:t>
      </w:r>
      <w:r>
        <w:rPr>
          <w:rFonts w:hint="eastAsia" w:ascii="宋体" w:hAnsi="宋体" w:cs="宋体"/>
          <w:b/>
          <w:color w:val="000000"/>
          <w:sz w:val="24"/>
        </w:rPr>
        <w:t>具备满足速冻及冷饮类储运条件的设备，能够保证全项微生物待检测样品在4小时以内进入实验室</w:t>
      </w:r>
      <w:r>
        <w:rPr>
          <w:rFonts w:hint="eastAsia" w:ascii="宋体" w:hAnsi="宋体" w:cs="宋体"/>
          <w:color w:val="000000"/>
          <w:sz w:val="24"/>
        </w:rPr>
        <w:t>。</w:t>
      </w:r>
    </w:p>
    <w:p>
      <w:pPr>
        <w:pStyle w:val="5"/>
        <w:spacing w:line="415" w:lineRule="auto"/>
        <w:rPr>
          <w:rFonts w:ascii="宋体" w:hAnsi="宋体" w:cs="宋体"/>
          <w:color w:val="000000"/>
        </w:rPr>
      </w:pPr>
      <w:bookmarkStart w:id="14" w:name="_Toc11758"/>
      <w:bookmarkStart w:id="15" w:name="_Toc8134209"/>
      <w:r>
        <w:rPr>
          <w:rFonts w:hint="eastAsia" w:ascii="宋体" w:hAnsi="宋体" w:cs="宋体"/>
          <w:bCs w:val="0"/>
          <w:color w:val="000000"/>
        </w:rPr>
        <w:t>4.2</w:t>
      </w:r>
      <w:r>
        <w:rPr>
          <w:rFonts w:hint="eastAsia" w:ascii="宋体" w:hAnsi="宋体" w:cs="宋体"/>
          <w:color w:val="000000"/>
        </w:rPr>
        <w:t>.3 投标人承诺与招标人及相关单位提供定期或不定期的沟通服务及方案</w:t>
      </w:r>
      <w:bookmarkEnd w:id="14"/>
      <w:bookmarkEnd w:id="15"/>
    </w:p>
    <w:p>
      <w:pPr>
        <w:spacing w:line="360" w:lineRule="auto"/>
        <w:ind w:firstLine="480" w:firstLineChars="200"/>
        <w:rPr>
          <w:rFonts w:ascii="宋体" w:hAnsi="宋体" w:cs="宋体"/>
          <w:sz w:val="24"/>
        </w:rPr>
      </w:pPr>
      <w:r>
        <w:rPr>
          <w:rFonts w:hint="eastAsia" w:ascii="宋体" w:hAnsi="宋体" w:cs="宋体"/>
          <w:sz w:val="24"/>
        </w:rPr>
        <w:t>本公司定期或不定期的与招标人进行相关业务交流，虚心接收招标人的监督和意见，及时改进工作方法和服务方式，公司秉承“行业公正、方法科学、及时准确、服务至上”的经营方针和牢记实验室“公正、科学、准确、及时、满意”的质量方针，坚持不懈追求更高服务水平为工作理念。</w:t>
      </w:r>
    </w:p>
    <w:p>
      <w:pPr>
        <w:spacing w:line="360" w:lineRule="auto"/>
        <w:ind w:firstLine="480" w:firstLineChars="200"/>
        <w:rPr>
          <w:rFonts w:ascii="宋体" w:hAnsi="宋体" w:cs="宋体"/>
          <w:sz w:val="24"/>
        </w:rPr>
      </w:pPr>
      <w:r>
        <w:rPr>
          <w:rFonts w:hint="eastAsia" w:ascii="宋体" w:hAnsi="宋体" w:cs="宋体"/>
          <w:sz w:val="24"/>
        </w:rPr>
        <w:t>（1）每次抽样检测检查后及时与招标人沟通，及早上报检测结果；</w:t>
      </w:r>
    </w:p>
    <w:p>
      <w:pPr>
        <w:spacing w:line="360" w:lineRule="auto"/>
        <w:ind w:firstLine="480" w:firstLineChars="200"/>
        <w:rPr>
          <w:rFonts w:ascii="宋体" w:hAnsi="宋体" w:cs="宋体"/>
          <w:color w:val="000000"/>
          <w:sz w:val="24"/>
        </w:rPr>
      </w:pPr>
      <w:r>
        <w:rPr>
          <w:rFonts w:hint="eastAsia" w:ascii="宋体" w:hAnsi="宋体" w:cs="宋体"/>
          <w:sz w:val="24"/>
        </w:rPr>
        <w:t>（2）与招标人代表、工作人员随时交流，接受招标人的意见，及时改进工作方法和服务方式，提高服务水平。</w:t>
      </w:r>
    </w:p>
    <w:p>
      <w:pPr>
        <w:pStyle w:val="5"/>
        <w:rPr>
          <w:rFonts w:ascii="宋体" w:hAnsi="宋体" w:cs="宋体"/>
          <w:color w:val="000000"/>
        </w:rPr>
      </w:pPr>
      <w:bookmarkStart w:id="16" w:name="_Toc15293"/>
      <w:bookmarkStart w:id="17" w:name="_Toc8134210"/>
      <w:r>
        <w:rPr>
          <w:rFonts w:hint="eastAsia" w:ascii="宋体" w:hAnsi="宋体" w:cs="宋体"/>
          <w:bCs w:val="0"/>
          <w:color w:val="000000"/>
        </w:rPr>
        <w:t>4.2</w:t>
      </w:r>
      <w:r>
        <w:rPr>
          <w:rFonts w:hint="eastAsia" w:ascii="宋体" w:hAnsi="宋体" w:cs="宋体"/>
          <w:color w:val="000000"/>
        </w:rPr>
        <w:t>.4 投标人提出有利于招标人的其他服务承诺及优惠措施</w:t>
      </w:r>
      <w:bookmarkEnd w:id="16"/>
      <w:bookmarkEnd w:id="17"/>
    </w:p>
    <w:p>
      <w:pPr>
        <w:spacing w:line="360" w:lineRule="auto"/>
        <w:rPr>
          <w:rFonts w:ascii="宋体" w:hAnsi="宋体" w:cs="宋体"/>
          <w:b/>
          <w:bCs/>
          <w:color w:val="000000"/>
          <w:sz w:val="24"/>
        </w:rPr>
      </w:pPr>
      <w:bookmarkStart w:id="18" w:name="_Toc5689"/>
      <w:r>
        <w:rPr>
          <w:rFonts w:hint="eastAsia" w:ascii="宋体" w:hAnsi="宋体" w:cs="宋体"/>
          <w:b/>
          <w:bCs/>
          <w:color w:val="000000"/>
          <w:sz w:val="24"/>
        </w:rPr>
        <w:t>4.2.4.1 服务与承诺</w:t>
      </w:r>
      <w:bookmarkEnd w:id="18"/>
    </w:p>
    <w:p>
      <w:pPr>
        <w:spacing w:line="360" w:lineRule="auto"/>
        <w:ind w:firstLine="480" w:firstLineChars="200"/>
        <w:rPr>
          <w:rFonts w:ascii="宋体" w:hAnsi="宋体" w:cs="宋体"/>
          <w:color w:val="000000"/>
          <w:sz w:val="24"/>
        </w:rPr>
      </w:pPr>
      <w:r>
        <w:rPr>
          <w:rFonts w:hint="eastAsia" w:ascii="宋体" w:hAnsi="宋体" w:cs="宋体"/>
          <w:color w:val="000000"/>
          <w:sz w:val="24"/>
        </w:rPr>
        <w:t>本公司义务为招标人提供抽样工作方式培训，组织招标人进行实验室参观考察活动，</w:t>
      </w:r>
      <w:r>
        <w:rPr>
          <w:rFonts w:hint="eastAsia" w:ascii="宋体" w:hAnsi="宋体" w:cs="宋体"/>
          <w:b/>
          <w:color w:val="000000"/>
          <w:sz w:val="24"/>
        </w:rPr>
        <w:t>优先响应招标人问询，接受招标人监督，分期按时向招标人汇报工作进度</w:t>
      </w:r>
      <w:r>
        <w:rPr>
          <w:rFonts w:hint="eastAsia" w:ascii="宋体" w:hAnsi="宋体" w:cs="宋体"/>
          <w:color w:val="000000"/>
          <w:sz w:val="24"/>
        </w:rPr>
        <w:t>，设置专项项目负责人，为招标人特别开办检测工作流程培训班，提供前期调研工作；为招标人量身定制工作方案。</w:t>
      </w:r>
    </w:p>
    <w:p>
      <w:pPr>
        <w:spacing w:line="360" w:lineRule="auto"/>
        <w:ind w:firstLine="480" w:firstLineChars="200"/>
        <w:rPr>
          <w:rFonts w:ascii="宋体" w:hAnsi="宋体" w:cs="宋体"/>
          <w:color w:val="000000"/>
          <w:sz w:val="24"/>
        </w:rPr>
      </w:pPr>
      <w:r>
        <w:rPr>
          <w:rFonts w:hint="eastAsia" w:ascii="宋体" w:hAnsi="宋体" w:cs="宋体"/>
          <w:color w:val="000000"/>
          <w:sz w:val="24"/>
        </w:rPr>
        <w:t>（1）响应时间</w:t>
      </w:r>
    </w:p>
    <w:p>
      <w:pPr>
        <w:spacing w:line="360" w:lineRule="auto"/>
        <w:ind w:firstLine="480" w:firstLineChars="200"/>
        <w:rPr>
          <w:rFonts w:ascii="宋体" w:hAnsi="宋体" w:cs="宋体"/>
          <w:color w:val="000000"/>
          <w:sz w:val="24"/>
        </w:rPr>
      </w:pPr>
      <w:r>
        <w:rPr>
          <w:rFonts w:hint="eastAsia" w:ascii="宋体" w:hAnsi="宋体" w:cs="宋体"/>
          <w:b/>
          <w:color w:val="000000"/>
          <w:sz w:val="24"/>
        </w:rPr>
        <w:t>全年365天24小时即时响应，</w:t>
      </w:r>
      <w:r>
        <w:rPr>
          <w:rFonts w:hint="eastAsia" w:ascii="宋体" w:hAnsi="宋体" w:cs="宋体"/>
          <w:color w:val="000000"/>
          <w:sz w:val="24"/>
        </w:rPr>
        <w:t>接通知后即时出发，并提供应急情况下24小时不间断抽样检测服务。</w:t>
      </w:r>
    </w:p>
    <w:p>
      <w:pPr>
        <w:spacing w:line="360" w:lineRule="auto"/>
        <w:ind w:firstLine="480" w:firstLineChars="200"/>
        <w:rPr>
          <w:rFonts w:ascii="宋体" w:hAnsi="宋体" w:cs="宋体"/>
          <w:color w:val="000000"/>
          <w:sz w:val="24"/>
        </w:rPr>
      </w:pPr>
      <w:r>
        <w:rPr>
          <w:rFonts w:hint="eastAsia" w:ascii="宋体" w:hAnsi="宋体" w:cs="宋体"/>
          <w:color w:val="000000"/>
          <w:sz w:val="24"/>
        </w:rPr>
        <w:t>（2）取样时间、样品情况汇总、统计等</w:t>
      </w:r>
    </w:p>
    <w:p>
      <w:pPr>
        <w:spacing w:line="360" w:lineRule="auto"/>
        <w:ind w:firstLine="480" w:firstLineChars="200"/>
        <w:rPr>
          <w:rFonts w:ascii="宋体" w:hAnsi="宋体" w:cs="宋体"/>
          <w:color w:val="000000"/>
          <w:sz w:val="24"/>
        </w:rPr>
      </w:pPr>
      <w:r>
        <w:rPr>
          <w:rFonts w:hint="eastAsia" w:ascii="宋体" w:hAnsi="宋体" w:cs="宋体"/>
          <w:color w:val="000000"/>
          <w:sz w:val="24"/>
        </w:rPr>
        <w:t>按照招标人的时限要求，保质保量完成抽样、检测任务；每期任务提供6组采用人员和采样工具（包括采样车辆、冷藏运输设备、各项工具等），提供样品运输、交接服务。每期任务下达后依据服务方案按时完成取样任务。</w:t>
      </w:r>
    </w:p>
    <w:p>
      <w:pPr>
        <w:spacing w:line="360" w:lineRule="auto"/>
        <w:ind w:firstLine="480" w:firstLineChars="200"/>
        <w:rPr>
          <w:rFonts w:ascii="宋体" w:hAnsi="宋体" w:cs="宋体"/>
          <w:color w:val="000000"/>
          <w:sz w:val="24"/>
        </w:rPr>
      </w:pPr>
      <w:r>
        <w:rPr>
          <w:rFonts w:hint="eastAsia" w:ascii="宋体" w:hAnsi="宋体" w:cs="宋体"/>
          <w:color w:val="000000"/>
          <w:sz w:val="24"/>
        </w:rPr>
        <w:t>（3）检测周期</w:t>
      </w:r>
    </w:p>
    <w:p>
      <w:pPr>
        <w:spacing w:line="360" w:lineRule="auto"/>
        <w:ind w:firstLine="480" w:firstLineChars="200"/>
        <w:rPr>
          <w:rFonts w:ascii="宋体" w:hAnsi="宋体" w:cs="宋体"/>
          <w:color w:val="000000"/>
          <w:sz w:val="24"/>
        </w:rPr>
      </w:pPr>
      <w:r>
        <w:rPr>
          <w:rFonts w:hint="eastAsia" w:ascii="宋体" w:hAnsi="宋体" w:cs="宋体"/>
          <w:color w:val="000000"/>
          <w:sz w:val="24"/>
        </w:rPr>
        <w:t>一般样品进实验室后5-7个工作日出具检验报告（特殊检验项目按检验时限要求出具检验报告）并送达采购单位；如针对招标文件中的端午、国庆中秋的专项抽检，在确保检验结果合法有效前提下，可在2-3个工作日出具检验结果报告。检验过程中发现被检样品存在严重安全问题或较高风险问题的24小时内将问题或有关情况报告被抽样组织部门。</w:t>
      </w:r>
    </w:p>
    <w:p>
      <w:pPr>
        <w:spacing w:line="360" w:lineRule="auto"/>
        <w:ind w:firstLine="480" w:firstLineChars="200"/>
        <w:rPr>
          <w:rFonts w:ascii="宋体" w:hAnsi="宋体" w:cs="宋体"/>
          <w:color w:val="000000"/>
          <w:sz w:val="24"/>
        </w:rPr>
      </w:pPr>
      <w:r>
        <w:rPr>
          <w:rFonts w:hint="eastAsia" w:ascii="宋体" w:hAnsi="宋体" w:cs="宋体"/>
          <w:color w:val="000000"/>
          <w:sz w:val="24"/>
        </w:rPr>
        <w:t>（4）结果专报机制</w:t>
      </w:r>
    </w:p>
    <w:p>
      <w:pPr>
        <w:spacing w:line="360" w:lineRule="auto"/>
        <w:ind w:firstLine="480" w:firstLineChars="200"/>
        <w:rPr>
          <w:rFonts w:ascii="宋体" w:hAnsi="宋体" w:cs="宋体"/>
          <w:color w:val="000000"/>
          <w:sz w:val="24"/>
        </w:rPr>
      </w:pPr>
      <w:r>
        <w:rPr>
          <w:rFonts w:hint="eastAsia" w:ascii="宋体" w:hAnsi="宋体" w:cs="宋体"/>
          <w:color w:val="000000"/>
          <w:sz w:val="24"/>
        </w:rPr>
        <w:t>检测过程中发现被检样品存在严重安全问题或较高风险问题的，24小时内将有关情况报告招标人。不合格样品检测报告于检测结果出具2日内送达委托单位。</w:t>
      </w:r>
    </w:p>
    <w:p>
      <w:pPr>
        <w:spacing w:line="360" w:lineRule="auto"/>
        <w:rPr>
          <w:rFonts w:ascii="宋体" w:hAnsi="宋体" w:cs="宋体"/>
          <w:b/>
          <w:bCs/>
          <w:color w:val="000000"/>
          <w:sz w:val="24"/>
        </w:rPr>
      </w:pPr>
      <w:bookmarkStart w:id="19" w:name="_Toc31033"/>
      <w:r>
        <w:rPr>
          <w:rFonts w:hint="eastAsia" w:ascii="宋体" w:hAnsi="宋体" w:cs="宋体"/>
          <w:b/>
          <w:bCs/>
          <w:color w:val="000000"/>
          <w:sz w:val="24"/>
        </w:rPr>
        <w:t>4.2.4.2 优惠措施</w:t>
      </w:r>
      <w:bookmarkEnd w:id="19"/>
    </w:p>
    <w:p>
      <w:pPr>
        <w:spacing w:line="360" w:lineRule="auto"/>
        <w:ind w:firstLine="480" w:firstLineChars="200"/>
        <w:rPr>
          <w:rFonts w:ascii="宋体" w:hAnsi="宋体" w:cs="宋体"/>
          <w:color w:val="000000"/>
          <w:sz w:val="24"/>
        </w:rPr>
      </w:pPr>
      <w:r>
        <w:rPr>
          <w:rFonts w:hint="eastAsia" w:ascii="宋体" w:hAnsi="宋体" w:cs="宋体"/>
          <w:color w:val="000000"/>
          <w:sz w:val="24"/>
        </w:rPr>
        <w:t>本公司为禹州市市场监督管理局委托的检测工作全程开辟“绿色通道”：</w:t>
      </w:r>
    </w:p>
    <w:p>
      <w:pPr>
        <w:spacing w:line="360" w:lineRule="auto"/>
        <w:ind w:firstLine="480" w:firstLineChars="200"/>
        <w:rPr>
          <w:rFonts w:ascii="宋体" w:hAnsi="宋体" w:cs="宋体"/>
          <w:color w:val="000000"/>
          <w:sz w:val="24"/>
        </w:rPr>
      </w:pPr>
      <w:r>
        <w:rPr>
          <w:rFonts w:hint="eastAsia" w:ascii="宋体" w:hAnsi="宋体" w:cs="宋体"/>
          <w:color w:val="000000"/>
          <w:sz w:val="24"/>
        </w:rPr>
        <w:t>免费提供食品安全数据统计及分析服务，为业主提供反映抽检地食品安全状况的多指标分析报告；</w:t>
      </w:r>
    </w:p>
    <w:p>
      <w:pPr>
        <w:spacing w:line="360" w:lineRule="auto"/>
        <w:ind w:firstLine="480" w:firstLineChars="200"/>
        <w:rPr>
          <w:rFonts w:ascii="宋体" w:hAnsi="宋体" w:cs="宋体"/>
          <w:color w:val="000000"/>
          <w:sz w:val="24"/>
        </w:rPr>
      </w:pPr>
      <w:r>
        <w:rPr>
          <w:rFonts w:hint="eastAsia" w:ascii="宋体" w:hAnsi="宋体" w:cs="宋体"/>
          <w:color w:val="000000"/>
          <w:sz w:val="24"/>
        </w:rPr>
        <w:t>配合业主方进行食品安全宣传及面向社会公众的检测技术咨询；</w:t>
      </w:r>
    </w:p>
    <w:p>
      <w:pPr>
        <w:spacing w:line="360" w:lineRule="auto"/>
        <w:ind w:firstLine="480" w:firstLineChars="200"/>
        <w:rPr>
          <w:rFonts w:ascii="宋体" w:hAnsi="宋体" w:cs="宋体"/>
          <w:color w:val="000000"/>
          <w:sz w:val="24"/>
        </w:rPr>
      </w:pPr>
      <w:r>
        <w:rPr>
          <w:rFonts w:hint="eastAsia" w:ascii="宋体" w:hAnsi="宋体" w:cs="宋体"/>
          <w:color w:val="000000"/>
          <w:sz w:val="24"/>
        </w:rPr>
        <w:t>接到每期委托任务后，当天加班安排采样计划，并于第二天开展采样工作，休息日采样工作不停滞，确保按时完成当期整体抽检任务；</w:t>
      </w:r>
    </w:p>
    <w:p>
      <w:pPr>
        <w:spacing w:line="360" w:lineRule="auto"/>
        <w:ind w:firstLine="480" w:firstLineChars="200"/>
        <w:rPr>
          <w:rFonts w:ascii="宋体" w:hAnsi="宋体" w:cs="宋体"/>
          <w:color w:val="000000"/>
          <w:sz w:val="24"/>
        </w:rPr>
      </w:pPr>
      <w:r>
        <w:rPr>
          <w:rFonts w:hint="eastAsia" w:ascii="宋体" w:hAnsi="宋体" w:cs="宋体"/>
          <w:color w:val="000000"/>
          <w:sz w:val="24"/>
        </w:rPr>
        <w:t>生鲜类及特殊样品全程冷链运输，费用由京测检测公司承担，不加收采样费用。</w:t>
      </w:r>
    </w:p>
    <w:p>
      <w:pPr>
        <w:spacing w:line="360" w:lineRule="auto"/>
        <w:ind w:firstLine="480" w:firstLineChars="200"/>
        <w:rPr>
          <w:rFonts w:ascii="宋体" w:hAnsi="宋体" w:cs="宋体"/>
          <w:color w:val="000000"/>
          <w:sz w:val="24"/>
        </w:rPr>
      </w:pPr>
      <w:r>
        <w:rPr>
          <w:rFonts w:hint="eastAsia" w:ascii="宋体" w:hAnsi="宋体" w:cs="宋体"/>
          <w:b/>
          <w:color w:val="000000"/>
          <w:sz w:val="24"/>
        </w:rPr>
        <w:t>整个抽检完成过程遵循“六优先原则”</w:t>
      </w:r>
      <w:r>
        <w:rPr>
          <w:rFonts w:hint="eastAsia" w:ascii="宋体" w:hAnsi="宋体" w:cs="宋体"/>
          <w:color w:val="000000"/>
          <w:sz w:val="24"/>
        </w:rPr>
        <w:t>，即：</w:t>
      </w:r>
    </w:p>
    <w:p>
      <w:pPr>
        <w:spacing w:line="360" w:lineRule="auto"/>
        <w:ind w:firstLine="480" w:firstLineChars="200"/>
        <w:rPr>
          <w:rFonts w:ascii="宋体" w:hAnsi="宋体" w:cs="宋体"/>
          <w:color w:val="000000"/>
          <w:sz w:val="24"/>
        </w:rPr>
      </w:pPr>
      <w:r>
        <w:rPr>
          <w:rFonts w:hint="eastAsia" w:ascii="宋体" w:hAnsi="宋体" w:cs="宋体"/>
          <w:color w:val="000000"/>
          <w:sz w:val="24"/>
        </w:rPr>
        <w:t>（1）优先采样，在接到抽样任务后，加班制定抽样计划，第一时间传达给抽样人员；</w:t>
      </w:r>
    </w:p>
    <w:p>
      <w:pPr>
        <w:spacing w:line="360" w:lineRule="auto"/>
        <w:ind w:firstLine="480" w:firstLineChars="200"/>
        <w:rPr>
          <w:rFonts w:ascii="宋体" w:hAnsi="宋体" w:cs="宋体"/>
          <w:color w:val="000000"/>
          <w:sz w:val="24"/>
        </w:rPr>
      </w:pPr>
      <w:r>
        <w:rPr>
          <w:rFonts w:hint="eastAsia" w:ascii="宋体" w:hAnsi="宋体" w:cs="宋体"/>
          <w:color w:val="000000"/>
          <w:sz w:val="24"/>
        </w:rPr>
        <w:t>（2）优先下单，客服下单人员优先录入样品信息，第一时间下单；</w:t>
      </w:r>
    </w:p>
    <w:p>
      <w:pPr>
        <w:spacing w:line="360" w:lineRule="auto"/>
        <w:ind w:firstLine="480" w:firstLineChars="200"/>
        <w:rPr>
          <w:rFonts w:ascii="宋体" w:hAnsi="宋体" w:cs="宋体"/>
          <w:color w:val="000000"/>
          <w:sz w:val="24"/>
        </w:rPr>
      </w:pPr>
      <w:r>
        <w:rPr>
          <w:rFonts w:hint="eastAsia" w:ascii="宋体" w:hAnsi="宋体" w:cs="宋体"/>
          <w:color w:val="000000"/>
          <w:sz w:val="24"/>
        </w:rPr>
        <w:t>（3）优先传递，样品室优先拍照，第一时间转交样品；</w:t>
      </w:r>
    </w:p>
    <w:p>
      <w:pPr>
        <w:spacing w:line="360" w:lineRule="auto"/>
        <w:ind w:firstLine="480" w:firstLineChars="200"/>
        <w:rPr>
          <w:rFonts w:ascii="宋体" w:hAnsi="宋体" w:cs="宋体"/>
          <w:color w:val="000000"/>
          <w:sz w:val="24"/>
        </w:rPr>
      </w:pPr>
      <w:r>
        <w:rPr>
          <w:rFonts w:hint="eastAsia" w:ascii="宋体" w:hAnsi="宋体" w:cs="宋体"/>
          <w:color w:val="000000"/>
          <w:sz w:val="24"/>
        </w:rPr>
        <w:t>（4）优先处理，制样人员优先制样，第一时间转交仪器室；</w:t>
      </w:r>
    </w:p>
    <w:p>
      <w:pPr>
        <w:spacing w:line="360" w:lineRule="auto"/>
        <w:ind w:firstLine="480" w:firstLineChars="200"/>
        <w:rPr>
          <w:rFonts w:ascii="宋体" w:hAnsi="宋体" w:cs="宋体"/>
          <w:color w:val="000000"/>
          <w:sz w:val="24"/>
        </w:rPr>
      </w:pPr>
      <w:r>
        <w:rPr>
          <w:rFonts w:hint="eastAsia" w:ascii="宋体" w:hAnsi="宋体" w:cs="宋体"/>
          <w:color w:val="000000"/>
          <w:sz w:val="24"/>
        </w:rPr>
        <w:t>（5）优先检测，待设备中样品检测运行完毕后，优先上机检测；</w:t>
      </w:r>
    </w:p>
    <w:p>
      <w:pPr>
        <w:spacing w:line="360" w:lineRule="auto"/>
        <w:ind w:firstLine="480" w:firstLineChars="200"/>
        <w:rPr>
          <w:rFonts w:ascii="宋体" w:hAnsi="宋体" w:cs="宋体"/>
          <w:color w:val="000000"/>
          <w:sz w:val="24"/>
        </w:rPr>
      </w:pPr>
      <w:r>
        <w:rPr>
          <w:rFonts w:hint="eastAsia" w:ascii="宋体" w:hAnsi="宋体" w:cs="宋体"/>
          <w:color w:val="000000"/>
          <w:sz w:val="24"/>
        </w:rPr>
        <w:t>（6）优先审核，报告编制人员优先送审，主检、授权签字人优先审核，签发；</w:t>
      </w:r>
    </w:p>
    <w:p>
      <w:pPr>
        <w:spacing w:line="360" w:lineRule="auto"/>
        <w:ind w:firstLine="480" w:firstLineChars="200"/>
        <w:rPr>
          <w:rFonts w:ascii="宋体" w:hAnsi="宋体" w:cs="宋体"/>
          <w:color w:val="000000"/>
          <w:sz w:val="24"/>
        </w:rPr>
      </w:pPr>
      <w:r>
        <w:rPr>
          <w:rFonts w:hint="eastAsia" w:ascii="宋体" w:hAnsi="宋体" w:cs="宋体"/>
          <w:color w:val="000000"/>
          <w:sz w:val="24"/>
        </w:rPr>
        <w:t>后期安排专人协助招标人做好信息汇总分析，检测报告分类整理等招标人安排的任务。</w:t>
      </w:r>
    </w:p>
    <w:p>
      <w:pPr>
        <w:pStyle w:val="7"/>
      </w:pPr>
    </w:p>
    <w:p>
      <w:pPr>
        <w:rPr>
          <w:rFonts w:ascii="宋体" w:hAnsi="宋体" w:cs="Arial"/>
          <w:b/>
          <w:color w:val="000000"/>
          <w:sz w:val="24"/>
          <w:szCs w:val="24"/>
        </w:rPr>
      </w:pPr>
    </w:p>
    <w:p>
      <w:pPr>
        <w:spacing w:after="156" w:afterLines="50" w:line="320" w:lineRule="exact"/>
        <w:rPr>
          <w:rFonts w:ascii="宋体" w:hAnsi="宋体" w:cs="Arial"/>
          <w:color w:val="000000"/>
          <w:sz w:val="24"/>
          <w:szCs w:val="24"/>
        </w:rPr>
      </w:pPr>
    </w:p>
    <w:p>
      <w:pPr>
        <w:pStyle w:val="21"/>
        <w:spacing w:before="60" w:after="156" w:afterLines="50" w:line="320" w:lineRule="exact"/>
        <w:ind w:firstLine="0" w:firstLineChars="0"/>
        <w:rPr>
          <w:rFonts w:ascii="宋体" w:hAnsi="宋体" w:cs="Arial"/>
          <w:color w:val="000000"/>
          <w:szCs w:val="24"/>
        </w:rPr>
      </w:pPr>
    </w:p>
    <w:p>
      <w:pPr>
        <w:pStyle w:val="21"/>
        <w:spacing w:before="60" w:after="156" w:afterLines="50" w:line="320" w:lineRule="exact"/>
        <w:ind w:firstLine="0" w:firstLineChars="0"/>
        <w:rPr>
          <w:rFonts w:ascii="宋体" w:hAnsi="宋体" w:cs="Arial"/>
          <w:color w:val="000000"/>
          <w:szCs w:val="24"/>
        </w:rPr>
      </w:pPr>
    </w:p>
    <w:p>
      <w:pPr>
        <w:pStyle w:val="21"/>
        <w:spacing w:before="60" w:after="156" w:afterLines="50" w:line="320" w:lineRule="exact"/>
        <w:ind w:firstLine="0" w:firstLineChars="0"/>
        <w:rPr>
          <w:rFonts w:ascii="宋体" w:hAnsi="宋体" w:cs="Arial"/>
          <w:color w:val="000000"/>
          <w:szCs w:val="24"/>
        </w:rPr>
      </w:pPr>
    </w:p>
    <w:p>
      <w:pPr>
        <w:spacing w:line="600" w:lineRule="exact"/>
        <w:jc w:val="center"/>
        <w:rPr>
          <w:rFonts w:ascii="宋体" w:hAnsi="宋体" w:cs="宋体"/>
          <w:sz w:val="24"/>
        </w:rPr>
      </w:pPr>
      <w:r>
        <w:rPr>
          <w:rFonts w:hint="eastAsia" w:ascii="宋体" w:hAnsi="宋体" w:cs="宋体"/>
          <w:sz w:val="24"/>
        </w:rPr>
        <w:t>投标人（公章）：河南省京测检测技术有限公司</w:t>
      </w:r>
    </w:p>
    <w:p>
      <w:pPr>
        <w:spacing w:line="600" w:lineRule="exact"/>
        <w:jc w:val="center"/>
        <w:rPr>
          <w:rFonts w:ascii="宋体" w:hAnsi="宋体" w:cs="宋体"/>
          <w:sz w:val="24"/>
        </w:rPr>
      </w:pPr>
      <w:r>
        <w:rPr>
          <w:rFonts w:hint="eastAsia" w:ascii="宋体" w:hAnsi="宋体" w:cs="宋体"/>
          <w:sz w:val="24"/>
        </w:rPr>
        <w:t>日    期: 2019 年 0</w:t>
      </w:r>
      <w:r>
        <w:rPr>
          <w:rFonts w:ascii="宋体" w:hAnsi="宋体" w:cs="宋体"/>
          <w:sz w:val="24"/>
        </w:rPr>
        <w:t>5</w:t>
      </w:r>
      <w:r>
        <w:rPr>
          <w:rFonts w:hint="eastAsia" w:ascii="宋体" w:hAnsi="宋体" w:cs="宋体"/>
          <w:sz w:val="24"/>
        </w:rPr>
        <w:t xml:space="preserve"> 月 0</w:t>
      </w:r>
      <w:r>
        <w:rPr>
          <w:rFonts w:hint="eastAsia" w:ascii="宋体" w:hAnsi="宋体" w:cs="宋体"/>
          <w:sz w:val="24"/>
          <w:lang w:val="en-US" w:eastAsia="zh-CN"/>
        </w:rPr>
        <w:t>9</w:t>
      </w:r>
      <w:r>
        <w:rPr>
          <w:rFonts w:hint="eastAsia" w:ascii="宋体" w:hAnsi="宋体" w:cs="宋体"/>
          <w:sz w:val="24"/>
        </w:rPr>
        <w:t xml:space="preserve"> 日</w:t>
      </w:r>
    </w:p>
    <w:p/>
    <w:sectPr>
      <w:pgSz w:w="11906" w:h="16838"/>
      <w:pgMar w:top="1247" w:right="1701" w:bottom="1588" w:left="1701" w:header="907" w:footer="964"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963"/>
    <w:rsid w:val="000B7C16"/>
    <w:rsid w:val="001145B4"/>
    <w:rsid w:val="00267758"/>
    <w:rsid w:val="00311547"/>
    <w:rsid w:val="008E5561"/>
    <w:rsid w:val="00B06CD8"/>
    <w:rsid w:val="00F3274A"/>
    <w:rsid w:val="00F546DC"/>
    <w:rsid w:val="00F67702"/>
    <w:rsid w:val="00F85963"/>
    <w:rsid w:val="00FE279A"/>
    <w:rsid w:val="728D58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40" w:lineRule="auto"/>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0"/>
    <w:pPr>
      <w:pageBreakBefore/>
      <w:widowControl w:val="0"/>
      <w:jc w:val="center"/>
      <w:outlineLvl w:val="0"/>
    </w:pPr>
    <w:rPr>
      <w:b/>
      <w:bCs/>
      <w:kern w:val="44"/>
      <w:sz w:val="28"/>
      <w:szCs w:val="44"/>
    </w:rPr>
  </w:style>
  <w:style w:type="paragraph" w:styleId="3">
    <w:name w:val="heading 2"/>
    <w:basedOn w:val="1"/>
    <w:next w:val="4"/>
    <w:link w:val="16"/>
    <w:qFormat/>
    <w:uiPriority w:val="0"/>
    <w:pPr>
      <w:keepNext/>
      <w:keepLines/>
      <w:widowControl w:val="0"/>
      <w:jc w:val="both"/>
      <w:outlineLvl w:val="1"/>
    </w:pPr>
    <w:rPr>
      <w:b/>
      <w:bCs/>
      <w:sz w:val="24"/>
      <w:szCs w:val="32"/>
    </w:rPr>
  </w:style>
  <w:style w:type="paragraph" w:styleId="5">
    <w:name w:val="heading 3"/>
    <w:basedOn w:val="1"/>
    <w:next w:val="1"/>
    <w:link w:val="15"/>
    <w:qFormat/>
    <w:uiPriority w:val="0"/>
    <w:pPr>
      <w:pageBreakBefore/>
      <w:widowControl w:val="0"/>
      <w:spacing w:line="360" w:lineRule="auto"/>
      <w:jc w:val="both"/>
      <w:outlineLvl w:val="2"/>
    </w:pPr>
    <w:rPr>
      <w:b/>
      <w:bCs/>
      <w:sz w:val="24"/>
      <w:szCs w:val="32"/>
    </w:rPr>
  </w:style>
  <w:style w:type="paragraph" w:styleId="6">
    <w:name w:val="heading 4"/>
    <w:basedOn w:val="1"/>
    <w:next w:val="1"/>
    <w:link w:val="14"/>
    <w:qFormat/>
    <w:uiPriority w:val="9"/>
    <w:pPr>
      <w:widowControl w:val="0"/>
      <w:outlineLvl w:val="3"/>
    </w:pPr>
    <w:rPr>
      <w:b/>
      <w:bCs/>
      <w:sz w:val="24"/>
      <w:szCs w:val="28"/>
    </w:rPr>
  </w:style>
  <w:style w:type="character" w:default="1" w:styleId="13">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4">
    <w:name w:val="Normal Indent"/>
    <w:basedOn w:val="1"/>
    <w:semiHidden/>
    <w:unhideWhenUsed/>
    <w:uiPriority w:val="99"/>
    <w:pPr>
      <w:ind w:firstLine="420" w:firstLineChars="200"/>
    </w:pPr>
  </w:style>
  <w:style w:type="paragraph" w:styleId="7">
    <w:name w:val="Body Text"/>
    <w:basedOn w:val="1"/>
    <w:link w:val="20"/>
    <w:unhideWhenUsed/>
    <w:qFormat/>
    <w:uiPriority w:val="99"/>
    <w:pPr>
      <w:spacing w:after="120"/>
    </w:pPr>
  </w:style>
  <w:style w:type="paragraph" w:styleId="8">
    <w:name w:val="toc 3"/>
    <w:basedOn w:val="1"/>
    <w:next w:val="1"/>
    <w:qFormat/>
    <w:uiPriority w:val="39"/>
    <w:pPr>
      <w:tabs>
        <w:tab w:val="left" w:pos="709"/>
        <w:tab w:val="right" w:leader="dot" w:pos="8789"/>
      </w:tabs>
      <w:spacing w:line="400" w:lineRule="atLeast"/>
      <w:ind w:left="400" w:leftChars="400"/>
    </w:pPr>
    <w:rPr>
      <w:rFonts w:ascii="宋体" w:hAnsi="宋体" w:eastAsia="宋体" w:cs="Times New Roman"/>
      <w:kern w:val="0"/>
      <w:sz w:val="24"/>
      <w:szCs w:val="20"/>
    </w:rPr>
  </w:style>
  <w:style w:type="paragraph" w:styleId="9">
    <w:name w:val="toc 1"/>
    <w:basedOn w:val="1"/>
    <w:next w:val="1"/>
    <w:qFormat/>
    <w:uiPriority w:val="39"/>
    <w:rPr>
      <w:rFonts w:ascii="Times New Roman" w:hAnsi="Times New Roman" w:eastAsia="宋体" w:cs="Times New Roman"/>
      <w:sz w:val="24"/>
      <w:szCs w:val="24"/>
    </w:rPr>
  </w:style>
  <w:style w:type="paragraph" w:styleId="10">
    <w:name w:val="toc 2"/>
    <w:basedOn w:val="1"/>
    <w:next w:val="1"/>
    <w:qFormat/>
    <w:uiPriority w:val="39"/>
    <w:pPr>
      <w:ind w:left="200" w:leftChars="200"/>
    </w:pPr>
    <w:rPr>
      <w:rFonts w:ascii="Times New Roman" w:hAnsi="Times New Roman" w:eastAsia="宋体" w:cs="Times New Roman"/>
      <w:sz w:val="24"/>
      <w:szCs w:val="24"/>
    </w:rPr>
  </w:style>
  <w:style w:type="table" w:styleId="12">
    <w:name w:val="Table Grid"/>
    <w:basedOn w:val="11"/>
    <w:uiPriority w:val="59"/>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4">
    <w:name w:val="标题 4 Char"/>
    <w:link w:val="6"/>
    <w:uiPriority w:val="9"/>
    <w:rPr>
      <w:b/>
      <w:bCs/>
      <w:sz w:val="24"/>
      <w:szCs w:val="28"/>
    </w:rPr>
  </w:style>
  <w:style w:type="character" w:customStyle="1" w:styleId="15">
    <w:name w:val="标题 3 Char"/>
    <w:link w:val="5"/>
    <w:uiPriority w:val="0"/>
    <w:rPr>
      <w:b/>
      <w:bCs/>
      <w:sz w:val="24"/>
      <w:szCs w:val="32"/>
    </w:rPr>
  </w:style>
  <w:style w:type="character" w:customStyle="1" w:styleId="16">
    <w:name w:val="标题 2 Char"/>
    <w:link w:val="3"/>
    <w:uiPriority w:val="0"/>
    <w:rPr>
      <w:b/>
      <w:bCs/>
      <w:sz w:val="24"/>
      <w:szCs w:val="32"/>
    </w:rPr>
  </w:style>
  <w:style w:type="character" w:customStyle="1" w:styleId="17">
    <w:name w:val="标题 1 Char"/>
    <w:link w:val="2"/>
    <w:uiPriority w:val="0"/>
    <w:rPr>
      <w:b/>
      <w:bCs/>
      <w:kern w:val="44"/>
      <w:sz w:val="28"/>
      <w:szCs w:val="44"/>
    </w:rPr>
  </w:style>
  <w:style w:type="character" w:customStyle="1" w:styleId="18">
    <w:name w:val="样式 +中文正文 (宋体) 小四 黑色"/>
    <w:basedOn w:val="13"/>
    <w:qFormat/>
    <w:uiPriority w:val="0"/>
    <w:rPr>
      <w:rFonts w:ascii="Times New Roman" w:hAnsi="Times New Roman" w:eastAsia="宋体"/>
      <w:color w:val="auto"/>
      <w:sz w:val="24"/>
      <w:u w:val="none"/>
      <w:vertAlign w:val="baseline"/>
    </w:rPr>
  </w:style>
  <w:style w:type="paragraph" w:customStyle="1" w:styleId="19">
    <w:name w:val="样式 正文文本 + 宋体 小四"/>
    <w:basedOn w:val="7"/>
    <w:qFormat/>
    <w:uiPriority w:val="0"/>
    <w:pPr>
      <w:widowControl w:val="0"/>
      <w:spacing w:after="0" w:line="360" w:lineRule="auto"/>
      <w:jc w:val="both"/>
    </w:pPr>
    <w:rPr>
      <w:rFonts w:ascii="Times New Roman" w:hAnsi="Times New Roman" w:eastAsia="宋体" w:cs="Times New Roman"/>
      <w:spacing w:val="10"/>
      <w:sz w:val="24"/>
      <w:szCs w:val="24"/>
    </w:rPr>
  </w:style>
  <w:style w:type="character" w:customStyle="1" w:styleId="20">
    <w:name w:val="正文文本 Char"/>
    <w:basedOn w:val="13"/>
    <w:link w:val="7"/>
    <w:uiPriority w:val="99"/>
  </w:style>
  <w:style w:type="paragraph" w:customStyle="1" w:styleId="21">
    <w:name w:val="正文缩进1"/>
    <w:basedOn w:val="1"/>
    <w:qFormat/>
    <w:uiPriority w:val="0"/>
    <w:pPr>
      <w:widowControl w:val="0"/>
      <w:adjustRightInd w:val="0"/>
      <w:spacing w:line="360" w:lineRule="atLeast"/>
      <w:ind w:firstLine="420" w:firstLineChars="200"/>
      <w:textAlignment w:val="baseline"/>
    </w:pPr>
    <w:rPr>
      <w:rFonts w:ascii="Times New Roman" w:hAnsi="Times New Roman" w:eastAsia="宋体" w:cs="Times New Roman"/>
      <w:kern w:val="0"/>
      <w:sz w:val="24"/>
      <w:szCs w:val="20"/>
    </w:rPr>
  </w:style>
  <w:style w:type="character" w:customStyle="1" w:styleId="22">
    <w:name w:val="fontstyle01"/>
    <w:qFormat/>
    <w:uiPriority w:val="0"/>
    <w:rPr>
      <w:rFonts w:hint="eastAsia" w:ascii="宋体" w:hAnsi="宋体" w:eastAsia="宋体" w:cs="宋体"/>
      <w:color w:val="000000"/>
      <w:sz w:val="22"/>
      <w:szCs w:val="22"/>
    </w:rPr>
  </w:style>
  <w:style w:type="paragraph" w:customStyle="1" w:styleId="23">
    <w:name w:val="文档正文"/>
    <w:basedOn w:val="1"/>
    <w:qFormat/>
    <w:uiPriority w:val="0"/>
    <w:pPr>
      <w:widowControl w:val="0"/>
      <w:adjustRightInd w:val="0"/>
      <w:spacing w:line="480" w:lineRule="atLeast"/>
      <w:ind w:firstLine="567"/>
      <w:jc w:val="both"/>
      <w:textAlignment w:val="baseline"/>
    </w:pPr>
    <w:rPr>
      <w:rFonts w:ascii="仿宋_GB2312" w:hAnsi="Times New Roman" w:eastAsia="仿宋_GB2312" w:cs="Times New Roman"/>
      <w:kern w:val="0"/>
      <w:sz w:val="28"/>
      <w:szCs w:val="20"/>
    </w:rPr>
  </w:style>
  <w:style w:type="character" w:customStyle="1" w:styleId="24">
    <w:name w:val="font21"/>
    <w:basedOn w:val="13"/>
    <w:uiPriority w:val="0"/>
    <w:rPr>
      <w:rFonts w:hint="eastAsia" w:ascii="宋体" w:hAnsi="宋体" w:eastAsia="宋体" w:cs="宋体"/>
      <w:color w:val="000000"/>
      <w:sz w:val="20"/>
      <w:szCs w:val="20"/>
      <w:u w:val="none"/>
    </w:rPr>
  </w:style>
  <w:style w:type="character" w:customStyle="1" w:styleId="25">
    <w:name w:val="font11"/>
    <w:basedOn w:val="13"/>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13</Pages>
  <Words>1056</Words>
  <Characters>6022</Characters>
  <Lines>50</Lines>
  <Paragraphs>14</Paragraphs>
  <TotalTime>2</TotalTime>
  <ScaleCrop>false</ScaleCrop>
  <LinksUpToDate>false</LinksUpToDate>
  <CharactersWithSpaces>7064</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2019-05-09T08:46:00Z</dcterms:created>
  <dc:creator>User</dc:creator>
  <cp:lastModifiedBy>Administrator</cp:lastModifiedBy>
  <dcterms:modified xsi:type="dcterms:W3CDTF">2019-05-09T09:48:59Z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