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803" w:firstLineChars="25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长招采竞字【201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】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036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号</w:t>
      </w:r>
    </w:p>
    <w:p>
      <w:pPr>
        <w:widowControl/>
        <w:shd w:val="clear" w:color="auto" w:fill="FFFFFF"/>
        <w:spacing w:line="360" w:lineRule="auto"/>
        <w:ind w:firstLine="803" w:firstLineChars="25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长葛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市动物疫病预防控制中心动物疫病监测试剂及检测耗材采购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竞争性谈判公告</w:t>
      </w:r>
    </w:p>
    <w:p>
      <w:pPr>
        <w:widowControl/>
        <w:shd w:val="clear" w:color="auto" w:fill="FFFFFF"/>
        <w:spacing w:line="360" w:lineRule="auto"/>
        <w:ind w:firstLine="700" w:firstLineChars="25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700" w:firstLineChars="25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受“长葛市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动物疫病预防控制中心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”的委托，长葛市公共资源交易中心就“长葛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市动物疫病预防控制中心动物疫病监测试剂及检测耗材采购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项目”进行竞争性谈判采购，欢迎合格的投标人前来投标。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line="360" w:lineRule="auto"/>
        <w:ind w:firstLine="700" w:firstLineChars="25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（一）项目名称：长葛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市动物疫病预防控制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中心动物疫病监测试剂及检测耗材采购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项目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（二）项目编号：长招采竞字【201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】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036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号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（三）项目需求：拟采购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监测试剂及检测耗材一批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，详细参数见谈判文件。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（四）采购预算：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270000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.00元。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二、需要落实的政府采购政策</w:t>
      </w:r>
    </w:p>
    <w:p>
      <w:pPr>
        <w:shd w:val="solid" w:color="FFFFFF" w:fill="auto"/>
        <w:autoSpaceDN w:val="0"/>
        <w:spacing w:line="360" w:lineRule="auto"/>
        <w:ind w:firstLine="64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本项目落实节约能源、保护环境、扶持不发达地区和少数民族地区、促进中小企业、监狱企业发展等政府采购政策（详见谈判文件）。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三、投标人资格要求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（一）符合《中华人民共和国政府采购法》第二十二条之规定。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（二）具备相应的经营范围，有履行合同能力和完善的服务体系；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（三）未被列入“信用中国”网站(www.creditchina.gov.cn)失信被执行人、重大税收违法案件当事人名单、政府采购严重违法失信名单的投标人；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“中国政府采购网” (www.ccgp.gov.cn)政府采购严重违法失信行为记录名单；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“全国法院http://shixin.court.gov.cn/）失信被执行人名单”；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“国家企业信用公示系统”网站（www.gsxt.gov.cn）严重违法失信企业名单（黑名单）的供应商。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（五）本项目不接受联合体投标</w:t>
      </w:r>
    </w:p>
    <w:p>
      <w:pPr>
        <w:shd w:val="solid" w:color="FFFFFF" w:fill="auto"/>
        <w:autoSpaceDN w:val="0"/>
        <w:spacing w:line="360" w:lineRule="auto"/>
        <w:ind w:firstLine="482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四、获取招标文件的时间、地点、方式</w:t>
      </w:r>
    </w:p>
    <w:p>
      <w:pPr>
        <w:shd w:val="solid" w:color="FFFFFF" w:fill="auto"/>
        <w:autoSpaceDN w:val="0"/>
        <w:spacing w:line="360" w:lineRule="auto"/>
        <w:ind w:firstLine="420" w:firstLineChars="150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（一）投标报名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1、报名时间：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在投标文件递交截止时间前均可报名。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2、报名方式：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网上报名。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（二）网上下载招标文件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1、持CA数字认证证书，登录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"http://221.14.6.70:8088/ggzy/eps/public/RegistAllJcxx.html"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http://221.14.6.70:8088/ggzy/eps/public/RegistAllJcxx.html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进行免费注册登记（详见全国公共资源交易平台（河南省﹒许昌市）“常见问题解答-诚信库网上注册相关资料下载”）；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2、在投标报名时间内登录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，自行下载招标文件（详见全国公共资源交易平台（河南省﹒许昌市）“常见问题解答-交易系统操作手册”）。</w:t>
      </w:r>
    </w:p>
    <w:p>
      <w:pPr>
        <w:shd w:val="solid" w:color="FFFFFF" w:fill="auto"/>
        <w:autoSpaceDN w:val="0"/>
        <w:spacing w:line="360" w:lineRule="auto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（三）未通过全国公共资源交易平台（河南省﹒许昌市）下载招标文件的投标企业,拒收其递交的投标文件。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五、投标截止时间、开标时间及地点：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（一）投标截止及开标时间：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201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时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北京时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间），逾期送达或不符合规定的投标文件不予接受。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（二）开标地点：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长葛市公共资源交易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开标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四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室（长葛市葛天大道东段商务区6#楼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楼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507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室）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六、本次招标公告同时在《河南省政府采购网》、《许昌市政府采购网》、《全国公共资源交易平台（河南省﹒许昌市）》上发布。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七、集中采购机构及采购单位地址、联系人、联系电话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集中采购机构：长葛市公共资源交易中心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长葛市葛天大道东段商务区6#楼4楼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联系电话：0374-6189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667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采购单位：长葛市动物疫病预防控制中心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联系人：郭女士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联系电话：13569977303</w:t>
      </w:r>
    </w:p>
    <w:p>
      <w:pPr>
        <w:shd w:val="solid" w:color="FFFFFF" w:fill="auto"/>
        <w:autoSpaceDN w:val="0"/>
        <w:spacing w:line="360" w:lineRule="auto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 xml:space="preserve">    八、</w:t>
      </w:r>
      <w:r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  <w:t>特别提示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所有投标单位请时刻关注《全国公共资源交易平台（河南省﹒许昌市）》，澄清、答疑、变更均在《全国公共资源交易平台（河南省﹒许昌市）》发布，不再另行通知。如未及时查看影响其投标，后果自负。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802FF"/>
    <w:rsid w:val="08A06CFB"/>
    <w:rsid w:val="0A1734B1"/>
    <w:rsid w:val="79E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2019-04-19T00:36:00Z</dcterms:created>
  <dc:creator>长葛市公共资源交易中心:周幸</dc:creator>
  <cp:lastModifiedBy>长葛市公共资源交易中心:周幸</cp:lastModifiedBy>
  <dcterms:modified xsi:type="dcterms:W3CDTF">2019-05-07T08:59:50Z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