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不动产一窗受理与政务基础平台等对接服务项目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不动产登记中心</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YZCG-G20190</w:t>
      </w:r>
      <w:r>
        <w:rPr>
          <w:rFonts w:hint="eastAsia" w:ascii="仿宋" w:hAnsi="仿宋" w:eastAsia="仿宋" w:cs="仿宋"/>
          <w:b/>
          <w:bCs/>
          <w:color w:val="000000"/>
          <w:sz w:val="32"/>
          <w:szCs w:val="32"/>
          <w:lang w:val="en-US" w:eastAsia="zh-CN"/>
        </w:rPr>
        <w:t>89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五</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pStyle w:val="55"/>
        <w:spacing w:line="600" w:lineRule="exact"/>
        <w:ind w:left="420" w:firstLine="321" w:firstLineChars="100"/>
        <w:rPr>
          <w:rFonts w:ascii="仿宋" w:hAnsi="仿宋" w:eastAsia="仿宋" w:cs="仿宋"/>
          <w:b/>
          <w:bCs/>
          <w:sz w:val="36"/>
          <w:szCs w:val="36"/>
        </w:rPr>
      </w:pPr>
      <w:r>
        <w:rPr>
          <w:rFonts w:hint="eastAsia" w:ascii="仿宋" w:hAnsi="仿宋" w:eastAsia="仿宋" w:cs="仿宋"/>
          <w:b/>
          <w:bCs/>
          <w:sz w:val="32"/>
          <w:szCs w:val="32"/>
        </w:rPr>
        <w:t>禹州市</w:t>
      </w:r>
      <w:r>
        <w:rPr>
          <w:rFonts w:hint="eastAsia" w:ascii="仿宋" w:hAnsi="仿宋" w:eastAsia="仿宋" w:cs="仿宋"/>
          <w:b/>
          <w:bCs/>
          <w:sz w:val="32"/>
          <w:szCs w:val="32"/>
          <w:lang w:eastAsia="zh-CN"/>
        </w:rPr>
        <w:t>不动产一窗受理与政务基础平台等对接服务项目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hint="eastAsia" w:ascii="仿宋" w:hAnsi="仿宋" w:eastAsia="仿宋" w:cs="仿宋_GB2312"/>
          <w:sz w:val="32"/>
          <w:szCs w:val="32"/>
        </w:rPr>
      </w:pPr>
    </w:p>
    <w:p>
      <w:pPr>
        <w:pStyle w:val="2"/>
        <w:rPr>
          <w:rFonts w:hint="eastAsia"/>
        </w:rPr>
      </w:pP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不动产登记交易中心</w:t>
      </w:r>
      <w:r>
        <w:rPr>
          <w:rFonts w:hint="eastAsia" w:ascii="仿宋" w:hAnsi="仿宋" w:eastAsia="仿宋" w:cs="仿宋"/>
          <w:sz w:val="24"/>
          <w:szCs w:val="24"/>
        </w:rPr>
        <w:t>的委托，就“禹州市</w:t>
      </w:r>
      <w:r>
        <w:rPr>
          <w:rFonts w:hint="eastAsia" w:ascii="仿宋" w:hAnsi="仿宋" w:eastAsia="仿宋" w:cs="仿宋"/>
          <w:sz w:val="24"/>
          <w:szCs w:val="24"/>
          <w:lang w:eastAsia="zh-CN"/>
        </w:rPr>
        <w:t>不动产一窗受理与政务基础平台等对接服务项目</w:t>
      </w:r>
      <w:r>
        <w:rPr>
          <w:rFonts w:hint="eastAsia" w:ascii="仿宋" w:hAnsi="仿宋" w:eastAsia="仿宋" w:cs="仿宋"/>
          <w:sz w:val="24"/>
          <w:szCs w:val="24"/>
        </w:rPr>
        <w:t>”进行公开招标，欢迎合格的投标人前来投标。</w:t>
      </w:r>
    </w:p>
    <w:p>
      <w:pPr>
        <w:pStyle w:val="55"/>
        <w:widowControl/>
        <w:numPr>
          <w:ilvl w:val="0"/>
          <w:numId w:val="5"/>
        </w:numPr>
        <w:shd w:val="clear" w:color="auto" w:fill="FFFFFF"/>
        <w:spacing w:line="400" w:lineRule="exact"/>
        <w:ind w:firstLineChars="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shd w:val="clear" w:color="auto" w:fill="FFFFFF"/>
        <w:spacing w:line="40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不动产登记交易中心</w:t>
      </w:r>
    </w:p>
    <w:p>
      <w:pPr>
        <w:spacing w:line="600" w:lineRule="exact"/>
        <w:ind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2.项目名称：</w:t>
      </w:r>
      <w:r>
        <w:rPr>
          <w:rFonts w:hint="eastAsia" w:ascii="仿宋" w:hAnsi="仿宋" w:eastAsia="仿宋" w:cs="仿宋"/>
          <w:sz w:val="24"/>
          <w:szCs w:val="24"/>
        </w:rPr>
        <w:t>禹州市</w:t>
      </w:r>
      <w:r>
        <w:rPr>
          <w:rFonts w:hint="eastAsia" w:ascii="仿宋" w:hAnsi="仿宋" w:eastAsia="仿宋" w:cs="仿宋"/>
          <w:sz w:val="24"/>
          <w:szCs w:val="24"/>
          <w:lang w:eastAsia="zh-CN"/>
        </w:rPr>
        <w:t>不动产一窗受理与政务基础平台等对接服务项目</w:t>
      </w:r>
    </w:p>
    <w:p>
      <w:pPr>
        <w:spacing w:line="600" w:lineRule="exact"/>
        <w:ind w:firstLine="360" w:firstLineChars="150"/>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YZCG-G20190</w:t>
      </w:r>
      <w:r>
        <w:rPr>
          <w:rFonts w:hint="eastAsia" w:ascii="仿宋" w:hAnsi="仿宋" w:eastAsia="仿宋" w:cs="仿宋"/>
          <w:sz w:val="24"/>
          <w:szCs w:val="24"/>
          <w:lang w:val="en-US" w:eastAsia="zh-CN"/>
        </w:rPr>
        <w:t>89</w:t>
      </w:r>
    </w:p>
    <w:p>
      <w:pPr>
        <w:widowControl/>
        <w:shd w:val="clear" w:color="auto" w:fill="FFFFFF"/>
        <w:spacing w:line="40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软件开发服务</w:t>
      </w:r>
      <w:r>
        <w:rPr>
          <w:rFonts w:hint="eastAsia" w:ascii="仿宋" w:hAnsi="仿宋" w:eastAsia="仿宋" w:cs="仿宋"/>
          <w:color w:val="000000"/>
          <w:kern w:val="0"/>
          <w:sz w:val="24"/>
          <w:szCs w:val="24"/>
        </w:rPr>
        <w:t>（详见招标文件）</w:t>
      </w:r>
    </w:p>
    <w:p>
      <w:pPr>
        <w:widowControl/>
        <w:shd w:val="clear" w:color="auto" w:fill="FFFFFF"/>
        <w:spacing w:line="400" w:lineRule="exact"/>
        <w:ind w:firstLine="482"/>
        <w:jc w:val="left"/>
        <w:rPr>
          <w:rFonts w:hint="eastAsia" w:ascii="仿宋" w:hAnsi="仿宋" w:eastAsia="仿宋" w:cs="仿宋"/>
          <w:sz w:val="24"/>
          <w:szCs w:val="24"/>
        </w:rPr>
      </w:pPr>
      <w:r>
        <w:rPr>
          <w:rFonts w:hint="eastAsia" w:ascii="仿宋" w:hAnsi="仿宋" w:eastAsia="仿宋" w:cs="仿宋"/>
          <w:color w:val="000000"/>
          <w:kern w:val="0"/>
          <w:sz w:val="24"/>
          <w:szCs w:val="24"/>
        </w:rPr>
        <w:t>5、采购预算：</w:t>
      </w:r>
      <w:r>
        <w:rPr>
          <w:rFonts w:hint="eastAsia" w:ascii="仿宋" w:hAnsi="仿宋" w:eastAsia="仿宋" w:cs="仿宋"/>
          <w:kern w:val="0"/>
          <w:sz w:val="24"/>
          <w:szCs w:val="24"/>
          <w:lang w:val="en-US" w:eastAsia="zh-CN"/>
        </w:rPr>
        <w:t>67万</w:t>
      </w:r>
      <w:r>
        <w:rPr>
          <w:rFonts w:hint="eastAsia" w:ascii="仿宋" w:hAnsi="仿宋" w:eastAsia="仿宋" w:cs="仿宋"/>
          <w:sz w:val="24"/>
          <w:szCs w:val="24"/>
        </w:rPr>
        <w:t>元</w:t>
      </w:r>
    </w:p>
    <w:p>
      <w:pPr>
        <w:widowControl/>
        <w:shd w:val="clear" w:color="auto" w:fill="FFFFFF"/>
        <w:spacing w:line="400" w:lineRule="exact"/>
        <w:ind w:firstLine="482"/>
        <w:jc w:val="left"/>
        <w:rPr>
          <w:rFonts w:hint="eastAsia" w:ascii="仿宋" w:hAnsi="仿宋" w:eastAsia="仿宋" w:cs="仿宋"/>
          <w:sz w:val="24"/>
          <w:szCs w:val="24"/>
        </w:rPr>
      </w:pPr>
      <w:r>
        <w:rPr>
          <w:rFonts w:hint="eastAsia" w:ascii="仿宋" w:hAnsi="仿宋" w:eastAsia="仿宋" w:cs="仿宋"/>
          <w:sz w:val="24"/>
          <w:szCs w:val="24"/>
        </w:rPr>
        <w:t>6、采购限价：</w:t>
      </w:r>
      <w:r>
        <w:rPr>
          <w:rFonts w:hint="eastAsia" w:ascii="仿宋" w:hAnsi="仿宋" w:eastAsia="仿宋" w:cs="仿宋"/>
          <w:sz w:val="24"/>
          <w:szCs w:val="24"/>
          <w:lang w:val="en-US" w:eastAsia="zh-CN"/>
        </w:rPr>
        <w:t>67</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1、符合《政府采购法》第二十二条之规定，具有独立法人资格及相应的经营范围（以营业执照为准）；</w:t>
      </w:r>
    </w:p>
    <w:p>
      <w:pPr>
        <w:spacing w:line="400" w:lineRule="exact"/>
        <w:ind w:left="319" w:leftChars="152" w:firstLine="120" w:firstLineChars="50"/>
        <w:rPr>
          <w:rFonts w:hint="eastAsia"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hint="eastAsia"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27</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widowControl/>
        <w:shd w:val="clear" w:color="auto" w:fill="FFFFFF"/>
        <w:spacing w:line="400" w:lineRule="exact"/>
        <w:ind w:left="481"/>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不动产交易中心</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人防大楼</w:t>
      </w:r>
    </w:p>
    <w:p>
      <w:pPr>
        <w:widowControl/>
        <w:shd w:val="clear" w:color="auto" w:fill="FFFFFF"/>
        <w:spacing w:line="400" w:lineRule="exact"/>
        <w:ind w:firstLine="641"/>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沈</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13839023611</w:t>
      </w:r>
    </w:p>
    <w:p>
      <w:pPr>
        <w:spacing w:line="40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hint="eastAsia" w:ascii="仿宋" w:hAnsi="仿宋" w:eastAsia="仿宋" w:cs="仿宋"/>
          <w:sz w:val="24"/>
          <w:szCs w:val="24"/>
        </w:rPr>
      </w:pPr>
    </w:p>
    <w:p>
      <w:pPr>
        <w:spacing w:line="400" w:lineRule="exact"/>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pStyle w:val="19"/>
        <w:widowControl/>
        <w:shd w:val="clear" w:color="auto" w:fill="FFFFFF"/>
        <w:spacing w:line="315" w:lineRule="atLeast"/>
        <w:ind w:firstLine="640"/>
        <w:jc w:val="left"/>
        <w:rPr>
          <w:rFonts w:ascii="仿宋" w:hAnsi="仿宋" w:eastAsia="仿宋" w:cs="仿宋"/>
          <w:color w:val="000000"/>
          <w:shd w:val="clear" w:color="auto" w:fill="FFFFFF"/>
        </w:rPr>
      </w:pPr>
    </w:p>
    <w:p>
      <w:pPr>
        <w:pStyle w:val="2"/>
        <w:ind w:firstLine="480"/>
        <w:rPr>
          <w:rFonts w:ascii="仿宋" w:hAnsi="仿宋" w:eastAsia="仿宋"/>
          <w:sz w:val="24"/>
          <w:szCs w:val="24"/>
        </w:rPr>
      </w:pPr>
    </w:p>
    <w:p>
      <w:pPr>
        <w:spacing w:line="360" w:lineRule="auto"/>
        <w:rPr>
          <w:rFonts w:ascii="仿宋" w:hAnsi="仿宋" w:eastAsia="仿宋"/>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rPr>
          <w:rFonts w:hint="eastAsia"/>
        </w:rPr>
      </w:pP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（一）本项目需实现的功能目标</w:t>
      </w: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按照不动产登记便民利民的工作要求：本项目需要在原禹州市不动产登记交易综合管理平台基础进行升级改造实现与省厅不动产登记一窗受理业务系统对接；实现税务与不动产登记业务对接；实现与禹州市政务服务基础平台对接；实现与禹州市大数据局信息共享交换平台对接；实现不动产登记与水电气暖等部门对接实现联动办理；建设禹州市不动产登记交易网上办事大厅与微信客户端功能，实现通过网上办事大厅或微信实现不动产登记交易网上预审预受理功能；实现政务平台自助查询功能与不动产登记平台对接；实现不动产登记交易业务全流程效能监管；实现不动产登记与水</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电</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气</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暖</w:t>
      </w:r>
      <w:r>
        <w:rPr>
          <w:rFonts w:hint="eastAsia" w:asciiTheme="majorEastAsia" w:hAnsiTheme="majorEastAsia" w:eastAsiaTheme="majorEastAsia" w:cstheme="majorEastAsia"/>
          <w:color w:val="000000"/>
          <w:kern w:val="0"/>
          <w:sz w:val="24"/>
          <w:szCs w:val="24"/>
          <w:lang w:eastAsia="zh-CN"/>
        </w:rPr>
        <w:t>、有线电视</w:t>
      </w:r>
      <w:r>
        <w:rPr>
          <w:rFonts w:hint="eastAsia" w:asciiTheme="majorEastAsia" w:hAnsiTheme="majorEastAsia" w:eastAsiaTheme="majorEastAsia" w:cstheme="majorEastAsia"/>
          <w:color w:val="000000"/>
          <w:kern w:val="0"/>
          <w:sz w:val="24"/>
          <w:szCs w:val="24"/>
        </w:rPr>
        <w:t>以及工商</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民政</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公安等部门之间的数据</w:t>
      </w:r>
      <w:r>
        <w:rPr>
          <w:rFonts w:hint="eastAsia" w:asciiTheme="majorEastAsia" w:hAnsiTheme="majorEastAsia" w:eastAsiaTheme="majorEastAsia" w:cstheme="majorEastAsia"/>
          <w:color w:val="000000"/>
          <w:kern w:val="0"/>
          <w:sz w:val="24"/>
          <w:szCs w:val="24"/>
          <w:lang w:eastAsia="zh-CN"/>
        </w:rPr>
        <w:t>实时共享</w:t>
      </w:r>
      <w:r>
        <w:rPr>
          <w:rFonts w:hint="eastAsia" w:asciiTheme="majorEastAsia" w:hAnsiTheme="majorEastAsia" w:eastAsiaTheme="majorEastAsia" w:cstheme="majorEastAsia"/>
          <w:color w:val="000000"/>
          <w:kern w:val="0"/>
          <w:sz w:val="24"/>
          <w:szCs w:val="24"/>
        </w:rPr>
        <w:t>交互等功能。</w:t>
      </w:r>
    </w:p>
    <w:p>
      <w:pPr>
        <w:widowControl/>
        <w:numPr>
          <w:ilvl w:val="0"/>
          <w:numId w:val="7"/>
        </w:numPr>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采购</w:t>
      </w:r>
      <w:r>
        <w:rPr>
          <w:rFonts w:hint="eastAsia" w:asciiTheme="majorEastAsia" w:hAnsiTheme="majorEastAsia" w:eastAsiaTheme="majorEastAsia" w:cstheme="majorEastAsia"/>
          <w:color w:val="000000"/>
          <w:kern w:val="0"/>
          <w:sz w:val="24"/>
          <w:szCs w:val="24"/>
          <w:lang w:eastAsia="zh-CN"/>
        </w:rPr>
        <w:t>项目</w:t>
      </w:r>
      <w:r>
        <w:rPr>
          <w:rFonts w:hint="eastAsia" w:asciiTheme="majorEastAsia" w:hAnsiTheme="majorEastAsia" w:eastAsiaTheme="majorEastAsia" w:cstheme="majorEastAsia"/>
          <w:color w:val="000000"/>
          <w:kern w:val="0"/>
          <w:sz w:val="24"/>
          <w:szCs w:val="24"/>
        </w:rPr>
        <w:t>清单</w:t>
      </w:r>
    </w:p>
    <w:tbl>
      <w:tblPr>
        <w:tblStyle w:val="21"/>
        <w:tblpPr w:leftFromText="180" w:rightFromText="180" w:vertAnchor="text" w:horzAnchor="page" w:tblpX="1398" w:tblpY="125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1"/>
        <w:gridCol w:w="1247"/>
        <w:gridCol w:w="1984"/>
        <w:gridCol w:w="3401"/>
        <w:gridCol w:w="68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456" w:type="dxa"/>
            <w:shd w:val="clear" w:color="auto" w:fill="auto"/>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2098" w:type="dxa"/>
            <w:gridSpan w:val="2"/>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平台名称</w:t>
            </w:r>
          </w:p>
        </w:tc>
        <w:tc>
          <w:tcPr>
            <w:tcW w:w="1984" w:type="dxa"/>
            <w:shd w:val="clear" w:color="auto" w:fill="auto"/>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项目名称</w:t>
            </w:r>
          </w:p>
        </w:tc>
        <w:tc>
          <w:tcPr>
            <w:tcW w:w="3401" w:type="dxa"/>
            <w:shd w:val="clear" w:color="auto" w:fill="auto"/>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主要需求</w:t>
            </w:r>
          </w:p>
        </w:tc>
        <w:tc>
          <w:tcPr>
            <w:tcW w:w="689" w:type="dxa"/>
            <w:shd w:val="clear" w:color="auto" w:fill="auto"/>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数量</w:t>
            </w:r>
          </w:p>
        </w:tc>
        <w:tc>
          <w:tcPr>
            <w:tcW w:w="1012" w:type="dxa"/>
            <w:shd w:val="clear" w:color="auto" w:fill="auto"/>
            <w:vAlign w:val="center"/>
          </w:tcPr>
          <w:p>
            <w:pPr>
              <w:spacing w:line="30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备注</w:t>
            </w:r>
          </w:p>
          <w:p>
            <w:pPr>
              <w:spacing w:line="300" w:lineRule="exact"/>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640" w:type="dxa"/>
            <w:gridSpan w:val="7"/>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一、不动产、房产与政务数据共享交换平台对接（推送登记相关数据）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56"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098" w:type="dxa"/>
            <w:gridSpan w:val="2"/>
            <w:vMerge w:val="restart"/>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不动产与政务数据共享交换平台对接</w:t>
            </w:r>
          </w:p>
          <w:p>
            <w:pPr>
              <w:spacing w:line="300" w:lineRule="exact"/>
              <w:jc w:val="center"/>
              <w:rPr>
                <w:rFonts w:hint="eastAsia" w:asciiTheme="majorEastAsia" w:hAnsiTheme="majorEastAsia" w:eastAsiaTheme="majorEastAsia" w:cstheme="majorEastAsia"/>
                <w:color w:val="000000"/>
                <w:sz w:val="24"/>
                <w:szCs w:val="24"/>
                <w:lang w:eastAsia="zh-CN"/>
              </w:rPr>
            </w:pP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政务服务平台办件流程推送接口开发</w:t>
            </w:r>
          </w:p>
        </w:tc>
        <w:tc>
          <w:tcPr>
            <w:tcW w:w="3401" w:type="dxa"/>
            <w:shd w:val="clear" w:color="auto" w:fill="auto"/>
            <w:vAlign w:val="center"/>
          </w:tcPr>
          <w:p>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不动产登记业务办件流程信息推送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sz w:val="24"/>
                <w:szCs w:val="24"/>
              </w:rPr>
            </w:pP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政务服务平台证照库推送接口开发</w:t>
            </w:r>
          </w:p>
        </w:tc>
        <w:tc>
          <w:tcPr>
            <w:tcW w:w="3401" w:type="dxa"/>
            <w:shd w:val="clear" w:color="auto" w:fill="auto"/>
            <w:vAlign w:val="center"/>
          </w:tcPr>
          <w:p>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不动产登记薄等证照信息推送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政务服务平台大数据推送接口开发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不动产登记业务全数据信息推送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政务服务平台自助查询设备数据接口开发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不动产登记数据推送至政务平台自助查询信息推送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098" w:type="dxa"/>
            <w:gridSpan w:val="2"/>
            <w:vMerge w:val="restart"/>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房产与政务数据共享交换平台对接</w:t>
            </w:r>
          </w:p>
        </w:tc>
        <w:tc>
          <w:tcPr>
            <w:tcW w:w="1984" w:type="dxa"/>
            <w:vMerge w:val="restart"/>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政务服务平台办件流程推送接口开发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商品房预售许可信息推送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商品房现房销售备案信息推送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新建商品房买卖合同备案信息推送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房屋抵押合同备案信息推送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房屋预售资金备案信息推送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存量房买卖合同备案信息推送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商品房预售资金监管信息推送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1984" w:type="dxa"/>
            <w:vMerge w:val="continue"/>
            <w:shd w:val="clear" w:color="auto" w:fill="auto"/>
            <w:vAlign w:val="center"/>
          </w:tcPr>
          <w:p>
            <w:pPr>
              <w:spacing w:line="300" w:lineRule="exact"/>
              <w:jc w:val="left"/>
              <w:rPr>
                <w:rFonts w:hint="eastAsia" w:asciiTheme="majorEastAsia" w:hAnsiTheme="majorEastAsia" w:eastAsiaTheme="majorEastAsia" w:cstheme="majorEastAsia"/>
                <w:color w:val="000000"/>
                <w:sz w:val="24"/>
                <w:szCs w:val="24"/>
              </w:rPr>
            </w:pP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存量房资金监管信息推送</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640" w:type="dxa"/>
            <w:gridSpan w:val="7"/>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二、不动产、房产与政务数据，水电汽暖共享交换平台对接（获取推送相关数据）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098" w:type="dxa"/>
            <w:gridSpan w:val="2"/>
            <w:vAlign w:val="center"/>
          </w:tcPr>
          <w:p>
            <w:pPr>
              <w:spacing w:line="3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不动产与政务数据共享交换平台对接</w:t>
            </w: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不动产与政务数据共享交换平台接收端接口开发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向政务数据共享交换平台</w:t>
            </w:r>
            <w:r>
              <w:rPr>
                <w:rFonts w:hint="eastAsia" w:asciiTheme="majorEastAsia" w:hAnsiTheme="majorEastAsia" w:eastAsiaTheme="majorEastAsia" w:cstheme="majorEastAsia"/>
                <w:color w:val="000000"/>
                <w:sz w:val="24"/>
                <w:szCs w:val="24"/>
              </w:rPr>
              <w:t>获取及验证相关的工商、公安</w:t>
            </w:r>
            <w:r>
              <w:rPr>
                <w:rFonts w:hint="eastAsia" w:asciiTheme="majorEastAsia" w:hAnsiTheme="majorEastAsia" w:eastAsiaTheme="majorEastAsia" w:cstheme="majorEastAsia"/>
                <w:sz w:val="24"/>
                <w:szCs w:val="24"/>
              </w:rPr>
              <w:t>、民政等提供给政务服务平台的相关数据</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098" w:type="dxa"/>
            <w:gridSpan w:val="2"/>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房产与政务数据共享交换平台对接</w:t>
            </w: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房产与政务数据共享交换平台接收端接口开发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向政务数据共享交换平台</w:t>
            </w:r>
            <w:r>
              <w:rPr>
                <w:rFonts w:hint="eastAsia" w:asciiTheme="majorEastAsia" w:hAnsiTheme="majorEastAsia" w:eastAsiaTheme="majorEastAsia" w:cstheme="majorEastAsia"/>
                <w:color w:val="000000"/>
                <w:sz w:val="24"/>
                <w:szCs w:val="24"/>
              </w:rPr>
              <w:t>获取及验证登记相关的工商、公安</w:t>
            </w:r>
            <w:r>
              <w:rPr>
                <w:rFonts w:hint="eastAsia" w:asciiTheme="majorEastAsia" w:hAnsiTheme="majorEastAsia" w:eastAsiaTheme="majorEastAsia" w:cstheme="majorEastAsia"/>
                <w:sz w:val="24"/>
                <w:szCs w:val="24"/>
              </w:rPr>
              <w:t>、民政等提供给政务服务平台的相关数据</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098" w:type="dxa"/>
            <w:gridSpan w:val="2"/>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不动产登记数据与水电气暖等对接</w:t>
            </w:r>
          </w:p>
        </w:tc>
        <w:tc>
          <w:tcPr>
            <w:tcW w:w="1984"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不动产登记数据与水电汽暖等部门数据对接开发</w:t>
            </w:r>
          </w:p>
        </w:tc>
        <w:tc>
          <w:tcPr>
            <w:tcW w:w="3401" w:type="dxa"/>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按照要求向水电气暖等部门推送不动产登记数据实现不动产登记与水电气暖等部门的联动办理</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640" w:type="dxa"/>
            <w:gridSpan w:val="7"/>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三、不动产、房产与一窗受理平台对接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56"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098" w:type="dxa"/>
            <w:gridSpan w:val="2"/>
            <w:vMerge w:val="restart"/>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不动产与一窗受理平台对接</w:t>
            </w:r>
          </w:p>
        </w:tc>
        <w:tc>
          <w:tcPr>
            <w:tcW w:w="5385" w:type="dxa"/>
            <w:gridSpan w:val="2"/>
            <w:shd w:val="clear" w:color="auto" w:fill="auto"/>
            <w:vAlign w:val="center"/>
          </w:tcPr>
          <w:p>
            <w:pPr>
              <w:spacing w:line="28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不动产登记系统改造</w:t>
            </w:r>
            <w:r>
              <w:rPr>
                <w:rFonts w:hint="eastAsia" w:asciiTheme="majorEastAsia" w:hAnsiTheme="majorEastAsia" w:eastAsiaTheme="majorEastAsia" w:cstheme="majorEastAsia"/>
                <w:sz w:val="24"/>
                <w:szCs w:val="24"/>
                <w:lang w:eastAsia="zh-CN"/>
              </w:rPr>
              <w:t>（符合省自然资源厅规定标准）</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5385" w:type="dxa"/>
            <w:gridSpan w:val="2"/>
            <w:shd w:val="clear" w:color="auto" w:fill="auto"/>
            <w:vAlign w:val="center"/>
          </w:tcPr>
          <w:p>
            <w:pPr>
              <w:spacing w:line="2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不动产数据共享系统开发</w:t>
            </w:r>
            <w:r>
              <w:rPr>
                <w:rFonts w:hint="eastAsia" w:asciiTheme="majorEastAsia" w:hAnsiTheme="majorEastAsia" w:eastAsiaTheme="majorEastAsia" w:cstheme="majorEastAsia"/>
                <w:sz w:val="24"/>
                <w:szCs w:val="24"/>
                <w:lang w:eastAsia="zh-CN"/>
              </w:rPr>
              <w:t>符合省自然资源厅规定标准）</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6"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098" w:type="dxa"/>
            <w:gridSpan w:val="2"/>
            <w:vMerge w:val="restart"/>
            <w:vAlign w:val="center"/>
          </w:tcPr>
          <w:p>
            <w:pPr>
              <w:spacing w:line="3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房产与一窗受理平台对接</w:t>
            </w:r>
          </w:p>
        </w:tc>
        <w:tc>
          <w:tcPr>
            <w:tcW w:w="5385" w:type="dxa"/>
            <w:gridSpan w:val="2"/>
            <w:shd w:val="clear" w:color="auto" w:fill="auto"/>
            <w:vAlign w:val="center"/>
          </w:tcPr>
          <w:p>
            <w:pPr>
              <w:spacing w:line="2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房产交易平台改造</w:t>
            </w:r>
            <w:r>
              <w:rPr>
                <w:rFonts w:hint="eastAsia" w:asciiTheme="majorEastAsia" w:hAnsiTheme="majorEastAsia" w:eastAsiaTheme="majorEastAsia" w:cstheme="majorEastAsia"/>
                <w:sz w:val="24"/>
                <w:szCs w:val="24"/>
                <w:lang w:eastAsia="zh-CN"/>
              </w:rPr>
              <w:t>符合省自然资源厅规定标准）</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2098" w:type="dxa"/>
            <w:gridSpan w:val="2"/>
            <w:vMerge w:val="continue"/>
            <w:vAlign w:val="center"/>
          </w:tcPr>
          <w:p>
            <w:pPr>
              <w:spacing w:line="300" w:lineRule="exact"/>
              <w:jc w:val="center"/>
              <w:rPr>
                <w:rFonts w:hint="eastAsia" w:asciiTheme="majorEastAsia" w:hAnsiTheme="majorEastAsia" w:eastAsiaTheme="majorEastAsia" w:cstheme="majorEastAsia"/>
                <w:color w:val="000000"/>
                <w:sz w:val="24"/>
                <w:szCs w:val="24"/>
              </w:rPr>
            </w:pPr>
          </w:p>
        </w:tc>
        <w:tc>
          <w:tcPr>
            <w:tcW w:w="5385" w:type="dxa"/>
            <w:gridSpan w:val="2"/>
            <w:shd w:val="clear" w:color="auto" w:fill="auto"/>
            <w:vAlign w:val="center"/>
          </w:tcPr>
          <w:p>
            <w:pPr>
              <w:spacing w:line="2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房产数据平台共享系统开发</w:t>
            </w:r>
            <w:r>
              <w:rPr>
                <w:rFonts w:hint="eastAsia" w:asciiTheme="majorEastAsia" w:hAnsiTheme="majorEastAsia" w:eastAsiaTheme="majorEastAsia" w:cstheme="majorEastAsia"/>
                <w:sz w:val="24"/>
                <w:szCs w:val="24"/>
                <w:lang w:eastAsia="zh-CN"/>
              </w:rPr>
              <w:t>符合省自然资源厅规定标准）</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w:t>
            </w:r>
          </w:p>
        </w:tc>
        <w:tc>
          <w:tcPr>
            <w:tcW w:w="1012"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640" w:type="dxa"/>
            <w:gridSpan w:val="7"/>
            <w:shd w:val="clear" w:color="auto" w:fill="auto"/>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四、不动产登记效能监管系统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098" w:type="dxa"/>
            <w:gridSpan w:val="2"/>
            <w:shd w:val="clear" w:color="auto" w:fill="auto"/>
            <w:vAlign w:val="center"/>
          </w:tcPr>
          <w:p>
            <w:pPr>
              <w:spacing w:line="5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不动产效能监管</w:t>
            </w:r>
          </w:p>
        </w:tc>
        <w:tc>
          <w:tcPr>
            <w:tcW w:w="5385" w:type="dxa"/>
            <w:gridSpan w:val="2"/>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对各个环节的实时监控管理、数据分析，为领导决策提供辅助工作。</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640" w:type="dxa"/>
            <w:gridSpan w:val="7"/>
            <w:shd w:val="clear" w:color="auto" w:fill="auto"/>
            <w:vAlign w:val="center"/>
          </w:tcPr>
          <w:p>
            <w:pPr>
              <w:spacing w:line="56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五、自助查询终端设备（硬件）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098" w:type="dxa"/>
            <w:gridSpan w:val="2"/>
            <w:shd w:val="clear" w:color="auto" w:fill="auto"/>
            <w:vAlign w:val="center"/>
          </w:tcPr>
          <w:p>
            <w:pPr>
              <w:spacing w:line="560" w:lineRule="exact"/>
              <w:ind w:right="-71" w:rightChars="-34"/>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自助查询终端设备</w:t>
            </w:r>
          </w:p>
        </w:tc>
        <w:tc>
          <w:tcPr>
            <w:tcW w:w="5385" w:type="dxa"/>
            <w:gridSpan w:val="2"/>
            <w:shd w:val="clear" w:color="auto" w:fill="auto"/>
            <w:vAlign w:val="center"/>
          </w:tcPr>
          <w:p>
            <w:pPr>
              <w:spacing w:line="28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与便民系统接口定制设备，主要实现相关登记信息自助查询和打印。可根据实际需求加载身份证识别、条码二维码扫描、人像识别（人像活体识别）、资料打印（A4幅面）等功能。</w:t>
            </w:r>
          </w:p>
        </w:tc>
        <w:tc>
          <w:tcPr>
            <w:tcW w:w="689"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2台</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640" w:type="dxa"/>
            <w:gridSpan w:val="7"/>
            <w:shd w:val="clear" w:color="auto" w:fill="auto"/>
            <w:vAlign w:val="center"/>
          </w:tcPr>
          <w:p>
            <w:pPr>
              <w:spacing w:line="56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六、不动产登记便民服务系统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分类</w:t>
            </w:r>
          </w:p>
        </w:tc>
        <w:tc>
          <w:tcPr>
            <w:tcW w:w="851" w:type="dxa"/>
            <w:shd w:val="clear" w:color="auto" w:fill="auto"/>
            <w:vAlign w:val="center"/>
          </w:tcPr>
          <w:p>
            <w:pPr>
              <w:spacing w:line="3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247"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系统名称</w:t>
            </w:r>
          </w:p>
        </w:tc>
        <w:tc>
          <w:tcPr>
            <w:tcW w:w="6074" w:type="dxa"/>
            <w:gridSpan w:val="3"/>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主要功能</w:t>
            </w:r>
          </w:p>
        </w:tc>
        <w:tc>
          <w:tcPr>
            <w:tcW w:w="1012" w:type="dxa"/>
            <w:shd w:val="clear" w:color="auto" w:fill="auto"/>
            <w:vAlign w:val="center"/>
          </w:tcPr>
          <w:p>
            <w:pPr>
              <w:spacing w:line="3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不动产登记便民服务系统</w:t>
            </w: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不动产登记信息公众查询系统</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证书查询服务、证明查询服务、在办件查询服务、源数据管理、查询记录、统计分析、系统设置等功能。</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不动产登记网上办理大厅</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办事指南、表格下载、网上预约、预约回复、网上申报、网上申请、资料预审、住房证明、登记进度查询、证书查询、证明查询、结果公示、投诉建议等功能。</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不动产登记短信通知系统</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提供证书领取通知、证明领取通知、抵押通知、异议通知、查封通知、地役权通知等功能。</w:t>
            </w:r>
          </w:p>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提供短信格式自定义配置、日志查看、统计分析等管理功能。</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不动产登记自助查询系统</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通过触摸屏自助查询终端实现信息公示和相关查询打印功能，可读取身份证查询并自助打印相关表单。</w:t>
            </w:r>
          </w:p>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提供中心简介、政策法规、办事须知、业务范围、登记进度查询、权利证书查询、登记证明查询等功能。</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不动产登记微信门户</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提供最新动态、通知公告、中心介绍、政策法规、办事指南、业务范围、业务查询等栏目定制。</w:t>
            </w:r>
          </w:p>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提供不动产登记业务预约、资料拍照提交、业务反馈、住房证明等功能。提供不动产登记异地查询申请、付款、回复等功能。</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p>
        </w:tc>
        <w:tc>
          <w:tcPr>
            <w:tcW w:w="851"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网上申请从业端管理系统（主管端）</w:t>
            </w:r>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业机构备案管理、从业人员管理、从业机构权限管理、各类网上申请接件管理（包括商品房首次登记、商品房转移登记、预购商品房预告登记、预购商品房抵押预告登记、一般抵押登记、在建建筑物抵押登记、抵押注销登记等）。</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shd w:val="clear" w:color="auto" w:fill="auto"/>
            <w:vAlign w:val="center"/>
          </w:tcPr>
          <w:p>
            <w:pPr>
              <w:spacing w:line="560" w:lineRule="exact"/>
              <w:jc w:val="center"/>
              <w:rPr>
                <w:rFonts w:hint="eastAsia" w:asciiTheme="majorEastAsia" w:hAnsiTheme="majorEastAsia" w:eastAsiaTheme="majorEastAsia" w:cstheme="majorEastAsia"/>
                <w:b/>
                <w:sz w:val="24"/>
                <w:szCs w:val="24"/>
              </w:rPr>
            </w:pPr>
          </w:p>
        </w:tc>
        <w:tc>
          <w:tcPr>
            <w:tcW w:w="851" w:type="dxa"/>
            <w:shd w:val="clear" w:color="auto" w:fill="auto"/>
            <w:vAlign w:val="center"/>
          </w:tcPr>
          <w:p>
            <w:pPr>
              <w:spacing w:line="300" w:lineRule="exact"/>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7</w:t>
            </w:r>
          </w:p>
        </w:tc>
        <w:tc>
          <w:tcPr>
            <w:tcW w:w="1247" w:type="dxa"/>
            <w:shd w:val="clear" w:color="auto" w:fill="auto"/>
            <w:vAlign w:val="center"/>
          </w:tcPr>
          <w:p>
            <w:pPr>
              <w:spacing w:line="300" w:lineRule="exact"/>
              <w:jc w:val="left"/>
              <w:rPr>
                <w:rFonts w:hint="eastAsia" w:asciiTheme="majorEastAsia" w:hAnsiTheme="majorEastAsia" w:eastAsiaTheme="majorEastAsia" w:cstheme="majorEastAsia"/>
                <w:sz w:val="24"/>
                <w:szCs w:val="24"/>
              </w:rPr>
            </w:pPr>
            <w:bookmarkStart w:id="0" w:name="_Toc479592191"/>
            <w:r>
              <w:rPr>
                <w:rFonts w:hint="eastAsia" w:asciiTheme="majorEastAsia" w:hAnsiTheme="majorEastAsia" w:eastAsiaTheme="majorEastAsia" w:cstheme="majorEastAsia"/>
                <w:sz w:val="24"/>
                <w:szCs w:val="24"/>
              </w:rPr>
              <w:t>在线服务后台管理系统</w:t>
            </w:r>
            <w:bookmarkEnd w:id="0"/>
          </w:p>
        </w:tc>
        <w:tc>
          <w:tcPr>
            <w:tcW w:w="6074" w:type="dxa"/>
            <w:gridSpan w:val="3"/>
            <w:shd w:val="clear" w:color="auto" w:fill="auto"/>
            <w:vAlign w:val="center"/>
          </w:tcPr>
          <w:p>
            <w:pPr>
              <w:spacing w:line="3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足对不动产微信服务平台、不动产登记网上办事大厅、门户网站等不动产便民服务体系各类前端应用的管理需求。一方面通过对前端应用产生的业务等数据进行统一管理、分析。同时，通过信息管理、系统管理等模块实现对应用端的展示信息及操作规则进行设定，支撑各类应用端的正常运行。</w:t>
            </w:r>
          </w:p>
        </w:tc>
        <w:tc>
          <w:tcPr>
            <w:tcW w:w="1012" w:type="dxa"/>
            <w:shd w:val="clear" w:color="auto" w:fill="auto"/>
            <w:vAlign w:val="center"/>
          </w:tcPr>
          <w:p>
            <w:pPr>
              <w:spacing w:line="56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1套</w:t>
            </w:r>
          </w:p>
        </w:tc>
      </w:tr>
    </w:tbl>
    <w:p>
      <w:pPr>
        <w:widowControl/>
        <w:numPr>
          <w:ilvl w:val="0"/>
          <w:numId w:val="0"/>
        </w:numPr>
        <w:shd w:val="clear" w:color="auto" w:fill="FFFFFF"/>
        <w:spacing w:line="360" w:lineRule="auto"/>
        <w:ind w:firstLine="480" w:firstLineChars="200"/>
        <w:jc w:val="left"/>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上述采购清单所列事项在实施过程中因上级标准或者功能发生变化的，采购人可依据上级标准变化情况变更采购功能需求。</w:t>
      </w:r>
    </w:p>
    <w:p>
      <w:pPr>
        <w:widowControl/>
        <w:numPr>
          <w:ilvl w:val="0"/>
          <w:numId w:val="7"/>
        </w:numPr>
        <w:shd w:val="clear" w:color="auto" w:fill="FFFFFF"/>
        <w:spacing w:line="360" w:lineRule="auto"/>
        <w:ind w:firstLine="600"/>
        <w:contextualSpacing/>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采购标的执行标准：</w:t>
      </w:r>
      <w:r>
        <w:rPr>
          <w:rFonts w:hint="eastAsia" w:asciiTheme="majorEastAsia" w:hAnsiTheme="majorEastAsia" w:eastAsiaTheme="majorEastAsia" w:cstheme="majorEastAsia"/>
          <w:color w:val="000000"/>
          <w:kern w:val="0"/>
          <w:sz w:val="24"/>
          <w:szCs w:val="24"/>
          <w:lang w:eastAsia="zh-CN"/>
        </w:rPr>
        <w:t>（数据标准详见附件）</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河南省不动产“一窗受理系统” 与不动产交易登记一体化系统数据交互标准（V2.0）</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河南省网上政务服务平台技术规范第三部分事项数据交换信息规范</w:t>
      </w:r>
    </w:p>
    <w:p>
      <w:pPr>
        <w:ind w:firstLine="480" w:firstLineChars="200"/>
        <w:rPr>
          <w:rFonts w:hint="eastAsia" w:asciiTheme="majorEastAsia" w:hAnsiTheme="majorEastAsia" w:eastAsiaTheme="majorEastAsia" w:cstheme="majorEastAsia"/>
          <w:sz w:val="24"/>
          <w:szCs w:val="24"/>
        </w:rPr>
      </w:pPr>
    </w:p>
    <w:p>
      <w:pPr>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河南省网上政务服务平台技术规范第三部分数据交换信息规范</w:t>
      </w:r>
      <w:r>
        <w:rPr>
          <w:rFonts w:hint="eastAsia" w:asciiTheme="majorEastAsia" w:hAnsiTheme="majorEastAsia" w:eastAsiaTheme="majorEastAsia" w:cstheme="majorEastAsia"/>
          <w:sz w:val="24"/>
          <w:szCs w:val="24"/>
          <w:lang w:eastAsia="zh-CN"/>
        </w:rPr>
        <w:t>。</w:t>
      </w:r>
    </w:p>
    <w:p>
      <w:pPr>
        <w:ind w:firstLine="482" w:firstLineChars="200"/>
        <w:rPr>
          <w:rFonts w:hint="eastAsia" w:asciiTheme="majorEastAsia" w:hAnsiTheme="majorEastAsia" w:eastAsiaTheme="majorEastAsia" w:cstheme="majorEastAsia"/>
          <w:color w:val="FF0000"/>
          <w:sz w:val="24"/>
          <w:szCs w:val="24"/>
          <w:lang w:eastAsia="zh-CN"/>
        </w:rPr>
      </w:pPr>
      <w:r>
        <w:rPr>
          <w:rFonts w:hint="eastAsia" w:asciiTheme="majorEastAsia" w:hAnsiTheme="majorEastAsia" w:eastAsiaTheme="majorEastAsia" w:cstheme="majorEastAsia"/>
          <w:b/>
          <w:bCs/>
          <w:color w:val="FF0000"/>
          <w:sz w:val="24"/>
          <w:szCs w:val="24"/>
          <w:lang w:eastAsia="zh-CN"/>
        </w:rPr>
        <w:t>特别提示</w:t>
      </w:r>
      <w:r>
        <w:rPr>
          <w:rFonts w:hint="eastAsia" w:asciiTheme="majorEastAsia" w:hAnsiTheme="majorEastAsia" w:eastAsiaTheme="majorEastAsia" w:cstheme="majorEastAsia"/>
          <w:color w:val="FF0000"/>
          <w:sz w:val="24"/>
          <w:szCs w:val="24"/>
          <w:lang w:eastAsia="zh-CN"/>
        </w:rPr>
        <w:t>：采购项目需要与现有禹州市不动产登记交易平台实现无缝对接，实现数据的实时交互，数据对接具体标准有中标人自行与原系统建设单位对接。</w:t>
      </w:r>
    </w:p>
    <w:p>
      <w:pPr>
        <w:widowControl/>
        <w:numPr>
          <w:ilvl w:val="0"/>
          <w:numId w:val="7"/>
        </w:numPr>
        <w:shd w:val="clear" w:color="auto" w:fill="FFFFFF"/>
        <w:spacing w:line="360" w:lineRule="auto"/>
        <w:ind w:firstLine="600"/>
        <w:contextualSpacing/>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服务标准、期限、效率等要求</w:t>
      </w:r>
    </w:p>
    <w:p>
      <w:pPr>
        <w:tabs>
          <w:tab w:val="left" w:pos="840"/>
          <w:tab w:val="left" w:pos="1247"/>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售后服务服务承诺</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免费质保期承诺</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承诺自项目验收合格之日起</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年免费</w:t>
      </w:r>
      <w:r>
        <w:rPr>
          <w:rFonts w:hint="eastAsia" w:asciiTheme="majorEastAsia" w:hAnsiTheme="majorEastAsia" w:eastAsiaTheme="majorEastAsia" w:cstheme="majorEastAsia"/>
          <w:sz w:val="24"/>
          <w:szCs w:val="24"/>
          <w:lang w:eastAsia="zh-CN"/>
        </w:rPr>
        <w:t>售后服务</w:t>
      </w:r>
      <w:r>
        <w:rPr>
          <w:rFonts w:hint="eastAsia" w:asciiTheme="majorEastAsia" w:hAnsiTheme="majorEastAsia" w:eastAsiaTheme="majorEastAsia" w:cstheme="majorEastAsia"/>
          <w:sz w:val="24"/>
          <w:szCs w:val="24"/>
        </w:rPr>
        <w:t>保证期。</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应急维护时间承诺</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承诺在接到用户的服务通知后，在1小时内响应，如需现场服务的，确定具有解决故障能力的技术人员在规定的时间内到达现场（时间不超过4小时），由此产生的一切费用由中标供应商承担。</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售后培训承诺</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为用户提供免费技术培训服务，并指派专人负责与用户联系培训事宜，制定培训方案，与用户讨论，通过后按培训方案进行培训。</w:t>
      </w:r>
    </w:p>
    <w:p>
      <w:pPr>
        <w:tabs>
          <w:tab w:val="left" w:pos="840"/>
        </w:tabs>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服务措施</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服务采用多元化的服务方式，包括有传统的电话支持服务，现场支持服务，同时还支持先进的网上在线服务。</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电话服务。</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技术支持服务中心，提供7×24小时热线技术支持。对于一般技术问题，由第一响应人负责所有问题的响应及解决，并记载支持服务记录，归档。在接到用户电话后1小时内回呼用户。如电话支持仍无法解决问题，将启用另外的服务方式（如远程诊断、现场支持、定期电话巡访服务等）。</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现场支持服务。</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在远程维护及电话帮助都难以解决的情况下，派出服务人员进行上门维护，以确保客户的数据库故障得到最快速、最全面、最彻底的解决。</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定期回访服务。</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针对客户不动产登记信息系统使用情况和数据情况，定期组织专人进行回访，并记录回访中发现的问题进行及时应答。</w:t>
      </w:r>
    </w:p>
    <w:p>
      <w:pPr>
        <w:pStyle w:val="55"/>
        <w:numPr>
          <w:ilvl w:val="0"/>
          <w:numId w:val="8"/>
        </w:numPr>
        <w:spacing w:line="360" w:lineRule="auto"/>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电子邮件回复服务。</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提供基于电子邮件方式的技术支持服务，为用户详细列出解决问题的方法和步骤。用户所发送的电子邮件自收到之日起半小时内做出答复。</w:t>
      </w:r>
    </w:p>
    <w:p>
      <w:pPr>
        <w:numPr>
          <w:ilvl w:val="0"/>
          <w:numId w:val="9"/>
        </w:numPr>
        <w:tabs>
          <w:tab w:val="left" w:pos="840"/>
          <w:tab w:val="left" w:pos="1247"/>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工期</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自合同签订之日起</w:t>
      </w:r>
      <w:r>
        <w:rPr>
          <w:rFonts w:hint="eastAsia" w:asciiTheme="majorEastAsia" w:hAnsiTheme="majorEastAsia" w:eastAsiaTheme="majorEastAsia" w:cstheme="majorEastAsia"/>
          <w:sz w:val="24"/>
          <w:szCs w:val="24"/>
          <w:lang w:val="en-US" w:eastAsia="zh-CN"/>
        </w:rPr>
        <w:t>60</w:t>
      </w:r>
      <w:r>
        <w:rPr>
          <w:rFonts w:hint="eastAsia" w:asciiTheme="majorEastAsia" w:hAnsiTheme="majorEastAsia" w:eastAsiaTheme="majorEastAsia" w:cstheme="majorEastAsia"/>
          <w:sz w:val="24"/>
          <w:szCs w:val="24"/>
        </w:rPr>
        <w:t>天</w:t>
      </w:r>
      <w:r>
        <w:rPr>
          <w:rFonts w:hint="eastAsia" w:asciiTheme="majorEastAsia" w:hAnsiTheme="majorEastAsia" w:eastAsiaTheme="majorEastAsia" w:cstheme="majorEastAsia"/>
          <w:sz w:val="24"/>
          <w:szCs w:val="24"/>
          <w:lang w:val="en-US" w:eastAsia="zh-CN"/>
        </w:rPr>
        <w:t>,部分对接事项按照省市工作进度按期完成。</w:t>
      </w:r>
    </w:p>
    <w:p>
      <w:pPr>
        <w:numPr>
          <w:ilvl w:val="0"/>
          <w:numId w:val="9"/>
        </w:numPr>
        <w:tabs>
          <w:tab w:val="left" w:pos="840"/>
          <w:tab w:val="left" w:pos="1247"/>
        </w:tabs>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项目验收</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按照合同约定及招标文件规定验收。</w:t>
      </w: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（五）验收标准（</w:t>
      </w:r>
      <w:r>
        <w:rPr>
          <w:rFonts w:hint="eastAsia" w:asciiTheme="majorEastAsia" w:hAnsiTheme="majorEastAsia" w:eastAsiaTheme="majorEastAsia" w:cstheme="majorEastAsia"/>
          <w:iCs/>
          <w:color w:val="000000"/>
          <w:kern w:val="0"/>
          <w:sz w:val="24"/>
          <w:szCs w:val="24"/>
        </w:rPr>
        <w:t>必填</w:t>
      </w:r>
      <w:r>
        <w:rPr>
          <w:rFonts w:hint="eastAsia" w:asciiTheme="majorEastAsia" w:hAnsiTheme="majorEastAsia" w:eastAsiaTheme="majorEastAsia" w:cstheme="majorEastAsia"/>
          <w:color w:val="000000"/>
          <w:kern w:val="0"/>
          <w:sz w:val="24"/>
          <w:szCs w:val="24"/>
        </w:rPr>
        <w:t>）</w:t>
      </w: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iCs/>
          <w:color w:val="000000"/>
          <w:kern w:val="0"/>
          <w:sz w:val="24"/>
          <w:szCs w:val="24"/>
        </w:rPr>
        <w:t>按照国家相关标准、行业标准、地方标准或者其他标准、规范验收</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2、按照招标文件要求、投标文件响应和承诺验收；</w:t>
      </w:r>
    </w:p>
    <w:p>
      <w:pPr>
        <w:widowControl/>
        <w:shd w:val="clear" w:color="auto" w:fill="FFFFFF"/>
        <w:spacing w:line="360" w:lineRule="auto"/>
        <w:jc w:val="left"/>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（六）、其他要求</w:t>
      </w:r>
    </w:p>
    <w:p>
      <w:pPr>
        <w:widowControl/>
        <w:shd w:val="clear" w:color="auto" w:fill="FFFFFF"/>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投标人应就该项目完整投标（报价含安装，运输、培训、税费等综合费用），否则为无效投标。</w:t>
      </w:r>
    </w:p>
    <w:p>
      <w:pPr>
        <w:tabs>
          <w:tab w:val="left" w:pos="5963"/>
        </w:tabs>
        <w:spacing w:line="360" w:lineRule="auto"/>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ascii="仿宋" w:hAnsi="仿宋" w:eastAsia="仿宋" w:cs="仿宋"/>
          <w:kern w:val="0"/>
          <w:sz w:val="24"/>
          <w:szCs w:val="24"/>
          <w:lang w:val="zh-CN"/>
        </w:rPr>
      </w:pPr>
      <w:r>
        <w:rPr>
          <w:rFonts w:hint="eastAsia" w:ascii="仿宋" w:hAnsi="仿宋" w:eastAsia="仿宋" w:cs="仿宋"/>
          <w:kern w:val="0"/>
          <w:sz w:val="24"/>
          <w:szCs w:val="24"/>
        </w:rPr>
        <w:t>5</w:t>
      </w:r>
      <w:r>
        <w:rPr>
          <w:rFonts w:hint="eastAsia" w:ascii="仿宋" w:hAnsi="仿宋" w:eastAsia="仿宋" w:cs="仿宋"/>
          <w:kern w:val="0"/>
          <w:sz w:val="24"/>
          <w:szCs w:val="24"/>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600"/>
        <w:jc w:val="left"/>
        <w:rPr>
          <w:rFonts w:ascii="仿宋" w:hAnsi="仿宋" w:eastAsia="仿宋" w:cs="仿宋"/>
          <w:kern w:val="0"/>
          <w:sz w:val="24"/>
          <w:szCs w:val="24"/>
        </w:rPr>
      </w:pPr>
      <w:r>
        <w:rPr>
          <w:rFonts w:hint="eastAsia" w:ascii="仿宋" w:hAnsi="仿宋" w:eastAsia="仿宋" w:cs="仿宋"/>
          <w:kern w:val="0"/>
          <w:sz w:val="24"/>
          <w:szCs w:val="24"/>
        </w:rPr>
        <w:t>6、中标方需提供产品使用说明书及光盘,并有义务进行有关使用培训。</w:t>
      </w:r>
    </w:p>
    <w:p>
      <w:pPr>
        <w:widowControl/>
        <w:shd w:val="clear" w:color="auto" w:fill="FFFFFF"/>
        <w:spacing w:line="360" w:lineRule="auto"/>
        <w:ind w:firstLine="600"/>
        <w:jc w:val="left"/>
        <w:rPr>
          <w:rFonts w:ascii="仿宋" w:hAnsi="仿宋" w:eastAsia="仿宋" w:cs="仿宋"/>
          <w:kern w:val="0"/>
          <w:sz w:val="24"/>
          <w:szCs w:val="24"/>
        </w:rPr>
      </w:pPr>
      <w:r>
        <w:rPr>
          <w:rFonts w:hint="eastAsia" w:ascii="仿宋" w:hAnsi="仿宋" w:eastAsia="仿宋" w:cs="仿宋"/>
          <w:kern w:val="0"/>
          <w:sz w:val="24"/>
          <w:szCs w:val="24"/>
        </w:rPr>
        <w:t>7、付款方式：货到安装结束支付合同额50%，验收合格支付合同额的45%，剩余5%作为质保金，在质保期满后无质量问题一次性无息付清。</w:t>
      </w:r>
    </w:p>
    <w:p>
      <w:pPr>
        <w:widowControl/>
        <w:shd w:val="clear" w:color="auto" w:fill="FFFFFF"/>
        <w:spacing w:line="360" w:lineRule="auto"/>
        <w:ind w:firstLine="480" w:firstLineChars="200"/>
        <w:contextualSpacing/>
        <w:jc w:val="left"/>
        <w:rPr>
          <w:rFonts w:ascii="仿宋" w:hAnsi="仿宋" w:eastAsia="仿宋" w:cs="仿宋"/>
          <w:color w:val="000000"/>
          <w:kern w:val="0"/>
          <w:sz w:val="24"/>
          <w:szCs w:val="24"/>
          <w:lang w:val="zh-CN"/>
        </w:rPr>
      </w:pPr>
    </w:p>
    <w:p>
      <w:pPr>
        <w:autoSpaceDE w:val="0"/>
        <w:autoSpaceDN w:val="0"/>
        <w:adjustRightInd w:val="0"/>
        <w:spacing w:line="360" w:lineRule="auto"/>
        <w:jc w:val="center"/>
        <w:rPr>
          <w:rFonts w:ascii="仿宋" w:hAnsi="仿宋" w:eastAsia="仿宋" w:cs="仿宋"/>
          <w:b/>
          <w:kern w:val="0"/>
          <w:sz w:val="24"/>
          <w:szCs w:val="24"/>
        </w:rPr>
      </w:pPr>
    </w:p>
    <w:p>
      <w:pPr>
        <w:autoSpaceDE w:val="0"/>
        <w:autoSpaceDN w:val="0"/>
        <w:adjustRightInd w:val="0"/>
        <w:jc w:val="center"/>
        <w:rPr>
          <w:rFonts w:ascii="仿宋" w:hAnsi="仿宋" w:eastAsia="仿宋" w:cs="仿宋"/>
          <w:b/>
          <w:kern w:val="0"/>
          <w:sz w:val="24"/>
          <w:szCs w:val="24"/>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ascii="仿宋" w:hAnsi="仿宋" w:eastAsia="仿宋" w:cs="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w:t>
            </w:r>
            <w:r>
              <w:rPr>
                <w:rFonts w:hint="eastAsia" w:cs="仿宋_GB2312" w:asciiTheme="minorEastAsia" w:hAnsiTheme="minorEastAsia"/>
                <w:sz w:val="24"/>
                <w:szCs w:val="24"/>
                <w:lang w:eastAsia="zh-CN"/>
              </w:rPr>
              <w:t>不动产一窗受理与政务基础平台等对接服务项目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89</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软件开发服务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起</w:t>
            </w:r>
            <w:r>
              <w:rPr>
                <w:rFonts w:hint="eastAsia" w:cs="仿宋_GB2312" w:asciiTheme="minorEastAsia" w:hAnsiTheme="minorEastAsia"/>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不动产登记中心</w:t>
            </w:r>
          </w:p>
          <w:p>
            <w:pPr>
              <w:widowControl/>
              <w:shd w:val="clear" w:color="auto" w:fill="FFFFFF"/>
              <w:spacing w:line="400" w:lineRule="exact"/>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人防大楼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沈</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13839023611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67</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8939" w:type="dxa"/>
        <w:jc w:val="center"/>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17"/>
        <w:gridCol w:w="1581"/>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42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r>
              <w:rPr>
                <w:rFonts w:hint="eastAsia" w:ascii="宋体" w:hAnsi="宋体" w:cs="Times New Roman"/>
                <w:b/>
                <w:bCs/>
                <w:sz w:val="24"/>
                <w:szCs w:val="24"/>
              </w:rPr>
              <w:t>评审因素与评分值</w:t>
            </w:r>
          </w:p>
        </w:tc>
        <w:tc>
          <w:tcPr>
            <w:tcW w:w="467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r>
              <w:rPr>
                <w:rFonts w:hint="eastAsia" w:ascii="宋体" w:hAnsi="宋体" w:cs="Times New Roman"/>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6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r>
              <w:rPr>
                <w:rFonts w:hint="eastAsia" w:ascii="宋体" w:hAnsi="宋体" w:cs="Times New Roman"/>
                <w:b/>
                <w:bCs/>
                <w:sz w:val="24"/>
                <w:szCs w:val="24"/>
              </w:rPr>
              <w:t>评审因素</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ind w:firstLine="482" w:firstLineChars="200"/>
              <w:rPr>
                <w:rFonts w:ascii="宋体" w:hAnsi="宋体" w:cs="Times New Roman"/>
                <w:b/>
                <w:bCs/>
                <w:sz w:val="24"/>
                <w:szCs w:val="24"/>
              </w:rPr>
            </w:pPr>
            <w:r>
              <w:rPr>
                <w:rFonts w:hint="eastAsia" w:ascii="宋体" w:hAnsi="宋体" w:cs="Times New Roman"/>
                <w:b/>
                <w:bCs/>
                <w:sz w:val="24"/>
                <w:szCs w:val="24"/>
              </w:rPr>
              <w:t>评分值</w:t>
            </w:r>
          </w:p>
        </w:tc>
        <w:tc>
          <w:tcPr>
            <w:tcW w:w="467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r>
              <w:rPr>
                <w:rFonts w:hint="eastAsia" w:ascii="宋体" w:hAnsi="宋体" w:cs="Times New Roman"/>
                <w:b/>
                <w:bCs/>
                <w:sz w:val="24"/>
                <w:szCs w:val="24"/>
              </w:rPr>
              <w:t>各评审因素细分项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hint="eastAsia" w:ascii="宋体" w:hAnsi="宋体" w:cs="Times New Roman"/>
                <w:b/>
                <w:bCs/>
                <w:sz w:val="24"/>
                <w:szCs w:val="24"/>
              </w:rPr>
            </w:pPr>
            <w:r>
              <w:rPr>
                <w:rFonts w:hint="eastAsia" w:ascii="宋体" w:hAnsi="宋体" w:cs="Times New Roman"/>
                <w:b/>
                <w:bCs/>
                <w:sz w:val="24"/>
                <w:szCs w:val="24"/>
              </w:rPr>
              <w:t>报价得分（</w:t>
            </w:r>
            <w:r>
              <w:rPr>
                <w:rFonts w:hint="eastAsia" w:ascii="宋体" w:hAnsi="宋体" w:cs="Times New Roman"/>
                <w:b/>
                <w:bCs/>
                <w:sz w:val="24"/>
                <w:szCs w:val="24"/>
                <w:lang w:val="en-US" w:eastAsia="zh-CN"/>
              </w:rPr>
              <w:t>20</w:t>
            </w:r>
            <w:r>
              <w:rPr>
                <w:rFonts w:hint="eastAsia" w:ascii="宋体" w:hAnsi="宋体" w:cs="Times New Roman"/>
                <w:b/>
                <w:bCs/>
                <w:sz w:val="24"/>
                <w:szCs w:val="24"/>
              </w:rPr>
              <w:t>）</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hint="eastAsia" w:ascii="宋体" w:hAnsi="宋体" w:cs="Times New Roman"/>
                <w:b/>
                <w:bCs/>
                <w:sz w:val="24"/>
                <w:szCs w:val="24"/>
              </w:rPr>
            </w:pPr>
            <w:r>
              <w:rPr>
                <w:rFonts w:hint="eastAsia" w:ascii="宋体" w:hAnsi="宋体" w:cs="Times New Roman"/>
                <w:sz w:val="24"/>
                <w:szCs w:val="24"/>
              </w:rPr>
              <w:t>报价</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ind w:firstLine="480" w:firstLineChars="200"/>
              <w:rPr>
                <w:rFonts w:hint="eastAsia" w:ascii="宋体" w:hAnsi="宋体" w:cs="Times New Roman"/>
                <w:b/>
                <w:bCs/>
                <w:sz w:val="24"/>
                <w:szCs w:val="24"/>
              </w:rPr>
            </w:pPr>
            <w:r>
              <w:rPr>
                <w:rFonts w:hint="eastAsia" w:ascii="宋体" w:hAnsi="宋体" w:cs="Times New Roman"/>
                <w:sz w:val="24"/>
                <w:szCs w:val="24"/>
                <w:lang w:val="en-US" w:eastAsia="zh-CN"/>
              </w:rPr>
              <w:t>2</w:t>
            </w:r>
            <w:r>
              <w:rPr>
                <w:rFonts w:hint="eastAsia" w:ascii="宋体" w:hAnsi="宋体" w:cs="Times New Roman"/>
                <w:sz w:val="24"/>
                <w:szCs w:val="24"/>
              </w:rPr>
              <w:t>0分</w:t>
            </w:r>
          </w:p>
        </w:tc>
        <w:tc>
          <w:tcPr>
            <w:tcW w:w="467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both"/>
              <w:rPr>
                <w:rFonts w:hint="eastAsia" w:ascii="宋体" w:hAnsi="宋体" w:cs="仿宋"/>
                <w:sz w:val="24"/>
                <w:szCs w:val="28"/>
                <w:lang w:eastAsia="zh-CN"/>
              </w:rPr>
            </w:pPr>
            <w:r>
              <w:rPr>
                <w:rFonts w:hint="eastAsia" w:ascii="宋体" w:hAnsi="宋体" w:cs="仿宋"/>
                <w:sz w:val="24"/>
                <w:szCs w:val="28"/>
              </w:rPr>
              <w:t>评标基准价为满足招标文件要求且评标报价最低的评标报价为评标基准价，其价格分为满分</w:t>
            </w:r>
            <w:r>
              <w:rPr>
                <w:rFonts w:hint="eastAsia" w:ascii="宋体" w:hAnsi="宋体" w:cs="仿宋"/>
                <w:sz w:val="24"/>
                <w:szCs w:val="28"/>
                <w:lang w:eastAsia="zh-CN"/>
              </w:rPr>
              <w:t>。</w:t>
            </w:r>
          </w:p>
          <w:p>
            <w:pPr>
              <w:adjustRightInd w:val="0"/>
              <w:snapToGrid w:val="0"/>
              <w:spacing w:line="480" w:lineRule="exact"/>
              <w:jc w:val="both"/>
              <w:rPr>
                <w:rFonts w:hint="default" w:ascii="宋体" w:hAnsi="宋体" w:cs="Times New Roman"/>
                <w:b/>
                <w:bCs/>
                <w:sz w:val="24"/>
                <w:szCs w:val="24"/>
                <w:lang w:val="en-US"/>
              </w:rPr>
            </w:pPr>
            <w:r>
              <w:rPr>
                <w:rFonts w:hint="eastAsia" w:ascii="宋体" w:hAnsi="宋体" w:cs="仿宋"/>
                <w:color w:val="FF0000"/>
                <w:sz w:val="24"/>
                <w:szCs w:val="24"/>
                <w:lang w:eastAsia="zh-CN"/>
              </w:rPr>
              <w:t>其他投标人的价格得分统一按照以下标准计算：投标报价</w:t>
            </w:r>
            <w:r>
              <w:rPr>
                <w:rFonts w:hint="eastAsia" w:ascii="宋体" w:hAnsi="宋体" w:cs="仿宋"/>
                <w:color w:val="FF0000"/>
                <w:sz w:val="24"/>
                <w:szCs w:val="24"/>
                <w:lang w:val="en-US" w:eastAsia="zh-CN"/>
              </w:rPr>
              <w:t>=（评分基准价/有效报价）评分基准价/有效报价</w:t>
            </w:r>
            <w:r>
              <w:rPr>
                <w:rFonts w:hint="default" w:ascii="Arial" w:hAnsi="Arial" w:cs="Arial"/>
                <w:color w:val="FF0000"/>
                <w:sz w:val="24"/>
                <w:szCs w:val="24"/>
                <w:lang w:val="en-US" w:eastAsia="zh-CN"/>
              </w:rPr>
              <w:t>×</w:t>
            </w:r>
            <w:r>
              <w:rPr>
                <w:rFonts w:hint="eastAsia" w:ascii="宋体" w:hAnsi="宋体" w:cs="仿宋"/>
                <w:color w:val="FF0000"/>
                <w:sz w:val="24"/>
                <w:szCs w:val="24"/>
                <w:lang w:val="en-US" w:eastAsia="zh-CN"/>
              </w:rPr>
              <w:t>20</w:t>
            </w:r>
            <w:r>
              <w:rPr>
                <w:rFonts w:hint="default" w:ascii="Arial" w:hAnsi="Arial" w:cs="Arial"/>
                <w:color w:val="FF0000"/>
                <w:sz w:val="24"/>
                <w:szCs w:val="24"/>
                <w:lang w:val="en-US" w:eastAsia="zh-CN"/>
              </w:rPr>
              <w:t>×</w:t>
            </w:r>
            <w:r>
              <w:rPr>
                <w:rFonts w:hint="eastAsia" w:ascii="Arial" w:hAnsi="Arial" w:cs="Arial"/>
                <w:color w:val="FF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70" w:type="dxa"/>
            <w:vMerge w:val="restart"/>
            <w:tcBorders>
              <w:top w:val="nil"/>
              <w:left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b/>
                <w:bCs/>
                <w:sz w:val="24"/>
                <w:szCs w:val="24"/>
              </w:rPr>
              <w:t>技术部分（</w:t>
            </w:r>
            <w:r>
              <w:rPr>
                <w:rFonts w:ascii="宋体" w:hAnsi="宋体" w:cs="Times New Roman"/>
                <w:b/>
                <w:bCs/>
                <w:sz w:val="24"/>
                <w:szCs w:val="24"/>
              </w:rPr>
              <w:t>4</w:t>
            </w:r>
            <w:r>
              <w:rPr>
                <w:rFonts w:hint="eastAsia" w:ascii="宋体" w:hAnsi="宋体" w:cs="Times New Roman"/>
                <w:b/>
                <w:bCs/>
                <w:sz w:val="24"/>
                <w:szCs w:val="24"/>
              </w:rPr>
              <w:t>0分）</w:t>
            </w:r>
          </w:p>
        </w:tc>
        <w:tc>
          <w:tcPr>
            <w:tcW w:w="1817" w:type="dxa"/>
            <w:tcBorders>
              <w:top w:val="nil"/>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sz w:val="24"/>
                <w:szCs w:val="24"/>
              </w:rPr>
              <w:t>产品技术指标（</w:t>
            </w:r>
            <w:r>
              <w:rPr>
                <w:rFonts w:ascii="宋体" w:hAnsi="宋体" w:cs="Times New Roman"/>
                <w:color w:val="FF0000"/>
                <w:sz w:val="24"/>
                <w:szCs w:val="24"/>
              </w:rPr>
              <w:t>3</w:t>
            </w:r>
            <w:r>
              <w:rPr>
                <w:rFonts w:hint="eastAsia" w:ascii="宋体" w:hAnsi="宋体" w:cs="Times New Roman"/>
                <w:color w:val="FF0000"/>
                <w:sz w:val="24"/>
                <w:szCs w:val="24"/>
              </w:rPr>
              <w:t>0分</w:t>
            </w:r>
            <w:r>
              <w:rPr>
                <w:rFonts w:hint="eastAsia" w:ascii="宋体" w:hAnsi="宋体" w:cs="Times New Roman"/>
                <w:sz w:val="24"/>
                <w:szCs w:val="24"/>
              </w:rPr>
              <w:t>）</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color w:val="FF0000"/>
                <w:sz w:val="24"/>
                <w:szCs w:val="24"/>
              </w:rPr>
            </w:pPr>
            <w:r>
              <w:rPr>
                <w:rFonts w:ascii="宋体" w:hAnsi="宋体" w:cs="Times New Roman"/>
                <w:color w:val="FF0000"/>
                <w:sz w:val="24"/>
                <w:szCs w:val="24"/>
              </w:rPr>
              <w:t>3</w:t>
            </w:r>
            <w:r>
              <w:rPr>
                <w:rFonts w:hint="eastAsia" w:ascii="宋体" w:hAnsi="宋体" w:cs="Times New Roman"/>
                <w:color w:val="FF0000"/>
                <w:sz w:val="24"/>
                <w:szCs w:val="24"/>
              </w:rPr>
              <w:t>0分</w:t>
            </w:r>
          </w:p>
        </w:tc>
        <w:tc>
          <w:tcPr>
            <w:tcW w:w="4671" w:type="dxa"/>
            <w:tcBorders>
              <w:top w:val="single" w:color="auto" w:sz="4" w:space="0"/>
              <w:left w:val="nil"/>
              <w:bottom w:val="single" w:color="auto" w:sz="4" w:space="0"/>
              <w:right w:val="single" w:color="auto" w:sz="4" w:space="0"/>
            </w:tcBorders>
            <w:vAlign w:val="center"/>
          </w:tcPr>
          <w:p>
            <w:pPr>
              <w:adjustRightInd w:val="0"/>
              <w:snapToGrid w:val="0"/>
              <w:spacing w:line="480" w:lineRule="exact"/>
              <w:rPr>
                <w:rFonts w:ascii="宋体" w:hAnsi="宋体" w:cs="Times New Roman"/>
                <w:sz w:val="24"/>
                <w:szCs w:val="24"/>
              </w:rPr>
            </w:pPr>
            <w:r>
              <w:rPr>
                <w:rFonts w:hint="eastAsia" w:ascii="宋体" w:hAnsi="宋体" w:cs="Times New Roman"/>
                <w:sz w:val="24"/>
                <w:szCs w:val="24"/>
              </w:rPr>
              <w:t>供应商所投产品对照招标文件中技术指标参数，全部满足招标文件要求的得</w:t>
            </w:r>
            <w:r>
              <w:rPr>
                <w:rFonts w:ascii="宋体" w:hAnsi="宋体" w:cs="Times New Roman"/>
                <w:color w:val="FF0000"/>
                <w:sz w:val="24"/>
                <w:szCs w:val="24"/>
              </w:rPr>
              <w:t>3</w:t>
            </w:r>
            <w:r>
              <w:rPr>
                <w:rFonts w:hint="eastAsia" w:ascii="宋体" w:hAnsi="宋体" w:cs="Times New Roman"/>
                <w:color w:val="FF0000"/>
                <w:sz w:val="24"/>
                <w:szCs w:val="24"/>
              </w:rPr>
              <w:t>0</w:t>
            </w:r>
            <w:r>
              <w:rPr>
                <w:rFonts w:hint="eastAsia" w:ascii="宋体" w:hAnsi="宋体" w:cs="Times New Roman"/>
                <w:sz w:val="24"/>
                <w:szCs w:val="24"/>
              </w:rPr>
              <w:t>分，评审中每发现一项不满足、经评委认可不影响使用性能的、扣减2分；对使用性能、功能影响的扣除本项技术分4分，本项分扣完为止。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70" w:type="dxa"/>
            <w:tcBorders>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p>
        </w:tc>
        <w:tc>
          <w:tcPr>
            <w:tcW w:w="1817" w:type="dxa"/>
            <w:tcBorders>
              <w:top w:val="nil"/>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sz w:val="24"/>
                <w:szCs w:val="24"/>
              </w:rPr>
              <w:t>项目实施</w:t>
            </w:r>
            <w:r>
              <w:rPr>
                <w:rFonts w:ascii="宋体" w:hAnsi="宋体" w:cs="Times New Roman"/>
                <w:sz w:val="24"/>
                <w:szCs w:val="24"/>
              </w:rPr>
              <w:t>方案</w:t>
            </w:r>
            <w:r>
              <w:rPr>
                <w:rFonts w:hint="eastAsia" w:ascii="宋体" w:hAnsi="宋体" w:cs="Times New Roman"/>
                <w:sz w:val="24"/>
                <w:szCs w:val="24"/>
              </w:rPr>
              <w:t>（10分）</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color w:val="000000"/>
                <w:sz w:val="24"/>
                <w:szCs w:val="24"/>
              </w:rPr>
            </w:pPr>
            <w:r>
              <w:rPr>
                <w:rFonts w:hint="eastAsia" w:ascii="宋体" w:hAnsi="宋体" w:cs="Times New Roman"/>
                <w:color w:val="000000"/>
                <w:sz w:val="24"/>
                <w:szCs w:val="24"/>
              </w:rPr>
              <w:t>10分</w:t>
            </w:r>
          </w:p>
        </w:tc>
        <w:tc>
          <w:tcPr>
            <w:tcW w:w="4671" w:type="dxa"/>
            <w:tcBorders>
              <w:top w:val="single" w:color="auto" w:sz="4" w:space="0"/>
              <w:left w:val="nil"/>
              <w:bottom w:val="single" w:color="auto" w:sz="4" w:space="0"/>
              <w:right w:val="single" w:color="auto" w:sz="4" w:space="0"/>
            </w:tcBorders>
            <w:vAlign w:val="center"/>
          </w:tcPr>
          <w:p>
            <w:pPr>
              <w:numPr>
                <w:ilvl w:val="0"/>
                <w:numId w:val="11"/>
              </w:numPr>
              <w:adjustRightInd w:val="0"/>
              <w:snapToGrid w:val="0"/>
              <w:spacing w:line="480" w:lineRule="exact"/>
              <w:rPr>
                <w:rFonts w:ascii="宋体" w:hAnsi="宋体" w:cs="Times New Roman"/>
                <w:color w:val="FF0000"/>
                <w:sz w:val="24"/>
                <w:szCs w:val="24"/>
              </w:rPr>
            </w:pPr>
            <w:r>
              <w:rPr>
                <w:rFonts w:hint="eastAsia" w:ascii="宋体" w:hAnsi="宋体" w:cs="Times New Roman"/>
                <w:color w:val="FF0000"/>
                <w:sz w:val="24"/>
                <w:szCs w:val="24"/>
              </w:rPr>
              <w:t>能够提出针对本项目科学、合理的项目管理机构，并结合项目特点制定具体的实施方案，在优、良、一般之间进行打分，具体分值为：优</w:t>
            </w:r>
            <w:r>
              <w:rPr>
                <w:rFonts w:ascii="宋体" w:hAnsi="宋体" w:cs="Times New Roman"/>
                <w:color w:val="FF0000"/>
                <w:sz w:val="24"/>
                <w:szCs w:val="24"/>
              </w:rPr>
              <w:t>4</w:t>
            </w:r>
            <w:r>
              <w:rPr>
                <w:rFonts w:hint="eastAsia" w:ascii="宋体" w:hAnsi="宋体" w:cs="Times New Roman"/>
                <w:color w:val="FF0000"/>
                <w:sz w:val="24"/>
                <w:szCs w:val="24"/>
              </w:rPr>
              <w:t>-</w:t>
            </w:r>
            <w:r>
              <w:rPr>
                <w:rFonts w:ascii="宋体" w:hAnsi="宋体" w:cs="Times New Roman"/>
                <w:color w:val="FF0000"/>
                <w:sz w:val="24"/>
                <w:szCs w:val="24"/>
              </w:rPr>
              <w:t>3</w:t>
            </w:r>
            <w:r>
              <w:rPr>
                <w:rFonts w:hint="eastAsia" w:ascii="宋体" w:hAnsi="宋体" w:cs="Times New Roman"/>
                <w:color w:val="FF0000"/>
                <w:sz w:val="24"/>
                <w:szCs w:val="24"/>
              </w:rPr>
              <w:t>分，良</w:t>
            </w:r>
            <w:r>
              <w:rPr>
                <w:rFonts w:ascii="宋体" w:hAnsi="宋体" w:cs="Times New Roman"/>
                <w:color w:val="FF0000"/>
                <w:sz w:val="24"/>
                <w:szCs w:val="24"/>
              </w:rPr>
              <w:t>2</w:t>
            </w:r>
            <w:r>
              <w:rPr>
                <w:rFonts w:hint="eastAsia" w:ascii="宋体" w:hAnsi="宋体" w:cs="Times New Roman"/>
                <w:color w:val="FF0000"/>
                <w:sz w:val="24"/>
                <w:szCs w:val="24"/>
              </w:rPr>
              <w:t>-</w:t>
            </w:r>
            <w:r>
              <w:rPr>
                <w:rFonts w:ascii="宋体" w:hAnsi="宋体" w:cs="Times New Roman"/>
                <w:color w:val="FF0000"/>
                <w:sz w:val="24"/>
                <w:szCs w:val="24"/>
              </w:rPr>
              <w:t>1</w:t>
            </w:r>
            <w:r>
              <w:rPr>
                <w:rFonts w:hint="eastAsia" w:ascii="宋体" w:hAnsi="宋体" w:cs="Times New Roman"/>
                <w:color w:val="FF0000"/>
                <w:sz w:val="24"/>
                <w:szCs w:val="24"/>
              </w:rPr>
              <w:t>分，一般1-0分。</w:t>
            </w:r>
          </w:p>
          <w:p>
            <w:pPr>
              <w:numPr>
                <w:ilvl w:val="0"/>
                <w:numId w:val="11"/>
              </w:numPr>
              <w:adjustRightInd w:val="0"/>
              <w:snapToGrid w:val="0"/>
              <w:spacing w:line="480" w:lineRule="exact"/>
              <w:rPr>
                <w:rFonts w:ascii="宋体" w:hAnsi="宋体" w:cs="Times New Roman"/>
                <w:color w:val="FF0000"/>
                <w:sz w:val="24"/>
                <w:szCs w:val="24"/>
              </w:rPr>
            </w:pPr>
            <w:r>
              <w:rPr>
                <w:rFonts w:hint="eastAsia" w:ascii="宋体" w:hAnsi="宋体" w:cs="Times New Roman"/>
                <w:color w:val="FF0000"/>
                <w:sz w:val="24"/>
                <w:szCs w:val="24"/>
              </w:rPr>
              <w:t>能够提出针对本项目的工期进度计划安排及工期保证措施，依据工期计划及保证措施的科学性、合理性、可行性进行评分，在优、良、一般之间进行打分，具体分值为：优</w:t>
            </w:r>
            <w:r>
              <w:rPr>
                <w:rFonts w:ascii="宋体" w:hAnsi="宋体" w:cs="Times New Roman"/>
                <w:color w:val="FF0000"/>
                <w:sz w:val="24"/>
                <w:szCs w:val="24"/>
              </w:rPr>
              <w:t>3-2</w:t>
            </w:r>
            <w:r>
              <w:rPr>
                <w:rFonts w:hint="eastAsia" w:ascii="宋体" w:hAnsi="宋体" w:cs="Times New Roman"/>
                <w:color w:val="FF0000"/>
                <w:sz w:val="24"/>
                <w:szCs w:val="24"/>
              </w:rPr>
              <w:t>分，良</w:t>
            </w:r>
            <w:r>
              <w:rPr>
                <w:rFonts w:ascii="宋体" w:hAnsi="宋体" w:cs="Times New Roman"/>
                <w:color w:val="FF0000"/>
                <w:sz w:val="24"/>
                <w:szCs w:val="24"/>
              </w:rPr>
              <w:t>2</w:t>
            </w:r>
            <w:r>
              <w:rPr>
                <w:rFonts w:hint="eastAsia" w:ascii="宋体" w:hAnsi="宋体" w:cs="Times New Roman"/>
                <w:color w:val="FF0000"/>
                <w:sz w:val="24"/>
                <w:szCs w:val="24"/>
              </w:rPr>
              <w:t>-</w:t>
            </w:r>
            <w:r>
              <w:rPr>
                <w:rFonts w:ascii="宋体" w:hAnsi="宋体" w:cs="Times New Roman"/>
                <w:color w:val="FF0000"/>
                <w:sz w:val="24"/>
                <w:szCs w:val="24"/>
              </w:rPr>
              <w:t>1</w:t>
            </w:r>
            <w:r>
              <w:rPr>
                <w:rFonts w:hint="eastAsia" w:ascii="宋体" w:hAnsi="宋体" w:cs="Times New Roman"/>
                <w:color w:val="FF0000"/>
                <w:sz w:val="24"/>
                <w:szCs w:val="24"/>
              </w:rPr>
              <w:t>分，一般1-0分。</w:t>
            </w:r>
          </w:p>
          <w:p>
            <w:pPr>
              <w:numPr>
                <w:ilvl w:val="0"/>
                <w:numId w:val="11"/>
              </w:numPr>
              <w:adjustRightInd w:val="0"/>
              <w:snapToGrid w:val="0"/>
              <w:spacing w:line="480" w:lineRule="exact"/>
              <w:rPr>
                <w:rFonts w:ascii="宋体" w:hAnsi="宋体" w:cs="Times New Roman"/>
                <w:color w:val="FF0000"/>
                <w:sz w:val="24"/>
                <w:szCs w:val="24"/>
              </w:rPr>
            </w:pPr>
            <w:r>
              <w:rPr>
                <w:rFonts w:hint="eastAsia" w:ascii="宋体" w:hAnsi="宋体" w:cs="Times New Roman"/>
                <w:color w:val="FF0000"/>
                <w:sz w:val="24"/>
                <w:szCs w:val="24"/>
              </w:rPr>
              <w:t>能够提出针对本项目的质量控制措施，依据质量控制措施的科学性、合理性、可行性进行评分，在优、良、一般之间进行打分，具体分值为：优</w:t>
            </w:r>
            <w:r>
              <w:rPr>
                <w:rFonts w:ascii="宋体" w:hAnsi="宋体" w:cs="Times New Roman"/>
                <w:color w:val="FF0000"/>
                <w:sz w:val="24"/>
                <w:szCs w:val="24"/>
              </w:rPr>
              <w:t>3</w:t>
            </w:r>
            <w:r>
              <w:rPr>
                <w:rFonts w:hint="eastAsia" w:ascii="宋体" w:hAnsi="宋体" w:cs="Times New Roman"/>
                <w:color w:val="FF0000"/>
                <w:sz w:val="24"/>
                <w:szCs w:val="24"/>
              </w:rPr>
              <w:t>-</w:t>
            </w:r>
            <w:r>
              <w:rPr>
                <w:rFonts w:ascii="宋体" w:hAnsi="宋体" w:cs="Times New Roman"/>
                <w:color w:val="FF0000"/>
                <w:sz w:val="24"/>
                <w:szCs w:val="24"/>
              </w:rPr>
              <w:t>2</w:t>
            </w:r>
            <w:r>
              <w:rPr>
                <w:rFonts w:hint="eastAsia" w:ascii="宋体" w:hAnsi="宋体" w:cs="Times New Roman"/>
                <w:color w:val="FF0000"/>
                <w:sz w:val="24"/>
                <w:szCs w:val="24"/>
              </w:rPr>
              <w:t>分，良</w:t>
            </w:r>
            <w:r>
              <w:rPr>
                <w:rFonts w:ascii="宋体" w:hAnsi="宋体" w:cs="Times New Roman"/>
                <w:color w:val="FF0000"/>
                <w:sz w:val="24"/>
                <w:szCs w:val="24"/>
              </w:rPr>
              <w:t>2</w:t>
            </w:r>
            <w:r>
              <w:rPr>
                <w:rFonts w:hint="eastAsia" w:ascii="宋体" w:hAnsi="宋体" w:cs="Times New Roman"/>
                <w:color w:val="FF0000"/>
                <w:sz w:val="24"/>
                <w:szCs w:val="24"/>
              </w:rPr>
              <w:t>-</w:t>
            </w:r>
            <w:r>
              <w:rPr>
                <w:rFonts w:ascii="宋体" w:hAnsi="宋体" w:cs="Times New Roman"/>
                <w:color w:val="FF0000"/>
                <w:sz w:val="24"/>
                <w:szCs w:val="24"/>
              </w:rPr>
              <w:t>1</w:t>
            </w:r>
            <w:r>
              <w:rPr>
                <w:rFonts w:hint="eastAsia" w:ascii="宋体" w:hAnsi="宋体" w:cs="Times New Roman"/>
                <w:color w:val="FF0000"/>
                <w:sz w:val="24"/>
                <w:szCs w:val="24"/>
              </w:rPr>
              <w:t>分，一般1-0分。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70" w:type="dxa"/>
            <w:vMerge w:val="restart"/>
            <w:tcBorders>
              <w:top w:val="nil"/>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cs="Times New Roman"/>
                <w:b/>
                <w:bCs/>
                <w:sz w:val="24"/>
                <w:szCs w:val="24"/>
              </w:rPr>
            </w:pPr>
            <w:r>
              <w:rPr>
                <w:rFonts w:hint="eastAsia" w:ascii="宋体" w:hAnsi="宋体" w:cs="Times New Roman"/>
                <w:b/>
                <w:bCs/>
                <w:sz w:val="24"/>
                <w:szCs w:val="24"/>
                <w:lang w:eastAsia="zh-CN"/>
              </w:rPr>
              <w:t>商务部门</w:t>
            </w:r>
            <w:r>
              <w:rPr>
                <w:rFonts w:hint="eastAsia" w:ascii="宋体" w:hAnsi="宋体" w:cs="Times New Roman"/>
                <w:b/>
                <w:bCs/>
                <w:sz w:val="24"/>
                <w:szCs w:val="24"/>
              </w:rPr>
              <w:t>（</w:t>
            </w:r>
            <w:r>
              <w:rPr>
                <w:rFonts w:hint="eastAsia" w:ascii="宋体" w:hAnsi="宋体" w:cs="Times New Roman"/>
                <w:b/>
                <w:bCs/>
                <w:color w:val="FF0000"/>
                <w:sz w:val="24"/>
                <w:szCs w:val="24"/>
                <w:lang w:val="en-US" w:eastAsia="zh-CN"/>
              </w:rPr>
              <w:t>4</w:t>
            </w:r>
            <w:r>
              <w:rPr>
                <w:rFonts w:ascii="宋体" w:hAnsi="宋体" w:cs="Times New Roman"/>
                <w:b/>
                <w:bCs/>
                <w:color w:val="FF0000"/>
                <w:sz w:val="24"/>
                <w:szCs w:val="24"/>
              </w:rPr>
              <w:t>0</w:t>
            </w:r>
            <w:r>
              <w:rPr>
                <w:rFonts w:hint="eastAsia" w:ascii="宋体" w:hAnsi="宋体" w:cs="Times New Roman"/>
                <w:b/>
                <w:bCs/>
                <w:sz w:val="24"/>
                <w:szCs w:val="24"/>
              </w:rPr>
              <w:t xml:space="preserve">分） </w:t>
            </w:r>
          </w:p>
        </w:tc>
        <w:tc>
          <w:tcPr>
            <w:tcW w:w="1817" w:type="dxa"/>
            <w:tcBorders>
              <w:top w:val="single" w:color="auto" w:sz="4" w:space="0"/>
              <w:left w:val="nil"/>
              <w:bottom w:val="single" w:color="auto" w:sz="4" w:space="0"/>
              <w:right w:val="single" w:color="auto" w:sz="4" w:space="0"/>
            </w:tcBorders>
            <w:vAlign w:val="center"/>
          </w:tcPr>
          <w:p>
            <w:pPr>
              <w:adjustRightInd w:val="0"/>
              <w:snapToGrid w:val="0"/>
              <w:spacing w:line="480" w:lineRule="exact"/>
              <w:rPr>
                <w:rFonts w:ascii="宋体" w:hAnsi="宋体" w:cs="Times New Roman"/>
                <w:sz w:val="24"/>
                <w:szCs w:val="24"/>
              </w:rPr>
            </w:pPr>
            <w:r>
              <w:rPr>
                <w:rFonts w:hint="eastAsia" w:ascii="宋体" w:hAnsi="宋体" w:cs="Times New Roman"/>
                <w:color w:val="000000"/>
                <w:sz w:val="24"/>
                <w:szCs w:val="24"/>
              </w:rPr>
              <w:t>投标供应商业绩</w:t>
            </w:r>
            <w:r>
              <w:rPr>
                <w:rFonts w:hint="eastAsia" w:ascii="Tahoma" w:hAnsi="Tahoma" w:eastAsia="微软雅黑" w:cs="宋体"/>
                <w:szCs w:val="21"/>
              </w:rPr>
              <w:t>（</w:t>
            </w:r>
            <w:r>
              <w:rPr>
                <w:rFonts w:ascii="Tahoma" w:hAnsi="Tahoma" w:eastAsia="微软雅黑" w:cs="宋体"/>
                <w:szCs w:val="21"/>
              </w:rPr>
              <w:t>20</w:t>
            </w:r>
            <w:r>
              <w:rPr>
                <w:rFonts w:hint="eastAsia" w:ascii="Tahoma" w:hAnsi="Tahoma" w:eastAsia="微软雅黑" w:cs="宋体"/>
                <w:szCs w:val="21"/>
              </w:rPr>
              <w:t>分）</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ascii="宋体" w:hAnsi="宋体" w:cs="Times New Roman"/>
                <w:color w:val="000000"/>
                <w:sz w:val="24"/>
                <w:szCs w:val="24"/>
              </w:rPr>
              <w:t>20</w:t>
            </w:r>
            <w:r>
              <w:rPr>
                <w:rFonts w:hint="eastAsia" w:ascii="宋体" w:hAnsi="宋体" w:cs="Times New Roman"/>
                <w:color w:val="000000"/>
                <w:sz w:val="24"/>
                <w:szCs w:val="24"/>
              </w:rPr>
              <w:t>分</w:t>
            </w:r>
          </w:p>
        </w:tc>
        <w:tc>
          <w:tcPr>
            <w:tcW w:w="467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Times New Roman"/>
                <w:color w:val="FF0000"/>
                <w:sz w:val="24"/>
                <w:szCs w:val="24"/>
              </w:rPr>
            </w:pPr>
            <w:r>
              <w:rPr>
                <w:rFonts w:hint="eastAsia" w:ascii="宋体" w:hAnsi="宋体" w:cs="Times New Roman"/>
                <w:color w:val="FF0000"/>
                <w:sz w:val="24"/>
                <w:szCs w:val="24"/>
              </w:rPr>
              <w:t>（1）投标人承担过省级不动产登记信息管理平台开发的得</w:t>
            </w:r>
            <w:r>
              <w:rPr>
                <w:rFonts w:ascii="宋体" w:hAnsi="宋体" w:cs="Times New Roman"/>
                <w:color w:val="FF0000"/>
                <w:sz w:val="24"/>
                <w:szCs w:val="24"/>
              </w:rPr>
              <w:t>5</w:t>
            </w:r>
            <w:r>
              <w:rPr>
                <w:rFonts w:hint="eastAsia" w:ascii="宋体" w:hAnsi="宋体" w:cs="Times New Roman"/>
                <w:color w:val="FF0000"/>
                <w:sz w:val="24"/>
                <w:szCs w:val="24"/>
              </w:rPr>
              <w:t>分。（以合同为准，没有不得分。）</w:t>
            </w:r>
          </w:p>
          <w:p>
            <w:pPr>
              <w:adjustRightInd w:val="0"/>
              <w:snapToGrid w:val="0"/>
              <w:spacing w:line="360" w:lineRule="auto"/>
              <w:rPr>
                <w:rFonts w:ascii="宋体" w:hAnsi="宋体" w:cs="Times New Roman"/>
                <w:color w:val="00B050"/>
                <w:sz w:val="24"/>
                <w:szCs w:val="24"/>
              </w:rPr>
            </w:pPr>
            <w:r>
              <w:rPr>
                <w:rFonts w:hint="eastAsia" w:ascii="宋体" w:hAnsi="宋体" w:cs="Times New Roman"/>
                <w:color w:val="FF0000"/>
                <w:sz w:val="24"/>
                <w:szCs w:val="24"/>
              </w:rPr>
              <w:t>（2）2016年</w:t>
            </w:r>
            <w:r>
              <w:rPr>
                <w:rFonts w:hint="eastAsia" w:ascii="宋体" w:hAnsi="宋体" w:cs="Times New Roman"/>
                <w:color w:val="FF0000"/>
                <w:sz w:val="24"/>
                <w:szCs w:val="24"/>
                <w:lang w:val="en-US" w:eastAsia="zh-CN"/>
              </w:rPr>
              <w:t>1月1日</w:t>
            </w:r>
            <w:r>
              <w:rPr>
                <w:rFonts w:hint="eastAsia" w:ascii="宋体" w:hAnsi="宋体" w:cs="Times New Roman"/>
                <w:color w:val="FF0000"/>
                <w:sz w:val="24"/>
                <w:szCs w:val="24"/>
              </w:rPr>
              <w:t>以来，承担过</w:t>
            </w:r>
            <w:r>
              <w:rPr>
                <w:rFonts w:hint="eastAsia" w:ascii="宋体" w:hAnsi="宋体" w:cs="Times New Roman"/>
                <w:color w:val="FF0000"/>
                <w:sz w:val="24"/>
                <w:szCs w:val="24"/>
                <w:lang w:eastAsia="zh-CN"/>
              </w:rPr>
              <w:t>类似项目业绩的</w:t>
            </w:r>
            <w:r>
              <w:rPr>
                <w:rFonts w:hint="eastAsia" w:ascii="宋体" w:hAnsi="宋体" w:cs="Times New Roman"/>
                <w:color w:val="FF0000"/>
                <w:sz w:val="24"/>
                <w:szCs w:val="24"/>
              </w:rPr>
              <w:t>，每提供一个得</w:t>
            </w:r>
            <w:r>
              <w:rPr>
                <w:rFonts w:ascii="宋体" w:hAnsi="宋体" w:cs="Times New Roman"/>
                <w:color w:val="FF0000"/>
                <w:sz w:val="24"/>
                <w:szCs w:val="24"/>
              </w:rPr>
              <w:t>5</w:t>
            </w:r>
            <w:r>
              <w:rPr>
                <w:rFonts w:hint="eastAsia" w:ascii="宋体" w:hAnsi="宋体" w:cs="Times New Roman"/>
                <w:color w:val="FF0000"/>
                <w:sz w:val="24"/>
                <w:szCs w:val="24"/>
              </w:rPr>
              <w:t>分，满分</w:t>
            </w:r>
            <w:r>
              <w:rPr>
                <w:rFonts w:ascii="宋体" w:hAnsi="宋体" w:cs="Times New Roman"/>
                <w:color w:val="FF0000"/>
                <w:sz w:val="24"/>
                <w:szCs w:val="24"/>
              </w:rPr>
              <w:t>15</w:t>
            </w:r>
            <w:r>
              <w:rPr>
                <w:rFonts w:hint="eastAsia" w:ascii="宋体" w:hAnsi="宋体" w:cs="Times New Roman"/>
                <w:color w:val="FF0000"/>
                <w:sz w:val="24"/>
                <w:szCs w:val="24"/>
              </w:rPr>
              <w:t>分。</w:t>
            </w:r>
            <w:r>
              <w:rPr>
                <w:rFonts w:ascii="宋体" w:hAnsi="宋体" w:cs="Times New Roman"/>
                <w:color w:val="FF0000"/>
                <w:sz w:val="24"/>
                <w:szCs w:val="24"/>
              </w:rPr>
              <w:t>（</w:t>
            </w:r>
            <w:r>
              <w:rPr>
                <w:rFonts w:hint="eastAsia" w:ascii="宋体" w:hAnsi="宋体" w:cs="Times New Roman"/>
                <w:color w:val="FF0000"/>
                <w:sz w:val="24"/>
                <w:szCs w:val="24"/>
              </w:rPr>
              <w:t>以合同为准，没有不得分。</w:t>
            </w:r>
            <w:r>
              <w:rPr>
                <w:rFonts w:ascii="宋体" w:hAnsi="宋体"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jc w:val="center"/>
        </w:trPr>
        <w:tc>
          <w:tcPr>
            <w:tcW w:w="870" w:type="dxa"/>
            <w:vMerge w:val="continue"/>
            <w:tcBorders>
              <w:top w:val="nil"/>
              <w:left w:val="single" w:color="auto" w:sz="4" w:space="0"/>
              <w:bottom w:val="single" w:color="auto" w:sz="4" w:space="0"/>
              <w:right w:val="single" w:color="auto" w:sz="4" w:space="0"/>
            </w:tcBorders>
            <w:vAlign w:val="center"/>
          </w:tcPr>
          <w:p>
            <w:pPr>
              <w:spacing w:line="480" w:lineRule="exact"/>
              <w:rPr>
                <w:rFonts w:ascii="宋体" w:hAnsi="宋体" w:cs="Times New Roman"/>
                <w:b/>
                <w:bCs/>
                <w:sz w:val="24"/>
                <w:szCs w:val="24"/>
              </w:rPr>
            </w:pPr>
          </w:p>
        </w:tc>
        <w:tc>
          <w:tcPr>
            <w:tcW w:w="1817"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sz w:val="24"/>
                <w:szCs w:val="24"/>
              </w:rPr>
              <w:t>企业综合实力（</w:t>
            </w:r>
            <w:r>
              <w:rPr>
                <w:rFonts w:hint="eastAsia" w:ascii="宋体" w:hAnsi="宋体" w:cs="Times New Roman"/>
                <w:sz w:val="24"/>
                <w:szCs w:val="24"/>
                <w:lang w:val="en-US" w:eastAsia="zh-CN"/>
              </w:rPr>
              <w:t>1</w:t>
            </w:r>
            <w:r>
              <w:rPr>
                <w:rFonts w:ascii="宋体" w:hAnsi="宋体" w:cs="Times New Roman"/>
                <w:sz w:val="24"/>
                <w:szCs w:val="24"/>
              </w:rPr>
              <w:t>0</w:t>
            </w:r>
            <w:r>
              <w:rPr>
                <w:rFonts w:hint="eastAsia" w:ascii="宋体" w:hAnsi="宋体" w:cs="Times New Roman"/>
                <w:sz w:val="24"/>
                <w:szCs w:val="24"/>
              </w:rPr>
              <w:t>分）</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color w:val="000000"/>
                <w:sz w:val="24"/>
                <w:szCs w:val="24"/>
                <w:lang w:val="en-US" w:eastAsia="zh-CN"/>
              </w:rPr>
              <w:t>1</w:t>
            </w:r>
            <w:r>
              <w:rPr>
                <w:rFonts w:ascii="宋体" w:hAnsi="宋体" w:cs="Times New Roman"/>
                <w:color w:val="000000"/>
                <w:sz w:val="24"/>
                <w:szCs w:val="24"/>
              </w:rPr>
              <w:t>0</w:t>
            </w:r>
            <w:r>
              <w:rPr>
                <w:rFonts w:hint="eastAsia" w:ascii="宋体" w:hAnsi="宋体" w:cs="Times New Roman"/>
                <w:color w:val="000000"/>
                <w:sz w:val="24"/>
                <w:szCs w:val="24"/>
              </w:rPr>
              <w:t>分</w:t>
            </w:r>
          </w:p>
        </w:tc>
        <w:tc>
          <w:tcPr>
            <w:tcW w:w="4671" w:type="dxa"/>
            <w:tcBorders>
              <w:top w:val="single" w:color="auto" w:sz="4" w:space="0"/>
              <w:left w:val="nil"/>
              <w:bottom w:val="single" w:color="auto" w:sz="4" w:space="0"/>
              <w:right w:val="single" w:color="auto" w:sz="4" w:space="0"/>
            </w:tcBorders>
            <w:vAlign w:val="center"/>
          </w:tcPr>
          <w:p>
            <w:pPr>
              <w:tabs>
                <w:tab w:val="left" w:pos="840"/>
                <w:tab w:val="left" w:pos="993"/>
              </w:tabs>
              <w:spacing w:line="360" w:lineRule="auto"/>
              <w:rPr>
                <w:rFonts w:ascii="宋体" w:hAnsi="宋体"/>
                <w:color w:val="FF0000"/>
                <w:sz w:val="24"/>
              </w:rPr>
            </w:pPr>
            <w:r>
              <w:rPr>
                <w:rFonts w:hint="eastAsia" w:ascii="宋体" w:hAnsi="宋体"/>
                <w:color w:val="FF0000"/>
                <w:sz w:val="24"/>
              </w:rPr>
              <w:t>（1）投标人具有ISO9001质量管理体系认证证书得</w:t>
            </w:r>
            <w:r>
              <w:rPr>
                <w:rFonts w:ascii="宋体" w:hAnsi="宋体"/>
                <w:color w:val="FF0000"/>
                <w:sz w:val="24"/>
              </w:rPr>
              <w:t>1</w:t>
            </w:r>
            <w:r>
              <w:rPr>
                <w:rFonts w:hint="eastAsia" w:ascii="宋体" w:hAnsi="宋体"/>
                <w:color w:val="FF0000"/>
                <w:sz w:val="24"/>
              </w:rPr>
              <w:t>分。</w:t>
            </w:r>
          </w:p>
          <w:p>
            <w:pPr>
              <w:tabs>
                <w:tab w:val="left" w:pos="840"/>
                <w:tab w:val="left" w:pos="993"/>
              </w:tabs>
              <w:spacing w:line="360" w:lineRule="auto"/>
              <w:rPr>
                <w:rFonts w:ascii="宋体" w:hAnsi="宋体"/>
                <w:color w:val="FF0000"/>
                <w:sz w:val="24"/>
              </w:rPr>
            </w:pPr>
            <w:r>
              <w:rPr>
                <w:rFonts w:hint="eastAsia" w:ascii="宋体" w:hAnsi="宋体"/>
                <w:color w:val="FF0000"/>
                <w:sz w:val="24"/>
              </w:rPr>
              <w:t>（2）投标人具有信息安全管理体系认证证书得</w:t>
            </w:r>
            <w:r>
              <w:rPr>
                <w:rFonts w:ascii="宋体" w:hAnsi="宋体"/>
                <w:color w:val="FF0000"/>
                <w:sz w:val="24"/>
              </w:rPr>
              <w:t>1</w:t>
            </w:r>
            <w:r>
              <w:rPr>
                <w:rFonts w:hint="eastAsia" w:ascii="宋体" w:hAnsi="宋体"/>
                <w:color w:val="FF0000"/>
                <w:sz w:val="24"/>
              </w:rPr>
              <w:t>分。</w:t>
            </w:r>
          </w:p>
          <w:p>
            <w:pPr>
              <w:tabs>
                <w:tab w:val="left" w:pos="840"/>
                <w:tab w:val="left" w:pos="993"/>
              </w:tabs>
              <w:spacing w:line="360" w:lineRule="auto"/>
              <w:rPr>
                <w:rFonts w:ascii="宋体" w:hAnsi="宋体"/>
                <w:color w:val="FF0000"/>
                <w:sz w:val="24"/>
              </w:rPr>
            </w:pPr>
            <w:r>
              <w:rPr>
                <w:rFonts w:hint="eastAsia" w:ascii="宋体" w:hAnsi="宋体"/>
                <w:color w:val="FF0000"/>
                <w:sz w:val="24"/>
              </w:rPr>
              <w:t>（3）投标人具有高新技术企业证书得</w:t>
            </w:r>
            <w:r>
              <w:rPr>
                <w:rFonts w:ascii="宋体" w:hAnsi="宋体"/>
                <w:color w:val="FF0000"/>
                <w:sz w:val="24"/>
              </w:rPr>
              <w:t>1</w:t>
            </w:r>
            <w:r>
              <w:rPr>
                <w:rFonts w:hint="eastAsia" w:ascii="宋体" w:hAnsi="宋体"/>
                <w:color w:val="FF0000"/>
                <w:sz w:val="24"/>
              </w:rPr>
              <w:t>分。</w:t>
            </w:r>
          </w:p>
          <w:p>
            <w:pPr>
              <w:tabs>
                <w:tab w:val="left" w:pos="840"/>
                <w:tab w:val="left" w:pos="993"/>
              </w:tabs>
              <w:spacing w:line="360" w:lineRule="auto"/>
              <w:rPr>
                <w:rFonts w:ascii="宋体" w:hAnsi="宋体"/>
                <w:color w:val="FF0000"/>
                <w:sz w:val="24"/>
              </w:rPr>
            </w:pPr>
            <w:r>
              <w:rPr>
                <w:rFonts w:hint="eastAsia" w:ascii="宋体" w:hAnsi="宋体"/>
                <w:color w:val="FF0000"/>
                <w:sz w:val="24"/>
              </w:rPr>
              <w:t>（4）投标人具有软件企业证书得</w:t>
            </w:r>
            <w:r>
              <w:rPr>
                <w:rFonts w:hint="eastAsia" w:ascii="宋体" w:hAnsi="宋体"/>
                <w:color w:val="FF0000"/>
                <w:sz w:val="24"/>
                <w:lang w:val="en-US" w:eastAsia="zh-CN"/>
              </w:rPr>
              <w:t>1</w:t>
            </w:r>
            <w:r>
              <w:rPr>
                <w:rFonts w:hint="eastAsia" w:ascii="宋体" w:hAnsi="宋体"/>
                <w:color w:val="FF0000"/>
                <w:sz w:val="24"/>
              </w:rPr>
              <w:t>分。</w:t>
            </w:r>
          </w:p>
          <w:p>
            <w:pPr>
              <w:tabs>
                <w:tab w:val="left" w:pos="840"/>
                <w:tab w:val="left" w:pos="993"/>
              </w:tabs>
              <w:spacing w:line="360" w:lineRule="auto"/>
              <w:rPr>
                <w:rFonts w:ascii="宋体" w:hAnsi="宋体"/>
                <w:color w:val="FF0000"/>
                <w:sz w:val="24"/>
              </w:rPr>
            </w:pPr>
            <w:r>
              <w:rPr>
                <w:rFonts w:hint="eastAsia" w:ascii="宋体" w:hAnsi="宋体"/>
                <w:color w:val="FF0000"/>
                <w:sz w:val="24"/>
              </w:rPr>
              <w:t>（5）投标人具有中国软件行业协会颁发的AAA企业信用等级证书得1分。</w:t>
            </w:r>
          </w:p>
          <w:p>
            <w:pPr>
              <w:tabs>
                <w:tab w:val="left" w:pos="840"/>
                <w:tab w:val="left" w:pos="993"/>
              </w:tabs>
              <w:spacing w:line="360" w:lineRule="auto"/>
              <w:rPr>
                <w:rFonts w:ascii="仿宋_GB2312" w:hAnsi="等线" w:eastAsia="仿宋_GB2312"/>
                <w:color w:val="FF0000"/>
                <w:sz w:val="24"/>
              </w:rPr>
            </w:pPr>
            <w:r>
              <w:rPr>
                <w:rFonts w:hint="eastAsia" w:ascii="宋体" w:hAnsi="宋体"/>
                <w:color w:val="FF0000"/>
                <w:sz w:val="24"/>
              </w:rPr>
              <w:t>（</w:t>
            </w:r>
            <w:r>
              <w:rPr>
                <w:rFonts w:hint="eastAsia" w:ascii="宋体" w:hAnsi="宋体"/>
                <w:color w:val="FF0000"/>
                <w:sz w:val="24"/>
                <w:lang w:val="en-US" w:eastAsia="zh-CN"/>
              </w:rPr>
              <w:t>6</w:t>
            </w:r>
            <w:r>
              <w:rPr>
                <w:rFonts w:hint="eastAsia" w:ascii="宋体" w:hAnsi="宋体"/>
                <w:color w:val="FF0000"/>
                <w:sz w:val="24"/>
              </w:rPr>
              <w:t>）投标人具有不动产登记管理平台，不动产登记便民服务综合管理平台，不动产</w:t>
            </w:r>
            <w:r>
              <w:rPr>
                <w:rFonts w:ascii="宋体" w:hAnsi="宋体"/>
                <w:color w:val="FF0000"/>
                <w:sz w:val="24"/>
              </w:rPr>
              <w:t>登记信息公众查询系统，</w:t>
            </w:r>
            <w:r>
              <w:rPr>
                <w:rFonts w:hint="eastAsia" w:ascii="宋体" w:hAnsi="宋体"/>
                <w:color w:val="FF0000"/>
                <w:sz w:val="24"/>
              </w:rPr>
              <w:t>不动产登记网上办事服务平台，不动产登记短信通知系统，不动产登记微信服务平台，不动产登记在线后台服务管理系统，不动产登记自助查询系统计算机软件著作权登记证书，每提供一个得</w:t>
            </w:r>
            <w:r>
              <w:rPr>
                <w:rFonts w:ascii="宋体" w:hAnsi="宋体"/>
                <w:color w:val="FF0000"/>
                <w:sz w:val="24"/>
              </w:rPr>
              <w:t>1</w:t>
            </w:r>
            <w:r>
              <w:rPr>
                <w:rFonts w:hint="eastAsia" w:ascii="宋体" w:hAnsi="宋体"/>
                <w:color w:val="FF0000"/>
                <w:sz w:val="24"/>
              </w:rPr>
              <w:t>分，满分</w:t>
            </w:r>
            <w:r>
              <w:rPr>
                <w:rFonts w:hint="eastAsia" w:ascii="宋体" w:hAnsi="宋体"/>
                <w:color w:val="FF0000"/>
                <w:sz w:val="24"/>
                <w:lang w:val="en-US" w:eastAsia="zh-CN"/>
              </w:rPr>
              <w:t>5</w:t>
            </w:r>
            <w:r>
              <w:rPr>
                <w:rFonts w:hint="eastAsia" w:ascii="宋体" w:hAnsi="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9" w:hRule="atLeast"/>
          <w:jc w:val="center"/>
        </w:trPr>
        <w:tc>
          <w:tcPr>
            <w:tcW w:w="870" w:type="dxa"/>
            <w:vMerge w:val="continue"/>
            <w:tcBorders>
              <w:top w:val="nil"/>
              <w:left w:val="single" w:color="auto" w:sz="4" w:space="0"/>
              <w:bottom w:val="single" w:color="auto" w:sz="4" w:space="0"/>
              <w:right w:val="single" w:color="auto" w:sz="4" w:space="0"/>
            </w:tcBorders>
            <w:vAlign w:val="center"/>
          </w:tcPr>
          <w:p>
            <w:pPr>
              <w:spacing w:line="480" w:lineRule="exact"/>
              <w:rPr>
                <w:rFonts w:ascii="宋体" w:hAnsi="宋体" w:cs="Times New Roman"/>
                <w:b/>
                <w:bCs/>
                <w:sz w:val="24"/>
                <w:szCs w:val="24"/>
              </w:rPr>
            </w:pPr>
          </w:p>
        </w:tc>
        <w:tc>
          <w:tcPr>
            <w:tcW w:w="1817"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hint="eastAsia" w:ascii="宋体" w:hAnsi="宋体" w:cs="Times New Roman"/>
                <w:sz w:val="24"/>
                <w:szCs w:val="24"/>
              </w:rPr>
              <w:t>售后服务（</w:t>
            </w:r>
            <w:r>
              <w:rPr>
                <w:rFonts w:ascii="宋体" w:hAnsi="宋体" w:cs="Times New Roman"/>
                <w:sz w:val="24"/>
                <w:szCs w:val="24"/>
              </w:rPr>
              <w:t>10</w:t>
            </w:r>
            <w:r>
              <w:rPr>
                <w:rFonts w:hint="eastAsia" w:ascii="宋体" w:hAnsi="宋体" w:cs="Times New Roman"/>
                <w:sz w:val="24"/>
                <w:szCs w:val="24"/>
              </w:rPr>
              <w:t>分）</w:t>
            </w:r>
          </w:p>
        </w:tc>
        <w:tc>
          <w:tcPr>
            <w:tcW w:w="1581"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cs="Times New Roman"/>
                <w:sz w:val="24"/>
                <w:szCs w:val="24"/>
              </w:rPr>
            </w:pPr>
            <w:r>
              <w:rPr>
                <w:rFonts w:ascii="宋体" w:hAnsi="宋体" w:cs="Times New Roman"/>
                <w:color w:val="000000"/>
                <w:sz w:val="24"/>
                <w:szCs w:val="24"/>
              </w:rPr>
              <w:t>10</w:t>
            </w:r>
            <w:r>
              <w:rPr>
                <w:rFonts w:hint="eastAsia" w:ascii="宋体" w:hAnsi="宋体" w:cs="Times New Roman"/>
                <w:color w:val="000000"/>
                <w:sz w:val="24"/>
                <w:szCs w:val="24"/>
              </w:rPr>
              <w:t>分</w:t>
            </w:r>
          </w:p>
        </w:tc>
        <w:tc>
          <w:tcPr>
            <w:tcW w:w="4671" w:type="dxa"/>
            <w:tcBorders>
              <w:top w:val="single" w:color="auto" w:sz="4" w:space="0"/>
              <w:left w:val="nil"/>
              <w:bottom w:val="single" w:color="auto" w:sz="4" w:space="0"/>
              <w:right w:val="single" w:color="auto" w:sz="4" w:space="0"/>
            </w:tcBorders>
            <w:vAlign w:val="center"/>
          </w:tcPr>
          <w:p>
            <w:pPr>
              <w:numPr>
                <w:ilvl w:val="0"/>
                <w:numId w:val="12"/>
              </w:numPr>
              <w:adjustRightInd w:val="0"/>
              <w:snapToGrid w:val="0"/>
              <w:spacing w:line="480" w:lineRule="exact"/>
              <w:rPr>
                <w:rFonts w:ascii="宋体" w:hAnsi="宋体" w:cs="Times New Roman"/>
                <w:color w:val="FF0000"/>
                <w:sz w:val="24"/>
                <w:szCs w:val="24"/>
              </w:rPr>
            </w:pPr>
            <w:r>
              <w:rPr>
                <w:rFonts w:hint="eastAsia" w:ascii="宋体" w:hAnsi="宋体" w:cs="Times New Roman"/>
                <w:color w:val="FF0000"/>
                <w:sz w:val="24"/>
                <w:szCs w:val="24"/>
              </w:rPr>
              <w:t>投标人能够提供本地化服务，在河南注册公司或者有分公司并提供有效的营业执照，有得</w:t>
            </w:r>
            <w:r>
              <w:rPr>
                <w:rFonts w:ascii="宋体" w:hAnsi="宋体" w:cs="Times New Roman"/>
                <w:color w:val="FF0000"/>
                <w:sz w:val="24"/>
                <w:szCs w:val="24"/>
              </w:rPr>
              <w:t>2</w:t>
            </w:r>
            <w:r>
              <w:rPr>
                <w:rFonts w:hint="eastAsia" w:ascii="宋体" w:hAnsi="宋体" w:cs="Times New Roman"/>
                <w:color w:val="FF0000"/>
                <w:sz w:val="24"/>
                <w:szCs w:val="24"/>
              </w:rPr>
              <w:t>分，否则不得分。</w:t>
            </w:r>
          </w:p>
          <w:p>
            <w:pPr>
              <w:numPr>
                <w:ilvl w:val="0"/>
                <w:numId w:val="12"/>
              </w:numPr>
              <w:adjustRightInd w:val="0"/>
              <w:snapToGrid w:val="0"/>
              <w:spacing w:line="480" w:lineRule="exact"/>
              <w:rPr>
                <w:rFonts w:ascii="宋体" w:hAnsi="宋体" w:cs="Times New Roman"/>
                <w:color w:val="FF0000"/>
                <w:sz w:val="24"/>
                <w:szCs w:val="24"/>
              </w:rPr>
            </w:pPr>
            <w:r>
              <w:rPr>
                <w:rFonts w:hint="eastAsia" w:ascii="宋体" w:hAnsi="宋体" w:cs="Times New Roman"/>
                <w:color w:val="FF0000"/>
                <w:sz w:val="24"/>
                <w:szCs w:val="24"/>
              </w:rPr>
              <w:t>售后服务计划方案详细、完整。根据投标人的售后服务承诺，包括但不仅限于售后服务内容、维护响应计划、故障响应时间和响应方式等方面，评委根据投标供应商提供的方案在0-</w:t>
            </w:r>
            <w:r>
              <w:rPr>
                <w:rFonts w:ascii="宋体" w:hAnsi="宋体" w:cs="Times New Roman"/>
                <w:color w:val="FF0000"/>
                <w:sz w:val="24"/>
                <w:szCs w:val="24"/>
              </w:rPr>
              <w:t>8</w:t>
            </w:r>
            <w:r>
              <w:rPr>
                <w:rFonts w:hint="eastAsia" w:ascii="宋体" w:hAnsi="宋体" w:cs="Times New Roman"/>
                <w:color w:val="FF0000"/>
                <w:sz w:val="24"/>
                <w:szCs w:val="24"/>
              </w:rPr>
              <w:t>之间进行酌情打分。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89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cs="Times New Roman"/>
                <w:color w:val="000000"/>
                <w:sz w:val="24"/>
                <w:szCs w:val="24"/>
              </w:rPr>
            </w:pPr>
            <w:r>
              <w:rPr>
                <w:rFonts w:hint="eastAsia" w:ascii="宋体" w:hAnsi="宋体" w:cs="Times New Roman"/>
                <w:color w:val="000000"/>
                <w:sz w:val="24"/>
                <w:szCs w:val="24"/>
              </w:rPr>
              <w:t>备注：</w:t>
            </w:r>
          </w:p>
          <w:p>
            <w:pPr>
              <w:adjustRightInd w:val="0"/>
              <w:snapToGrid w:val="0"/>
              <w:spacing w:line="480" w:lineRule="exact"/>
              <w:rPr>
                <w:rFonts w:hint="eastAsia" w:ascii="宋体" w:hAnsi="宋体" w:cs="Times New Roman"/>
                <w:color w:val="000000"/>
                <w:sz w:val="24"/>
                <w:szCs w:val="24"/>
              </w:rPr>
            </w:pPr>
            <w:r>
              <w:rPr>
                <w:rFonts w:hint="eastAsia" w:ascii="宋体" w:hAnsi="宋体" w:cs="Times New Roman"/>
                <w:color w:val="000000"/>
                <w:sz w:val="24"/>
                <w:szCs w:val="24"/>
              </w:rPr>
              <w:t>投标人综合得分等于技术部分、</w:t>
            </w:r>
            <w:r>
              <w:rPr>
                <w:rFonts w:hint="eastAsia" w:ascii="宋体" w:hAnsi="宋体" w:cs="Times New Roman"/>
                <w:color w:val="000000"/>
                <w:sz w:val="24"/>
                <w:szCs w:val="24"/>
                <w:lang w:eastAsia="zh-CN"/>
              </w:rPr>
              <w:t>商务</w:t>
            </w:r>
            <w:r>
              <w:rPr>
                <w:rFonts w:hint="eastAsia" w:ascii="宋体" w:hAnsi="宋体" w:cs="Times New Roman"/>
                <w:color w:val="000000"/>
                <w:sz w:val="24"/>
                <w:szCs w:val="24"/>
              </w:rPr>
              <w:t>部分、其他评分因素、投标报价的汇总得分。</w:t>
            </w:r>
          </w:p>
          <w:p>
            <w:pPr>
              <w:adjustRightInd w:val="0"/>
              <w:snapToGrid w:val="0"/>
              <w:spacing w:line="480" w:lineRule="exact"/>
              <w:rPr>
                <w:rFonts w:ascii="宋体" w:hAnsi="宋体" w:cs="Times New Roman"/>
                <w:color w:val="000000"/>
                <w:sz w:val="24"/>
                <w:szCs w:val="24"/>
              </w:rPr>
            </w:pPr>
            <w:r>
              <w:rPr>
                <w:rFonts w:hint="eastAsia" w:ascii="宋体" w:hAnsi="宋体" w:cs="Times New Roman"/>
                <w:color w:val="000000"/>
                <w:sz w:val="24"/>
                <w:szCs w:val="24"/>
              </w:rPr>
              <w:t>评标委员会对各投标人的得分进行汇总，计算过程中评委个人分值按四舍五入保留三位小数，最终结果按四舍五入保留两位小数。以各评标委员会打分的算术平均值作为该投标人的最终得分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10" w:name="_GoBack"/>
      <w:bookmarkEnd w:id="10"/>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74185203"/>
      <w:bookmarkStart w:id="3" w:name="_Toc186274126"/>
      <w:bookmarkStart w:id="4"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3"/>
      <w:bookmarkStart w:id="9" w:name="OLE_LINK14"/>
      <w:r>
        <w:rPr>
          <w:rFonts w:hint="eastAsia" w:ascii="宋体" w:hAnsi="宋体"/>
          <w:b/>
          <w:bCs/>
          <w:color w:val="000000"/>
          <w:sz w:val="36"/>
          <w:szCs w:val="36"/>
        </w:rPr>
        <w:t>4.9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4.11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AB2D483E"/>
    <w:multiLevelType w:val="singleLevel"/>
    <w:tmpl w:val="AB2D483E"/>
    <w:lvl w:ilvl="0" w:tentative="0">
      <w:start w:val="2"/>
      <w:numFmt w:val="chineseCounting"/>
      <w:suff w:val="nothing"/>
      <w:lvlText w:val="（%1）"/>
      <w:lvlJc w:val="left"/>
      <w:rPr>
        <w:rFonts w:hint="eastAsia"/>
      </w:rPr>
    </w:lvl>
  </w:abstractNum>
  <w:abstractNum w:abstractNumId="2">
    <w:nsid w:val="EB08D638"/>
    <w:multiLevelType w:val="singleLevel"/>
    <w:tmpl w:val="EB08D638"/>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543944"/>
    <w:multiLevelType w:val="singleLevel"/>
    <w:tmpl w:val="24543944"/>
    <w:lvl w:ilvl="0" w:tentative="0">
      <w:start w:val="1"/>
      <w:numFmt w:val="decimal"/>
      <w:suff w:val="nothing"/>
      <w:lvlText w:val="（%1）"/>
      <w:lvlJc w:val="left"/>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36A87B21"/>
    <w:multiLevelType w:val="multilevel"/>
    <w:tmpl w:val="36A87B2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48"/>
      <w:suff w:val="nothing"/>
      <w:lvlText w:val="%1、"/>
      <w:lvlJc w:val="left"/>
    </w:lvl>
  </w:abstractNum>
  <w:abstractNum w:abstractNumId="12">
    <w:nsid w:val="5A1E0421"/>
    <w:multiLevelType w:val="multilevel"/>
    <w:tmpl w:val="5A1E0421"/>
    <w:lvl w:ilvl="0" w:tentative="0">
      <w:start w:val="1"/>
      <w:numFmt w:val="decimal"/>
      <w:lvlText w:val="%1."/>
      <w:lvlJc w:val="left"/>
      <w:pPr>
        <w:tabs>
          <w:tab w:val="left" w:pos="964"/>
        </w:tabs>
        <w:ind w:firstLine="510"/>
      </w:pPr>
      <w:rPr>
        <w:rFonts w:hint="eastAsia" w:eastAsia="仿宋_GB2312" w:cs="Times New Roman"/>
        <w:b/>
        <w:i w:val="0"/>
        <w:sz w:val="21"/>
        <w:szCs w:val="21"/>
      </w:rPr>
    </w:lvl>
    <w:lvl w:ilvl="1" w:tentative="0">
      <w:start w:val="1"/>
      <w:numFmt w:val="decimal"/>
      <w:lvlText w:val="%1.%2."/>
      <w:lvlJc w:val="left"/>
      <w:pPr>
        <w:tabs>
          <w:tab w:val="left" w:pos="1247"/>
        </w:tabs>
        <w:ind w:firstLine="510"/>
      </w:pPr>
      <w:rPr>
        <w:rFonts w:hint="eastAsia" w:ascii="宋体" w:hAnsi="宋体" w:eastAsia="宋体" w:cs="Times New Roman"/>
        <w:b w:val="0"/>
        <w:i w:val="0"/>
        <w:sz w:val="21"/>
        <w:szCs w:val="21"/>
      </w:rPr>
    </w:lvl>
    <w:lvl w:ilvl="2" w:tentative="0">
      <w:start w:val="1"/>
      <w:numFmt w:val="decimal"/>
      <w:lvlText w:val="%1.%2.%3."/>
      <w:lvlJc w:val="left"/>
      <w:pPr>
        <w:tabs>
          <w:tab w:val="left" w:pos="1531"/>
        </w:tabs>
        <w:ind w:firstLine="510"/>
      </w:pPr>
      <w:rPr>
        <w:rFonts w:hint="eastAsia" w:ascii="宋体" w:hAnsi="宋体" w:eastAsia="宋体" w:cs="Times New Roman"/>
        <w:b w:val="0"/>
        <w:i w:val="0"/>
        <w:sz w:val="21"/>
        <w:szCs w:val="21"/>
      </w:rPr>
    </w:lvl>
    <w:lvl w:ilvl="3" w:tentative="0">
      <w:start w:val="1"/>
      <w:numFmt w:val="decimal"/>
      <w:lvlText w:val="%1.%2.%3.%4."/>
      <w:lvlJc w:val="left"/>
      <w:pPr>
        <w:tabs>
          <w:tab w:val="left" w:pos="1871"/>
        </w:tabs>
        <w:ind w:firstLine="510"/>
      </w:pPr>
      <w:rPr>
        <w:rFonts w:hint="eastAsia" w:eastAsia="仿宋_GB2312" w:cs="Times New Roman"/>
        <w:b w:val="0"/>
        <w:i w:val="0"/>
        <w:sz w:val="21"/>
        <w:szCs w:val="21"/>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3"/>
  </w:num>
  <w:num w:numId="2">
    <w:abstractNumId w:val="4"/>
  </w:num>
  <w:num w:numId="3">
    <w:abstractNumId w:val="11"/>
  </w:num>
  <w:num w:numId="4">
    <w:abstractNumId w:val="8"/>
  </w:num>
  <w:num w:numId="5">
    <w:abstractNumId w:val="5"/>
  </w:num>
  <w:num w:numId="6">
    <w:abstractNumId w:val="10"/>
  </w:num>
  <w:num w:numId="7">
    <w:abstractNumId w:val="1"/>
  </w:num>
  <w:num w:numId="8">
    <w:abstractNumId w:val="9"/>
  </w:num>
  <w:num w:numId="9">
    <w:abstractNumId w:val="12"/>
  </w:num>
  <w:num w:numId="10">
    <w:abstractNumId w:val="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A87C38"/>
    <w:rsid w:val="080C2BBA"/>
    <w:rsid w:val="08FD5745"/>
    <w:rsid w:val="0AB50907"/>
    <w:rsid w:val="0BF45CB1"/>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E8E722F"/>
    <w:rsid w:val="1FE15514"/>
    <w:rsid w:val="2157706F"/>
    <w:rsid w:val="21DD4A96"/>
    <w:rsid w:val="271F4B16"/>
    <w:rsid w:val="27CD14F5"/>
    <w:rsid w:val="29A55E19"/>
    <w:rsid w:val="2A553543"/>
    <w:rsid w:val="2C014C3B"/>
    <w:rsid w:val="2F650AED"/>
    <w:rsid w:val="2FFD3F6B"/>
    <w:rsid w:val="30FD56B7"/>
    <w:rsid w:val="320E031E"/>
    <w:rsid w:val="33563CED"/>
    <w:rsid w:val="34B644B7"/>
    <w:rsid w:val="375656B9"/>
    <w:rsid w:val="37627558"/>
    <w:rsid w:val="37B91083"/>
    <w:rsid w:val="3AC47AB6"/>
    <w:rsid w:val="3ADD0A2E"/>
    <w:rsid w:val="3B8D0CE8"/>
    <w:rsid w:val="3BA71EF1"/>
    <w:rsid w:val="3CBF1608"/>
    <w:rsid w:val="3DA22191"/>
    <w:rsid w:val="3E3A26DB"/>
    <w:rsid w:val="3F263B0E"/>
    <w:rsid w:val="414D7438"/>
    <w:rsid w:val="41A16B13"/>
    <w:rsid w:val="41EF3AE9"/>
    <w:rsid w:val="428968C5"/>
    <w:rsid w:val="42B2679D"/>
    <w:rsid w:val="43420F67"/>
    <w:rsid w:val="43AF27C5"/>
    <w:rsid w:val="444D773E"/>
    <w:rsid w:val="459D509E"/>
    <w:rsid w:val="477C4489"/>
    <w:rsid w:val="477E79DB"/>
    <w:rsid w:val="48BB1E61"/>
    <w:rsid w:val="4AE22F4C"/>
    <w:rsid w:val="4EAC4ADD"/>
    <w:rsid w:val="4EB72836"/>
    <w:rsid w:val="4ED23FD5"/>
    <w:rsid w:val="4EFB1FC3"/>
    <w:rsid w:val="4F3C1178"/>
    <w:rsid w:val="527B1821"/>
    <w:rsid w:val="5310611D"/>
    <w:rsid w:val="533D55CA"/>
    <w:rsid w:val="535D3032"/>
    <w:rsid w:val="53C97953"/>
    <w:rsid w:val="562D2F69"/>
    <w:rsid w:val="58077CBD"/>
    <w:rsid w:val="58FD658D"/>
    <w:rsid w:val="5B0C6CA4"/>
    <w:rsid w:val="5CFD3C28"/>
    <w:rsid w:val="5E2C7B65"/>
    <w:rsid w:val="5EC23D91"/>
    <w:rsid w:val="5EEA6FD8"/>
    <w:rsid w:val="60BD0412"/>
    <w:rsid w:val="648D2FFF"/>
    <w:rsid w:val="68741D48"/>
    <w:rsid w:val="6AB31C19"/>
    <w:rsid w:val="6BB95672"/>
    <w:rsid w:val="6C4712E8"/>
    <w:rsid w:val="6C9C46AE"/>
    <w:rsid w:val="6CE55F45"/>
    <w:rsid w:val="6DE87E82"/>
    <w:rsid w:val="6DFC3DF2"/>
    <w:rsid w:val="6F272507"/>
    <w:rsid w:val="71E53350"/>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Body Text"/>
    <w:basedOn w:val="1"/>
    <w:link w:val="49"/>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1"/>
    <w:basedOn w:val="1"/>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2"/>
    <w:link w:val="9"/>
    <w:qFormat/>
    <w:uiPriority w:val="0"/>
    <w:rPr>
      <w:rFonts w:ascii="Times New Roman" w:hAnsi="Times New Roman" w:eastAsia="宋体" w:cs="Times New Roman"/>
      <w:color w:val="FF0000"/>
      <w:sz w:val="24"/>
      <w:szCs w:val="24"/>
    </w:rPr>
  </w:style>
  <w:style w:type="character" w:customStyle="1" w:styleId="46">
    <w:name w:val="edittexttarea"/>
    <w:basedOn w:val="22"/>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2"/>
    <w:link w:val="10"/>
    <w:semiHidden/>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3">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List Paragraph1"/>
    <w:basedOn w:val="1"/>
    <w:qFormat/>
    <w:uiPriority w:val="99"/>
    <w:pPr>
      <w:ind w:firstLine="420" w:firstLineChars="200"/>
    </w:pPr>
    <w:rPr>
      <w:rFonts w:ascii="Times New Roman" w:hAnsi="Times New Roman" w:eastAsia="宋体" w:cs="Times New Roman"/>
      <w:szCs w:val="24"/>
    </w:rPr>
  </w:style>
  <w:style w:type="paragraph" w:styleId="5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Administrator</cp:lastModifiedBy>
  <cp:lastPrinted>2018-08-01T18:20:00Z</cp:lastPrinted>
  <dcterms:modified xsi:type="dcterms:W3CDTF">2019-05-06T09:30:32Z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