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1"/>
          <w:szCs w:val="20"/>
        </w:rPr>
      </w:pPr>
    </w:p>
    <w:p>
      <w:pPr>
        <w:jc w:val="center"/>
        <w:rPr>
          <w:rFonts w:hint="eastAsia" w:ascii="隶书" w:hAnsi="隶书" w:eastAsia="隶书"/>
          <w:b/>
          <w:sz w:val="44"/>
          <w:szCs w:val="44"/>
          <w:lang w:eastAsia="zh-CN"/>
        </w:rPr>
      </w:pPr>
    </w:p>
    <w:p>
      <w:pPr>
        <w:jc w:val="center"/>
        <w:rPr>
          <w:rFonts w:hint="eastAsia" w:ascii="隶书" w:hAnsi="隶书" w:eastAsia="隶书"/>
          <w:b/>
          <w:sz w:val="44"/>
          <w:szCs w:val="44"/>
          <w:lang w:eastAsia="zh-CN"/>
        </w:rPr>
      </w:pPr>
      <w:r>
        <w:rPr>
          <w:rFonts w:hint="eastAsia" w:ascii="隶书" w:hAnsi="隶书" w:eastAsia="隶书"/>
          <w:b/>
          <w:sz w:val="44"/>
          <w:szCs w:val="44"/>
          <w:lang w:eastAsia="zh-CN"/>
        </w:rPr>
        <w:t>“全媒体中央厨房”软件项目</w:t>
      </w:r>
    </w:p>
    <w:p>
      <w:pPr>
        <w:jc w:val="center"/>
        <w:rPr>
          <w:rFonts w:ascii="黑体" w:hAnsi="黑体" w:eastAsia="黑体"/>
          <w:b/>
          <w:sz w:val="36"/>
          <w:szCs w:val="36"/>
        </w:rPr>
      </w:pPr>
    </w:p>
    <w:p>
      <w:pPr>
        <w:jc w:val="center"/>
        <w:rPr>
          <w:rFonts w:ascii="黑体" w:hAnsi="黑体" w:eastAsia="黑体"/>
          <w:b/>
          <w:sz w:val="52"/>
          <w:szCs w:val="52"/>
        </w:rPr>
      </w:pPr>
    </w:p>
    <w:p>
      <w:pPr>
        <w:jc w:val="center"/>
        <w:rPr>
          <w:rFonts w:ascii="隶书" w:hAnsi="隶书" w:eastAsia="隶书"/>
          <w:b/>
          <w:sz w:val="52"/>
          <w:szCs w:val="52"/>
        </w:rPr>
      </w:pPr>
    </w:p>
    <w:p>
      <w:pPr>
        <w:jc w:val="center"/>
        <w:rPr>
          <w:rFonts w:ascii="隶书" w:hAnsi="隶书" w:eastAsia="隶书"/>
          <w:b/>
          <w:sz w:val="52"/>
          <w:szCs w:val="52"/>
        </w:rPr>
      </w:pPr>
      <w:r>
        <w:rPr>
          <w:rFonts w:hint="eastAsia" w:ascii="隶书" w:hAnsi="隶书" w:eastAsia="隶书"/>
          <w:b/>
          <w:sz w:val="52"/>
          <w:szCs w:val="52"/>
        </w:rPr>
        <w:t>竞争性磋商文件</w:t>
      </w:r>
    </w:p>
    <w:p>
      <w:pPr>
        <w:jc w:val="center"/>
        <w:outlineLvl w:val="0"/>
        <w:rPr>
          <w:rFonts w:ascii="隶书" w:hAnsi="隶书" w:eastAsia="隶书" w:cs="仿宋"/>
          <w:b/>
          <w:sz w:val="36"/>
          <w:szCs w:val="36"/>
        </w:rPr>
      </w:pPr>
    </w:p>
    <w:p>
      <w:pPr>
        <w:jc w:val="center"/>
        <w:rPr>
          <w:b/>
          <w:szCs w:val="24"/>
        </w:rPr>
      </w:pPr>
    </w:p>
    <w:p>
      <w:pPr>
        <w:jc w:val="center"/>
        <w:rPr>
          <w:b/>
          <w:szCs w:val="24"/>
        </w:rPr>
      </w:pPr>
      <w:r>
        <w:rPr>
          <w:sz w:val="21"/>
          <w:szCs w:val="20"/>
        </w:rPr>
        <w:drawing>
          <wp:inline distT="0" distB="0" distL="114300" distR="114300">
            <wp:extent cx="1152525" cy="112395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1152525" cy="1123950"/>
                    </a:xfrm>
                    <a:prstGeom prst="rect">
                      <a:avLst/>
                    </a:prstGeom>
                    <a:noFill/>
                    <a:ln w="9525">
                      <a:noFill/>
                    </a:ln>
                  </pic:spPr>
                </pic:pic>
              </a:graphicData>
            </a:graphic>
          </wp:inline>
        </w:drawing>
      </w:r>
    </w:p>
    <w:p>
      <w:pPr>
        <w:spacing w:line="360" w:lineRule="auto"/>
        <w:rPr>
          <w:rFonts w:ascii="隶书" w:hAnsi="隶书" w:eastAsia="隶书"/>
          <w:sz w:val="28"/>
          <w:szCs w:val="28"/>
        </w:rPr>
      </w:pPr>
    </w:p>
    <w:p>
      <w:pPr>
        <w:ind w:firstLine="941"/>
        <w:rPr>
          <w:rFonts w:ascii="隶书" w:hAnsi="隶书" w:eastAsia="隶书"/>
          <w:sz w:val="28"/>
          <w:szCs w:val="28"/>
        </w:rPr>
      </w:pPr>
    </w:p>
    <w:p>
      <w:pPr>
        <w:ind w:firstLine="941"/>
        <w:rPr>
          <w:rFonts w:ascii="隶书" w:hAnsi="隶书" w:eastAsia="隶书"/>
          <w:sz w:val="28"/>
          <w:szCs w:val="28"/>
        </w:rPr>
      </w:pPr>
    </w:p>
    <w:p>
      <w:pPr>
        <w:ind w:firstLine="941"/>
        <w:rPr>
          <w:rFonts w:ascii="隶书" w:hAnsi="隶书" w:eastAsia="隶书"/>
          <w:sz w:val="28"/>
          <w:szCs w:val="28"/>
        </w:rPr>
      </w:pPr>
    </w:p>
    <w:p>
      <w:pPr>
        <w:pStyle w:val="2"/>
        <w:rPr>
          <w:rFonts w:ascii="隶书" w:hAnsi="隶书" w:eastAsia="隶书"/>
          <w:sz w:val="28"/>
          <w:szCs w:val="28"/>
        </w:rPr>
      </w:pPr>
    </w:p>
    <w:p>
      <w:pPr>
        <w:pStyle w:val="2"/>
        <w:rPr>
          <w:rFonts w:ascii="隶书" w:hAnsi="隶书" w:eastAsia="隶书"/>
          <w:sz w:val="28"/>
          <w:szCs w:val="28"/>
        </w:rPr>
      </w:pPr>
    </w:p>
    <w:p>
      <w:pPr>
        <w:pStyle w:val="2"/>
        <w:rPr>
          <w:rFonts w:ascii="隶书" w:hAnsi="隶书" w:eastAsia="隶书"/>
          <w:sz w:val="28"/>
          <w:szCs w:val="28"/>
        </w:rPr>
      </w:pPr>
    </w:p>
    <w:p>
      <w:pPr>
        <w:rPr>
          <w:rFonts w:hint="eastAsia" w:ascii="隶书" w:hAnsi="隶书" w:eastAsia="隶书"/>
          <w:sz w:val="28"/>
          <w:szCs w:val="28"/>
        </w:rPr>
      </w:pPr>
    </w:p>
    <w:p>
      <w:pPr>
        <w:pStyle w:val="2"/>
        <w:rPr>
          <w:rFonts w:hint="eastAsia"/>
        </w:rPr>
      </w:pPr>
    </w:p>
    <w:p>
      <w:pPr>
        <w:ind w:firstLine="941"/>
        <w:rPr>
          <w:rFonts w:hint="eastAsia" w:ascii="隶书" w:hAnsi="隶书" w:eastAsia="隶书"/>
          <w:sz w:val="28"/>
          <w:szCs w:val="28"/>
        </w:rPr>
      </w:pPr>
    </w:p>
    <w:p>
      <w:pPr>
        <w:ind w:firstLine="941"/>
        <w:rPr>
          <w:rFonts w:hint="eastAsia" w:ascii="隶书" w:hAnsi="隶书" w:eastAsia="隶书"/>
          <w:sz w:val="28"/>
          <w:szCs w:val="28"/>
          <w:lang w:eastAsia="zh-CN"/>
        </w:rPr>
      </w:pPr>
      <w:r>
        <w:rPr>
          <w:rFonts w:hint="eastAsia" w:ascii="隶书" w:hAnsi="隶书" w:eastAsia="隶书"/>
          <w:sz w:val="28"/>
          <w:szCs w:val="28"/>
        </w:rPr>
        <w:t>项目名称：</w:t>
      </w:r>
      <w:r>
        <w:rPr>
          <w:rFonts w:hint="eastAsia" w:ascii="隶书" w:hAnsi="隶书" w:eastAsia="隶书"/>
          <w:sz w:val="28"/>
          <w:szCs w:val="28"/>
          <w:lang w:eastAsia="zh-CN"/>
        </w:rPr>
        <w:t>“全媒体中央厨房”软件项目</w:t>
      </w:r>
    </w:p>
    <w:p>
      <w:pPr>
        <w:ind w:firstLine="941"/>
        <w:rPr>
          <w:rFonts w:hint="eastAsia" w:ascii="隶书" w:hAnsi="隶书" w:eastAsia="隶书"/>
          <w:sz w:val="28"/>
          <w:szCs w:val="28"/>
        </w:rPr>
      </w:pPr>
      <w:r>
        <w:rPr>
          <w:rFonts w:hint="eastAsia" w:ascii="隶书" w:hAnsi="隶书" w:eastAsia="隶书"/>
          <w:sz w:val="28"/>
          <w:szCs w:val="28"/>
        </w:rPr>
        <w:t>项目编号：</w:t>
      </w:r>
      <w:r>
        <w:rPr>
          <w:rFonts w:hint="eastAsia" w:ascii="隶书" w:hAnsi="隶书" w:eastAsia="隶书"/>
          <w:sz w:val="28"/>
          <w:szCs w:val="28"/>
          <w:lang w:val="en-US" w:eastAsia="zh-CN"/>
        </w:rPr>
        <w:t>GZ</w:t>
      </w:r>
      <w:r>
        <w:rPr>
          <w:rFonts w:hint="eastAsia" w:ascii="隶书" w:hAnsi="隶书" w:eastAsia="隶书"/>
          <w:sz w:val="28"/>
          <w:szCs w:val="28"/>
        </w:rPr>
        <w:t>CG-C201</w:t>
      </w:r>
      <w:r>
        <w:rPr>
          <w:rFonts w:hint="eastAsia" w:ascii="隶书" w:hAnsi="隶书" w:eastAsia="隶书"/>
          <w:sz w:val="28"/>
          <w:szCs w:val="28"/>
          <w:lang w:val="en-US" w:eastAsia="zh-CN"/>
        </w:rPr>
        <w:t>9002</w:t>
      </w:r>
      <w:r>
        <w:rPr>
          <w:rFonts w:hint="eastAsia" w:ascii="隶书" w:hAnsi="隶书" w:eastAsia="隶书"/>
          <w:sz w:val="28"/>
          <w:szCs w:val="28"/>
        </w:rPr>
        <w:t>号</w:t>
      </w:r>
    </w:p>
    <w:p>
      <w:pPr>
        <w:ind w:firstLine="941"/>
        <w:rPr>
          <w:rFonts w:ascii="隶书" w:hAnsi="隶书" w:eastAsia="隶书"/>
          <w:b/>
          <w:sz w:val="44"/>
          <w:szCs w:val="44"/>
        </w:rPr>
      </w:pPr>
      <w:r>
        <w:rPr>
          <w:rFonts w:hint="eastAsia" w:ascii="隶书" w:hAnsi="隶书" w:eastAsia="隶书"/>
          <w:sz w:val="28"/>
          <w:szCs w:val="28"/>
        </w:rPr>
        <w:t>采 购 人：许昌融智传媒有限公司</w:t>
      </w:r>
    </w:p>
    <w:p>
      <w:pPr>
        <w:ind w:firstLine="941"/>
        <w:rPr>
          <w:rFonts w:ascii="隶书" w:hAnsi="隶书" w:eastAsia="隶书"/>
          <w:sz w:val="28"/>
          <w:szCs w:val="28"/>
        </w:rPr>
      </w:pPr>
      <w:r>
        <w:rPr>
          <w:rFonts w:hint="eastAsia" w:ascii="隶书" w:hAnsi="隶书" w:eastAsia="隶书"/>
          <w:sz w:val="28"/>
          <w:szCs w:val="28"/>
        </w:rPr>
        <w:t>代理机构：许昌光大电子商务技术服务有限公司</w:t>
      </w:r>
    </w:p>
    <w:p>
      <w:pPr>
        <w:ind w:firstLine="941"/>
        <w:rPr>
          <w:rFonts w:ascii="黑体" w:hAnsi="黑体" w:eastAsia="黑体"/>
          <w:sz w:val="24"/>
          <w:szCs w:val="24"/>
        </w:rPr>
      </w:pPr>
      <w:r>
        <w:rPr>
          <w:rFonts w:hint="eastAsia" w:ascii="隶书" w:hAnsi="隶书" w:eastAsia="隶书"/>
          <w:sz w:val="28"/>
          <w:szCs w:val="28"/>
        </w:rPr>
        <w:t>时    间：二〇一</w:t>
      </w:r>
      <w:r>
        <w:rPr>
          <w:rFonts w:hint="eastAsia" w:ascii="隶书" w:hAnsi="隶书" w:eastAsia="隶书"/>
          <w:sz w:val="28"/>
          <w:szCs w:val="28"/>
          <w:lang w:val="en-US" w:eastAsia="zh-CN"/>
        </w:rPr>
        <w:t>九</w:t>
      </w:r>
      <w:r>
        <w:rPr>
          <w:rFonts w:hint="eastAsia" w:ascii="隶书" w:hAnsi="隶书" w:eastAsia="隶书"/>
          <w:sz w:val="28"/>
          <w:szCs w:val="28"/>
        </w:rPr>
        <w:t>年</w:t>
      </w:r>
      <w:r>
        <w:rPr>
          <w:rFonts w:hint="eastAsia" w:ascii="隶书" w:hAnsi="隶书" w:eastAsia="隶书"/>
          <w:sz w:val="28"/>
          <w:szCs w:val="28"/>
          <w:lang w:val="en-US" w:eastAsia="zh-CN"/>
        </w:rPr>
        <w:t>五</w:t>
      </w:r>
      <w:r>
        <w:rPr>
          <w:rFonts w:hint="eastAsia" w:ascii="隶书" w:hAnsi="隶书" w:eastAsia="隶书"/>
          <w:sz w:val="28"/>
          <w:szCs w:val="28"/>
        </w:rPr>
        <w:t>月</w:t>
      </w:r>
    </w:p>
    <w:p>
      <w:pPr>
        <w:pStyle w:val="54"/>
        <w:jc w:val="center"/>
        <w:rPr>
          <w:rFonts w:ascii="黑体" w:hAnsi="黑体" w:eastAsia="黑体"/>
          <w:sz w:val="32"/>
          <w:szCs w:val="32"/>
        </w:rPr>
      </w:pPr>
    </w:p>
    <w:p>
      <w:pPr>
        <w:pStyle w:val="54"/>
        <w:jc w:val="center"/>
        <w:rPr>
          <w:rFonts w:ascii="黑体" w:hAnsi="黑体" w:eastAsia="黑体"/>
          <w:sz w:val="32"/>
          <w:szCs w:val="32"/>
        </w:rPr>
      </w:pPr>
    </w:p>
    <w:p>
      <w:pPr>
        <w:jc w:val="center"/>
        <w:rPr>
          <w:b/>
          <w:bCs/>
          <w:sz w:val="48"/>
          <w:szCs w:val="48"/>
        </w:rPr>
      </w:pPr>
      <w:r>
        <w:rPr>
          <w:rFonts w:hint="eastAsia"/>
          <w:b/>
          <w:bCs/>
          <w:sz w:val="48"/>
          <w:szCs w:val="48"/>
        </w:rPr>
        <w:t>目  录</w:t>
      </w:r>
    </w:p>
    <w:p>
      <w:pPr>
        <w:rPr>
          <w:sz w:val="48"/>
          <w:szCs w:val="48"/>
        </w:rPr>
      </w:pPr>
    </w:p>
    <w:p>
      <w:pPr>
        <w:pStyle w:val="54"/>
        <w:tabs>
          <w:tab w:val="right" w:pos="8296"/>
        </w:tabs>
        <w:spacing w:line="360" w:lineRule="exact"/>
        <w:jc w:val="both"/>
        <w:rPr>
          <w:rFonts w:ascii="黑体" w:hAnsi="黑体" w:eastAsia="黑体" w:cs="宋体"/>
          <w:sz w:val="36"/>
          <w:szCs w:val="36"/>
        </w:rPr>
      </w:pPr>
      <w:r>
        <w:rPr>
          <w:rFonts w:ascii="黑体" w:hAnsi="黑体" w:eastAsia="黑体" w:cs="宋体"/>
          <w:sz w:val="36"/>
          <w:szCs w:val="36"/>
        </w:rPr>
        <w:fldChar w:fldCharType="begin"/>
      </w:r>
      <w:r>
        <w:rPr>
          <w:rFonts w:ascii="黑体" w:hAnsi="黑体" w:eastAsia="黑体" w:cs="宋体"/>
          <w:sz w:val="36"/>
          <w:szCs w:val="36"/>
        </w:rPr>
        <w:instrText xml:space="preserve"> TOC \o </w:instrText>
      </w:r>
      <w:r>
        <w:rPr>
          <w:rFonts w:ascii="黑体" w:hAnsi="黑体" w:eastAsia="黑体" w:cs="宋体"/>
          <w:sz w:val="36"/>
          <w:szCs w:val="36"/>
        </w:rPr>
        <w:fldChar w:fldCharType="separate"/>
      </w:r>
      <w:r>
        <w:rPr>
          <w:rFonts w:hint="eastAsia" w:ascii="黑体" w:hAnsi="黑体" w:eastAsia="黑体" w:cs="宋体"/>
          <w:sz w:val="36"/>
          <w:szCs w:val="36"/>
        </w:rPr>
        <w:t>第一章  采购邀请</w:t>
      </w:r>
      <w:r>
        <w:rPr>
          <w:rFonts w:ascii="黑体" w:hAnsi="黑体" w:eastAsia="黑体" w:cs="宋体"/>
          <w:sz w:val="36"/>
          <w:szCs w:val="36"/>
        </w:rPr>
        <w:t>...........................3</w:t>
      </w:r>
    </w:p>
    <w:p>
      <w:pPr>
        <w:pStyle w:val="54"/>
        <w:tabs>
          <w:tab w:val="right" w:pos="8296"/>
        </w:tabs>
        <w:spacing w:line="360" w:lineRule="exact"/>
        <w:jc w:val="both"/>
        <w:rPr>
          <w:rFonts w:ascii="黑体" w:hAnsi="黑体" w:eastAsia="黑体" w:cs="宋体"/>
          <w:sz w:val="36"/>
          <w:szCs w:val="36"/>
        </w:rPr>
      </w:pPr>
    </w:p>
    <w:p>
      <w:pPr>
        <w:pStyle w:val="54"/>
        <w:tabs>
          <w:tab w:val="right" w:pos="8296"/>
        </w:tabs>
        <w:spacing w:line="360" w:lineRule="exact"/>
        <w:jc w:val="both"/>
        <w:rPr>
          <w:rFonts w:ascii="黑体" w:hAnsi="黑体" w:eastAsia="黑体" w:cs="宋体"/>
          <w:sz w:val="36"/>
          <w:szCs w:val="36"/>
        </w:rPr>
      </w:pPr>
      <w:r>
        <w:rPr>
          <w:rFonts w:hint="eastAsia" w:ascii="黑体" w:hAnsi="黑体" w:eastAsia="黑体" w:cs="宋体"/>
          <w:sz w:val="36"/>
          <w:szCs w:val="36"/>
        </w:rPr>
        <w:t>第二章  项目采购需求及要求</w:t>
      </w:r>
      <w:r>
        <w:rPr>
          <w:rFonts w:ascii="黑体" w:hAnsi="黑体" w:eastAsia="黑体" w:cs="宋体"/>
          <w:sz w:val="36"/>
          <w:szCs w:val="36"/>
        </w:rPr>
        <w:t>.................</w:t>
      </w:r>
      <w:r>
        <w:rPr>
          <w:rFonts w:hint="eastAsia" w:ascii="黑体" w:hAnsi="黑体" w:eastAsia="黑体" w:cs="宋体"/>
          <w:sz w:val="36"/>
          <w:szCs w:val="36"/>
        </w:rPr>
        <w:t>5</w:t>
      </w:r>
    </w:p>
    <w:p>
      <w:pPr>
        <w:pStyle w:val="54"/>
        <w:tabs>
          <w:tab w:val="right" w:pos="8296"/>
        </w:tabs>
        <w:spacing w:line="360" w:lineRule="exact"/>
        <w:jc w:val="both"/>
        <w:rPr>
          <w:rFonts w:ascii="黑体" w:hAnsi="黑体" w:eastAsia="黑体" w:cs="宋体"/>
          <w:sz w:val="36"/>
          <w:szCs w:val="36"/>
        </w:rPr>
      </w:pPr>
    </w:p>
    <w:p>
      <w:pPr>
        <w:pStyle w:val="54"/>
        <w:tabs>
          <w:tab w:val="right" w:pos="8296"/>
        </w:tabs>
        <w:spacing w:line="360" w:lineRule="exact"/>
        <w:jc w:val="both"/>
        <w:rPr>
          <w:rFonts w:hint="default" w:ascii="黑体" w:hAnsi="黑体" w:eastAsia="黑体" w:cs="宋体"/>
          <w:sz w:val="36"/>
          <w:szCs w:val="36"/>
          <w:lang w:val="en-US" w:eastAsia="zh-CN"/>
        </w:rPr>
      </w:pPr>
      <w:r>
        <w:rPr>
          <w:rFonts w:hint="eastAsia" w:ascii="黑体" w:hAnsi="黑体" w:eastAsia="黑体" w:cs="宋体"/>
          <w:sz w:val="36"/>
          <w:szCs w:val="36"/>
        </w:rPr>
        <w:t>第三章  竞争性磋商须知</w:t>
      </w:r>
      <w:r>
        <w:rPr>
          <w:rFonts w:ascii="黑体" w:hAnsi="黑体" w:eastAsia="黑体" w:cs="宋体"/>
          <w:sz w:val="36"/>
          <w:szCs w:val="36"/>
        </w:rPr>
        <w:t>....................</w:t>
      </w:r>
      <w:r>
        <w:rPr>
          <w:rFonts w:hint="eastAsia" w:ascii="黑体" w:hAnsi="黑体" w:eastAsia="黑体" w:cs="宋体"/>
          <w:sz w:val="36"/>
          <w:szCs w:val="36"/>
          <w:lang w:val="en-US" w:eastAsia="zh-CN"/>
        </w:rPr>
        <w:t>28</w:t>
      </w:r>
    </w:p>
    <w:p>
      <w:pPr>
        <w:pStyle w:val="54"/>
        <w:tabs>
          <w:tab w:val="right" w:pos="8296"/>
        </w:tabs>
        <w:spacing w:line="360" w:lineRule="exact"/>
        <w:jc w:val="both"/>
        <w:rPr>
          <w:rFonts w:ascii="黑体" w:hAnsi="黑体" w:eastAsia="黑体" w:cs="宋体"/>
          <w:sz w:val="36"/>
          <w:szCs w:val="36"/>
        </w:rPr>
      </w:pPr>
    </w:p>
    <w:p>
      <w:pPr>
        <w:pStyle w:val="54"/>
        <w:tabs>
          <w:tab w:val="right" w:pos="8296"/>
        </w:tabs>
        <w:spacing w:line="360" w:lineRule="exact"/>
        <w:jc w:val="both"/>
        <w:rPr>
          <w:rFonts w:hint="eastAsia" w:ascii="黑体" w:hAnsi="黑体" w:eastAsia="黑体" w:cs="宋体"/>
          <w:sz w:val="36"/>
          <w:szCs w:val="36"/>
          <w:lang w:val="en-US" w:eastAsia="zh-CN"/>
        </w:rPr>
      </w:pPr>
      <w:r>
        <w:rPr>
          <w:rFonts w:hint="eastAsia" w:ascii="黑体" w:hAnsi="黑体" w:eastAsia="黑体" w:cs="宋体"/>
          <w:sz w:val="36"/>
          <w:szCs w:val="36"/>
        </w:rPr>
        <w:t>第四章  评审办法</w:t>
      </w:r>
      <w:r>
        <w:rPr>
          <w:rFonts w:ascii="黑体" w:hAnsi="黑体" w:eastAsia="黑体" w:cs="宋体"/>
          <w:sz w:val="36"/>
          <w:szCs w:val="36"/>
        </w:rPr>
        <w:t>..........................</w:t>
      </w:r>
      <w:r>
        <w:rPr>
          <w:rFonts w:hint="eastAsia" w:ascii="黑体" w:hAnsi="黑体" w:eastAsia="黑体" w:cs="宋体"/>
          <w:sz w:val="36"/>
          <w:szCs w:val="36"/>
          <w:lang w:val="en-US" w:eastAsia="zh-CN"/>
        </w:rPr>
        <w:t>4</w:t>
      </w:r>
      <w:r>
        <w:rPr>
          <w:rFonts w:ascii="黑体" w:hAnsi="黑体" w:eastAsia="黑体" w:cs="宋体"/>
          <w:sz w:val="36"/>
          <w:szCs w:val="36"/>
        </w:rPr>
        <w:fldChar w:fldCharType="end"/>
      </w:r>
      <w:r>
        <w:rPr>
          <w:rFonts w:hint="eastAsia" w:ascii="黑体" w:hAnsi="黑体" w:eastAsia="黑体" w:cs="宋体"/>
          <w:sz w:val="36"/>
          <w:szCs w:val="36"/>
          <w:lang w:val="en-US" w:eastAsia="zh-CN"/>
        </w:rPr>
        <w:t>1</w:t>
      </w:r>
    </w:p>
    <w:p>
      <w:pPr>
        <w:pStyle w:val="54"/>
        <w:tabs>
          <w:tab w:val="right" w:pos="8296"/>
        </w:tabs>
        <w:spacing w:line="360" w:lineRule="exact"/>
        <w:jc w:val="both"/>
        <w:rPr>
          <w:rFonts w:ascii="黑体" w:hAnsi="黑体" w:eastAsia="黑体" w:cs="宋体"/>
          <w:sz w:val="36"/>
          <w:szCs w:val="36"/>
        </w:rPr>
      </w:pPr>
    </w:p>
    <w:p>
      <w:pPr>
        <w:pStyle w:val="54"/>
        <w:tabs>
          <w:tab w:val="right" w:pos="8296"/>
        </w:tabs>
        <w:spacing w:line="360" w:lineRule="exact"/>
        <w:jc w:val="both"/>
        <w:rPr>
          <w:rFonts w:hint="eastAsia" w:ascii="黑体" w:hAnsi="黑体" w:eastAsia="黑体" w:cs="宋体"/>
          <w:sz w:val="36"/>
          <w:szCs w:val="36"/>
          <w:lang w:val="en-US" w:eastAsia="zh-CN"/>
        </w:rPr>
      </w:pPr>
      <w:r>
        <w:rPr>
          <w:rFonts w:hint="eastAsia" w:ascii="黑体" w:hAnsi="黑体" w:eastAsia="黑体" w:cs="宋体"/>
          <w:sz w:val="36"/>
          <w:szCs w:val="36"/>
        </w:rPr>
        <w:t>第五章  合同格式</w:t>
      </w:r>
      <w:r>
        <w:rPr>
          <w:rFonts w:ascii="黑体" w:hAnsi="黑体" w:eastAsia="黑体" w:cs="宋体"/>
          <w:sz w:val="36"/>
          <w:szCs w:val="36"/>
        </w:rPr>
        <w:t>..........................</w:t>
      </w:r>
      <w:r>
        <w:rPr>
          <w:rFonts w:hint="eastAsia" w:ascii="黑体" w:hAnsi="黑体" w:eastAsia="黑体" w:cs="宋体"/>
          <w:sz w:val="36"/>
          <w:szCs w:val="36"/>
          <w:lang w:val="en-US" w:eastAsia="zh-CN"/>
        </w:rPr>
        <w:t>51</w:t>
      </w:r>
    </w:p>
    <w:p>
      <w:pPr>
        <w:pStyle w:val="54"/>
        <w:tabs>
          <w:tab w:val="right" w:pos="8296"/>
        </w:tabs>
        <w:spacing w:line="360" w:lineRule="exact"/>
        <w:jc w:val="both"/>
        <w:rPr>
          <w:rFonts w:ascii="黑体" w:hAnsi="黑体" w:eastAsia="黑体" w:cs="宋体"/>
          <w:sz w:val="36"/>
          <w:szCs w:val="36"/>
        </w:rPr>
      </w:pPr>
    </w:p>
    <w:p>
      <w:pPr>
        <w:pStyle w:val="54"/>
        <w:numPr>
          <w:ilvl w:val="0"/>
          <w:numId w:val="1"/>
        </w:numPr>
        <w:jc w:val="both"/>
        <w:rPr>
          <w:rFonts w:ascii="黑体" w:hAnsi="黑体" w:eastAsia="黑体" w:cs="宋体"/>
          <w:sz w:val="36"/>
          <w:szCs w:val="36"/>
        </w:rPr>
      </w:pPr>
      <w:r>
        <w:rPr>
          <w:rFonts w:hint="eastAsia" w:ascii="黑体" w:hAnsi="黑体" w:eastAsia="黑体" w:cs="宋体"/>
          <w:sz w:val="36"/>
          <w:szCs w:val="36"/>
        </w:rPr>
        <w:t xml:space="preserve"> 响应文件格式</w:t>
      </w:r>
      <w:r>
        <w:rPr>
          <w:rFonts w:ascii="黑体" w:hAnsi="黑体" w:eastAsia="黑体" w:cs="宋体"/>
          <w:sz w:val="36"/>
          <w:szCs w:val="36"/>
        </w:rPr>
        <w:t>......................</w:t>
      </w:r>
      <w:r>
        <w:rPr>
          <w:rFonts w:hint="eastAsia" w:ascii="黑体" w:hAnsi="黑体" w:eastAsia="黑体" w:cs="宋体"/>
          <w:sz w:val="36"/>
          <w:szCs w:val="36"/>
          <w:lang w:val="en-US" w:eastAsia="zh-CN"/>
        </w:rPr>
        <w:t>53</w:t>
      </w:r>
    </w:p>
    <w:p>
      <w:pPr>
        <w:pStyle w:val="54"/>
        <w:ind w:firstLine="0"/>
        <w:jc w:val="both"/>
        <w:rPr>
          <w:b/>
          <w:bCs/>
          <w:sz w:val="32"/>
          <w:szCs w:val="32"/>
        </w:rPr>
      </w:pPr>
    </w:p>
    <w:p>
      <w:pPr>
        <w:pStyle w:val="54"/>
        <w:ind w:firstLine="0"/>
        <w:jc w:val="center"/>
        <w:rPr>
          <w:rFonts w:ascii="黑体" w:hAnsi="黑体" w:eastAsia="黑体"/>
          <w:sz w:val="32"/>
          <w:szCs w:val="32"/>
        </w:rPr>
      </w:pPr>
    </w:p>
    <w:p>
      <w:pPr>
        <w:pStyle w:val="54"/>
        <w:ind w:firstLine="0"/>
        <w:jc w:val="center"/>
        <w:rPr>
          <w:rFonts w:ascii="黑体" w:hAnsi="黑体" w:eastAsia="黑体"/>
          <w:sz w:val="32"/>
          <w:szCs w:val="32"/>
        </w:rPr>
      </w:pPr>
    </w:p>
    <w:p>
      <w:pPr>
        <w:pStyle w:val="54"/>
        <w:ind w:firstLine="0"/>
        <w:jc w:val="center"/>
        <w:rPr>
          <w:rFonts w:ascii="黑体" w:hAnsi="黑体" w:eastAsia="黑体"/>
          <w:sz w:val="32"/>
          <w:szCs w:val="32"/>
        </w:rPr>
      </w:pPr>
    </w:p>
    <w:p>
      <w:pPr>
        <w:pStyle w:val="54"/>
        <w:ind w:firstLine="0"/>
        <w:jc w:val="center"/>
        <w:rPr>
          <w:rFonts w:ascii="黑体" w:hAnsi="黑体" w:eastAsia="黑体"/>
          <w:sz w:val="32"/>
          <w:szCs w:val="32"/>
        </w:rPr>
      </w:pPr>
    </w:p>
    <w:p>
      <w:pPr>
        <w:pStyle w:val="54"/>
        <w:ind w:firstLine="0"/>
        <w:jc w:val="center"/>
        <w:rPr>
          <w:rFonts w:ascii="黑体" w:hAnsi="黑体" w:eastAsia="黑体"/>
          <w:sz w:val="32"/>
          <w:szCs w:val="32"/>
        </w:rPr>
      </w:pPr>
    </w:p>
    <w:p>
      <w:pPr>
        <w:pStyle w:val="54"/>
        <w:ind w:firstLine="0"/>
        <w:jc w:val="center"/>
        <w:rPr>
          <w:rFonts w:ascii="黑体" w:hAnsi="黑体" w:eastAsia="黑体"/>
          <w:sz w:val="32"/>
          <w:szCs w:val="32"/>
        </w:rPr>
      </w:pPr>
    </w:p>
    <w:p>
      <w:pPr>
        <w:pStyle w:val="54"/>
        <w:ind w:firstLine="0"/>
        <w:jc w:val="center"/>
        <w:rPr>
          <w:rFonts w:ascii="黑体" w:hAnsi="黑体" w:eastAsia="黑体"/>
          <w:sz w:val="32"/>
          <w:szCs w:val="32"/>
        </w:rPr>
      </w:pPr>
    </w:p>
    <w:p>
      <w:pPr>
        <w:pStyle w:val="54"/>
        <w:ind w:firstLine="0"/>
        <w:jc w:val="center"/>
        <w:rPr>
          <w:rFonts w:ascii="黑体" w:hAnsi="黑体" w:eastAsia="黑体"/>
          <w:sz w:val="32"/>
          <w:szCs w:val="32"/>
        </w:rPr>
      </w:pPr>
    </w:p>
    <w:p>
      <w:pPr>
        <w:pStyle w:val="54"/>
        <w:ind w:firstLine="0"/>
        <w:jc w:val="center"/>
        <w:rPr>
          <w:rFonts w:ascii="黑体" w:hAnsi="黑体" w:eastAsia="黑体"/>
          <w:sz w:val="32"/>
          <w:szCs w:val="32"/>
        </w:rPr>
      </w:pPr>
    </w:p>
    <w:p>
      <w:pPr>
        <w:pStyle w:val="54"/>
        <w:ind w:firstLine="0"/>
        <w:jc w:val="center"/>
        <w:rPr>
          <w:rFonts w:ascii="黑体" w:hAnsi="黑体" w:eastAsia="黑体"/>
          <w:sz w:val="32"/>
          <w:szCs w:val="32"/>
        </w:rPr>
      </w:pPr>
    </w:p>
    <w:p>
      <w:pPr>
        <w:pStyle w:val="54"/>
        <w:ind w:firstLine="0"/>
        <w:jc w:val="center"/>
        <w:rPr>
          <w:rFonts w:ascii="黑体" w:hAnsi="黑体" w:eastAsia="黑体"/>
          <w:sz w:val="32"/>
          <w:szCs w:val="32"/>
        </w:rPr>
      </w:pPr>
    </w:p>
    <w:p>
      <w:pPr>
        <w:pStyle w:val="54"/>
        <w:ind w:firstLine="0"/>
        <w:jc w:val="center"/>
        <w:rPr>
          <w:rFonts w:hint="eastAsia" w:ascii="黑体" w:hAnsi="黑体" w:eastAsia="黑体"/>
          <w:sz w:val="32"/>
          <w:szCs w:val="32"/>
        </w:rPr>
      </w:pPr>
    </w:p>
    <w:p>
      <w:pPr>
        <w:pStyle w:val="54"/>
        <w:ind w:firstLine="0"/>
        <w:jc w:val="center"/>
        <w:rPr>
          <w:rFonts w:hint="eastAsia" w:ascii="黑体" w:hAnsi="黑体" w:eastAsia="黑体"/>
          <w:sz w:val="32"/>
          <w:szCs w:val="32"/>
        </w:rPr>
      </w:pPr>
    </w:p>
    <w:p>
      <w:pPr>
        <w:pStyle w:val="54"/>
        <w:ind w:firstLine="0"/>
        <w:jc w:val="center"/>
        <w:rPr>
          <w:rFonts w:hint="eastAsia" w:ascii="黑体" w:hAnsi="黑体" w:eastAsia="黑体"/>
          <w:sz w:val="32"/>
          <w:szCs w:val="32"/>
        </w:rPr>
      </w:pPr>
    </w:p>
    <w:p>
      <w:pPr>
        <w:pStyle w:val="54"/>
        <w:ind w:firstLine="0"/>
        <w:jc w:val="center"/>
        <w:rPr>
          <w:rFonts w:hint="eastAsia" w:ascii="黑体" w:hAnsi="黑体" w:eastAsia="黑体"/>
          <w:sz w:val="32"/>
          <w:szCs w:val="32"/>
        </w:rPr>
      </w:pPr>
    </w:p>
    <w:p>
      <w:pPr>
        <w:pStyle w:val="54"/>
        <w:ind w:firstLine="0"/>
        <w:jc w:val="center"/>
        <w:rPr>
          <w:rFonts w:hint="eastAsia" w:ascii="黑体" w:hAnsi="黑体" w:eastAsia="黑体"/>
          <w:sz w:val="32"/>
          <w:szCs w:val="32"/>
        </w:rPr>
      </w:pPr>
    </w:p>
    <w:p>
      <w:pPr>
        <w:pStyle w:val="54"/>
        <w:ind w:firstLine="0"/>
        <w:jc w:val="center"/>
        <w:rPr>
          <w:rFonts w:hint="eastAsia" w:ascii="黑体" w:hAnsi="黑体" w:eastAsia="黑体"/>
          <w:sz w:val="32"/>
          <w:szCs w:val="32"/>
        </w:rPr>
      </w:pPr>
    </w:p>
    <w:p>
      <w:pPr>
        <w:pStyle w:val="54"/>
        <w:ind w:firstLine="0"/>
        <w:jc w:val="center"/>
        <w:rPr>
          <w:rFonts w:hint="eastAsia" w:ascii="黑体" w:hAnsi="黑体" w:eastAsia="黑体"/>
          <w:sz w:val="32"/>
          <w:szCs w:val="32"/>
        </w:rPr>
      </w:pPr>
    </w:p>
    <w:p>
      <w:pPr>
        <w:pStyle w:val="54"/>
        <w:ind w:firstLine="0"/>
        <w:jc w:val="center"/>
        <w:rPr>
          <w:rFonts w:hint="eastAsia" w:ascii="黑体" w:hAnsi="黑体" w:eastAsia="黑体"/>
          <w:sz w:val="32"/>
          <w:szCs w:val="32"/>
        </w:rPr>
      </w:pPr>
    </w:p>
    <w:p>
      <w:pPr>
        <w:pStyle w:val="54"/>
        <w:ind w:firstLine="0"/>
        <w:jc w:val="center"/>
        <w:rPr>
          <w:b/>
          <w:bCs/>
          <w:sz w:val="32"/>
          <w:szCs w:val="32"/>
        </w:rPr>
      </w:pPr>
      <w:r>
        <w:rPr>
          <w:rFonts w:hint="eastAsia" w:ascii="黑体" w:hAnsi="黑体" w:eastAsia="黑体"/>
          <w:sz w:val="32"/>
          <w:szCs w:val="32"/>
        </w:rPr>
        <w:t>第一章  竞争性磋商邀请</w:t>
      </w:r>
      <w:r>
        <w:rPr>
          <w:rFonts w:hint="eastAsia"/>
          <w:b/>
          <w:bCs/>
          <w:sz w:val="32"/>
          <w:szCs w:val="32"/>
        </w:rPr>
        <w:t>函</w:t>
      </w:r>
    </w:p>
    <w:p>
      <w:pPr>
        <w:pStyle w:val="29"/>
        <w:widowControl/>
        <w:shd w:val="clear" w:color="auto" w:fill="FFFFFF"/>
        <w:spacing w:line="360" w:lineRule="auto"/>
        <w:ind w:firstLine="482" w:firstLineChars="200"/>
        <w:contextualSpacing/>
        <w:jc w:val="left"/>
        <w:rPr>
          <w:rFonts w:cs="黑体" w:asciiTheme="minorEastAsia" w:hAnsiTheme="minorEastAsia" w:eastAsiaTheme="minorEastAsia"/>
          <w:b/>
          <w:bCs/>
          <w:color w:val="000000"/>
        </w:rPr>
      </w:pPr>
      <w:r>
        <w:rPr>
          <w:rFonts w:hint="eastAsia" w:cs="黑体" w:asciiTheme="minorEastAsia" w:hAnsiTheme="minorEastAsia" w:eastAsiaTheme="minorEastAsia"/>
          <w:b/>
          <w:bCs/>
          <w:color w:val="000000"/>
          <w:shd w:val="clear" w:color="auto" w:fill="FFFFFF"/>
        </w:rPr>
        <w:t>一、项目基本情况</w:t>
      </w:r>
    </w:p>
    <w:p>
      <w:pPr>
        <w:pStyle w:val="29"/>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lang w:eastAsia="zh-CN"/>
        </w:rPr>
      </w:pPr>
      <w:r>
        <w:rPr>
          <w:rFonts w:hint="eastAsia" w:cs="仿宋_GB2312" w:asciiTheme="minorEastAsia" w:hAnsiTheme="minorEastAsia" w:eastAsiaTheme="minorEastAsia"/>
          <w:color w:val="000000"/>
          <w:shd w:val="clear" w:color="auto" w:fill="FFFFFF"/>
        </w:rPr>
        <w:t>（一）项目名称：</w:t>
      </w:r>
      <w:r>
        <w:rPr>
          <w:rFonts w:hint="eastAsia" w:cs="仿宋_GB2312" w:asciiTheme="minorEastAsia" w:hAnsiTheme="minorEastAsia" w:eastAsiaTheme="minorEastAsia"/>
          <w:color w:val="000000"/>
          <w:shd w:val="clear" w:color="auto" w:fill="FFFFFF"/>
          <w:lang w:eastAsia="zh-CN"/>
        </w:rPr>
        <w:t>“全媒体中央厨房”软件项目</w:t>
      </w:r>
    </w:p>
    <w:p>
      <w:pPr>
        <w:pStyle w:val="2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（二）项目编号：</w:t>
      </w:r>
      <w:r>
        <w:rPr>
          <w:rFonts w:hint="eastAsia" w:cs="仿宋_GB2312" w:asciiTheme="minorEastAsia" w:hAnsiTheme="minorEastAsia" w:eastAsiaTheme="minorEastAsia"/>
          <w:color w:val="000000"/>
          <w:shd w:val="clear" w:color="auto" w:fill="FFFFFF"/>
          <w:lang w:val="en-US" w:eastAsia="zh-CN"/>
        </w:rPr>
        <w:t>GZ</w:t>
      </w:r>
      <w:r>
        <w:rPr>
          <w:rFonts w:hint="eastAsia" w:cs="仿宋_GB2312" w:asciiTheme="minorEastAsia" w:hAnsiTheme="minorEastAsia" w:eastAsiaTheme="minorEastAsia"/>
          <w:color w:val="000000"/>
          <w:shd w:val="clear" w:color="auto" w:fill="FFFFFF"/>
        </w:rPr>
        <w:t>CG-C201</w:t>
      </w:r>
      <w:r>
        <w:rPr>
          <w:rFonts w:hint="eastAsia" w:cs="仿宋_GB2312" w:asciiTheme="minorEastAsia" w:hAnsiTheme="minorEastAsia" w:eastAsiaTheme="minorEastAsia"/>
          <w:color w:val="000000"/>
          <w:shd w:val="clear" w:color="auto" w:fill="FFFFFF"/>
          <w:lang w:val="en-US" w:eastAsia="zh-CN"/>
        </w:rPr>
        <w:t>9002</w:t>
      </w:r>
      <w:r>
        <w:rPr>
          <w:rFonts w:hint="eastAsia" w:cs="仿宋_GB2312" w:asciiTheme="minorEastAsia" w:hAnsiTheme="minorEastAsia" w:eastAsiaTheme="minorEastAsia"/>
          <w:color w:val="000000"/>
          <w:shd w:val="clear" w:color="auto" w:fill="FFFFFF"/>
        </w:rPr>
        <w:t>号</w:t>
      </w:r>
    </w:p>
    <w:p>
      <w:pPr>
        <w:pStyle w:val="29"/>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lang w:eastAsia="zh-CN"/>
        </w:rPr>
      </w:pPr>
      <w:r>
        <w:rPr>
          <w:rFonts w:hint="eastAsia" w:cs="仿宋_GB2312" w:asciiTheme="minorEastAsia" w:hAnsiTheme="minorEastAsia" w:eastAsiaTheme="minorEastAsia"/>
          <w:color w:val="000000"/>
          <w:shd w:val="clear" w:color="auto" w:fill="FFFFFF"/>
        </w:rPr>
        <w:t>（三）采购方式：</w:t>
      </w:r>
      <w:r>
        <w:rPr>
          <w:rFonts w:hint="eastAsia" w:cs="仿宋_GB2312" w:asciiTheme="minorEastAsia" w:hAnsiTheme="minorEastAsia" w:eastAsiaTheme="minorEastAsia"/>
          <w:color w:val="000000"/>
          <w:shd w:val="clear" w:color="auto" w:fill="FFFFFF"/>
          <w:lang w:eastAsia="zh-CN"/>
        </w:rPr>
        <w:t>竞争性磋商</w:t>
      </w:r>
    </w:p>
    <w:p>
      <w:pPr>
        <w:pStyle w:val="29"/>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lang w:eastAsia="zh-CN"/>
        </w:rPr>
      </w:pPr>
      <w:r>
        <w:rPr>
          <w:rFonts w:hint="eastAsia" w:cs="仿宋_GB2312" w:asciiTheme="minorEastAsia" w:hAnsiTheme="minorEastAsia" w:eastAsiaTheme="minorEastAsia"/>
          <w:color w:val="000000"/>
          <w:shd w:val="clear" w:color="auto" w:fill="FFFFFF"/>
        </w:rPr>
        <w:t>（四）项目主要内容、数量及要求：</w:t>
      </w:r>
      <w:r>
        <w:rPr>
          <w:rFonts w:hint="eastAsia" w:cs="仿宋_GB2312" w:asciiTheme="minorEastAsia" w:hAnsiTheme="minorEastAsia" w:eastAsiaTheme="minorEastAsia"/>
          <w:color w:val="000000"/>
          <w:shd w:val="clear" w:color="auto" w:fill="FFFFFF"/>
          <w:lang w:val="en-US" w:eastAsia="zh-CN"/>
        </w:rPr>
        <w:t>A包：许昌日报</w:t>
      </w:r>
      <w:r>
        <w:rPr>
          <w:rFonts w:hint="eastAsia" w:cs="仿宋_GB2312" w:asciiTheme="minorEastAsia" w:hAnsiTheme="minorEastAsia" w:eastAsiaTheme="minorEastAsia"/>
          <w:color w:val="000000"/>
          <w:shd w:val="clear" w:color="auto" w:fill="FFFFFF"/>
          <w:lang w:eastAsia="zh-CN"/>
        </w:rPr>
        <w:t>融媒体采编业务平台；</w:t>
      </w:r>
      <w:r>
        <w:rPr>
          <w:rFonts w:hint="eastAsia" w:cs="仿宋_GB2312" w:asciiTheme="minorEastAsia" w:hAnsiTheme="minorEastAsia" w:eastAsiaTheme="minorEastAsia"/>
          <w:color w:val="000000"/>
          <w:shd w:val="clear" w:color="auto" w:fill="FFFFFF"/>
          <w:lang w:val="en-US" w:eastAsia="zh-CN"/>
        </w:rPr>
        <w:t>B包：融媒体</w:t>
      </w:r>
      <w:r>
        <w:rPr>
          <w:rFonts w:hint="eastAsia" w:cs="仿宋_GB2312" w:asciiTheme="minorEastAsia" w:hAnsiTheme="minorEastAsia" w:eastAsiaTheme="minorEastAsia"/>
          <w:color w:val="000000"/>
          <w:shd w:val="clear" w:color="auto" w:fill="FFFFFF"/>
          <w:lang w:eastAsia="zh-CN"/>
        </w:rPr>
        <w:t>大数据管理系统；</w:t>
      </w:r>
      <w:r>
        <w:rPr>
          <w:rFonts w:hint="eastAsia" w:cs="仿宋_GB2312" w:asciiTheme="minorEastAsia" w:hAnsiTheme="minorEastAsia" w:eastAsiaTheme="minorEastAsia"/>
          <w:color w:val="000000"/>
          <w:shd w:val="clear" w:color="auto" w:fill="FFFFFF"/>
          <w:lang w:val="en-US" w:eastAsia="zh-CN"/>
        </w:rPr>
        <w:t>C包：</w:t>
      </w:r>
      <w:r>
        <w:rPr>
          <w:rFonts w:hint="eastAsia" w:cs="仿宋_GB2312" w:asciiTheme="minorEastAsia" w:hAnsiTheme="minorEastAsia" w:eastAsiaTheme="minorEastAsia"/>
          <w:color w:val="000000"/>
          <w:shd w:val="clear" w:color="auto" w:fill="FFFFFF"/>
          <w:lang w:eastAsia="zh-CN"/>
        </w:rPr>
        <w:t>“</w:t>
      </w:r>
      <w:r>
        <w:rPr>
          <w:rFonts w:hint="eastAsia" w:cs="仿宋_GB2312" w:asciiTheme="minorEastAsia" w:hAnsiTheme="minorEastAsia" w:eastAsiaTheme="minorEastAsia"/>
          <w:color w:val="000000"/>
          <w:shd w:val="clear" w:color="auto" w:fill="FFFFFF"/>
        </w:rPr>
        <w:t>许昌发布</w:t>
      </w:r>
      <w:r>
        <w:rPr>
          <w:rFonts w:hint="eastAsia" w:cs="仿宋_GB2312" w:asciiTheme="minorEastAsia" w:hAnsiTheme="minorEastAsia" w:eastAsiaTheme="minorEastAsia"/>
          <w:color w:val="000000"/>
          <w:shd w:val="clear" w:color="auto" w:fill="FFFFFF"/>
          <w:lang w:eastAsia="zh-CN"/>
        </w:rPr>
        <w:t>”智媒体公共服务</w:t>
      </w:r>
      <w:r>
        <w:rPr>
          <w:rFonts w:hint="eastAsia" w:cs="仿宋_GB2312" w:asciiTheme="minorEastAsia" w:hAnsiTheme="minorEastAsia" w:eastAsiaTheme="minorEastAsia"/>
          <w:color w:val="000000"/>
          <w:shd w:val="clear" w:color="auto" w:fill="FFFFFF"/>
        </w:rPr>
        <w:t>平台。</w:t>
      </w:r>
      <w:r>
        <w:rPr>
          <w:rFonts w:hint="eastAsia" w:cs="仿宋_GB2312" w:asciiTheme="minorEastAsia" w:hAnsiTheme="minorEastAsia" w:eastAsiaTheme="minorEastAsia"/>
          <w:color w:val="000000"/>
          <w:shd w:val="clear" w:color="auto" w:fill="FFFFFF"/>
          <w:lang w:eastAsia="zh-CN"/>
        </w:rPr>
        <w:t>（详见采购需求）</w:t>
      </w:r>
    </w:p>
    <w:p>
      <w:pPr>
        <w:pStyle w:val="29"/>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（五）预算金额：A包：120万元；B包：18万元；C包：28万元。</w:t>
      </w:r>
    </w:p>
    <w:p>
      <w:pPr>
        <w:pStyle w:val="29"/>
        <w:widowControl/>
        <w:shd w:val="clear" w:color="auto" w:fill="FFFFFF"/>
        <w:spacing w:line="360" w:lineRule="auto"/>
        <w:ind w:firstLine="420"/>
        <w:contextualSpacing/>
        <w:jc w:val="left"/>
        <w:rPr>
          <w:rFonts w:hint="eastAsia" w:cs="仿宋_GB2312" w:asciiTheme="minorEastAsia" w:hAnsiTheme="minorEastAsia" w:eastAsiaTheme="minorEastAsia"/>
          <w:color w:val="auto"/>
          <w:shd w:val="clear" w:color="auto" w:fill="FFFFFF"/>
          <w:lang w:val="en-US" w:eastAsia="zh-CN"/>
        </w:rPr>
      </w:pPr>
      <w:r>
        <w:rPr>
          <w:rFonts w:hint="eastAsia" w:cs="仿宋_GB2312" w:asciiTheme="minorEastAsia" w:hAnsiTheme="minorEastAsia" w:eastAsiaTheme="minorEastAsia"/>
          <w:color w:val="000000"/>
          <w:shd w:val="clear" w:color="auto" w:fill="FFFFFF"/>
        </w:rPr>
        <w:t>（六）交付（服务、完工）时间</w:t>
      </w:r>
      <w:r>
        <w:rPr>
          <w:rFonts w:hint="eastAsia" w:cs="仿宋_GB2312" w:asciiTheme="minorEastAsia" w:hAnsiTheme="minorEastAsia" w:eastAsiaTheme="minorEastAsia"/>
          <w:color w:val="auto"/>
          <w:shd w:val="clear" w:color="auto" w:fill="FFFFFF"/>
        </w:rPr>
        <w:t>：A包：合同签订后</w:t>
      </w:r>
      <w:r>
        <w:rPr>
          <w:rFonts w:hint="eastAsia" w:cs="仿宋_GB2312" w:asciiTheme="minorEastAsia" w:hAnsiTheme="minorEastAsia" w:eastAsiaTheme="minorEastAsia"/>
          <w:color w:val="auto"/>
          <w:shd w:val="clear" w:color="auto" w:fill="FFFFFF"/>
          <w:lang w:val="en-US" w:eastAsia="zh-CN"/>
        </w:rPr>
        <w:t>20</w:t>
      </w:r>
      <w:r>
        <w:rPr>
          <w:rFonts w:hint="eastAsia" w:cs="仿宋_GB2312" w:asciiTheme="minorEastAsia" w:hAnsiTheme="minorEastAsia" w:eastAsiaTheme="minorEastAsia"/>
          <w:color w:val="auto"/>
          <w:shd w:val="clear" w:color="auto" w:fill="FFFFFF"/>
          <w:lang w:eastAsia="zh-CN"/>
        </w:rPr>
        <w:t>工作日；</w:t>
      </w:r>
      <w:r>
        <w:rPr>
          <w:rFonts w:hint="eastAsia" w:cs="仿宋_GB2312" w:asciiTheme="minorEastAsia" w:hAnsiTheme="minorEastAsia" w:eastAsiaTheme="minorEastAsia"/>
          <w:color w:val="auto"/>
          <w:shd w:val="clear" w:color="auto" w:fill="FFFFFF"/>
        </w:rPr>
        <w:t>B包：合同签订后 20个工作日；C包：合同签订</w:t>
      </w:r>
      <w:r>
        <w:rPr>
          <w:rFonts w:hint="eastAsia" w:cs="仿宋_GB2312" w:asciiTheme="minorEastAsia" w:hAnsiTheme="minorEastAsia" w:eastAsiaTheme="minorEastAsia"/>
          <w:color w:val="auto"/>
          <w:shd w:val="clear" w:color="auto" w:fill="FFFFFF"/>
          <w:lang w:eastAsia="zh-CN"/>
        </w:rPr>
        <w:t>后</w:t>
      </w:r>
      <w:r>
        <w:rPr>
          <w:rFonts w:hint="eastAsia" w:cs="仿宋_GB2312" w:asciiTheme="minorEastAsia" w:hAnsiTheme="minorEastAsia" w:eastAsiaTheme="minorEastAsia"/>
          <w:color w:val="auto"/>
          <w:shd w:val="clear" w:color="auto" w:fill="FFFFFF"/>
        </w:rPr>
        <w:t xml:space="preserve"> 20个工作日</w:t>
      </w:r>
      <w:r>
        <w:rPr>
          <w:rFonts w:hint="eastAsia" w:cs="仿宋_GB2312" w:asciiTheme="minorEastAsia" w:hAnsiTheme="minorEastAsia" w:eastAsiaTheme="minorEastAsia"/>
          <w:color w:val="auto"/>
          <w:shd w:val="clear" w:color="auto" w:fill="FFFFFF"/>
          <w:lang w:eastAsia="zh-CN"/>
        </w:rPr>
        <w:t>。</w:t>
      </w:r>
    </w:p>
    <w:p>
      <w:pPr>
        <w:pStyle w:val="2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（七）交付（服务、完工）地点：</w:t>
      </w:r>
      <w:r>
        <w:rPr>
          <w:rFonts w:hint="eastAsia" w:cs="仿宋_GB2312" w:asciiTheme="minorEastAsia" w:hAnsiTheme="minorEastAsia"/>
          <w:sz w:val="24"/>
          <w:szCs w:val="24"/>
        </w:rPr>
        <w:t>许昌市魏都区龙兴路报业大厦</w:t>
      </w:r>
      <w:r>
        <w:rPr>
          <w:rFonts w:hint="eastAsia" w:cs="仿宋_GB2312" w:asciiTheme="minorEastAsia" w:hAnsiTheme="minorEastAsia" w:eastAsiaTheme="minorEastAsia"/>
          <w:color w:val="000000"/>
          <w:shd w:val="clear" w:color="auto" w:fill="FFFFFF"/>
        </w:rPr>
        <w:t>。</w:t>
      </w:r>
    </w:p>
    <w:p>
      <w:pPr>
        <w:pStyle w:val="2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二、需要落实的政府采购政策</w:t>
      </w:r>
    </w:p>
    <w:p>
      <w:pPr>
        <w:pStyle w:val="2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本项目落实</w:t>
      </w:r>
      <w:r>
        <w:rPr>
          <w:rFonts w:hint="eastAsia" w:cs="仿宋_GB2312" w:asciiTheme="minorEastAsia" w:hAnsiTheme="minorEastAsia" w:eastAsiaTheme="minorEastAsia"/>
          <w:color w:val="000000"/>
          <w:u w:val="single"/>
          <w:shd w:val="clear" w:color="auto" w:fill="FFFFFF"/>
        </w:rPr>
        <w:t>节能环保</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中小微型企业</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监狱企业</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残疾人福利性单位</w:t>
      </w:r>
      <w:r>
        <w:rPr>
          <w:rFonts w:hint="eastAsia" w:cs="仿宋_GB2312" w:asciiTheme="minorEastAsia" w:hAnsiTheme="minorEastAsia" w:eastAsiaTheme="minorEastAsia"/>
          <w:color w:val="000000"/>
          <w:shd w:val="clear" w:color="auto" w:fill="FFFFFF"/>
        </w:rPr>
        <w:t>扶持等相关政府采购政策。</w:t>
      </w:r>
    </w:p>
    <w:p>
      <w:pPr>
        <w:pStyle w:val="2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三、投标人资格要求</w:t>
      </w:r>
    </w:p>
    <w:p>
      <w:pPr>
        <w:pStyle w:val="2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（一）符合《中华人民共和国政府采购法》第二十二条之规定；</w:t>
      </w:r>
    </w:p>
    <w:p>
      <w:pPr>
        <w:pStyle w:val="2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（二）未被列入“信用中国”网站</w:t>
      </w:r>
      <w:r>
        <w:rPr>
          <w:rFonts w:hint="eastAsia" w:cs="仿宋_GB2312" w:asciiTheme="minorEastAsia" w:hAnsiTheme="minorEastAsia" w:eastAsiaTheme="minorEastAsia"/>
          <w:color w:val="000000"/>
          <w:shd w:val="clear" w:color="auto" w:fill="FFFFFF"/>
          <w:lang w:val="en-US"/>
        </w:rPr>
        <w:t>(www.creditchina.gov.cn)</w:t>
      </w:r>
      <w:r>
        <w:rPr>
          <w:rFonts w:hint="eastAsia" w:cs="仿宋_GB2312" w:asciiTheme="minorEastAsia" w:hAnsiTheme="minorEastAsia" w:eastAsiaTheme="minorEastAsia"/>
          <w:color w:val="000000"/>
          <w:shd w:val="clear" w:color="auto" w:fill="FFFFFF"/>
        </w:rPr>
        <w:t>失信被执行人、重大税收违法案件当事人名单、政府采购严重违法失信名单的投标人；“中国政府采购网”</w:t>
      </w:r>
      <w:r>
        <w:rPr>
          <w:rFonts w:hint="eastAsia" w:cs="仿宋_GB2312" w:asciiTheme="minorEastAsia" w:hAnsiTheme="minorEastAsia" w:eastAsiaTheme="minorEastAsia"/>
          <w:color w:val="000000"/>
          <w:shd w:val="clear" w:color="auto" w:fill="FFFFFF"/>
          <w:lang w:val="en-US"/>
        </w:rPr>
        <w:t> (www.ccgp.gov.cn)</w:t>
      </w:r>
      <w:r>
        <w:rPr>
          <w:rFonts w:hint="eastAsia" w:cs="仿宋_GB2312" w:asciiTheme="minorEastAsia" w:hAnsiTheme="minorEastAsia" w:eastAsiaTheme="minorEastAsia"/>
          <w:color w:val="000000"/>
          <w:shd w:val="clear" w:color="auto" w:fill="FFFFFF"/>
        </w:rPr>
        <w:t>政府采购严重违法失信行为记录名单的投标人；“国家企业信用公示系统”网站（</w:t>
      </w:r>
      <w:r>
        <w:rPr>
          <w:rFonts w:hint="eastAsia" w:cs="仿宋_GB2312" w:asciiTheme="minorEastAsia" w:hAnsiTheme="minorEastAsia" w:eastAsiaTheme="minorEastAsia"/>
          <w:color w:val="000000"/>
          <w:shd w:val="clear" w:color="auto" w:fill="FFFFFF"/>
          <w:lang w:val="en-US"/>
        </w:rPr>
        <w:t>www.gsxt.gov.cn</w:t>
      </w:r>
      <w:r>
        <w:rPr>
          <w:rFonts w:hint="eastAsia" w:cs="仿宋_GB2312" w:asciiTheme="minorEastAsia" w:hAnsiTheme="minorEastAsia" w:eastAsiaTheme="minorEastAsia"/>
          <w:color w:val="000000"/>
          <w:shd w:val="clear" w:color="auto" w:fill="FFFFFF"/>
        </w:rPr>
        <w:t>）严重违法失信企业名单（黑名单）的投标人；</w:t>
      </w:r>
    </w:p>
    <w:p>
      <w:pPr>
        <w:pStyle w:val="29"/>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（三）本</w:t>
      </w:r>
      <w:r>
        <w:rPr>
          <w:rFonts w:hint="eastAsia" w:cs="仿宋_GB2312" w:asciiTheme="minorEastAsia" w:hAnsiTheme="minorEastAsia" w:eastAsiaTheme="minorEastAsia"/>
          <w:color w:val="000000"/>
          <w:shd w:val="clear" w:color="auto" w:fill="FFFFFF"/>
          <w:lang w:eastAsia="zh-CN"/>
        </w:rPr>
        <w:t>项目</w:t>
      </w:r>
      <w:r>
        <w:rPr>
          <w:rFonts w:hint="eastAsia" w:cs="仿宋_GB2312" w:asciiTheme="minorEastAsia" w:hAnsiTheme="minorEastAsia" w:eastAsiaTheme="minorEastAsia"/>
          <w:color w:val="000000"/>
          <w:shd w:val="clear" w:color="auto" w:fill="FFFFFF"/>
        </w:rPr>
        <w:t>不接受联合体。</w:t>
      </w:r>
    </w:p>
    <w:p>
      <w:pPr>
        <w:pStyle w:val="2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四、招标文件的获取</w:t>
      </w:r>
    </w:p>
    <w:p>
      <w:pPr>
        <w:pStyle w:val="2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（一）网上下载招标文件</w:t>
      </w:r>
    </w:p>
    <w:p>
      <w:pPr>
        <w:pStyle w:val="2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2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29"/>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（二）招标文件售价300元/套，投标人在递交投标文件时向采购代理机构交纳采购文件费用，售后不退。</w:t>
      </w:r>
    </w:p>
    <w:p>
      <w:pPr>
        <w:pStyle w:val="29"/>
        <w:widowControl/>
        <w:shd w:val="clear" w:color="auto" w:fill="FFFFFF"/>
        <w:spacing w:line="360" w:lineRule="auto"/>
        <w:ind w:firstLine="420"/>
        <w:contextualSpacing/>
        <w:jc w:val="left"/>
        <w:rPr>
          <w:rFonts w:hint="eastAsia"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五、响应文件接收截止时间、磋商时间及地点</w:t>
      </w:r>
    </w:p>
    <w:p>
      <w:pPr>
        <w:pStyle w:val="2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（一）</w:t>
      </w:r>
      <w:r>
        <w:rPr>
          <w:rFonts w:hint="eastAsia"/>
          <w:shd w:val="clear" w:color="auto" w:fill="FFFFFF"/>
        </w:rPr>
        <w:t>响应文件接收截止及磋商</w:t>
      </w:r>
      <w:r>
        <w:rPr>
          <w:rFonts w:hint="eastAsia" w:cs="仿宋_GB2312" w:asciiTheme="minorEastAsia" w:hAnsiTheme="minorEastAsia" w:eastAsiaTheme="minorEastAsia"/>
          <w:color w:val="000000"/>
        </w:rPr>
        <w:t>时间：</w:t>
      </w:r>
      <w:bookmarkStart w:id="0" w:name="OLE_LINK1"/>
      <w:r>
        <w:rPr>
          <w:rFonts w:hint="eastAsia" w:cs="仿宋_GB2312" w:asciiTheme="minorEastAsia" w:hAnsiTheme="minorEastAsia" w:eastAsiaTheme="minorEastAsia"/>
          <w:color w:val="000000"/>
        </w:rPr>
        <w:t>201</w:t>
      </w:r>
      <w:r>
        <w:rPr>
          <w:rFonts w:hint="eastAsia" w:cs="仿宋_GB2312" w:asciiTheme="minorEastAsia" w:hAnsiTheme="minorEastAsia" w:eastAsiaTheme="minorEastAsia"/>
          <w:color w:val="000000"/>
          <w:lang w:val="en-US" w:eastAsia="zh-CN"/>
        </w:rPr>
        <w:t>9</w:t>
      </w:r>
      <w:r>
        <w:rPr>
          <w:rFonts w:hint="eastAsia" w:cs="仿宋_GB2312" w:asciiTheme="minorEastAsia" w:hAnsiTheme="minorEastAsia" w:eastAsiaTheme="minorEastAsia"/>
          <w:color w:val="000000"/>
        </w:rPr>
        <w:t>年</w:t>
      </w:r>
      <w:r>
        <w:rPr>
          <w:rFonts w:hint="eastAsia" w:cs="仿宋_GB2312" w:asciiTheme="minorEastAsia" w:hAnsiTheme="minorEastAsia" w:eastAsiaTheme="minorEastAsia"/>
          <w:color w:val="000000"/>
          <w:lang w:val="en-US" w:eastAsia="zh-CN"/>
        </w:rPr>
        <w:t>5</w:t>
      </w:r>
      <w:r>
        <w:rPr>
          <w:rFonts w:hint="eastAsia" w:cs="仿宋_GB2312" w:asciiTheme="minorEastAsia" w:hAnsiTheme="minorEastAsia" w:eastAsiaTheme="minorEastAsia"/>
          <w:color w:val="000000"/>
        </w:rPr>
        <w:t>月</w:t>
      </w:r>
      <w:r>
        <w:rPr>
          <w:rFonts w:hint="eastAsia" w:cs="仿宋_GB2312" w:asciiTheme="minorEastAsia" w:hAnsiTheme="minorEastAsia" w:eastAsiaTheme="minorEastAsia"/>
          <w:color w:val="000000"/>
          <w:lang w:val="en-US" w:eastAsia="zh-CN"/>
        </w:rPr>
        <w:t>16</w:t>
      </w:r>
      <w:r>
        <w:rPr>
          <w:rFonts w:hint="eastAsia" w:cs="仿宋_GB2312" w:asciiTheme="minorEastAsia" w:hAnsiTheme="minorEastAsia" w:eastAsiaTheme="minorEastAsia"/>
          <w:color w:val="000000"/>
        </w:rPr>
        <w:t>日</w:t>
      </w:r>
      <w:r>
        <w:rPr>
          <w:rFonts w:hint="eastAsia" w:cs="仿宋_GB2312" w:asciiTheme="minorEastAsia" w:hAnsiTheme="minorEastAsia" w:eastAsiaTheme="minorEastAsia"/>
          <w:color w:val="000000"/>
          <w:lang w:val="en-US" w:eastAsia="zh-CN"/>
        </w:rPr>
        <w:t>8</w:t>
      </w:r>
      <w:r>
        <w:rPr>
          <w:rFonts w:hint="eastAsia" w:cs="仿宋_GB2312" w:asciiTheme="minorEastAsia" w:hAnsiTheme="minorEastAsia" w:eastAsiaTheme="minorEastAsia"/>
          <w:color w:val="000000"/>
        </w:rPr>
        <w:t>时</w:t>
      </w:r>
      <w:r>
        <w:rPr>
          <w:rFonts w:hint="eastAsia" w:cs="仿宋_GB2312" w:asciiTheme="minorEastAsia" w:hAnsiTheme="minorEastAsia" w:eastAsiaTheme="minorEastAsia"/>
          <w:color w:val="000000"/>
          <w:lang w:val="en-US" w:eastAsia="zh-CN"/>
        </w:rPr>
        <w:t>30</w:t>
      </w:r>
      <w:r>
        <w:rPr>
          <w:rFonts w:hint="eastAsia" w:cs="仿宋_GB2312" w:asciiTheme="minorEastAsia" w:hAnsiTheme="minorEastAsia" w:eastAsiaTheme="minorEastAsia"/>
          <w:color w:val="000000"/>
        </w:rPr>
        <w:t>分</w:t>
      </w:r>
      <w:bookmarkEnd w:id="0"/>
      <w:r>
        <w:rPr>
          <w:rFonts w:hint="eastAsia" w:cs="仿宋_GB2312" w:asciiTheme="minorEastAsia" w:hAnsiTheme="minorEastAsia" w:eastAsiaTheme="minorEastAsia"/>
          <w:color w:val="000000"/>
        </w:rPr>
        <w:t>（北京时间），逾期提交或不符合规定的投标文件不予接受。</w:t>
      </w:r>
    </w:p>
    <w:p>
      <w:pPr>
        <w:pStyle w:val="29"/>
        <w:widowControl/>
        <w:shd w:val="clear" w:color="auto" w:fill="FFFFFF"/>
        <w:spacing w:line="360" w:lineRule="auto"/>
        <w:ind w:firstLine="420"/>
        <w:contextualSpacing/>
        <w:jc w:val="left"/>
        <w:rPr>
          <w:rFonts w:hint="eastAsia" w:cs="仿宋_GB2312" w:asciiTheme="minorEastAsia" w:hAnsiTheme="minorEastAsia" w:eastAsiaTheme="minorEastAsia"/>
          <w:color w:val="000000"/>
        </w:rPr>
      </w:pPr>
      <w:r>
        <w:rPr>
          <w:rFonts w:hint="eastAsia" w:cs="仿宋_GB2312" w:asciiTheme="minorEastAsia" w:hAnsiTheme="minorEastAsia" w:eastAsiaTheme="minorEastAsia"/>
          <w:color w:val="000000"/>
        </w:rPr>
        <w:t>（二）开标地点：许昌市公共资源交易中心（</w:t>
      </w:r>
      <w:r>
        <w:rPr>
          <w:rFonts w:cs="Arial" w:asciiTheme="minorEastAsia" w:hAnsiTheme="minorEastAsia" w:eastAsiaTheme="minorEastAsia"/>
          <w:color w:val="000000"/>
        </w:rPr>
        <w:t>龙兴路与竹林路交汇处</w:t>
      </w:r>
      <w:r>
        <w:rPr>
          <w:rFonts w:hint="eastAsia" w:cs="仿宋_GB2312" w:asciiTheme="minorEastAsia" w:hAnsiTheme="minorEastAsia" w:eastAsiaTheme="minorEastAsia"/>
          <w:color w:val="000000"/>
        </w:rPr>
        <w:t>公共资源大厦）三楼开标</w:t>
      </w:r>
      <w:r>
        <w:rPr>
          <w:rFonts w:hint="eastAsia" w:cs="仿宋_GB2312" w:asciiTheme="minorEastAsia" w:hAnsiTheme="minorEastAsia" w:eastAsiaTheme="minorEastAsia"/>
          <w:color w:val="000000"/>
          <w:lang w:val="en-US" w:eastAsia="zh-CN"/>
        </w:rPr>
        <w:t>1</w:t>
      </w:r>
      <w:r>
        <w:rPr>
          <w:rFonts w:hint="eastAsia" w:cs="仿宋_GB2312" w:asciiTheme="minorEastAsia" w:hAnsiTheme="minorEastAsia" w:eastAsiaTheme="minorEastAsia"/>
          <w:color w:val="000000"/>
        </w:rPr>
        <w:t>室。</w:t>
      </w:r>
    </w:p>
    <w:p>
      <w:pPr>
        <w:pStyle w:val="2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六、本次招标公告同时在</w:t>
      </w:r>
      <w:r>
        <w:rPr>
          <w:rFonts w:hint="eastAsia" w:cs="黑体" w:asciiTheme="minorEastAsia" w:hAnsiTheme="minorEastAsia" w:eastAsiaTheme="minorEastAsia"/>
          <w:b/>
          <w:bCs/>
          <w:color w:val="000000"/>
          <w:shd w:val="clear" w:color="auto" w:fill="FFFFFF"/>
          <w:lang w:eastAsia="zh-CN"/>
        </w:rPr>
        <w:t>《中国采购与招标网》、《河南招标采购综合网》、《全国公共资源交易平台（河南省·许昌市）》</w:t>
      </w:r>
      <w:r>
        <w:rPr>
          <w:rFonts w:hint="eastAsia" w:cs="黑体" w:asciiTheme="minorEastAsia" w:hAnsiTheme="minorEastAsia" w:eastAsiaTheme="minorEastAsia"/>
          <w:b/>
          <w:bCs/>
          <w:color w:val="000000"/>
          <w:shd w:val="clear" w:color="auto" w:fill="FFFFFF"/>
        </w:rPr>
        <w:t>发布。</w:t>
      </w:r>
    </w:p>
    <w:p>
      <w:pPr>
        <w:pStyle w:val="2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七、公告期限</w:t>
      </w:r>
    </w:p>
    <w:p>
      <w:pPr>
        <w:pStyle w:val="2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本公告自发布之日起公告期限为5个工作日。</w:t>
      </w:r>
    </w:p>
    <w:p>
      <w:pPr>
        <w:pStyle w:val="29"/>
        <w:widowControl/>
        <w:shd w:val="clear" w:color="auto" w:fill="FFFFFF"/>
        <w:spacing w:line="360" w:lineRule="auto"/>
        <w:ind w:firstLine="420"/>
        <w:contextualSpacing/>
        <w:jc w:val="left"/>
        <w:rPr>
          <w:rFonts w:cs="黑体" w:asciiTheme="minorEastAsia" w:hAnsiTheme="minorEastAsia" w:eastAsiaTheme="minorEastAsia"/>
          <w:b/>
          <w:bCs/>
          <w:color w:val="000000"/>
        </w:rPr>
      </w:pPr>
      <w:r>
        <w:rPr>
          <w:rFonts w:hint="eastAsia" w:cs="黑体" w:asciiTheme="minorEastAsia" w:hAnsiTheme="minorEastAsia" w:eastAsiaTheme="minorEastAsia"/>
          <w:b/>
          <w:bCs/>
          <w:color w:val="000000"/>
        </w:rPr>
        <w:t>八、联系方式</w:t>
      </w:r>
    </w:p>
    <w:p>
      <w:pPr>
        <w:pStyle w:val="2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（一）采</w:t>
      </w:r>
      <w:r>
        <w:rPr>
          <w:rFonts w:hint="eastAsia" w:ascii="宋体" w:hAnsi="宋体" w:cs="宋体"/>
          <w:kern w:val="0"/>
        </w:rPr>
        <w:t>购人：许昌融智传媒有限公司；地址：许昌市魏都区龙兴路报业大厦；联系人：刘先生；电话：13837475511。</w:t>
      </w:r>
    </w:p>
    <w:p>
      <w:pPr>
        <w:pStyle w:val="29"/>
        <w:widowControl/>
        <w:shd w:val="clear" w:color="auto" w:fill="FFFFFF"/>
        <w:spacing w:line="360" w:lineRule="auto"/>
        <w:ind w:firstLine="420"/>
        <w:contextualSpacing/>
        <w:jc w:val="left"/>
        <w:rPr>
          <w:rFonts w:cs="仿宋_GB2312" w:asciiTheme="minorEastAsia" w:hAnsiTheme="minorEastAsia"/>
          <w:color w:val="000000"/>
          <w:shd w:val="clear" w:color="auto" w:fill="FFFFFF"/>
        </w:rPr>
      </w:pPr>
      <w:r>
        <w:rPr>
          <w:rFonts w:hint="eastAsia" w:cs="仿宋_GB2312" w:asciiTheme="minorEastAsia" w:hAnsiTheme="minorEastAsia" w:eastAsiaTheme="minorEastAsia"/>
          <w:color w:val="000000"/>
        </w:rPr>
        <w:t>（二）代理机构：</w:t>
      </w:r>
      <w:r>
        <w:rPr>
          <w:rFonts w:hint="eastAsia" w:ascii="宋体" w:hAnsi="宋体"/>
          <w:spacing w:val="-3"/>
        </w:rPr>
        <w:t>许昌光大电子商务技术服务有限公司；</w:t>
      </w:r>
      <w:r>
        <w:rPr>
          <w:rFonts w:hint="eastAsia" w:cs="仿宋_GB2312" w:asciiTheme="minorEastAsia" w:hAnsiTheme="minorEastAsia" w:eastAsiaTheme="minorEastAsia"/>
          <w:color w:val="000000"/>
        </w:rPr>
        <w:t>地址：</w:t>
      </w:r>
      <w:r>
        <w:rPr>
          <w:rFonts w:hint="eastAsia" w:ascii="宋体" w:hAnsi="宋体"/>
          <w:spacing w:val="-3"/>
        </w:rPr>
        <w:t>许昌市智慧大道亨源通世纪广场1号楼401室；</w:t>
      </w:r>
      <w:r>
        <w:rPr>
          <w:rFonts w:hint="eastAsia" w:cs="仿宋_GB2312" w:asciiTheme="minorEastAsia" w:hAnsiTheme="minorEastAsia" w:eastAsiaTheme="minorEastAsia"/>
          <w:color w:val="000000"/>
        </w:rPr>
        <w:t>联系人：靳天天；联系电话：13323993003。</w:t>
      </w:r>
    </w:p>
    <w:p>
      <w:pPr>
        <w:spacing w:line="440" w:lineRule="exact"/>
        <w:ind w:firstLine="6924" w:firstLineChars="2885"/>
        <w:jc w:val="right"/>
        <w:rPr>
          <w:rFonts w:ascii="宋体" w:hAnsi="宋体" w:cs="宋体"/>
          <w:szCs w:val="24"/>
        </w:rPr>
      </w:pPr>
      <w:r>
        <w:rPr>
          <w:rFonts w:hint="eastAsia" w:asciiTheme="minorEastAsia" w:hAnsiTheme="minorEastAsia" w:cstheme="majorEastAsia"/>
          <w:sz w:val="24"/>
          <w:szCs w:val="24"/>
          <w:lang w:val="zh-CN"/>
        </w:rPr>
        <w:t xml:space="preserve">   许昌融智传媒有限公司</w:t>
      </w:r>
    </w:p>
    <w:p>
      <w:pPr>
        <w:spacing w:line="440" w:lineRule="exact"/>
        <w:jc w:val="right"/>
        <w:rPr>
          <w:rFonts w:ascii="宋体" w:hAnsi="宋体" w:cs="Arial"/>
        </w:rPr>
      </w:pPr>
      <w:r>
        <w:rPr>
          <w:rFonts w:hint="eastAsia" w:ascii="宋体" w:hAnsi="宋体" w:cs="宋体"/>
          <w:kern w:val="0"/>
        </w:rPr>
        <w:t xml:space="preserve">                                      二○一</w:t>
      </w:r>
      <w:r>
        <w:rPr>
          <w:rFonts w:hint="eastAsia" w:ascii="宋体" w:hAnsi="宋体" w:cs="宋体"/>
          <w:kern w:val="0"/>
          <w:lang w:eastAsia="zh-CN"/>
        </w:rPr>
        <w:t>九</w:t>
      </w:r>
      <w:r>
        <w:rPr>
          <w:rFonts w:hint="eastAsia" w:ascii="宋体" w:hAnsi="宋体" w:cs="宋体"/>
          <w:kern w:val="0"/>
        </w:rPr>
        <w:t>年</w:t>
      </w:r>
      <w:r>
        <w:rPr>
          <w:rFonts w:hint="eastAsia" w:ascii="宋体" w:hAnsi="宋体" w:cs="宋体"/>
          <w:kern w:val="0"/>
          <w:lang w:val="en-US" w:eastAsia="zh-CN"/>
        </w:rPr>
        <w:t>五</w:t>
      </w:r>
      <w:r>
        <w:rPr>
          <w:rFonts w:hint="eastAsia" w:ascii="宋体" w:hAnsi="宋体" w:cs="宋体"/>
          <w:kern w:val="0"/>
        </w:rPr>
        <w:t>月</w:t>
      </w:r>
      <w:r>
        <w:rPr>
          <w:rFonts w:hint="eastAsia" w:ascii="宋体" w:hAnsi="宋体" w:cs="宋体"/>
          <w:kern w:val="0"/>
          <w:lang w:val="en-US" w:eastAsia="zh-CN"/>
        </w:rPr>
        <w:t>五</w:t>
      </w:r>
      <w:r>
        <w:rPr>
          <w:rFonts w:hint="eastAsia" w:ascii="宋体" w:hAnsi="宋体" w:cs="宋体"/>
          <w:kern w:val="0"/>
        </w:rPr>
        <w:t>日</w:t>
      </w:r>
    </w:p>
    <w:p>
      <w:pPr>
        <w:spacing w:line="440" w:lineRule="exact"/>
        <w:jc w:val="right"/>
        <w:rPr>
          <w:rFonts w:ascii="宋体" w:hAnsi="宋体" w:cs="Arial"/>
        </w:rPr>
      </w:pPr>
    </w:p>
    <w:p>
      <w:pPr>
        <w:spacing w:line="360" w:lineRule="auto"/>
        <w:jc w:val="center"/>
        <w:rPr>
          <w:sz w:val="32"/>
          <w:szCs w:val="32"/>
        </w:rPr>
      </w:pPr>
      <w:r>
        <w:br w:type="page"/>
      </w:r>
      <w:r>
        <w:rPr>
          <w:rFonts w:hint="eastAsia" w:ascii="黑体" w:hAnsi="黑体" w:eastAsia="黑体"/>
          <w:sz w:val="32"/>
          <w:szCs w:val="32"/>
        </w:rPr>
        <w:t>第二章  采购需求及要求</w:t>
      </w:r>
    </w:p>
    <w:p>
      <w:pPr>
        <w:widowControl/>
        <w:shd w:val="clear" w:color="auto" w:fill="FFFFFF"/>
        <w:spacing w:line="360" w:lineRule="auto"/>
        <w:ind w:firstLine="482" w:firstLineChars="200"/>
        <w:contextualSpacing/>
        <w:jc w:val="left"/>
        <w:rPr>
          <w:rFonts w:asciiTheme="minorEastAsia" w:hAnsiTheme="minorEastAsia"/>
          <w:b/>
          <w:bCs/>
          <w:color w:val="000000"/>
          <w:szCs w:val="24"/>
          <w:shd w:val="clear" w:color="auto" w:fill="FFFFFF"/>
        </w:rPr>
      </w:pPr>
      <w:bookmarkStart w:id="1" w:name="_Toc13979"/>
      <w:bookmarkEnd w:id="1"/>
    </w:p>
    <w:p>
      <w:pPr>
        <w:widowControl/>
        <w:shd w:val="clear" w:color="auto" w:fill="FFFFFF"/>
        <w:spacing w:line="360" w:lineRule="auto"/>
        <w:ind w:firstLine="482" w:firstLineChars="200"/>
        <w:contextualSpacing/>
        <w:jc w:val="left"/>
        <w:rPr>
          <w:rFonts w:hint="eastAsia" w:cs="黑体" w:asciiTheme="minorEastAsia" w:hAnsiTheme="minorEastAsia"/>
          <w:b/>
          <w:bCs/>
          <w:color w:val="000000"/>
          <w:szCs w:val="21"/>
          <w:shd w:val="clear" w:color="auto" w:fill="FFFFFF"/>
          <w:lang w:eastAsia="zh-CN"/>
        </w:rPr>
      </w:pPr>
      <w:r>
        <w:rPr>
          <w:rFonts w:hint="eastAsia" w:cs="黑体" w:asciiTheme="minorEastAsia" w:hAnsiTheme="minorEastAsia"/>
          <w:b/>
          <w:bCs/>
          <w:color w:val="000000"/>
          <w:szCs w:val="21"/>
          <w:shd w:val="clear" w:color="auto" w:fill="FFFFFF"/>
          <w:lang w:eastAsia="zh-CN"/>
        </w:rPr>
        <w:t>一、项目需求</w:t>
      </w:r>
    </w:p>
    <w:p>
      <w:pPr>
        <w:widowControl/>
        <w:shd w:val="clear" w:color="auto" w:fill="FFFFFF"/>
        <w:spacing w:line="360" w:lineRule="auto"/>
        <w:ind w:firstLine="482" w:firstLineChars="200"/>
        <w:contextualSpacing/>
        <w:jc w:val="left"/>
        <w:rPr>
          <w:rFonts w:hint="eastAsia" w:cs="黑体" w:asciiTheme="minorEastAsia" w:hAnsiTheme="minorEastAsia"/>
          <w:b/>
          <w:bCs/>
          <w:color w:val="000000"/>
          <w:szCs w:val="21"/>
          <w:shd w:val="clear" w:color="auto" w:fill="FFFFFF"/>
          <w:lang w:eastAsia="zh-CN"/>
        </w:rPr>
      </w:pPr>
      <w:r>
        <w:rPr>
          <w:rFonts w:hint="eastAsia" w:cs="黑体" w:asciiTheme="minorEastAsia" w:hAnsiTheme="minorEastAsia"/>
          <w:b/>
          <w:bCs/>
          <w:color w:val="000000"/>
          <w:szCs w:val="21"/>
          <w:shd w:val="clear" w:color="auto" w:fill="FFFFFF"/>
          <w:lang w:eastAsia="zh-CN"/>
        </w:rPr>
        <w:t>A包：许昌日报融媒体采编业务平台</w:t>
      </w:r>
    </w:p>
    <w:p>
      <w:pPr>
        <w:widowControl/>
        <w:shd w:val="clear" w:color="auto" w:fill="FFFFFF"/>
        <w:spacing w:line="360" w:lineRule="auto"/>
        <w:ind w:firstLine="482" w:firstLineChars="200"/>
        <w:contextualSpacing/>
        <w:jc w:val="left"/>
        <w:rPr>
          <w:rFonts w:ascii="楷体" w:hAnsi="楷体" w:eastAsia="楷体" w:cs="宋体"/>
          <w:color w:val="000000"/>
          <w:kern w:val="0"/>
          <w:szCs w:val="21"/>
          <w:lang w:val="zh-CN"/>
        </w:rPr>
      </w:pPr>
      <w:r>
        <w:rPr>
          <w:rFonts w:hint="eastAsia" w:cs="黑体" w:asciiTheme="minorEastAsia" w:hAnsiTheme="minorEastAsia"/>
          <w:b/>
          <w:bCs/>
          <w:color w:val="000000"/>
          <w:szCs w:val="21"/>
          <w:shd w:val="clear" w:color="auto" w:fill="FFFFFF"/>
          <w:lang w:eastAsia="zh-CN"/>
        </w:rPr>
        <w:t>（一）</w:t>
      </w:r>
      <w:r>
        <w:rPr>
          <w:rFonts w:hint="eastAsia" w:cs="黑体" w:asciiTheme="minorEastAsia" w:hAnsiTheme="minorEastAsia"/>
          <w:b/>
          <w:bCs/>
          <w:color w:val="000000"/>
          <w:szCs w:val="21"/>
          <w:shd w:val="clear" w:color="auto" w:fill="FFFFFF"/>
        </w:rPr>
        <w:t>采购清单</w:t>
      </w:r>
    </w:p>
    <w:tbl>
      <w:tblPr>
        <w:tblStyle w:val="31"/>
        <w:tblW w:w="9404" w:type="dxa"/>
        <w:tblInd w:w="348" w:type="dxa"/>
        <w:tblLayout w:type="fixed"/>
        <w:tblCellMar>
          <w:top w:w="0" w:type="dxa"/>
          <w:left w:w="108" w:type="dxa"/>
          <w:bottom w:w="0" w:type="dxa"/>
          <w:right w:w="108" w:type="dxa"/>
        </w:tblCellMar>
      </w:tblPr>
      <w:tblGrid>
        <w:gridCol w:w="720"/>
        <w:gridCol w:w="1545"/>
        <w:gridCol w:w="2267"/>
        <w:gridCol w:w="1624"/>
        <w:gridCol w:w="1624"/>
        <w:gridCol w:w="1624"/>
      </w:tblGrid>
      <w:tr>
        <w:tblPrEx>
          <w:tblLayout w:type="fixed"/>
          <w:tblCellMar>
            <w:top w:w="0" w:type="dxa"/>
            <w:left w:w="108" w:type="dxa"/>
            <w:bottom w:w="0" w:type="dxa"/>
            <w:right w:w="108" w:type="dxa"/>
          </w:tblCellMar>
        </w:tblPrEx>
        <w:trPr>
          <w:trHeight w:val="306"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eastAsia="宋体"/>
                <w:color w:val="000000"/>
                <w:sz w:val="21"/>
                <w:szCs w:val="21"/>
              </w:rPr>
            </w:pPr>
            <w:r>
              <w:rPr>
                <w:rFonts w:hint="eastAsia" w:ascii="宋体" w:hAnsi="宋体" w:eastAsia="宋体"/>
                <w:color w:val="000000"/>
                <w:sz w:val="21"/>
                <w:szCs w:val="21"/>
              </w:rPr>
              <w:t>序号</w:t>
            </w:r>
          </w:p>
        </w:tc>
        <w:tc>
          <w:tcPr>
            <w:tcW w:w="1545" w:type="dxa"/>
            <w:tcBorders>
              <w:top w:val="single" w:color="auto" w:sz="4" w:space="0"/>
              <w:left w:val="nil"/>
              <w:bottom w:val="single" w:color="auto" w:sz="4" w:space="0"/>
              <w:right w:val="single" w:color="auto" w:sz="4" w:space="0"/>
            </w:tcBorders>
            <w:shd w:val="clear" w:color="auto" w:fill="auto"/>
            <w:vAlign w:val="center"/>
          </w:tcPr>
          <w:p>
            <w:pPr>
              <w:ind w:firstLine="0" w:firstLineChars="0"/>
              <w:jc w:val="center"/>
              <w:rPr>
                <w:rFonts w:hint="eastAsia" w:ascii="宋体" w:hAnsi="宋体" w:eastAsia="宋体"/>
                <w:color w:val="000000"/>
                <w:sz w:val="21"/>
                <w:szCs w:val="21"/>
                <w:lang w:val="en-US" w:eastAsia="zh-CN"/>
              </w:rPr>
            </w:pPr>
            <w:r>
              <w:rPr>
                <w:rFonts w:hint="eastAsia" w:ascii="宋体" w:hAnsi="宋体"/>
                <w:color w:val="000000"/>
                <w:sz w:val="21"/>
                <w:szCs w:val="21"/>
                <w:lang w:val="en-US" w:eastAsia="zh-CN"/>
              </w:rPr>
              <w:t>名称</w:t>
            </w:r>
          </w:p>
        </w:tc>
        <w:tc>
          <w:tcPr>
            <w:tcW w:w="2267" w:type="dxa"/>
            <w:tcBorders>
              <w:top w:val="single" w:color="auto" w:sz="4" w:space="0"/>
              <w:left w:val="nil"/>
              <w:bottom w:val="single" w:color="auto" w:sz="4" w:space="0"/>
              <w:right w:val="single" w:color="auto" w:sz="4" w:space="0"/>
            </w:tcBorders>
            <w:shd w:val="clear" w:color="auto" w:fill="auto"/>
            <w:vAlign w:val="center"/>
          </w:tcPr>
          <w:p>
            <w:pPr>
              <w:ind w:firstLine="0" w:firstLineChars="0"/>
              <w:jc w:val="center"/>
              <w:rPr>
                <w:rFonts w:hint="eastAsia" w:eastAsia="宋体"/>
                <w:lang w:eastAsia="zh-CN"/>
              </w:rPr>
            </w:pPr>
            <w:r>
              <w:rPr>
                <w:rFonts w:hint="eastAsia"/>
                <w:sz w:val="21"/>
                <w:szCs w:val="21"/>
                <w:lang w:eastAsia="zh-CN"/>
              </w:rPr>
              <w:t>技术功能要求</w:t>
            </w:r>
          </w:p>
        </w:tc>
        <w:tc>
          <w:tcPr>
            <w:tcW w:w="1624" w:type="dxa"/>
            <w:tcBorders>
              <w:top w:val="single" w:color="auto" w:sz="4" w:space="0"/>
              <w:left w:val="nil"/>
              <w:bottom w:val="single" w:color="auto" w:sz="4" w:space="0"/>
              <w:right w:val="single" w:color="auto" w:sz="4" w:space="0"/>
            </w:tcBorders>
            <w:shd w:val="clear" w:color="auto" w:fill="auto"/>
            <w:vAlign w:val="center"/>
          </w:tcPr>
          <w:p>
            <w:pPr>
              <w:ind w:firstLine="0" w:firstLineChars="0"/>
              <w:jc w:val="center"/>
              <w:rPr>
                <w:rFonts w:hint="eastAsia" w:ascii="宋体" w:hAnsi="宋体" w:eastAsia="宋体"/>
                <w:color w:val="000000"/>
                <w:sz w:val="21"/>
                <w:szCs w:val="21"/>
              </w:rPr>
            </w:pPr>
            <w:r>
              <w:rPr>
                <w:rFonts w:hint="eastAsia" w:ascii="宋体" w:hAnsi="宋体" w:eastAsia="宋体"/>
                <w:color w:val="000000"/>
                <w:sz w:val="21"/>
                <w:szCs w:val="21"/>
              </w:rPr>
              <w:t>单位</w:t>
            </w:r>
          </w:p>
        </w:tc>
        <w:tc>
          <w:tcPr>
            <w:tcW w:w="1624" w:type="dxa"/>
            <w:tcBorders>
              <w:top w:val="single" w:color="auto" w:sz="4" w:space="0"/>
              <w:left w:val="nil"/>
              <w:bottom w:val="single" w:color="auto" w:sz="4" w:space="0"/>
              <w:right w:val="single" w:color="auto" w:sz="4" w:space="0"/>
            </w:tcBorders>
            <w:shd w:val="clear" w:color="auto" w:fill="auto"/>
            <w:vAlign w:val="center"/>
          </w:tcPr>
          <w:p>
            <w:pPr>
              <w:ind w:firstLine="0" w:firstLineChars="0"/>
              <w:jc w:val="center"/>
            </w:pPr>
            <w:r>
              <w:rPr>
                <w:rFonts w:hint="eastAsia" w:ascii="宋体" w:hAnsi="宋体" w:eastAsia="宋体"/>
                <w:color w:val="000000"/>
                <w:sz w:val="21"/>
                <w:szCs w:val="21"/>
              </w:rPr>
              <w:t>数量</w:t>
            </w:r>
          </w:p>
        </w:tc>
        <w:tc>
          <w:tcPr>
            <w:tcW w:w="1624" w:type="dxa"/>
            <w:tcBorders>
              <w:top w:val="single" w:color="auto" w:sz="4" w:space="0"/>
              <w:left w:val="nil"/>
              <w:bottom w:val="single" w:color="auto" w:sz="4" w:space="0"/>
              <w:right w:val="single" w:color="auto" w:sz="4" w:space="0"/>
            </w:tcBorders>
            <w:shd w:val="clear" w:color="auto" w:fill="auto"/>
            <w:vAlign w:val="center"/>
          </w:tcPr>
          <w:p>
            <w:pPr>
              <w:ind w:firstLine="0" w:firstLineChars="0"/>
              <w:jc w:val="center"/>
              <w:rPr>
                <w:rFonts w:ascii="宋体" w:hAnsi="宋体" w:eastAsia="宋体"/>
                <w:color w:val="000000"/>
                <w:sz w:val="21"/>
                <w:szCs w:val="21"/>
              </w:rPr>
            </w:pPr>
            <w:r>
              <w:rPr>
                <w:rFonts w:hint="eastAsia" w:ascii="宋体" w:hAnsi="宋体" w:eastAsia="宋体"/>
                <w:color w:val="000000"/>
                <w:sz w:val="21"/>
                <w:szCs w:val="21"/>
              </w:rPr>
              <w:t>费用类型</w:t>
            </w:r>
          </w:p>
        </w:tc>
      </w:tr>
      <w:tr>
        <w:tblPrEx>
          <w:tblLayout w:type="fixed"/>
          <w:tblCellMar>
            <w:top w:w="0" w:type="dxa"/>
            <w:left w:w="108" w:type="dxa"/>
            <w:bottom w:w="0" w:type="dxa"/>
            <w:right w:w="108" w:type="dxa"/>
          </w:tblCellMar>
        </w:tblPrEx>
        <w:trPr>
          <w:trHeight w:val="345" w:hRule="atLeast"/>
        </w:trPr>
        <w:tc>
          <w:tcPr>
            <w:tcW w:w="720" w:type="dxa"/>
            <w:tcBorders>
              <w:top w:val="nil"/>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eastAsia="宋体"/>
                <w:color w:val="000000"/>
                <w:sz w:val="21"/>
                <w:szCs w:val="21"/>
              </w:rPr>
            </w:pPr>
            <w:r>
              <w:rPr>
                <w:rFonts w:hint="eastAsia" w:ascii="宋体" w:hAnsi="宋体" w:eastAsia="宋体"/>
                <w:color w:val="000000"/>
                <w:sz w:val="21"/>
                <w:szCs w:val="21"/>
              </w:rPr>
              <w:t>1</w:t>
            </w:r>
          </w:p>
        </w:tc>
        <w:tc>
          <w:tcPr>
            <w:tcW w:w="1545" w:type="dxa"/>
            <w:tcBorders>
              <w:top w:val="nil"/>
              <w:left w:val="nil"/>
              <w:bottom w:val="single" w:color="auto" w:sz="4" w:space="0"/>
              <w:right w:val="single" w:color="auto" w:sz="4" w:space="0"/>
            </w:tcBorders>
            <w:shd w:val="clear" w:color="auto" w:fill="auto"/>
            <w:vAlign w:val="center"/>
          </w:tcPr>
          <w:p>
            <w:pPr>
              <w:ind w:firstLine="0" w:firstLineChars="0"/>
              <w:rPr>
                <w:rFonts w:ascii="宋体" w:hAnsi="宋体" w:eastAsia="宋体"/>
                <w:color w:val="000000"/>
                <w:sz w:val="21"/>
                <w:szCs w:val="21"/>
              </w:rPr>
            </w:pPr>
            <w:r>
              <w:rPr>
                <w:rFonts w:hint="eastAsia" w:ascii="宋体" w:hAnsi="宋体" w:eastAsia="宋体"/>
                <w:color w:val="000000"/>
                <w:sz w:val="21"/>
                <w:szCs w:val="21"/>
              </w:rPr>
              <w:t>融媒采编平台</w:t>
            </w:r>
          </w:p>
        </w:tc>
        <w:tc>
          <w:tcPr>
            <w:tcW w:w="2267" w:type="dxa"/>
            <w:tcBorders>
              <w:top w:val="nil"/>
              <w:left w:val="nil"/>
              <w:bottom w:val="single" w:color="auto" w:sz="4" w:space="0"/>
              <w:right w:val="single" w:color="auto" w:sz="4" w:space="0"/>
            </w:tcBorders>
            <w:shd w:val="clear" w:color="auto" w:fill="auto"/>
            <w:vAlign w:val="center"/>
          </w:tcPr>
          <w:p>
            <w:pPr>
              <w:ind w:firstLine="0" w:firstLineChars="0"/>
              <w:jc w:val="center"/>
              <w:rPr>
                <w:rFonts w:hint="eastAsia" w:eastAsia="宋体"/>
                <w:lang w:eastAsia="zh-CN"/>
              </w:rPr>
            </w:pPr>
            <w:r>
              <w:rPr>
                <w:rFonts w:hint="eastAsia"/>
                <w:sz w:val="21"/>
                <w:szCs w:val="21"/>
                <w:lang w:eastAsia="zh-CN"/>
              </w:rPr>
              <w:t>详见详细技术要求</w:t>
            </w:r>
          </w:p>
        </w:tc>
        <w:tc>
          <w:tcPr>
            <w:tcW w:w="1624" w:type="dxa"/>
            <w:tcBorders>
              <w:top w:val="nil"/>
              <w:left w:val="nil"/>
              <w:bottom w:val="single" w:color="auto" w:sz="4" w:space="0"/>
              <w:right w:val="single" w:color="auto" w:sz="4" w:space="0"/>
            </w:tcBorders>
            <w:shd w:val="clear" w:color="auto" w:fill="auto"/>
            <w:vAlign w:val="center"/>
          </w:tcPr>
          <w:p>
            <w:pPr>
              <w:tabs>
                <w:tab w:val="left" w:pos="386"/>
                <w:tab w:val="center" w:pos="763"/>
              </w:tabs>
              <w:ind w:firstLine="0" w:firstLineChars="0"/>
              <w:jc w:val="center"/>
              <w:rPr>
                <w:rFonts w:hint="eastAsia" w:ascii="宋体" w:hAnsi="宋体"/>
                <w:color w:val="000000"/>
                <w:sz w:val="21"/>
                <w:szCs w:val="21"/>
                <w:lang w:eastAsia="zh-CN"/>
              </w:rPr>
            </w:pPr>
            <w:r>
              <w:rPr>
                <w:rFonts w:hint="eastAsia" w:ascii="宋体" w:hAnsi="宋体" w:eastAsia="宋体"/>
                <w:color w:val="000000"/>
                <w:sz w:val="21"/>
                <w:szCs w:val="21"/>
              </w:rPr>
              <w:t>套</w:t>
            </w:r>
          </w:p>
        </w:tc>
        <w:tc>
          <w:tcPr>
            <w:tcW w:w="1624" w:type="dxa"/>
            <w:tcBorders>
              <w:top w:val="nil"/>
              <w:left w:val="nil"/>
              <w:bottom w:val="single" w:color="auto" w:sz="4" w:space="0"/>
              <w:right w:val="single" w:color="auto" w:sz="4" w:space="0"/>
            </w:tcBorders>
            <w:shd w:val="clear" w:color="auto" w:fill="auto"/>
            <w:vAlign w:val="center"/>
          </w:tcPr>
          <w:p>
            <w:pPr>
              <w:tabs>
                <w:tab w:val="left" w:pos="386"/>
                <w:tab w:val="center" w:pos="763"/>
              </w:tabs>
              <w:ind w:firstLine="0" w:firstLineChars="0"/>
              <w:jc w:val="center"/>
            </w:pPr>
            <w:r>
              <w:rPr>
                <w:rFonts w:hint="eastAsia" w:ascii="宋体" w:hAnsi="宋体" w:eastAsia="宋体"/>
                <w:color w:val="000000"/>
                <w:sz w:val="21"/>
                <w:szCs w:val="21"/>
              </w:rPr>
              <w:t>1</w:t>
            </w:r>
          </w:p>
        </w:tc>
        <w:tc>
          <w:tcPr>
            <w:tcW w:w="1624" w:type="dxa"/>
            <w:tcBorders>
              <w:top w:val="nil"/>
              <w:left w:val="nil"/>
              <w:bottom w:val="single" w:color="auto" w:sz="4" w:space="0"/>
              <w:right w:val="single" w:color="auto" w:sz="4" w:space="0"/>
            </w:tcBorders>
            <w:shd w:val="clear" w:color="auto" w:fill="auto"/>
            <w:vAlign w:val="center"/>
          </w:tcPr>
          <w:p>
            <w:pPr>
              <w:ind w:firstLine="0" w:firstLineChars="0"/>
              <w:jc w:val="center"/>
              <w:rPr>
                <w:rFonts w:ascii="宋体" w:hAnsi="宋体" w:eastAsia="宋体"/>
                <w:color w:val="000000"/>
                <w:sz w:val="21"/>
                <w:szCs w:val="21"/>
              </w:rPr>
            </w:pPr>
            <w:r>
              <w:rPr>
                <w:rFonts w:hint="eastAsia" w:ascii="宋体" w:hAnsi="宋体" w:eastAsia="宋体"/>
                <w:color w:val="000000"/>
                <w:sz w:val="21"/>
                <w:szCs w:val="21"/>
              </w:rPr>
              <w:t>一次性</w:t>
            </w:r>
          </w:p>
        </w:tc>
      </w:tr>
      <w:tr>
        <w:tblPrEx>
          <w:tblLayout w:type="fixed"/>
          <w:tblCellMar>
            <w:top w:w="0" w:type="dxa"/>
            <w:left w:w="108" w:type="dxa"/>
            <w:bottom w:w="0" w:type="dxa"/>
            <w:right w:w="108" w:type="dxa"/>
          </w:tblCellMar>
        </w:tblPrEx>
        <w:trPr>
          <w:trHeight w:val="263" w:hRule="atLeast"/>
        </w:trPr>
        <w:tc>
          <w:tcPr>
            <w:tcW w:w="720" w:type="dxa"/>
            <w:tcBorders>
              <w:top w:val="nil"/>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eastAsia="宋体"/>
                <w:color w:val="000000"/>
                <w:sz w:val="21"/>
                <w:szCs w:val="21"/>
              </w:rPr>
            </w:pPr>
            <w:r>
              <w:rPr>
                <w:rFonts w:hint="eastAsia" w:ascii="宋体" w:hAnsi="宋体" w:eastAsia="宋体"/>
                <w:color w:val="000000"/>
                <w:sz w:val="21"/>
                <w:szCs w:val="21"/>
              </w:rPr>
              <w:t>2</w:t>
            </w:r>
          </w:p>
        </w:tc>
        <w:tc>
          <w:tcPr>
            <w:tcW w:w="1545" w:type="dxa"/>
            <w:tcBorders>
              <w:top w:val="nil"/>
              <w:left w:val="nil"/>
              <w:bottom w:val="single" w:color="auto" w:sz="4" w:space="0"/>
              <w:right w:val="single" w:color="auto" w:sz="4" w:space="0"/>
            </w:tcBorders>
            <w:shd w:val="clear" w:color="auto" w:fill="auto"/>
            <w:vAlign w:val="center"/>
          </w:tcPr>
          <w:p>
            <w:pPr>
              <w:ind w:firstLine="0" w:firstLineChars="0"/>
              <w:rPr>
                <w:rFonts w:ascii="宋体" w:hAnsi="宋体" w:eastAsia="宋体"/>
                <w:color w:val="000000"/>
                <w:sz w:val="21"/>
                <w:szCs w:val="21"/>
              </w:rPr>
            </w:pPr>
            <w:r>
              <w:rPr>
                <w:rFonts w:hint="eastAsia" w:ascii="宋体" w:hAnsi="宋体" w:eastAsia="宋体"/>
                <w:color w:val="000000"/>
                <w:sz w:val="21"/>
                <w:szCs w:val="21"/>
              </w:rPr>
              <w:t>移动融媒系统</w:t>
            </w:r>
          </w:p>
        </w:tc>
        <w:tc>
          <w:tcPr>
            <w:tcW w:w="2267" w:type="dxa"/>
            <w:tcBorders>
              <w:top w:val="nil"/>
              <w:left w:val="nil"/>
              <w:bottom w:val="single" w:color="auto" w:sz="4" w:space="0"/>
              <w:right w:val="single" w:color="auto" w:sz="4" w:space="0"/>
            </w:tcBorders>
            <w:shd w:val="clear" w:color="auto" w:fill="auto"/>
            <w:vAlign w:val="center"/>
          </w:tcPr>
          <w:p>
            <w:pPr>
              <w:ind w:firstLine="0" w:firstLineChars="0"/>
              <w:jc w:val="center"/>
            </w:pPr>
            <w:r>
              <w:rPr>
                <w:rFonts w:hint="eastAsia"/>
                <w:sz w:val="21"/>
                <w:szCs w:val="21"/>
                <w:lang w:eastAsia="zh-CN"/>
              </w:rPr>
              <w:t>详见详细技术要求</w:t>
            </w:r>
          </w:p>
        </w:tc>
        <w:tc>
          <w:tcPr>
            <w:tcW w:w="1624" w:type="dxa"/>
            <w:tcBorders>
              <w:top w:val="nil"/>
              <w:left w:val="nil"/>
              <w:bottom w:val="single" w:color="auto" w:sz="4" w:space="0"/>
              <w:right w:val="single" w:color="auto" w:sz="4" w:space="0"/>
            </w:tcBorders>
            <w:shd w:val="clear" w:color="auto" w:fill="auto"/>
            <w:vAlign w:val="center"/>
          </w:tcPr>
          <w:p>
            <w:pPr>
              <w:ind w:firstLine="0" w:firstLineChars="0"/>
              <w:jc w:val="center"/>
              <w:rPr>
                <w:rFonts w:hint="eastAsia" w:ascii="宋体" w:hAnsi="宋体" w:eastAsia="宋体"/>
                <w:color w:val="000000"/>
                <w:sz w:val="21"/>
                <w:szCs w:val="21"/>
              </w:rPr>
            </w:pPr>
            <w:r>
              <w:rPr>
                <w:rFonts w:hint="eastAsia" w:ascii="宋体" w:hAnsi="宋体" w:eastAsia="宋体"/>
                <w:color w:val="000000"/>
                <w:sz w:val="21"/>
                <w:szCs w:val="21"/>
              </w:rPr>
              <w:t>套</w:t>
            </w:r>
          </w:p>
        </w:tc>
        <w:tc>
          <w:tcPr>
            <w:tcW w:w="1624" w:type="dxa"/>
            <w:tcBorders>
              <w:top w:val="nil"/>
              <w:left w:val="nil"/>
              <w:bottom w:val="single" w:color="auto" w:sz="4" w:space="0"/>
              <w:right w:val="single" w:color="auto" w:sz="4" w:space="0"/>
            </w:tcBorders>
            <w:shd w:val="clear" w:color="auto" w:fill="auto"/>
            <w:vAlign w:val="center"/>
          </w:tcPr>
          <w:p>
            <w:pPr>
              <w:ind w:firstLine="0" w:firstLineChars="0"/>
              <w:jc w:val="center"/>
            </w:pPr>
            <w:r>
              <w:rPr>
                <w:rFonts w:hint="eastAsia" w:ascii="宋体" w:hAnsi="宋体" w:eastAsia="宋体"/>
                <w:color w:val="000000"/>
                <w:sz w:val="21"/>
                <w:szCs w:val="21"/>
              </w:rPr>
              <w:t>1</w:t>
            </w:r>
          </w:p>
        </w:tc>
        <w:tc>
          <w:tcPr>
            <w:tcW w:w="1624" w:type="dxa"/>
            <w:tcBorders>
              <w:top w:val="nil"/>
              <w:left w:val="nil"/>
              <w:bottom w:val="single" w:color="auto" w:sz="4" w:space="0"/>
              <w:right w:val="single" w:color="auto" w:sz="4" w:space="0"/>
            </w:tcBorders>
            <w:shd w:val="clear" w:color="auto" w:fill="auto"/>
            <w:vAlign w:val="center"/>
          </w:tcPr>
          <w:p>
            <w:pPr>
              <w:ind w:firstLine="0" w:firstLineChars="0"/>
              <w:jc w:val="center"/>
              <w:rPr>
                <w:rFonts w:ascii="宋体" w:hAnsi="宋体" w:eastAsia="宋体"/>
                <w:color w:val="000000"/>
                <w:sz w:val="21"/>
                <w:szCs w:val="21"/>
              </w:rPr>
            </w:pPr>
            <w:r>
              <w:rPr>
                <w:rFonts w:hint="eastAsia" w:ascii="宋体" w:hAnsi="宋体" w:eastAsia="宋体"/>
                <w:color w:val="000000"/>
                <w:sz w:val="21"/>
                <w:szCs w:val="21"/>
              </w:rPr>
              <w:t>一次性</w:t>
            </w:r>
          </w:p>
        </w:tc>
      </w:tr>
      <w:tr>
        <w:tblPrEx>
          <w:tblLayout w:type="fixed"/>
          <w:tblCellMar>
            <w:top w:w="0" w:type="dxa"/>
            <w:left w:w="108" w:type="dxa"/>
            <w:bottom w:w="0" w:type="dxa"/>
            <w:right w:w="108" w:type="dxa"/>
          </w:tblCellMar>
        </w:tblPrEx>
        <w:trPr>
          <w:trHeight w:val="532" w:hRule="atLeast"/>
        </w:trPr>
        <w:tc>
          <w:tcPr>
            <w:tcW w:w="720" w:type="dxa"/>
            <w:tcBorders>
              <w:top w:val="nil"/>
              <w:left w:val="single" w:color="auto" w:sz="4" w:space="0"/>
              <w:bottom w:val="single" w:color="auto" w:sz="4" w:space="0"/>
              <w:right w:val="single" w:color="auto" w:sz="4" w:space="0"/>
            </w:tcBorders>
            <w:shd w:val="clear" w:color="auto" w:fill="auto"/>
            <w:vAlign w:val="center"/>
          </w:tcPr>
          <w:p>
            <w:pPr>
              <w:ind w:firstLine="0" w:firstLineChars="0"/>
              <w:jc w:val="center"/>
              <w:rPr>
                <w:rFonts w:hint="eastAsia" w:ascii="宋体" w:hAnsi="宋体" w:eastAsia="宋体"/>
                <w:color w:val="000000"/>
                <w:sz w:val="21"/>
                <w:szCs w:val="21"/>
                <w:lang w:val="en-US" w:eastAsia="zh-CN"/>
              </w:rPr>
            </w:pPr>
            <w:r>
              <w:rPr>
                <w:rFonts w:hint="eastAsia" w:ascii="宋体" w:hAnsi="宋体"/>
                <w:color w:val="000000"/>
                <w:sz w:val="21"/>
                <w:szCs w:val="21"/>
                <w:lang w:val="en-US" w:eastAsia="zh-CN"/>
              </w:rPr>
              <w:t>3</w:t>
            </w:r>
          </w:p>
        </w:tc>
        <w:tc>
          <w:tcPr>
            <w:tcW w:w="1545" w:type="dxa"/>
            <w:tcBorders>
              <w:top w:val="nil"/>
              <w:left w:val="nil"/>
              <w:bottom w:val="single" w:color="auto" w:sz="4" w:space="0"/>
              <w:right w:val="single" w:color="auto" w:sz="4" w:space="0"/>
            </w:tcBorders>
            <w:shd w:val="clear" w:color="auto" w:fill="auto"/>
            <w:vAlign w:val="center"/>
          </w:tcPr>
          <w:p>
            <w:pPr>
              <w:ind w:firstLine="0" w:firstLineChars="0"/>
              <w:rPr>
                <w:rFonts w:hint="eastAsia" w:ascii="宋体" w:hAnsi="宋体" w:eastAsia="宋体"/>
                <w:color w:val="000000"/>
                <w:sz w:val="21"/>
                <w:szCs w:val="21"/>
              </w:rPr>
            </w:pPr>
            <w:r>
              <w:rPr>
                <w:rFonts w:hint="eastAsia" w:ascii="宋体" w:hAnsi="宋体" w:eastAsia="宋体"/>
                <w:color w:val="000000"/>
                <w:sz w:val="21"/>
                <w:szCs w:val="21"/>
                <w:lang w:val="zh-CN"/>
              </w:rPr>
              <w:t>运营分析与推荐系统</w:t>
            </w:r>
          </w:p>
        </w:tc>
        <w:tc>
          <w:tcPr>
            <w:tcW w:w="2267" w:type="dxa"/>
            <w:tcBorders>
              <w:top w:val="nil"/>
              <w:left w:val="nil"/>
              <w:bottom w:val="single" w:color="auto" w:sz="4" w:space="0"/>
              <w:right w:val="single" w:color="auto" w:sz="4" w:space="0"/>
            </w:tcBorders>
            <w:shd w:val="clear" w:color="auto" w:fill="auto"/>
            <w:vAlign w:val="center"/>
          </w:tcPr>
          <w:p>
            <w:pPr>
              <w:ind w:firstLine="0" w:firstLineChars="0"/>
              <w:jc w:val="center"/>
              <w:rPr>
                <w:rFonts w:hint="eastAsia"/>
                <w:sz w:val="21"/>
                <w:szCs w:val="21"/>
                <w:lang w:eastAsia="zh-CN"/>
              </w:rPr>
            </w:pPr>
            <w:r>
              <w:rPr>
                <w:rFonts w:hint="eastAsia"/>
                <w:sz w:val="21"/>
                <w:szCs w:val="21"/>
                <w:lang w:eastAsia="zh-CN"/>
              </w:rPr>
              <w:t>详见详细技术要求</w:t>
            </w:r>
          </w:p>
        </w:tc>
        <w:tc>
          <w:tcPr>
            <w:tcW w:w="1624" w:type="dxa"/>
            <w:tcBorders>
              <w:top w:val="nil"/>
              <w:left w:val="nil"/>
              <w:bottom w:val="single" w:color="auto" w:sz="4" w:space="0"/>
              <w:right w:val="single" w:color="auto" w:sz="4" w:space="0"/>
            </w:tcBorders>
            <w:shd w:val="clear" w:color="auto" w:fill="auto"/>
            <w:vAlign w:val="center"/>
          </w:tcPr>
          <w:p>
            <w:pPr>
              <w:ind w:firstLine="0" w:firstLineChars="0"/>
              <w:jc w:val="center"/>
              <w:rPr>
                <w:rFonts w:hint="eastAsia" w:ascii="宋体" w:hAnsi="宋体" w:eastAsia="宋体"/>
                <w:color w:val="000000"/>
                <w:sz w:val="21"/>
                <w:szCs w:val="21"/>
                <w:lang w:eastAsia="zh-CN"/>
              </w:rPr>
            </w:pPr>
            <w:r>
              <w:rPr>
                <w:rFonts w:hint="eastAsia" w:ascii="宋体" w:hAnsi="宋体"/>
                <w:color w:val="000000"/>
                <w:sz w:val="21"/>
                <w:szCs w:val="21"/>
                <w:lang w:eastAsia="zh-CN"/>
              </w:rPr>
              <w:t>套</w:t>
            </w:r>
          </w:p>
        </w:tc>
        <w:tc>
          <w:tcPr>
            <w:tcW w:w="1624" w:type="dxa"/>
            <w:tcBorders>
              <w:top w:val="nil"/>
              <w:left w:val="nil"/>
              <w:bottom w:val="single" w:color="auto" w:sz="4" w:space="0"/>
              <w:right w:val="single" w:color="auto" w:sz="4" w:space="0"/>
            </w:tcBorders>
            <w:shd w:val="clear" w:color="auto" w:fill="auto"/>
            <w:vAlign w:val="center"/>
          </w:tcPr>
          <w:p>
            <w:pPr>
              <w:ind w:firstLine="0" w:firstLineChars="0"/>
              <w:jc w:val="center"/>
              <w:rPr>
                <w:rFonts w:hint="eastAsia" w:ascii="宋体" w:hAnsi="宋体" w:eastAsia="宋体"/>
                <w:color w:val="000000"/>
                <w:sz w:val="21"/>
                <w:szCs w:val="21"/>
                <w:lang w:val="en-US" w:eastAsia="zh-CN"/>
              </w:rPr>
            </w:pPr>
            <w:r>
              <w:rPr>
                <w:rFonts w:hint="eastAsia" w:ascii="宋体" w:hAnsi="宋体"/>
                <w:color w:val="000000"/>
                <w:sz w:val="21"/>
                <w:szCs w:val="21"/>
                <w:lang w:val="en-US" w:eastAsia="zh-CN"/>
              </w:rPr>
              <w:t>1</w:t>
            </w:r>
          </w:p>
        </w:tc>
        <w:tc>
          <w:tcPr>
            <w:tcW w:w="1624" w:type="dxa"/>
            <w:tcBorders>
              <w:top w:val="nil"/>
              <w:left w:val="nil"/>
              <w:bottom w:val="single" w:color="auto" w:sz="4" w:space="0"/>
              <w:right w:val="single" w:color="auto" w:sz="4" w:space="0"/>
            </w:tcBorders>
            <w:shd w:val="clear" w:color="auto" w:fill="auto"/>
            <w:vAlign w:val="center"/>
          </w:tcPr>
          <w:p>
            <w:pPr>
              <w:ind w:firstLine="0" w:firstLineChars="0"/>
              <w:jc w:val="center"/>
              <w:rPr>
                <w:rFonts w:hint="eastAsia" w:ascii="宋体" w:hAnsi="宋体" w:eastAsia="宋体"/>
                <w:color w:val="000000"/>
                <w:sz w:val="21"/>
                <w:szCs w:val="21"/>
              </w:rPr>
            </w:pPr>
            <w:r>
              <w:rPr>
                <w:rFonts w:hint="eastAsia" w:ascii="宋体" w:hAnsi="宋体" w:eastAsia="宋体"/>
                <w:color w:val="000000"/>
                <w:sz w:val="21"/>
                <w:szCs w:val="21"/>
              </w:rPr>
              <w:t>一次性</w:t>
            </w:r>
          </w:p>
        </w:tc>
      </w:tr>
      <w:tr>
        <w:tblPrEx>
          <w:tblLayout w:type="fixed"/>
          <w:tblCellMar>
            <w:top w:w="0" w:type="dxa"/>
            <w:left w:w="108" w:type="dxa"/>
            <w:bottom w:w="0" w:type="dxa"/>
            <w:right w:w="108" w:type="dxa"/>
          </w:tblCellMar>
        </w:tblPrEx>
        <w:trPr>
          <w:trHeight w:val="306" w:hRule="atLeast"/>
        </w:trPr>
        <w:tc>
          <w:tcPr>
            <w:tcW w:w="720" w:type="dxa"/>
            <w:tcBorders>
              <w:top w:val="nil"/>
              <w:left w:val="single" w:color="auto" w:sz="4" w:space="0"/>
              <w:bottom w:val="single" w:color="auto" w:sz="4" w:space="0"/>
              <w:right w:val="single" w:color="auto" w:sz="4" w:space="0"/>
            </w:tcBorders>
            <w:shd w:val="clear" w:color="auto" w:fill="auto"/>
            <w:vAlign w:val="center"/>
          </w:tcPr>
          <w:p>
            <w:pPr>
              <w:ind w:firstLine="0" w:firstLineChars="0"/>
              <w:jc w:val="center"/>
              <w:rPr>
                <w:rFonts w:hint="eastAsia" w:ascii="宋体" w:hAnsi="宋体" w:eastAsia="宋体"/>
                <w:color w:val="000000"/>
                <w:sz w:val="21"/>
                <w:szCs w:val="21"/>
                <w:lang w:eastAsia="zh-CN"/>
              </w:rPr>
            </w:pPr>
            <w:r>
              <w:rPr>
                <w:rFonts w:hint="eastAsia" w:ascii="宋体" w:hAnsi="宋体"/>
                <w:color w:val="000000"/>
                <w:sz w:val="21"/>
                <w:szCs w:val="21"/>
                <w:lang w:val="en-US" w:eastAsia="zh-CN"/>
              </w:rPr>
              <w:t>4</w:t>
            </w:r>
          </w:p>
        </w:tc>
        <w:tc>
          <w:tcPr>
            <w:tcW w:w="1545" w:type="dxa"/>
            <w:tcBorders>
              <w:top w:val="nil"/>
              <w:left w:val="nil"/>
              <w:bottom w:val="single" w:color="auto" w:sz="4" w:space="0"/>
              <w:right w:val="single" w:color="auto" w:sz="4" w:space="0"/>
            </w:tcBorders>
            <w:shd w:val="clear" w:color="auto" w:fill="auto"/>
            <w:vAlign w:val="center"/>
          </w:tcPr>
          <w:p>
            <w:pPr>
              <w:ind w:firstLine="0" w:firstLineChars="0"/>
              <w:rPr>
                <w:rFonts w:ascii="宋体" w:hAnsi="宋体" w:eastAsia="宋体"/>
                <w:color w:val="000000"/>
                <w:sz w:val="21"/>
                <w:szCs w:val="21"/>
              </w:rPr>
            </w:pPr>
            <w:r>
              <w:rPr>
                <w:rFonts w:hint="eastAsia" w:ascii="宋体" w:hAnsi="宋体" w:eastAsia="宋体"/>
                <w:color w:val="000000"/>
                <w:sz w:val="21"/>
                <w:szCs w:val="21"/>
              </w:rPr>
              <w:t>系统对接</w:t>
            </w:r>
          </w:p>
        </w:tc>
        <w:tc>
          <w:tcPr>
            <w:tcW w:w="2267" w:type="dxa"/>
            <w:tcBorders>
              <w:top w:val="nil"/>
              <w:left w:val="nil"/>
              <w:bottom w:val="single" w:color="auto" w:sz="4" w:space="0"/>
              <w:right w:val="single" w:color="auto" w:sz="4" w:space="0"/>
            </w:tcBorders>
            <w:shd w:val="clear" w:color="auto" w:fill="auto"/>
            <w:vAlign w:val="center"/>
          </w:tcPr>
          <w:p>
            <w:pPr>
              <w:ind w:firstLine="0" w:firstLineChars="0"/>
              <w:jc w:val="center"/>
            </w:pPr>
            <w:r>
              <w:rPr>
                <w:rFonts w:hint="eastAsia" w:ascii="宋体" w:hAnsi="宋体" w:eastAsia="宋体"/>
                <w:color w:val="000000"/>
                <w:sz w:val="21"/>
                <w:szCs w:val="21"/>
              </w:rPr>
              <w:t>定制开发</w:t>
            </w:r>
          </w:p>
        </w:tc>
        <w:tc>
          <w:tcPr>
            <w:tcW w:w="1624" w:type="dxa"/>
            <w:tcBorders>
              <w:top w:val="nil"/>
              <w:left w:val="nil"/>
              <w:bottom w:val="single" w:color="auto" w:sz="4" w:space="0"/>
              <w:right w:val="single" w:color="auto" w:sz="4" w:space="0"/>
            </w:tcBorders>
            <w:shd w:val="clear" w:color="auto" w:fill="auto"/>
            <w:vAlign w:val="center"/>
          </w:tcPr>
          <w:p>
            <w:pPr>
              <w:ind w:firstLine="0" w:firstLineChars="0"/>
              <w:jc w:val="center"/>
              <w:rPr>
                <w:rFonts w:hint="eastAsia" w:ascii="宋体" w:hAnsi="宋体" w:eastAsia="宋体"/>
                <w:color w:val="000000"/>
                <w:sz w:val="21"/>
                <w:szCs w:val="21"/>
              </w:rPr>
            </w:pPr>
            <w:r>
              <w:rPr>
                <w:rFonts w:hint="eastAsia" w:ascii="宋体" w:hAnsi="宋体" w:eastAsia="宋体"/>
                <w:color w:val="000000"/>
                <w:sz w:val="21"/>
                <w:szCs w:val="21"/>
              </w:rPr>
              <w:t>项</w:t>
            </w:r>
          </w:p>
        </w:tc>
        <w:tc>
          <w:tcPr>
            <w:tcW w:w="1624" w:type="dxa"/>
            <w:tcBorders>
              <w:top w:val="nil"/>
              <w:left w:val="nil"/>
              <w:bottom w:val="single" w:color="auto" w:sz="4" w:space="0"/>
              <w:right w:val="single" w:color="auto" w:sz="4" w:space="0"/>
            </w:tcBorders>
            <w:shd w:val="clear" w:color="auto" w:fill="auto"/>
            <w:vAlign w:val="center"/>
          </w:tcPr>
          <w:p>
            <w:pPr>
              <w:ind w:firstLine="0" w:firstLineChars="0"/>
              <w:jc w:val="center"/>
            </w:pPr>
            <w:r>
              <w:rPr>
                <w:rFonts w:hint="eastAsia" w:ascii="宋体" w:hAnsi="宋体" w:eastAsia="宋体"/>
                <w:color w:val="000000"/>
                <w:sz w:val="21"/>
                <w:szCs w:val="21"/>
              </w:rPr>
              <w:t>1</w:t>
            </w:r>
          </w:p>
        </w:tc>
        <w:tc>
          <w:tcPr>
            <w:tcW w:w="1624" w:type="dxa"/>
            <w:tcBorders>
              <w:top w:val="nil"/>
              <w:left w:val="nil"/>
              <w:bottom w:val="single" w:color="auto" w:sz="4" w:space="0"/>
              <w:right w:val="single" w:color="auto" w:sz="4" w:space="0"/>
            </w:tcBorders>
            <w:shd w:val="clear" w:color="auto" w:fill="auto"/>
            <w:vAlign w:val="center"/>
          </w:tcPr>
          <w:p>
            <w:pPr>
              <w:ind w:firstLine="0" w:firstLineChars="0"/>
              <w:jc w:val="center"/>
              <w:rPr>
                <w:rFonts w:ascii="宋体" w:hAnsi="宋体" w:eastAsia="宋体"/>
                <w:color w:val="000000"/>
                <w:sz w:val="21"/>
                <w:szCs w:val="21"/>
              </w:rPr>
            </w:pPr>
            <w:r>
              <w:rPr>
                <w:rFonts w:hint="eastAsia" w:ascii="宋体" w:hAnsi="宋体" w:eastAsia="宋体"/>
                <w:color w:val="000000"/>
                <w:sz w:val="21"/>
                <w:szCs w:val="21"/>
              </w:rPr>
              <w:t>一次性</w:t>
            </w:r>
          </w:p>
        </w:tc>
      </w:tr>
      <w:tr>
        <w:tblPrEx>
          <w:tblLayout w:type="fixed"/>
          <w:tblCellMar>
            <w:top w:w="0" w:type="dxa"/>
            <w:left w:w="108" w:type="dxa"/>
            <w:bottom w:w="0" w:type="dxa"/>
            <w:right w:w="108" w:type="dxa"/>
          </w:tblCellMar>
        </w:tblPrEx>
        <w:trPr>
          <w:trHeight w:val="324" w:hRule="atLeast"/>
        </w:trPr>
        <w:tc>
          <w:tcPr>
            <w:tcW w:w="720" w:type="dxa"/>
            <w:tcBorders>
              <w:top w:val="nil"/>
              <w:left w:val="single" w:color="auto" w:sz="4" w:space="0"/>
              <w:bottom w:val="single" w:color="auto" w:sz="4" w:space="0"/>
              <w:right w:val="single" w:color="auto" w:sz="4" w:space="0"/>
            </w:tcBorders>
            <w:shd w:val="clear" w:color="auto" w:fill="auto"/>
            <w:vAlign w:val="center"/>
          </w:tcPr>
          <w:p>
            <w:pPr>
              <w:ind w:firstLine="0" w:firstLineChars="0"/>
              <w:jc w:val="center"/>
              <w:rPr>
                <w:rFonts w:hint="eastAsia" w:ascii="宋体" w:hAnsi="宋体" w:eastAsia="宋体"/>
                <w:color w:val="000000"/>
                <w:sz w:val="21"/>
                <w:szCs w:val="21"/>
                <w:lang w:eastAsia="zh-CN"/>
              </w:rPr>
            </w:pPr>
            <w:r>
              <w:rPr>
                <w:rFonts w:hint="eastAsia" w:ascii="宋体" w:hAnsi="宋体"/>
                <w:color w:val="000000"/>
                <w:sz w:val="21"/>
                <w:szCs w:val="21"/>
                <w:lang w:val="en-US" w:eastAsia="zh-CN"/>
              </w:rPr>
              <w:t>5</w:t>
            </w:r>
          </w:p>
        </w:tc>
        <w:tc>
          <w:tcPr>
            <w:tcW w:w="1545" w:type="dxa"/>
            <w:tcBorders>
              <w:top w:val="nil"/>
              <w:left w:val="nil"/>
              <w:bottom w:val="single" w:color="auto" w:sz="4" w:space="0"/>
              <w:right w:val="single" w:color="auto" w:sz="4" w:space="0"/>
            </w:tcBorders>
            <w:shd w:val="clear" w:color="auto" w:fill="auto"/>
            <w:vAlign w:val="center"/>
          </w:tcPr>
          <w:p>
            <w:pPr>
              <w:ind w:firstLine="0" w:firstLineChars="0"/>
              <w:rPr>
                <w:rFonts w:ascii="宋体" w:hAnsi="宋体" w:eastAsia="宋体"/>
                <w:color w:val="000000"/>
                <w:sz w:val="21"/>
                <w:szCs w:val="21"/>
              </w:rPr>
            </w:pPr>
            <w:r>
              <w:rPr>
                <w:rFonts w:hint="eastAsia" w:ascii="宋体" w:hAnsi="宋体" w:eastAsia="宋体"/>
                <w:color w:val="000000"/>
                <w:sz w:val="21"/>
                <w:szCs w:val="21"/>
              </w:rPr>
              <w:t>系统实施</w:t>
            </w:r>
          </w:p>
        </w:tc>
        <w:tc>
          <w:tcPr>
            <w:tcW w:w="2267" w:type="dxa"/>
            <w:tcBorders>
              <w:top w:val="nil"/>
              <w:left w:val="nil"/>
              <w:bottom w:val="single" w:color="auto" w:sz="4" w:space="0"/>
              <w:right w:val="single" w:color="auto" w:sz="4" w:space="0"/>
            </w:tcBorders>
            <w:shd w:val="clear" w:color="auto" w:fill="auto"/>
            <w:vAlign w:val="center"/>
          </w:tcPr>
          <w:p>
            <w:pPr>
              <w:ind w:firstLine="0" w:firstLineChars="0"/>
              <w:jc w:val="center"/>
            </w:pPr>
            <w:r>
              <w:rPr>
                <w:rFonts w:hint="eastAsia" w:ascii="宋体" w:hAnsi="宋体" w:eastAsia="宋体"/>
                <w:color w:val="000000"/>
                <w:sz w:val="21"/>
                <w:szCs w:val="21"/>
              </w:rPr>
              <w:t>定制服务</w:t>
            </w:r>
          </w:p>
        </w:tc>
        <w:tc>
          <w:tcPr>
            <w:tcW w:w="1624" w:type="dxa"/>
            <w:tcBorders>
              <w:top w:val="nil"/>
              <w:left w:val="nil"/>
              <w:bottom w:val="single" w:color="auto" w:sz="4" w:space="0"/>
              <w:right w:val="single" w:color="auto" w:sz="4" w:space="0"/>
            </w:tcBorders>
            <w:shd w:val="clear" w:color="auto" w:fill="auto"/>
            <w:vAlign w:val="center"/>
          </w:tcPr>
          <w:p>
            <w:pPr>
              <w:ind w:firstLine="0" w:firstLineChars="0"/>
              <w:jc w:val="center"/>
              <w:rPr>
                <w:rFonts w:hint="eastAsia" w:ascii="宋体" w:hAnsi="宋体" w:eastAsia="宋体"/>
                <w:color w:val="000000"/>
                <w:sz w:val="21"/>
                <w:szCs w:val="21"/>
              </w:rPr>
            </w:pPr>
            <w:r>
              <w:rPr>
                <w:rFonts w:hint="eastAsia" w:ascii="宋体" w:hAnsi="宋体" w:eastAsia="宋体"/>
                <w:color w:val="000000"/>
                <w:sz w:val="21"/>
                <w:szCs w:val="21"/>
              </w:rPr>
              <w:t>项</w:t>
            </w:r>
          </w:p>
        </w:tc>
        <w:tc>
          <w:tcPr>
            <w:tcW w:w="1624" w:type="dxa"/>
            <w:tcBorders>
              <w:top w:val="nil"/>
              <w:left w:val="nil"/>
              <w:bottom w:val="single" w:color="auto" w:sz="4" w:space="0"/>
              <w:right w:val="single" w:color="auto" w:sz="4" w:space="0"/>
            </w:tcBorders>
            <w:shd w:val="clear" w:color="auto" w:fill="auto"/>
            <w:vAlign w:val="center"/>
          </w:tcPr>
          <w:p>
            <w:pPr>
              <w:ind w:firstLine="0" w:firstLineChars="0"/>
              <w:jc w:val="center"/>
            </w:pPr>
            <w:r>
              <w:rPr>
                <w:rFonts w:hint="eastAsia" w:ascii="宋体" w:hAnsi="宋体" w:eastAsia="宋体"/>
                <w:color w:val="000000"/>
                <w:sz w:val="21"/>
                <w:szCs w:val="21"/>
              </w:rPr>
              <w:t>1</w:t>
            </w:r>
          </w:p>
        </w:tc>
        <w:tc>
          <w:tcPr>
            <w:tcW w:w="1624" w:type="dxa"/>
            <w:tcBorders>
              <w:top w:val="nil"/>
              <w:left w:val="nil"/>
              <w:bottom w:val="single" w:color="auto" w:sz="4" w:space="0"/>
              <w:right w:val="single" w:color="auto" w:sz="4" w:space="0"/>
            </w:tcBorders>
            <w:shd w:val="clear" w:color="auto" w:fill="auto"/>
            <w:vAlign w:val="center"/>
          </w:tcPr>
          <w:p>
            <w:pPr>
              <w:ind w:firstLine="0" w:firstLineChars="0"/>
              <w:jc w:val="center"/>
              <w:rPr>
                <w:rFonts w:ascii="宋体" w:hAnsi="宋体" w:eastAsia="宋体"/>
                <w:color w:val="000000"/>
                <w:sz w:val="21"/>
                <w:szCs w:val="21"/>
              </w:rPr>
            </w:pPr>
            <w:r>
              <w:rPr>
                <w:rFonts w:hint="eastAsia" w:ascii="宋体" w:hAnsi="宋体" w:eastAsia="宋体"/>
                <w:color w:val="000000"/>
                <w:sz w:val="21"/>
                <w:szCs w:val="21"/>
              </w:rPr>
              <w:t>一次性</w:t>
            </w:r>
          </w:p>
        </w:tc>
      </w:tr>
    </w:tbl>
    <w:p>
      <w:pPr>
        <w:widowControl/>
        <w:shd w:val="clear" w:color="auto" w:fill="FFFFFF"/>
        <w:spacing w:line="360" w:lineRule="auto"/>
        <w:ind w:firstLine="482" w:firstLineChars="200"/>
        <w:contextualSpacing/>
        <w:jc w:val="left"/>
        <w:rPr>
          <w:rFonts w:hint="eastAsia" w:cs="黑体" w:asciiTheme="minorEastAsia" w:hAnsiTheme="minorEastAsia"/>
          <w:b/>
          <w:bCs/>
          <w:color w:val="000000"/>
          <w:szCs w:val="21"/>
          <w:shd w:val="clear" w:color="auto" w:fill="FFFFFF"/>
          <w:lang w:val="zh-CN"/>
        </w:rPr>
      </w:pPr>
      <w:bookmarkStart w:id="2" w:name="_Toc1498"/>
      <w:r>
        <w:rPr>
          <w:rFonts w:hint="eastAsia" w:cs="黑体" w:asciiTheme="minorEastAsia" w:hAnsiTheme="minorEastAsia"/>
          <w:b/>
          <w:bCs/>
          <w:color w:val="000000"/>
          <w:szCs w:val="21"/>
          <w:shd w:val="clear" w:color="auto" w:fill="FFFFFF"/>
          <w:lang w:val="zh-CN"/>
        </w:rPr>
        <w:t>（二）项目背景</w:t>
      </w:r>
      <w:bookmarkEnd w:id="2"/>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推动传统媒体和新兴媒体融合发展，是党中央着眼巩固宣传思想文化阵地、壮大主流思想舆论提出的重大战略。媒体融合发展全面破题以来，许昌报业传媒集团认真贯彻落实习近平总书记关于媒体融合发展重要讲话精神和中央关于推动传统媒体和新兴媒体融合发展的战略部署，不断推动传统媒体与新兴媒体在内容、渠道、平台、经营、管理等方面深度融合。主流媒体传播阵地得到拓展，融合新闻生产能力明显提高，新闻舆论工作气象一新。</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媒体融合发展是一项复杂的系统工程，也是一场划时代的变革与创新。中共中央政治局委员、中宣部部长刘奇葆2017年1月5日在推进媒体深度融合工作座谈会上强调“媒体融合已经到了向纵深推进的关键阶段”。省委常委、宣传部长赵素萍在全省推进媒体深度融合工作座谈会上提出“要充分认识推进媒体深度融合的重要性和紧迫性，坚定信心、乘势而上，将融合发展工作向纵深推进”。2017年1月20日，时任许昌市委书记武国定在听取全省推进媒体深度融合工作座谈会情况汇报时要求“推动媒体深度融合与智慧城市建设相结合，支持许昌手机客户端、许昌政务客户端、‘许昌发布’客户端等新媒体发展”。为贯彻落实中央、省、市领导的要求，应对媒体融合的新形势，许昌报业集团将把加快媒体融合发展作为当前和今后一个时期的战略任务和紧迫任务。做好媒体融合工作，许昌报业传媒集团需要加强对媒体融合发展的顶层设计，重点抓好“中央厨房”建设，推动传统媒体和新兴媒体尽快从相“加”迈向相“融”，建设具有区域竞争力的新型主流媒体，打造许昌一流的新型媒体集团，在服务全市经济社会发展中发挥更大的作用。</w:t>
      </w:r>
    </w:p>
    <w:p>
      <w:pPr>
        <w:widowControl/>
        <w:shd w:val="clear" w:color="auto" w:fill="FFFFFF"/>
        <w:spacing w:line="360" w:lineRule="auto"/>
        <w:ind w:firstLine="482" w:firstLineChars="200"/>
        <w:contextualSpacing/>
        <w:jc w:val="left"/>
        <w:rPr>
          <w:rFonts w:hint="eastAsia" w:cs="黑体" w:asciiTheme="minorEastAsia" w:hAnsiTheme="minorEastAsia"/>
          <w:b/>
          <w:bCs/>
          <w:color w:val="000000"/>
          <w:szCs w:val="21"/>
          <w:shd w:val="clear" w:color="auto" w:fill="FFFFFF"/>
          <w:lang w:val="zh-CN"/>
        </w:rPr>
      </w:pPr>
      <w:bookmarkStart w:id="3" w:name="_Toc513469583"/>
      <w:bookmarkStart w:id="4" w:name="_Toc1088"/>
      <w:r>
        <w:rPr>
          <w:rFonts w:hint="eastAsia" w:cs="黑体" w:asciiTheme="minorEastAsia" w:hAnsiTheme="minorEastAsia"/>
          <w:b/>
          <w:bCs/>
          <w:color w:val="000000"/>
          <w:szCs w:val="21"/>
          <w:shd w:val="clear" w:color="auto" w:fill="FFFFFF"/>
          <w:lang w:val="zh-CN"/>
        </w:rPr>
        <w:t>（三）建设目标</w:t>
      </w:r>
      <w:bookmarkEnd w:id="3"/>
      <w:bookmarkEnd w:id="4"/>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本次项目建设要求全面考虑许昌报业传媒集团媒体业务融合发展过程中需要解决的问题，以中宣部媒体融合项目建设要求为指导，以及结合目前许昌报业传媒集团的深度融合情况，围绕“中央厨房”理念为核心，构建涵盖线索汇聚、一体策划、集中指挥、协同采编、多元生成、多端发布、立体传播、科学评估的业务体系及技术支撑平台。</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许昌日报融媒体采编业务平台，要求实现以下几个方面的建设目标：</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1、要求再造许昌日报新闻采编业务流程、创新机制体制，提升报社创新力与影响力。</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2、要求能整合报社内外资源，统一管理，实现内容资源多次利用、多终端分发，提升新闻宣传与综合传播能力。</w:t>
      </w:r>
    </w:p>
    <w:p>
      <w:pPr>
        <w:spacing w:line="360" w:lineRule="auto"/>
        <w:ind w:firstLine="480" w:firstLineChars="200"/>
        <w:contextualSpacing/>
        <w:rPr>
          <w:rFonts w:hint="eastAsia" w:cs="仿宋_GB2312" w:asciiTheme="minorEastAsia" w:hAnsiTheme="minorEastAsia"/>
          <w:szCs w:val="21"/>
          <w:lang w:val="zh-CN" w:eastAsia="zh-CN"/>
        </w:rPr>
      </w:pPr>
      <w:r>
        <w:rPr>
          <w:rFonts w:hint="eastAsia" w:cs="仿宋_GB2312" w:asciiTheme="minorEastAsia" w:hAnsiTheme="minorEastAsia"/>
          <w:szCs w:val="21"/>
          <w:lang w:val="zh-CN"/>
        </w:rPr>
        <w:t>3、能够发挥传统采编优势，丰富新媒体矩阵内容表现形式，拓展渠道资源，放大报社影响力。</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4、要求实现报社内容资源与全国主流媒体渠道与内容联动，将区域优质内容向各省市分发，提升许昌整体影响力，促进许昌政治、经济、社会各方面发展，牢固构筑区域主流媒体的价值模式。</w:t>
      </w:r>
    </w:p>
    <w:p>
      <w:pPr>
        <w:widowControl/>
        <w:shd w:val="clear" w:color="auto" w:fill="FFFFFF"/>
        <w:spacing w:line="360" w:lineRule="auto"/>
        <w:ind w:firstLine="482" w:firstLineChars="200"/>
        <w:contextualSpacing/>
        <w:jc w:val="left"/>
        <w:rPr>
          <w:rFonts w:hint="eastAsia" w:cs="黑体" w:asciiTheme="minorEastAsia" w:hAnsiTheme="minorEastAsia"/>
          <w:b/>
          <w:bCs/>
          <w:color w:val="000000"/>
          <w:szCs w:val="21"/>
          <w:shd w:val="clear" w:color="auto" w:fill="FFFFFF"/>
          <w:lang w:val="zh-CN"/>
        </w:rPr>
      </w:pPr>
      <w:bookmarkStart w:id="5" w:name="_Toc24212"/>
      <w:bookmarkStart w:id="6" w:name="_Toc513469584"/>
      <w:r>
        <w:rPr>
          <w:rFonts w:hint="eastAsia" w:cs="黑体" w:asciiTheme="minorEastAsia" w:hAnsiTheme="minorEastAsia"/>
          <w:b/>
          <w:bCs/>
          <w:color w:val="000000"/>
          <w:szCs w:val="21"/>
          <w:shd w:val="clear" w:color="auto" w:fill="FFFFFF"/>
          <w:lang w:val="zh-CN"/>
        </w:rPr>
        <w:t>（四）项目总体要求</w:t>
      </w:r>
      <w:bookmarkEnd w:id="5"/>
    </w:p>
    <w:p>
      <w:pPr>
        <w:spacing w:line="360" w:lineRule="auto"/>
        <w:ind w:firstLine="480" w:firstLineChars="200"/>
        <w:contextualSpacing/>
        <w:rPr>
          <w:rFonts w:hint="eastAsia" w:cs="仿宋_GB2312" w:asciiTheme="minorEastAsia" w:hAnsiTheme="minorEastAsia"/>
          <w:szCs w:val="21"/>
          <w:lang w:val="zh-CN"/>
        </w:rPr>
      </w:pPr>
      <w:bookmarkStart w:id="7" w:name="_Toc17014"/>
      <w:r>
        <w:rPr>
          <w:rFonts w:hint="eastAsia" w:cs="仿宋_GB2312" w:asciiTheme="minorEastAsia" w:hAnsiTheme="minorEastAsia"/>
          <w:szCs w:val="21"/>
          <w:lang w:val="en-US" w:eastAsia="zh-CN"/>
        </w:rPr>
        <w:t>4.1</w:t>
      </w:r>
      <w:r>
        <w:rPr>
          <w:rFonts w:hint="eastAsia" w:cs="仿宋_GB2312" w:asciiTheme="minorEastAsia" w:hAnsiTheme="minorEastAsia"/>
          <w:szCs w:val="21"/>
          <w:lang w:val="zh-CN"/>
        </w:rPr>
        <w:t>总体业务流程要求</w:t>
      </w:r>
      <w:bookmarkEnd w:id="7"/>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在本项目中，投标人需要根据媒体融合发展规律，设计符合许昌日报业务运行逻辑的流程，以“打通互联、协作共享、全面融合、决策支持”的核心理念，提供先进、成熟的技术产品，支撑“策采编发评”各业务的展开。</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投标人需熟悉纸媒与新媒体的生产流程，深刻理解融媒体理念，能够在内容的统筹策划、协同生产、多元发布、评价反馈等方面提供完整的流程设计，要求设计的流程能够以内容为核心，贯穿“策采编发评”全流程，可以实现内容的“统筹策划，一次采集，多样化加工，多元产品，多平台发布、立体传播”，重点支持移动互联网的新兴媒体渠道。建设的融媒体技术平台，可满足在不同融媒体流程环节中业务运转、产品制作、内容输出的各项需求。</w:t>
      </w:r>
    </w:p>
    <w:p>
      <w:pPr>
        <w:spacing w:line="360" w:lineRule="auto"/>
        <w:ind w:firstLine="480" w:firstLineChars="200"/>
        <w:contextualSpacing/>
        <w:rPr>
          <w:rFonts w:hint="eastAsia" w:cs="仿宋_GB2312" w:asciiTheme="minorEastAsia" w:hAnsiTheme="minorEastAsia"/>
          <w:szCs w:val="21"/>
          <w:lang w:val="zh-CN"/>
        </w:rPr>
      </w:pPr>
      <w:bookmarkStart w:id="8" w:name="_Toc9190"/>
      <w:r>
        <w:rPr>
          <w:rFonts w:hint="eastAsia" w:cs="仿宋_GB2312" w:asciiTheme="minorEastAsia" w:hAnsiTheme="minorEastAsia"/>
          <w:szCs w:val="21"/>
          <w:lang w:val="en-US" w:eastAsia="zh-CN"/>
        </w:rPr>
        <w:t>4.2</w:t>
      </w:r>
      <w:r>
        <w:rPr>
          <w:rFonts w:hint="eastAsia" w:cs="仿宋_GB2312" w:asciiTheme="minorEastAsia" w:hAnsiTheme="minorEastAsia"/>
          <w:szCs w:val="21"/>
          <w:lang w:val="zh-CN"/>
        </w:rPr>
        <w:t>总体架构设计要求</w:t>
      </w:r>
      <w:bookmarkEnd w:id="8"/>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要求充分运用移动互联、大数据、云计算、4G等新技术手段，进行融媒体平台设计，基于SOA架构进行标准化体系接口的设计，具体要求如下：</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1、总体架构合理：系统的总体设计要求结构合理。要求从网络到系统，都要有良好的数据吞吐性能，保证数据传输畅通。</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2、高可用性：系统要求避免单点故障，保证系统的高可用，在系统设计中要有充分的功能和性能冗余，并能够方便灵活地扩容。</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3、MVC模式：系统必须符合MVC模式，必须基于真正开放的标准。完成表现层和业务逻辑层的分离，方便对资源库进行扩展。</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4、分布式架构：系统具有分布式结构。在软件架构设计中实现分布式结构，保证应用层和数据层的可扩展性和可重用性，便于今后出现性能瓶颈时，应用服务器和数据库服务器方便地进行横向扩展。</w:t>
      </w:r>
    </w:p>
    <w:p>
      <w:pPr>
        <w:spacing w:line="360" w:lineRule="auto"/>
        <w:ind w:firstLine="480" w:firstLineChars="200"/>
        <w:contextualSpacing/>
        <w:rPr>
          <w:rFonts w:hint="eastAsia" w:cs="仿宋_GB2312" w:asciiTheme="minorEastAsia" w:hAnsiTheme="minorEastAsia"/>
          <w:szCs w:val="21"/>
          <w:lang w:val="zh-CN"/>
        </w:rPr>
      </w:pPr>
      <w:bookmarkStart w:id="9" w:name="_Toc26431"/>
      <w:r>
        <w:rPr>
          <w:rFonts w:hint="eastAsia" w:cs="仿宋_GB2312" w:asciiTheme="minorEastAsia" w:hAnsiTheme="minorEastAsia"/>
          <w:szCs w:val="21"/>
          <w:lang w:val="en-US" w:eastAsia="zh-CN"/>
        </w:rPr>
        <w:t>4.3</w:t>
      </w:r>
      <w:r>
        <w:rPr>
          <w:rFonts w:hint="eastAsia" w:cs="仿宋_GB2312" w:asciiTheme="minorEastAsia" w:hAnsiTheme="minorEastAsia"/>
          <w:szCs w:val="21"/>
          <w:lang w:val="zh-CN"/>
        </w:rPr>
        <w:t>渠道整合体系要求</w:t>
      </w:r>
      <w:bookmarkEnd w:id="9"/>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在本项目的内容输出端口渠道设计上，投标人要求提供可行的整合意见，匹配许昌日报纸媒、网络新媒体融合的发展战略，打造一体化的宣传格局。</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本项目中建设的技术系统后台和内容库要求支持多终端内容的发布，可作为融媒体中心融媒体内容池，分发到纸媒和新媒体各渠道端口上。同时，除融媒体中心自有宣传渠道外，还要全面拓展外部宣传端口，可借助中央和各地方强势的媒体宣传力量，全面传播许昌日报自有的优质内容，将许昌的好声音、好故事传播出去。</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投标人可提供相应的内容渠道和稿件供取平台，通过系统建设，加强与全国主流媒体互动，实现与更多的全国主流党媒渠道的对接，形成有效的技术互通、媒体联动的机制，共同构建内容、渠道、技术等方面紧密协作的共享生态体系，支撑许昌日报提升优质产能和舆论引导合力。要求投标人结合融媒体中心媒体融合发展需求与全国党媒媒体融合发展趋势，提出融媒体平台与全国主流媒体联动的建设共享生态体系的思路，投标人需结合媒体合作渠道，提供相应的个性化建议。</w:t>
      </w:r>
    </w:p>
    <w:bookmarkEnd w:id="6"/>
    <w:p>
      <w:pPr>
        <w:spacing w:line="360" w:lineRule="auto"/>
        <w:ind w:firstLine="482" w:firstLineChars="200"/>
        <w:contextualSpacing/>
        <w:rPr>
          <w:rFonts w:hint="eastAsia" w:cs="仿宋_GB2312" w:asciiTheme="minorEastAsia" w:hAnsiTheme="minorEastAsia"/>
          <w:b/>
          <w:bCs/>
          <w:szCs w:val="21"/>
          <w:lang w:val="zh-CN"/>
        </w:rPr>
      </w:pPr>
      <w:bookmarkStart w:id="10" w:name="_Toc513469585"/>
      <w:bookmarkStart w:id="11" w:name="_Toc31077"/>
      <w:r>
        <w:rPr>
          <w:rFonts w:hint="eastAsia" w:cs="仿宋_GB2312" w:asciiTheme="minorEastAsia" w:hAnsiTheme="minorEastAsia"/>
          <w:b/>
          <w:bCs/>
          <w:szCs w:val="21"/>
          <w:lang w:val="en-US" w:eastAsia="zh-CN"/>
        </w:rPr>
        <w:t>（五）</w:t>
      </w:r>
      <w:r>
        <w:rPr>
          <w:rFonts w:hint="eastAsia" w:cs="仿宋_GB2312" w:asciiTheme="minorEastAsia" w:hAnsiTheme="minorEastAsia"/>
          <w:b/>
          <w:bCs/>
          <w:szCs w:val="21"/>
          <w:lang w:val="zh-CN"/>
        </w:rPr>
        <w:t>详细技术要求</w:t>
      </w:r>
      <w:bookmarkEnd w:id="10"/>
      <w:bookmarkEnd w:id="11"/>
    </w:p>
    <w:p>
      <w:pPr>
        <w:spacing w:line="360" w:lineRule="auto"/>
        <w:ind w:firstLine="482" w:firstLineChars="200"/>
        <w:contextualSpacing/>
        <w:rPr>
          <w:rFonts w:hint="eastAsia" w:cs="仿宋_GB2312" w:asciiTheme="minorEastAsia" w:hAnsiTheme="minorEastAsia"/>
          <w:b/>
          <w:bCs/>
          <w:szCs w:val="21"/>
          <w:lang w:val="zh-CN"/>
        </w:rPr>
      </w:pPr>
      <w:bookmarkStart w:id="12" w:name="_Toc534202243"/>
      <w:bookmarkStart w:id="13" w:name="_Toc13525"/>
      <w:bookmarkStart w:id="14" w:name="_Toc513469587"/>
      <w:r>
        <w:rPr>
          <w:rFonts w:hint="eastAsia" w:cs="仿宋_GB2312" w:asciiTheme="minorEastAsia" w:hAnsiTheme="minorEastAsia"/>
          <w:b/>
          <w:bCs/>
          <w:szCs w:val="21"/>
          <w:lang w:val="en-US" w:eastAsia="zh-CN"/>
        </w:rPr>
        <w:t>5.1</w:t>
      </w:r>
      <w:r>
        <w:rPr>
          <w:rFonts w:hint="eastAsia" w:cs="仿宋_GB2312" w:asciiTheme="minorEastAsia" w:hAnsiTheme="minorEastAsia"/>
          <w:b/>
          <w:bCs/>
          <w:szCs w:val="21"/>
          <w:lang w:val="zh-CN"/>
        </w:rPr>
        <w:t>融媒采编</w:t>
      </w:r>
      <w:bookmarkEnd w:id="12"/>
      <w:r>
        <w:rPr>
          <w:rFonts w:hint="eastAsia" w:cs="仿宋_GB2312" w:asciiTheme="minorEastAsia" w:hAnsiTheme="minorEastAsia"/>
          <w:b/>
          <w:bCs/>
          <w:szCs w:val="21"/>
          <w:lang w:val="zh-CN"/>
        </w:rPr>
        <w:t>平台</w:t>
      </w:r>
      <w:bookmarkEnd w:id="13"/>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融媒采编平台包括工作台、选题策划、协同采编、媒资管理、渠道分发等模块，完成多来源线索信息的上报汇聚，实现跨机构跨媒体的选题统筹策划、采访力量统一调度、任务协同安排与全流程监控、以及内容的多元加工与多渠道联动分发，提升媒资管理水平及利用率。</w:t>
      </w:r>
    </w:p>
    <w:p>
      <w:pPr>
        <w:spacing w:line="360" w:lineRule="auto"/>
        <w:ind w:firstLine="482" w:firstLineChars="200"/>
        <w:contextualSpacing/>
        <w:rPr>
          <w:rFonts w:hint="eastAsia" w:cs="仿宋_GB2312" w:asciiTheme="minorEastAsia" w:hAnsiTheme="minorEastAsia"/>
          <w:b/>
          <w:bCs/>
          <w:szCs w:val="21"/>
          <w:lang w:val="zh-CN" w:eastAsia="zh-CN"/>
        </w:rPr>
      </w:pPr>
      <w:bookmarkStart w:id="15" w:name="_Toc534202244"/>
      <w:bookmarkStart w:id="16" w:name="_Toc22922"/>
      <w:bookmarkStart w:id="17" w:name="_Toc529868798"/>
      <w:r>
        <w:rPr>
          <w:rFonts w:hint="eastAsia" w:cs="仿宋_GB2312" w:asciiTheme="minorEastAsia" w:hAnsiTheme="minorEastAsia"/>
          <w:b/>
          <w:bCs/>
          <w:szCs w:val="21"/>
          <w:lang w:val="en-US" w:eastAsia="zh-CN"/>
        </w:rPr>
        <w:t>5.1.1</w:t>
      </w:r>
      <w:r>
        <w:rPr>
          <w:rFonts w:hint="eastAsia" w:cs="仿宋_GB2312" w:asciiTheme="minorEastAsia" w:hAnsiTheme="minorEastAsia"/>
          <w:b/>
          <w:bCs/>
          <w:szCs w:val="21"/>
          <w:lang w:val="zh-CN" w:eastAsia="zh-CN"/>
        </w:rPr>
        <w:t>工作台</w:t>
      </w:r>
      <w:bookmarkEnd w:id="15"/>
      <w:bookmarkEnd w:id="16"/>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工作台支持对个人重要选题、稿件、生产力、消息提醒一览无遗；</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展示个人、部门、机构当前最新的稿件，以及稿件的状态（包括草稿，待审核，成品，退回）。；</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提供系统通知功能，在系统中对稿件的进行提交、审核、退回等操作，均生产一条通知消息；</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手工添加App升级、普通消息等类型消息，下发至所有系统用户。实现对于关键消息的下发提醒。</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能够实现对个人、部门、机构进行生产力统计分析和展示；</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展示最近各类线索列表和采用情况，各部门的选题执行状态，可按照部门授权。</w:t>
      </w:r>
    </w:p>
    <w:p>
      <w:pPr>
        <w:spacing w:line="360" w:lineRule="auto"/>
        <w:ind w:firstLine="482" w:firstLineChars="200"/>
        <w:contextualSpacing/>
        <w:rPr>
          <w:rFonts w:hint="eastAsia" w:cs="仿宋_GB2312" w:asciiTheme="minorEastAsia" w:hAnsiTheme="minorEastAsia"/>
          <w:b/>
          <w:bCs/>
          <w:szCs w:val="21"/>
          <w:lang w:val="zh-CN" w:eastAsia="zh-CN"/>
        </w:rPr>
      </w:pPr>
      <w:bookmarkStart w:id="18" w:name="_Toc534202245"/>
      <w:bookmarkStart w:id="19" w:name="_Toc8266"/>
      <w:r>
        <w:rPr>
          <w:rFonts w:hint="eastAsia" w:cs="仿宋_GB2312" w:asciiTheme="minorEastAsia" w:hAnsiTheme="minorEastAsia"/>
          <w:b/>
          <w:bCs/>
          <w:szCs w:val="21"/>
          <w:lang w:val="en-US" w:eastAsia="zh-CN"/>
        </w:rPr>
        <w:t>5.1.2</w:t>
      </w:r>
      <w:r>
        <w:rPr>
          <w:rFonts w:hint="eastAsia" w:cs="仿宋_GB2312" w:asciiTheme="minorEastAsia" w:hAnsiTheme="minorEastAsia"/>
          <w:b/>
          <w:bCs/>
          <w:szCs w:val="21"/>
          <w:lang w:val="zh-CN" w:eastAsia="zh-CN"/>
        </w:rPr>
        <w:t>选题策划</w:t>
      </w:r>
      <w:bookmarkEnd w:id="17"/>
      <w:bookmarkEnd w:id="18"/>
      <w:bookmarkEnd w:id="19"/>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提供线索总览功能，对所有来源线索的线索库，实现线索的统一汇聚、检索、查看，支持关键字快捷搜索，并可对线索加入研判、使用；</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提供线索研判功能，开发线索研讨黑板，实现线索信息的全屏幕、沉浸式的会议模式；</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提供用户爆料功能，用于集中创建、编辑来自用户的爆料信息，包括热线电话、客户端、微信等渠道收集到的用户爆料信息；</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提供自建线索功能，提供记者自主创建并管理线索的功能；</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提供线索标签功能；</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提供一键选题功能，支持将线索快速转换成选题的操作功能，并对选题任务进行编辑；</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提供我的选题功能模块，为记者编辑提供了个人视角的选题任务管理的功能；</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提供部门选题功能模块，汇聚该部门所有成员的选题，可对选题进行审核、报题等业务操作，同时可总览部门选题任务与执行进度；</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提供统筹报题功能模块，能够做到选题任务的统筹；</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提供策划主题功能模块，能够将多个选题、稿件汇聚到某一主题之下；</w:t>
      </w:r>
    </w:p>
    <w:p>
      <w:pPr>
        <w:spacing w:line="360" w:lineRule="auto"/>
        <w:ind w:firstLine="480" w:firstLineChars="200"/>
        <w:contextualSpacing/>
        <w:rPr>
          <w:rFonts w:hint="eastAsia" w:cs="仿宋_GB2312" w:asciiTheme="minorEastAsia" w:hAnsiTheme="minorEastAsia"/>
          <w:szCs w:val="21"/>
          <w:lang w:val="zh-CN"/>
        </w:rPr>
      </w:pPr>
      <w:bookmarkStart w:id="20" w:name="_Toc529868799"/>
      <w:r>
        <w:rPr>
          <w:rFonts w:hint="eastAsia" w:cs="仿宋_GB2312" w:asciiTheme="minorEastAsia" w:hAnsiTheme="minorEastAsia"/>
          <w:szCs w:val="21"/>
          <w:lang w:val="zh-CN"/>
        </w:rPr>
        <w:t>提供任务总览功能模块，对接选题策划环节，将所有基于选题的业务活动直接生成任务进行统一管理；</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提供采访安排功能模块，实现对记者角色进行详细任务安排；</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提供采访日志功能模块，能够自主添加系统任务记录，支持排序、修改、导出等操作；</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提供我的任务功能模块，管理与自己相关的所有任务状况；</w:t>
      </w:r>
    </w:p>
    <w:p>
      <w:pPr>
        <w:spacing w:line="360" w:lineRule="auto"/>
        <w:ind w:firstLine="482" w:firstLineChars="200"/>
        <w:contextualSpacing/>
        <w:rPr>
          <w:rFonts w:hint="eastAsia" w:cs="仿宋_GB2312" w:asciiTheme="minorEastAsia" w:hAnsiTheme="minorEastAsia"/>
          <w:b/>
          <w:bCs/>
          <w:szCs w:val="21"/>
          <w:lang w:val="zh-CN" w:eastAsia="zh-CN"/>
        </w:rPr>
      </w:pPr>
      <w:bookmarkStart w:id="21" w:name="_Toc534202246"/>
      <w:bookmarkStart w:id="22" w:name="_Toc533857751"/>
      <w:bookmarkStart w:id="23" w:name="_Toc16288"/>
      <w:r>
        <w:rPr>
          <w:rFonts w:hint="eastAsia" w:cs="仿宋_GB2312" w:asciiTheme="minorEastAsia" w:hAnsiTheme="minorEastAsia"/>
          <w:b/>
          <w:bCs/>
          <w:szCs w:val="21"/>
          <w:lang w:val="en-US" w:eastAsia="zh-CN"/>
        </w:rPr>
        <w:t>5.1.3</w:t>
      </w:r>
      <w:r>
        <w:rPr>
          <w:rFonts w:hint="eastAsia" w:cs="仿宋_GB2312" w:asciiTheme="minorEastAsia" w:hAnsiTheme="minorEastAsia"/>
          <w:b/>
          <w:bCs/>
          <w:szCs w:val="21"/>
          <w:lang w:val="zh-CN" w:eastAsia="zh-CN"/>
        </w:rPr>
        <w:t>指挥调度</w:t>
      </w:r>
      <w:bookmarkEnd w:id="21"/>
      <w:bookmarkEnd w:id="22"/>
      <w:bookmarkEnd w:id="23"/>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支持构建协同空间的能力，基于任务自动创建群组的形式；</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群组空间内参可进行消息沟通、传递任务执行进度、管理任务参与的人员、回传素材和稿件；</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提供记者任务功能模块，对权限可视范围内的所有记者任务情况进行统一呈现和管理；</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引入地图GIS数据，接收前方记者地理位置信息，形成记者活动的人员动态分布图，能够查看记者的头像、任务、联系方式等信息，并支持按人名、地域搜索，以进行指挥调度。</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支持使用音视频通话能力，实现调度指挥中心一键连通前方记者，能够实时传回现场的画面、并能够进行通话；（要求提供视频连线时长不少于双向共3000分钟，语音连线时长不少于双向共1000分钟，超出时长部分需提供计费标准。）</w:t>
      </w:r>
    </w:p>
    <w:p>
      <w:pPr>
        <w:spacing w:line="360" w:lineRule="auto"/>
        <w:ind w:firstLine="482" w:firstLineChars="200"/>
        <w:contextualSpacing/>
        <w:rPr>
          <w:rFonts w:hint="eastAsia" w:cs="仿宋_GB2312" w:asciiTheme="minorEastAsia" w:hAnsiTheme="minorEastAsia"/>
          <w:b/>
          <w:bCs/>
          <w:szCs w:val="21"/>
          <w:lang w:val="zh-CN"/>
        </w:rPr>
      </w:pPr>
      <w:bookmarkStart w:id="24" w:name="_Toc534202247"/>
      <w:bookmarkStart w:id="25" w:name="_Toc4179"/>
      <w:r>
        <w:rPr>
          <w:rFonts w:hint="eastAsia" w:cs="仿宋_GB2312" w:asciiTheme="minorEastAsia" w:hAnsiTheme="minorEastAsia"/>
          <w:b/>
          <w:bCs/>
          <w:szCs w:val="21"/>
          <w:lang w:val="en-US" w:eastAsia="zh-CN"/>
        </w:rPr>
        <w:t>5.1.4</w:t>
      </w:r>
      <w:r>
        <w:rPr>
          <w:rFonts w:hint="eastAsia" w:cs="仿宋_GB2312" w:asciiTheme="minorEastAsia" w:hAnsiTheme="minorEastAsia"/>
          <w:b/>
          <w:bCs/>
          <w:szCs w:val="21"/>
          <w:lang w:val="zh-CN"/>
        </w:rPr>
        <w:t>协同采编</w:t>
      </w:r>
      <w:bookmarkEnd w:id="20"/>
      <w:bookmarkEnd w:id="24"/>
      <w:bookmarkEnd w:id="25"/>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提供稿源管理功能模块，支持对新华社通稿进行统一管理和展现。</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提供强大的文章编辑器，支持对文章的超文本格式进行加工编辑，兼容普通和电视新闻采编模式，并提供一键转载、快速排版、自动排版等实用功能。</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提供新建图片功能，用来创建单张或多张图片的稿件，可以对图片格式进行添加水印、设置比例、裁切等操作。支持单图和多图模式。</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提供新建音视频功能，用来创建音视频格式稿件，支持音视频的上传、浏览、设置封面。</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开发草稿箱功能，实现个人新建各类型稿件的缓存、存储、提交审核、修改；</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提供个人成品稿库，能够对个人所有已审核完成的稿件进行汇总，按照类型、渠道、时间进行筛选。</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提供我的收藏、回收站等功能模块；</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支持对原创稿件进行审核；</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支持附加审核意见；</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支持稿件审核消息通知、提醒；</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支持稿件敏感词自动检测，并高亮显示；</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支持稿件审核过程中，选取某字句生成批注信息，作者可对批注进行回复，批注信息对所有人可见；</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支持稿件在不同审核节点之间的流转，完成撤回、审核、终审、退回、导出word等业务操作；</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支持稿件审核过程中所有版本的记录，支持修改痕迹查看和稿件多个版本进行全文对比。</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支持对稿件的提交、审核、退回等操作，产生通知消息；</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提供统一的电视文稿编播稿库，基于编播稿库可设置待播和已播状态，并勾选加入排序单；</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支持传统电视播出单的在线编辑管理，基于编播稿库生产播出单，并支持预览、导出等功能；</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 xml:space="preserve">支持视频上传后，系统进行自动抽帧，供用户方便快捷选择封面。 </w:t>
      </w:r>
    </w:p>
    <w:p>
      <w:pPr>
        <w:spacing w:line="360" w:lineRule="auto"/>
        <w:ind w:firstLine="482" w:firstLineChars="200"/>
        <w:contextualSpacing/>
        <w:rPr>
          <w:rFonts w:hint="eastAsia" w:cs="仿宋_GB2312" w:asciiTheme="minorEastAsia" w:hAnsiTheme="minorEastAsia"/>
          <w:b/>
          <w:bCs/>
          <w:szCs w:val="21"/>
          <w:lang w:val="zh-CN"/>
        </w:rPr>
      </w:pPr>
      <w:bookmarkStart w:id="26" w:name="_Toc534202248"/>
      <w:bookmarkStart w:id="27" w:name="_Toc529868800"/>
      <w:bookmarkStart w:id="28" w:name="_Toc13769"/>
      <w:r>
        <w:rPr>
          <w:rFonts w:hint="eastAsia" w:cs="仿宋_GB2312" w:asciiTheme="minorEastAsia" w:hAnsiTheme="minorEastAsia"/>
          <w:b/>
          <w:bCs/>
          <w:szCs w:val="21"/>
          <w:lang w:val="en-US" w:eastAsia="zh-CN"/>
        </w:rPr>
        <w:t>5.1.5</w:t>
      </w:r>
      <w:r>
        <w:rPr>
          <w:rFonts w:hint="eastAsia" w:cs="仿宋_GB2312" w:asciiTheme="minorEastAsia" w:hAnsiTheme="minorEastAsia"/>
          <w:b/>
          <w:bCs/>
          <w:szCs w:val="21"/>
          <w:lang w:val="zh-CN"/>
        </w:rPr>
        <w:t>媒资管理</w:t>
      </w:r>
      <w:bookmarkEnd w:id="26"/>
      <w:bookmarkEnd w:id="27"/>
      <w:bookmarkEnd w:id="28"/>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支持以个人稿库、部门稿库、公共稿库、成品稿库、主题库、个人素材库等形态存在，共同组成功能强大的融媒体资源库；</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提供部门稿库功能模块，包括成品库和待审库，能够对部门成员所有的稿件、完成进度进行统一调度处理；</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提供成品稿库功能模块，实现对所有频道、部门稿件成品资源的管理，向各报纸、网站、客户端、微信进行签发操作；</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提供公共稿库功能模块，实现对所有人开放权限的稿件进行管理的数据库；</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提供历史资源库功能模块，能够将所有发布的内容按照期次归档；</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提供主题库功能模块，能够按照重大主题对所有内容资源进行分类管理；</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提供媒资总览功能模块，能够对当前所有各类媒资生产进度按照当天、昨日、总体进行统计及可视化展示；</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媒资库的稿件列表，支持不同重要等级标签显示，方便采编人员直观看到稿件重要程度及处理信息。要求用户自行维护标签库，稿件打标签方式实现。</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提供视音频浏览服务，支持全文、分类、关键字等多种检索方式；</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在浏览器中实时快速浏览资源目录和文件，支持缩略图、列表模式、图片模式等多种查看模式；</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系统必须支持支持全文检索、模糊搜索，以提升系统的整体检全率和检准率；</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系统需要提供面向视音频、文档、图片及资源内容的检索；</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要求对图片支持幻灯片模式浏览，快速批量浏览图片资源；</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要求面向视音频、图片、文档提供不同的资源详情浏览页面，在线方便的查看浏览资源内容，支持资源下载导出；</w:t>
      </w:r>
    </w:p>
    <w:p>
      <w:pPr>
        <w:spacing w:line="360" w:lineRule="auto"/>
        <w:ind w:firstLine="482" w:firstLineChars="200"/>
        <w:contextualSpacing/>
        <w:rPr>
          <w:rFonts w:hint="eastAsia" w:cs="仿宋_GB2312" w:asciiTheme="minorEastAsia" w:hAnsiTheme="minorEastAsia"/>
          <w:b/>
          <w:bCs/>
          <w:szCs w:val="21"/>
          <w:lang w:val="zh-CN"/>
        </w:rPr>
      </w:pPr>
      <w:bookmarkStart w:id="29" w:name="_Toc529868801"/>
      <w:bookmarkStart w:id="30" w:name="_Toc534202249"/>
      <w:bookmarkStart w:id="31" w:name="_Toc21412"/>
      <w:r>
        <w:rPr>
          <w:rFonts w:hint="eastAsia" w:cs="仿宋_GB2312" w:asciiTheme="minorEastAsia" w:hAnsiTheme="minorEastAsia"/>
          <w:b/>
          <w:bCs/>
          <w:szCs w:val="21"/>
          <w:lang w:val="en-US" w:eastAsia="zh-CN"/>
        </w:rPr>
        <w:t>5.1.6</w:t>
      </w:r>
      <w:r>
        <w:rPr>
          <w:rFonts w:hint="eastAsia" w:cs="仿宋_GB2312" w:asciiTheme="minorEastAsia" w:hAnsiTheme="minorEastAsia"/>
          <w:b/>
          <w:bCs/>
          <w:szCs w:val="21"/>
          <w:lang w:val="zh-CN"/>
        </w:rPr>
        <w:t>渠道分发</w:t>
      </w:r>
      <w:bookmarkEnd w:id="29"/>
      <w:bookmarkEnd w:id="30"/>
      <w:bookmarkEnd w:id="31"/>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支持报纸签发功能，可对接融媒体中心报纸采编系统（或排版系统）进行通稿签发；</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支持网站签发功能，支持将稿件、图片、音视频等内容推送至网站内容发布系统；</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支持客户端签发功能，支持将稿件、图片、音视频等内容推送至客户端内容发布系统；</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支持微信、微博签发功能，支持将稿件、图片等内容推送至微信公众平台、微博自媒体后台。</w:t>
      </w:r>
    </w:p>
    <w:p>
      <w:pPr>
        <w:spacing w:line="360" w:lineRule="auto"/>
        <w:ind w:firstLine="482" w:firstLineChars="200"/>
        <w:contextualSpacing/>
        <w:rPr>
          <w:rFonts w:hint="eastAsia" w:cs="仿宋_GB2312" w:asciiTheme="minorEastAsia" w:hAnsiTheme="minorEastAsia"/>
          <w:b/>
          <w:bCs/>
          <w:szCs w:val="21"/>
          <w:lang w:val="zh-CN"/>
        </w:rPr>
      </w:pPr>
      <w:bookmarkStart w:id="32" w:name="_Toc5140182"/>
      <w:bookmarkStart w:id="33" w:name="_Toc4232"/>
      <w:r>
        <w:rPr>
          <w:rFonts w:hint="eastAsia" w:cs="仿宋_GB2312" w:asciiTheme="minorEastAsia" w:hAnsiTheme="minorEastAsia"/>
          <w:b/>
          <w:bCs/>
          <w:szCs w:val="21"/>
          <w:lang w:val="en-US" w:eastAsia="zh-CN"/>
        </w:rPr>
        <w:t>5.1.7</w:t>
      </w:r>
      <w:r>
        <w:rPr>
          <w:rFonts w:hint="eastAsia" w:cs="仿宋_GB2312" w:asciiTheme="minorEastAsia" w:hAnsiTheme="minorEastAsia"/>
          <w:b/>
          <w:bCs/>
          <w:szCs w:val="21"/>
          <w:lang w:val="zh-CN"/>
        </w:rPr>
        <w:t>评价管理</w:t>
      </w:r>
      <w:bookmarkEnd w:id="32"/>
      <w:bookmarkEnd w:id="33"/>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纸媒评价：纸媒评价对接数字报成品，提供了可视化的纸媒版面和稿件打分考核的操作环境，包括配置评价等级（好稿、错稿等）、评价标语（正面评语、负面评语），对版面和文章进行快速打分，并提供评价概览、稿件质量趋势概览、稿件质量占比分析、奖惩占比分析，并提供按记者、编辑、作品、期次、奖惩等多维度视图。</w:t>
      </w:r>
    </w:p>
    <w:p>
      <w:pPr>
        <w:spacing w:line="360" w:lineRule="auto"/>
        <w:ind w:firstLine="482" w:firstLineChars="200"/>
        <w:contextualSpacing/>
        <w:rPr>
          <w:rFonts w:hint="eastAsia" w:cs="仿宋_GB2312" w:asciiTheme="minorEastAsia" w:hAnsiTheme="minorEastAsia"/>
          <w:b/>
          <w:bCs/>
          <w:szCs w:val="21"/>
          <w:lang w:val="zh-CN"/>
        </w:rPr>
      </w:pPr>
      <w:bookmarkStart w:id="34" w:name="_Toc4848"/>
      <w:r>
        <w:rPr>
          <w:rFonts w:hint="eastAsia" w:cs="仿宋_GB2312" w:asciiTheme="minorEastAsia" w:hAnsiTheme="minorEastAsia"/>
          <w:b/>
          <w:bCs/>
          <w:szCs w:val="21"/>
          <w:lang w:val="en-US" w:eastAsia="zh-CN"/>
        </w:rPr>
        <w:t>5.2</w:t>
      </w:r>
      <w:r>
        <w:rPr>
          <w:rFonts w:hint="eastAsia" w:cs="仿宋_GB2312" w:asciiTheme="minorEastAsia" w:hAnsiTheme="minorEastAsia"/>
          <w:b/>
          <w:bCs/>
          <w:szCs w:val="21"/>
          <w:lang w:val="zh-CN"/>
        </w:rPr>
        <w:t>移动融媒系统</w:t>
      </w:r>
      <w:bookmarkEnd w:id="34"/>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移动融媒平台系统是集团所有用户的移动门户，提供移动生产功能和即时通讯的功能，还可以提供包括任务管理、素材共享等服务。</w:t>
      </w:r>
    </w:p>
    <w:p>
      <w:pPr>
        <w:spacing w:line="360" w:lineRule="auto"/>
        <w:ind w:firstLine="482" w:firstLineChars="200"/>
        <w:contextualSpacing/>
        <w:rPr>
          <w:rFonts w:hint="eastAsia" w:cs="仿宋_GB2312" w:asciiTheme="minorEastAsia" w:hAnsiTheme="minorEastAsia"/>
          <w:b/>
          <w:bCs/>
          <w:szCs w:val="21"/>
          <w:lang w:val="zh-CN"/>
        </w:rPr>
      </w:pPr>
      <w:bookmarkStart w:id="35" w:name="_Toc11054"/>
      <w:r>
        <w:rPr>
          <w:rFonts w:hint="eastAsia" w:cs="仿宋_GB2312" w:asciiTheme="minorEastAsia" w:hAnsiTheme="minorEastAsia"/>
          <w:b/>
          <w:bCs/>
          <w:szCs w:val="21"/>
          <w:lang w:val="en-US" w:eastAsia="zh-CN"/>
        </w:rPr>
        <w:t>5.2.1</w:t>
      </w:r>
      <w:r>
        <w:rPr>
          <w:rFonts w:hint="eastAsia" w:cs="仿宋_GB2312" w:asciiTheme="minorEastAsia" w:hAnsiTheme="minorEastAsia"/>
          <w:b/>
          <w:bCs/>
          <w:szCs w:val="21"/>
          <w:lang w:val="zh-CN"/>
        </w:rPr>
        <w:t>总览</w:t>
      </w:r>
      <w:bookmarkEnd w:id="35"/>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提供记者任务模块，对所辖人员直接安排今天与明天的任务，并查看任务执行情况；</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提供移动端稿件模块，可查询待审稿件，我的稿件，部门稿件，@我稿件，共享稿件等各状态中的稿件详情、数量、流转状态；</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提供选题在线模块，支持查询今明两天执行选题、查看选题的采访安排、协同人、稿件、任务监控；</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提供连接指挥中心、安排采访任务、上报线索、关闭地理位置的快捷入口；</w:t>
      </w:r>
    </w:p>
    <w:p>
      <w:pPr>
        <w:spacing w:line="360" w:lineRule="auto"/>
        <w:ind w:firstLine="482" w:firstLineChars="200"/>
        <w:contextualSpacing/>
        <w:rPr>
          <w:rFonts w:hint="eastAsia" w:cs="仿宋_GB2312" w:asciiTheme="minorEastAsia" w:hAnsiTheme="minorEastAsia"/>
          <w:b/>
          <w:bCs/>
          <w:szCs w:val="21"/>
          <w:lang w:val="zh-CN"/>
        </w:rPr>
      </w:pPr>
      <w:bookmarkStart w:id="36" w:name="_Toc534202253"/>
      <w:bookmarkStart w:id="37" w:name="_Toc25600"/>
      <w:r>
        <w:rPr>
          <w:rFonts w:hint="eastAsia" w:cs="仿宋_GB2312" w:asciiTheme="minorEastAsia" w:hAnsiTheme="minorEastAsia"/>
          <w:b/>
          <w:bCs/>
          <w:szCs w:val="21"/>
          <w:lang w:val="en-US" w:eastAsia="zh-CN"/>
        </w:rPr>
        <w:t>5.2.2</w:t>
      </w:r>
      <w:r>
        <w:rPr>
          <w:rFonts w:hint="eastAsia" w:cs="仿宋_GB2312" w:asciiTheme="minorEastAsia" w:hAnsiTheme="minorEastAsia"/>
          <w:b/>
          <w:bCs/>
          <w:szCs w:val="21"/>
          <w:lang w:val="zh-CN"/>
        </w:rPr>
        <w:t>协同</w:t>
      </w:r>
      <w:bookmarkEnd w:id="36"/>
      <w:bookmarkEnd w:id="37"/>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提供通讯录模块，展现机构内人员组织结构与联系方式，可以直接向通讯录内的联系人发起聊天或者安排任务；</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提供群组聊天模块，支持人员的即时沟通与聊天，协同任务自动生成一个基于特定选题的群组；也可个人手动创建群组或者一对一发起聊天；</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提供协同任务模块，可进行可跨部门进行即时沟通与互动、可共享素材与资源；</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提供传素材模块，记者在新闻现场采集的素材，包括文字、图片、音视频，为新闻稿件的编写和新闻节目的制作提供支持；支持移动端通过协同任务回传各类素材；提供HTTP/FTP文件传输，支持断点续传。</w:t>
      </w:r>
    </w:p>
    <w:p>
      <w:pPr>
        <w:spacing w:line="360" w:lineRule="auto"/>
        <w:ind w:firstLine="482" w:firstLineChars="200"/>
        <w:contextualSpacing/>
        <w:rPr>
          <w:rFonts w:hint="eastAsia" w:cs="仿宋_GB2312" w:asciiTheme="minorEastAsia" w:hAnsiTheme="minorEastAsia"/>
          <w:b/>
          <w:bCs/>
          <w:szCs w:val="21"/>
          <w:lang w:val="zh-CN"/>
        </w:rPr>
      </w:pPr>
      <w:bookmarkStart w:id="38" w:name="_Toc534202254"/>
      <w:bookmarkStart w:id="39" w:name="_Toc21787"/>
      <w:r>
        <w:rPr>
          <w:rFonts w:hint="eastAsia" w:cs="仿宋_GB2312" w:asciiTheme="minorEastAsia" w:hAnsiTheme="minorEastAsia"/>
          <w:b/>
          <w:bCs/>
          <w:szCs w:val="21"/>
          <w:lang w:val="en-US" w:eastAsia="zh-CN"/>
        </w:rPr>
        <w:t>5.2.3</w:t>
      </w:r>
      <w:r>
        <w:rPr>
          <w:rFonts w:hint="eastAsia" w:cs="仿宋_GB2312" w:asciiTheme="minorEastAsia" w:hAnsiTheme="minorEastAsia"/>
          <w:b/>
          <w:bCs/>
          <w:szCs w:val="21"/>
          <w:lang w:val="zh-CN"/>
        </w:rPr>
        <w:t>工作台</w:t>
      </w:r>
      <w:bookmarkEnd w:id="38"/>
      <w:bookmarkEnd w:id="39"/>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提供报线索功能模块，线索研判后可以生成选题。移动端支持上报线索、查看所有线索状态。</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提供移动端创建选题模块，可设置选题主题、参与人员、完成时间、监控流程；</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提供移动端稿件模块，支持移动端写稿、传稿、审稿功能，支持移动端查询稿件流转状态。</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提供移动端GPS地理位置上传功能，可设置位置开关和采集时间；</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提供账号基础信息设置、手机绑定、密码修改、版本更新等功能；</w:t>
      </w:r>
    </w:p>
    <w:p>
      <w:pPr>
        <w:spacing w:line="360" w:lineRule="auto"/>
        <w:ind w:firstLine="480" w:firstLineChars="200"/>
        <w:contextualSpacing/>
        <w:rPr>
          <w:rFonts w:hint="eastAsia" w:cs="仿宋_GB2312" w:asciiTheme="minorEastAsia" w:hAnsiTheme="minorEastAsia"/>
          <w:szCs w:val="21"/>
          <w:lang w:val="zh-CN"/>
        </w:rPr>
      </w:pPr>
      <w:bookmarkStart w:id="40" w:name="_Toc534202255"/>
      <w:r>
        <w:rPr>
          <w:rFonts w:hint="eastAsia" w:cs="仿宋_GB2312" w:asciiTheme="minorEastAsia" w:hAnsiTheme="minorEastAsia"/>
          <w:szCs w:val="21"/>
          <w:lang w:val="zh-CN"/>
        </w:rPr>
        <w:t>实现在移动端查看已签发稿件组版后的大样，可按时间进行切换查看。（前提要求招标人协调融媒采编平台与方正采编系统实现良好集成。）</w:t>
      </w:r>
    </w:p>
    <w:p>
      <w:pPr>
        <w:spacing w:line="360" w:lineRule="auto"/>
        <w:ind w:firstLine="482" w:firstLineChars="200"/>
        <w:contextualSpacing/>
        <w:rPr>
          <w:rFonts w:hint="eastAsia" w:cs="仿宋_GB2312" w:asciiTheme="minorEastAsia" w:hAnsiTheme="minorEastAsia"/>
          <w:b/>
          <w:bCs/>
          <w:szCs w:val="21"/>
          <w:lang w:val="zh-CN"/>
        </w:rPr>
      </w:pPr>
      <w:bookmarkStart w:id="41" w:name="_Toc3719"/>
      <w:r>
        <w:rPr>
          <w:rFonts w:hint="eastAsia" w:cs="仿宋_GB2312" w:asciiTheme="minorEastAsia" w:hAnsiTheme="minorEastAsia"/>
          <w:b/>
          <w:bCs/>
          <w:szCs w:val="21"/>
          <w:lang w:val="en-US" w:eastAsia="zh-CN"/>
        </w:rPr>
        <w:t>5.2.4</w:t>
      </w:r>
      <w:r>
        <w:rPr>
          <w:rFonts w:hint="eastAsia" w:cs="仿宋_GB2312" w:asciiTheme="minorEastAsia" w:hAnsiTheme="minorEastAsia"/>
          <w:b/>
          <w:bCs/>
          <w:szCs w:val="21"/>
          <w:lang w:val="zh-CN"/>
        </w:rPr>
        <w:t>消息</w:t>
      </w:r>
      <w:bookmarkEnd w:id="40"/>
      <w:bookmarkEnd w:id="41"/>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提供消息通知功能，管理所有系统自动发送的消息，通过消息驱动链接任务、人员和流程；</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消息通知，兼容苹果、华为、小米等主流手机；</w:t>
      </w:r>
    </w:p>
    <w:p>
      <w:pPr>
        <w:spacing w:line="360" w:lineRule="auto"/>
        <w:ind w:firstLine="482" w:firstLineChars="200"/>
        <w:contextualSpacing/>
        <w:rPr>
          <w:rFonts w:hint="eastAsia" w:cs="仿宋_GB2312" w:asciiTheme="minorEastAsia" w:hAnsiTheme="minorEastAsia"/>
          <w:b/>
          <w:bCs/>
          <w:szCs w:val="21"/>
          <w:lang w:val="zh-CN"/>
        </w:rPr>
      </w:pPr>
      <w:bookmarkStart w:id="42" w:name="_Toc531620972"/>
      <w:bookmarkStart w:id="43" w:name="_Toc513469595"/>
      <w:bookmarkStart w:id="44" w:name="_Toc23996"/>
      <w:r>
        <w:rPr>
          <w:rFonts w:hint="eastAsia" w:cs="仿宋_GB2312" w:asciiTheme="minorEastAsia" w:hAnsiTheme="minorEastAsia"/>
          <w:b/>
          <w:bCs/>
          <w:szCs w:val="21"/>
          <w:lang w:val="en-US" w:eastAsia="zh-CN"/>
        </w:rPr>
        <w:t>5.3</w:t>
      </w:r>
      <w:r>
        <w:rPr>
          <w:rFonts w:hint="eastAsia" w:cs="仿宋_GB2312" w:asciiTheme="minorEastAsia" w:hAnsiTheme="minorEastAsia"/>
          <w:b/>
          <w:bCs/>
          <w:szCs w:val="21"/>
          <w:lang w:val="zh-CN"/>
        </w:rPr>
        <w:t>运营分析与推荐系统</w:t>
      </w:r>
      <w:bookmarkEnd w:id="42"/>
      <w:bookmarkEnd w:id="43"/>
      <w:bookmarkEnd w:id="44"/>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运营分析与推荐系统旨在面向网站和新媒体端，提供用户推荐服务。因此需要从众多的、异构的数据源中获取各种类型的数据，全面实现数据源与外部数据的有效融通和整合。运营分析和推荐系统采用大数据工具，通过对网站、APP、微信、微博等媒体终端上用户访问行为进行分析，获取访问量、访问趋势、来源、渠道、流量等数据信息，对其作统计分析，生成统计结果和用户画像，从而帮助运营者了解其网站、APP、微信或微博的实时动态及用户喜好，以实现基于大数据技术的精细化运营、精准触达目标客户，提升产品质量和体验。</w:t>
      </w:r>
    </w:p>
    <w:p>
      <w:pPr>
        <w:spacing w:line="360" w:lineRule="auto"/>
        <w:ind w:firstLine="482" w:firstLineChars="200"/>
        <w:contextualSpacing/>
        <w:rPr>
          <w:rFonts w:hint="eastAsia" w:cs="仿宋_GB2312" w:asciiTheme="minorEastAsia" w:hAnsiTheme="minorEastAsia"/>
          <w:b/>
          <w:bCs/>
          <w:szCs w:val="21"/>
          <w:lang w:val="zh-CN"/>
        </w:rPr>
      </w:pPr>
      <w:bookmarkStart w:id="45" w:name="_Toc22687"/>
      <w:r>
        <w:rPr>
          <w:rFonts w:hint="eastAsia" w:cs="仿宋_GB2312" w:asciiTheme="minorEastAsia" w:hAnsiTheme="minorEastAsia"/>
          <w:b/>
          <w:bCs/>
          <w:szCs w:val="21"/>
          <w:lang w:val="en-US" w:eastAsia="zh-CN"/>
        </w:rPr>
        <w:t>5.3.1</w:t>
      </w:r>
      <w:r>
        <w:rPr>
          <w:rFonts w:hint="eastAsia" w:cs="仿宋_GB2312" w:asciiTheme="minorEastAsia" w:hAnsiTheme="minorEastAsia"/>
          <w:b/>
          <w:bCs/>
          <w:szCs w:val="21"/>
          <w:lang w:val="zh-CN"/>
        </w:rPr>
        <w:t>运营分析</w:t>
      </w:r>
      <w:bookmarkEnd w:id="45"/>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能支持全端扣运营分析，包括网站分析、APP分析、微信分析以及微博分析，每个端口的分析指标不同，并能生成运营分析报告。</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网站分析指标要求包括实时分析、基础运营分析、内容分析、来源分析、渠道分析、流量分析、用户分析以及用户体验分析等；</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APP分析指标要求包括实时分析、用户分析、渠道分析、事件与转化分析等；</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微信分析指标要求包括公众号排行、关注公众号分析、自由公众号分析、H5监测、实时热点分析等；</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微博分析指标要求包括微博概况、微博排行、我的微博分析、关注微博、博文分析等。</w:t>
      </w:r>
    </w:p>
    <w:p>
      <w:pPr>
        <w:spacing w:line="360" w:lineRule="auto"/>
        <w:ind w:firstLine="482" w:firstLineChars="200"/>
        <w:contextualSpacing/>
        <w:rPr>
          <w:rFonts w:hint="eastAsia" w:cs="仿宋_GB2312" w:asciiTheme="minorEastAsia" w:hAnsiTheme="minorEastAsia"/>
          <w:b/>
          <w:bCs/>
          <w:szCs w:val="21"/>
          <w:lang w:val="zh-CN"/>
        </w:rPr>
      </w:pPr>
      <w:bookmarkStart w:id="46" w:name="_Toc23970"/>
      <w:r>
        <w:rPr>
          <w:rFonts w:hint="eastAsia" w:cs="仿宋_GB2312" w:asciiTheme="minorEastAsia" w:hAnsiTheme="minorEastAsia"/>
          <w:b/>
          <w:bCs/>
          <w:szCs w:val="21"/>
          <w:lang w:val="en-US" w:eastAsia="zh-CN"/>
        </w:rPr>
        <w:t>5.3.2</w:t>
      </w:r>
      <w:r>
        <w:rPr>
          <w:rFonts w:hint="eastAsia" w:cs="仿宋_GB2312" w:asciiTheme="minorEastAsia" w:hAnsiTheme="minorEastAsia"/>
          <w:b/>
          <w:bCs/>
          <w:szCs w:val="21"/>
          <w:lang w:val="zh-CN"/>
        </w:rPr>
        <w:t>用户画像</w:t>
      </w:r>
      <w:bookmarkEnd w:id="46"/>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要求能依据用户的搜索、浏览、阅读习惯等使用行为进行用户画像，从性别、年龄、地域、职业、兴趣爱好、媒体等角度对用户进行统计。用户画像包括画像检索、标签树管理、画像设置等功能。</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画像检索支持按标签查询、按关键词检索用户；</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支持对标签进行添加、编辑、查看、规则设置等操作；</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支持显示已保存的用户群体，以方便快速检索分析，分析用户群里有利于发现群体的新特征；</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支持标签审核、标签管理等画像功能设置。</w:t>
      </w:r>
    </w:p>
    <w:p>
      <w:pPr>
        <w:spacing w:line="360" w:lineRule="auto"/>
        <w:ind w:firstLine="482" w:firstLineChars="200"/>
        <w:contextualSpacing/>
        <w:rPr>
          <w:rFonts w:hint="eastAsia" w:cs="仿宋_GB2312" w:asciiTheme="minorEastAsia" w:hAnsiTheme="minorEastAsia"/>
          <w:b/>
          <w:bCs/>
          <w:szCs w:val="21"/>
          <w:lang w:val="zh-CN"/>
        </w:rPr>
      </w:pPr>
      <w:bookmarkStart w:id="47" w:name="_Toc8203"/>
      <w:r>
        <w:rPr>
          <w:rFonts w:hint="eastAsia" w:cs="仿宋_GB2312" w:asciiTheme="minorEastAsia" w:hAnsiTheme="minorEastAsia"/>
          <w:b/>
          <w:bCs/>
          <w:szCs w:val="21"/>
          <w:lang w:val="en-US" w:eastAsia="zh-CN"/>
        </w:rPr>
        <w:t>5.3.3</w:t>
      </w:r>
      <w:r>
        <w:rPr>
          <w:rFonts w:hint="eastAsia" w:cs="仿宋_GB2312" w:asciiTheme="minorEastAsia" w:hAnsiTheme="minorEastAsia"/>
          <w:b/>
          <w:bCs/>
          <w:szCs w:val="21"/>
          <w:lang w:val="zh-CN"/>
        </w:rPr>
        <w:t>个性推荐</w:t>
      </w:r>
      <w:bookmarkEnd w:id="47"/>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建立推荐策略，设定推荐位置，支持向特定用户群推送定制内容。</w:t>
      </w:r>
    </w:p>
    <w:p>
      <w:pPr>
        <w:spacing w:line="360" w:lineRule="auto"/>
        <w:ind w:firstLine="482" w:firstLineChars="200"/>
        <w:contextualSpacing/>
        <w:rPr>
          <w:rFonts w:hint="eastAsia" w:cs="仿宋_GB2312" w:asciiTheme="minorEastAsia" w:hAnsiTheme="minorEastAsia"/>
          <w:b/>
          <w:bCs/>
          <w:szCs w:val="21"/>
          <w:lang w:val="zh-CN"/>
        </w:rPr>
      </w:pPr>
      <w:bookmarkStart w:id="48" w:name="_Toc3367"/>
      <w:r>
        <w:rPr>
          <w:rFonts w:hint="eastAsia" w:cs="仿宋_GB2312" w:asciiTheme="minorEastAsia" w:hAnsiTheme="minorEastAsia"/>
          <w:b/>
          <w:bCs/>
          <w:szCs w:val="21"/>
          <w:lang w:val="en-US" w:eastAsia="zh-CN"/>
        </w:rPr>
        <w:t>5.3.4</w:t>
      </w:r>
      <w:r>
        <w:rPr>
          <w:rFonts w:hint="eastAsia" w:cs="仿宋_GB2312" w:asciiTheme="minorEastAsia" w:hAnsiTheme="minorEastAsia"/>
          <w:b/>
          <w:bCs/>
          <w:szCs w:val="21"/>
          <w:lang w:val="zh-CN"/>
        </w:rPr>
        <w:t>系统管理</w:t>
      </w:r>
      <w:bookmarkEnd w:id="48"/>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系统管理包括应用设置、业务团队管理、角色管理等，支持对相关信息的添加、编辑和删除。</w:t>
      </w:r>
    </w:p>
    <w:bookmarkEnd w:id="14"/>
    <w:p>
      <w:pPr>
        <w:spacing w:line="360" w:lineRule="auto"/>
        <w:ind w:firstLine="482" w:firstLineChars="200"/>
        <w:contextualSpacing/>
        <w:rPr>
          <w:rFonts w:hint="eastAsia" w:cs="仿宋_GB2312" w:asciiTheme="minorEastAsia" w:hAnsiTheme="minorEastAsia"/>
          <w:b/>
          <w:bCs/>
          <w:szCs w:val="21"/>
          <w:lang w:val="zh-CN"/>
        </w:rPr>
      </w:pPr>
      <w:bookmarkStart w:id="49" w:name="_Toc513469597"/>
      <w:bookmarkStart w:id="50" w:name="_Toc28344"/>
      <w:r>
        <w:rPr>
          <w:rFonts w:hint="eastAsia" w:cs="仿宋_GB2312" w:asciiTheme="minorEastAsia" w:hAnsiTheme="minorEastAsia"/>
          <w:b/>
          <w:bCs/>
          <w:szCs w:val="21"/>
          <w:lang w:val="en-US" w:eastAsia="zh-CN"/>
        </w:rPr>
        <w:t>5.4</w:t>
      </w:r>
      <w:r>
        <w:rPr>
          <w:rFonts w:hint="eastAsia" w:cs="仿宋_GB2312" w:asciiTheme="minorEastAsia" w:hAnsiTheme="minorEastAsia"/>
          <w:b/>
          <w:bCs/>
          <w:szCs w:val="21"/>
          <w:lang w:val="zh-CN"/>
        </w:rPr>
        <w:t>系统对接要求</w:t>
      </w:r>
      <w:bookmarkEnd w:id="49"/>
      <w:bookmarkEnd w:id="50"/>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要求融媒采编业务平台提供标准接口，与报社原有报纸生产系统（采编或排版）以及网站、新媒体、客户端等后台系统对接，以实现全社资源的统一存储与管理，支撑传统媒体和新媒体的选稿、用稿，解决目前社内各端分散管理的现状，实现内容互通互用，提高编辑人员的工作效能，发挥内容资源的价值。</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投标人须承担提供接口开发、对接报社原采编系统相关接口联调和测试责任，无需承担任意第三方协调沟通与开发费用。</w:t>
      </w:r>
    </w:p>
    <w:p>
      <w:pPr>
        <w:spacing w:line="360" w:lineRule="auto"/>
        <w:ind w:firstLine="482" w:firstLineChars="200"/>
        <w:contextualSpacing/>
        <w:rPr>
          <w:rFonts w:hint="eastAsia" w:cs="仿宋_GB2312" w:asciiTheme="minorEastAsia" w:hAnsiTheme="minorEastAsia"/>
          <w:szCs w:val="21"/>
          <w:lang w:val="zh-CN"/>
        </w:rPr>
      </w:pPr>
      <w:bookmarkStart w:id="51" w:name="_Toc15750"/>
      <w:r>
        <w:rPr>
          <w:rFonts w:hint="eastAsia" w:cs="仿宋_GB2312" w:asciiTheme="minorEastAsia" w:hAnsiTheme="minorEastAsia"/>
          <w:b/>
          <w:bCs/>
          <w:szCs w:val="21"/>
          <w:lang w:val="en-US" w:eastAsia="zh-CN"/>
        </w:rPr>
        <w:t>5.5</w:t>
      </w:r>
      <w:r>
        <w:rPr>
          <w:rFonts w:hint="eastAsia" w:cs="仿宋_GB2312" w:asciiTheme="minorEastAsia" w:hAnsiTheme="minorEastAsia"/>
          <w:b/>
          <w:bCs/>
          <w:szCs w:val="21"/>
          <w:lang w:val="zh-CN"/>
        </w:rPr>
        <w:t>系统部署要求</w:t>
      </w:r>
      <w:bookmarkEnd w:id="51"/>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投标人须根据许昌日报的部署要求，提供基础运行环境的建议方案或说明。要求融媒体采编业务平台须独立部署在许昌日报社本地机房，并提供基础设施配置要求、部署图。部署过程中，如要更改和变化原有网络架构和拓扑结构，须跟相关技术人员提前沟通，充分了解集团网络情况后给出具体实施方案和步骤，确保不影响集团网络的各项正常工作。</w:t>
      </w:r>
    </w:p>
    <w:p>
      <w:pPr>
        <w:spacing w:line="360" w:lineRule="auto"/>
        <w:ind w:firstLine="482" w:firstLineChars="200"/>
        <w:contextualSpacing/>
        <w:rPr>
          <w:rFonts w:hint="eastAsia" w:cs="仿宋_GB2312" w:asciiTheme="minorEastAsia" w:hAnsiTheme="minorEastAsia"/>
          <w:b/>
          <w:bCs/>
          <w:szCs w:val="21"/>
          <w:lang w:val="zh-CN"/>
        </w:rPr>
      </w:pPr>
      <w:bookmarkStart w:id="52" w:name="_Toc27664"/>
      <w:bookmarkStart w:id="53" w:name="_Toc513469599"/>
      <w:r>
        <w:rPr>
          <w:rFonts w:hint="eastAsia" w:cs="仿宋_GB2312" w:asciiTheme="minorEastAsia" w:hAnsiTheme="minorEastAsia"/>
          <w:b/>
          <w:bCs/>
          <w:szCs w:val="21"/>
          <w:lang w:val="en-US" w:eastAsia="zh-CN"/>
        </w:rPr>
        <w:t>6、</w:t>
      </w:r>
      <w:r>
        <w:rPr>
          <w:rFonts w:hint="eastAsia" w:cs="仿宋_GB2312" w:asciiTheme="minorEastAsia" w:hAnsiTheme="minorEastAsia"/>
          <w:b/>
          <w:bCs/>
          <w:szCs w:val="21"/>
          <w:lang w:val="zh-CN"/>
        </w:rPr>
        <w:t>项目实施要求</w:t>
      </w:r>
      <w:bookmarkEnd w:id="52"/>
      <w:bookmarkEnd w:id="53"/>
    </w:p>
    <w:p>
      <w:pPr>
        <w:spacing w:line="360" w:lineRule="auto"/>
        <w:ind w:firstLine="482" w:firstLineChars="200"/>
        <w:contextualSpacing/>
        <w:rPr>
          <w:rFonts w:hint="eastAsia" w:cs="仿宋_GB2312" w:asciiTheme="minorEastAsia" w:hAnsiTheme="minorEastAsia"/>
          <w:b/>
          <w:bCs/>
          <w:szCs w:val="21"/>
          <w:lang w:val="zh-CN"/>
        </w:rPr>
      </w:pPr>
      <w:bookmarkStart w:id="54" w:name="_Toc513469600"/>
      <w:bookmarkStart w:id="55" w:name="_Toc28485"/>
      <w:r>
        <w:rPr>
          <w:rFonts w:hint="eastAsia" w:cs="仿宋_GB2312" w:asciiTheme="minorEastAsia" w:hAnsiTheme="minorEastAsia"/>
          <w:b/>
          <w:bCs/>
          <w:szCs w:val="21"/>
          <w:lang w:val="en-US" w:eastAsia="zh-CN"/>
        </w:rPr>
        <w:t>6.1</w:t>
      </w:r>
      <w:r>
        <w:rPr>
          <w:rFonts w:hint="eastAsia" w:cs="仿宋_GB2312" w:asciiTheme="minorEastAsia" w:hAnsiTheme="minorEastAsia"/>
          <w:b/>
          <w:bCs/>
          <w:szCs w:val="21"/>
          <w:lang w:val="zh-CN"/>
        </w:rPr>
        <w:t>项目周期</w:t>
      </w:r>
      <w:bookmarkEnd w:id="54"/>
      <w:r>
        <w:rPr>
          <w:rFonts w:hint="eastAsia" w:cs="仿宋_GB2312" w:asciiTheme="minorEastAsia" w:hAnsiTheme="minorEastAsia"/>
          <w:b/>
          <w:bCs/>
          <w:szCs w:val="21"/>
          <w:lang w:val="zh-CN"/>
        </w:rPr>
        <w:t>要求</w:t>
      </w:r>
      <w:bookmarkEnd w:id="55"/>
      <w:r>
        <w:rPr>
          <w:rFonts w:hint="eastAsia" w:cs="仿宋_GB2312" w:asciiTheme="minorEastAsia" w:hAnsiTheme="minorEastAsia"/>
          <w:b/>
          <w:bCs/>
          <w:szCs w:val="21"/>
          <w:lang w:val="zh-CN"/>
        </w:rPr>
        <w:tab/>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合同签订后</w:t>
      </w:r>
      <w:r>
        <w:rPr>
          <w:rFonts w:hint="eastAsia" w:cs="仿宋_GB2312" w:asciiTheme="minorEastAsia" w:hAnsiTheme="minorEastAsia"/>
          <w:szCs w:val="21"/>
          <w:lang w:val="en-US" w:eastAsia="zh-CN"/>
        </w:rPr>
        <w:t>2</w:t>
      </w:r>
      <w:r>
        <w:rPr>
          <w:rFonts w:hint="eastAsia" w:cs="仿宋_GB2312" w:asciiTheme="minorEastAsia" w:hAnsiTheme="minorEastAsia"/>
          <w:szCs w:val="21"/>
          <w:lang w:val="zh-CN"/>
        </w:rPr>
        <w:t>0日内完成系统建设，包括软件平台建设与实施部署，之后进入30天的内部试运行，期间完成系统对接。总体建设周期为合同签订后</w:t>
      </w:r>
      <w:r>
        <w:rPr>
          <w:rFonts w:hint="eastAsia" w:cs="仿宋_GB2312" w:asciiTheme="minorEastAsia" w:hAnsiTheme="minorEastAsia"/>
          <w:szCs w:val="21"/>
          <w:lang w:val="en-US" w:eastAsia="zh-CN"/>
        </w:rPr>
        <w:t>1</w:t>
      </w:r>
      <w:r>
        <w:rPr>
          <w:rFonts w:hint="eastAsia" w:cs="仿宋_GB2312" w:asciiTheme="minorEastAsia" w:hAnsiTheme="minorEastAsia"/>
          <w:szCs w:val="21"/>
          <w:lang w:val="zh-CN"/>
        </w:rPr>
        <w:t>个月，期满后系统运行良好无重大问题即组织终验，终验合格后进入质保期。</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免费质保期：自系统终验合格，签署最终验收合格报告之日起三年。</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要求投标人提出项目建设组织方式、工作机制建议，并设计工作流程和实施方案。</w:t>
      </w:r>
    </w:p>
    <w:p>
      <w:pPr>
        <w:spacing w:line="360" w:lineRule="auto"/>
        <w:ind w:firstLine="482" w:firstLineChars="200"/>
        <w:contextualSpacing/>
        <w:rPr>
          <w:rFonts w:hint="eastAsia" w:cs="仿宋_GB2312" w:asciiTheme="minorEastAsia" w:hAnsiTheme="minorEastAsia"/>
          <w:b/>
          <w:bCs/>
          <w:szCs w:val="21"/>
          <w:lang w:val="zh-CN"/>
        </w:rPr>
      </w:pPr>
      <w:bookmarkStart w:id="56" w:name="_Toc23068"/>
      <w:bookmarkStart w:id="57" w:name="_Toc513469601"/>
      <w:r>
        <w:rPr>
          <w:rFonts w:hint="eastAsia" w:cs="仿宋_GB2312" w:asciiTheme="minorEastAsia" w:hAnsiTheme="minorEastAsia"/>
          <w:b/>
          <w:bCs/>
          <w:szCs w:val="21"/>
          <w:lang w:val="en-US" w:eastAsia="zh-CN"/>
        </w:rPr>
        <w:t>6.2</w:t>
      </w:r>
      <w:r>
        <w:rPr>
          <w:rFonts w:hint="eastAsia" w:cs="仿宋_GB2312" w:asciiTheme="minorEastAsia" w:hAnsiTheme="minorEastAsia"/>
          <w:b/>
          <w:bCs/>
          <w:szCs w:val="21"/>
          <w:lang w:val="zh-CN"/>
        </w:rPr>
        <w:t>实施人员要求</w:t>
      </w:r>
      <w:bookmarkEnd w:id="56"/>
      <w:bookmarkEnd w:id="57"/>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投标人应保证项目队伍人员的充足和人员结构合理性，团队中需包含开发、测试、实施、培训和售后服务人员，要求投标人所提供的项目团队有专业的新闻素养与采编人员，能为融媒体整体业务流程提供专业业务流程支持，项目团队人员中，可提供国家新闻出版广电总局颁发的新闻资质类证书。同时任命一名全职项目经理，要求项目经理具有信息系统集成及服务项目管理人员高级项目经理证书和PMI-ACP证书。</w:t>
      </w:r>
    </w:p>
    <w:p>
      <w:pPr>
        <w:spacing w:line="360" w:lineRule="auto"/>
        <w:ind w:firstLine="482" w:firstLineChars="200"/>
        <w:contextualSpacing/>
        <w:rPr>
          <w:rFonts w:hint="eastAsia" w:cs="仿宋_GB2312" w:asciiTheme="minorEastAsia" w:hAnsiTheme="minorEastAsia"/>
          <w:b/>
          <w:bCs/>
          <w:szCs w:val="21"/>
          <w:lang w:val="zh-CN"/>
        </w:rPr>
      </w:pPr>
      <w:bookmarkStart w:id="58" w:name="_Toc6501"/>
      <w:bookmarkStart w:id="59" w:name="_Toc513469602"/>
      <w:r>
        <w:rPr>
          <w:rFonts w:hint="eastAsia" w:cs="仿宋_GB2312" w:asciiTheme="minorEastAsia" w:hAnsiTheme="minorEastAsia"/>
          <w:b/>
          <w:bCs/>
          <w:szCs w:val="21"/>
          <w:lang w:val="en-US" w:eastAsia="zh-CN"/>
        </w:rPr>
        <w:t>6.3</w:t>
      </w:r>
      <w:r>
        <w:rPr>
          <w:rFonts w:hint="eastAsia" w:cs="仿宋_GB2312" w:asciiTheme="minorEastAsia" w:hAnsiTheme="minorEastAsia"/>
          <w:b/>
          <w:bCs/>
          <w:szCs w:val="21"/>
          <w:lang w:val="zh-CN"/>
        </w:rPr>
        <w:t>标准化要求</w:t>
      </w:r>
      <w:bookmarkEnd w:id="58"/>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所选用的工具软件应采用主流的技术手段，符合业界公认的主流技术标准。</w:t>
      </w:r>
    </w:p>
    <w:p>
      <w:pPr>
        <w:spacing w:line="360" w:lineRule="auto"/>
        <w:ind w:firstLine="482" w:firstLineChars="200"/>
        <w:contextualSpacing/>
        <w:rPr>
          <w:rFonts w:hint="eastAsia" w:cs="仿宋_GB2312" w:asciiTheme="minorEastAsia" w:hAnsiTheme="minorEastAsia"/>
          <w:b/>
          <w:bCs/>
          <w:szCs w:val="21"/>
          <w:lang w:val="zh-CN"/>
        </w:rPr>
      </w:pPr>
      <w:bookmarkStart w:id="60" w:name="_Toc1165"/>
      <w:r>
        <w:rPr>
          <w:rFonts w:hint="eastAsia" w:cs="仿宋_GB2312" w:asciiTheme="minorEastAsia" w:hAnsiTheme="minorEastAsia"/>
          <w:b/>
          <w:bCs/>
          <w:szCs w:val="21"/>
          <w:lang w:val="en-US" w:eastAsia="zh-CN"/>
        </w:rPr>
        <w:t>6.4</w:t>
      </w:r>
      <w:r>
        <w:rPr>
          <w:rFonts w:hint="eastAsia" w:cs="仿宋_GB2312" w:asciiTheme="minorEastAsia" w:hAnsiTheme="minorEastAsia"/>
          <w:b/>
          <w:bCs/>
          <w:szCs w:val="21"/>
          <w:lang w:val="zh-CN"/>
        </w:rPr>
        <w:t>质量保证要求</w:t>
      </w:r>
      <w:bookmarkEnd w:id="59"/>
      <w:bookmarkEnd w:id="60"/>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投标人应提供详细易懂的系统的安装、运行、验收测试的技术文件，内容包括：软件需求说明书、系统测试报告、产品操作及维护手册等。</w:t>
      </w:r>
    </w:p>
    <w:p>
      <w:pPr>
        <w:spacing w:line="360" w:lineRule="auto"/>
        <w:ind w:firstLine="482" w:firstLineChars="200"/>
        <w:contextualSpacing/>
        <w:rPr>
          <w:rFonts w:hint="eastAsia" w:cs="仿宋_GB2312" w:asciiTheme="minorEastAsia" w:hAnsiTheme="minorEastAsia"/>
          <w:b/>
          <w:bCs/>
          <w:szCs w:val="21"/>
          <w:lang w:val="zh-CN"/>
        </w:rPr>
      </w:pPr>
      <w:bookmarkStart w:id="61" w:name="_Toc513469603"/>
      <w:bookmarkStart w:id="62" w:name="_Toc3775"/>
      <w:r>
        <w:rPr>
          <w:rFonts w:hint="eastAsia" w:cs="仿宋_GB2312" w:asciiTheme="minorEastAsia" w:hAnsiTheme="minorEastAsia"/>
          <w:b/>
          <w:bCs/>
          <w:szCs w:val="21"/>
          <w:lang w:val="en-US" w:eastAsia="zh-CN"/>
        </w:rPr>
        <w:t>6.5</w:t>
      </w:r>
      <w:r>
        <w:rPr>
          <w:rFonts w:hint="eastAsia" w:cs="仿宋_GB2312" w:asciiTheme="minorEastAsia" w:hAnsiTheme="minorEastAsia"/>
          <w:b/>
          <w:bCs/>
          <w:szCs w:val="21"/>
          <w:lang w:val="zh-CN"/>
        </w:rPr>
        <w:t>培训要求</w:t>
      </w:r>
      <w:bookmarkEnd w:id="61"/>
      <w:bookmarkEnd w:id="62"/>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要求投标人提供完备的培训方案，能为许昌日报的系统管理员、维护人员和业务人员进行融媒体采编业务平台使用、维护及管理方面的培训，培训讲师必须具备相应专业知识、实际工作和培训经验，并提供相应的培训教材。</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（1）培训时间：要求中标人提供集中培训至少1次，同时提供培训课件，供日后再学习和掌握。</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（2）培训课程设置：要求培训课程的设置必须适应招标人所辖上述最终用户及相关部门的实际情况，以完成本项目的培训目标为目的。</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（3）培训地点：具体培训时间、地点与许昌日报协商确定。</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（4）融媒体人才培养方案：要求投标人具备成熟的融媒体人才培训体系与机构，可提供相应的人才培养方案与培训项目课程，为许昌日报后续全面的融媒体人才培养提供支撑。</w:t>
      </w:r>
    </w:p>
    <w:p>
      <w:pPr>
        <w:spacing w:line="360" w:lineRule="auto"/>
        <w:ind w:firstLine="482" w:firstLineChars="200"/>
        <w:contextualSpacing/>
        <w:rPr>
          <w:rFonts w:hint="eastAsia" w:cs="仿宋_GB2312" w:asciiTheme="minorEastAsia" w:hAnsiTheme="minorEastAsia"/>
          <w:b/>
          <w:bCs/>
          <w:szCs w:val="21"/>
          <w:lang w:val="zh-CN"/>
        </w:rPr>
      </w:pPr>
      <w:bookmarkStart w:id="63" w:name="_Toc513469604"/>
      <w:bookmarkStart w:id="64" w:name="_Toc31002"/>
      <w:r>
        <w:rPr>
          <w:rFonts w:hint="eastAsia" w:cs="仿宋_GB2312" w:asciiTheme="minorEastAsia" w:hAnsiTheme="minorEastAsia"/>
          <w:b/>
          <w:bCs/>
          <w:szCs w:val="21"/>
          <w:lang w:val="en-US" w:eastAsia="zh-CN"/>
        </w:rPr>
        <w:t>6.6</w:t>
      </w:r>
      <w:r>
        <w:rPr>
          <w:rFonts w:hint="eastAsia" w:cs="仿宋_GB2312" w:asciiTheme="minorEastAsia" w:hAnsiTheme="minorEastAsia"/>
          <w:b/>
          <w:bCs/>
          <w:szCs w:val="21"/>
          <w:lang w:val="zh-CN"/>
        </w:rPr>
        <w:t>售后服务要求</w:t>
      </w:r>
      <w:bookmarkEnd w:id="63"/>
      <w:bookmarkEnd w:id="64"/>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系统正式验收后，要求投标人提供</w:t>
      </w:r>
      <w:r>
        <w:rPr>
          <w:rFonts w:hint="eastAsia" w:cs="仿宋_GB2312" w:asciiTheme="minorEastAsia" w:hAnsiTheme="minorEastAsia"/>
          <w:szCs w:val="21"/>
          <w:lang w:val="en-US" w:eastAsia="zh-CN"/>
        </w:rPr>
        <w:t>3</w:t>
      </w:r>
      <w:r>
        <w:rPr>
          <w:rFonts w:hint="eastAsia" w:cs="仿宋_GB2312" w:asciiTheme="minorEastAsia" w:hAnsiTheme="minorEastAsia"/>
          <w:szCs w:val="21"/>
          <w:lang w:val="zh-CN"/>
        </w:rPr>
        <w:t>年的免费质保服务（以项目正式验收合格之日为起始日期），费用由中标供应商承担，招标人不再支付任何费用。在服务期内，如果系统发生故障，中标供应商要调查故障原因并完成修复，直至满足项目验收指标和性能的要求。</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服务内容和要求至少包括如下内容：</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（1）实时技术支持</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投标人应提供7×24小时技术支持服务，在接到技术支持要求时，应为系统使用人员提供如何使用系统的咨询。</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（2）故障响应</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投标人在接到故障报修要求时，1小时内做出明确响应和安排，在2小时内为招标人提供维修服务。若需要现场服务才能解决问题，应在24小时内到达现场。</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（3）热线服务</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中标人应提供热线电话、E-mail、传真、微信等途径，随时接受招标人提出的各种技术问题，并在24小时内提出解决方案。</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（4）缺陷修复</w:t>
      </w:r>
    </w:p>
    <w:p>
      <w:pPr>
        <w:spacing w:line="360" w:lineRule="auto"/>
        <w:ind w:firstLine="480" w:firstLineChars="200"/>
        <w:contextualSpacing/>
        <w:rPr>
          <w:rFonts w:hint="eastAsia" w:cs="黑体" w:asciiTheme="minorEastAsia" w:hAnsiTheme="minorEastAsia"/>
          <w:b/>
          <w:bCs/>
          <w:color w:val="000000"/>
          <w:szCs w:val="21"/>
          <w:shd w:val="clear" w:color="auto" w:fill="FFFFFF"/>
          <w:lang w:eastAsia="zh-CN"/>
        </w:rPr>
      </w:pPr>
      <w:r>
        <w:rPr>
          <w:rFonts w:hint="eastAsia" w:cs="仿宋_GB2312" w:asciiTheme="minorEastAsia" w:hAnsiTheme="minorEastAsia"/>
          <w:szCs w:val="21"/>
          <w:lang w:val="zh-CN"/>
        </w:rPr>
        <w:t>投标方在质保期内，应免费提供项目软件自身的bug修复与功能优化。</w:t>
      </w:r>
    </w:p>
    <w:p>
      <w:pPr>
        <w:widowControl/>
        <w:shd w:val="clear" w:color="auto" w:fill="FFFFFF"/>
        <w:spacing w:line="360" w:lineRule="auto"/>
        <w:ind w:firstLine="482" w:firstLineChars="200"/>
        <w:contextualSpacing/>
        <w:jc w:val="left"/>
        <w:rPr>
          <w:rFonts w:hint="eastAsia" w:cs="黑体" w:asciiTheme="minorEastAsia" w:hAnsiTheme="minorEastAsia"/>
          <w:b/>
          <w:bCs/>
          <w:color w:val="000000"/>
          <w:szCs w:val="21"/>
          <w:shd w:val="clear" w:color="auto" w:fill="FFFFFF"/>
          <w:lang w:eastAsia="zh-CN"/>
        </w:rPr>
      </w:pPr>
      <w:r>
        <w:rPr>
          <w:rFonts w:hint="eastAsia" w:cs="黑体" w:asciiTheme="minorEastAsia" w:hAnsiTheme="minorEastAsia"/>
          <w:b/>
          <w:bCs/>
          <w:color w:val="000000"/>
          <w:szCs w:val="21"/>
          <w:shd w:val="clear" w:color="auto" w:fill="FFFFFF"/>
          <w:lang w:eastAsia="zh-CN"/>
        </w:rPr>
        <w:t>B包：融媒体大数据管理系统</w:t>
      </w:r>
    </w:p>
    <w:p>
      <w:pPr>
        <w:spacing w:line="360" w:lineRule="auto"/>
        <w:ind w:firstLine="482" w:firstLineChars="200"/>
        <w:contextualSpacing/>
        <w:rPr>
          <w:rFonts w:hint="eastAsia" w:asciiTheme="minorEastAsia" w:hAnsiTheme="minorEastAsia" w:eastAsiaTheme="minorEastAsia" w:cstheme="minorEastAsia"/>
          <w:b/>
          <w:bCs/>
          <w:sz w:val="24"/>
          <w:szCs w:val="24"/>
          <w:lang w:val="en-US" w:eastAsia="zh-CN"/>
        </w:rPr>
      </w:pPr>
      <w:bookmarkStart w:id="65" w:name="_Toc520806662"/>
      <w:r>
        <w:rPr>
          <w:rFonts w:hint="eastAsia" w:asciiTheme="minorEastAsia" w:hAnsiTheme="minorEastAsia" w:eastAsiaTheme="minorEastAsia" w:cstheme="minorEastAsia"/>
          <w:b/>
          <w:bCs/>
          <w:sz w:val="24"/>
          <w:szCs w:val="24"/>
          <w:lang w:val="en-US" w:eastAsia="zh-CN"/>
        </w:rPr>
        <w:t>（一）项目的概况</w:t>
      </w:r>
      <w:bookmarkEnd w:id="65"/>
    </w:p>
    <w:p>
      <w:pPr>
        <w:adjustRightInd w:val="0"/>
        <w:snapToGrid w:val="0"/>
        <w:spacing w:line="360" w:lineRule="auto"/>
        <w:ind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深度推进许昌日报传媒集团媒体融合，统一调度集团媒体资源，统筹规划许昌日报传媒集团发展方向，加深许昌日报传媒集团媒体品牌的影响力、传播力、引导力，本项目旨在以数据驱动内容生产、以技术监测传播效果，构建品牌传播形象。建设以许昌日报传媒集团全媒体内容生产优化重点工程，提升许昌日报传媒集团核心竞争力。</w:t>
      </w:r>
    </w:p>
    <w:p>
      <w:pPr>
        <w:adjustRightInd w:val="0"/>
        <w:snapToGrid w:val="0"/>
        <w:spacing w:line="360" w:lineRule="auto"/>
        <w:ind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本项目一方面将通过全网搜索和数据分析等自动化信息获取技术，帮助许昌日报传媒集团旗下各媒体品牌的信息资源打通融合。</w:t>
      </w:r>
    </w:p>
    <w:p>
      <w:pPr>
        <w:adjustRightInd w:val="0"/>
        <w:snapToGrid w:val="0"/>
        <w:spacing w:line="360" w:lineRule="auto"/>
        <w:ind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另一方面将通过对许昌日报传媒集团所属媒体新闻传播效果的监测，对内容传播影响力、媒体传播影响力等进行量化分析和持续跟踪。 </w:t>
      </w:r>
    </w:p>
    <w:p>
      <w:pPr>
        <w:adjustRightInd w:val="0"/>
        <w:snapToGrid w:val="0"/>
        <w:spacing w:line="360" w:lineRule="auto"/>
        <w:ind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第三，该项目的实施也可为全媒体采编人员绩效考核提供科学的、量化的数据支撑。</w:t>
      </w:r>
    </w:p>
    <w:p>
      <w:pPr>
        <w:adjustRightInd w:val="0"/>
        <w:snapToGrid w:val="0"/>
        <w:spacing w:line="360" w:lineRule="auto"/>
        <w:ind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第四，通过对新闻事件、突发事件的实时全网监测，分析新闻报道关注度、引发话题量，还能第一时间发出预警，及时进行舆论引导，帮助政府职能部门有效提高新闻舆论可控度。</w:t>
      </w:r>
    </w:p>
    <w:p>
      <w:pPr>
        <w:adjustRightInd w:val="0"/>
        <w:snapToGrid w:val="0"/>
        <w:spacing w:line="360" w:lineRule="auto"/>
        <w:ind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鉴于以上情况，决定开展本项目的采购。</w:t>
      </w:r>
    </w:p>
    <w:p>
      <w:pPr>
        <w:spacing w:line="360" w:lineRule="auto"/>
        <w:ind w:firstLine="482" w:firstLineChars="200"/>
        <w:contextualSpacing/>
        <w:rPr>
          <w:rFonts w:hint="eastAsia" w:asciiTheme="minorEastAsia" w:hAnsiTheme="minorEastAsia" w:eastAsiaTheme="minorEastAsia" w:cstheme="minorEastAsia"/>
          <w:b/>
          <w:bCs/>
          <w:sz w:val="24"/>
          <w:szCs w:val="24"/>
          <w:lang w:val="en-US" w:eastAsia="zh-CN"/>
        </w:rPr>
      </w:pPr>
      <w:bookmarkStart w:id="66" w:name="_Toc520806663"/>
      <w:r>
        <w:rPr>
          <w:rFonts w:hint="eastAsia" w:asciiTheme="minorEastAsia" w:hAnsiTheme="minorEastAsia" w:eastAsiaTheme="minorEastAsia" w:cstheme="minorEastAsia"/>
          <w:b/>
          <w:bCs/>
          <w:sz w:val="24"/>
          <w:szCs w:val="24"/>
          <w:lang w:val="en-US" w:eastAsia="zh-CN"/>
        </w:rPr>
        <w:t>（二）技术要求</w:t>
      </w:r>
      <w:bookmarkEnd w:id="66"/>
      <w:bookmarkStart w:id="67" w:name="2"/>
    </w:p>
    <w:p>
      <w:pPr>
        <w:spacing w:line="360" w:lineRule="auto"/>
        <w:ind w:firstLine="482" w:firstLineChars="200"/>
        <w:contextualSpacing/>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1、项目建设目标</w:t>
      </w:r>
      <w:bookmarkEnd w:id="67"/>
    </w:p>
    <w:p>
      <w:pPr>
        <w:spacing w:line="360" w:lineRule="auto"/>
        <w:ind w:firstLine="480" w:firstLineChars="200"/>
        <w:contextualSpacing/>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本项目作为媒体融合的核心系统，主要包含多个系统建设，利用各系统对整体业务进行管理运营，通过大数据实现对数据分析、专题分析和传播效果跟踪监测等形成可视化数据，为媒体融合发展提供强力技术支持，通过可视化数据为各类应用的发展指导方向。</w:t>
      </w:r>
    </w:p>
    <w:p>
      <w:pPr>
        <w:spacing w:line="360" w:lineRule="auto"/>
        <w:ind w:firstLine="482" w:firstLineChars="200"/>
        <w:contextualSpacing/>
        <w:rPr>
          <w:rFonts w:hint="eastAsia" w:asciiTheme="minorEastAsia" w:hAnsiTheme="minorEastAsia" w:eastAsiaTheme="minorEastAsia" w:cstheme="minorEastAsia"/>
          <w:b/>
          <w:bCs/>
          <w:sz w:val="24"/>
          <w:szCs w:val="24"/>
          <w:lang w:val="en-US" w:eastAsia="zh-CN"/>
        </w:rPr>
      </w:pPr>
      <w:bookmarkStart w:id="68" w:name="3"/>
      <w:r>
        <w:rPr>
          <w:rFonts w:hint="eastAsia" w:asciiTheme="minorEastAsia" w:hAnsiTheme="minorEastAsia" w:eastAsiaTheme="minorEastAsia" w:cstheme="minorEastAsia"/>
          <w:b/>
          <w:bCs/>
          <w:sz w:val="24"/>
          <w:szCs w:val="24"/>
          <w:lang w:val="en-US" w:eastAsia="zh-CN"/>
        </w:rPr>
        <w:t>2、建设要求</w:t>
      </w:r>
      <w:bookmarkEnd w:id="68"/>
    </w:p>
    <w:p>
      <w:pPr>
        <w:spacing w:line="360" w:lineRule="auto"/>
        <w:ind w:firstLine="482" w:firstLineChars="200"/>
        <w:contextualSpacing/>
        <w:rPr>
          <w:rFonts w:hint="eastAsia" w:asciiTheme="minorEastAsia" w:hAnsiTheme="minorEastAsia" w:eastAsiaTheme="minorEastAsia" w:cstheme="minorEastAsia"/>
          <w:b/>
          <w:bCs/>
          <w:sz w:val="24"/>
          <w:szCs w:val="24"/>
          <w:lang w:val="en-US" w:eastAsia="zh-CN"/>
        </w:rPr>
      </w:pPr>
      <w:bookmarkStart w:id="69" w:name="_Toc520806664"/>
      <w:r>
        <w:rPr>
          <w:rFonts w:hint="eastAsia" w:asciiTheme="minorEastAsia" w:hAnsiTheme="minorEastAsia" w:eastAsiaTheme="minorEastAsia" w:cstheme="minorEastAsia"/>
          <w:b/>
          <w:bCs/>
          <w:sz w:val="24"/>
          <w:szCs w:val="24"/>
          <w:lang w:val="en-US" w:eastAsia="zh-CN"/>
        </w:rPr>
        <w:t>2.1总体设计要求</w:t>
      </w:r>
      <w:bookmarkEnd w:id="69"/>
    </w:p>
    <w:p>
      <w:pPr>
        <w:spacing w:line="360" w:lineRule="auto"/>
        <w:ind w:firstLine="480" w:firstLineChars="200"/>
        <w:contextualSpacing/>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系统平台建设要考虑与运营效果、业务成熟度、业务规模来科学规划，采用当前成熟稳定的云技术服务为核心，打造大数据技术平台，实现大数据分析应用。既要保证系统设计的先进性，又要保证系统设计尽可能地实用。系统应该选择行业主流、先进、成熟、高效的开放技术路线，同时还要考虑系统总体成本以及符合实际的条件。系统应具备统一高效的管理平台，且各项功能可随需求进行灵活定制。</w:t>
      </w:r>
    </w:p>
    <w:p>
      <w:pPr>
        <w:spacing w:line="360" w:lineRule="auto"/>
        <w:ind w:firstLine="482" w:firstLineChars="200"/>
        <w:contextualSpacing/>
        <w:rPr>
          <w:rFonts w:hint="eastAsia" w:asciiTheme="minorEastAsia" w:hAnsiTheme="minorEastAsia" w:eastAsiaTheme="minorEastAsia" w:cstheme="minorEastAsia"/>
          <w:b/>
          <w:bCs/>
          <w:sz w:val="24"/>
          <w:szCs w:val="24"/>
          <w:lang w:val="en-US" w:eastAsia="zh-CN"/>
        </w:rPr>
      </w:pPr>
      <w:bookmarkStart w:id="70" w:name="_Toc520806665"/>
      <w:r>
        <w:rPr>
          <w:rFonts w:hint="eastAsia" w:asciiTheme="minorEastAsia" w:hAnsiTheme="minorEastAsia" w:eastAsiaTheme="minorEastAsia" w:cstheme="minorEastAsia"/>
          <w:b/>
          <w:bCs/>
          <w:sz w:val="24"/>
          <w:szCs w:val="24"/>
          <w:lang w:val="en-US" w:eastAsia="zh-CN"/>
        </w:rPr>
        <w:t>2.2功能模块</w:t>
      </w:r>
      <w:bookmarkEnd w:id="70"/>
    </w:p>
    <w:tbl>
      <w:tblPr>
        <w:tblStyle w:val="31"/>
        <w:tblW w:w="90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260"/>
        <w:gridCol w:w="5073"/>
        <w:gridCol w:w="755"/>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710" w:type="dxa"/>
            <w:noWrap w:val="0"/>
            <w:vAlign w:val="bottom"/>
          </w:tcPr>
          <w:p>
            <w:pPr>
              <w:adjustRightInd w:val="0"/>
              <w:snapToGrid w:val="0"/>
              <w:spacing w:line="360" w:lineRule="auto"/>
              <w:contextualSpacing/>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序号</w:t>
            </w:r>
          </w:p>
        </w:tc>
        <w:tc>
          <w:tcPr>
            <w:tcW w:w="1260" w:type="dxa"/>
            <w:noWrap w:val="0"/>
            <w:vAlign w:val="bottom"/>
          </w:tcPr>
          <w:p>
            <w:pPr>
              <w:adjustRightInd w:val="0"/>
              <w:snapToGrid w:val="0"/>
              <w:spacing w:line="360" w:lineRule="auto"/>
              <w:contextualSpacing/>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项目名称</w:t>
            </w:r>
          </w:p>
        </w:tc>
        <w:tc>
          <w:tcPr>
            <w:tcW w:w="5073" w:type="dxa"/>
            <w:noWrap w:val="0"/>
            <w:vAlign w:val="bottom"/>
          </w:tcPr>
          <w:p>
            <w:pPr>
              <w:adjustRightInd w:val="0"/>
              <w:snapToGrid w:val="0"/>
              <w:spacing w:line="360" w:lineRule="auto"/>
              <w:contextualSpacing/>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项目内容及描述</w:t>
            </w:r>
          </w:p>
        </w:tc>
        <w:tc>
          <w:tcPr>
            <w:tcW w:w="755" w:type="dxa"/>
            <w:noWrap w:val="0"/>
            <w:vAlign w:val="bottom"/>
          </w:tcPr>
          <w:p>
            <w:pPr>
              <w:adjustRightInd w:val="0"/>
              <w:snapToGrid w:val="0"/>
              <w:spacing w:line="360" w:lineRule="auto"/>
              <w:contextualSpacing/>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数量</w:t>
            </w:r>
          </w:p>
        </w:tc>
        <w:tc>
          <w:tcPr>
            <w:tcW w:w="1213" w:type="dxa"/>
            <w:noWrap w:val="0"/>
            <w:vAlign w:val="bottom"/>
          </w:tcPr>
          <w:p>
            <w:pPr>
              <w:adjustRightInd w:val="0"/>
              <w:snapToGrid w:val="0"/>
              <w:spacing w:line="360" w:lineRule="auto"/>
              <w:contextualSpacing/>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9011" w:type="dxa"/>
            <w:gridSpan w:val="5"/>
            <w:noWrap w:val="0"/>
            <w:vAlign w:val="bottom"/>
          </w:tcPr>
          <w:p>
            <w:pPr>
              <w:adjustRightInd w:val="0"/>
              <w:snapToGrid w:val="0"/>
              <w:spacing w:line="360" w:lineRule="auto"/>
              <w:contextualSpacing/>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基础数据服务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6" w:hRule="atLeast"/>
          <w:jc w:val="center"/>
        </w:trPr>
        <w:tc>
          <w:tcPr>
            <w:tcW w:w="710" w:type="dxa"/>
            <w:noWrap w:val="0"/>
            <w:vAlign w:val="center"/>
          </w:tcPr>
          <w:p>
            <w:pPr>
              <w:adjustRightInd w:val="0"/>
              <w:snapToGrid w:val="0"/>
              <w:spacing w:line="360" w:lineRule="auto"/>
              <w:contextualSpacing/>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260" w:type="dxa"/>
            <w:noWrap w:val="0"/>
            <w:vAlign w:val="center"/>
          </w:tcPr>
          <w:p>
            <w:pPr>
              <w:adjustRightInd w:val="0"/>
              <w:snapToGrid w:val="0"/>
              <w:spacing w:line="360" w:lineRule="auto"/>
              <w:contextualSpacing/>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基础数据</w:t>
            </w:r>
          </w:p>
        </w:tc>
        <w:tc>
          <w:tcPr>
            <w:tcW w:w="5073" w:type="dxa"/>
            <w:noWrap w:val="0"/>
            <w:vAlign w:val="center"/>
          </w:tcPr>
          <w:p>
            <w:pPr>
              <w:pStyle w:val="57"/>
              <w:spacing w:line="360" w:lineRule="auto"/>
              <w:ind w:firstLine="0"/>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按照网站、报纸、客户端、微信、微博等数据源浏览数据，展现结构化纯净数据；</w:t>
            </w:r>
          </w:p>
        </w:tc>
        <w:tc>
          <w:tcPr>
            <w:tcW w:w="755" w:type="dxa"/>
            <w:noWrap w:val="0"/>
            <w:vAlign w:val="center"/>
          </w:tcPr>
          <w:p>
            <w:pPr>
              <w:adjustRightInd w:val="0"/>
              <w:snapToGrid w:val="0"/>
              <w:spacing w:line="360" w:lineRule="auto"/>
              <w:contextualSpacing/>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1套</w:t>
            </w:r>
          </w:p>
        </w:tc>
        <w:tc>
          <w:tcPr>
            <w:tcW w:w="1213" w:type="dxa"/>
            <w:noWrap w:val="0"/>
            <w:vAlign w:val="center"/>
          </w:tcPr>
          <w:p>
            <w:pPr>
              <w:adjustRightInd w:val="0"/>
              <w:snapToGrid w:val="0"/>
              <w:spacing w:line="360" w:lineRule="auto"/>
              <w:contextualSpacing/>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jc w:val="center"/>
        </w:trPr>
        <w:tc>
          <w:tcPr>
            <w:tcW w:w="710" w:type="dxa"/>
            <w:noWrap w:val="0"/>
            <w:vAlign w:val="center"/>
          </w:tcPr>
          <w:p>
            <w:pPr>
              <w:adjustRightInd w:val="0"/>
              <w:snapToGrid w:val="0"/>
              <w:spacing w:line="360" w:lineRule="auto"/>
              <w:contextualSpacing/>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260" w:type="dxa"/>
            <w:noWrap w:val="0"/>
            <w:vAlign w:val="center"/>
          </w:tcPr>
          <w:p>
            <w:pPr>
              <w:adjustRightInd w:val="0"/>
              <w:snapToGrid w:val="0"/>
              <w:spacing w:line="360" w:lineRule="auto"/>
              <w:contextualSpacing/>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媒体热点监测</w:t>
            </w:r>
          </w:p>
        </w:tc>
        <w:tc>
          <w:tcPr>
            <w:tcW w:w="5073" w:type="dxa"/>
            <w:noWrap w:val="0"/>
            <w:vAlign w:val="center"/>
          </w:tcPr>
          <w:p>
            <w:pPr>
              <w:adjustRightInd w:val="0"/>
              <w:snapToGrid w:val="0"/>
              <w:spacing w:line="360" w:lineRule="auto"/>
              <w:contextualSpacing/>
              <w:rPr>
                <w:rFonts w:hint="eastAsia" w:asciiTheme="minorEastAsia" w:hAnsiTheme="minorEastAsia" w:eastAsiaTheme="minorEastAsia" w:cstheme="minorEastAsia"/>
                <w:sz w:val="24"/>
                <w:szCs w:val="24"/>
                <w:highlight w:val="yellow"/>
              </w:rPr>
            </w:pPr>
            <w:r>
              <w:rPr>
                <w:rFonts w:hint="eastAsia" w:asciiTheme="minorEastAsia" w:hAnsiTheme="minorEastAsia" w:eastAsiaTheme="minorEastAsia" w:cstheme="minorEastAsia"/>
                <w:sz w:val="24"/>
                <w:szCs w:val="24"/>
              </w:rPr>
              <w:t>该模块需实现对国内主流媒体，包括媒体旗下的网站、微博、微信、客户端的稿件监测和新闻热点挖掘。</w:t>
            </w:r>
          </w:p>
        </w:tc>
        <w:tc>
          <w:tcPr>
            <w:tcW w:w="755" w:type="dxa"/>
            <w:noWrap w:val="0"/>
            <w:vAlign w:val="center"/>
          </w:tcPr>
          <w:p>
            <w:pPr>
              <w:adjustRightInd w:val="0"/>
              <w:snapToGrid w:val="0"/>
              <w:spacing w:line="360" w:lineRule="auto"/>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1套</w:t>
            </w:r>
          </w:p>
        </w:tc>
        <w:tc>
          <w:tcPr>
            <w:tcW w:w="1213" w:type="dxa"/>
            <w:noWrap w:val="0"/>
            <w:vAlign w:val="center"/>
          </w:tcPr>
          <w:p>
            <w:pPr>
              <w:adjustRightInd w:val="0"/>
              <w:snapToGrid w:val="0"/>
              <w:spacing w:line="360" w:lineRule="auto"/>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710" w:type="dxa"/>
            <w:noWrap w:val="0"/>
            <w:vAlign w:val="center"/>
          </w:tcPr>
          <w:p>
            <w:pPr>
              <w:adjustRightInd w:val="0"/>
              <w:snapToGrid w:val="0"/>
              <w:spacing w:line="360" w:lineRule="auto"/>
              <w:contextualSpacing/>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260" w:type="dxa"/>
            <w:noWrap w:val="0"/>
            <w:vAlign w:val="center"/>
          </w:tcPr>
          <w:p>
            <w:pPr>
              <w:adjustRightInd w:val="0"/>
              <w:snapToGrid w:val="0"/>
              <w:spacing w:line="360" w:lineRule="auto"/>
              <w:contextualSpacing/>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用户热点监测</w:t>
            </w:r>
          </w:p>
        </w:tc>
        <w:tc>
          <w:tcPr>
            <w:tcW w:w="5073" w:type="dxa"/>
            <w:noWrap w:val="0"/>
            <w:vAlign w:val="center"/>
          </w:tcPr>
          <w:p>
            <w:pPr>
              <w:adjustRightInd w:val="0"/>
              <w:snapToGrid w:val="0"/>
              <w:spacing w:line="360" w:lineRule="auto"/>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实现对国内知名网站、微信、微博及其他新媒体渠道的新闻信息内容的监测和线索挖掘。</w:t>
            </w:r>
          </w:p>
        </w:tc>
        <w:tc>
          <w:tcPr>
            <w:tcW w:w="755" w:type="dxa"/>
            <w:noWrap w:val="0"/>
            <w:vAlign w:val="center"/>
          </w:tcPr>
          <w:p>
            <w:pPr>
              <w:adjustRightInd w:val="0"/>
              <w:snapToGrid w:val="0"/>
              <w:spacing w:line="360" w:lineRule="auto"/>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1套</w:t>
            </w:r>
          </w:p>
        </w:tc>
        <w:tc>
          <w:tcPr>
            <w:tcW w:w="1213" w:type="dxa"/>
            <w:noWrap w:val="0"/>
            <w:vAlign w:val="center"/>
          </w:tcPr>
          <w:p>
            <w:pPr>
              <w:adjustRightInd w:val="0"/>
              <w:snapToGrid w:val="0"/>
              <w:spacing w:line="360" w:lineRule="auto"/>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jc w:val="center"/>
        </w:trPr>
        <w:tc>
          <w:tcPr>
            <w:tcW w:w="710" w:type="dxa"/>
            <w:noWrap w:val="0"/>
            <w:vAlign w:val="center"/>
          </w:tcPr>
          <w:p>
            <w:pPr>
              <w:adjustRightInd w:val="0"/>
              <w:snapToGrid w:val="0"/>
              <w:spacing w:line="360" w:lineRule="auto"/>
              <w:contextualSpacing/>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260" w:type="dxa"/>
            <w:noWrap w:val="0"/>
            <w:vAlign w:val="center"/>
          </w:tcPr>
          <w:p>
            <w:pPr>
              <w:adjustRightInd w:val="0"/>
              <w:snapToGrid w:val="0"/>
              <w:spacing w:line="360" w:lineRule="auto"/>
              <w:contextualSpacing/>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专题分析</w:t>
            </w:r>
          </w:p>
        </w:tc>
        <w:tc>
          <w:tcPr>
            <w:tcW w:w="5073" w:type="dxa"/>
            <w:noWrap w:val="0"/>
            <w:vAlign w:val="center"/>
          </w:tcPr>
          <w:p>
            <w:pPr>
              <w:adjustRightInd w:val="0"/>
              <w:snapToGrid w:val="0"/>
              <w:spacing w:line="360" w:lineRule="auto"/>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实现对关键事件的专项监测，由系统根据热点内容的相似性和数据量，呈现当前的事件热点，并分析当前热点的媒体分布情况和事件脉络、趋势走向。</w:t>
            </w:r>
          </w:p>
        </w:tc>
        <w:tc>
          <w:tcPr>
            <w:tcW w:w="755" w:type="dxa"/>
            <w:noWrap w:val="0"/>
            <w:vAlign w:val="center"/>
          </w:tcPr>
          <w:p>
            <w:pPr>
              <w:adjustRightInd w:val="0"/>
              <w:snapToGrid w:val="0"/>
              <w:spacing w:line="360" w:lineRule="auto"/>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1套</w:t>
            </w:r>
          </w:p>
        </w:tc>
        <w:tc>
          <w:tcPr>
            <w:tcW w:w="1213" w:type="dxa"/>
            <w:noWrap w:val="0"/>
            <w:vAlign w:val="center"/>
          </w:tcPr>
          <w:p>
            <w:pPr>
              <w:adjustRightInd w:val="0"/>
              <w:snapToGrid w:val="0"/>
              <w:spacing w:line="360" w:lineRule="auto"/>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 w:hRule="atLeast"/>
          <w:jc w:val="center"/>
        </w:trPr>
        <w:tc>
          <w:tcPr>
            <w:tcW w:w="710" w:type="dxa"/>
            <w:noWrap w:val="0"/>
            <w:vAlign w:val="center"/>
          </w:tcPr>
          <w:p>
            <w:pPr>
              <w:adjustRightInd w:val="0"/>
              <w:snapToGrid w:val="0"/>
              <w:spacing w:line="360" w:lineRule="auto"/>
              <w:contextualSpacing/>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260" w:type="dxa"/>
            <w:noWrap w:val="0"/>
            <w:vAlign w:val="center"/>
          </w:tcPr>
          <w:p>
            <w:pPr>
              <w:adjustRightInd w:val="0"/>
              <w:snapToGrid w:val="0"/>
              <w:spacing w:line="360" w:lineRule="auto"/>
              <w:contextualSpacing/>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地域新闻</w:t>
            </w:r>
          </w:p>
        </w:tc>
        <w:tc>
          <w:tcPr>
            <w:tcW w:w="5073" w:type="dxa"/>
            <w:noWrap w:val="0"/>
            <w:vAlign w:val="center"/>
          </w:tcPr>
          <w:p>
            <w:pPr>
              <w:adjustRightInd w:val="0"/>
              <w:snapToGrid w:val="0"/>
              <w:spacing w:line="360" w:lineRule="auto"/>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提供许昌城市本地地理新闻数据，实现新闻内容和地理位置的有机结合；</w:t>
            </w:r>
          </w:p>
        </w:tc>
        <w:tc>
          <w:tcPr>
            <w:tcW w:w="755" w:type="dxa"/>
            <w:noWrap w:val="0"/>
            <w:vAlign w:val="center"/>
          </w:tcPr>
          <w:p>
            <w:pPr>
              <w:adjustRightInd w:val="0"/>
              <w:snapToGrid w:val="0"/>
              <w:spacing w:line="360" w:lineRule="auto"/>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1套</w:t>
            </w:r>
          </w:p>
        </w:tc>
        <w:tc>
          <w:tcPr>
            <w:tcW w:w="1213" w:type="dxa"/>
            <w:noWrap w:val="0"/>
            <w:vAlign w:val="center"/>
          </w:tcPr>
          <w:p>
            <w:pPr>
              <w:adjustRightInd w:val="0"/>
              <w:snapToGrid w:val="0"/>
              <w:spacing w:line="360" w:lineRule="auto"/>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 w:hRule="atLeast"/>
          <w:jc w:val="center"/>
        </w:trPr>
        <w:tc>
          <w:tcPr>
            <w:tcW w:w="710" w:type="dxa"/>
            <w:noWrap w:val="0"/>
            <w:vAlign w:val="center"/>
          </w:tcPr>
          <w:p>
            <w:pPr>
              <w:adjustRightInd w:val="0"/>
              <w:snapToGrid w:val="0"/>
              <w:spacing w:line="360" w:lineRule="auto"/>
              <w:contextualSpacing/>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1260" w:type="dxa"/>
            <w:noWrap w:val="0"/>
            <w:vAlign w:val="center"/>
          </w:tcPr>
          <w:p>
            <w:pPr>
              <w:adjustRightInd w:val="0"/>
              <w:snapToGrid w:val="0"/>
              <w:spacing w:line="360" w:lineRule="auto"/>
              <w:contextualSpacing/>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高频点击</w:t>
            </w:r>
          </w:p>
        </w:tc>
        <w:tc>
          <w:tcPr>
            <w:tcW w:w="5073" w:type="dxa"/>
            <w:noWrap w:val="0"/>
            <w:vAlign w:val="center"/>
          </w:tcPr>
          <w:p>
            <w:pPr>
              <w:adjustRightInd w:val="0"/>
              <w:snapToGrid w:val="0"/>
              <w:spacing w:line="360" w:lineRule="auto"/>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提供包括四大门户网站、重点新闻网站在内的新闻排行数据，实时获取高频点击文章；</w:t>
            </w:r>
          </w:p>
        </w:tc>
        <w:tc>
          <w:tcPr>
            <w:tcW w:w="755" w:type="dxa"/>
            <w:noWrap w:val="0"/>
            <w:vAlign w:val="center"/>
          </w:tcPr>
          <w:p>
            <w:pPr>
              <w:adjustRightInd w:val="0"/>
              <w:snapToGrid w:val="0"/>
              <w:spacing w:line="360" w:lineRule="auto"/>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1套</w:t>
            </w:r>
          </w:p>
        </w:tc>
        <w:tc>
          <w:tcPr>
            <w:tcW w:w="1213" w:type="dxa"/>
            <w:noWrap w:val="0"/>
            <w:vAlign w:val="center"/>
          </w:tcPr>
          <w:p>
            <w:pPr>
              <w:adjustRightInd w:val="0"/>
              <w:snapToGrid w:val="0"/>
              <w:spacing w:line="360" w:lineRule="auto"/>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 w:hRule="atLeast"/>
          <w:jc w:val="center"/>
        </w:trPr>
        <w:tc>
          <w:tcPr>
            <w:tcW w:w="710" w:type="dxa"/>
            <w:noWrap w:val="0"/>
            <w:vAlign w:val="center"/>
          </w:tcPr>
          <w:p>
            <w:pPr>
              <w:adjustRightInd w:val="0"/>
              <w:snapToGrid w:val="0"/>
              <w:spacing w:line="360" w:lineRule="auto"/>
              <w:contextualSpacing/>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1260" w:type="dxa"/>
            <w:noWrap w:val="0"/>
            <w:vAlign w:val="center"/>
          </w:tcPr>
          <w:p>
            <w:pPr>
              <w:adjustRightInd w:val="0"/>
              <w:snapToGrid w:val="0"/>
              <w:spacing w:line="360" w:lineRule="auto"/>
              <w:contextualSpacing/>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新闻快报</w:t>
            </w:r>
          </w:p>
        </w:tc>
        <w:tc>
          <w:tcPr>
            <w:tcW w:w="5073" w:type="dxa"/>
            <w:noWrap w:val="0"/>
            <w:vAlign w:val="center"/>
          </w:tcPr>
          <w:p>
            <w:pPr>
              <w:adjustRightInd w:val="0"/>
              <w:snapToGrid w:val="0"/>
              <w:spacing w:line="360" w:lineRule="auto"/>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提供包括四大门户移动新闻客户端以及重点媒体移动新闻客户推送的Push新闻数据；</w:t>
            </w:r>
          </w:p>
        </w:tc>
        <w:tc>
          <w:tcPr>
            <w:tcW w:w="755" w:type="dxa"/>
            <w:noWrap w:val="0"/>
            <w:vAlign w:val="center"/>
          </w:tcPr>
          <w:p>
            <w:pPr>
              <w:adjustRightInd w:val="0"/>
              <w:snapToGrid w:val="0"/>
              <w:spacing w:line="360" w:lineRule="auto"/>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1套</w:t>
            </w:r>
          </w:p>
        </w:tc>
        <w:tc>
          <w:tcPr>
            <w:tcW w:w="1213" w:type="dxa"/>
            <w:noWrap w:val="0"/>
            <w:vAlign w:val="center"/>
          </w:tcPr>
          <w:p>
            <w:pPr>
              <w:adjustRightInd w:val="0"/>
              <w:snapToGrid w:val="0"/>
              <w:spacing w:line="360" w:lineRule="auto"/>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710" w:type="dxa"/>
            <w:noWrap w:val="0"/>
            <w:vAlign w:val="center"/>
          </w:tcPr>
          <w:p>
            <w:pPr>
              <w:adjustRightInd w:val="0"/>
              <w:snapToGrid w:val="0"/>
              <w:spacing w:line="360" w:lineRule="auto"/>
              <w:contextualSpacing/>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1260" w:type="dxa"/>
            <w:noWrap w:val="0"/>
            <w:vAlign w:val="center"/>
          </w:tcPr>
          <w:p>
            <w:pPr>
              <w:adjustRightInd w:val="0"/>
              <w:snapToGrid w:val="0"/>
              <w:spacing w:line="360" w:lineRule="auto"/>
              <w:contextualSpacing/>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微信助手</w:t>
            </w:r>
          </w:p>
        </w:tc>
        <w:tc>
          <w:tcPr>
            <w:tcW w:w="5073" w:type="dxa"/>
            <w:noWrap w:val="0"/>
            <w:vAlign w:val="center"/>
          </w:tcPr>
          <w:p>
            <w:pPr>
              <w:pStyle w:val="8"/>
              <w:spacing w:line="360" w:lineRule="auto"/>
              <w:ind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提供用户在线快速抓取单独指定微信文章，获取微信全文，同时支持图片本地化处理。</w:t>
            </w:r>
          </w:p>
        </w:tc>
        <w:tc>
          <w:tcPr>
            <w:tcW w:w="755" w:type="dxa"/>
            <w:noWrap w:val="0"/>
            <w:vAlign w:val="center"/>
          </w:tcPr>
          <w:p>
            <w:pPr>
              <w:adjustRightInd w:val="0"/>
              <w:snapToGrid w:val="0"/>
              <w:spacing w:line="360" w:lineRule="auto"/>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1套</w:t>
            </w:r>
          </w:p>
        </w:tc>
        <w:tc>
          <w:tcPr>
            <w:tcW w:w="1213" w:type="dxa"/>
            <w:noWrap w:val="0"/>
            <w:vAlign w:val="center"/>
          </w:tcPr>
          <w:p>
            <w:pPr>
              <w:adjustRightInd w:val="0"/>
              <w:snapToGrid w:val="0"/>
              <w:spacing w:line="360" w:lineRule="auto"/>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710" w:type="dxa"/>
            <w:noWrap w:val="0"/>
            <w:vAlign w:val="center"/>
          </w:tcPr>
          <w:p>
            <w:pPr>
              <w:adjustRightInd w:val="0"/>
              <w:snapToGrid w:val="0"/>
              <w:spacing w:line="360" w:lineRule="auto"/>
              <w:contextualSpacing/>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1260" w:type="dxa"/>
            <w:noWrap w:val="0"/>
            <w:vAlign w:val="center"/>
          </w:tcPr>
          <w:p>
            <w:pPr>
              <w:adjustRightInd w:val="0"/>
              <w:snapToGrid w:val="0"/>
              <w:spacing w:line="360" w:lineRule="auto"/>
              <w:contextualSpacing/>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图片跟踪</w:t>
            </w:r>
          </w:p>
        </w:tc>
        <w:tc>
          <w:tcPr>
            <w:tcW w:w="5073" w:type="dxa"/>
            <w:noWrap w:val="0"/>
            <w:vAlign w:val="center"/>
          </w:tcPr>
          <w:p>
            <w:pPr>
              <w:adjustRightInd w:val="0"/>
              <w:snapToGrid w:val="0"/>
              <w:spacing w:line="360" w:lineRule="auto"/>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以图搜图，上传本地硬盘上的图片，匹配库内文章，即可查询到此图片引用文章。</w:t>
            </w:r>
          </w:p>
        </w:tc>
        <w:tc>
          <w:tcPr>
            <w:tcW w:w="755" w:type="dxa"/>
            <w:noWrap w:val="0"/>
            <w:vAlign w:val="center"/>
          </w:tcPr>
          <w:p>
            <w:pPr>
              <w:adjustRightInd w:val="0"/>
              <w:snapToGrid w:val="0"/>
              <w:spacing w:line="360" w:lineRule="auto"/>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1套</w:t>
            </w:r>
          </w:p>
        </w:tc>
        <w:tc>
          <w:tcPr>
            <w:tcW w:w="1213" w:type="dxa"/>
            <w:noWrap w:val="0"/>
            <w:vAlign w:val="center"/>
          </w:tcPr>
          <w:p>
            <w:pPr>
              <w:adjustRightInd w:val="0"/>
              <w:snapToGrid w:val="0"/>
              <w:spacing w:line="360" w:lineRule="auto"/>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 w:hRule="atLeast"/>
          <w:jc w:val="center"/>
        </w:trPr>
        <w:tc>
          <w:tcPr>
            <w:tcW w:w="710" w:type="dxa"/>
            <w:noWrap w:val="0"/>
            <w:vAlign w:val="center"/>
          </w:tcPr>
          <w:p>
            <w:pPr>
              <w:adjustRightInd w:val="0"/>
              <w:snapToGrid w:val="0"/>
              <w:spacing w:line="360" w:lineRule="auto"/>
              <w:contextualSpacing/>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1260" w:type="dxa"/>
            <w:noWrap w:val="0"/>
            <w:vAlign w:val="center"/>
          </w:tcPr>
          <w:p>
            <w:pPr>
              <w:adjustRightInd w:val="0"/>
              <w:snapToGrid w:val="0"/>
              <w:spacing w:line="360" w:lineRule="auto"/>
              <w:contextualSpacing/>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多维度全文检索和排序</w:t>
            </w:r>
          </w:p>
        </w:tc>
        <w:tc>
          <w:tcPr>
            <w:tcW w:w="5073" w:type="dxa"/>
            <w:noWrap w:val="0"/>
            <w:vAlign w:val="center"/>
          </w:tcPr>
          <w:p>
            <w:pPr>
              <w:adjustRightInd w:val="0"/>
              <w:snapToGrid w:val="0"/>
              <w:spacing w:line="360" w:lineRule="auto"/>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实现基于高效索引和排序算法的多维度检索和排序，支持多种索引条件的复杂组合。系统需支持灵活的检索结果展示，包含但不限于按相关度排序或按时间排序等。</w:t>
            </w:r>
          </w:p>
        </w:tc>
        <w:tc>
          <w:tcPr>
            <w:tcW w:w="755" w:type="dxa"/>
            <w:noWrap w:val="0"/>
            <w:vAlign w:val="center"/>
          </w:tcPr>
          <w:p>
            <w:pPr>
              <w:adjustRightInd w:val="0"/>
              <w:snapToGrid w:val="0"/>
              <w:spacing w:line="360" w:lineRule="auto"/>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1套</w:t>
            </w:r>
          </w:p>
        </w:tc>
        <w:tc>
          <w:tcPr>
            <w:tcW w:w="1213" w:type="dxa"/>
            <w:noWrap w:val="0"/>
            <w:vAlign w:val="center"/>
          </w:tcPr>
          <w:p>
            <w:pPr>
              <w:adjustRightInd w:val="0"/>
              <w:snapToGrid w:val="0"/>
              <w:spacing w:line="360" w:lineRule="auto"/>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 w:hRule="atLeast"/>
          <w:jc w:val="center"/>
        </w:trPr>
        <w:tc>
          <w:tcPr>
            <w:tcW w:w="710" w:type="dxa"/>
            <w:noWrap w:val="0"/>
            <w:vAlign w:val="center"/>
          </w:tcPr>
          <w:p>
            <w:pPr>
              <w:adjustRightInd w:val="0"/>
              <w:snapToGrid w:val="0"/>
              <w:spacing w:line="360" w:lineRule="auto"/>
              <w:contextualSpacing/>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p>
        </w:tc>
        <w:tc>
          <w:tcPr>
            <w:tcW w:w="1260" w:type="dxa"/>
            <w:noWrap w:val="0"/>
            <w:vAlign w:val="center"/>
          </w:tcPr>
          <w:p>
            <w:pPr>
              <w:adjustRightInd w:val="0"/>
              <w:snapToGrid w:val="0"/>
              <w:spacing w:line="360" w:lineRule="auto"/>
              <w:contextualSpacing/>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帐号服务</w:t>
            </w:r>
          </w:p>
        </w:tc>
        <w:tc>
          <w:tcPr>
            <w:tcW w:w="5073" w:type="dxa"/>
            <w:noWrap w:val="0"/>
            <w:vAlign w:val="center"/>
          </w:tcPr>
          <w:p>
            <w:pPr>
              <w:adjustRightInd w:val="0"/>
              <w:snapToGrid w:val="0"/>
              <w:spacing w:line="360" w:lineRule="auto"/>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开通5个系统平台账号，并提供内容定制、基础数据、大数据服务功能。</w:t>
            </w:r>
          </w:p>
        </w:tc>
        <w:tc>
          <w:tcPr>
            <w:tcW w:w="755" w:type="dxa"/>
            <w:noWrap w:val="0"/>
            <w:vAlign w:val="center"/>
          </w:tcPr>
          <w:p>
            <w:pPr>
              <w:adjustRightInd w:val="0"/>
              <w:snapToGrid w:val="0"/>
              <w:spacing w:line="360" w:lineRule="auto"/>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1套</w:t>
            </w:r>
          </w:p>
        </w:tc>
        <w:tc>
          <w:tcPr>
            <w:tcW w:w="1213" w:type="dxa"/>
            <w:noWrap w:val="0"/>
            <w:vAlign w:val="center"/>
          </w:tcPr>
          <w:p>
            <w:pPr>
              <w:adjustRightInd w:val="0"/>
              <w:snapToGrid w:val="0"/>
              <w:spacing w:line="360" w:lineRule="auto"/>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 w:hRule="atLeast"/>
          <w:jc w:val="center"/>
        </w:trPr>
        <w:tc>
          <w:tcPr>
            <w:tcW w:w="710" w:type="dxa"/>
            <w:noWrap w:val="0"/>
            <w:vAlign w:val="center"/>
          </w:tcPr>
          <w:p>
            <w:pPr>
              <w:adjustRightInd w:val="0"/>
              <w:snapToGrid w:val="0"/>
              <w:spacing w:line="360" w:lineRule="auto"/>
              <w:contextualSpacing/>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w:t>
            </w:r>
          </w:p>
        </w:tc>
        <w:tc>
          <w:tcPr>
            <w:tcW w:w="1260" w:type="dxa"/>
            <w:noWrap w:val="0"/>
            <w:vAlign w:val="center"/>
          </w:tcPr>
          <w:p>
            <w:pPr>
              <w:adjustRightInd w:val="0"/>
              <w:snapToGrid w:val="0"/>
              <w:spacing w:line="360" w:lineRule="auto"/>
              <w:contextualSpacing/>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大屏可视化</w:t>
            </w:r>
          </w:p>
        </w:tc>
        <w:tc>
          <w:tcPr>
            <w:tcW w:w="5073" w:type="dxa"/>
            <w:noWrap w:val="0"/>
            <w:vAlign w:val="center"/>
          </w:tcPr>
          <w:p>
            <w:pPr>
              <w:adjustRightInd w:val="0"/>
              <w:snapToGrid w:val="0"/>
              <w:spacing w:line="360" w:lineRule="auto"/>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支持以图表、排行榜、时间轴等方式，实时展示数据分析结果，同时对大屏幕的展示效果进行适配和优化。</w:t>
            </w:r>
          </w:p>
          <w:p>
            <w:pPr>
              <w:adjustRightInd w:val="0"/>
              <w:snapToGrid w:val="0"/>
              <w:spacing w:line="360" w:lineRule="auto"/>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支持互联网热点信息、热搜以及热门话题的展示和轮播；支持热点信息、热搜以及热门话题的展示和轮播；支持自定义网络大V账号、官方微信账号、自定义网站频道等内容的展示和轮播，并实现数据动态更新，同时对大屏幕的展示效果进行适配和优化。</w:t>
            </w:r>
          </w:p>
          <w:p>
            <w:pPr>
              <w:adjustRightInd w:val="0"/>
              <w:snapToGrid w:val="0"/>
              <w:spacing w:line="360" w:lineRule="auto"/>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要求平台整体页面UI设计大方精美，支持大屏展示页面的定制开发。</w:t>
            </w:r>
          </w:p>
          <w:p>
            <w:pPr>
              <w:adjustRightInd w:val="0"/>
              <w:snapToGrid w:val="0"/>
              <w:spacing w:line="360" w:lineRule="auto"/>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模块数量：12块</w:t>
            </w:r>
          </w:p>
        </w:tc>
        <w:tc>
          <w:tcPr>
            <w:tcW w:w="755" w:type="dxa"/>
            <w:noWrap w:val="0"/>
            <w:vAlign w:val="center"/>
          </w:tcPr>
          <w:p>
            <w:pPr>
              <w:adjustRightInd w:val="0"/>
              <w:snapToGrid w:val="0"/>
              <w:spacing w:line="360" w:lineRule="auto"/>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1套</w:t>
            </w:r>
          </w:p>
        </w:tc>
        <w:tc>
          <w:tcPr>
            <w:tcW w:w="1213" w:type="dxa"/>
            <w:noWrap w:val="0"/>
            <w:vAlign w:val="center"/>
          </w:tcPr>
          <w:p>
            <w:pPr>
              <w:adjustRightInd w:val="0"/>
              <w:snapToGrid w:val="0"/>
              <w:spacing w:line="360" w:lineRule="auto"/>
              <w:contextualSpacing/>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一年服务</w:t>
            </w:r>
          </w:p>
        </w:tc>
      </w:tr>
    </w:tbl>
    <w:p>
      <w:pPr>
        <w:spacing w:line="360" w:lineRule="auto"/>
        <w:ind w:firstLine="482" w:firstLineChars="200"/>
        <w:contextualSpacing/>
        <w:rPr>
          <w:rFonts w:hint="eastAsia" w:asciiTheme="minorEastAsia" w:hAnsiTheme="minorEastAsia" w:eastAsiaTheme="minorEastAsia" w:cstheme="minorEastAsia"/>
          <w:b/>
          <w:bCs/>
          <w:sz w:val="24"/>
          <w:szCs w:val="24"/>
          <w:lang w:val="en-US" w:eastAsia="zh-CN"/>
        </w:rPr>
      </w:pPr>
      <w:bookmarkStart w:id="71" w:name="_Toc520806666"/>
      <w:r>
        <w:rPr>
          <w:rFonts w:hint="eastAsia" w:asciiTheme="minorEastAsia" w:hAnsiTheme="minorEastAsia" w:eastAsiaTheme="minorEastAsia" w:cstheme="minorEastAsia"/>
          <w:b/>
          <w:bCs/>
          <w:sz w:val="24"/>
          <w:szCs w:val="24"/>
          <w:lang w:val="en-US" w:eastAsia="zh-CN"/>
        </w:rPr>
        <w:t>2.3安全性保障</w:t>
      </w:r>
      <w:bookmarkEnd w:id="71"/>
    </w:p>
    <w:p>
      <w:pPr>
        <w:spacing w:line="360" w:lineRule="auto"/>
        <w:ind w:firstLine="480" w:firstLineChars="200"/>
        <w:contextualSpacing/>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保证采购人的生产信息、内容信息、用户信息的安全，提供保密承诺书，保证重要数据不发生未经采购人授权的转移及泄露。</w:t>
      </w:r>
    </w:p>
    <w:p>
      <w:pPr>
        <w:pStyle w:val="2"/>
        <w:widowControl w:val="0"/>
        <w:numPr>
          <w:ilvl w:val="0"/>
          <w:numId w:val="0"/>
        </w:numPr>
        <w:spacing w:line="360" w:lineRule="auto"/>
        <w:jc w:val="both"/>
        <w:rPr>
          <w:rFonts w:hint="eastAsia"/>
          <w:lang w:val="zh-CN"/>
        </w:rPr>
      </w:pPr>
    </w:p>
    <w:p>
      <w:pPr>
        <w:pStyle w:val="2"/>
        <w:widowControl w:val="0"/>
        <w:numPr>
          <w:ilvl w:val="0"/>
          <w:numId w:val="0"/>
        </w:numPr>
        <w:spacing w:line="360" w:lineRule="auto"/>
        <w:jc w:val="both"/>
        <w:rPr>
          <w:rFonts w:hint="eastAsia"/>
          <w:lang w:val="zh-CN"/>
        </w:rPr>
      </w:pPr>
    </w:p>
    <w:p>
      <w:pPr>
        <w:pStyle w:val="2"/>
        <w:widowControl w:val="0"/>
        <w:numPr>
          <w:ilvl w:val="0"/>
          <w:numId w:val="0"/>
        </w:numPr>
        <w:spacing w:line="360" w:lineRule="auto"/>
        <w:jc w:val="both"/>
        <w:rPr>
          <w:rFonts w:hint="eastAsia"/>
          <w:lang w:val="zh-CN"/>
        </w:rPr>
      </w:pPr>
    </w:p>
    <w:p>
      <w:pPr>
        <w:pStyle w:val="2"/>
        <w:widowControl w:val="0"/>
        <w:numPr>
          <w:ilvl w:val="0"/>
          <w:numId w:val="0"/>
        </w:numPr>
        <w:spacing w:line="360" w:lineRule="auto"/>
        <w:jc w:val="both"/>
        <w:rPr>
          <w:rFonts w:hint="eastAsia"/>
          <w:lang w:val="zh-CN"/>
        </w:rPr>
      </w:pPr>
    </w:p>
    <w:p>
      <w:pPr>
        <w:pStyle w:val="2"/>
        <w:widowControl w:val="0"/>
        <w:numPr>
          <w:ilvl w:val="0"/>
          <w:numId w:val="0"/>
        </w:numPr>
        <w:spacing w:line="360" w:lineRule="auto"/>
        <w:jc w:val="both"/>
        <w:rPr>
          <w:rFonts w:hint="eastAsia"/>
          <w:lang w:val="zh-CN"/>
        </w:rPr>
      </w:pPr>
    </w:p>
    <w:p>
      <w:pPr>
        <w:widowControl/>
        <w:shd w:val="clear" w:color="auto" w:fill="FFFFFF"/>
        <w:spacing w:line="360" w:lineRule="auto"/>
        <w:ind w:firstLine="482" w:firstLineChars="200"/>
        <w:contextualSpacing/>
        <w:jc w:val="left"/>
        <w:rPr>
          <w:rFonts w:hint="eastAsia" w:cs="黑体" w:asciiTheme="minorEastAsia" w:hAnsiTheme="minorEastAsia"/>
          <w:b/>
          <w:bCs/>
          <w:color w:val="auto"/>
          <w:szCs w:val="21"/>
          <w:shd w:val="clear" w:color="auto" w:fill="FFFFFF"/>
          <w:lang w:eastAsia="zh-CN"/>
        </w:rPr>
      </w:pPr>
      <w:r>
        <w:rPr>
          <w:rFonts w:hint="eastAsia" w:cs="黑体" w:asciiTheme="minorEastAsia" w:hAnsiTheme="minorEastAsia"/>
          <w:b/>
          <w:bCs/>
          <w:color w:val="auto"/>
          <w:szCs w:val="21"/>
          <w:shd w:val="clear" w:color="auto" w:fill="FFFFFF"/>
          <w:lang w:eastAsia="zh-CN"/>
        </w:rPr>
        <w:t>C包：“许昌发布”智媒体公共服务平台</w:t>
      </w:r>
    </w:p>
    <w:p>
      <w:pPr>
        <w:spacing w:line="360" w:lineRule="auto"/>
        <w:ind w:firstLine="482" w:firstLineChars="200"/>
        <w:contextualSpacing/>
        <w:rPr>
          <w:rFonts w:hint="eastAsia" w:cs="仿宋_GB2312" w:asciiTheme="minorEastAsia" w:hAnsiTheme="minorEastAsia"/>
          <w:b/>
          <w:bCs/>
          <w:szCs w:val="21"/>
          <w:lang w:val="zh-CN"/>
        </w:rPr>
      </w:pPr>
      <w:bookmarkStart w:id="72" w:name="_Toc495407506"/>
      <w:bookmarkStart w:id="73" w:name="_Toc520806668"/>
      <w:r>
        <w:rPr>
          <w:rFonts w:hint="eastAsia" w:cs="仿宋_GB2312" w:asciiTheme="minorEastAsia" w:hAnsiTheme="minorEastAsia"/>
          <w:b/>
          <w:bCs/>
          <w:szCs w:val="21"/>
          <w:lang w:val="en-US" w:eastAsia="zh-CN"/>
        </w:rPr>
        <w:t>1、</w:t>
      </w:r>
      <w:r>
        <w:rPr>
          <w:rFonts w:hint="eastAsia" w:cs="仿宋_GB2312" w:asciiTheme="minorEastAsia" w:hAnsiTheme="minorEastAsia"/>
          <w:b/>
          <w:bCs/>
          <w:szCs w:val="21"/>
          <w:lang w:val="zh-CN" w:eastAsia="zh-CN"/>
        </w:rPr>
        <w:t>“</w:t>
      </w:r>
      <w:r>
        <w:rPr>
          <w:rFonts w:hint="eastAsia" w:cs="仿宋_GB2312" w:asciiTheme="minorEastAsia" w:hAnsiTheme="minorEastAsia"/>
          <w:b/>
          <w:bCs/>
          <w:szCs w:val="21"/>
          <w:lang w:val="zh-CN"/>
        </w:rPr>
        <w:t>许昌发布</w:t>
      </w:r>
      <w:r>
        <w:rPr>
          <w:rFonts w:hint="eastAsia" w:cs="仿宋_GB2312" w:asciiTheme="minorEastAsia" w:hAnsiTheme="minorEastAsia"/>
          <w:b/>
          <w:bCs/>
          <w:szCs w:val="21"/>
          <w:lang w:val="zh-CN" w:eastAsia="zh-CN"/>
        </w:rPr>
        <w:t>”智媒体公共服务</w:t>
      </w:r>
      <w:r>
        <w:rPr>
          <w:rFonts w:hint="eastAsia" w:cs="仿宋_GB2312" w:asciiTheme="minorEastAsia" w:hAnsiTheme="minorEastAsia"/>
          <w:b/>
          <w:bCs/>
          <w:szCs w:val="21"/>
          <w:lang w:val="zh-CN"/>
        </w:rPr>
        <w:t>平台功能要求</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eastAsia="zh-CN"/>
        </w:rPr>
        <w:t>“</w:t>
      </w:r>
      <w:r>
        <w:rPr>
          <w:rFonts w:hint="eastAsia" w:cs="仿宋_GB2312" w:asciiTheme="minorEastAsia" w:hAnsiTheme="minorEastAsia"/>
          <w:szCs w:val="21"/>
          <w:lang w:val="zh-CN"/>
        </w:rPr>
        <w:t>许昌发布</w:t>
      </w:r>
      <w:r>
        <w:rPr>
          <w:rFonts w:hint="eastAsia" w:cs="仿宋_GB2312" w:asciiTheme="minorEastAsia" w:hAnsiTheme="minorEastAsia"/>
          <w:szCs w:val="21"/>
          <w:lang w:val="zh-CN" w:eastAsia="zh-CN"/>
        </w:rPr>
        <w:t>”智媒体公共服务</w:t>
      </w:r>
      <w:r>
        <w:rPr>
          <w:rFonts w:hint="eastAsia" w:cs="仿宋_GB2312" w:asciiTheme="minorEastAsia" w:hAnsiTheme="minorEastAsia"/>
          <w:szCs w:val="21"/>
          <w:lang w:val="zh-CN"/>
        </w:rPr>
        <w:t>平台</w:t>
      </w:r>
      <w:r>
        <w:rPr>
          <w:rFonts w:hint="eastAsia" w:cs="仿宋_GB2312" w:asciiTheme="minorEastAsia" w:hAnsiTheme="minorEastAsia"/>
          <w:szCs w:val="21"/>
          <w:lang w:val="zh-CN" w:eastAsia="zh-CN"/>
        </w:rPr>
        <w:t>（以下简称许昌发布）</w:t>
      </w:r>
      <w:r>
        <w:rPr>
          <w:rFonts w:hint="eastAsia" w:cs="仿宋_GB2312" w:asciiTheme="minorEastAsia" w:hAnsiTheme="minorEastAsia"/>
          <w:szCs w:val="21"/>
          <w:lang w:val="zh-CN"/>
        </w:rPr>
        <w:t>以新媒体矩阵应用发布体系为架构核心，以简单化、智能化、平台化和新媒体渠道管理和发布为基础，满足</w:t>
      </w:r>
      <w:r>
        <w:rPr>
          <w:rFonts w:hint="eastAsia" w:cs="仿宋_GB2312" w:asciiTheme="minorEastAsia" w:hAnsiTheme="minorEastAsia"/>
          <w:szCs w:val="21"/>
          <w:lang w:val="zh-CN" w:eastAsia="zh-CN"/>
        </w:rPr>
        <w:t>许昌报业传媒集团</w:t>
      </w:r>
      <w:r>
        <w:rPr>
          <w:rFonts w:hint="eastAsia" w:cs="仿宋_GB2312" w:asciiTheme="minorEastAsia" w:hAnsiTheme="minorEastAsia"/>
          <w:szCs w:val="21"/>
          <w:lang w:val="zh-CN"/>
        </w:rPr>
        <w:t>新媒体中心或党媒泛媒体机构从业人员高效率完成新闻采集、编写、制作和多种新媒体渠道的发布。</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许昌发布平台需要自带网站、客户端完整前台显示页面和后台编辑页面，市／区／县／乡新闻中心或泛媒体新闻机构从业人员只需要专注采集稿件和编写稿件即可，其他技术或系统维护类的技术问题都可以无须关心。</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许昌发布平台除支撑不同权限的分级用户批量建设网站和客户端外，还可将集团已有官方微博、官方微信或“合伙伙伴”的官方微博、官方微信公众号进行纳入，实现多微博、多微信账号的统一管理和内容在不同账号的分别发布。</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许昌发布平台除满足本地化部署本地化搭建外，还可以支持公有云部署或混合云部署方式，通过分级授权加密管理体系和站点群管理体系，可以满足市＼区＼县＼乡新闻中心、区域政务新闻发中心以＂合作伙伴＂身份入驻到平台内进行新闻内容的使用和发布。</w:t>
      </w:r>
    </w:p>
    <w:p>
      <w:pPr>
        <w:spacing w:line="360" w:lineRule="auto"/>
        <w:ind w:firstLine="482" w:firstLineChars="200"/>
        <w:contextualSpacing/>
        <w:rPr>
          <w:rFonts w:hint="eastAsia" w:cs="仿宋_GB2312" w:asciiTheme="minorEastAsia" w:hAnsiTheme="minorEastAsia"/>
          <w:b/>
          <w:bCs/>
          <w:szCs w:val="21"/>
          <w:lang w:val="zh-CN" w:eastAsia="zh-CN"/>
        </w:rPr>
      </w:pPr>
      <w:bookmarkStart w:id="74" w:name="_Toc510090770"/>
      <w:bookmarkStart w:id="75" w:name="_Toc516650089"/>
      <w:bookmarkStart w:id="76" w:name="_Toc5861488"/>
      <w:bookmarkStart w:id="77" w:name="_Toc516669157"/>
      <w:r>
        <w:rPr>
          <w:rFonts w:hint="eastAsia" w:cs="仿宋_GB2312" w:asciiTheme="minorEastAsia" w:hAnsiTheme="minorEastAsia"/>
          <w:b/>
          <w:bCs/>
          <w:szCs w:val="21"/>
          <w:lang w:val="en-US" w:eastAsia="zh-CN"/>
        </w:rPr>
        <w:t>2、</w:t>
      </w:r>
      <w:r>
        <w:rPr>
          <w:rFonts w:hint="eastAsia" w:cs="仿宋_GB2312" w:asciiTheme="minorEastAsia" w:hAnsiTheme="minorEastAsia"/>
          <w:b/>
          <w:bCs/>
          <w:szCs w:val="21"/>
          <w:lang w:val="zh-CN"/>
        </w:rPr>
        <w:t>应用</w:t>
      </w:r>
      <w:bookmarkEnd w:id="74"/>
      <w:bookmarkEnd w:id="75"/>
      <w:bookmarkEnd w:id="76"/>
      <w:bookmarkEnd w:id="77"/>
      <w:bookmarkStart w:id="78" w:name="_Toc516669158"/>
      <w:bookmarkStart w:id="79" w:name="_Toc5861489"/>
      <w:bookmarkStart w:id="80" w:name="_Toc510090771"/>
      <w:r>
        <w:rPr>
          <w:rFonts w:hint="eastAsia" w:cs="仿宋_GB2312" w:asciiTheme="minorEastAsia" w:hAnsiTheme="minorEastAsia"/>
          <w:b/>
          <w:bCs/>
          <w:szCs w:val="21"/>
          <w:lang w:val="zh-CN" w:eastAsia="zh-CN"/>
        </w:rPr>
        <w:t>程序要求</w:t>
      </w:r>
    </w:p>
    <w:p>
      <w:pPr>
        <w:spacing w:line="360" w:lineRule="auto"/>
        <w:ind w:firstLine="482" w:firstLineChars="200"/>
        <w:contextualSpacing/>
        <w:rPr>
          <w:rFonts w:hint="eastAsia" w:cs="仿宋_GB2312" w:asciiTheme="minorEastAsia" w:hAnsiTheme="minorEastAsia"/>
          <w:b/>
          <w:bCs/>
          <w:szCs w:val="21"/>
          <w:lang w:val="zh-CN"/>
        </w:rPr>
      </w:pPr>
      <w:r>
        <w:rPr>
          <w:rFonts w:hint="eastAsia" w:cs="仿宋_GB2312" w:asciiTheme="minorEastAsia" w:hAnsiTheme="minorEastAsia"/>
          <w:b/>
          <w:bCs/>
          <w:szCs w:val="21"/>
          <w:lang w:val="zh-CN"/>
        </w:rPr>
        <w:t>多种浏览器支持</w:t>
      </w:r>
      <w:bookmarkEnd w:id="78"/>
      <w:bookmarkEnd w:id="79"/>
      <w:bookmarkEnd w:id="80"/>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许昌发布平台基于B/S环境使用，用户直接在浏览器环境下即可进行工作，目前市面上主流的基于IE浏览器平台，如windows系统自带的edge、chrome、360、QQ浏览器，平台均可以进行有效的支持。许昌发布平台需支持使用chorme浏览器，以获得更好的使用体验。</w:t>
      </w:r>
    </w:p>
    <w:p>
      <w:pPr>
        <w:spacing w:line="360" w:lineRule="auto"/>
        <w:ind w:firstLine="482" w:firstLineChars="200"/>
        <w:contextualSpacing/>
        <w:rPr>
          <w:rFonts w:hint="eastAsia" w:cs="仿宋_GB2312" w:asciiTheme="minorEastAsia" w:hAnsiTheme="minorEastAsia"/>
          <w:b/>
          <w:bCs/>
          <w:szCs w:val="21"/>
          <w:lang w:val="zh-CN"/>
        </w:rPr>
      </w:pPr>
      <w:bookmarkStart w:id="81" w:name="_Toc510090772"/>
      <w:bookmarkStart w:id="82" w:name="_Toc5861490"/>
      <w:bookmarkStart w:id="83" w:name="_Toc516669159"/>
      <w:r>
        <w:rPr>
          <w:rFonts w:hint="eastAsia" w:cs="仿宋_GB2312" w:asciiTheme="minorEastAsia" w:hAnsiTheme="minorEastAsia"/>
          <w:b/>
          <w:bCs/>
          <w:szCs w:val="21"/>
          <w:lang w:val="zh-CN"/>
        </w:rPr>
        <w:t>具备网站、许昌新闻客户端渠道</w:t>
      </w:r>
      <w:bookmarkEnd w:id="81"/>
      <w:r>
        <w:rPr>
          <w:rFonts w:hint="eastAsia" w:cs="仿宋_GB2312" w:asciiTheme="minorEastAsia" w:hAnsiTheme="minorEastAsia"/>
          <w:b/>
          <w:bCs/>
          <w:szCs w:val="21"/>
          <w:lang w:val="zh-CN"/>
        </w:rPr>
        <w:t>批量建设</w:t>
      </w:r>
      <w:bookmarkEnd w:id="82"/>
      <w:bookmarkEnd w:id="83"/>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许昌发布平台能够支持多层次的许昌新闻掌媒栏目内容、网站栏目内容的写作、审核、浏览、操作权限控制。平台建设既可以为集团现有新闻网、现有新闻客户端进行稿件的供给和稿件的发布，又可以为“合作伙伴”直接搭建客户端内容发布体系。</w:t>
      </w:r>
    </w:p>
    <w:p>
      <w:pPr>
        <w:spacing w:line="360" w:lineRule="auto"/>
        <w:ind w:firstLine="482" w:firstLineChars="200"/>
        <w:contextualSpacing/>
        <w:rPr>
          <w:rFonts w:hint="eastAsia" w:cs="仿宋_GB2312" w:asciiTheme="minorEastAsia" w:hAnsiTheme="minorEastAsia"/>
          <w:b/>
          <w:bCs/>
          <w:szCs w:val="21"/>
          <w:lang w:val="zh-CN"/>
        </w:rPr>
      </w:pPr>
      <w:bookmarkStart w:id="84" w:name="_Toc516669161"/>
      <w:bookmarkStart w:id="85" w:name="_Toc5861491"/>
      <w:bookmarkStart w:id="86" w:name="_Toc510090773"/>
      <w:r>
        <w:rPr>
          <w:rFonts w:hint="eastAsia" w:cs="仿宋_GB2312" w:asciiTheme="minorEastAsia" w:hAnsiTheme="minorEastAsia"/>
          <w:b/>
          <w:bCs/>
          <w:szCs w:val="21"/>
          <w:lang w:val="zh-CN"/>
        </w:rPr>
        <w:t>多媒体编辑加工</w:t>
      </w:r>
      <w:bookmarkEnd w:id="84"/>
      <w:bookmarkEnd w:id="85"/>
      <w:bookmarkEnd w:id="86"/>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许昌发布平台支持文、图、音视频、H5所见即所得的内容制作、编排和预览模块，可将文字素材、图片素材、音视频素材、H5素材进行多种方式的组合和混合编辑，充分满足满足互联网新闻快速报道的特点进行新媒体网端和掌媒的制作和发布。</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平台提供基于HTML5的多媒体稿件编辑器，能够可视化的进行图文、多媒体内容的混排，通过自动格式化、自动提取关键字、摘要大大提高文字编排效率，通过集成的图片编辑功能如自动缩略图、抽线压缩、添加水印等功能提高图片处理效率。</w:t>
      </w:r>
      <w:bookmarkStart w:id="87" w:name="_Toc510090774"/>
      <w:bookmarkStart w:id="88" w:name="_Toc516669162"/>
      <w:bookmarkStart w:id="89" w:name="_Toc5861492"/>
    </w:p>
    <w:p>
      <w:pPr>
        <w:spacing w:line="360" w:lineRule="auto"/>
        <w:ind w:firstLine="482" w:firstLineChars="200"/>
        <w:contextualSpacing/>
        <w:rPr>
          <w:rFonts w:hint="eastAsia" w:cs="仿宋_GB2312" w:asciiTheme="minorEastAsia" w:hAnsiTheme="minorEastAsia"/>
          <w:b/>
          <w:bCs/>
          <w:szCs w:val="21"/>
          <w:lang w:val="zh-CN"/>
        </w:rPr>
      </w:pPr>
      <w:r>
        <w:rPr>
          <w:rFonts w:hint="eastAsia" w:cs="仿宋_GB2312" w:asciiTheme="minorEastAsia" w:hAnsiTheme="minorEastAsia"/>
          <w:b/>
          <w:bCs/>
          <w:szCs w:val="21"/>
          <w:lang w:val="zh-CN"/>
        </w:rPr>
        <w:t>完备的流程管理</w:t>
      </w:r>
      <w:bookmarkEnd w:id="87"/>
      <w:bookmarkEnd w:id="88"/>
      <w:bookmarkEnd w:id="89"/>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许昌发布平台可实现从内容采集、制作、审核、发布、转签的完整流程。支持多种方式的内容采集回传，具备智能化素材内容汇聚，高效率直观的内容管理方式，平台具有完备且强大的审核功能及机制，满足多渠道多平台的发布功能。</w:t>
      </w:r>
    </w:p>
    <w:p>
      <w:pPr>
        <w:spacing w:line="360" w:lineRule="auto"/>
        <w:ind w:firstLine="482" w:firstLineChars="200"/>
        <w:contextualSpacing/>
        <w:rPr>
          <w:rFonts w:hint="eastAsia" w:cs="仿宋_GB2312" w:asciiTheme="minorEastAsia" w:hAnsiTheme="minorEastAsia"/>
          <w:b/>
          <w:bCs/>
          <w:szCs w:val="21"/>
          <w:lang w:val="zh-CN" w:eastAsia="zh-CN"/>
        </w:rPr>
      </w:pPr>
      <w:bookmarkStart w:id="90" w:name="_Toc326168446"/>
      <w:bookmarkStart w:id="91" w:name="_Toc322985353"/>
      <w:bookmarkStart w:id="92" w:name="_Toc322964179"/>
      <w:bookmarkStart w:id="93" w:name="_Toc5861493"/>
      <w:bookmarkStart w:id="94" w:name="_Toc516650091"/>
      <w:bookmarkStart w:id="95" w:name="_Toc485996034"/>
      <w:bookmarkStart w:id="96" w:name="_Toc499898083"/>
      <w:bookmarkStart w:id="97" w:name="_Toc516669170"/>
      <w:bookmarkStart w:id="98" w:name="_Toc401483708"/>
      <w:r>
        <w:rPr>
          <w:rFonts w:hint="eastAsia" w:cs="仿宋_GB2312" w:asciiTheme="minorEastAsia" w:hAnsiTheme="minorEastAsia"/>
          <w:b/>
          <w:bCs/>
          <w:szCs w:val="21"/>
          <w:lang w:val="en-US" w:eastAsia="zh-CN"/>
        </w:rPr>
        <w:t>3、</w:t>
      </w:r>
      <w:r>
        <w:rPr>
          <w:rFonts w:hint="eastAsia" w:cs="仿宋_GB2312" w:asciiTheme="minorEastAsia" w:hAnsiTheme="minorEastAsia"/>
          <w:b/>
          <w:bCs/>
          <w:szCs w:val="21"/>
          <w:lang w:val="zh-CN"/>
        </w:rPr>
        <w:t>平台后台操作</w:t>
      </w:r>
      <w:bookmarkEnd w:id="90"/>
      <w:bookmarkEnd w:id="91"/>
      <w:bookmarkEnd w:id="92"/>
      <w:bookmarkEnd w:id="93"/>
      <w:bookmarkEnd w:id="94"/>
      <w:bookmarkEnd w:id="95"/>
      <w:bookmarkEnd w:id="96"/>
      <w:bookmarkEnd w:id="97"/>
      <w:bookmarkEnd w:id="98"/>
      <w:r>
        <w:rPr>
          <w:rFonts w:hint="eastAsia" w:cs="仿宋_GB2312" w:asciiTheme="minorEastAsia" w:hAnsiTheme="minorEastAsia"/>
          <w:b/>
          <w:bCs/>
          <w:szCs w:val="21"/>
          <w:lang w:val="zh-CN" w:eastAsia="zh-CN"/>
        </w:rPr>
        <w:t>要求</w:t>
      </w:r>
    </w:p>
    <w:p>
      <w:pPr>
        <w:spacing w:line="360" w:lineRule="auto"/>
        <w:ind w:firstLine="482" w:firstLineChars="200"/>
        <w:contextualSpacing/>
        <w:rPr>
          <w:rFonts w:hint="eastAsia" w:cs="仿宋_GB2312" w:asciiTheme="minorEastAsia" w:hAnsiTheme="minorEastAsia"/>
          <w:b/>
          <w:bCs/>
          <w:szCs w:val="21"/>
          <w:lang w:val="zh-CN"/>
        </w:rPr>
      </w:pPr>
      <w:bookmarkStart w:id="99" w:name="_Toc5861494"/>
      <w:bookmarkStart w:id="100" w:name="_Toc516669171"/>
      <w:r>
        <w:rPr>
          <w:rFonts w:hint="eastAsia" w:cs="仿宋_GB2312" w:asciiTheme="minorEastAsia" w:hAnsiTheme="minorEastAsia"/>
          <w:b/>
          <w:bCs/>
          <w:szCs w:val="21"/>
          <w:lang w:val="zh-CN"/>
        </w:rPr>
        <w:t>支持混编稿</w:t>
      </w:r>
      <w:bookmarkEnd w:id="99"/>
      <w:bookmarkEnd w:id="100"/>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许昌发布平台的内容编辑可提供基于HTML5的多媒体稿件编辑器，机构用户可登入平台即可直接在线写稿，在编辑器内能够可视化的进行图文、多媒体内容的混排，通过自动格式化、自动提取关键字、摘要大大提高文字编排效率，通过集成的图片编辑功能如自动缩略图、抽线压缩、添加水印等功能提高图片处理效率。混合稿件编辑器支持unicode编码的多语言字体，除支持纯文字的稿件编写、修改外，还可支持文字、图片、音视频、链接稿等稿件素材在编辑器内进行混合排版。通过所见即所得的仿WORD操作的方式可帮助记者、编辑更直观地查看稿件的处理过程。HTML编辑器支持文字、图片、音视频进行混合编，HTML编辑器支持文字、图片、音视频进行混合编辑、排版,用户也可以向稿件中任意位置添加新的图片和视频。图片、视频会自动适应图片位的尺寸，根据发布渠道的不同，发布的图片尺寸也不同。</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平台内本身自带内容资源管理模块，可对用户上传的图片和视频进行集中存储管理。在写稿编辑器中可直接通过本地上传、资源管理模块选择两种方式进行图片、视频的插入，视频插入到编辑器后可自动抽取关键帧作为视频素材的占位图。同时视频的应用还支持腾讯、优酷、土豆等第三方视频平台以内嵌代码的方式插入视频。</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基于网站、掌媒、微博、微信的内容编辑，可直接在稿签列表中输入摘要、关键词和标签，方便后续一条稿件多渠道使用和与其他系统整合的数据一致性和便利性。</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在混编稿编辑器的稿签扩展页，许昌发布平台支持加入稿件写作时的媒体大数据检索，可方便记者和编辑在写稿时，直接进行互联网内容的检索，方便查看其它渠道与相关稿件的关键词同步情况，做为写稿时的补充，强化对稿件素材和相关新闻的支持。</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新闻编辑人员在写稿时可随时在稿签页进行关键词与互联网上的相关稿件进行匹配，以查看该类型的稿在互联网上的相关新闻情况。当编辑人员在写作时输入关键词，可手动选择该关键词在网站、在微博、在微信渠道的相关关键词文章，可将关键词检索出来的文章进行查看，并引用到编辑器内满足相关新闻和背景新闻的使用。避免记者和编辑在互联网各个地方进行相关新闻的查看，简化采编人员的日常工作。</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许昌发布平台在图片上传页面、视频上传页面、稿件混合编辑器页面提供基本的图片快编功能。图片快编包括图片裁剪、旋转、按比例缩小尺寸、设定灰度图等功能，可通过简单、快捷的制作满足页面篇幅、带宽、速度等发布要求的图片，如网站、移动终端、微博、微信的渠道发布要求等。</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稿件混合编辑器可以定义字符的字体、字号、字体颜色、字符宽度、行高、倾斜、追踪和词间距。</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段落面板允许用户控制：段落对齐，段落最后一行对其，文字对齐，连字符，第一行缩进，列中断的位置，段落外边距。</w:t>
      </w:r>
    </w:p>
    <w:p>
      <w:pPr>
        <w:spacing w:line="360" w:lineRule="auto"/>
        <w:ind w:firstLine="482" w:firstLineChars="200"/>
        <w:contextualSpacing/>
        <w:rPr>
          <w:rFonts w:hint="eastAsia" w:cs="仿宋_GB2312" w:asciiTheme="minorEastAsia" w:hAnsiTheme="minorEastAsia"/>
          <w:b/>
          <w:bCs/>
          <w:szCs w:val="21"/>
          <w:lang w:val="zh-CN"/>
        </w:rPr>
      </w:pPr>
      <w:r>
        <w:rPr>
          <w:rFonts w:hint="eastAsia" w:cs="仿宋_GB2312" w:asciiTheme="minorEastAsia" w:hAnsiTheme="minorEastAsia"/>
          <w:b/>
          <w:bCs/>
          <w:szCs w:val="21"/>
          <w:lang w:val="zh-CN"/>
        </w:rPr>
        <w:t>编辑器稿件自动定时保存</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由于新闻编辑人员在平台中使用最多的环节就是在写稿编辑环境，因此支持在平台设计中混合编辑器加入编辑器定时自动保存机制，方便记者、编辑在混辑器写写稿过程中出现的意外事故，可及时找到最近的断点，并进行恢复，从而避免内容的损失，提高采编工作的效率。</w:t>
      </w:r>
    </w:p>
    <w:p>
      <w:pPr>
        <w:spacing w:line="360" w:lineRule="auto"/>
        <w:ind w:firstLine="482" w:firstLineChars="200"/>
        <w:contextualSpacing/>
        <w:rPr>
          <w:rFonts w:hint="eastAsia" w:cs="仿宋_GB2312" w:asciiTheme="minorEastAsia" w:hAnsiTheme="minorEastAsia"/>
          <w:b/>
          <w:bCs/>
          <w:szCs w:val="21"/>
          <w:lang w:val="zh-CN"/>
        </w:rPr>
      </w:pPr>
      <w:bookmarkStart w:id="101" w:name="_Toc401483716"/>
      <w:bookmarkStart w:id="102" w:name="_Toc516669172"/>
      <w:bookmarkStart w:id="103" w:name="_Toc5861495"/>
      <w:r>
        <w:rPr>
          <w:rFonts w:hint="eastAsia" w:cs="仿宋_GB2312" w:asciiTheme="minorEastAsia" w:hAnsiTheme="minorEastAsia"/>
          <w:b/>
          <w:bCs/>
          <w:szCs w:val="21"/>
          <w:lang w:val="zh-CN"/>
        </w:rPr>
        <w:t>支持图</w:t>
      </w:r>
      <w:bookmarkEnd w:id="101"/>
      <w:r>
        <w:rPr>
          <w:rFonts w:hint="eastAsia" w:cs="仿宋_GB2312" w:asciiTheme="minorEastAsia" w:hAnsiTheme="minorEastAsia"/>
          <w:b/>
          <w:bCs/>
          <w:szCs w:val="21"/>
          <w:lang w:val="zh-CN"/>
        </w:rPr>
        <w:t>集</w:t>
      </w:r>
      <w:bookmarkEnd w:id="102"/>
      <w:bookmarkEnd w:id="103"/>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平台提供单图、组图和从资源库中选择图片进行上传和发布的处理流程。在图片上传完毕后，可填写图说，可统一组图的图片说明，同时还可针对某个图片进行图片快编的处理。图片快编功能包括图片裁剪、旋转、按比例缩小尺寸、彩图转灰图、默认图片裁剪比例等功能，可实现简单、快捷的制作满足页面篇幅、带宽、速度等发布要求的图片，如网站、移动终端、两微等。同时新建图片时的稿件，可支持填写所需要关联发布的栏目频道、图片来源，标题，副标题，摘要、标签、关键词、作者等。</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平台除支持稿件混合编辑器页面提供文图混合排版外，还需要具备有独立的图片单图、组图上传模块，在独立的图片上传模块中，图片上传后仍然提供基本的图片快编功能，图片快编不依据第三方处理工具即可在模块内进行包括图片裁剪、旋转、按比例缩小尺寸、设定灰度图、图片角度微调等功能，可通过简单、快捷的制作满足页面篇幅、带宽、速度等发布要求的图片，如新闻客户端、微博、微信的渠道发布要求等，支持对图片进行快速编辑处理。</w:t>
      </w:r>
      <w:bookmarkStart w:id="104" w:name="_Toc401483717"/>
      <w:bookmarkStart w:id="105" w:name="_Toc516669173"/>
      <w:bookmarkStart w:id="106" w:name="_Toc5861496"/>
    </w:p>
    <w:p>
      <w:pPr>
        <w:spacing w:line="360" w:lineRule="auto"/>
        <w:ind w:firstLine="482" w:firstLineChars="200"/>
        <w:contextualSpacing/>
        <w:rPr>
          <w:rFonts w:hint="eastAsia" w:cs="仿宋_GB2312" w:asciiTheme="minorEastAsia" w:hAnsiTheme="minorEastAsia"/>
          <w:b/>
          <w:bCs/>
          <w:szCs w:val="21"/>
          <w:lang w:val="zh-CN"/>
        </w:rPr>
      </w:pPr>
      <w:r>
        <w:rPr>
          <w:rFonts w:hint="eastAsia" w:cs="仿宋_GB2312" w:asciiTheme="minorEastAsia" w:hAnsiTheme="minorEastAsia"/>
          <w:b/>
          <w:bCs/>
          <w:szCs w:val="21"/>
          <w:lang w:val="zh-CN"/>
        </w:rPr>
        <w:t>支持音视频</w:t>
      </w:r>
      <w:bookmarkEnd w:id="104"/>
      <w:bookmarkEnd w:id="105"/>
      <w:bookmarkEnd w:id="106"/>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用户除可以在混合编辑器中与文字、图片进行混合编辑并插入本地视频和资源库已上传的音视频文件外，还可以独立进行音视频文件的建立。平台提供独立的音视频上传界面，可支持mp4\avi\flv\mpeg等媒体常用的视频格式文件。当音视频稿件被发布到网站和掌媒栏目后，网页上插入音频、视频的位置会出现音频、视频播放的窗口。独立的视频栏目将显示已发布的视频文件，后台将根据网站、掌媒的码流和所需发布的格式自动进行转码。</w:t>
      </w:r>
    </w:p>
    <w:p>
      <w:pPr>
        <w:spacing w:line="360" w:lineRule="auto"/>
        <w:ind w:firstLine="482" w:firstLineChars="200"/>
        <w:contextualSpacing/>
        <w:rPr>
          <w:rFonts w:hint="eastAsia" w:cs="仿宋_GB2312" w:asciiTheme="minorEastAsia" w:hAnsiTheme="minorEastAsia"/>
          <w:b/>
          <w:bCs/>
          <w:szCs w:val="21"/>
          <w:lang w:val="zh-CN"/>
        </w:rPr>
      </w:pPr>
      <w:bookmarkStart w:id="107" w:name="_Toc516669174"/>
      <w:bookmarkStart w:id="108" w:name="_Toc5861497"/>
      <w:r>
        <w:rPr>
          <w:rFonts w:hint="eastAsia" w:cs="仿宋_GB2312" w:asciiTheme="minorEastAsia" w:hAnsiTheme="minorEastAsia"/>
          <w:b/>
          <w:bCs/>
          <w:szCs w:val="21"/>
          <w:lang w:val="zh-CN"/>
        </w:rPr>
        <w:t>支持链接稿</w:t>
      </w:r>
      <w:bookmarkEnd w:id="107"/>
      <w:bookmarkEnd w:id="108"/>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机构编辑人员可复制其他网站的网站链接地址，直接粘贴到链接稿的编辑器中，不需要正文内容编辑，只需要将标题和外部链接填入就行了。内容被签发到该机构的网站和掌媒渠道栏目库后，通过前台页面的点击该稿件将会跳转到外部链接的新闻。同时，在混合编辑器里，用户也可以随时插入可跳转的链接稿，发便用户进行链接稿件的跳转阅读。</w:t>
      </w:r>
    </w:p>
    <w:p>
      <w:pPr>
        <w:spacing w:line="360" w:lineRule="auto"/>
        <w:ind w:firstLine="482" w:firstLineChars="200"/>
        <w:contextualSpacing/>
        <w:rPr>
          <w:rFonts w:hint="eastAsia" w:cs="仿宋_GB2312" w:asciiTheme="minorEastAsia" w:hAnsiTheme="minorEastAsia"/>
          <w:b/>
          <w:bCs/>
          <w:szCs w:val="21"/>
          <w:lang w:val="zh-CN"/>
        </w:rPr>
      </w:pPr>
      <w:bookmarkStart w:id="109" w:name="_Toc516669175"/>
      <w:bookmarkStart w:id="110" w:name="_Toc5861498"/>
      <w:r>
        <w:rPr>
          <w:rFonts w:hint="eastAsia" w:cs="仿宋_GB2312" w:asciiTheme="minorEastAsia" w:hAnsiTheme="minorEastAsia"/>
          <w:b/>
          <w:bCs/>
          <w:szCs w:val="21"/>
          <w:lang w:val="zh-CN"/>
        </w:rPr>
        <w:t>自带新媒体专题模板</w:t>
      </w:r>
      <w:bookmarkEnd w:id="109"/>
      <w:bookmarkEnd w:id="110"/>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许昌发布平台除支持基本的栏目写作和发布应用外，针对媒体行业常用的专题制作，平台自带多套网站和客户端专题发布模板，机构合作伙伴编辑用户无须再进行专题模板设计、也无须进行专题模板开发，直接选用平台内自带的专题模板，只需要定义专题子栏目名称，然后向对应的专题子栏目名称内进行发稿，即可实现专题事件的内容发布。</w:t>
      </w:r>
    </w:p>
    <w:p>
      <w:pPr>
        <w:spacing w:line="360" w:lineRule="auto"/>
        <w:ind w:firstLine="482" w:firstLineChars="200"/>
        <w:contextualSpacing/>
        <w:rPr>
          <w:rFonts w:hint="eastAsia" w:cs="仿宋_GB2312" w:asciiTheme="minorEastAsia" w:hAnsiTheme="minorEastAsia"/>
          <w:b/>
          <w:bCs/>
          <w:szCs w:val="21"/>
          <w:lang w:val="zh-CN"/>
        </w:rPr>
      </w:pPr>
      <w:bookmarkStart w:id="111" w:name="_Toc401483712"/>
      <w:bookmarkStart w:id="112" w:name="_Toc5861499"/>
      <w:bookmarkStart w:id="113" w:name="_Toc516669178"/>
      <w:r>
        <w:rPr>
          <w:rFonts w:hint="eastAsia" w:cs="仿宋_GB2312" w:asciiTheme="minorEastAsia" w:hAnsiTheme="minorEastAsia"/>
          <w:b/>
          <w:bCs/>
          <w:szCs w:val="21"/>
          <w:lang w:val="zh-CN"/>
        </w:rPr>
        <w:t>具备稿件版本追踪管理</w:t>
      </w:r>
      <w:bookmarkEnd w:id="111"/>
      <w:bookmarkEnd w:id="112"/>
      <w:bookmarkEnd w:id="113"/>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内容编辑器中的在对象数据库里对内容所作的任何改变都可以自动记录版本，而不需用户做任何事情。在任何时候，任何现存版本内容都可以被查看，同现时可进行多个版本的版本比较，或者取回。</w:t>
      </w:r>
    </w:p>
    <w:p>
      <w:pPr>
        <w:spacing w:line="360" w:lineRule="auto"/>
        <w:ind w:firstLine="482" w:firstLineChars="200"/>
        <w:contextualSpacing/>
        <w:rPr>
          <w:rFonts w:hint="eastAsia" w:cs="仿宋_GB2312" w:asciiTheme="minorEastAsia" w:hAnsiTheme="minorEastAsia"/>
          <w:b/>
          <w:bCs/>
          <w:szCs w:val="21"/>
          <w:lang w:val="zh-CN"/>
        </w:rPr>
      </w:pPr>
      <w:bookmarkStart w:id="114" w:name="_Toc401483722"/>
      <w:bookmarkStart w:id="115" w:name="_Toc5861500"/>
      <w:bookmarkStart w:id="116" w:name="_Toc516669179"/>
      <w:r>
        <w:rPr>
          <w:rFonts w:hint="eastAsia" w:cs="仿宋_GB2312" w:asciiTheme="minorEastAsia" w:hAnsiTheme="minorEastAsia"/>
          <w:b/>
          <w:bCs/>
          <w:szCs w:val="21"/>
          <w:lang w:val="zh-CN"/>
        </w:rPr>
        <w:t>具备多版本稿件比对编辑</w:t>
      </w:r>
      <w:bookmarkEnd w:id="114"/>
      <w:bookmarkEnd w:id="115"/>
      <w:bookmarkEnd w:id="116"/>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平台内的机构编采人员可以在同一个界面上同时打开两个版本的混编稿件进行对比编辑。两个版本不一样的地方高亮显示。</w:t>
      </w:r>
    </w:p>
    <w:p>
      <w:pPr>
        <w:spacing w:line="360" w:lineRule="auto"/>
        <w:ind w:firstLine="482" w:firstLineChars="200"/>
        <w:contextualSpacing/>
        <w:rPr>
          <w:rFonts w:hint="eastAsia" w:cs="仿宋_GB2312" w:asciiTheme="minorEastAsia" w:hAnsiTheme="minorEastAsia"/>
          <w:b/>
          <w:bCs/>
          <w:szCs w:val="21"/>
          <w:lang w:val="zh-CN"/>
        </w:rPr>
      </w:pPr>
      <w:bookmarkStart w:id="117" w:name="_Toc485996037"/>
      <w:bookmarkStart w:id="118" w:name="_Toc516669180"/>
      <w:bookmarkStart w:id="119" w:name="_Toc5861501"/>
      <w:bookmarkStart w:id="120" w:name="_Toc401483734"/>
      <w:r>
        <w:rPr>
          <w:rFonts w:hint="eastAsia" w:cs="仿宋_GB2312" w:asciiTheme="minorEastAsia" w:hAnsiTheme="minorEastAsia"/>
          <w:b/>
          <w:bCs/>
          <w:szCs w:val="21"/>
          <w:lang w:val="zh-CN"/>
        </w:rPr>
        <w:t>支持稿件关联</w:t>
      </w:r>
      <w:bookmarkEnd w:id="117"/>
      <w:bookmarkEnd w:id="118"/>
      <w:bookmarkEnd w:id="119"/>
      <w:bookmarkEnd w:id="120"/>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平台支持栏目之间的稿件关联操作支持多重关联，即一个稿件可以关联多个稿件，也可以被多个稿件关联。</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支持从检索结果中选择稿件进行关联。</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可以按稿库的分类，媒体类型分类来浏览各个文件夹下面的稿件及稿件状态。支持同时打开多个窗口，对比浏览多个文件夹之下的稿件一览。</w:t>
      </w:r>
    </w:p>
    <w:p>
      <w:pPr>
        <w:spacing w:line="360" w:lineRule="auto"/>
        <w:ind w:firstLine="482" w:firstLineChars="200"/>
        <w:contextualSpacing/>
        <w:rPr>
          <w:rFonts w:hint="eastAsia" w:cs="仿宋_GB2312" w:asciiTheme="minorEastAsia" w:hAnsiTheme="minorEastAsia"/>
          <w:b/>
          <w:bCs/>
          <w:szCs w:val="21"/>
          <w:lang w:val="zh-CN"/>
        </w:rPr>
      </w:pPr>
      <w:bookmarkStart w:id="121" w:name="_Toc401483725"/>
      <w:bookmarkStart w:id="122" w:name="_Toc516669181"/>
      <w:bookmarkStart w:id="123" w:name="_Toc485996035"/>
      <w:bookmarkStart w:id="124" w:name="_Toc5861502"/>
      <w:bookmarkStart w:id="125" w:name="_Toc499898084"/>
      <w:bookmarkStart w:id="126" w:name="_Toc516650092"/>
      <w:r>
        <w:rPr>
          <w:rFonts w:hint="eastAsia" w:cs="仿宋_GB2312" w:asciiTheme="minorEastAsia" w:hAnsiTheme="minorEastAsia"/>
          <w:b/>
          <w:bCs/>
          <w:szCs w:val="21"/>
          <w:lang w:val="zh-CN"/>
        </w:rPr>
        <w:t>具备稿件浏览</w:t>
      </w:r>
      <w:bookmarkEnd w:id="121"/>
      <w:bookmarkEnd w:id="122"/>
      <w:bookmarkEnd w:id="123"/>
      <w:bookmarkEnd w:id="124"/>
      <w:bookmarkEnd w:id="125"/>
      <w:bookmarkEnd w:id="126"/>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平台可根据不同的机构合作伙伴设定不同的分级权限管理体系，每个合作伙伴都可以根据自身的新媒体栏目建设要求，建设机构专属的栏目编辑库和发布库。</w:t>
      </w:r>
    </w:p>
    <w:p>
      <w:pPr>
        <w:spacing w:line="360" w:lineRule="auto"/>
        <w:ind w:firstLine="482" w:firstLineChars="200"/>
        <w:contextualSpacing/>
        <w:rPr>
          <w:rFonts w:hint="eastAsia" w:cs="仿宋_GB2312" w:asciiTheme="minorEastAsia" w:hAnsiTheme="minorEastAsia"/>
          <w:b/>
          <w:bCs/>
          <w:szCs w:val="21"/>
          <w:lang w:val="zh-CN"/>
        </w:rPr>
      </w:pPr>
      <w:bookmarkStart w:id="127" w:name="_Toc266974060"/>
      <w:bookmarkStart w:id="128" w:name="_Toc5861503"/>
      <w:bookmarkStart w:id="129" w:name="_Toc401483729"/>
      <w:bookmarkStart w:id="130" w:name="_Toc516669184"/>
      <w:r>
        <w:rPr>
          <w:rFonts w:hint="eastAsia" w:cs="仿宋_GB2312" w:asciiTheme="minorEastAsia" w:hAnsiTheme="minorEastAsia"/>
          <w:b/>
          <w:bCs/>
          <w:szCs w:val="21"/>
          <w:lang w:val="zh-CN"/>
        </w:rPr>
        <w:t>具备稿件细览</w:t>
      </w:r>
      <w:bookmarkEnd w:id="127"/>
      <w:bookmarkEnd w:id="128"/>
      <w:bookmarkEnd w:id="129"/>
      <w:bookmarkEnd w:id="130"/>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用户对稿件的内容进行浏览时，可以以灰度页面方式展示整个内容编辑器内编排的稿件。如果选择网页预览或客户端预览，该稿件将会自动调用网站页面模板和新闻客户端页面模块，直接进行该内容的仿真页面的预览。</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针对H5工具制作完成的H5产品，平台提供独立的H5产品管理体系，可方便用户直接查看已完成的H5作品，包括对H5作品进行预览。</w:t>
      </w:r>
    </w:p>
    <w:p>
      <w:pPr>
        <w:spacing w:line="360" w:lineRule="auto"/>
        <w:ind w:firstLine="482" w:firstLineChars="200"/>
        <w:contextualSpacing/>
        <w:rPr>
          <w:rFonts w:hint="eastAsia" w:cs="仿宋_GB2312" w:asciiTheme="minorEastAsia" w:hAnsiTheme="minorEastAsia"/>
          <w:b/>
          <w:bCs/>
          <w:szCs w:val="21"/>
          <w:lang w:val="zh-CN"/>
        </w:rPr>
      </w:pPr>
      <w:bookmarkStart w:id="131" w:name="_Toc401483730"/>
      <w:bookmarkStart w:id="132" w:name="_Toc5861504"/>
      <w:bookmarkStart w:id="133" w:name="_Toc266974061"/>
      <w:bookmarkStart w:id="134" w:name="_Toc516669185"/>
      <w:r>
        <w:rPr>
          <w:rFonts w:hint="eastAsia" w:cs="仿宋_GB2312" w:asciiTheme="minorEastAsia" w:hAnsiTheme="minorEastAsia"/>
          <w:b/>
          <w:bCs/>
          <w:szCs w:val="21"/>
          <w:lang w:val="zh-CN"/>
        </w:rPr>
        <w:t>稿件操作</w:t>
      </w:r>
      <w:bookmarkEnd w:id="131"/>
      <w:bookmarkEnd w:id="132"/>
      <w:bookmarkEnd w:id="133"/>
      <w:bookmarkEnd w:id="134"/>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平台针对已发布的稿件和未发布的稿件均通过对应的功能操作按钮给予区分，并将机构内编辑用户常用的功能按钮进行了集中显示。</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栏目内已发布稿件的常用操作包括：</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栏目写稿/已发稿件撤稿/已发稿件转签/已发稿件复制/已发稿件栏目移动/稿件关联</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针对栏目内新写稿件、被撤回的稿件、已发布的稿件，除提供常用操作按钮外，还可选择栏目稿件进行右键点击，则会列出已该稿件对应的可操作的所有按钮。包括：</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稿件修改/稿件发布/稿件撤签/稿件仿真预览/稿件置顶/设置固定位/稿件复制/稿件移动/稿件关联/稿件删除/查看操作记录/查看稿件详情</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流程记录：查看该稿件从入库开始的完整的人员处理的流程记录。平台系统可对稿件的每一步的操作进行记录，形成流程记录。并且对每此的编辑进行版本保存形成历史版本。这既方便稿件的溯源又能比较各个版本之间的差别，而且可以将当前版本恢复成任何一个想要的历史版本。</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删除：删除稿件后，该稿件将被转移到“废稿箱”菜单中，可以在废稿箱中找到该稿件进行恢复，也可以进行彻底的销毁。</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在许昌发布平台内，针对不同权限、不同栏目库、频道库的稿件均会根据其当前的状态给操作权限控制。稿件在栏目中处于怎样的状态，均通过标题前的状态图标进行提醒。</w:t>
      </w:r>
      <w:r>
        <w:rPr>
          <w:rFonts w:hint="eastAsia" w:cs="仿宋_GB2312" w:asciiTheme="minorEastAsia" w:hAnsiTheme="minorEastAsia"/>
          <w:szCs w:val="21"/>
          <w:lang w:val="zh-CN"/>
        </w:rPr>
        <w:tab/>
      </w:r>
      <w:r>
        <w:rPr>
          <w:rFonts w:hint="eastAsia" w:cs="仿宋_GB2312" w:asciiTheme="minorEastAsia" w:hAnsiTheme="minorEastAsia"/>
          <w:szCs w:val="21"/>
          <w:lang w:val="zh-CN"/>
        </w:rPr>
        <w:t>许昌发布平台其核心是一稿多发的新媒体应用机制，因此在机构用户的日常的编采过程中，针对某些稿件审核完毕后，会被其他渠道的编辑人员进行选用和二次加工，但是如果某个渠道某个栏目的稿件需要再进行二次修改时，则审核人员须要查看流程记录，记录相应的稿件选用人员，然后对其进行提醒，告知编辑被选用的稿件还需要进行二次修改让其暂停操作。这种处理方式产生的隐患就是系统的工作流程和安全性被打破，容易造成新闻发布后的事故，因此在许昌发布平台的工作流程中支持加入修改提醒功能。一旦稿件审核完毕后，被其他编辑人员进行了选用或修改，如果该原始稿件被重新修改并保存后，后续所有选用过或签发过该稿件的人员，均给予平台弹窗提醒，借此可以保证新闻稿件的安全性和可控性，对所有选用过该稿件的人执行一个安全的闭环保护。</w:t>
      </w:r>
    </w:p>
    <w:p>
      <w:pPr>
        <w:spacing w:line="360" w:lineRule="auto"/>
        <w:ind w:firstLine="482" w:firstLineChars="200"/>
        <w:contextualSpacing/>
        <w:rPr>
          <w:rFonts w:hint="eastAsia" w:cs="仿宋_GB2312" w:asciiTheme="minorEastAsia" w:hAnsiTheme="minorEastAsia"/>
          <w:b/>
          <w:bCs/>
          <w:szCs w:val="21"/>
          <w:lang w:val="zh-CN"/>
        </w:rPr>
      </w:pPr>
      <w:bookmarkStart w:id="135" w:name="_Toc401483745"/>
      <w:bookmarkStart w:id="136" w:name="_Toc5861505"/>
      <w:bookmarkStart w:id="137" w:name="_Toc516669186"/>
      <w:r>
        <w:rPr>
          <w:rFonts w:hint="eastAsia" w:cs="仿宋_GB2312" w:asciiTheme="minorEastAsia" w:hAnsiTheme="minorEastAsia"/>
          <w:b/>
          <w:bCs/>
          <w:szCs w:val="21"/>
          <w:lang w:val="zh-CN"/>
        </w:rPr>
        <w:t>查看稿件</w:t>
      </w:r>
      <w:bookmarkEnd w:id="135"/>
      <w:r>
        <w:rPr>
          <w:rFonts w:hint="eastAsia" w:cs="仿宋_GB2312" w:asciiTheme="minorEastAsia" w:hAnsiTheme="minorEastAsia"/>
          <w:b/>
          <w:bCs/>
          <w:szCs w:val="21"/>
          <w:lang w:val="zh-CN"/>
        </w:rPr>
        <w:t>详情</w:t>
      </w:r>
      <w:bookmarkEnd w:id="136"/>
      <w:bookmarkEnd w:id="137"/>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双击库内的某一篇稿件，可以直接打开稿件查看稿件详情，默认状态下左边为稿件详情展示页，右边为稿签展示页面。</w:t>
      </w:r>
    </w:p>
    <w:p>
      <w:pPr>
        <w:spacing w:line="360" w:lineRule="auto"/>
        <w:ind w:firstLine="482" w:firstLineChars="200"/>
        <w:contextualSpacing/>
        <w:rPr>
          <w:rFonts w:hint="eastAsia" w:cs="仿宋_GB2312" w:asciiTheme="minorEastAsia" w:hAnsiTheme="minorEastAsia"/>
          <w:b/>
          <w:bCs/>
          <w:szCs w:val="21"/>
          <w:lang w:val="zh-CN"/>
        </w:rPr>
      </w:pPr>
      <w:bookmarkStart w:id="138" w:name="_Toc401483720"/>
      <w:bookmarkStart w:id="139" w:name="_Toc516669187"/>
      <w:bookmarkStart w:id="140" w:name="_Toc5861506"/>
      <w:r>
        <w:rPr>
          <w:rFonts w:hint="eastAsia" w:cs="仿宋_GB2312" w:asciiTheme="minorEastAsia" w:hAnsiTheme="minorEastAsia"/>
          <w:b/>
          <w:bCs/>
          <w:szCs w:val="21"/>
          <w:lang w:val="zh-CN"/>
        </w:rPr>
        <w:t>稿件搜索</w:t>
      </w:r>
      <w:bookmarkEnd w:id="138"/>
      <w:bookmarkEnd w:id="139"/>
      <w:bookmarkEnd w:id="140"/>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许昌发布平台建设强大的搜索功能，可以帮助机构内的编采用户在编辑环境中快速定位所需的资源。</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稿件检索支持组合状态的检索，包括稿件类型、稿件状态、稿件关键词、稿件发布日期，可通过关键词的检索，快速定位需要检索的资源。</w:t>
      </w:r>
    </w:p>
    <w:p>
      <w:pPr>
        <w:spacing w:line="360" w:lineRule="auto"/>
        <w:ind w:firstLine="482" w:firstLineChars="200"/>
        <w:contextualSpacing/>
        <w:rPr>
          <w:rFonts w:hint="eastAsia" w:cs="仿宋_GB2312" w:asciiTheme="minorEastAsia" w:hAnsiTheme="minorEastAsia"/>
          <w:b/>
          <w:bCs/>
          <w:szCs w:val="21"/>
          <w:lang w:val="zh-CN"/>
        </w:rPr>
      </w:pPr>
      <w:bookmarkStart w:id="141" w:name="_Toc516669189"/>
      <w:bookmarkStart w:id="142" w:name="_Toc5861507"/>
      <w:r>
        <w:rPr>
          <w:rFonts w:hint="eastAsia" w:cs="仿宋_GB2312" w:asciiTheme="minorEastAsia" w:hAnsiTheme="minorEastAsia"/>
          <w:b/>
          <w:bCs/>
          <w:szCs w:val="21"/>
          <w:lang w:val="zh-CN"/>
        </w:rPr>
        <w:t>稿件审核设置</w:t>
      </w:r>
      <w:bookmarkEnd w:id="141"/>
      <w:bookmarkEnd w:id="142"/>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许昌发布平台具有分栏目的灵活稿件审核权限控制，针对不同的栏目库可以设定不同的审核角色级别。比如针对副刊栏目库可灵活设置为一审即可，针对本地要闻分类库可灵活设置三审或四审均可。针对每个栏目库设置完审核权限后，后续所有入到不同栏目库的稿件均根据其审核节奏来进行应用。不同权限的采编人员提交入库的稿件，均会向上级审核发出审核通知提醒，通过弹框或数字角标提醒的方式，提醒高权限的人员对稿件进行审核处理。</w:t>
      </w:r>
    </w:p>
    <w:p>
      <w:pPr>
        <w:spacing w:line="360" w:lineRule="auto"/>
        <w:ind w:firstLine="482" w:firstLineChars="200"/>
        <w:contextualSpacing/>
        <w:rPr>
          <w:rFonts w:hint="eastAsia" w:cs="仿宋_GB2312" w:asciiTheme="minorEastAsia" w:hAnsiTheme="minorEastAsia"/>
          <w:szCs w:val="21"/>
          <w:lang w:val="zh-CN"/>
        </w:rPr>
      </w:pPr>
      <w:bookmarkStart w:id="143" w:name="_Toc5861508"/>
      <w:bookmarkStart w:id="144" w:name="_Toc516669191"/>
      <w:r>
        <w:rPr>
          <w:rFonts w:hint="eastAsia" w:cs="仿宋_GB2312" w:asciiTheme="minorEastAsia" w:hAnsiTheme="minorEastAsia"/>
          <w:b/>
          <w:bCs/>
          <w:szCs w:val="21"/>
          <w:lang w:val="zh-CN"/>
        </w:rPr>
        <w:t>资源素材管理</w:t>
      </w:r>
      <w:bookmarkEnd w:id="143"/>
      <w:bookmarkEnd w:id="144"/>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平台支持机构合作伙伴用户将图片、视频、音频、GIF图片、H5产品、数字报产品等文件统一管理在该模块中，当平台内的编辑人员使用的时候，能够在资源素材库中快速的查询到。</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资源模块主要由图片库、视频库、微页库、数字报库四部分组成，用户可向图片库和视频库上传资源，并在写稿过程中随意调用。同时，授权用户可在微页库管理H5素材并可在任意时间进行随意复用。</w:t>
      </w:r>
    </w:p>
    <w:p>
      <w:pPr>
        <w:spacing w:line="360" w:lineRule="auto"/>
        <w:ind w:firstLine="482" w:firstLineChars="200"/>
        <w:contextualSpacing/>
        <w:rPr>
          <w:rFonts w:hint="eastAsia" w:cs="仿宋_GB2312" w:asciiTheme="minorEastAsia" w:hAnsiTheme="minorEastAsia"/>
          <w:b/>
          <w:bCs/>
          <w:szCs w:val="21"/>
          <w:lang w:val="zh-CN"/>
        </w:rPr>
      </w:pPr>
      <w:bookmarkStart w:id="145" w:name="_Toc496622087"/>
      <w:bookmarkStart w:id="146" w:name="_Toc497380254"/>
      <w:bookmarkStart w:id="147" w:name="_Toc496695097"/>
      <w:bookmarkStart w:id="148" w:name="_Toc496622307"/>
      <w:bookmarkStart w:id="149" w:name="_Toc496695403"/>
      <w:bookmarkStart w:id="150" w:name="_Toc5861509"/>
      <w:bookmarkStart w:id="151" w:name="_Toc516669192"/>
      <w:bookmarkStart w:id="152" w:name="_Toc504132796"/>
      <w:bookmarkStart w:id="153" w:name="_Toc409616637"/>
      <w:r>
        <w:rPr>
          <w:rFonts w:hint="eastAsia" w:cs="仿宋_GB2312" w:asciiTheme="minorEastAsia" w:hAnsiTheme="minorEastAsia"/>
          <w:b/>
          <w:bCs/>
          <w:szCs w:val="21"/>
          <w:lang w:val="zh-CN"/>
        </w:rPr>
        <w:t>广告</w:t>
      </w:r>
      <w:bookmarkEnd w:id="145"/>
      <w:bookmarkEnd w:id="146"/>
      <w:bookmarkEnd w:id="147"/>
      <w:bookmarkEnd w:id="148"/>
      <w:bookmarkEnd w:id="149"/>
      <w:r>
        <w:rPr>
          <w:rFonts w:hint="eastAsia" w:cs="仿宋_GB2312" w:asciiTheme="minorEastAsia" w:hAnsiTheme="minorEastAsia"/>
          <w:b/>
          <w:bCs/>
          <w:szCs w:val="21"/>
          <w:lang w:val="zh-CN"/>
        </w:rPr>
        <w:t>管理</w:t>
      </w:r>
      <w:bookmarkEnd w:id="150"/>
      <w:bookmarkEnd w:id="151"/>
      <w:bookmarkEnd w:id="152"/>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平台可为每个入驻合作伙伴提供独立的基于网站广告和新闻客户端广告的发布管理功能。选择管理模块中的广告库，进入广告管理界面。管理界面左侧广告库栏目列表分上下两部分，下部的广告区部分是网站页面广告的管理部分，上部是许昌发布平台广告的管理部分</w:t>
      </w:r>
    </w:p>
    <w:p>
      <w:pPr>
        <w:spacing w:line="360" w:lineRule="auto"/>
        <w:ind w:firstLine="482" w:firstLineChars="200"/>
        <w:contextualSpacing/>
        <w:rPr>
          <w:rFonts w:hint="eastAsia" w:cs="仿宋_GB2312" w:asciiTheme="minorEastAsia" w:hAnsiTheme="minorEastAsia"/>
          <w:b/>
          <w:bCs/>
          <w:szCs w:val="21"/>
          <w:lang w:val="zh-CN"/>
        </w:rPr>
      </w:pPr>
      <w:bookmarkStart w:id="154" w:name="_Toc516669193"/>
      <w:bookmarkStart w:id="155" w:name="_Toc504132797"/>
      <w:bookmarkStart w:id="156" w:name="_Toc5861510"/>
      <w:r>
        <w:rPr>
          <w:rFonts w:hint="eastAsia" w:cs="仿宋_GB2312" w:asciiTheme="minorEastAsia" w:hAnsiTheme="minorEastAsia"/>
          <w:b/>
          <w:bCs/>
          <w:szCs w:val="21"/>
          <w:lang w:val="zh-CN"/>
        </w:rPr>
        <w:t>会员信息管理</w:t>
      </w:r>
      <w:bookmarkEnd w:id="153"/>
      <w:bookmarkEnd w:id="154"/>
      <w:bookmarkEnd w:id="155"/>
      <w:bookmarkEnd w:id="156"/>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基于客户端的新闻发布，平台内的客户端管理模块构建会员注册体系，并提供统一用户管理模块管理平台内的新闻客户端注册会员。客户端的用户其注册信息将会在平台内进行集中存储和分类管理，可为满足后续基于会员信息的经营和增值提供服务。</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注册会员的管理包括基本会员信息管理。</w:t>
      </w:r>
    </w:p>
    <w:p>
      <w:pPr>
        <w:spacing w:line="360" w:lineRule="auto"/>
        <w:ind w:firstLine="482" w:firstLineChars="200"/>
        <w:contextualSpacing/>
        <w:rPr>
          <w:rFonts w:hint="eastAsia" w:cs="仿宋_GB2312" w:asciiTheme="minorEastAsia" w:hAnsiTheme="minorEastAsia"/>
          <w:b/>
          <w:bCs/>
          <w:szCs w:val="21"/>
          <w:lang w:val="zh-CN"/>
        </w:rPr>
      </w:pPr>
      <w:r>
        <w:rPr>
          <w:rFonts w:hint="eastAsia" w:cs="仿宋_GB2312" w:asciiTheme="minorEastAsia" w:hAnsiTheme="minorEastAsia"/>
          <w:b/>
          <w:bCs/>
          <w:szCs w:val="21"/>
          <w:lang w:val="zh-CN"/>
        </w:rPr>
        <w:t>基本会员信息</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基本信息指许昌发布平台自带的会员属性信息，主要包括：注册手机号、会员昵称；姓名、性别等自然属性；</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注册会员在新闻客户端的阅读频道、阅读时长、注册时间，机构编辑人员可对这些会员信息进行查看，并可进行分类和统计。</w:t>
      </w:r>
    </w:p>
    <w:p>
      <w:pPr>
        <w:spacing w:line="360" w:lineRule="auto"/>
        <w:ind w:firstLine="482" w:firstLineChars="200"/>
        <w:contextualSpacing/>
        <w:rPr>
          <w:rFonts w:hint="eastAsia" w:cs="仿宋_GB2312" w:asciiTheme="minorEastAsia" w:hAnsiTheme="minorEastAsia"/>
          <w:b/>
          <w:bCs/>
          <w:szCs w:val="21"/>
          <w:lang w:val="zh-CN"/>
        </w:rPr>
      </w:pPr>
      <w:bookmarkStart w:id="157" w:name="_Toc409616640"/>
      <w:r>
        <w:rPr>
          <w:rFonts w:hint="eastAsia" w:cs="仿宋_GB2312" w:asciiTheme="minorEastAsia" w:hAnsiTheme="minorEastAsia"/>
          <w:b/>
          <w:bCs/>
          <w:szCs w:val="21"/>
          <w:lang w:val="zh-CN"/>
        </w:rPr>
        <w:t>会员信息查询</w:t>
      </w:r>
      <w:bookmarkEnd w:id="157"/>
      <w:r>
        <w:rPr>
          <w:rFonts w:hint="eastAsia" w:cs="仿宋_GB2312" w:asciiTheme="minorEastAsia" w:hAnsiTheme="minorEastAsia"/>
          <w:b/>
          <w:bCs/>
          <w:szCs w:val="21"/>
          <w:lang w:val="zh-CN"/>
        </w:rPr>
        <w:t>导出</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会员信息查询模块供管理人员使用，输入查询条件，可查询并展示满足条件的会员信息及其行为信息。查询界面也是编辑修改会员信息的入口。</w:t>
      </w:r>
      <w:bookmarkEnd w:id="72"/>
    </w:p>
    <w:p>
      <w:pPr>
        <w:spacing w:line="360" w:lineRule="auto"/>
        <w:ind w:firstLine="482" w:firstLineChars="200"/>
        <w:contextualSpacing/>
        <w:rPr>
          <w:rFonts w:hint="eastAsia" w:cs="仿宋_GB2312" w:asciiTheme="minorEastAsia" w:hAnsiTheme="minorEastAsia"/>
          <w:b/>
          <w:bCs/>
          <w:szCs w:val="21"/>
          <w:lang w:val="zh-CN"/>
        </w:rPr>
      </w:pPr>
      <w:r>
        <w:rPr>
          <w:rFonts w:hint="eastAsia" w:cs="仿宋_GB2312" w:asciiTheme="minorEastAsia" w:hAnsiTheme="minorEastAsia"/>
          <w:b/>
          <w:bCs/>
          <w:szCs w:val="21"/>
          <w:lang w:val="zh-CN" w:eastAsia="zh-CN"/>
        </w:rPr>
        <w:t>（二）</w:t>
      </w:r>
      <w:r>
        <w:rPr>
          <w:rFonts w:hint="eastAsia" w:cs="仿宋_GB2312" w:asciiTheme="minorEastAsia" w:hAnsiTheme="minorEastAsia"/>
          <w:b/>
          <w:bCs/>
          <w:szCs w:val="21"/>
          <w:lang w:val="zh-CN"/>
        </w:rPr>
        <w:t>技术参数要求</w:t>
      </w:r>
    </w:p>
    <w:tbl>
      <w:tblPr>
        <w:tblStyle w:val="31"/>
        <w:tblW w:w="8976" w:type="dxa"/>
        <w:jc w:val="center"/>
        <w:tblInd w:w="9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4" w:hRule="atLeast"/>
          <w:jc w:val="center"/>
        </w:trPr>
        <w:tc>
          <w:tcPr>
            <w:tcW w:w="8976" w:type="dxa"/>
            <w:shd w:val="clear" w:color="auto" w:fill="auto"/>
            <w:vAlign w:val="center"/>
          </w:tcPr>
          <w:p>
            <w:pPr>
              <w:spacing w:line="360" w:lineRule="auto"/>
              <w:ind w:firstLine="420" w:firstLineChars="200"/>
              <w:contextualSpacing/>
              <w:rPr>
                <w:rFonts w:hint="eastAsia" w:cs="仿宋_GB2312" w:asciiTheme="minorEastAsia" w:hAnsiTheme="minorEastAsia"/>
                <w:sz w:val="21"/>
                <w:szCs w:val="21"/>
                <w:lang w:val="zh-CN"/>
              </w:rPr>
            </w:pPr>
            <w:r>
              <w:rPr>
                <w:rFonts w:hint="eastAsia" w:cs="仿宋_GB2312" w:asciiTheme="minorEastAsia" w:hAnsiTheme="minorEastAsia"/>
                <w:sz w:val="21"/>
                <w:szCs w:val="21"/>
                <w:lang w:val="zh-CN"/>
              </w:rPr>
              <w:t>登入模块</w:t>
            </w:r>
            <w:r>
              <w:rPr>
                <w:rFonts w:hint="eastAsia" w:cs="仿宋_GB2312" w:asciiTheme="minorEastAsia" w:hAnsiTheme="minorEastAsia"/>
                <w:sz w:val="21"/>
                <w:szCs w:val="21"/>
                <w:lang w:val="zh-CN"/>
              </w:rPr>
              <w:br w:type="textWrapping"/>
            </w:r>
            <w:r>
              <w:rPr>
                <w:rFonts w:hint="eastAsia" w:cs="仿宋_GB2312" w:asciiTheme="minorEastAsia" w:hAnsiTheme="minorEastAsia"/>
                <w:sz w:val="21"/>
                <w:szCs w:val="21"/>
                <w:lang w:val="zh-CN"/>
              </w:rPr>
              <w:t xml:space="preserve">    ★支持授权机构账号、授权编采用户通过账号、密码验证登入；</w:t>
            </w:r>
            <w:r>
              <w:rPr>
                <w:rFonts w:hint="eastAsia" w:cs="仿宋_GB2312" w:asciiTheme="minorEastAsia" w:hAnsiTheme="minorEastAsia"/>
                <w:sz w:val="21"/>
                <w:szCs w:val="21"/>
                <w:lang w:val="zh-CN"/>
              </w:rPr>
              <w:br w:type="textWrapping"/>
            </w:r>
            <w:r>
              <w:rPr>
                <w:rFonts w:hint="eastAsia" w:cs="仿宋_GB2312" w:asciiTheme="minorEastAsia" w:hAnsiTheme="minorEastAsia"/>
                <w:sz w:val="21"/>
                <w:szCs w:val="21"/>
                <w:lang w:val="zh-CN"/>
              </w:rPr>
              <w:t xml:space="preserve">    ★支持授权机构、授权编采用户进行密码修改；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4" w:hRule="atLeast"/>
          <w:jc w:val="center"/>
        </w:trPr>
        <w:tc>
          <w:tcPr>
            <w:tcW w:w="8976" w:type="dxa"/>
            <w:shd w:val="clear" w:color="auto" w:fill="auto"/>
            <w:vAlign w:val="center"/>
          </w:tcPr>
          <w:p>
            <w:pPr>
              <w:spacing w:line="360" w:lineRule="auto"/>
              <w:ind w:firstLine="420" w:firstLineChars="200"/>
              <w:contextualSpacing/>
              <w:rPr>
                <w:rFonts w:hint="eastAsia" w:cs="仿宋_GB2312" w:asciiTheme="minorEastAsia" w:hAnsiTheme="minorEastAsia"/>
                <w:sz w:val="21"/>
                <w:szCs w:val="21"/>
                <w:lang w:val="zh-CN"/>
              </w:rPr>
            </w:pPr>
            <w:r>
              <w:rPr>
                <w:rFonts w:hint="eastAsia" w:cs="仿宋_GB2312" w:asciiTheme="minorEastAsia" w:hAnsiTheme="minorEastAsia"/>
                <w:sz w:val="21"/>
                <w:szCs w:val="21"/>
                <w:lang w:val="zh-CN"/>
              </w:rPr>
              <w:t>客户端发布模块</w:t>
            </w:r>
            <w:r>
              <w:rPr>
                <w:rFonts w:hint="eastAsia" w:cs="仿宋_GB2312" w:asciiTheme="minorEastAsia" w:hAnsiTheme="minorEastAsia"/>
                <w:sz w:val="21"/>
                <w:szCs w:val="21"/>
                <w:lang w:val="zh-CN"/>
              </w:rPr>
              <w:br w:type="textWrapping"/>
            </w:r>
            <w:r>
              <w:rPr>
                <w:rFonts w:hint="eastAsia" w:cs="仿宋_GB2312" w:asciiTheme="minorEastAsia" w:hAnsiTheme="minorEastAsia"/>
                <w:sz w:val="21"/>
                <w:szCs w:val="21"/>
                <w:lang w:val="zh-CN"/>
              </w:rPr>
              <w:t xml:space="preserve">    ★支持管理员在平台后台对客户端栏目名称进行自定义设置；</w:t>
            </w:r>
            <w:r>
              <w:rPr>
                <w:rFonts w:hint="eastAsia" w:cs="仿宋_GB2312" w:asciiTheme="minorEastAsia" w:hAnsiTheme="minorEastAsia"/>
                <w:sz w:val="21"/>
                <w:szCs w:val="21"/>
                <w:lang w:val="zh-CN"/>
              </w:rPr>
              <w:br w:type="textWrapping"/>
            </w:r>
            <w:r>
              <w:rPr>
                <w:rFonts w:hint="eastAsia" w:cs="仿宋_GB2312" w:asciiTheme="minorEastAsia" w:hAnsiTheme="minorEastAsia"/>
                <w:sz w:val="21"/>
                <w:szCs w:val="21"/>
                <w:lang w:val="zh-CN"/>
              </w:rPr>
              <w:t xml:space="preserve">    ★支持授权编辑在栏目内写稿、上传图片、上传音视频、稿件混合编辑、图片快编、上传图片抽图；</w:t>
            </w:r>
            <w:r>
              <w:rPr>
                <w:rFonts w:hint="eastAsia" w:cs="仿宋_GB2312" w:asciiTheme="minorEastAsia" w:hAnsiTheme="minorEastAsia"/>
                <w:sz w:val="21"/>
                <w:szCs w:val="21"/>
                <w:lang w:val="zh-CN"/>
              </w:rPr>
              <w:br w:type="textWrapping"/>
            </w:r>
            <w:r>
              <w:rPr>
                <w:rFonts w:hint="eastAsia" w:cs="仿宋_GB2312" w:asciiTheme="minorEastAsia" w:hAnsiTheme="minorEastAsia"/>
                <w:sz w:val="21"/>
                <w:szCs w:val="21"/>
                <w:lang w:val="zh-CN"/>
              </w:rPr>
              <w:t xml:space="preserve">    ★支持在写稿编辑器中，进行关键词互联网的检索、查看、引用；</w:t>
            </w:r>
            <w:r>
              <w:rPr>
                <w:rFonts w:hint="eastAsia" w:cs="仿宋_GB2312" w:asciiTheme="minorEastAsia" w:hAnsiTheme="minorEastAsia"/>
                <w:sz w:val="21"/>
                <w:szCs w:val="21"/>
                <w:lang w:val="zh-CN"/>
              </w:rPr>
              <w:br w:type="textWrapping"/>
            </w:r>
            <w:r>
              <w:rPr>
                <w:rFonts w:hint="eastAsia" w:cs="仿宋_GB2312" w:asciiTheme="minorEastAsia" w:hAnsiTheme="minorEastAsia"/>
                <w:sz w:val="21"/>
                <w:szCs w:val="21"/>
                <w:lang w:val="zh-CN"/>
              </w:rPr>
              <w:t xml:space="preserve">    ★支持栏目稿件关联、上传稿件栏目图、填写摘要、填写标签、填写关键词、标注原创标识、设置加权、填写备注；</w:t>
            </w:r>
            <w:r>
              <w:rPr>
                <w:rFonts w:hint="eastAsia" w:cs="仿宋_GB2312" w:asciiTheme="minorEastAsia" w:hAnsiTheme="minorEastAsia"/>
                <w:sz w:val="21"/>
                <w:szCs w:val="21"/>
                <w:lang w:val="zh-CN"/>
              </w:rPr>
              <w:br w:type="textWrapping"/>
            </w:r>
            <w:r>
              <w:rPr>
                <w:rFonts w:hint="eastAsia" w:cs="仿宋_GB2312" w:asciiTheme="minorEastAsia" w:hAnsiTheme="minorEastAsia"/>
                <w:sz w:val="21"/>
                <w:szCs w:val="21"/>
                <w:lang w:val="zh-CN"/>
              </w:rPr>
              <w:t xml:space="preserve">    支持栏目稿件保存、提交、提交审核、预览；</w:t>
            </w:r>
            <w:r>
              <w:rPr>
                <w:rFonts w:hint="eastAsia" w:cs="仿宋_GB2312" w:asciiTheme="minorEastAsia" w:hAnsiTheme="minorEastAsia"/>
                <w:sz w:val="21"/>
                <w:szCs w:val="21"/>
                <w:lang w:val="zh-CN"/>
              </w:rPr>
              <w:br w:type="textWrapping"/>
            </w:r>
            <w:r>
              <w:rPr>
                <w:rFonts w:hint="eastAsia" w:cs="仿宋_GB2312" w:asciiTheme="minorEastAsia" w:hAnsiTheme="minorEastAsia"/>
                <w:sz w:val="21"/>
                <w:szCs w:val="21"/>
                <w:lang w:val="zh-CN"/>
              </w:rPr>
              <w:t xml:space="preserve">    ★支持栏目稿件（文字稿、文图稿、视频稿）复制、发布、置顶、固定位、关联、撤回、定时发布、查看稿件操作流程记录；</w:t>
            </w:r>
          </w:p>
          <w:p>
            <w:pPr>
              <w:spacing w:line="360" w:lineRule="auto"/>
              <w:ind w:firstLine="420" w:firstLineChars="200"/>
              <w:contextualSpacing/>
              <w:rPr>
                <w:rFonts w:hint="eastAsia" w:cs="仿宋_GB2312" w:asciiTheme="minorEastAsia" w:hAnsiTheme="minorEastAsia"/>
                <w:sz w:val="21"/>
                <w:szCs w:val="21"/>
                <w:lang w:val="zh-CN"/>
              </w:rPr>
            </w:pPr>
            <w:r>
              <w:rPr>
                <w:rFonts w:hint="eastAsia" w:cs="仿宋_GB2312" w:asciiTheme="minorEastAsia" w:hAnsiTheme="minorEastAsia"/>
                <w:sz w:val="21"/>
                <w:szCs w:val="21"/>
                <w:lang w:val="zh-CN"/>
              </w:rPr>
              <w:t>★支持创建客户端专题，并套用平台自带的专题模板进行专题栏目和专题页面发布；</w:t>
            </w:r>
            <w:r>
              <w:rPr>
                <w:rFonts w:hint="eastAsia" w:cs="仿宋_GB2312" w:asciiTheme="minorEastAsia" w:hAnsiTheme="minorEastAsia"/>
                <w:sz w:val="21"/>
                <w:szCs w:val="21"/>
                <w:lang w:val="zh-CN"/>
              </w:rPr>
              <w:br w:type="textWrapping"/>
            </w:r>
            <w:r>
              <w:rPr>
                <w:rFonts w:hint="eastAsia" w:cs="仿宋_GB2312" w:asciiTheme="minorEastAsia" w:hAnsiTheme="minorEastAsia"/>
                <w:sz w:val="21"/>
                <w:szCs w:val="21"/>
                <w:lang w:val="zh-CN"/>
              </w:rPr>
              <w:t xml:space="preserve">    ★支持报社H5数字报版面嵌入并发布；</w:t>
            </w:r>
            <w:r>
              <w:rPr>
                <w:rFonts w:hint="eastAsia" w:cs="仿宋_GB2312" w:asciiTheme="minorEastAsia" w:hAnsiTheme="minorEastAsia"/>
                <w:sz w:val="21"/>
                <w:szCs w:val="21"/>
                <w:lang w:val="zh-CN"/>
              </w:rPr>
              <w:br w:type="textWrapping"/>
            </w:r>
            <w:r>
              <w:rPr>
                <w:rFonts w:hint="eastAsia" w:cs="仿宋_GB2312" w:asciiTheme="minorEastAsia" w:hAnsiTheme="minorEastAsia"/>
                <w:sz w:val="21"/>
                <w:szCs w:val="21"/>
                <w:lang w:val="zh-CN"/>
              </w:rPr>
              <w:t xml:space="preserve">    ★支持开屏广告发布；</w:t>
            </w:r>
            <w:r>
              <w:rPr>
                <w:rFonts w:hint="eastAsia" w:cs="仿宋_GB2312" w:asciiTheme="minorEastAsia" w:hAnsiTheme="minorEastAsia"/>
                <w:sz w:val="21"/>
                <w:szCs w:val="21"/>
                <w:lang w:val="zh-CN"/>
              </w:rPr>
              <w:br w:type="textWrapping"/>
            </w:r>
            <w:r>
              <w:rPr>
                <w:rFonts w:hint="eastAsia" w:cs="仿宋_GB2312" w:asciiTheme="minorEastAsia" w:hAnsiTheme="minorEastAsia"/>
                <w:sz w:val="21"/>
                <w:szCs w:val="21"/>
                <w:lang w:val="zh-CN"/>
              </w:rPr>
              <w:t xml:space="preserve">    ★支持读者注册及用户信息收集；</w:t>
            </w:r>
            <w:r>
              <w:rPr>
                <w:rFonts w:hint="eastAsia" w:cs="仿宋_GB2312" w:asciiTheme="minorEastAsia" w:hAnsiTheme="minorEastAsia"/>
                <w:sz w:val="21"/>
                <w:szCs w:val="21"/>
                <w:lang w:val="zh-CN"/>
              </w:rPr>
              <w:br w:type="textWrapping"/>
            </w:r>
            <w:r>
              <w:rPr>
                <w:rFonts w:hint="eastAsia" w:cs="仿宋_GB2312" w:asciiTheme="minorEastAsia" w:hAnsiTheme="minorEastAsia"/>
                <w:sz w:val="21"/>
                <w:szCs w:val="21"/>
                <w:lang w:val="zh-CN"/>
              </w:rPr>
              <w:t xml:space="preserve">    支持新闻阅读评论收集；</w:t>
            </w:r>
          </w:p>
          <w:p>
            <w:pPr>
              <w:spacing w:line="360" w:lineRule="auto"/>
              <w:ind w:firstLine="420" w:firstLineChars="200"/>
              <w:contextualSpacing/>
              <w:rPr>
                <w:rFonts w:hint="eastAsia" w:cs="仿宋_GB2312" w:asciiTheme="minorEastAsia" w:hAnsiTheme="minorEastAsia"/>
                <w:sz w:val="21"/>
                <w:szCs w:val="21"/>
                <w:lang w:val="zh-CN"/>
              </w:rPr>
            </w:pPr>
            <w:r>
              <w:rPr>
                <w:rFonts w:hint="eastAsia" w:cs="仿宋_GB2312" w:asciiTheme="minorEastAsia" w:hAnsiTheme="minorEastAsia"/>
                <w:sz w:val="21"/>
                <w:szCs w:val="21"/>
                <w:lang w:val="zh-CN"/>
              </w:rPr>
              <w:t xml:space="preserve"> ★支持</w:t>
            </w:r>
            <w:r>
              <w:rPr>
                <w:rFonts w:hint="eastAsia" w:cs="仿宋_GB2312" w:asciiTheme="minorEastAsia" w:hAnsiTheme="minorEastAsia"/>
                <w:sz w:val="21"/>
                <w:szCs w:val="21"/>
                <w:lang w:val="zh-CN" w:eastAsia="zh-CN"/>
              </w:rPr>
              <w:t>收录、对接、集纳微信、微博等平台，由程序自行抓取及按需求由用户自行定制添加，在客户端发布模块按机构或功能进行分类显示</w:t>
            </w:r>
            <w:r>
              <w:rPr>
                <w:rFonts w:hint="eastAsia" w:cs="仿宋_GB2312" w:asciiTheme="minorEastAsia" w:hAnsiTheme="minorEastAsia"/>
                <w:sz w:val="21"/>
                <w:szCs w:val="21"/>
                <w:lang w:val="zh-CN"/>
              </w:rPr>
              <w:t>；</w:t>
            </w:r>
            <w:r>
              <w:rPr>
                <w:rFonts w:hint="eastAsia" w:cs="仿宋_GB2312" w:asciiTheme="minorEastAsia" w:hAnsiTheme="minorEastAsia"/>
                <w:sz w:val="21"/>
                <w:szCs w:val="21"/>
                <w:lang w:val="zh-CN"/>
              </w:rPr>
              <w:br w:type="textWrapping"/>
            </w:r>
            <w:r>
              <w:rPr>
                <w:rFonts w:hint="eastAsia" w:cs="仿宋_GB2312" w:asciiTheme="minorEastAsia" w:hAnsiTheme="minorEastAsia"/>
                <w:sz w:val="21"/>
                <w:szCs w:val="21"/>
                <w:lang w:val="zh-CN"/>
              </w:rPr>
              <w:t xml:space="preserve">    ★（默认提供ios和android前台页面各一套）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7" w:hRule="atLeast"/>
          <w:jc w:val="center"/>
        </w:trPr>
        <w:tc>
          <w:tcPr>
            <w:tcW w:w="8976" w:type="dxa"/>
            <w:shd w:val="clear" w:color="auto" w:fill="auto"/>
            <w:vAlign w:val="center"/>
          </w:tcPr>
          <w:p>
            <w:pPr>
              <w:spacing w:line="360" w:lineRule="auto"/>
              <w:ind w:firstLine="420" w:firstLineChars="200"/>
              <w:contextualSpacing/>
              <w:rPr>
                <w:rFonts w:hint="eastAsia" w:cs="仿宋_GB2312" w:asciiTheme="minorEastAsia" w:hAnsiTheme="minorEastAsia"/>
                <w:sz w:val="21"/>
                <w:szCs w:val="21"/>
                <w:lang w:val="zh-CN"/>
              </w:rPr>
            </w:pPr>
            <w:r>
              <w:rPr>
                <w:rFonts w:hint="eastAsia" w:cs="仿宋_GB2312" w:asciiTheme="minorEastAsia" w:hAnsiTheme="minorEastAsia"/>
                <w:sz w:val="21"/>
                <w:szCs w:val="21"/>
                <w:lang w:val="zh-CN"/>
              </w:rPr>
              <w:t>自媒体发稿模块（用于网站和客户端）</w:t>
            </w:r>
            <w:r>
              <w:rPr>
                <w:rFonts w:hint="eastAsia" w:cs="仿宋_GB2312" w:asciiTheme="minorEastAsia" w:hAnsiTheme="minorEastAsia"/>
                <w:sz w:val="21"/>
                <w:szCs w:val="21"/>
                <w:lang w:val="zh-CN"/>
              </w:rPr>
              <w:br w:type="textWrapping"/>
            </w:r>
            <w:r>
              <w:rPr>
                <w:rFonts w:hint="eastAsia" w:cs="仿宋_GB2312" w:asciiTheme="minorEastAsia" w:hAnsiTheme="minorEastAsia"/>
                <w:sz w:val="21"/>
                <w:szCs w:val="21"/>
                <w:lang w:val="zh-CN"/>
              </w:rPr>
              <w:t xml:space="preserve">    支持个人自媒体、机构自媒体的注册；</w:t>
            </w:r>
            <w:r>
              <w:rPr>
                <w:rFonts w:hint="eastAsia" w:cs="仿宋_GB2312" w:asciiTheme="minorEastAsia" w:hAnsiTheme="minorEastAsia"/>
                <w:sz w:val="21"/>
                <w:szCs w:val="21"/>
                <w:lang w:val="zh-CN"/>
              </w:rPr>
              <w:br w:type="textWrapping"/>
            </w:r>
            <w:r>
              <w:rPr>
                <w:rFonts w:hint="eastAsia" w:cs="仿宋_GB2312" w:asciiTheme="minorEastAsia" w:hAnsiTheme="minorEastAsia"/>
                <w:sz w:val="21"/>
                <w:szCs w:val="21"/>
                <w:lang w:val="zh-CN"/>
              </w:rPr>
              <w:t xml:space="preserve">    ★支持授权的个人自媒体、机构自媒体登入平台进行发稿；</w:t>
            </w:r>
            <w:r>
              <w:rPr>
                <w:rFonts w:hint="eastAsia" w:cs="仿宋_GB2312" w:asciiTheme="minorEastAsia" w:hAnsiTheme="minorEastAsia"/>
                <w:sz w:val="21"/>
                <w:szCs w:val="21"/>
                <w:lang w:val="zh-CN"/>
              </w:rPr>
              <w:br w:type="textWrapping"/>
            </w:r>
            <w:r>
              <w:rPr>
                <w:rFonts w:hint="eastAsia" w:cs="仿宋_GB2312" w:asciiTheme="minorEastAsia" w:hAnsiTheme="minorEastAsia"/>
                <w:sz w:val="21"/>
                <w:szCs w:val="21"/>
                <w:lang w:val="zh-CN"/>
              </w:rPr>
              <w:t xml:space="preserve">    支持自媒体账号管理个人已发和未发稿件；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8976" w:type="dxa"/>
            <w:shd w:val="clear" w:color="auto" w:fill="auto"/>
            <w:vAlign w:val="center"/>
          </w:tcPr>
          <w:p>
            <w:pPr>
              <w:spacing w:line="360" w:lineRule="auto"/>
              <w:ind w:firstLine="420" w:firstLineChars="200"/>
              <w:contextualSpacing/>
              <w:rPr>
                <w:rFonts w:hint="eastAsia" w:cs="仿宋_GB2312" w:asciiTheme="minorEastAsia" w:hAnsiTheme="minorEastAsia"/>
                <w:sz w:val="21"/>
                <w:szCs w:val="21"/>
                <w:lang w:val="zh-CN"/>
              </w:rPr>
            </w:pPr>
            <w:r>
              <w:rPr>
                <w:rFonts w:hint="eastAsia" w:cs="仿宋_GB2312" w:asciiTheme="minorEastAsia" w:hAnsiTheme="minorEastAsia"/>
                <w:sz w:val="21"/>
                <w:szCs w:val="21"/>
                <w:lang w:val="zh-CN"/>
              </w:rPr>
              <w:t>图片快编模块</w:t>
            </w:r>
            <w:r>
              <w:rPr>
                <w:rFonts w:hint="eastAsia" w:cs="仿宋_GB2312" w:asciiTheme="minorEastAsia" w:hAnsiTheme="minorEastAsia"/>
                <w:sz w:val="21"/>
                <w:szCs w:val="21"/>
                <w:lang w:val="zh-CN"/>
              </w:rPr>
              <w:br w:type="textWrapping"/>
            </w:r>
            <w:r>
              <w:rPr>
                <w:rFonts w:hint="eastAsia" w:cs="仿宋_GB2312" w:asciiTheme="minorEastAsia" w:hAnsiTheme="minorEastAsia"/>
                <w:sz w:val="21"/>
                <w:szCs w:val="21"/>
                <w:lang w:val="zh-CN"/>
              </w:rPr>
              <w:t xml:space="preserve">    ★支持对平台内已上传的图片素材进行裁图、旋转角度、彩图转灰图、加水印；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8976" w:type="dxa"/>
            <w:shd w:val="clear" w:color="auto" w:fill="auto"/>
            <w:vAlign w:val="center"/>
          </w:tcPr>
          <w:p>
            <w:pPr>
              <w:spacing w:line="360" w:lineRule="auto"/>
              <w:ind w:firstLine="420" w:firstLineChars="200"/>
              <w:contextualSpacing/>
              <w:rPr>
                <w:rFonts w:hint="eastAsia" w:cs="仿宋_GB2312" w:asciiTheme="minorEastAsia" w:hAnsiTheme="minorEastAsia"/>
                <w:sz w:val="21"/>
                <w:szCs w:val="21"/>
                <w:lang w:val="zh-CN"/>
              </w:rPr>
            </w:pPr>
            <w:r>
              <w:rPr>
                <w:rFonts w:hint="eastAsia" w:cs="仿宋_GB2312" w:asciiTheme="minorEastAsia" w:hAnsiTheme="minorEastAsia"/>
                <w:sz w:val="21"/>
                <w:szCs w:val="21"/>
                <w:lang w:val="zh-CN"/>
              </w:rPr>
              <w:t>信息检索模块</w:t>
            </w:r>
            <w:r>
              <w:rPr>
                <w:rFonts w:hint="eastAsia" w:cs="仿宋_GB2312" w:asciiTheme="minorEastAsia" w:hAnsiTheme="minorEastAsia"/>
                <w:sz w:val="21"/>
                <w:szCs w:val="21"/>
                <w:lang w:val="zh-CN"/>
              </w:rPr>
              <w:br w:type="textWrapping"/>
            </w:r>
            <w:r>
              <w:rPr>
                <w:rFonts w:hint="eastAsia" w:cs="仿宋_GB2312" w:asciiTheme="minorEastAsia" w:hAnsiTheme="minorEastAsia"/>
                <w:sz w:val="21"/>
                <w:szCs w:val="21"/>
                <w:lang w:val="zh-CN"/>
              </w:rPr>
              <w:t xml:space="preserve">    支持对关键词、ID、类型、签发日期进行组合筛选；</w:t>
            </w:r>
            <w:r>
              <w:rPr>
                <w:rFonts w:hint="eastAsia" w:cs="仿宋_GB2312" w:asciiTheme="minorEastAsia" w:hAnsiTheme="minorEastAsia"/>
                <w:sz w:val="21"/>
                <w:szCs w:val="21"/>
                <w:lang w:val="zh-CN"/>
              </w:rPr>
              <w:br w:type="textWrapping"/>
            </w:r>
            <w:r>
              <w:rPr>
                <w:rFonts w:hint="eastAsia" w:cs="仿宋_GB2312" w:asciiTheme="minorEastAsia" w:hAnsiTheme="minorEastAsia"/>
                <w:sz w:val="21"/>
                <w:szCs w:val="21"/>
                <w:lang w:val="zh-CN"/>
              </w:rPr>
              <w:t xml:space="preserve">    支持直接输入关键词进行平台查找；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8976" w:type="dxa"/>
            <w:shd w:val="clear" w:color="auto" w:fill="auto"/>
            <w:vAlign w:val="center"/>
          </w:tcPr>
          <w:p>
            <w:pPr>
              <w:spacing w:line="360" w:lineRule="auto"/>
              <w:ind w:firstLine="420" w:firstLineChars="200"/>
              <w:contextualSpacing/>
              <w:rPr>
                <w:rFonts w:hint="eastAsia" w:cs="仿宋_GB2312" w:asciiTheme="minorEastAsia" w:hAnsiTheme="minorEastAsia"/>
                <w:sz w:val="21"/>
                <w:szCs w:val="21"/>
                <w:lang w:val="zh-CN"/>
              </w:rPr>
            </w:pPr>
            <w:r>
              <w:rPr>
                <w:rFonts w:hint="eastAsia" w:cs="仿宋_GB2312" w:asciiTheme="minorEastAsia" w:hAnsiTheme="minorEastAsia"/>
                <w:sz w:val="21"/>
                <w:szCs w:val="21"/>
                <w:lang w:val="zh-CN"/>
              </w:rPr>
              <w:t>回收站模块</w:t>
            </w:r>
            <w:r>
              <w:rPr>
                <w:rFonts w:hint="eastAsia" w:cs="仿宋_GB2312" w:asciiTheme="minorEastAsia" w:hAnsiTheme="minorEastAsia"/>
                <w:sz w:val="21"/>
                <w:szCs w:val="21"/>
                <w:lang w:val="zh-CN"/>
              </w:rPr>
              <w:br w:type="textWrapping"/>
            </w:r>
            <w:r>
              <w:rPr>
                <w:rFonts w:hint="eastAsia" w:cs="仿宋_GB2312" w:asciiTheme="minorEastAsia" w:hAnsiTheme="minorEastAsia"/>
                <w:sz w:val="21"/>
                <w:szCs w:val="21"/>
                <w:lang w:val="zh-CN"/>
              </w:rPr>
              <w:t xml:space="preserve">    ★所有网站栏目、客户端栏目删除的稿件在回收站内集中存储；</w:t>
            </w:r>
            <w:r>
              <w:rPr>
                <w:rFonts w:hint="eastAsia" w:cs="仿宋_GB2312" w:asciiTheme="minorEastAsia" w:hAnsiTheme="minorEastAsia"/>
                <w:sz w:val="21"/>
                <w:szCs w:val="21"/>
                <w:lang w:val="zh-CN"/>
              </w:rPr>
              <w:br w:type="textWrapping"/>
            </w:r>
            <w:r>
              <w:rPr>
                <w:rFonts w:hint="eastAsia" w:cs="仿宋_GB2312" w:asciiTheme="minorEastAsia" w:hAnsiTheme="minorEastAsia"/>
                <w:sz w:val="21"/>
                <w:szCs w:val="21"/>
                <w:lang w:val="zh-CN"/>
              </w:rPr>
              <w:t xml:space="preserve">    支持将回收站的稿件重新选用到网站栏目或客户端栏目；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0" w:hRule="atLeast"/>
          <w:jc w:val="center"/>
        </w:trPr>
        <w:tc>
          <w:tcPr>
            <w:tcW w:w="8976" w:type="dxa"/>
            <w:shd w:val="clear" w:color="auto" w:fill="auto"/>
            <w:vAlign w:val="center"/>
          </w:tcPr>
          <w:p>
            <w:pPr>
              <w:spacing w:line="360" w:lineRule="auto"/>
              <w:ind w:firstLine="420" w:firstLineChars="200"/>
              <w:contextualSpacing/>
              <w:rPr>
                <w:rFonts w:hint="eastAsia" w:cs="仿宋_GB2312" w:asciiTheme="minorEastAsia" w:hAnsiTheme="minorEastAsia"/>
                <w:sz w:val="21"/>
                <w:szCs w:val="21"/>
                <w:lang w:val="zh-CN"/>
              </w:rPr>
            </w:pPr>
            <w:r>
              <w:rPr>
                <w:rFonts w:hint="eastAsia" w:cs="仿宋_GB2312" w:asciiTheme="minorEastAsia" w:hAnsiTheme="minorEastAsia"/>
                <w:sz w:val="21"/>
                <w:szCs w:val="21"/>
                <w:lang w:val="zh-CN"/>
              </w:rPr>
              <w:t>会员管理模块--用于APP</w:t>
            </w:r>
            <w:r>
              <w:rPr>
                <w:rFonts w:hint="eastAsia" w:cs="仿宋_GB2312" w:asciiTheme="minorEastAsia" w:hAnsiTheme="minorEastAsia"/>
                <w:sz w:val="21"/>
                <w:szCs w:val="21"/>
                <w:lang w:val="zh-CN"/>
              </w:rPr>
              <w:br w:type="textWrapping"/>
            </w:r>
            <w:r>
              <w:rPr>
                <w:rFonts w:hint="eastAsia" w:cs="仿宋_GB2312" w:asciiTheme="minorEastAsia" w:hAnsiTheme="minorEastAsia"/>
                <w:sz w:val="21"/>
                <w:szCs w:val="21"/>
                <w:lang w:val="zh-CN"/>
              </w:rPr>
              <w:t xml:space="preserve">    ★支持查看客户端内的注册用户ID号、会员状态、会员昵称、手机号、邮箱、注册时间、最后登录时间、最后访问IP、操作处理的查看及导出；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8976" w:type="dxa"/>
            <w:shd w:val="clear" w:color="auto" w:fill="auto"/>
            <w:vAlign w:val="center"/>
          </w:tcPr>
          <w:p>
            <w:pPr>
              <w:spacing w:line="360" w:lineRule="auto"/>
              <w:ind w:firstLine="420" w:firstLineChars="200"/>
              <w:contextualSpacing/>
              <w:rPr>
                <w:rFonts w:hint="eastAsia" w:cs="仿宋_GB2312" w:asciiTheme="minorEastAsia" w:hAnsiTheme="minorEastAsia"/>
                <w:sz w:val="21"/>
                <w:szCs w:val="21"/>
                <w:lang w:val="zh-CN"/>
              </w:rPr>
            </w:pPr>
            <w:r>
              <w:rPr>
                <w:rFonts w:hint="eastAsia" w:cs="仿宋_GB2312" w:asciiTheme="minorEastAsia" w:hAnsiTheme="minorEastAsia"/>
                <w:sz w:val="21"/>
                <w:szCs w:val="21"/>
                <w:lang w:val="zh-CN"/>
              </w:rPr>
              <w:t>用户视频上传模块</w:t>
            </w:r>
          </w:p>
          <w:p>
            <w:pPr>
              <w:spacing w:line="360" w:lineRule="auto"/>
              <w:ind w:firstLine="420" w:firstLineChars="200"/>
              <w:contextualSpacing/>
              <w:rPr>
                <w:rFonts w:hint="eastAsia" w:cs="仿宋_GB2312" w:asciiTheme="minorEastAsia" w:hAnsiTheme="minorEastAsia"/>
                <w:sz w:val="21"/>
                <w:szCs w:val="21"/>
                <w:lang w:val="zh-CN" w:eastAsia="zh-CN"/>
              </w:rPr>
            </w:pPr>
            <w:r>
              <w:rPr>
                <w:rFonts w:hint="eastAsia" w:cs="仿宋_GB2312" w:asciiTheme="minorEastAsia" w:hAnsiTheme="minorEastAsia"/>
                <w:sz w:val="21"/>
                <w:szCs w:val="21"/>
                <w:lang w:val="zh-CN"/>
              </w:rPr>
              <w:t>★支持注册用户自拍小视频功能，用户可以自行管理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 w:hRule="atLeast"/>
          <w:jc w:val="center"/>
        </w:trPr>
        <w:tc>
          <w:tcPr>
            <w:tcW w:w="8976" w:type="dxa"/>
            <w:shd w:val="clear" w:color="auto" w:fill="auto"/>
            <w:vAlign w:val="center"/>
          </w:tcPr>
          <w:p>
            <w:pPr>
              <w:spacing w:line="360" w:lineRule="auto"/>
              <w:ind w:firstLine="420" w:firstLineChars="200"/>
              <w:contextualSpacing/>
              <w:rPr>
                <w:rFonts w:hint="eastAsia" w:cs="仿宋_GB2312" w:asciiTheme="minorEastAsia" w:hAnsiTheme="minorEastAsia"/>
                <w:sz w:val="21"/>
                <w:szCs w:val="21"/>
                <w:lang w:val="zh-CN" w:eastAsia="zh-CN"/>
              </w:rPr>
            </w:pPr>
            <w:r>
              <w:rPr>
                <w:rFonts w:hint="eastAsia" w:cs="仿宋_GB2312" w:asciiTheme="minorEastAsia" w:hAnsiTheme="minorEastAsia"/>
                <w:sz w:val="21"/>
                <w:szCs w:val="21"/>
                <w:lang w:val="zh-CN" w:eastAsia="zh-CN"/>
              </w:rPr>
              <w:t>系统对接模块</w:t>
            </w:r>
          </w:p>
          <w:p>
            <w:pPr>
              <w:spacing w:line="360" w:lineRule="auto"/>
              <w:ind w:firstLine="420" w:firstLineChars="200"/>
              <w:contextualSpacing/>
              <w:rPr>
                <w:rFonts w:hint="eastAsia" w:cs="仿宋_GB2312" w:asciiTheme="minorEastAsia" w:hAnsiTheme="minorEastAsia"/>
                <w:sz w:val="21"/>
                <w:szCs w:val="21"/>
                <w:lang w:val="zh-CN"/>
              </w:rPr>
            </w:pPr>
            <w:r>
              <w:rPr>
                <w:rFonts w:hint="eastAsia" w:cs="仿宋_GB2312" w:asciiTheme="minorEastAsia" w:hAnsiTheme="minorEastAsia"/>
                <w:sz w:val="21"/>
                <w:szCs w:val="21"/>
                <w:lang w:val="zh-CN"/>
              </w:rPr>
              <w:t>★要求</w:t>
            </w:r>
            <w:r>
              <w:rPr>
                <w:rFonts w:hint="eastAsia" w:cs="仿宋_GB2312" w:asciiTheme="minorEastAsia" w:hAnsiTheme="minorEastAsia"/>
                <w:sz w:val="21"/>
                <w:szCs w:val="21"/>
                <w:lang w:val="zh-CN" w:eastAsia="zh-CN"/>
              </w:rPr>
              <w:t>许昌发布</w:t>
            </w:r>
            <w:r>
              <w:rPr>
                <w:rFonts w:hint="eastAsia" w:cs="仿宋_GB2312" w:asciiTheme="minorEastAsia" w:hAnsiTheme="minorEastAsia"/>
                <w:sz w:val="21"/>
                <w:szCs w:val="21"/>
                <w:lang w:val="zh-CN"/>
              </w:rPr>
              <w:t>提供标准接口，与报社原有报纸生产系统（采编或排版）以及网站、新媒体端后台系统对接，以实现全社资源的统一存储与管理，支撑传统媒体和新媒体的选稿、用稿，解决目前社内各端分散管理的现状，实现内容互通互用，提高编辑人员的工作效能，发挥内容资源的价值。</w:t>
            </w:r>
          </w:p>
          <w:p>
            <w:pPr>
              <w:spacing w:line="360" w:lineRule="auto"/>
              <w:ind w:firstLine="420" w:firstLineChars="200"/>
              <w:contextualSpacing/>
              <w:rPr>
                <w:rFonts w:hint="eastAsia" w:cs="仿宋_GB2312" w:asciiTheme="minorEastAsia" w:hAnsiTheme="minorEastAsia"/>
                <w:sz w:val="21"/>
                <w:szCs w:val="21"/>
                <w:lang w:val="zh-CN"/>
              </w:rPr>
            </w:pPr>
            <w:r>
              <w:rPr>
                <w:rFonts w:hint="eastAsia" w:cs="仿宋_GB2312" w:asciiTheme="minorEastAsia" w:hAnsiTheme="minorEastAsia"/>
                <w:sz w:val="21"/>
                <w:szCs w:val="21"/>
                <w:lang w:val="zh-CN"/>
              </w:rPr>
              <w:t>★投标人须承担提供接口开发、接口联调和测试责任，无需承担任意第三方协调沟通与开发费用。</w:t>
            </w:r>
          </w:p>
        </w:tc>
      </w:tr>
    </w:tbl>
    <w:p>
      <w:pPr>
        <w:spacing w:line="360" w:lineRule="auto"/>
        <w:ind w:firstLine="482" w:firstLineChars="200"/>
        <w:contextualSpacing/>
        <w:rPr>
          <w:rFonts w:hint="eastAsia" w:asciiTheme="minorEastAsia" w:hAnsiTheme="minorEastAsia" w:eastAsiaTheme="minorEastAsia" w:cstheme="minorEastAsia"/>
          <w:b/>
          <w:bCs/>
          <w:sz w:val="24"/>
          <w:szCs w:val="24"/>
          <w:lang w:val="en-US" w:eastAsia="zh-CN"/>
        </w:rPr>
      </w:pPr>
    </w:p>
    <w:p>
      <w:pPr>
        <w:spacing w:line="360" w:lineRule="auto"/>
        <w:ind w:firstLine="482" w:firstLineChars="200"/>
        <w:contextualSpacing/>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（三）售后维保服务</w:t>
      </w:r>
      <w:bookmarkEnd w:id="73"/>
    </w:p>
    <w:p>
      <w:pPr>
        <w:spacing w:line="360" w:lineRule="auto"/>
        <w:ind w:firstLine="480" w:firstLineChars="200"/>
        <w:contextualSpacing/>
        <w:rPr>
          <w:rFonts w:hint="eastAsia" w:asciiTheme="minorEastAsia" w:hAnsiTheme="minorEastAsia" w:eastAsiaTheme="minorEastAsia" w:cstheme="minorEastAsia"/>
          <w:sz w:val="24"/>
          <w:szCs w:val="24"/>
          <w:lang w:val="en-US" w:eastAsia="zh-CN"/>
        </w:rPr>
      </w:pPr>
      <w:bookmarkStart w:id="158" w:name="_Toc520806669"/>
      <w:r>
        <w:rPr>
          <w:rFonts w:hint="eastAsia" w:asciiTheme="minorEastAsia" w:hAnsiTheme="minorEastAsia" w:eastAsiaTheme="minorEastAsia" w:cstheme="minorEastAsia"/>
          <w:sz w:val="24"/>
          <w:szCs w:val="24"/>
          <w:lang w:val="en-US" w:eastAsia="zh-CN"/>
        </w:rPr>
        <w:t>1、卖方须承诺向买方提供如下技术资料：</w:t>
      </w:r>
      <w:bookmarkEnd w:id="158"/>
    </w:p>
    <w:p>
      <w:pPr>
        <w:spacing w:line="360" w:lineRule="auto"/>
        <w:ind w:firstLine="480" w:firstLineChars="200"/>
        <w:contextualSpacing/>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 提供系统使用说明书；</w:t>
      </w:r>
    </w:p>
    <w:p>
      <w:pPr>
        <w:spacing w:line="360" w:lineRule="auto"/>
        <w:ind w:firstLine="480" w:firstLineChars="200"/>
        <w:contextualSpacing/>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 提供系统的架构设计图；</w:t>
      </w:r>
    </w:p>
    <w:p>
      <w:pPr>
        <w:spacing w:line="360" w:lineRule="auto"/>
        <w:ind w:firstLine="480" w:firstLineChars="200"/>
        <w:contextualSpacing/>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 其它相关技术资料。</w:t>
      </w:r>
    </w:p>
    <w:p>
      <w:pPr>
        <w:spacing w:line="360" w:lineRule="auto"/>
        <w:ind w:firstLine="480" w:firstLineChars="200"/>
        <w:contextualSpacing/>
        <w:rPr>
          <w:rFonts w:hint="eastAsia" w:asciiTheme="minorEastAsia" w:hAnsiTheme="minorEastAsia" w:eastAsiaTheme="minorEastAsia" w:cstheme="minorEastAsia"/>
          <w:sz w:val="24"/>
          <w:szCs w:val="24"/>
          <w:lang w:val="en-US" w:eastAsia="zh-CN"/>
        </w:rPr>
      </w:pPr>
      <w:bookmarkStart w:id="159" w:name="_Toc520806670"/>
      <w:r>
        <w:rPr>
          <w:rFonts w:hint="eastAsia" w:asciiTheme="minorEastAsia" w:hAnsiTheme="minorEastAsia" w:eastAsiaTheme="minorEastAsia" w:cstheme="minorEastAsia"/>
          <w:sz w:val="24"/>
          <w:szCs w:val="24"/>
          <w:lang w:val="en-US" w:eastAsia="zh-CN"/>
        </w:rPr>
        <w:t>2、验收：</w:t>
      </w:r>
      <w:bookmarkEnd w:id="159"/>
    </w:p>
    <w:p>
      <w:pPr>
        <w:spacing w:line="360" w:lineRule="auto"/>
        <w:ind w:firstLine="480" w:firstLineChars="200"/>
        <w:contextualSpacing/>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验收标准以招标文件技术参数及要求和相关行业标准为准。</w:t>
      </w:r>
    </w:p>
    <w:p>
      <w:pPr>
        <w:spacing w:line="360" w:lineRule="auto"/>
        <w:ind w:firstLine="480" w:firstLineChars="200"/>
        <w:contextualSpacing/>
        <w:rPr>
          <w:rFonts w:hint="eastAsia" w:asciiTheme="minorEastAsia" w:hAnsiTheme="minorEastAsia" w:eastAsiaTheme="minorEastAsia" w:cstheme="minorEastAsia"/>
          <w:sz w:val="24"/>
          <w:szCs w:val="24"/>
          <w:lang w:val="en-US" w:eastAsia="zh-CN"/>
        </w:rPr>
      </w:pPr>
      <w:bookmarkStart w:id="160" w:name="_Toc520806671"/>
      <w:r>
        <w:rPr>
          <w:rFonts w:hint="eastAsia" w:asciiTheme="minorEastAsia" w:hAnsiTheme="minorEastAsia" w:eastAsiaTheme="minorEastAsia" w:cstheme="minorEastAsia"/>
          <w:sz w:val="24"/>
          <w:szCs w:val="24"/>
          <w:lang w:val="en-US" w:eastAsia="zh-CN"/>
        </w:rPr>
        <w:t>3、履约地点：</w:t>
      </w:r>
      <w:bookmarkEnd w:id="160"/>
    </w:p>
    <w:p>
      <w:pPr>
        <w:spacing w:line="360" w:lineRule="auto"/>
        <w:ind w:firstLine="480" w:firstLineChars="200"/>
        <w:contextualSpacing/>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许昌日报传媒集团。</w:t>
      </w:r>
    </w:p>
    <w:p>
      <w:pPr>
        <w:spacing w:line="360" w:lineRule="auto"/>
        <w:ind w:firstLine="480" w:firstLineChars="200"/>
        <w:contextualSpacing/>
        <w:rPr>
          <w:rFonts w:hint="eastAsia" w:asciiTheme="minorEastAsia" w:hAnsiTheme="minorEastAsia" w:eastAsiaTheme="minorEastAsia" w:cstheme="minorEastAsia"/>
          <w:sz w:val="24"/>
          <w:szCs w:val="24"/>
          <w:lang w:val="en-US" w:eastAsia="zh-CN"/>
        </w:rPr>
      </w:pPr>
      <w:bookmarkStart w:id="161" w:name="_Toc520806672"/>
      <w:r>
        <w:rPr>
          <w:rFonts w:hint="eastAsia" w:asciiTheme="minorEastAsia" w:hAnsiTheme="minorEastAsia" w:eastAsiaTheme="minorEastAsia" w:cstheme="minorEastAsia"/>
          <w:sz w:val="24"/>
          <w:szCs w:val="24"/>
          <w:lang w:val="en-US" w:eastAsia="zh-CN"/>
        </w:rPr>
        <w:t>4、培训方式：</w:t>
      </w:r>
      <w:bookmarkEnd w:id="161"/>
    </w:p>
    <w:p>
      <w:pPr>
        <w:spacing w:line="360" w:lineRule="auto"/>
        <w:ind w:firstLine="480" w:firstLineChars="200"/>
        <w:contextualSpacing/>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免费培训，具体培训日期和时间长短由双方商议决定。</w:t>
      </w:r>
    </w:p>
    <w:p>
      <w:pPr>
        <w:spacing w:line="360" w:lineRule="auto"/>
        <w:ind w:firstLine="480" w:firstLineChars="200"/>
        <w:contextualSpacing/>
        <w:rPr>
          <w:rFonts w:hint="eastAsia" w:asciiTheme="minorEastAsia" w:hAnsiTheme="minorEastAsia" w:eastAsiaTheme="minorEastAsia" w:cstheme="minorEastAsia"/>
          <w:sz w:val="24"/>
          <w:szCs w:val="24"/>
          <w:lang w:val="en-US" w:eastAsia="zh-CN"/>
        </w:rPr>
      </w:pPr>
      <w:bookmarkStart w:id="162" w:name="_Toc520806673"/>
      <w:r>
        <w:rPr>
          <w:rFonts w:hint="eastAsia" w:asciiTheme="minorEastAsia" w:hAnsiTheme="minorEastAsia" w:eastAsiaTheme="minorEastAsia" w:cstheme="minorEastAsia"/>
          <w:sz w:val="24"/>
          <w:szCs w:val="24"/>
          <w:lang w:val="en-US" w:eastAsia="zh-CN"/>
        </w:rPr>
        <w:t>5、项目</w:t>
      </w:r>
      <w:bookmarkEnd w:id="162"/>
      <w:r>
        <w:rPr>
          <w:rFonts w:hint="eastAsia" w:asciiTheme="minorEastAsia" w:hAnsiTheme="minorEastAsia" w:eastAsiaTheme="minorEastAsia" w:cstheme="minorEastAsia"/>
          <w:sz w:val="24"/>
          <w:szCs w:val="24"/>
          <w:lang w:val="en-US" w:eastAsia="zh-CN"/>
        </w:rPr>
        <w:t>工期</w:t>
      </w:r>
    </w:p>
    <w:p>
      <w:pPr>
        <w:spacing w:line="360" w:lineRule="auto"/>
        <w:ind w:firstLine="480" w:firstLineChars="200"/>
        <w:contextualSpacing/>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中标单位必须在合同签订 20个工作日内完成项目工作。</w:t>
      </w:r>
    </w:p>
    <w:p>
      <w:pPr>
        <w:spacing w:line="360" w:lineRule="auto"/>
        <w:ind w:firstLine="480" w:firstLineChars="200"/>
        <w:contextualSpacing/>
        <w:rPr>
          <w:rFonts w:hint="eastAsia" w:asciiTheme="minorEastAsia" w:hAnsiTheme="minorEastAsia" w:eastAsiaTheme="minorEastAsia" w:cstheme="minorEastAsia"/>
          <w:sz w:val="24"/>
          <w:szCs w:val="24"/>
          <w:lang w:val="en-US" w:eastAsia="zh-CN"/>
        </w:rPr>
      </w:pPr>
      <w:bookmarkStart w:id="163" w:name="_Toc520806674"/>
      <w:r>
        <w:rPr>
          <w:rFonts w:hint="eastAsia" w:asciiTheme="minorEastAsia" w:hAnsiTheme="minorEastAsia" w:eastAsiaTheme="minorEastAsia" w:cstheme="minorEastAsia"/>
          <w:sz w:val="24"/>
          <w:szCs w:val="24"/>
          <w:lang w:val="en-US" w:eastAsia="zh-CN"/>
        </w:rPr>
        <w:t>6、运维及服务要求：</w:t>
      </w:r>
      <w:bookmarkEnd w:id="163"/>
    </w:p>
    <w:p>
      <w:pPr>
        <w:spacing w:line="360" w:lineRule="auto"/>
        <w:ind w:firstLine="480" w:firstLineChars="200"/>
        <w:contextualSpacing/>
        <w:rPr>
          <w:rFonts w:hint="eastAsia" w:ascii="宋体" w:hAnsi="宋体"/>
          <w:lang w:val="zh-CN"/>
        </w:rPr>
      </w:pPr>
      <w:r>
        <w:rPr>
          <w:rFonts w:hint="eastAsia" w:ascii="宋体" w:hAnsi="宋体"/>
          <w:lang w:val="zh-CN"/>
        </w:rPr>
        <w:t>6.1总体要求：供应商需具备完整的运维支撑能力，熟悉媒体运行情况，要有为媒体服务的经验，可以提供专业的技术支持。投标人需要在合同周期内为招标人提供不少于1年的全面质保服务，包括高效的软件系统、数据及云平台的运营维护保障服务和完整的保障措施。</w:t>
      </w:r>
    </w:p>
    <w:p>
      <w:pPr>
        <w:spacing w:line="360" w:lineRule="auto"/>
        <w:ind w:firstLine="480" w:firstLineChars="200"/>
        <w:contextualSpacing/>
        <w:rPr>
          <w:rFonts w:hint="eastAsia" w:ascii="宋体" w:hAnsi="宋体"/>
          <w:lang w:val="zh-CN"/>
        </w:rPr>
      </w:pPr>
      <w:r>
        <w:rPr>
          <w:rFonts w:hint="eastAsia" w:ascii="宋体" w:hAnsi="宋体"/>
          <w:lang w:val="zh-CN"/>
        </w:rPr>
        <w:t>6.2为项目配备专业团队，提供7×24小时技术保障能力，对于线上无法解决的问题，可到现场支持。</w:t>
      </w:r>
    </w:p>
    <w:p>
      <w:pPr>
        <w:spacing w:line="360" w:lineRule="auto"/>
        <w:ind w:firstLine="480" w:firstLineChars="200"/>
        <w:contextualSpacing/>
        <w:rPr>
          <w:rFonts w:hint="eastAsia" w:cs="宋体" w:asciiTheme="minorEastAsia" w:hAnsiTheme="minorEastAsia"/>
          <w:b/>
          <w:color w:val="000000"/>
          <w:kern w:val="0"/>
          <w:szCs w:val="24"/>
          <w:lang w:val="zh-CN"/>
        </w:rPr>
      </w:pPr>
      <w:r>
        <w:rPr>
          <w:rFonts w:hint="eastAsia" w:ascii="宋体" w:hAnsi="宋体"/>
          <w:lang w:val="zh-CN"/>
        </w:rPr>
        <w:t>6.3若投标单位为非业务系统原厂商，则投标单位需按照要求取得业务系统原厂商关于本项目的授权文件</w:t>
      </w:r>
      <w:r>
        <w:rPr>
          <w:rFonts w:hint="eastAsia" w:asciiTheme="minorEastAsia" w:hAnsiTheme="minorEastAsia" w:eastAsiaTheme="minorEastAsia" w:cstheme="minorEastAsia"/>
          <w:sz w:val="24"/>
          <w:szCs w:val="24"/>
          <w:lang w:val="zh-CN"/>
        </w:rPr>
        <w:t>。</w:t>
      </w:r>
    </w:p>
    <w:p>
      <w:pPr>
        <w:spacing w:line="360" w:lineRule="auto"/>
        <w:ind w:firstLine="482" w:firstLineChars="200"/>
        <w:contextualSpacing/>
        <w:rPr>
          <w:rFonts w:cs="宋体" w:asciiTheme="minorEastAsia" w:hAnsiTheme="minorEastAsia"/>
          <w:b/>
          <w:color w:val="000000"/>
          <w:kern w:val="0"/>
          <w:szCs w:val="24"/>
          <w:lang w:val="zh-CN"/>
        </w:rPr>
      </w:pPr>
      <w:r>
        <w:rPr>
          <w:rFonts w:hint="eastAsia" w:cs="宋体" w:asciiTheme="minorEastAsia" w:hAnsiTheme="minorEastAsia"/>
          <w:b/>
          <w:color w:val="000000"/>
          <w:kern w:val="0"/>
          <w:szCs w:val="24"/>
          <w:lang w:val="en-US" w:eastAsia="zh-CN"/>
        </w:rPr>
        <w:t>二</w:t>
      </w:r>
      <w:r>
        <w:rPr>
          <w:rFonts w:hint="eastAsia" w:cs="宋体" w:asciiTheme="minorEastAsia" w:hAnsiTheme="minorEastAsia"/>
          <w:b/>
          <w:color w:val="000000"/>
          <w:kern w:val="0"/>
          <w:szCs w:val="24"/>
          <w:lang w:val="zh-CN"/>
        </w:rPr>
        <w:t>、采购标的执行标准</w:t>
      </w:r>
    </w:p>
    <w:p>
      <w:pPr>
        <w:spacing w:line="360" w:lineRule="auto"/>
        <w:ind w:firstLine="480" w:firstLineChars="200"/>
        <w:contextualSpacing/>
        <w:rPr>
          <w:rFonts w:ascii="宋体" w:hAnsi="宋体"/>
          <w:lang w:val="zh-CN"/>
        </w:rPr>
      </w:pPr>
      <w:r>
        <w:rPr>
          <w:rFonts w:hint="eastAsia" w:ascii="宋体" w:hAnsi="宋体"/>
        </w:rPr>
        <w:t>1.</w:t>
      </w:r>
      <w:r>
        <w:rPr>
          <w:rFonts w:hint="eastAsia" w:ascii="宋体" w:hAnsi="宋体"/>
          <w:lang w:val="zh-CN"/>
        </w:rPr>
        <w:t>强制性产品认证</w:t>
      </w:r>
    </w:p>
    <w:p>
      <w:pPr>
        <w:spacing w:line="360" w:lineRule="auto"/>
        <w:ind w:firstLine="480" w:firstLineChars="200"/>
        <w:contextualSpacing/>
        <w:rPr>
          <w:rFonts w:ascii="宋体" w:hAnsi="宋体"/>
          <w:lang w:val="zh-CN"/>
        </w:rPr>
      </w:pPr>
      <w:r>
        <w:rPr>
          <w:rFonts w:hint="eastAsia" w:ascii="宋体" w:hAnsi="宋体"/>
          <w:lang w:val="zh-CN"/>
        </w:rPr>
        <w:t>如投标人所投产品属于“中国强制性产品认证”（3C认证）范围内,则必须承诺采用《中华人民共和国实施强制性产品认证的产品目录》并在有效期内的产品，应当在投标文件中提供“所投产品符合国家强制性要求承诺函”并加盖投标人公章，否则将承担其投标被视为非实质性响应投标的风险。</w:t>
      </w:r>
    </w:p>
    <w:p>
      <w:pPr>
        <w:spacing w:line="360" w:lineRule="auto"/>
        <w:ind w:firstLine="480" w:firstLineChars="200"/>
        <w:contextualSpacing/>
        <w:rPr>
          <w:rFonts w:ascii="宋体" w:hAnsi="宋体"/>
        </w:rPr>
      </w:pPr>
      <w:r>
        <w:rPr>
          <w:rFonts w:hint="eastAsia" w:ascii="宋体" w:hAnsi="宋体"/>
        </w:rPr>
        <w:t>2.技术标准，如果有国家标准必须执行国家标准，没有国家应当执行行业技术标准。定制非标产品应当符采购文件的技术功能要求。</w:t>
      </w:r>
    </w:p>
    <w:p>
      <w:pPr>
        <w:spacing w:line="360" w:lineRule="auto"/>
        <w:ind w:firstLine="482" w:firstLineChars="200"/>
        <w:contextualSpacing/>
        <w:rPr>
          <w:rFonts w:cs="宋体" w:asciiTheme="minorEastAsia" w:hAnsiTheme="minorEastAsia"/>
          <w:b/>
          <w:color w:val="000000"/>
          <w:kern w:val="0"/>
          <w:szCs w:val="24"/>
          <w:lang w:val="zh-CN"/>
        </w:rPr>
      </w:pPr>
      <w:r>
        <w:rPr>
          <w:rFonts w:hint="eastAsia" w:cs="宋体" w:asciiTheme="minorEastAsia" w:hAnsiTheme="minorEastAsia"/>
          <w:b/>
          <w:color w:val="000000"/>
          <w:kern w:val="0"/>
          <w:szCs w:val="24"/>
          <w:lang w:val="zh-CN"/>
        </w:rPr>
        <w:t>三、采购标的的其他技术、服务等要求</w:t>
      </w:r>
    </w:p>
    <w:p>
      <w:pPr>
        <w:spacing w:line="360" w:lineRule="auto"/>
        <w:ind w:firstLine="480" w:firstLineChars="200"/>
        <w:contextualSpacing/>
        <w:rPr>
          <w:rFonts w:ascii="宋体" w:hAnsi="宋体"/>
        </w:rPr>
      </w:pPr>
      <w:r>
        <w:rPr>
          <w:rFonts w:hint="eastAsia" w:ascii="宋体" w:hAnsi="宋体"/>
        </w:rPr>
        <w:t>1.设备必须符合国家质量检测标准和本招</w:t>
      </w:r>
      <w:r>
        <w:rPr>
          <w:rFonts w:ascii="宋体" w:hAnsi="宋体"/>
        </w:rPr>
        <w:t>标</w:t>
      </w:r>
      <w:r>
        <w:rPr>
          <w:rFonts w:hint="eastAsia" w:ascii="宋体" w:hAnsi="宋体"/>
        </w:rPr>
        <w:t>文件规定标准的全新正品现货，供货时随货物提供《产品合格证》及其它相关质量证明文件。</w:t>
      </w:r>
    </w:p>
    <w:p>
      <w:pPr>
        <w:spacing w:line="360" w:lineRule="auto"/>
        <w:ind w:firstLine="480" w:firstLineChars="200"/>
        <w:contextualSpacing/>
        <w:rPr>
          <w:rFonts w:ascii="宋体" w:hAnsi="宋体"/>
        </w:rPr>
      </w:pPr>
      <w:r>
        <w:rPr>
          <w:rFonts w:hint="eastAsia" w:ascii="宋体" w:hAnsi="宋体"/>
        </w:rPr>
        <w:t>2.专利权：供应商应保证用户在使用该货物或其任何一部分时不受第三方提出侵犯其专利权、商标权和工业设计权等起诉。</w:t>
      </w:r>
    </w:p>
    <w:p>
      <w:pPr>
        <w:spacing w:line="360" w:lineRule="auto"/>
        <w:ind w:firstLine="480" w:firstLineChars="200"/>
        <w:contextualSpacing/>
        <w:rPr>
          <w:rFonts w:ascii="宋体" w:hAnsi="宋体"/>
          <w:color w:val="auto"/>
        </w:rPr>
      </w:pPr>
      <w:r>
        <w:rPr>
          <w:rFonts w:hint="eastAsia" w:ascii="宋体" w:hAnsi="宋体"/>
          <w:color w:val="auto"/>
        </w:rPr>
        <w:t>3.本项目所有产品必须提供</w:t>
      </w:r>
      <w:r>
        <w:rPr>
          <w:rFonts w:hint="eastAsia" w:ascii="宋体" w:hAnsi="宋体"/>
          <w:b/>
          <w:bCs/>
          <w:color w:val="auto"/>
          <w:u w:val="single"/>
        </w:rPr>
        <w:t xml:space="preserve"> </w:t>
      </w:r>
      <w:r>
        <w:rPr>
          <w:rFonts w:hint="eastAsia" w:ascii="宋体" w:hAnsi="宋体"/>
          <w:b/>
          <w:bCs/>
          <w:color w:val="auto"/>
          <w:u w:val="single"/>
          <w:lang w:val="en-US" w:eastAsia="zh-CN"/>
        </w:rPr>
        <w:t>1</w:t>
      </w:r>
      <w:r>
        <w:rPr>
          <w:rFonts w:hint="eastAsia" w:ascii="宋体" w:hAnsi="宋体"/>
          <w:b/>
          <w:bCs/>
          <w:color w:val="auto"/>
          <w:u w:val="single"/>
        </w:rPr>
        <w:t xml:space="preserve"> </w:t>
      </w:r>
      <w:r>
        <w:rPr>
          <w:rFonts w:hint="eastAsia" w:ascii="宋体" w:hAnsi="宋体"/>
          <w:b/>
          <w:bCs/>
          <w:color w:val="auto"/>
        </w:rPr>
        <w:t>年质保</w:t>
      </w:r>
      <w:r>
        <w:rPr>
          <w:rFonts w:hint="eastAsia" w:ascii="宋体" w:hAnsi="宋体"/>
          <w:color w:val="auto"/>
        </w:rPr>
        <w:t>及售后服务。投标主要产品厂家需提供400等7*24小时电话服务；厂家须提供售中、售后全方位的技术支持。</w:t>
      </w:r>
    </w:p>
    <w:p>
      <w:pPr>
        <w:spacing w:line="360" w:lineRule="auto"/>
        <w:ind w:firstLine="480" w:firstLineChars="200"/>
        <w:contextualSpacing/>
        <w:rPr>
          <w:rFonts w:ascii="宋体" w:hAnsi="宋体"/>
        </w:rPr>
      </w:pPr>
      <w:r>
        <w:rPr>
          <w:rFonts w:hint="eastAsia" w:ascii="宋体" w:hAnsi="宋体"/>
          <w:color w:val="auto"/>
        </w:rPr>
        <w:t>4.供应商须明确免费保修期，同时应提出故障响应时间，须明确</w:t>
      </w:r>
      <w:r>
        <w:rPr>
          <w:rFonts w:hint="eastAsia" w:ascii="宋体" w:hAnsi="宋体"/>
        </w:rPr>
        <w:t>维修点地址、负责人、联系人和联系电话，维修点具备什么样的维修能力等详细资料。</w:t>
      </w:r>
    </w:p>
    <w:p>
      <w:pPr>
        <w:spacing w:line="360" w:lineRule="auto"/>
        <w:ind w:firstLine="480" w:firstLineChars="200"/>
        <w:contextualSpacing/>
        <w:rPr>
          <w:rFonts w:ascii="宋体" w:hAnsi="宋体"/>
        </w:rPr>
      </w:pPr>
      <w:r>
        <w:rPr>
          <w:rFonts w:hint="eastAsia" w:ascii="宋体" w:hAnsi="宋体"/>
        </w:rPr>
        <w:t>5.培训：中标人必须现场派驻工程师进行现场技术培训，培训内容包括操作技能、维保技术、日常管理，但不限于上述内容。</w:t>
      </w:r>
    </w:p>
    <w:p>
      <w:pPr>
        <w:spacing w:line="360" w:lineRule="auto"/>
        <w:ind w:firstLine="480" w:firstLineChars="200"/>
        <w:contextualSpacing/>
        <w:rPr>
          <w:rFonts w:ascii="宋体" w:hAnsi="宋体"/>
        </w:rPr>
      </w:pPr>
      <w:r>
        <w:rPr>
          <w:rFonts w:hint="eastAsia" w:ascii="宋体" w:hAnsi="宋体"/>
        </w:rPr>
        <w:t>6.投标人应当提供完技术方案和售后服务及培训方案。</w:t>
      </w:r>
    </w:p>
    <w:p>
      <w:pPr>
        <w:widowControl/>
        <w:shd w:val="clear" w:color="auto" w:fill="FFFFFF"/>
        <w:spacing w:line="360" w:lineRule="auto"/>
        <w:ind w:firstLine="482" w:firstLineChars="200"/>
        <w:contextualSpacing/>
        <w:jc w:val="left"/>
        <w:rPr>
          <w:rFonts w:ascii="楷体" w:hAnsi="楷体" w:eastAsia="楷体" w:cs="宋体"/>
          <w:color w:val="000000"/>
          <w:kern w:val="0"/>
          <w:sz w:val="28"/>
          <w:szCs w:val="28"/>
          <w:lang w:val="zh-CN"/>
        </w:rPr>
      </w:pPr>
      <w:r>
        <w:rPr>
          <w:rFonts w:hint="eastAsia" w:cs="微软雅黑" w:asciiTheme="minorEastAsia" w:hAnsiTheme="minorEastAsia"/>
          <w:b/>
          <w:szCs w:val="24"/>
          <w:lang w:eastAsia="zh-CN"/>
        </w:rPr>
        <w:t>四</w:t>
      </w:r>
      <w:r>
        <w:rPr>
          <w:rFonts w:hint="eastAsia" w:cs="宋体" w:asciiTheme="minorEastAsia" w:hAnsiTheme="minorEastAsia"/>
          <w:b/>
          <w:color w:val="000000"/>
          <w:kern w:val="0"/>
          <w:szCs w:val="24"/>
          <w:lang w:val="zh-CN"/>
        </w:rPr>
        <w:t>、验收标准</w:t>
      </w:r>
    </w:p>
    <w:p>
      <w:pPr>
        <w:adjustRightInd w:val="0"/>
        <w:snapToGrid w:val="0"/>
        <w:spacing w:line="360" w:lineRule="auto"/>
        <w:ind w:firstLine="480" w:firstLineChars="200"/>
        <w:rPr>
          <w:rFonts w:ascii="宋体" w:hAnsi="宋体"/>
        </w:rPr>
      </w:pPr>
      <w:r>
        <w:rPr>
          <w:rFonts w:hint="eastAsia" w:ascii="宋体" w:hAnsi="宋体"/>
        </w:rPr>
        <w:t>1、设备安装调试完成，试运行和测试合格，符合验收条件，由中标人向采购人提出验收审请，并向验收小组提供测试运行报告。</w:t>
      </w:r>
    </w:p>
    <w:p>
      <w:pPr>
        <w:adjustRightInd w:val="0"/>
        <w:snapToGrid w:val="0"/>
        <w:spacing w:line="360" w:lineRule="auto"/>
        <w:ind w:firstLine="480" w:firstLineChars="200"/>
        <w:rPr>
          <w:rFonts w:cs="宋体" w:asciiTheme="minorEastAsia" w:hAnsiTheme="minorEastAsia"/>
          <w:color w:val="000000"/>
          <w:kern w:val="0"/>
          <w:szCs w:val="24"/>
          <w:lang w:val="zh-CN"/>
        </w:rPr>
      </w:pPr>
      <w:r>
        <w:rPr>
          <w:rFonts w:hint="eastAsia" w:cs="宋体" w:asciiTheme="minorEastAsia" w:hAnsiTheme="minorEastAsia"/>
          <w:color w:val="000000"/>
          <w:kern w:val="0"/>
          <w:szCs w:val="24"/>
          <w:lang w:val="zh-CN"/>
        </w:rPr>
        <w:t>2、由</w:t>
      </w:r>
      <w:r>
        <w:rPr>
          <w:rFonts w:cs="宋体" w:asciiTheme="minorEastAsia" w:hAnsiTheme="minorEastAsia"/>
          <w:color w:val="000000"/>
          <w:kern w:val="0"/>
          <w:szCs w:val="24"/>
          <w:lang w:val="zh-CN"/>
        </w:rPr>
        <w:t>采购人成立验收小组,按照采购合同的约定对</w:t>
      </w:r>
      <w:r>
        <w:rPr>
          <w:rFonts w:hint="eastAsia" w:cs="宋体" w:asciiTheme="minorEastAsia" w:hAnsiTheme="minorEastAsia"/>
          <w:color w:val="000000"/>
          <w:kern w:val="0"/>
          <w:szCs w:val="24"/>
          <w:lang w:val="zh-CN"/>
        </w:rPr>
        <w:t>中标人</w:t>
      </w:r>
      <w:r>
        <w:rPr>
          <w:rFonts w:cs="宋体" w:asciiTheme="minorEastAsia" w:hAnsiTheme="minorEastAsia"/>
          <w:color w:val="000000"/>
          <w:kern w:val="0"/>
          <w:szCs w:val="24"/>
          <w:lang w:val="zh-CN"/>
        </w:rPr>
        <w:t>履约情况进行验收。验收时,按照采购合同的约定对每一项技术、服务、安全标准的履约情况进行确认。验收结束后,出具验收书,列明各项标准的验收情况及项目总体评价,</w:t>
      </w:r>
      <w:r>
        <w:rPr>
          <w:rFonts w:hint="eastAsia" w:cs="宋体" w:asciiTheme="minorEastAsia" w:hAnsiTheme="minorEastAsia"/>
          <w:color w:val="000000"/>
          <w:kern w:val="0"/>
          <w:szCs w:val="24"/>
          <w:lang w:val="zh-CN"/>
        </w:rPr>
        <w:t>验收小组并签属</w:t>
      </w:r>
      <w:r>
        <w:rPr>
          <w:rFonts w:cs="宋体" w:asciiTheme="minorEastAsia" w:hAnsiTheme="minorEastAsia"/>
          <w:color w:val="000000"/>
          <w:kern w:val="0"/>
          <w:szCs w:val="24"/>
          <w:lang w:val="zh-CN"/>
        </w:rPr>
        <w:t>。</w:t>
      </w:r>
    </w:p>
    <w:p>
      <w:pPr>
        <w:adjustRightInd w:val="0"/>
        <w:snapToGrid w:val="0"/>
        <w:spacing w:line="360" w:lineRule="auto"/>
        <w:ind w:firstLine="480" w:firstLineChars="200"/>
        <w:rPr>
          <w:rFonts w:cs="宋体" w:asciiTheme="minorEastAsia" w:hAnsiTheme="minorEastAsia"/>
          <w:color w:val="000000"/>
          <w:kern w:val="0"/>
          <w:szCs w:val="24"/>
          <w:lang w:val="zh-CN"/>
        </w:rPr>
      </w:pPr>
      <w:r>
        <w:rPr>
          <w:rFonts w:hint="eastAsia" w:cs="宋体" w:asciiTheme="minorEastAsia" w:hAnsiTheme="minorEastAsia"/>
          <w:color w:val="000000"/>
          <w:kern w:val="0"/>
          <w:szCs w:val="24"/>
          <w:lang w:val="zh-CN"/>
        </w:rPr>
        <w:t>3、按照招标文件要求、投标文件响应和承诺验收；</w:t>
      </w:r>
    </w:p>
    <w:p>
      <w:pPr>
        <w:adjustRightInd w:val="0"/>
        <w:snapToGrid w:val="0"/>
        <w:spacing w:line="360" w:lineRule="auto"/>
        <w:ind w:firstLine="480" w:firstLineChars="200"/>
        <w:rPr>
          <w:rFonts w:cs="宋体" w:asciiTheme="minorEastAsia" w:hAnsiTheme="minorEastAsia"/>
          <w:color w:val="000000"/>
          <w:kern w:val="0"/>
          <w:szCs w:val="24"/>
          <w:lang w:val="zh-CN"/>
        </w:rPr>
      </w:pPr>
      <w:r>
        <w:rPr>
          <w:rFonts w:hint="eastAsia" w:cs="宋体" w:asciiTheme="minorEastAsia" w:hAnsiTheme="minorEastAsia"/>
          <w:color w:val="000000"/>
          <w:kern w:val="0"/>
          <w:szCs w:val="24"/>
          <w:lang w:val="zh-CN"/>
        </w:rPr>
        <w:t>4、按照国家相关标准、行业标准、地方标准或者其他标准、规范验收（与采购标的执行标准一致）；</w:t>
      </w:r>
    </w:p>
    <w:p>
      <w:pPr>
        <w:adjustRightInd w:val="0"/>
        <w:snapToGrid w:val="0"/>
        <w:spacing w:line="360" w:lineRule="auto"/>
        <w:ind w:firstLine="482" w:firstLineChars="200"/>
        <w:rPr>
          <w:rFonts w:cs="宋体" w:asciiTheme="minorEastAsia" w:hAnsiTheme="minorEastAsia"/>
          <w:b/>
          <w:color w:val="000000"/>
          <w:kern w:val="0"/>
          <w:szCs w:val="24"/>
          <w:lang w:val="zh-CN"/>
        </w:rPr>
      </w:pPr>
      <w:r>
        <w:rPr>
          <w:rFonts w:hint="eastAsia" w:cs="宋体" w:asciiTheme="minorEastAsia" w:hAnsiTheme="minorEastAsia"/>
          <w:b/>
          <w:color w:val="000000"/>
          <w:kern w:val="0"/>
          <w:szCs w:val="24"/>
          <w:lang w:val="zh-CN"/>
        </w:rPr>
        <w:t>五、本项目预算金额A包：120万元；B包：18万元；C包：28万元。最高限价：A包：120万元；B包：18万元；C包：28万元。超出最高限价的投标无效。</w:t>
      </w:r>
    </w:p>
    <w:p>
      <w:pPr>
        <w:adjustRightInd w:val="0"/>
        <w:snapToGrid w:val="0"/>
        <w:spacing w:line="360" w:lineRule="auto"/>
        <w:ind w:firstLine="482" w:firstLineChars="200"/>
        <w:rPr>
          <w:rFonts w:cs="宋体" w:asciiTheme="minorEastAsia" w:hAnsiTheme="minorEastAsia"/>
          <w:b/>
          <w:color w:val="000000"/>
          <w:kern w:val="0"/>
          <w:szCs w:val="24"/>
          <w:lang w:val="zh-CN"/>
        </w:rPr>
      </w:pPr>
      <w:r>
        <w:rPr>
          <w:rFonts w:hint="eastAsia" w:cs="宋体" w:asciiTheme="minorEastAsia" w:hAnsiTheme="minorEastAsia"/>
          <w:b/>
          <w:color w:val="000000"/>
          <w:kern w:val="0"/>
          <w:szCs w:val="24"/>
          <w:lang w:val="zh-CN"/>
        </w:rPr>
        <w:t>六、资金支付</w:t>
      </w:r>
    </w:p>
    <w:p>
      <w:pPr>
        <w:adjustRightInd w:val="0"/>
        <w:snapToGrid w:val="0"/>
        <w:spacing w:line="360" w:lineRule="auto"/>
        <w:ind w:firstLine="480" w:firstLineChars="200"/>
        <w:rPr>
          <w:rFonts w:ascii="宋体" w:cs="宋体"/>
          <w:szCs w:val="24"/>
        </w:rPr>
      </w:pPr>
      <w:r>
        <w:rPr>
          <w:rFonts w:hint="eastAsia" w:cs="宋体" w:asciiTheme="minorEastAsia" w:hAnsiTheme="minorEastAsia"/>
          <w:color w:val="000000"/>
          <w:kern w:val="0"/>
          <w:szCs w:val="24"/>
          <w:lang w:val="zh-CN"/>
        </w:rPr>
        <w:t>1、支付方式：</w:t>
      </w:r>
      <w:r>
        <w:rPr>
          <w:rFonts w:hint="eastAsia" w:ascii="宋体" w:cs="宋体"/>
          <w:szCs w:val="24"/>
        </w:rPr>
        <w:t>银行转账；</w:t>
      </w:r>
    </w:p>
    <w:p>
      <w:pPr>
        <w:widowControl/>
        <w:shd w:val="clear" w:color="auto" w:fill="FFFFFF"/>
        <w:spacing w:line="360" w:lineRule="auto"/>
        <w:ind w:firstLine="480" w:firstLineChars="200"/>
        <w:contextualSpacing/>
        <w:jc w:val="left"/>
        <w:rPr>
          <w:rFonts w:cs="宋体" w:asciiTheme="majorEastAsia" w:hAnsiTheme="majorEastAsia" w:eastAsiaTheme="majorEastAsia"/>
          <w:b/>
          <w:kern w:val="0"/>
          <w:sz w:val="36"/>
          <w:szCs w:val="36"/>
        </w:rPr>
      </w:pPr>
      <w:r>
        <w:rPr>
          <w:rFonts w:hint="eastAsia" w:cs="宋体" w:asciiTheme="minorEastAsia" w:hAnsiTheme="minorEastAsia"/>
          <w:color w:val="000000"/>
          <w:kern w:val="0"/>
          <w:szCs w:val="24"/>
          <w:lang w:val="zh-CN"/>
        </w:rPr>
        <w:t>2、支付时间及条件</w:t>
      </w:r>
      <w:r>
        <w:rPr>
          <w:rFonts w:hint="eastAsia" w:cs="宋体" w:asciiTheme="minorEastAsia" w:hAnsiTheme="minorEastAsia"/>
          <w:color w:val="auto"/>
          <w:kern w:val="0"/>
          <w:szCs w:val="24"/>
          <w:lang w:val="zh-CN"/>
        </w:rPr>
        <w:t>：</w:t>
      </w:r>
      <w:r>
        <w:rPr>
          <w:rFonts w:hint="eastAsia" w:cs="宋体" w:asciiTheme="minorEastAsia" w:hAnsiTheme="minorEastAsia"/>
          <w:color w:val="auto"/>
          <w:kern w:val="0"/>
          <w:szCs w:val="21"/>
        </w:rPr>
        <w:t>合同签订后 7 个工作日内，招标人向中标人支付合同金额的60%，所有系统上线7个工作日内组织验收，验收后7个工作日内支付合同金额的30%，剩余10%验收合格一年后支付。</w:t>
      </w:r>
    </w:p>
    <w:p>
      <w:pPr>
        <w:adjustRightInd w:val="0"/>
        <w:snapToGrid w:val="0"/>
        <w:spacing w:line="360" w:lineRule="auto"/>
        <w:ind w:firstLine="480" w:firstLineChars="200"/>
        <w:rPr>
          <w:rFonts w:ascii="宋体" w:hAnsi="宋体" w:cs="宋体"/>
          <w:bCs/>
          <w:szCs w:val="24"/>
        </w:rPr>
      </w:pPr>
    </w:p>
    <w:p>
      <w:pPr>
        <w:spacing w:line="420" w:lineRule="exact"/>
        <w:ind w:firstLine="140" w:firstLineChars="44"/>
        <w:jc w:val="center"/>
        <w:rPr>
          <w:rFonts w:ascii="黑体" w:hAnsi="黑体" w:eastAsia="黑体"/>
          <w:sz w:val="32"/>
          <w:szCs w:val="32"/>
        </w:rPr>
      </w:pPr>
      <w:r>
        <w:rPr>
          <w:rFonts w:hint="eastAsia" w:ascii="黑体" w:hAnsi="黑体" w:eastAsia="黑体"/>
          <w:sz w:val="32"/>
          <w:szCs w:val="32"/>
        </w:rPr>
        <w:br w:type="page"/>
      </w:r>
    </w:p>
    <w:p>
      <w:pPr>
        <w:spacing w:line="420" w:lineRule="exact"/>
        <w:ind w:firstLine="140" w:firstLineChars="44"/>
        <w:jc w:val="center"/>
        <w:rPr>
          <w:sz w:val="32"/>
          <w:szCs w:val="32"/>
        </w:rPr>
      </w:pPr>
      <w:r>
        <w:rPr>
          <w:rFonts w:hint="eastAsia" w:ascii="黑体" w:hAnsi="黑体" w:eastAsia="黑体"/>
          <w:sz w:val="32"/>
          <w:szCs w:val="32"/>
        </w:rPr>
        <w:t>第三章  竞争性磋商须知</w:t>
      </w:r>
    </w:p>
    <w:p>
      <w:pPr>
        <w:pStyle w:val="27"/>
        <w:ind w:firstLine="424"/>
        <w:jc w:val="both"/>
        <w:rPr>
          <w:sz w:val="24"/>
          <w:szCs w:val="24"/>
        </w:rPr>
      </w:pPr>
      <w:bookmarkStart w:id="164" w:name="_Toc448307925"/>
      <w:bookmarkEnd w:id="164"/>
      <w:r>
        <w:rPr>
          <w:rFonts w:hint="eastAsia"/>
          <w:sz w:val="24"/>
          <w:szCs w:val="24"/>
        </w:rPr>
        <w:t>一、响应供应商须知见附表</w:t>
      </w:r>
    </w:p>
    <w:p>
      <w:pPr>
        <w:spacing w:line="360" w:lineRule="exact"/>
        <w:ind w:firstLine="480"/>
        <w:rPr>
          <w:rFonts w:ascii="宋体" w:cs="宋体"/>
          <w:szCs w:val="24"/>
        </w:rPr>
      </w:pPr>
      <w:r>
        <w:rPr>
          <w:rFonts w:hint="eastAsia" w:ascii="宋体" w:hAnsi="宋体" w:cs="宋体"/>
          <w:szCs w:val="24"/>
        </w:rPr>
        <w:t>本表关于本次竞争性磋商采购的具体资料内容，是对竞争性磋商须知的具体补充和修改，如有矛盾，应以本资料表为准。本表中没有涉及到的条款，仍以竞争性磋商须知的相应条款为准。</w:t>
      </w:r>
    </w:p>
    <w:tbl>
      <w:tblPr>
        <w:tblStyle w:val="31"/>
        <w:tblW w:w="9781" w:type="dxa"/>
        <w:tblInd w:w="-44" w:type="dxa"/>
        <w:tblLayout w:type="fixed"/>
        <w:tblCellMar>
          <w:top w:w="0" w:type="dxa"/>
          <w:left w:w="10" w:type="dxa"/>
          <w:bottom w:w="0" w:type="dxa"/>
          <w:right w:w="10" w:type="dxa"/>
        </w:tblCellMar>
      </w:tblPr>
      <w:tblGrid>
        <w:gridCol w:w="709"/>
        <w:gridCol w:w="9072"/>
      </w:tblGrid>
      <w:tr>
        <w:tblPrEx>
          <w:tblLayout w:type="fixed"/>
          <w:tblCellMar>
            <w:top w:w="0" w:type="dxa"/>
            <w:left w:w="10" w:type="dxa"/>
            <w:bottom w:w="0" w:type="dxa"/>
            <w:right w:w="10" w:type="dxa"/>
          </w:tblCellMar>
        </w:tblPrEx>
        <w:trPr>
          <w:trHeight w:val="402"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hint="eastAsia" w:ascii="宋体" w:hAnsi="宋体" w:cs="宋体"/>
                <w:sz w:val="21"/>
                <w:szCs w:val="21"/>
              </w:rPr>
              <w:t>序号</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hint="eastAsia" w:ascii="宋体" w:hAnsi="宋体" w:cs="宋体"/>
                <w:sz w:val="21"/>
                <w:szCs w:val="21"/>
              </w:rPr>
              <w:t>内容</w:t>
            </w:r>
          </w:p>
        </w:tc>
      </w:tr>
      <w:tr>
        <w:tblPrEx>
          <w:tblLayout w:type="fixed"/>
          <w:tblCellMar>
            <w:top w:w="0" w:type="dxa"/>
            <w:left w:w="10" w:type="dxa"/>
            <w:bottom w:w="0" w:type="dxa"/>
            <w:right w:w="10" w:type="dxa"/>
          </w:tblCellMar>
        </w:tblPrEx>
        <w:trPr>
          <w:trHeight w:val="385" w:hRule="atLeast"/>
        </w:trPr>
        <w:tc>
          <w:tcPr>
            <w:tcW w:w="709"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cs="宋体"/>
                <w:sz w:val="21"/>
                <w:szCs w:val="21"/>
              </w:rPr>
            </w:pPr>
            <w:r>
              <w:rPr>
                <w:rFonts w:ascii="宋体" w:hAnsi="宋体" w:cs="宋体"/>
                <w:sz w:val="21"/>
                <w:szCs w:val="21"/>
              </w:rPr>
              <w:t>1</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tLeast"/>
              <w:rPr>
                <w:rFonts w:ascii="Cambria" w:hAnsi="Cambria"/>
                <w:sz w:val="21"/>
                <w:szCs w:val="21"/>
              </w:rPr>
            </w:pPr>
            <w:r>
              <w:rPr>
                <w:rFonts w:hint="eastAsia" w:ascii="宋体" w:hAnsi="宋体" w:cs="宋体"/>
                <w:sz w:val="21"/>
                <w:szCs w:val="21"/>
              </w:rPr>
              <w:t>采购人：许昌融智传媒有限公司；地址：许昌市魏都区龙兴路报业大厦；联系人：刘先生；电话：13837475511。</w:t>
            </w:r>
          </w:p>
        </w:tc>
      </w:tr>
      <w:tr>
        <w:tblPrEx>
          <w:tblLayout w:type="fixed"/>
          <w:tblCellMar>
            <w:top w:w="0" w:type="dxa"/>
            <w:left w:w="10" w:type="dxa"/>
            <w:bottom w:w="0" w:type="dxa"/>
            <w:right w:w="10" w:type="dxa"/>
          </w:tblCellMar>
        </w:tblPrEx>
        <w:trPr>
          <w:trHeight w:val="712" w:hRule="atLeast"/>
        </w:trPr>
        <w:tc>
          <w:tcPr>
            <w:tcW w:w="709"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pP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tLeast"/>
              <w:rPr>
                <w:rFonts w:ascii="宋体" w:hAnsi="宋体" w:cs="宋体"/>
                <w:sz w:val="21"/>
                <w:szCs w:val="21"/>
              </w:rPr>
            </w:pPr>
            <w:r>
              <w:rPr>
                <w:rFonts w:hint="eastAsia" w:ascii="宋体" w:hAnsi="宋体" w:cs="宋体"/>
                <w:sz w:val="21"/>
                <w:szCs w:val="21"/>
              </w:rPr>
              <w:t>代理机构：许昌光大电子商务技术服务有公司；地址：许昌市智慧大道亨源通广场1号楼401室；联系人：靳女士、电话：13323993003、0374-2365558。</w:t>
            </w:r>
          </w:p>
        </w:tc>
      </w:tr>
      <w:tr>
        <w:tblPrEx>
          <w:tblLayout w:type="fixed"/>
          <w:tblCellMar>
            <w:top w:w="0" w:type="dxa"/>
            <w:left w:w="10" w:type="dxa"/>
            <w:bottom w:w="0" w:type="dxa"/>
            <w:right w:w="10" w:type="dxa"/>
          </w:tblCellMar>
        </w:tblPrEx>
        <w:trPr>
          <w:trHeight w:val="589"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cs="宋体"/>
                <w:sz w:val="21"/>
                <w:szCs w:val="21"/>
              </w:rPr>
            </w:pPr>
            <w:r>
              <w:rPr>
                <w:rFonts w:ascii="宋体" w:hAnsi="宋体" w:cs="宋体"/>
                <w:sz w:val="21"/>
                <w:szCs w:val="21"/>
              </w:rPr>
              <w:t>2</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tLeast"/>
              <w:rPr>
                <w:rFonts w:ascii="宋体" w:hAnsi="宋体" w:cs="宋体"/>
                <w:sz w:val="21"/>
                <w:szCs w:val="21"/>
              </w:rPr>
            </w:pPr>
            <w:r>
              <w:rPr>
                <w:rFonts w:hint="eastAsia" w:ascii="宋体" w:hAnsi="宋体" w:cs="宋体"/>
                <w:sz w:val="21"/>
                <w:szCs w:val="21"/>
              </w:rPr>
              <w:t>资格条件：</w:t>
            </w:r>
          </w:p>
          <w:p>
            <w:pPr>
              <w:spacing w:line="240" w:lineRule="atLeast"/>
              <w:rPr>
                <w:rFonts w:ascii="宋体" w:hAnsi="宋体" w:cs="宋体"/>
                <w:sz w:val="21"/>
                <w:szCs w:val="21"/>
              </w:rPr>
            </w:pPr>
            <w:r>
              <w:rPr>
                <w:rFonts w:hint="eastAsia" w:ascii="宋体" w:hAnsi="宋体" w:cs="宋体"/>
                <w:sz w:val="21"/>
                <w:szCs w:val="21"/>
              </w:rPr>
              <w:t>（一）符合《中华人民共和国政府采购法》第二十二条之规定；</w:t>
            </w:r>
          </w:p>
          <w:p>
            <w:pPr>
              <w:spacing w:line="240" w:lineRule="atLeast"/>
              <w:rPr>
                <w:rFonts w:ascii="宋体" w:hAnsi="宋体" w:cs="宋体"/>
                <w:sz w:val="21"/>
                <w:szCs w:val="21"/>
              </w:rPr>
            </w:pPr>
            <w:r>
              <w:rPr>
                <w:rFonts w:hint="eastAsia" w:ascii="宋体" w:hAnsi="宋体" w:cs="宋体"/>
                <w:sz w:val="21"/>
                <w:szCs w:val="21"/>
              </w:rPr>
              <w:t>（二）未被列入“信用中国”网站</w:t>
            </w:r>
            <w:r>
              <w:rPr>
                <w:rFonts w:hint="eastAsia" w:ascii="宋体" w:hAnsi="宋体" w:cs="宋体"/>
                <w:sz w:val="21"/>
                <w:szCs w:val="21"/>
                <w:lang w:val="en-US"/>
              </w:rPr>
              <w:t>(www.creditchina.gov.cn)</w:t>
            </w:r>
            <w:r>
              <w:rPr>
                <w:rFonts w:hint="eastAsia" w:ascii="宋体" w:hAnsi="宋体" w:cs="宋体"/>
                <w:sz w:val="21"/>
                <w:szCs w:val="21"/>
              </w:rPr>
              <w:t>失信被执行人、重大税收违法案件当事人名单、政府采购严重违法失信名单的投标人；“中国政府采购网”</w:t>
            </w:r>
            <w:r>
              <w:rPr>
                <w:rFonts w:hint="eastAsia" w:ascii="宋体" w:hAnsi="宋体" w:cs="宋体"/>
                <w:sz w:val="21"/>
                <w:szCs w:val="21"/>
                <w:lang w:val="en-US"/>
              </w:rPr>
              <w:t> (www.ccgp.gov.cn)</w:t>
            </w:r>
            <w:r>
              <w:rPr>
                <w:rFonts w:hint="eastAsia" w:ascii="宋体" w:hAnsi="宋体" w:cs="宋体"/>
                <w:sz w:val="21"/>
                <w:szCs w:val="21"/>
              </w:rPr>
              <w:t>政府采购严重违法失信行为记录名单的投标人；“国家企业信用公示系统”网站（</w:t>
            </w:r>
            <w:r>
              <w:rPr>
                <w:rFonts w:hint="eastAsia" w:ascii="宋体" w:hAnsi="宋体" w:cs="宋体"/>
                <w:sz w:val="21"/>
                <w:szCs w:val="21"/>
                <w:lang w:val="en-US"/>
              </w:rPr>
              <w:t>www.gsxt.gov.cn</w:t>
            </w:r>
            <w:r>
              <w:rPr>
                <w:rFonts w:hint="eastAsia" w:ascii="宋体" w:hAnsi="宋体" w:cs="宋体"/>
                <w:sz w:val="21"/>
                <w:szCs w:val="21"/>
              </w:rPr>
              <w:t>）严重违法失信企业名单（黑名单）的投标人；</w:t>
            </w:r>
          </w:p>
          <w:p>
            <w:pPr>
              <w:spacing w:line="240" w:lineRule="atLeast"/>
              <w:rPr>
                <w:rFonts w:ascii="宋体" w:hAnsi="宋体" w:cs="宋体"/>
                <w:sz w:val="21"/>
                <w:szCs w:val="21"/>
              </w:rPr>
            </w:pPr>
            <w:r>
              <w:rPr>
                <w:rFonts w:hint="eastAsia" w:ascii="宋体" w:hAnsi="宋体" w:cs="宋体"/>
                <w:sz w:val="21"/>
                <w:szCs w:val="21"/>
              </w:rPr>
              <w:t>（三）本</w:t>
            </w:r>
            <w:r>
              <w:rPr>
                <w:rFonts w:hint="eastAsia" w:ascii="宋体" w:hAnsi="宋体" w:cs="宋体"/>
                <w:sz w:val="21"/>
                <w:szCs w:val="21"/>
                <w:lang w:eastAsia="zh-CN"/>
              </w:rPr>
              <w:t>项目</w:t>
            </w:r>
            <w:r>
              <w:rPr>
                <w:rFonts w:hint="eastAsia" w:ascii="宋体" w:hAnsi="宋体" w:cs="宋体"/>
                <w:sz w:val="21"/>
                <w:szCs w:val="21"/>
              </w:rPr>
              <w:t>不接受联合体。</w:t>
            </w:r>
          </w:p>
        </w:tc>
      </w:tr>
      <w:tr>
        <w:tblPrEx>
          <w:tblLayout w:type="fixed"/>
          <w:tblCellMar>
            <w:top w:w="0" w:type="dxa"/>
            <w:left w:w="10" w:type="dxa"/>
            <w:bottom w:w="0" w:type="dxa"/>
            <w:right w:w="10" w:type="dxa"/>
          </w:tblCellMar>
        </w:tblPrEx>
        <w:trPr>
          <w:trHeight w:val="248"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ascii="宋体" w:hAnsi="宋体" w:cs="宋体"/>
                <w:sz w:val="21"/>
                <w:szCs w:val="21"/>
              </w:rPr>
              <w:t>3</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tLeast"/>
              <w:rPr>
                <w:rFonts w:ascii="宋体" w:hAnsi="宋体" w:cs="宋体"/>
                <w:sz w:val="21"/>
                <w:szCs w:val="21"/>
              </w:rPr>
            </w:pPr>
            <w:r>
              <w:rPr>
                <w:rFonts w:hint="eastAsia" w:ascii="宋体" w:hAnsi="宋体" w:cs="宋体"/>
                <w:sz w:val="21"/>
                <w:szCs w:val="21"/>
                <w:lang w:eastAsia="zh-CN"/>
              </w:rPr>
              <w:t>本项目分为三个标段。</w:t>
            </w:r>
            <w:r>
              <w:rPr>
                <w:rFonts w:hint="eastAsia" w:ascii="宋体" w:hAnsi="宋体" w:cs="宋体"/>
                <w:sz w:val="21"/>
                <w:szCs w:val="21"/>
              </w:rPr>
              <w:t>A包：许昌日报融媒体采编业务平台；B包：融媒体大数据管理系统；C包：“许昌发布”智媒体公共服务平台。</w:t>
            </w:r>
          </w:p>
        </w:tc>
      </w:tr>
      <w:tr>
        <w:tblPrEx>
          <w:tblLayout w:type="fixed"/>
          <w:tblCellMar>
            <w:top w:w="0" w:type="dxa"/>
            <w:left w:w="10" w:type="dxa"/>
            <w:bottom w:w="0" w:type="dxa"/>
            <w:right w:w="10" w:type="dxa"/>
          </w:tblCellMar>
        </w:tblPrEx>
        <w:trPr>
          <w:trHeight w:val="324"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ascii="宋体" w:hAnsi="宋体" w:cs="宋体"/>
                <w:sz w:val="21"/>
                <w:szCs w:val="21"/>
              </w:rPr>
              <w:t>4</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tLeast"/>
              <w:rPr>
                <w:rFonts w:ascii="宋体" w:hAnsi="宋体" w:cs="宋体"/>
                <w:color w:val="auto"/>
                <w:sz w:val="21"/>
                <w:szCs w:val="21"/>
              </w:rPr>
            </w:pPr>
            <w:r>
              <w:rPr>
                <w:rFonts w:hint="eastAsia" w:ascii="宋体" w:hAnsi="宋体" w:cs="宋体"/>
                <w:color w:val="auto"/>
                <w:sz w:val="21"/>
                <w:szCs w:val="21"/>
                <w:lang w:eastAsia="zh-CN"/>
              </w:rPr>
              <w:t>工期：</w:t>
            </w:r>
            <w:r>
              <w:rPr>
                <w:rFonts w:hint="eastAsia" w:ascii="宋体" w:hAnsi="宋体" w:cs="宋体"/>
                <w:color w:val="auto"/>
                <w:sz w:val="21"/>
                <w:szCs w:val="21"/>
              </w:rPr>
              <w:t>A包：合同签订后</w:t>
            </w:r>
            <w:r>
              <w:rPr>
                <w:rFonts w:hint="eastAsia" w:ascii="宋体" w:hAnsi="宋体" w:cs="宋体"/>
                <w:color w:val="auto"/>
                <w:sz w:val="21"/>
                <w:szCs w:val="21"/>
                <w:lang w:val="en-US" w:eastAsia="zh-CN"/>
              </w:rPr>
              <w:t>2</w:t>
            </w:r>
            <w:r>
              <w:rPr>
                <w:rFonts w:hint="eastAsia" w:ascii="宋体" w:hAnsi="宋体" w:cs="宋体"/>
                <w:color w:val="auto"/>
                <w:sz w:val="21"/>
                <w:szCs w:val="21"/>
              </w:rPr>
              <w:t>0</w:t>
            </w:r>
            <w:r>
              <w:rPr>
                <w:rFonts w:hint="eastAsia" w:ascii="宋体" w:hAnsi="宋体" w:cs="宋体"/>
                <w:color w:val="auto"/>
                <w:sz w:val="21"/>
                <w:szCs w:val="21"/>
                <w:lang w:eastAsia="zh-CN"/>
              </w:rPr>
              <w:t>工作日</w:t>
            </w:r>
            <w:r>
              <w:rPr>
                <w:rFonts w:hint="eastAsia" w:ascii="宋体" w:hAnsi="宋体" w:cs="宋体"/>
                <w:color w:val="auto"/>
                <w:sz w:val="21"/>
                <w:szCs w:val="21"/>
              </w:rPr>
              <w:t>；B包：合同签订后 20个工作日；C包：合同签订后 20个工作日。</w:t>
            </w:r>
          </w:p>
        </w:tc>
      </w:tr>
      <w:tr>
        <w:tblPrEx>
          <w:tblLayout w:type="fixed"/>
          <w:tblCellMar>
            <w:top w:w="0" w:type="dxa"/>
            <w:left w:w="10" w:type="dxa"/>
            <w:bottom w:w="0" w:type="dxa"/>
            <w:right w:w="10" w:type="dxa"/>
          </w:tblCellMar>
        </w:tblPrEx>
        <w:trPr>
          <w:trHeight w:val="323"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ascii="宋体" w:hAnsi="宋体" w:cs="宋体"/>
                <w:sz w:val="21"/>
                <w:szCs w:val="21"/>
              </w:rPr>
              <w:t>5</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tLeast"/>
              <w:rPr>
                <w:rFonts w:ascii="宋体" w:hAnsi="宋体" w:cs="宋体"/>
                <w:color w:val="auto"/>
                <w:sz w:val="21"/>
                <w:szCs w:val="21"/>
              </w:rPr>
            </w:pPr>
            <w:r>
              <w:rPr>
                <w:rFonts w:hint="eastAsia" w:ascii="宋体" w:hAnsi="宋体" w:cs="宋体"/>
                <w:color w:val="auto"/>
                <w:sz w:val="21"/>
                <w:szCs w:val="21"/>
                <w:lang w:val="zh-CN"/>
              </w:rPr>
              <w:t>最高限价：A包：120万元；B包：18万元；C包：28万元。</w:t>
            </w:r>
          </w:p>
        </w:tc>
      </w:tr>
      <w:tr>
        <w:tblPrEx>
          <w:tblLayout w:type="fixed"/>
          <w:tblCellMar>
            <w:top w:w="0" w:type="dxa"/>
            <w:left w:w="10" w:type="dxa"/>
            <w:bottom w:w="0" w:type="dxa"/>
            <w:right w:w="10" w:type="dxa"/>
          </w:tblCellMar>
        </w:tblPrEx>
        <w:trPr>
          <w:trHeight w:val="233"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hint="eastAsia" w:ascii="宋体" w:hAnsi="宋体" w:cs="宋体"/>
                <w:sz w:val="21"/>
                <w:szCs w:val="21"/>
              </w:rPr>
              <w:t>6</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tLeast"/>
              <w:rPr>
                <w:rFonts w:ascii="宋体" w:hAnsi="宋体" w:cs="宋体"/>
                <w:sz w:val="21"/>
                <w:szCs w:val="21"/>
              </w:rPr>
            </w:pPr>
            <w:r>
              <w:rPr>
                <w:rFonts w:hint="eastAsia" w:ascii="宋体" w:hAnsi="宋体" w:cs="宋体"/>
                <w:sz w:val="21"/>
                <w:szCs w:val="21"/>
              </w:rPr>
              <w:t>磋商有效期：60天</w:t>
            </w:r>
          </w:p>
        </w:tc>
      </w:tr>
      <w:tr>
        <w:tblPrEx>
          <w:tblLayout w:type="fixed"/>
          <w:tblCellMar>
            <w:top w:w="0" w:type="dxa"/>
            <w:left w:w="10" w:type="dxa"/>
            <w:bottom w:w="0" w:type="dxa"/>
            <w:right w:w="10" w:type="dxa"/>
          </w:tblCellMar>
        </w:tblPrEx>
        <w:trPr>
          <w:trHeight w:val="339"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hint="eastAsia" w:ascii="宋体" w:hAnsi="宋体" w:cs="宋体"/>
                <w:sz w:val="21"/>
                <w:szCs w:val="21"/>
              </w:rPr>
              <w:t>7</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tLeast"/>
              <w:rPr>
                <w:rFonts w:ascii="宋体" w:hAnsi="宋体" w:cs="宋体"/>
                <w:sz w:val="21"/>
                <w:szCs w:val="21"/>
              </w:rPr>
            </w:pPr>
            <w:r>
              <w:rPr>
                <w:rFonts w:hint="eastAsia" w:ascii="宋体" w:hAnsi="宋体" w:cs="宋体"/>
                <w:sz w:val="21"/>
                <w:szCs w:val="21"/>
              </w:rPr>
              <w:t>响应文件：</w:t>
            </w:r>
          </w:p>
          <w:p>
            <w:pPr>
              <w:spacing w:line="240" w:lineRule="atLeast"/>
              <w:rPr>
                <w:rFonts w:ascii="宋体" w:hAnsi="宋体" w:cs="宋体"/>
                <w:sz w:val="21"/>
                <w:szCs w:val="21"/>
              </w:rPr>
            </w:pPr>
            <w:r>
              <w:rPr>
                <w:rFonts w:hint="eastAsia" w:ascii="宋体" w:hAnsi="宋体" w:cs="宋体"/>
                <w:sz w:val="21"/>
                <w:szCs w:val="21"/>
              </w:rPr>
              <w:t>正本：1份，副本：叁份，胶装订成册。成交后，成交供应商应另行提交电子档</w:t>
            </w:r>
            <w:r>
              <w:rPr>
                <w:rFonts w:hint="eastAsia" w:ascii="宋体" w:hAnsi="宋体" w:cs="宋体"/>
                <w:sz w:val="21"/>
                <w:szCs w:val="21"/>
                <w:lang w:eastAsia="zh-CN"/>
              </w:rPr>
              <w:t>（</w:t>
            </w:r>
            <w:r>
              <w:rPr>
                <w:rFonts w:hint="eastAsia" w:ascii="宋体" w:hAnsi="宋体" w:cs="宋体"/>
                <w:sz w:val="21"/>
                <w:szCs w:val="21"/>
                <w:lang w:val="en-US" w:eastAsia="zh-CN"/>
              </w:rPr>
              <w:t>U盘）</w:t>
            </w:r>
            <w:r>
              <w:rPr>
                <w:rFonts w:hint="eastAsia" w:ascii="宋体" w:hAnsi="宋体" w:cs="宋体"/>
                <w:sz w:val="21"/>
                <w:szCs w:val="21"/>
              </w:rPr>
              <w:t>。</w:t>
            </w:r>
          </w:p>
        </w:tc>
      </w:tr>
      <w:tr>
        <w:tblPrEx>
          <w:tblLayout w:type="fixed"/>
          <w:tblCellMar>
            <w:top w:w="0" w:type="dxa"/>
            <w:left w:w="10" w:type="dxa"/>
            <w:bottom w:w="0" w:type="dxa"/>
            <w:right w:w="10" w:type="dxa"/>
          </w:tblCellMar>
        </w:tblPrEx>
        <w:trPr>
          <w:trHeight w:val="249"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hint="eastAsia" w:ascii="宋体" w:hAnsi="宋体" w:cs="宋体"/>
                <w:sz w:val="21"/>
                <w:szCs w:val="21"/>
              </w:rPr>
              <w:t>8</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cs="宋体"/>
                <w:sz w:val="21"/>
                <w:szCs w:val="21"/>
              </w:rPr>
            </w:pPr>
            <w:r>
              <w:rPr>
                <w:rFonts w:hint="eastAsia" w:ascii="宋体" w:hAnsi="宋体" w:cs="宋体"/>
                <w:sz w:val="21"/>
                <w:szCs w:val="21"/>
              </w:rPr>
              <w:t>磋商文件异议提出截止时间：竞争性磋商递交文件前</w:t>
            </w:r>
            <w:r>
              <w:rPr>
                <w:rFonts w:ascii="宋体" w:hAnsi="宋体" w:cs="宋体"/>
                <w:sz w:val="21"/>
                <w:szCs w:val="21"/>
              </w:rPr>
              <w:t>7</w:t>
            </w:r>
            <w:r>
              <w:rPr>
                <w:rFonts w:hint="eastAsia" w:ascii="宋体" w:hAnsi="宋体" w:cs="宋体"/>
                <w:sz w:val="21"/>
                <w:szCs w:val="21"/>
              </w:rPr>
              <w:t>个工作日。</w:t>
            </w:r>
          </w:p>
        </w:tc>
      </w:tr>
      <w:tr>
        <w:tblPrEx>
          <w:tblLayout w:type="fixed"/>
          <w:tblCellMar>
            <w:top w:w="0" w:type="dxa"/>
            <w:left w:w="10" w:type="dxa"/>
            <w:bottom w:w="0" w:type="dxa"/>
            <w:right w:w="10" w:type="dxa"/>
          </w:tblCellMar>
        </w:tblPrEx>
        <w:trPr>
          <w:trHeight w:val="234"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hint="eastAsia" w:ascii="宋体" w:hAnsi="宋体" w:cs="宋体"/>
                <w:sz w:val="21"/>
                <w:szCs w:val="21"/>
              </w:rPr>
              <w:t>9</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cs="宋体"/>
                <w:sz w:val="21"/>
                <w:szCs w:val="21"/>
              </w:rPr>
            </w:pPr>
            <w:r>
              <w:rPr>
                <w:rFonts w:hint="eastAsia" w:ascii="宋体" w:hAnsi="宋体" w:cs="宋体"/>
                <w:sz w:val="21"/>
                <w:szCs w:val="21"/>
              </w:rPr>
              <w:t>现场考察和答疑会：不组织，应自行组织现场调研。</w:t>
            </w:r>
          </w:p>
        </w:tc>
      </w:tr>
      <w:tr>
        <w:tblPrEx>
          <w:tblLayout w:type="fixed"/>
          <w:tblCellMar>
            <w:top w:w="0" w:type="dxa"/>
            <w:left w:w="10" w:type="dxa"/>
            <w:bottom w:w="0" w:type="dxa"/>
            <w:right w:w="10" w:type="dxa"/>
          </w:tblCellMar>
        </w:tblPrEx>
        <w:trPr>
          <w:trHeight w:val="219"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ascii="宋体" w:hAnsi="宋体" w:cs="宋体"/>
                <w:sz w:val="21"/>
                <w:szCs w:val="21"/>
              </w:rPr>
              <w:t>1</w:t>
            </w:r>
            <w:r>
              <w:rPr>
                <w:rFonts w:hint="eastAsia" w:ascii="宋体" w:hAnsi="宋体" w:cs="宋体"/>
                <w:sz w:val="21"/>
                <w:szCs w:val="21"/>
              </w:rPr>
              <w:t>0</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20" w:lineRule="exact"/>
              <w:rPr>
                <w:rFonts w:ascii="宋体" w:hAnsi="宋体" w:cs="宋体"/>
                <w:kern w:val="2"/>
                <w:sz w:val="21"/>
                <w:szCs w:val="21"/>
                <w:lang w:val="zh-CN"/>
              </w:rPr>
            </w:pPr>
            <w:r>
              <w:rPr>
                <w:rFonts w:hint="eastAsia" w:ascii="宋体" w:hAnsi="宋体" w:cs="宋体"/>
                <w:sz w:val="21"/>
                <w:szCs w:val="21"/>
              </w:rPr>
              <w:t>磋商保证金</w:t>
            </w:r>
            <w:r>
              <w:rPr>
                <w:rFonts w:hint="eastAsia" w:ascii="宋体" w:hAnsi="宋体" w:cs="宋体"/>
                <w:kern w:val="2"/>
                <w:sz w:val="21"/>
                <w:szCs w:val="21"/>
                <w:lang w:val="zh-CN"/>
              </w:rPr>
              <w:t>缴纳截止时间：同投标截止时间。</w:t>
            </w:r>
          </w:p>
          <w:p>
            <w:pPr>
              <w:rPr>
                <w:rFonts w:ascii="宋体" w:hAnsi="宋体" w:cs="宋体"/>
                <w:kern w:val="2"/>
                <w:sz w:val="21"/>
                <w:szCs w:val="21"/>
                <w:lang w:val="zh-CN"/>
              </w:rPr>
            </w:pPr>
            <w:r>
              <w:rPr>
                <w:rFonts w:hint="eastAsia" w:ascii="宋体" w:hAnsi="宋体" w:cs="宋体"/>
                <w:sz w:val="21"/>
                <w:szCs w:val="21"/>
              </w:rPr>
              <w:t>保证金</w:t>
            </w:r>
            <w:r>
              <w:rPr>
                <w:rFonts w:hint="eastAsia" w:ascii="宋体" w:hAnsi="宋体" w:cs="宋体"/>
                <w:kern w:val="2"/>
                <w:sz w:val="21"/>
                <w:szCs w:val="21"/>
                <w:lang w:val="zh-CN"/>
              </w:rPr>
              <w:t>金额：</w:t>
            </w:r>
            <w:r>
              <w:rPr>
                <w:rFonts w:hint="eastAsia" w:ascii="宋体" w:hAnsi="宋体" w:cs="宋体"/>
                <w:b/>
                <w:bCs/>
                <w:kern w:val="2"/>
                <w:sz w:val="21"/>
                <w:szCs w:val="21"/>
                <w:lang w:val="zh-CN"/>
              </w:rPr>
              <w:t>A包：24000.00元，B包：3600.00元，C包：5600.00元。</w:t>
            </w:r>
          </w:p>
          <w:p>
            <w:pPr>
              <w:ind w:left="-70" w:leftChars="-29" w:firstLine="105" w:firstLineChars="50"/>
              <w:rPr>
                <w:rFonts w:ascii="宋体" w:hAnsi="宋体" w:cs="宋体"/>
                <w:kern w:val="2"/>
                <w:sz w:val="21"/>
                <w:szCs w:val="21"/>
                <w:lang w:val="zh-CN"/>
              </w:rPr>
            </w:pPr>
            <w:r>
              <w:rPr>
                <w:rFonts w:hint="eastAsia" w:ascii="宋体" w:hAnsi="宋体" w:cs="宋体"/>
                <w:kern w:val="2"/>
                <w:sz w:val="21"/>
                <w:szCs w:val="21"/>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ind w:left="-70" w:leftChars="-29" w:firstLine="105" w:firstLineChars="50"/>
              <w:rPr>
                <w:rFonts w:ascii="宋体" w:hAnsi="宋体" w:cs="宋体"/>
                <w:kern w:val="2"/>
                <w:sz w:val="21"/>
                <w:szCs w:val="21"/>
                <w:lang w:val="zh-CN"/>
              </w:rPr>
            </w:pPr>
            <w:r>
              <w:rPr>
                <w:rFonts w:hint="eastAsia" w:ascii="宋体" w:hAnsi="宋体" w:cs="宋体"/>
                <w:kern w:val="2"/>
                <w:sz w:val="21"/>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ind w:left="-70" w:leftChars="-29" w:firstLine="105" w:firstLineChars="50"/>
              <w:rPr>
                <w:rFonts w:ascii="宋体" w:hAnsi="宋体" w:cs="宋体"/>
                <w:kern w:val="2"/>
                <w:sz w:val="21"/>
                <w:szCs w:val="21"/>
                <w:lang w:val="zh-CN"/>
              </w:rPr>
            </w:pPr>
            <w:r>
              <w:rPr>
                <w:rFonts w:hint="eastAsia" w:ascii="宋体" w:hAnsi="宋体" w:cs="宋体"/>
                <w:kern w:val="2"/>
                <w:sz w:val="21"/>
                <w:szCs w:val="21"/>
                <w:lang w:val="zh-CN"/>
              </w:rPr>
              <w:t>三、投标保证金缴纳方式：</w:t>
            </w:r>
          </w:p>
          <w:p>
            <w:pPr>
              <w:ind w:left="-70" w:leftChars="-29" w:firstLine="105" w:firstLineChars="50"/>
              <w:rPr>
                <w:rFonts w:ascii="宋体" w:hAnsi="宋体" w:cs="宋体"/>
                <w:kern w:val="2"/>
                <w:sz w:val="21"/>
                <w:szCs w:val="21"/>
                <w:lang w:val="zh-CN"/>
              </w:rPr>
            </w:pPr>
            <w:r>
              <w:rPr>
                <w:rFonts w:hint="eastAsia" w:ascii="宋体" w:hAnsi="宋体" w:cs="宋体"/>
                <w:kern w:val="2"/>
                <w:sz w:val="21"/>
                <w:szCs w:val="21"/>
                <w:lang w:val="zh-CN"/>
              </w:rPr>
              <w:t>1.投标人网上下载招标文件后，登录</w:t>
            </w:r>
            <w:r>
              <w:fldChar w:fldCharType="begin"/>
            </w:r>
            <w:r>
              <w:instrText xml:space="preserve"> HYPERLINK "http://221.14.6.70:8088/ggzy" </w:instrText>
            </w:r>
            <w:r>
              <w:fldChar w:fldCharType="separate"/>
            </w:r>
            <w:r>
              <w:rPr>
                <w:rFonts w:hint="eastAsia" w:ascii="宋体" w:hAnsi="宋体" w:cs="宋体"/>
                <w:kern w:val="2"/>
                <w:sz w:val="21"/>
                <w:szCs w:val="21"/>
                <w:lang w:val="zh-CN"/>
              </w:rPr>
              <w:t>http://221.14.6.70:8088/ggzy</w:t>
            </w:r>
            <w:r>
              <w:rPr>
                <w:rFonts w:hint="eastAsia" w:ascii="宋体" w:hAnsi="宋体" w:cs="宋体"/>
                <w:kern w:val="2"/>
                <w:sz w:val="21"/>
                <w:szCs w:val="21"/>
                <w:lang w:val="zh-CN"/>
              </w:rPr>
              <w:fldChar w:fldCharType="end"/>
            </w:r>
            <w:r>
              <w:rPr>
                <w:rFonts w:hint="eastAsia" w:ascii="宋体" w:hAnsi="宋体" w:cs="宋体"/>
                <w:kern w:val="2"/>
                <w:sz w:val="21"/>
                <w:szCs w:val="21"/>
                <w:lang w:val="zh-CN"/>
              </w:rPr>
              <w:t>系统，依次点击“会员向导”→“参与投标”→“费用缴纳说明”→“保证金缴纳说明单”，获取缴费说明单，根据每个标段的缴纳说明单在缴纳截止时间前缴纳。</w:t>
            </w:r>
          </w:p>
          <w:p>
            <w:pPr>
              <w:ind w:left="-70" w:leftChars="-29" w:firstLine="105" w:firstLineChars="50"/>
              <w:rPr>
                <w:rFonts w:ascii="宋体" w:hAnsi="宋体" w:cs="宋体"/>
                <w:kern w:val="2"/>
                <w:sz w:val="21"/>
                <w:szCs w:val="21"/>
                <w:lang w:val="zh-CN"/>
              </w:rPr>
            </w:pPr>
            <w:r>
              <w:rPr>
                <w:rFonts w:hint="eastAsia" w:ascii="宋体" w:hAnsi="宋体" w:cs="宋体"/>
                <w:kern w:val="2"/>
                <w:sz w:val="21"/>
                <w:szCs w:val="21"/>
                <w:lang w:val="zh-CN"/>
              </w:rPr>
              <w:t>2.成功缴纳后重新登录前述系统，依次点击“会员向导”→“参与投标”→“保证金绑定”→“绑定”进行投标保证金绑定。</w:t>
            </w:r>
          </w:p>
          <w:p>
            <w:pPr>
              <w:ind w:left="-70" w:leftChars="-29" w:firstLine="105" w:firstLineChars="50"/>
              <w:rPr>
                <w:rFonts w:ascii="宋体" w:hAnsi="宋体" w:cs="宋体"/>
                <w:kern w:val="2"/>
                <w:sz w:val="21"/>
                <w:szCs w:val="21"/>
                <w:lang w:val="zh-CN"/>
              </w:rPr>
            </w:pPr>
            <w:r>
              <w:rPr>
                <w:rFonts w:hint="eastAsia" w:ascii="宋体" w:hAnsi="宋体" w:cs="宋体"/>
                <w:kern w:val="2"/>
                <w:sz w:val="21"/>
                <w:szCs w:val="21"/>
                <w:lang w:val="zh-CN"/>
              </w:rPr>
              <w:t>3.《保证金缴纳绑定操作指南》获取方法：登录许昌公共资源交易系统-组件下载-《保证金缴纳绑定操作指南》。</w:t>
            </w:r>
          </w:p>
          <w:p>
            <w:pPr>
              <w:ind w:left="-70" w:leftChars="-29" w:firstLine="105" w:firstLineChars="50"/>
              <w:rPr>
                <w:rFonts w:ascii="宋体" w:hAnsi="宋体" w:cs="宋体"/>
                <w:kern w:val="2"/>
                <w:sz w:val="21"/>
                <w:szCs w:val="21"/>
                <w:lang w:val="zh-CN"/>
              </w:rPr>
            </w:pPr>
            <w:r>
              <w:rPr>
                <w:rFonts w:hint="eastAsia" w:ascii="宋体" w:hAnsi="宋体" w:cs="宋体"/>
                <w:kern w:val="2"/>
                <w:sz w:val="21"/>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ind w:left="-70" w:leftChars="-29" w:firstLine="105" w:firstLineChars="50"/>
              <w:rPr>
                <w:rFonts w:ascii="宋体" w:hAnsi="宋体" w:cs="宋体"/>
                <w:kern w:val="2"/>
                <w:sz w:val="21"/>
                <w:szCs w:val="21"/>
                <w:lang w:val="zh-CN"/>
              </w:rPr>
            </w:pPr>
            <w:r>
              <w:rPr>
                <w:rFonts w:hint="eastAsia" w:ascii="宋体" w:hAnsi="宋体" w:cs="宋体"/>
                <w:kern w:val="2"/>
                <w:sz w:val="21"/>
                <w:szCs w:val="21"/>
                <w:lang w:val="zh-CN"/>
              </w:rPr>
              <w:t>5.每个投标人每个项目每个标段只有唯一缴纳账号，切勿重复缴纳或错误缴纳。</w:t>
            </w:r>
          </w:p>
          <w:p>
            <w:pPr>
              <w:ind w:left="-70" w:leftChars="-29" w:firstLine="105" w:firstLineChars="50"/>
              <w:rPr>
                <w:rFonts w:ascii="宋体" w:hAnsi="宋体" w:cs="宋体"/>
                <w:kern w:val="2"/>
                <w:sz w:val="21"/>
                <w:szCs w:val="21"/>
                <w:lang w:val="zh-CN"/>
              </w:rPr>
            </w:pPr>
            <w:r>
              <w:rPr>
                <w:rFonts w:hint="eastAsia" w:ascii="宋体" w:hAnsi="宋体" w:cs="宋体"/>
                <w:kern w:val="2"/>
                <w:sz w:val="21"/>
                <w:szCs w:val="21"/>
                <w:lang w:val="zh-CN"/>
              </w:rPr>
              <w:t>6.投标人所提交的投标保证金仅限当次投标项目（标段）有效，不得重复替代使用。一个招标项目有多个标段或者有多个项目同时招标的，投标人必须按项目、标段分别提交投标保证金。</w:t>
            </w:r>
          </w:p>
          <w:p>
            <w:pPr>
              <w:ind w:left="-70" w:leftChars="-29" w:firstLine="105" w:firstLineChars="50"/>
              <w:rPr>
                <w:rFonts w:ascii="宋体" w:hAnsi="宋体" w:cs="宋体"/>
                <w:kern w:val="2"/>
                <w:sz w:val="21"/>
                <w:szCs w:val="21"/>
                <w:lang w:val="zh-CN"/>
              </w:rPr>
            </w:pPr>
            <w:r>
              <w:rPr>
                <w:rFonts w:hint="eastAsia" w:ascii="宋体" w:hAnsi="宋体" w:cs="宋体"/>
                <w:kern w:val="2"/>
                <w:sz w:val="21"/>
                <w:szCs w:val="21"/>
                <w:lang w:val="zh-CN"/>
              </w:rPr>
              <w:t>7.不同投标人的投标保证金不得从同一单位或者个人的账户转出。</w:t>
            </w:r>
          </w:p>
          <w:p>
            <w:pPr>
              <w:ind w:left="-70" w:leftChars="-29" w:firstLine="105" w:firstLineChars="50"/>
              <w:rPr>
                <w:rFonts w:ascii="宋体" w:hAnsi="宋体" w:cs="宋体"/>
                <w:kern w:val="2"/>
                <w:sz w:val="21"/>
                <w:szCs w:val="21"/>
                <w:lang w:val="zh-CN"/>
              </w:rPr>
            </w:pPr>
            <w:r>
              <w:rPr>
                <w:rFonts w:hint="eastAsia" w:ascii="宋体" w:hAnsi="宋体" w:cs="宋体"/>
                <w:kern w:val="2"/>
                <w:sz w:val="21"/>
                <w:szCs w:val="21"/>
                <w:lang w:val="zh-CN"/>
              </w:rPr>
              <w:t>8.未按上述规定操作引起的无效投标，由投标人自行负责。</w:t>
            </w:r>
          </w:p>
          <w:p>
            <w:pPr>
              <w:ind w:left="-70" w:leftChars="-29" w:firstLine="105" w:firstLineChars="50"/>
              <w:rPr>
                <w:rFonts w:ascii="宋体" w:hAnsi="宋体" w:cs="宋体"/>
                <w:kern w:val="2"/>
                <w:sz w:val="21"/>
                <w:szCs w:val="21"/>
                <w:lang w:val="zh-CN"/>
              </w:rPr>
            </w:pPr>
            <w:r>
              <w:rPr>
                <w:rFonts w:hint="eastAsia" w:ascii="宋体" w:hAnsi="宋体" w:cs="宋体"/>
                <w:kern w:val="2"/>
                <w:sz w:val="21"/>
                <w:szCs w:val="21"/>
                <w:lang w:val="zh-CN"/>
              </w:rPr>
              <w:t>9.汇款凭证无需备注项目编号和项目名称。</w:t>
            </w:r>
          </w:p>
          <w:p>
            <w:pPr>
              <w:ind w:left="-70" w:leftChars="-29" w:firstLine="105" w:firstLineChars="50"/>
              <w:rPr>
                <w:rFonts w:ascii="宋体" w:hAnsi="宋体" w:cs="宋体"/>
                <w:kern w:val="2"/>
                <w:sz w:val="21"/>
                <w:szCs w:val="21"/>
              </w:rPr>
            </w:pPr>
            <w:r>
              <w:rPr>
                <w:rFonts w:hint="eastAsia" w:ascii="宋体" w:hAnsi="宋体" w:cs="宋体"/>
                <w:kern w:val="2"/>
                <w:sz w:val="21"/>
                <w:szCs w:val="21"/>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Layout w:type="fixed"/>
          <w:tblCellMar>
            <w:top w:w="0" w:type="dxa"/>
            <w:left w:w="10" w:type="dxa"/>
            <w:bottom w:w="0" w:type="dxa"/>
            <w:right w:w="10" w:type="dxa"/>
          </w:tblCellMar>
        </w:tblPrEx>
        <w:trPr>
          <w:trHeight w:val="481"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ascii="宋体" w:hAnsi="宋体" w:cs="宋体"/>
                <w:sz w:val="21"/>
                <w:szCs w:val="21"/>
              </w:rPr>
              <w:t>1</w:t>
            </w:r>
            <w:r>
              <w:rPr>
                <w:rFonts w:hint="eastAsia" w:ascii="宋体" w:hAnsi="宋体" w:cs="宋体"/>
                <w:sz w:val="21"/>
                <w:szCs w:val="21"/>
              </w:rPr>
              <w:t>1</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ind w:firstLine="239"/>
              <w:rPr>
                <w:rFonts w:ascii="宋体" w:cs="宋体"/>
                <w:b/>
                <w:sz w:val="21"/>
                <w:szCs w:val="21"/>
              </w:rPr>
            </w:pPr>
            <w:r>
              <w:rPr>
                <w:rFonts w:hint="eastAsia" w:ascii="宋体" w:hAnsi="宋体" w:cs="宋体"/>
                <w:sz w:val="21"/>
                <w:szCs w:val="21"/>
              </w:rPr>
              <w:t>响应文件密封及标记：响应文件的正本与副本应进行同包或分包封装，加贴封条，并在封套的封口处由法定代表人或其授权代表签字或盖单位章（项目名称、项目编号和“北京时间××年××月××日××时××分之前不得启封”的字样）。响应文件的封面上应清楚地标记“正本”或“副本”字样。</w:t>
            </w:r>
          </w:p>
        </w:tc>
      </w:tr>
      <w:tr>
        <w:tblPrEx>
          <w:tblLayout w:type="fixed"/>
          <w:tblCellMar>
            <w:top w:w="0" w:type="dxa"/>
            <w:left w:w="10" w:type="dxa"/>
            <w:bottom w:w="0" w:type="dxa"/>
            <w:right w:w="10" w:type="dxa"/>
          </w:tblCellMar>
        </w:tblPrEx>
        <w:trPr>
          <w:trHeight w:val="435"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ascii="宋体" w:hAnsi="宋体" w:cs="宋体"/>
                <w:sz w:val="21"/>
                <w:szCs w:val="21"/>
              </w:rPr>
              <w:t>1</w:t>
            </w:r>
            <w:r>
              <w:rPr>
                <w:rFonts w:hint="eastAsia" w:ascii="宋体" w:hAnsi="宋体" w:cs="宋体"/>
                <w:sz w:val="21"/>
                <w:szCs w:val="21"/>
              </w:rPr>
              <w:t>2</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80" w:lineRule="exact"/>
              <w:ind w:right="-34"/>
              <w:rPr>
                <w:rFonts w:ascii="宋体" w:cs="宋体"/>
                <w:szCs w:val="24"/>
              </w:rPr>
            </w:pPr>
            <w:r>
              <w:rPr>
                <w:rFonts w:hint="eastAsia" w:ascii="宋体" w:hAnsi="宋体" w:cs="宋体"/>
                <w:sz w:val="21"/>
                <w:szCs w:val="21"/>
              </w:rPr>
              <w:t>响应文件的递交截止时间：201</w:t>
            </w:r>
            <w:r>
              <w:rPr>
                <w:rFonts w:hint="eastAsia" w:ascii="宋体" w:hAnsi="宋体" w:cs="宋体"/>
                <w:sz w:val="21"/>
                <w:szCs w:val="21"/>
                <w:lang w:val="en-US" w:eastAsia="zh-CN"/>
              </w:rPr>
              <w:t>9</w:t>
            </w:r>
            <w:r>
              <w:rPr>
                <w:rFonts w:hint="eastAsia" w:ascii="宋体" w:hAnsi="宋体" w:cs="宋体"/>
                <w:sz w:val="21"/>
                <w:szCs w:val="21"/>
              </w:rPr>
              <w:t>年</w:t>
            </w:r>
            <w:r>
              <w:rPr>
                <w:rFonts w:hint="eastAsia" w:ascii="宋体" w:hAnsi="宋体" w:cs="宋体"/>
                <w:sz w:val="21"/>
                <w:szCs w:val="21"/>
                <w:lang w:val="en-US" w:eastAsia="zh-CN"/>
              </w:rPr>
              <w:t>5</w:t>
            </w:r>
            <w:r>
              <w:rPr>
                <w:rFonts w:hint="eastAsia" w:ascii="宋体" w:hAnsi="宋体" w:cs="宋体"/>
                <w:sz w:val="21"/>
                <w:szCs w:val="21"/>
              </w:rPr>
              <w:t>月</w:t>
            </w:r>
            <w:r>
              <w:rPr>
                <w:rFonts w:hint="eastAsia" w:ascii="宋体" w:hAnsi="宋体" w:cs="宋体"/>
                <w:sz w:val="21"/>
                <w:szCs w:val="21"/>
                <w:lang w:val="en-US" w:eastAsia="zh-CN"/>
              </w:rPr>
              <w:t>16</w:t>
            </w:r>
            <w:r>
              <w:rPr>
                <w:rFonts w:hint="eastAsia" w:ascii="宋体" w:hAnsi="宋体" w:cs="宋体"/>
                <w:sz w:val="21"/>
                <w:szCs w:val="21"/>
              </w:rPr>
              <w:t>日</w:t>
            </w:r>
            <w:r>
              <w:rPr>
                <w:rFonts w:hint="eastAsia" w:ascii="宋体" w:hAnsi="宋体" w:cs="宋体"/>
                <w:sz w:val="21"/>
                <w:szCs w:val="21"/>
                <w:lang w:val="en-US" w:eastAsia="zh-CN"/>
              </w:rPr>
              <w:t>8</w:t>
            </w:r>
            <w:r>
              <w:rPr>
                <w:rFonts w:hint="eastAsia" w:ascii="宋体" w:hAnsi="宋体" w:cs="宋体"/>
                <w:sz w:val="21"/>
                <w:szCs w:val="21"/>
              </w:rPr>
              <w:t>时</w:t>
            </w:r>
            <w:r>
              <w:rPr>
                <w:rFonts w:hint="eastAsia" w:ascii="宋体" w:hAnsi="宋体" w:cs="宋体"/>
                <w:sz w:val="21"/>
                <w:szCs w:val="21"/>
                <w:lang w:val="en-US" w:eastAsia="zh-CN"/>
              </w:rPr>
              <w:t>30</w:t>
            </w:r>
            <w:r>
              <w:rPr>
                <w:rFonts w:hint="eastAsia" w:ascii="宋体" w:hAnsi="宋体" w:cs="宋体"/>
                <w:sz w:val="21"/>
                <w:szCs w:val="21"/>
              </w:rPr>
              <w:t>分。地点：</w:t>
            </w:r>
            <w:r>
              <w:rPr>
                <w:rFonts w:hint="eastAsia" w:cs="宋体" w:asciiTheme="minorEastAsia" w:hAnsiTheme="minorEastAsia"/>
                <w:bCs/>
                <w:sz w:val="21"/>
                <w:szCs w:val="21"/>
                <w:lang w:val="zh-CN"/>
              </w:rPr>
              <w:t>许昌市公共资源交易中心三楼开标</w:t>
            </w:r>
            <w:r>
              <w:rPr>
                <w:rFonts w:hint="eastAsia" w:cs="宋体" w:asciiTheme="minorEastAsia" w:hAnsiTheme="minorEastAsia"/>
                <w:bCs/>
                <w:sz w:val="21"/>
                <w:szCs w:val="21"/>
                <w:lang w:val="en-US" w:eastAsia="zh-CN"/>
              </w:rPr>
              <w:t>1</w:t>
            </w:r>
            <w:r>
              <w:rPr>
                <w:rFonts w:hint="eastAsia" w:cs="宋体" w:asciiTheme="minorEastAsia" w:hAnsiTheme="minorEastAsia"/>
                <w:bCs/>
                <w:sz w:val="21"/>
                <w:szCs w:val="21"/>
                <w:lang w:val="zh-CN"/>
              </w:rPr>
              <w:t>室（</w:t>
            </w:r>
            <w:r>
              <w:rPr>
                <w:rFonts w:cs="宋体" w:asciiTheme="minorEastAsia" w:hAnsiTheme="minorEastAsia"/>
                <w:bCs/>
                <w:sz w:val="21"/>
                <w:szCs w:val="21"/>
                <w:lang w:val="zh-CN"/>
              </w:rPr>
              <w:t>龙兴路与竹林路交汇处</w:t>
            </w:r>
            <w:r>
              <w:rPr>
                <w:rFonts w:hint="eastAsia" w:cs="宋体" w:asciiTheme="minorEastAsia" w:hAnsiTheme="minorEastAsia"/>
                <w:bCs/>
                <w:sz w:val="21"/>
                <w:szCs w:val="21"/>
                <w:lang w:val="zh-CN"/>
              </w:rPr>
              <w:t>公共资源大厦）</w:t>
            </w:r>
            <w:r>
              <w:rPr>
                <w:rFonts w:hint="eastAsia" w:ascii="宋体" w:hAnsi="宋体" w:cs="宋体"/>
                <w:sz w:val="21"/>
                <w:szCs w:val="21"/>
              </w:rPr>
              <w:t>。</w:t>
            </w:r>
          </w:p>
        </w:tc>
      </w:tr>
      <w:tr>
        <w:tblPrEx>
          <w:tblLayout w:type="fixed"/>
          <w:tblCellMar>
            <w:top w:w="0" w:type="dxa"/>
            <w:left w:w="10" w:type="dxa"/>
            <w:bottom w:w="0" w:type="dxa"/>
            <w:right w:w="10" w:type="dxa"/>
          </w:tblCellMar>
        </w:tblPrEx>
        <w:trPr>
          <w:trHeight w:val="413"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ascii="宋体" w:hAnsi="宋体" w:cs="宋体"/>
                <w:sz w:val="21"/>
                <w:szCs w:val="21"/>
              </w:rPr>
              <w:t>14</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cs="宋体"/>
                <w:sz w:val="21"/>
                <w:szCs w:val="21"/>
              </w:rPr>
            </w:pPr>
            <w:r>
              <w:rPr>
                <w:rFonts w:hint="eastAsia" w:ascii="宋体" w:hAnsi="宋体" w:cs="宋体"/>
                <w:sz w:val="21"/>
                <w:szCs w:val="21"/>
              </w:rPr>
              <w:t>磋商时间：2019年5月16日8时30分，地点：</w:t>
            </w:r>
            <w:r>
              <w:rPr>
                <w:rFonts w:hint="eastAsia" w:cs="宋体" w:asciiTheme="minorEastAsia" w:hAnsiTheme="minorEastAsia"/>
                <w:bCs/>
                <w:sz w:val="21"/>
                <w:szCs w:val="21"/>
                <w:lang w:val="zh-CN"/>
              </w:rPr>
              <w:t>许昌市公共资源交易中心三楼开标</w:t>
            </w:r>
            <w:r>
              <w:rPr>
                <w:rFonts w:hint="eastAsia" w:cs="宋体" w:asciiTheme="minorEastAsia" w:hAnsiTheme="minorEastAsia"/>
                <w:bCs/>
                <w:sz w:val="21"/>
                <w:szCs w:val="21"/>
                <w:lang w:val="en-US" w:eastAsia="zh-CN"/>
              </w:rPr>
              <w:t>1</w:t>
            </w:r>
            <w:r>
              <w:rPr>
                <w:rFonts w:hint="eastAsia" w:cs="宋体" w:asciiTheme="minorEastAsia" w:hAnsiTheme="minorEastAsia"/>
                <w:bCs/>
                <w:sz w:val="21"/>
                <w:szCs w:val="21"/>
                <w:lang w:val="zh-CN"/>
              </w:rPr>
              <w:t>室（</w:t>
            </w:r>
            <w:r>
              <w:rPr>
                <w:rFonts w:cs="宋体" w:asciiTheme="minorEastAsia" w:hAnsiTheme="minorEastAsia"/>
                <w:bCs/>
                <w:sz w:val="21"/>
                <w:szCs w:val="21"/>
                <w:lang w:val="zh-CN"/>
              </w:rPr>
              <w:t>龙兴路与竹林路交汇处</w:t>
            </w:r>
            <w:r>
              <w:rPr>
                <w:rFonts w:hint="eastAsia" w:cs="宋体" w:asciiTheme="minorEastAsia" w:hAnsiTheme="minorEastAsia"/>
                <w:bCs/>
                <w:sz w:val="21"/>
                <w:szCs w:val="21"/>
                <w:lang w:val="zh-CN"/>
              </w:rPr>
              <w:t>公共资源大厦）</w:t>
            </w:r>
            <w:r>
              <w:rPr>
                <w:rFonts w:hint="eastAsia" w:ascii="宋体" w:hAnsi="宋体" w:cs="宋体"/>
                <w:sz w:val="21"/>
                <w:szCs w:val="21"/>
              </w:rPr>
              <w:t>。</w:t>
            </w:r>
          </w:p>
        </w:tc>
      </w:tr>
      <w:tr>
        <w:tblPrEx>
          <w:tblLayout w:type="fixed"/>
          <w:tblCellMar>
            <w:top w:w="0" w:type="dxa"/>
            <w:left w:w="10" w:type="dxa"/>
            <w:bottom w:w="0" w:type="dxa"/>
            <w:right w:w="10" w:type="dxa"/>
          </w:tblCellMar>
        </w:tblPrEx>
        <w:trPr>
          <w:trHeight w:val="408"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ascii="宋体" w:hAnsi="宋体" w:cs="宋体"/>
                <w:sz w:val="21"/>
                <w:szCs w:val="21"/>
              </w:rPr>
              <w:t>15</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cs="宋体"/>
                <w:sz w:val="21"/>
                <w:szCs w:val="21"/>
              </w:rPr>
            </w:pPr>
            <w:r>
              <w:rPr>
                <w:rFonts w:hint="eastAsia" w:ascii="宋体" w:hAnsi="宋体" w:cs="宋体"/>
                <w:sz w:val="21"/>
                <w:szCs w:val="21"/>
              </w:rPr>
              <w:t>磋商小组：由采购人代表和评审专家共3人组成，其中采购人代表1人。</w:t>
            </w:r>
          </w:p>
        </w:tc>
      </w:tr>
      <w:tr>
        <w:tblPrEx>
          <w:tblLayout w:type="fixed"/>
          <w:tblCellMar>
            <w:top w:w="0" w:type="dxa"/>
            <w:left w:w="10" w:type="dxa"/>
            <w:bottom w:w="0" w:type="dxa"/>
            <w:right w:w="10" w:type="dxa"/>
          </w:tblCellMar>
        </w:tblPrEx>
        <w:trPr>
          <w:trHeight w:val="391"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ascii="宋体" w:hAnsi="宋体" w:cs="宋体"/>
                <w:sz w:val="21"/>
                <w:szCs w:val="21"/>
              </w:rPr>
              <w:t>16</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cs="宋体"/>
                <w:sz w:val="21"/>
                <w:szCs w:val="21"/>
              </w:rPr>
            </w:pPr>
            <w:r>
              <w:rPr>
                <w:rFonts w:hint="eastAsia" w:ascii="宋体" w:hAnsi="宋体" w:cs="宋体"/>
                <w:sz w:val="21"/>
                <w:szCs w:val="21"/>
              </w:rPr>
              <w:t>磋商顺序：现场签到顺序。</w:t>
            </w:r>
          </w:p>
        </w:tc>
      </w:tr>
      <w:tr>
        <w:tblPrEx>
          <w:tblLayout w:type="fixed"/>
          <w:tblCellMar>
            <w:top w:w="0" w:type="dxa"/>
            <w:left w:w="10" w:type="dxa"/>
            <w:bottom w:w="0" w:type="dxa"/>
            <w:right w:w="10" w:type="dxa"/>
          </w:tblCellMar>
        </w:tblPrEx>
        <w:trPr>
          <w:trHeight w:val="391"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ascii="宋体" w:hAnsi="宋体" w:cs="宋体"/>
                <w:sz w:val="21"/>
                <w:szCs w:val="21"/>
              </w:rPr>
              <w:t>17</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ind w:right="-108"/>
              <w:rPr>
                <w:rFonts w:ascii="宋体" w:cs="宋体"/>
                <w:sz w:val="21"/>
                <w:szCs w:val="21"/>
              </w:rPr>
            </w:pPr>
            <w:r>
              <w:rPr>
                <w:rFonts w:hint="eastAsia" w:ascii="宋体" w:hAnsi="宋体" w:cs="宋体"/>
                <w:sz w:val="21"/>
                <w:szCs w:val="21"/>
              </w:rPr>
              <w:t>推荐成交候选供应商：</w:t>
            </w:r>
            <w:r>
              <w:rPr>
                <w:rFonts w:ascii="宋体" w:hAnsi="宋体" w:cs="宋体"/>
                <w:sz w:val="21"/>
                <w:szCs w:val="21"/>
              </w:rPr>
              <w:t>3</w:t>
            </w:r>
            <w:r>
              <w:rPr>
                <w:rFonts w:hint="eastAsia" w:ascii="宋体" w:hAnsi="宋体" w:cs="宋体"/>
                <w:sz w:val="21"/>
                <w:szCs w:val="21"/>
              </w:rPr>
              <w:t>个或以上。</w:t>
            </w:r>
          </w:p>
        </w:tc>
      </w:tr>
      <w:tr>
        <w:tblPrEx>
          <w:tblLayout w:type="fixed"/>
          <w:tblCellMar>
            <w:top w:w="0" w:type="dxa"/>
            <w:left w:w="10" w:type="dxa"/>
            <w:bottom w:w="0" w:type="dxa"/>
            <w:right w:w="10" w:type="dxa"/>
          </w:tblCellMar>
        </w:tblPrEx>
        <w:trPr>
          <w:trHeight w:val="341"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hint="eastAsia" w:ascii="宋体" w:hAnsi="宋体" w:cs="宋体"/>
                <w:sz w:val="21"/>
                <w:szCs w:val="21"/>
              </w:rPr>
              <w:t>18</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ind w:right="-41"/>
              <w:rPr>
                <w:rFonts w:ascii="宋体" w:cs="宋体"/>
                <w:color w:val="auto"/>
                <w:sz w:val="21"/>
                <w:szCs w:val="21"/>
              </w:rPr>
            </w:pPr>
            <w:r>
              <w:rPr>
                <w:rFonts w:hint="eastAsia" w:ascii="宋体" w:hAnsi="宋体" w:cs="宋体"/>
                <w:color w:val="auto"/>
                <w:sz w:val="21"/>
                <w:szCs w:val="21"/>
              </w:rPr>
              <w:t>验收：由采购人组织相关方面专家进行验收，并出具验收报告书。</w:t>
            </w:r>
          </w:p>
        </w:tc>
      </w:tr>
      <w:tr>
        <w:tblPrEx>
          <w:tblLayout w:type="fixed"/>
          <w:tblCellMar>
            <w:top w:w="0" w:type="dxa"/>
            <w:left w:w="10" w:type="dxa"/>
            <w:bottom w:w="0" w:type="dxa"/>
            <w:right w:w="10" w:type="dxa"/>
          </w:tblCellMar>
        </w:tblPrEx>
        <w:trPr>
          <w:trHeight w:val="290"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hint="eastAsia" w:ascii="宋体" w:hAnsi="宋体" w:cs="宋体"/>
                <w:sz w:val="21"/>
                <w:szCs w:val="21"/>
              </w:rPr>
              <w:t>19</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cs="宋体"/>
                <w:color w:val="auto"/>
                <w:sz w:val="21"/>
                <w:szCs w:val="21"/>
              </w:rPr>
            </w:pPr>
            <w:r>
              <w:rPr>
                <w:rFonts w:hint="eastAsia" w:ascii="宋体" w:hAnsi="宋体" w:cs="宋体"/>
                <w:color w:val="auto"/>
                <w:sz w:val="21"/>
                <w:szCs w:val="21"/>
              </w:rPr>
              <w:t>付款方式：合同签订后 7 个工作日内，招标人向中标人支付合同金额的60%，所有系统上线7个工作日内组织验收，验收后7个工作日内支付合同金额的30%，剩余</w:t>
            </w:r>
            <w:r>
              <w:rPr>
                <w:rFonts w:hint="eastAsia" w:ascii="宋体" w:hAnsi="宋体" w:cs="宋体"/>
                <w:color w:val="auto"/>
                <w:sz w:val="21"/>
                <w:szCs w:val="21"/>
                <w:lang w:val="en-US" w:eastAsia="zh-CN"/>
              </w:rPr>
              <w:t>10%验收合格</w:t>
            </w:r>
            <w:r>
              <w:rPr>
                <w:rFonts w:hint="eastAsia" w:ascii="宋体" w:hAnsi="宋体" w:cs="宋体"/>
                <w:color w:val="auto"/>
                <w:sz w:val="21"/>
                <w:szCs w:val="21"/>
              </w:rPr>
              <w:t>一年后支付。</w:t>
            </w:r>
          </w:p>
        </w:tc>
      </w:tr>
      <w:tr>
        <w:tblPrEx>
          <w:tblLayout w:type="fixed"/>
          <w:tblCellMar>
            <w:top w:w="0" w:type="dxa"/>
            <w:left w:w="10" w:type="dxa"/>
            <w:bottom w:w="0" w:type="dxa"/>
            <w:right w:w="10" w:type="dxa"/>
          </w:tblCellMar>
        </w:tblPrEx>
        <w:trPr>
          <w:trHeight w:val="383"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ascii="宋体" w:hAnsi="宋体" w:cs="宋体"/>
                <w:sz w:val="21"/>
                <w:szCs w:val="21"/>
              </w:rPr>
              <w:t>2</w:t>
            </w:r>
            <w:r>
              <w:rPr>
                <w:rFonts w:hint="eastAsia" w:ascii="宋体" w:hAnsi="宋体" w:cs="宋体"/>
                <w:sz w:val="21"/>
                <w:szCs w:val="21"/>
              </w:rPr>
              <w:t>0</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cs="宋体"/>
                <w:sz w:val="21"/>
                <w:szCs w:val="21"/>
              </w:rPr>
            </w:pPr>
            <w:r>
              <w:rPr>
                <w:rFonts w:hint="eastAsia" w:ascii="宋体" w:hAnsi="宋体" w:cs="宋体"/>
                <w:sz w:val="21"/>
                <w:szCs w:val="21"/>
              </w:rPr>
              <w:t>磋商评审办法：</w:t>
            </w:r>
          </w:p>
          <w:p>
            <w:pPr>
              <w:spacing w:line="360" w:lineRule="exact"/>
              <w:ind w:left="-118" w:right="-41"/>
              <w:rPr>
                <w:rFonts w:ascii="宋体" w:hAnsi="宋体" w:cs="宋体"/>
                <w:sz w:val="21"/>
                <w:szCs w:val="21"/>
              </w:rPr>
            </w:pPr>
            <w:r>
              <w:rPr>
                <w:rFonts w:hint="eastAsia" w:ascii="宋体" w:hAnsi="宋体" w:cs="宋体"/>
                <w:sz w:val="21"/>
                <w:szCs w:val="21"/>
              </w:rPr>
              <w:t>（</w:t>
            </w:r>
            <w:r>
              <w:rPr>
                <w:rFonts w:ascii="宋体" w:hAnsi="宋体" w:cs="宋体"/>
                <w:sz w:val="21"/>
                <w:szCs w:val="21"/>
              </w:rPr>
              <w:t>1</w:t>
            </w:r>
            <w:r>
              <w:rPr>
                <w:rFonts w:hint="eastAsia" w:ascii="宋体" w:hAnsi="宋体" w:cs="宋体"/>
                <w:sz w:val="21"/>
                <w:szCs w:val="21"/>
              </w:rPr>
              <w:t>）本项目磋商文件不能详细列明采购标的的技术、服务要求，需经磋商由供应商提供最终设计方案或解决方案，磋商结束后，磋商小组应当按照少数服从多数的原则投票推荐3家以上供应商的设计方案或者解决方案，并要求在规定时间内提交最后报价。</w:t>
            </w:r>
          </w:p>
          <w:p>
            <w:pPr>
              <w:spacing w:line="360" w:lineRule="exact"/>
              <w:ind w:left="-118" w:right="-41"/>
              <w:rPr>
                <w:rFonts w:ascii="宋体" w:cs="宋体"/>
                <w:sz w:val="21"/>
                <w:szCs w:val="21"/>
              </w:rPr>
            </w:pPr>
            <w:r>
              <w:rPr>
                <w:rFonts w:hint="eastAsia" w:ascii="宋体" w:hAnsi="宋体" w:cs="宋体"/>
                <w:sz w:val="21"/>
                <w:szCs w:val="21"/>
              </w:rPr>
              <w:t>（2）最后报价为评审报价得分的依据。</w:t>
            </w:r>
          </w:p>
          <w:p>
            <w:pPr>
              <w:spacing w:line="360" w:lineRule="exact"/>
              <w:ind w:left="-118" w:right="-41"/>
              <w:rPr>
                <w:rFonts w:ascii="宋体" w:cs="宋体"/>
                <w:sz w:val="21"/>
                <w:szCs w:val="21"/>
              </w:rPr>
            </w:pPr>
            <w:r>
              <w:rPr>
                <w:rFonts w:hint="eastAsia" w:ascii="宋体" w:hAnsi="宋体" w:cs="宋体"/>
                <w:sz w:val="21"/>
                <w:szCs w:val="21"/>
              </w:rPr>
              <w:t>（3）采购综合评分法，满分</w:t>
            </w:r>
            <w:r>
              <w:rPr>
                <w:rFonts w:ascii="宋体" w:hAnsi="宋体" w:cs="宋体"/>
                <w:sz w:val="21"/>
                <w:szCs w:val="21"/>
              </w:rPr>
              <w:t>100</w:t>
            </w:r>
            <w:r>
              <w:rPr>
                <w:rFonts w:hint="eastAsia" w:ascii="宋体" w:hAnsi="宋体" w:cs="宋体"/>
                <w:sz w:val="21"/>
                <w:szCs w:val="21"/>
              </w:rPr>
              <w:t>分。详见采购文件具体评分办法。</w:t>
            </w:r>
          </w:p>
        </w:tc>
      </w:tr>
      <w:tr>
        <w:tblPrEx>
          <w:tblLayout w:type="fixed"/>
          <w:tblCellMar>
            <w:top w:w="0" w:type="dxa"/>
            <w:left w:w="10" w:type="dxa"/>
            <w:bottom w:w="0" w:type="dxa"/>
            <w:right w:w="10" w:type="dxa"/>
          </w:tblCellMar>
        </w:tblPrEx>
        <w:trPr>
          <w:trHeight w:val="333"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hint="eastAsia" w:ascii="宋体" w:cs="宋体"/>
                <w:sz w:val="21"/>
                <w:szCs w:val="21"/>
              </w:rPr>
              <w:t>21</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hAnsi="宋体" w:cs="宋体"/>
                <w:sz w:val="21"/>
                <w:szCs w:val="21"/>
              </w:rPr>
            </w:pPr>
            <w:r>
              <w:rPr>
                <w:rFonts w:hint="eastAsia" w:ascii="宋体" w:hAnsi="宋体" w:cs="宋体"/>
                <w:sz w:val="21"/>
                <w:szCs w:val="21"/>
              </w:rPr>
              <w:t>代理服务费收取方式和标准：由成交供应商支付，支付标准为成交金额的1.5%。</w:t>
            </w:r>
          </w:p>
        </w:tc>
      </w:tr>
      <w:tr>
        <w:tblPrEx>
          <w:tblLayout w:type="fixed"/>
          <w:tblCellMar>
            <w:top w:w="0" w:type="dxa"/>
            <w:left w:w="10" w:type="dxa"/>
            <w:bottom w:w="0" w:type="dxa"/>
            <w:right w:w="10" w:type="dxa"/>
          </w:tblCellMar>
        </w:tblPrEx>
        <w:trPr>
          <w:trHeight w:val="333"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hAnsi="宋体" w:cs="宋体"/>
                <w:sz w:val="21"/>
                <w:szCs w:val="21"/>
              </w:rPr>
            </w:pPr>
            <w:r>
              <w:rPr>
                <w:rFonts w:hint="eastAsia" w:ascii="宋体" w:hAnsi="宋体" w:cs="宋体"/>
                <w:sz w:val="21"/>
                <w:szCs w:val="21"/>
              </w:rPr>
              <w:t>22</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hAnsi="宋体" w:cs="宋体"/>
                <w:sz w:val="21"/>
                <w:szCs w:val="21"/>
              </w:rPr>
            </w:pPr>
            <w:r>
              <w:rPr>
                <w:rFonts w:hint="eastAsia" w:ascii="宋体" w:hAnsi="宋体" w:cs="宋体"/>
                <w:sz w:val="21"/>
                <w:szCs w:val="21"/>
              </w:rPr>
              <w:t>（1）本项目中涉及到具有强制认证的产品，供应商应采用强制认证产品。</w:t>
            </w:r>
          </w:p>
          <w:p>
            <w:pPr>
              <w:spacing w:line="360" w:lineRule="exact"/>
              <w:rPr>
                <w:rFonts w:ascii="宋体" w:hAnsi="宋体" w:cs="宋体"/>
                <w:sz w:val="21"/>
                <w:szCs w:val="21"/>
              </w:rPr>
            </w:pPr>
            <w:r>
              <w:rPr>
                <w:rFonts w:hint="eastAsia" w:ascii="宋体" w:hAnsi="宋体" w:cs="宋体"/>
                <w:sz w:val="21"/>
                <w:szCs w:val="21"/>
              </w:rPr>
              <w:t>（2）本项目中涉及节能环境保产品</w:t>
            </w:r>
            <w:r>
              <w:rPr>
                <w:rFonts w:hint="eastAsia" w:ascii="宋体" w:hAnsi="宋体" w:cs="宋体"/>
                <w:sz w:val="21"/>
                <w:szCs w:val="21"/>
                <w:lang w:eastAsia="zh-CN"/>
              </w:rPr>
              <w:t>，</w:t>
            </w:r>
            <w:r>
              <w:rPr>
                <w:rFonts w:hint="eastAsia" w:ascii="宋体" w:hAnsi="宋体" w:cs="宋体"/>
                <w:sz w:val="21"/>
                <w:szCs w:val="21"/>
              </w:rPr>
              <w:t>供应商应当采用或优先采购。</w:t>
            </w:r>
          </w:p>
        </w:tc>
      </w:tr>
      <w:tr>
        <w:tblPrEx>
          <w:tblLayout w:type="fixed"/>
          <w:tblCellMar>
            <w:top w:w="0" w:type="dxa"/>
            <w:left w:w="10" w:type="dxa"/>
            <w:bottom w:w="0" w:type="dxa"/>
            <w:right w:w="10" w:type="dxa"/>
          </w:tblCellMar>
        </w:tblPrEx>
        <w:trPr>
          <w:trHeight w:val="416"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hint="eastAsia" w:ascii="宋体" w:eastAsia="宋体" w:cs="宋体"/>
                <w:sz w:val="21"/>
                <w:szCs w:val="21"/>
                <w:lang w:val="en-US" w:eastAsia="zh-CN"/>
              </w:rPr>
            </w:pPr>
            <w:r>
              <w:rPr>
                <w:rFonts w:ascii="宋体" w:hAnsi="宋体" w:cs="宋体"/>
                <w:sz w:val="21"/>
                <w:szCs w:val="21"/>
              </w:rPr>
              <w:t>2</w:t>
            </w:r>
            <w:r>
              <w:rPr>
                <w:rFonts w:hint="eastAsia" w:ascii="宋体" w:hAnsi="宋体" w:cs="宋体"/>
                <w:sz w:val="21"/>
                <w:szCs w:val="21"/>
                <w:lang w:val="en-US" w:eastAsia="zh-CN"/>
              </w:rPr>
              <w:t>3</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cs="宋体"/>
                <w:sz w:val="21"/>
                <w:szCs w:val="21"/>
              </w:rPr>
            </w:pPr>
            <w:r>
              <w:rPr>
                <w:rFonts w:hint="eastAsia" w:ascii="宋体" w:hAnsi="宋体" w:cs="宋体"/>
                <w:sz w:val="21"/>
                <w:szCs w:val="21"/>
              </w:rPr>
              <w:t>磋商文件的解释权归采购人及委托的代理机构。</w:t>
            </w:r>
          </w:p>
        </w:tc>
      </w:tr>
    </w:tbl>
    <w:p>
      <w:pPr>
        <w:pStyle w:val="27"/>
        <w:spacing w:before="0" w:line="400" w:lineRule="exact"/>
        <w:ind w:firstLine="3899"/>
        <w:jc w:val="both"/>
        <w:rPr>
          <w:rFonts w:ascii="宋体" w:cs="宋体"/>
          <w:sz w:val="24"/>
          <w:szCs w:val="24"/>
        </w:rPr>
      </w:pPr>
      <w:bookmarkStart w:id="165" w:name="_Toc448307927"/>
      <w:bookmarkEnd w:id="165"/>
      <w:r>
        <w:br w:type="page"/>
      </w:r>
      <w:r>
        <w:rPr>
          <w:rFonts w:hint="eastAsia" w:ascii="微软雅黑" w:hAnsi="微软雅黑" w:eastAsia="微软雅黑" w:cs="微软雅黑"/>
          <w:sz w:val="24"/>
          <w:szCs w:val="24"/>
        </w:rPr>
        <w:t>二、供应商须知</w:t>
      </w:r>
    </w:p>
    <w:p>
      <w:pPr>
        <w:pStyle w:val="54"/>
        <w:spacing w:line="420" w:lineRule="exact"/>
        <w:ind w:firstLine="482"/>
        <w:jc w:val="both"/>
        <w:rPr>
          <w:rFonts w:ascii="宋体" w:cs="宋体"/>
          <w:b/>
          <w:szCs w:val="24"/>
        </w:rPr>
      </w:pPr>
      <w:r>
        <w:rPr>
          <w:rFonts w:ascii="宋体" w:hAnsi="宋体" w:cs="宋体"/>
          <w:b/>
          <w:szCs w:val="24"/>
        </w:rPr>
        <w:t>1.</w:t>
      </w:r>
      <w:r>
        <w:rPr>
          <w:rFonts w:hint="eastAsia" w:ascii="宋体" w:hAnsi="宋体" w:cs="宋体"/>
          <w:b/>
          <w:szCs w:val="24"/>
        </w:rPr>
        <w:t>总则</w:t>
      </w:r>
    </w:p>
    <w:p>
      <w:pPr>
        <w:pStyle w:val="54"/>
        <w:spacing w:line="420" w:lineRule="exact"/>
        <w:ind w:firstLine="482"/>
        <w:jc w:val="both"/>
        <w:rPr>
          <w:rFonts w:ascii="宋体" w:cs="宋体"/>
          <w:b/>
          <w:szCs w:val="24"/>
        </w:rPr>
      </w:pPr>
      <w:r>
        <w:rPr>
          <w:rFonts w:ascii="宋体" w:hAnsi="宋体" w:cs="宋体"/>
          <w:b/>
          <w:szCs w:val="24"/>
        </w:rPr>
        <w:t>1.1</w:t>
      </w:r>
      <w:r>
        <w:rPr>
          <w:rFonts w:hint="eastAsia" w:ascii="宋体" w:hAnsi="宋体" w:cs="宋体"/>
          <w:b/>
          <w:szCs w:val="24"/>
        </w:rPr>
        <w:t>定义</w:t>
      </w:r>
    </w:p>
    <w:p>
      <w:pPr>
        <w:spacing w:line="420" w:lineRule="exact"/>
        <w:ind w:firstLine="480"/>
        <w:rPr>
          <w:rFonts w:ascii="宋体" w:cs="宋体"/>
          <w:szCs w:val="21"/>
        </w:rPr>
      </w:pPr>
      <w:r>
        <w:rPr>
          <w:rFonts w:ascii="宋体" w:hAnsi="宋体" w:cs="宋体"/>
          <w:szCs w:val="21"/>
        </w:rPr>
        <w:t>1.1.1</w:t>
      </w:r>
      <w:r>
        <w:rPr>
          <w:rFonts w:hint="eastAsia" w:ascii="宋体" w:hAnsi="宋体" w:cs="宋体"/>
          <w:szCs w:val="21"/>
        </w:rPr>
        <w:t>竞争性磋商是指采购人、采购代理机构通过组建竞争性磋商小组与符合条件的供应商就采购货物、工程和服务事宜进行磋商，响应供应商应按照磋商文件的要求提交响应文件和报价，采购人从磋商小组评审后提出的候选供应商名单中确定成交供应商的采购方式。</w:t>
      </w:r>
    </w:p>
    <w:p>
      <w:pPr>
        <w:spacing w:line="420" w:lineRule="exact"/>
        <w:ind w:firstLine="480"/>
        <w:rPr>
          <w:rFonts w:ascii="宋体" w:cs="宋体"/>
          <w:szCs w:val="21"/>
        </w:rPr>
      </w:pPr>
      <w:r>
        <w:rPr>
          <w:rFonts w:ascii="宋体" w:hAnsi="宋体" w:cs="宋体"/>
          <w:szCs w:val="21"/>
        </w:rPr>
        <w:t>1.1.2</w:t>
      </w:r>
      <w:r>
        <w:rPr>
          <w:rFonts w:hint="eastAsia" w:ascii="宋体" w:hAnsi="宋体" w:cs="宋体"/>
          <w:szCs w:val="21"/>
        </w:rPr>
        <w:t>项目实施机构，指定的有关职能部门或事业单位或指定的单位可作为项目实施机构，负责项目准备、采购管理等工作。</w:t>
      </w:r>
    </w:p>
    <w:p>
      <w:pPr>
        <w:spacing w:line="420" w:lineRule="exact"/>
        <w:ind w:firstLine="482"/>
        <w:outlineLvl w:val="0"/>
        <w:rPr>
          <w:rFonts w:ascii="宋体" w:cs="宋体"/>
          <w:szCs w:val="21"/>
        </w:rPr>
      </w:pPr>
      <w:r>
        <w:rPr>
          <w:rFonts w:ascii="宋体" w:hAnsi="宋体" w:cs="宋体"/>
          <w:b/>
          <w:szCs w:val="21"/>
        </w:rPr>
        <w:t>1.2</w:t>
      </w:r>
      <w:r>
        <w:rPr>
          <w:rFonts w:hint="eastAsia" w:ascii="宋体" w:hAnsi="宋体" w:cs="宋体"/>
          <w:b/>
          <w:szCs w:val="21"/>
        </w:rPr>
        <w:t>采购当事人</w:t>
      </w:r>
    </w:p>
    <w:p>
      <w:pPr>
        <w:spacing w:line="420" w:lineRule="exact"/>
        <w:ind w:firstLine="480"/>
        <w:rPr>
          <w:rFonts w:ascii="宋体" w:cs="宋体"/>
          <w:szCs w:val="21"/>
        </w:rPr>
      </w:pPr>
      <w:r>
        <w:rPr>
          <w:rFonts w:ascii="宋体" w:hAnsi="宋体" w:cs="宋体"/>
          <w:szCs w:val="21"/>
        </w:rPr>
        <w:t>1.2.1</w:t>
      </w:r>
      <w:r>
        <w:rPr>
          <w:rFonts w:hint="eastAsia" w:ascii="宋体" w:hAnsi="宋体" w:cs="宋体"/>
          <w:szCs w:val="21"/>
        </w:rPr>
        <w:t>采购人是指行政事业单位或者制定服务项目组织实施机构。本项目采购人详见竞争性磋商须知前附表。</w:t>
      </w:r>
    </w:p>
    <w:p>
      <w:pPr>
        <w:spacing w:line="420" w:lineRule="exact"/>
        <w:ind w:firstLine="480"/>
        <w:rPr>
          <w:rFonts w:ascii="宋体" w:cs="宋体"/>
          <w:szCs w:val="21"/>
        </w:rPr>
      </w:pPr>
      <w:r>
        <w:rPr>
          <w:rFonts w:ascii="宋体" w:hAnsi="宋体" w:cs="宋体"/>
          <w:szCs w:val="21"/>
        </w:rPr>
        <w:t>1.3.2</w:t>
      </w:r>
      <w:r>
        <w:rPr>
          <w:rFonts w:hint="eastAsia" w:ascii="宋体" w:hAnsi="宋体" w:cs="宋体"/>
          <w:szCs w:val="21"/>
        </w:rPr>
        <w:t>响应供应商是指接受采购邀请并按要求提交响应文件参加竞争性磋商的提供服务的机构。本项目响应供应商详见竞争性磋商须知前附表。</w:t>
      </w:r>
    </w:p>
    <w:p>
      <w:pPr>
        <w:spacing w:line="420" w:lineRule="exact"/>
        <w:ind w:firstLine="480"/>
        <w:rPr>
          <w:rFonts w:ascii="宋体" w:cs="宋体"/>
          <w:szCs w:val="21"/>
        </w:rPr>
      </w:pPr>
      <w:r>
        <w:rPr>
          <w:rFonts w:ascii="宋体" w:hAnsi="宋体" w:cs="宋体"/>
          <w:szCs w:val="21"/>
        </w:rPr>
        <w:t>1.3.3</w:t>
      </w:r>
      <w:r>
        <w:rPr>
          <w:rFonts w:hint="eastAsia" w:ascii="宋体" w:hAnsi="宋体" w:cs="宋体"/>
          <w:szCs w:val="21"/>
        </w:rPr>
        <w:t>采购代理机构是受采购项目实施机构（采购人）委托办理采购事宜的社会中介机构。本项目采购代理机构详见竞争性磋商须知前附表。</w:t>
      </w:r>
    </w:p>
    <w:p>
      <w:pPr>
        <w:spacing w:line="420" w:lineRule="exact"/>
        <w:ind w:firstLine="482"/>
        <w:outlineLvl w:val="0"/>
        <w:rPr>
          <w:rFonts w:ascii="宋体" w:cs="宋体"/>
          <w:b/>
          <w:szCs w:val="21"/>
        </w:rPr>
      </w:pPr>
      <w:r>
        <w:rPr>
          <w:rFonts w:ascii="宋体" w:hAnsi="宋体" w:cs="宋体"/>
          <w:b/>
          <w:szCs w:val="21"/>
        </w:rPr>
        <w:t>2.</w:t>
      </w:r>
      <w:r>
        <w:rPr>
          <w:rFonts w:hint="eastAsia" w:ascii="宋体" w:hAnsi="宋体" w:cs="宋体"/>
          <w:b/>
          <w:szCs w:val="21"/>
        </w:rPr>
        <w:t>合格的供应商</w:t>
      </w:r>
    </w:p>
    <w:p>
      <w:pPr>
        <w:spacing w:line="420" w:lineRule="exact"/>
        <w:ind w:firstLine="480"/>
        <w:rPr>
          <w:rFonts w:ascii="宋体" w:cs="宋体"/>
          <w:szCs w:val="21"/>
        </w:rPr>
      </w:pPr>
      <w:r>
        <w:rPr>
          <w:rFonts w:ascii="宋体" w:hAnsi="宋体" w:cs="宋体"/>
          <w:szCs w:val="21"/>
        </w:rPr>
        <w:t>2.1</w:t>
      </w:r>
      <w:r>
        <w:rPr>
          <w:rFonts w:hint="eastAsia" w:ascii="宋体" w:hAnsi="宋体" w:cs="宋体"/>
          <w:szCs w:val="21"/>
        </w:rPr>
        <w:t>合格的供应商应满足条件详见竞争性磋商须知前附表。</w:t>
      </w:r>
    </w:p>
    <w:p>
      <w:pPr>
        <w:spacing w:line="420" w:lineRule="exact"/>
        <w:ind w:firstLine="480"/>
        <w:rPr>
          <w:rFonts w:ascii="宋体" w:cs="宋体"/>
          <w:szCs w:val="21"/>
        </w:rPr>
      </w:pPr>
      <w:r>
        <w:rPr>
          <w:rFonts w:ascii="宋体" w:hAnsi="宋体" w:cs="宋体"/>
          <w:szCs w:val="21"/>
        </w:rPr>
        <w:t>2.2</w:t>
      </w:r>
      <w:r>
        <w:rPr>
          <w:rFonts w:hint="eastAsia" w:ascii="宋体" w:hAnsi="宋体" w:cs="宋体"/>
          <w:szCs w:val="21"/>
        </w:rPr>
        <w:t>除须知前附表要求的以外，响应供应商还应满足下列要求：</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）具有独立承担民事责任的能力；</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）具有良好的企业信誉和健全的财务会计制度；</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）具有履行合同所必须的设备和专业技术能力；</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）有依法缴纳税收的良好记录；</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）参加政府采购活动前三年内，在经营活动中没有重大违法记录；</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6</w:t>
      </w:r>
      <w:r>
        <w:rPr>
          <w:rFonts w:hint="eastAsia" w:ascii="宋体" w:hAnsi="宋体" w:cs="宋体"/>
          <w:szCs w:val="21"/>
        </w:rPr>
        <w:t>）单位负责人为同一人或者存在控股、管理关系的不同单位，不得参加同一采购项目的磋商。</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7</w:t>
      </w:r>
      <w:r>
        <w:rPr>
          <w:rFonts w:hint="eastAsia" w:ascii="宋体" w:hAnsi="宋体" w:cs="宋体"/>
          <w:szCs w:val="21"/>
        </w:rPr>
        <w:t>）法律、行政法规规定的其他条件。</w:t>
      </w:r>
    </w:p>
    <w:p>
      <w:pPr>
        <w:spacing w:line="420" w:lineRule="exact"/>
        <w:ind w:firstLine="480"/>
        <w:rPr>
          <w:rFonts w:ascii="宋体" w:cs="宋体"/>
          <w:szCs w:val="21"/>
        </w:rPr>
      </w:pPr>
      <w:r>
        <w:rPr>
          <w:rFonts w:ascii="宋体" w:hAnsi="宋体" w:cs="宋体"/>
          <w:szCs w:val="21"/>
        </w:rPr>
        <w:t>2.3</w:t>
      </w:r>
      <w:r>
        <w:rPr>
          <w:rFonts w:hint="eastAsia" w:ascii="宋体" w:hAnsi="宋体" w:cs="宋体"/>
          <w:szCs w:val="21"/>
        </w:rPr>
        <w:t>供应商不得存在下列情形之一：</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）为本项目采购人有关联关系或管理关系的；</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）为本项目提供咨询服务的；</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）为本项目提供采购代理服务的；</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）被责令停业的；</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）资产被接管或冻结的；</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6</w:t>
      </w:r>
      <w:r>
        <w:rPr>
          <w:rFonts w:hint="eastAsia" w:ascii="宋体" w:hAnsi="宋体" w:cs="宋体"/>
          <w:szCs w:val="21"/>
        </w:rPr>
        <w:t>）其他有关法律、行政法规及部门规章禁止的。</w:t>
      </w:r>
    </w:p>
    <w:p>
      <w:pPr>
        <w:spacing w:line="420" w:lineRule="exact"/>
        <w:ind w:firstLine="480"/>
        <w:rPr>
          <w:rFonts w:ascii="宋体" w:cs="宋体"/>
          <w:b/>
          <w:szCs w:val="21"/>
        </w:rPr>
      </w:pPr>
      <w:r>
        <w:rPr>
          <w:rFonts w:ascii="宋体" w:hAnsi="宋体" w:cs="宋体"/>
          <w:szCs w:val="21"/>
        </w:rPr>
        <w:t>2.4</w:t>
      </w:r>
      <w:r>
        <w:rPr>
          <w:rFonts w:hint="eastAsia" w:ascii="宋体" w:hAnsi="宋体" w:cs="宋体"/>
          <w:szCs w:val="21"/>
        </w:rPr>
        <w:t>联合体</w:t>
      </w:r>
      <w:r>
        <w:rPr>
          <w:rFonts w:hint="eastAsia" w:ascii="宋体" w:hAnsi="宋体" w:cs="宋体"/>
          <w:b/>
          <w:szCs w:val="21"/>
        </w:rPr>
        <w:t>（本项目不接受联合体）</w:t>
      </w:r>
    </w:p>
    <w:p>
      <w:pPr>
        <w:spacing w:line="420" w:lineRule="exact"/>
        <w:ind w:firstLine="480"/>
        <w:rPr>
          <w:rFonts w:ascii="宋体" w:cs="宋体"/>
          <w:szCs w:val="21"/>
        </w:rPr>
      </w:pPr>
      <w:r>
        <w:rPr>
          <w:rFonts w:ascii="宋体" w:hAnsi="宋体" w:cs="宋体"/>
          <w:szCs w:val="21"/>
        </w:rPr>
        <w:t>2.4.1</w:t>
      </w:r>
      <w:r>
        <w:rPr>
          <w:rFonts w:hint="eastAsia" w:ascii="宋体" w:hAnsi="宋体" w:cs="宋体"/>
          <w:szCs w:val="21"/>
        </w:rPr>
        <w:t>两个以上的自然人、法人或者其他组织可以组成一个联合体，以一个响应供应商的身份共同参加竞争性磋商。</w:t>
      </w:r>
    </w:p>
    <w:p>
      <w:pPr>
        <w:spacing w:line="420" w:lineRule="exact"/>
        <w:ind w:firstLine="480"/>
        <w:rPr>
          <w:rFonts w:ascii="宋体" w:cs="宋体"/>
          <w:szCs w:val="21"/>
        </w:rPr>
      </w:pPr>
      <w:r>
        <w:rPr>
          <w:rFonts w:ascii="宋体" w:hAnsi="宋体" w:cs="宋体"/>
          <w:szCs w:val="21"/>
        </w:rPr>
        <w:t>2.4.2</w:t>
      </w:r>
      <w:r>
        <w:rPr>
          <w:rFonts w:hint="eastAsia" w:ascii="宋体" w:hAnsi="宋体" w:cs="宋体"/>
          <w:szCs w:val="21"/>
        </w:rPr>
        <w:t>以联合体形式进行政府采购的，参加联合体的各方均应当具备《中华人民共和国政府采购法》第二十二条规定的条件，并向采购人提交联合协议，载明联合体各方承担的工作和义务，并承诺一旦成交联合体各方将向采购人承担连带责任。联合体各方应当共同与采购人签订采购合同，就采购合同约定的事项对采购人承担连带责任。</w:t>
      </w:r>
    </w:p>
    <w:p>
      <w:pPr>
        <w:spacing w:line="420" w:lineRule="exact"/>
        <w:ind w:firstLine="480"/>
        <w:rPr>
          <w:rFonts w:ascii="宋体" w:cs="宋体"/>
          <w:szCs w:val="21"/>
        </w:rPr>
      </w:pPr>
      <w:r>
        <w:rPr>
          <w:rFonts w:ascii="宋体" w:hAnsi="宋体" w:cs="宋体"/>
          <w:szCs w:val="21"/>
        </w:rPr>
        <w:t>2.4.3</w:t>
      </w:r>
      <w:r>
        <w:rPr>
          <w:rFonts w:hint="eastAsia" w:ascii="宋体" w:hAnsi="宋体" w:cs="宋体"/>
          <w:szCs w:val="21"/>
        </w:rPr>
        <w:t>联合体中有同类资质的按照联合体分工承担相同工作的，应当按照资质等级较低的确定资质等级（如有要求）；或至少有一家符合磋商项目规定的特别条件。</w:t>
      </w:r>
    </w:p>
    <w:p>
      <w:pPr>
        <w:spacing w:line="420" w:lineRule="exact"/>
        <w:ind w:firstLine="480"/>
        <w:rPr>
          <w:rFonts w:ascii="宋体" w:cs="宋体"/>
          <w:szCs w:val="21"/>
        </w:rPr>
      </w:pPr>
      <w:r>
        <w:rPr>
          <w:rFonts w:ascii="宋体" w:hAnsi="宋体" w:cs="宋体"/>
          <w:szCs w:val="21"/>
        </w:rPr>
        <w:t>2.4.4</w:t>
      </w:r>
      <w:r>
        <w:rPr>
          <w:rFonts w:hint="eastAsia" w:ascii="宋体" w:hAnsi="宋体" w:cs="宋体"/>
          <w:szCs w:val="21"/>
        </w:rPr>
        <w:t>以联合体形式参加政府采购活动的，联合体各方不得再单独参加或者与其他供应商另外再组成联合体参加统一合同项下的政府采购活动。</w:t>
      </w:r>
    </w:p>
    <w:p>
      <w:pPr>
        <w:spacing w:line="420" w:lineRule="exact"/>
        <w:ind w:firstLine="482"/>
        <w:rPr>
          <w:rFonts w:ascii="宋体" w:cs="宋体"/>
          <w:b/>
          <w:szCs w:val="21"/>
        </w:rPr>
      </w:pPr>
      <w:r>
        <w:rPr>
          <w:rFonts w:ascii="宋体" w:hAnsi="宋体" w:cs="宋体"/>
          <w:b/>
          <w:szCs w:val="21"/>
        </w:rPr>
        <w:t>3.</w:t>
      </w:r>
      <w:r>
        <w:rPr>
          <w:rFonts w:hint="eastAsia" w:ascii="宋体" w:hAnsi="宋体" w:cs="宋体"/>
          <w:b/>
          <w:szCs w:val="21"/>
        </w:rPr>
        <w:t>提供服务的范围内容及要求</w:t>
      </w:r>
    </w:p>
    <w:p>
      <w:pPr>
        <w:spacing w:line="420" w:lineRule="exact"/>
        <w:ind w:firstLine="480"/>
        <w:rPr>
          <w:rFonts w:ascii="宋体" w:cs="宋体"/>
          <w:szCs w:val="21"/>
        </w:rPr>
      </w:pPr>
      <w:r>
        <w:rPr>
          <w:rFonts w:ascii="宋体" w:hAnsi="宋体" w:cs="宋体"/>
          <w:szCs w:val="21"/>
        </w:rPr>
        <w:t>3.1</w:t>
      </w:r>
      <w:r>
        <w:rPr>
          <w:rFonts w:hint="eastAsia" w:ascii="宋体" w:hAnsi="宋体" w:cs="宋体"/>
          <w:szCs w:val="21"/>
        </w:rPr>
        <w:t>采购需求：第</w:t>
      </w:r>
      <w:r>
        <w:rPr>
          <w:rFonts w:hint="eastAsia" w:ascii="宋体" w:hAnsi="宋体" w:cs="宋体"/>
          <w:b/>
          <w:bCs/>
          <w:szCs w:val="21"/>
        </w:rPr>
        <w:t>二</w:t>
      </w:r>
      <w:r>
        <w:rPr>
          <w:rFonts w:hint="eastAsia" w:ascii="宋体" w:hAnsi="宋体" w:cs="宋体"/>
          <w:szCs w:val="21"/>
        </w:rPr>
        <w:t>章项目采购需求及其他要求中“服务范围及内容”；</w:t>
      </w:r>
    </w:p>
    <w:p>
      <w:pPr>
        <w:spacing w:line="420" w:lineRule="exact"/>
        <w:ind w:firstLine="480"/>
        <w:rPr>
          <w:rFonts w:ascii="宋体" w:cs="宋体"/>
          <w:szCs w:val="21"/>
        </w:rPr>
      </w:pPr>
      <w:r>
        <w:rPr>
          <w:rFonts w:ascii="宋体" w:hAnsi="宋体" w:cs="宋体"/>
          <w:szCs w:val="21"/>
        </w:rPr>
        <w:t>3.2</w:t>
      </w:r>
      <w:r>
        <w:rPr>
          <w:rFonts w:hint="eastAsia" w:ascii="宋体" w:hAnsi="宋体" w:cs="宋体"/>
          <w:szCs w:val="21"/>
        </w:rPr>
        <w:t>其他要求：第</w:t>
      </w:r>
      <w:r>
        <w:rPr>
          <w:rFonts w:hint="eastAsia" w:ascii="宋体" w:hAnsi="宋体" w:cs="宋体"/>
          <w:b/>
          <w:bCs/>
          <w:szCs w:val="21"/>
        </w:rPr>
        <w:t>二</w:t>
      </w:r>
      <w:r>
        <w:rPr>
          <w:rFonts w:hint="eastAsia" w:ascii="宋体" w:hAnsi="宋体" w:cs="宋体"/>
          <w:szCs w:val="21"/>
        </w:rPr>
        <w:t>章项目采购需求及其他要求中“其他要求”。</w:t>
      </w:r>
    </w:p>
    <w:p>
      <w:pPr>
        <w:spacing w:line="420" w:lineRule="exact"/>
        <w:ind w:firstLine="482"/>
        <w:outlineLvl w:val="0"/>
        <w:rPr>
          <w:rFonts w:ascii="宋体" w:cs="宋体"/>
          <w:b/>
          <w:szCs w:val="21"/>
        </w:rPr>
      </w:pPr>
      <w:r>
        <w:rPr>
          <w:rFonts w:ascii="宋体" w:hAnsi="宋体" w:cs="宋体"/>
          <w:b/>
          <w:szCs w:val="21"/>
        </w:rPr>
        <w:t>4.</w:t>
      </w:r>
      <w:r>
        <w:rPr>
          <w:rFonts w:hint="eastAsia" w:ascii="宋体" w:hAnsi="宋体" w:cs="宋体"/>
          <w:b/>
          <w:szCs w:val="21"/>
        </w:rPr>
        <w:t>磋商费用</w:t>
      </w:r>
    </w:p>
    <w:p>
      <w:pPr>
        <w:spacing w:line="420" w:lineRule="exact"/>
        <w:ind w:firstLine="480"/>
        <w:rPr>
          <w:rFonts w:ascii="宋体" w:cs="宋体"/>
          <w:szCs w:val="21"/>
        </w:rPr>
      </w:pPr>
      <w:r>
        <w:rPr>
          <w:rFonts w:hint="eastAsia" w:ascii="宋体" w:hAnsi="宋体" w:cs="宋体"/>
          <w:szCs w:val="21"/>
        </w:rPr>
        <w:t>供应商应承担所有与准备和参加磋商有关的费用。不论磋商的结果如何，竞争性磋商须知资料表中所述的采购人或采购机构均无义务和责任承担这些费用。</w:t>
      </w:r>
    </w:p>
    <w:p>
      <w:pPr>
        <w:spacing w:line="420" w:lineRule="exact"/>
        <w:ind w:firstLine="482"/>
        <w:outlineLvl w:val="0"/>
        <w:rPr>
          <w:rFonts w:ascii="宋体" w:cs="宋体"/>
          <w:b/>
          <w:szCs w:val="21"/>
        </w:rPr>
      </w:pPr>
      <w:r>
        <w:rPr>
          <w:rFonts w:ascii="宋体" w:hAnsi="宋体" w:cs="宋体"/>
          <w:b/>
          <w:szCs w:val="21"/>
        </w:rPr>
        <w:t>5.</w:t>
      </w:r>
      <w:r>
        <w:rPr>
          <w:rFonts w:hint="eastAsia" w:ascii="宋体" w:hAnsi="宋体" w:cs="宋体"/>
          <w:b/>
          <w:szCs w:val="21"/>
        </w:rPr>
        <w:t>现场考察及答疑会</w:t>
      </w:r>
    </w:p>
    <w:p>
      <w:pPr>
        <w:spacing w:line="420" w:lineRule="exact"/>
        <w:ind w:firstLine="480"/>
        <w:rPr>
          <w:rFonts w:ascii="宋体" w:cs="宋体"/>
          <w:szCs w:val="21"/>
        </w:rPr>
      </w:pPr>
      <w:r>
        <w:rPr>
          <w:rFonts w:ascii="宋体" w:hAnsi="宋体" w:cs="宋体"/>
          <w:szCs w:val="21"/>
        </w:rPr>
        <w:t>5.1</w:t>
      </w:r>
      <w:r>
        <w:rPr>
          <w:rFonts w:hint="eastAsia" w:ascii="宋体" w:hAnsi="宋体" w:cs="宋体"/>
          <w:szCs w:val="21"/>
        </w:rPr>
        <w:t>采购人不组织现场考察和答疑会,供应商</w:t>
      </w:r>
      <w:r>
        <w:rPr>
          <w:rFonts w:hint="eastAsia" w:ascii="宋体" w:hAnsi="宋体" w:cs="宋体"/>
          <w:bCs/>
          <w:szCs w:val="21"/>
        </w:rPr>
        <w:t>自行组织调研考察</w:t>
      </w:r>
      <w:r>
        <w:rPr>
          <w:rFonts w:hint="eastAsia" w:ascii="宋体" w:hAnsi="宋体" w:cs="宋体"/>
          <w:szCs w:val="21"/>
        </w:rPr>
        <w:t>。</w:t>
      </w:r>
    </w:p>
    <w:p>
      <w:pPr>
        <w:spacing w:line="420" w:lineRule="exact"/>
        <w:ind w:firstLine="480"/>
        <w:rPr>
          <w:rFonts w:ascii="宋体" w:cs="宋体"/>
          <w:szCs w:val="21"/>
        </w:rPr>
      </w:pPr>
      <w:r>
        <w:rPr>
          <w:rFonts w:ascii="宋体" w:hAnsi="宋体" w:cs="宋体"/>
          <w:szCs w:val="21"/>
        </w:rPr>
        <w:t>5.2</w:t>
      </w:r>
      <w:r>
        <w:rPr>
          <w:rFonts w:hint="eastAsia" w:ascii="宋体" w:hAnsi="宋体" w:cs="宋体"/>
          <w:szCs w:val="21"/>
        </w:rPr>
        <w:t>供应商进行现场考察所发生的费用自理，承担现场考察中所发生的人员伤亡和财产损失等一切责任。</w:t>
      </w:r>
    </w:p>
    <w:p>
      <w:pPr>
        <w:numPr>
          <w:ilvl w:val="0"/>
          <w:numId w:val="2"/>
        </w:numPr>
        <w:spacing w:line="420" w:lineRule="exact"/>
        <w:ind w:firstLine="480"/>
        <w:rPr>
          <w:rFonts w:ascii="宋体" w:cs="宋体"/>
          <w:bCs/>
          <w:szCs w:val="21"/>
        </w:rPr>
      </w:pPr>
      <w:r>
        <w:rPr>
          <w:rFonts w:hint="eastAsia" w:ascii="宋体" w:hAnsi="宋体" w:cs="宋体"/>
          <w:bCs/>
          <w:szCs w:val="21"/>
        </w:rPr>
        <w:t>响应供商的确定</w:t>
      </w:r>
    </w:p>
    <w:p>
      <w:pPr>
        <w:spacing w:line="420" w:lineRule="exact"/>
        <w:ind w:firstLine="480"/>
        <w:rPr>
          <w:rFonts w:ascii="宋体" w:cs="宋体"/>
          <w:bCs/>
          <w:szCs w:val="21"/>
        </w:rPr>
      </w:pPr>
      <w:r>
        <w:rPr>
          <w:rFonts w:ascii="宋体" w:hAnsi="宋体" w:cs="宋体"/>
          <w:bCs/>
          <w:szCs w:val="21"/>
        </w:rPr>
        <w:t>6.1</w:t>
      </w:r>
      <w:r>
        <w:rPr>
          <w:rFonts w:hint="eastAsia" w:ascii="宋体" w:hAnsi="宋体" w:cs="宋体"/>
          <w:bCs/>
          <w:szCs w:val="21"/>
        </w:rPr>
        <w:t>《政府采购竞争性磋商采购方式管理办法》财库</w:t>
      </w:r>
      <w:r>
        <w:rPr>
          <w:rFonts w:ascii="宋体" w:hAnsi="宋体" w:cs="宋体"/>
          <w:bCs/>
          <w:szCs w:val="21"/>
        </w:rPr>
        <w:t>[2014]214</w:t>
      </w:r>
      <w:r>
        <w:rPr>
          <w:rFonts w:hint="eastAsia" w:ascii="宋体" w:hAnsi="宋体" w:cs="宋体"/>
          <w:bCs/>
          <w:szCs w:val="21"/>
        </w:rPr>
        <w:t>号第六条规定确定，或通过资格预审确定。</w:t>
      </w:r>
    </w:p>
    <w:p>
      <w:pPr>
        <w:spacing w:line="420" w:lineRule="exact"/>
        <w:ind w:firstLine="482"/>
        <w:jc w:val="center"/>
        <w:rPr>
          <w:rFonts w:ascii="宋体" w:cs="宋体"/>
          <w:sz w:val="28"/>
          <w:szCs w:val="28"/>
        </w:rPr>
      </w:pPr>
      <w:bookmarkStart w:id="166" w:name="_Toc448307928"/>
      <w:bookmarkEnd w:id="166"/>
      <w:r>
        <w:br w:type="page"/>
      </w:r>
      <w:r>
        <w:rPr>
          <w:rFonts w:hint="eastAsia" w:ascii="宋体" w:hAnsi="宋体" w:cs="宋体"/>
          <w:b/>
          <w:sz w:val="28"/>
          <w:szCs w:val="28"/>
        </w:rPr>
        <w:t>三、磋商文件</w:t>
      </w:r>
    </w:p>
    <w:p>
      <w:pPr>
        <w:spacing w:line="420" w:lineRule="exact"/>
        <w:ind w:firstLine="482"/>
        <w:rPr>
          <w:rFonts w:ascii="宋体" w:cs="宋体"/>
          <w:b/>
          <w:szCs w:val="21"/>
        </w:rPr>
      </w:pPr>
      <w:r>
        <w:rPr>
          <w:rFonts w:ascii="宋体" w:hAnsi="宋体" w:cs="宋体"/>
          <w:b/>
          <w:szCs w:val="21"/>
        </w:rPr>
        <w:t>7.</w:t>
      </w:r>
      <w:r>
        <w:rPr>
          <w:rFonts w:hint="eastAsia" w:ascii="宋体" w:hAnsi="宋体" w:cs="宋体"/>
          <w:b/>
          <w:szCs w:val="21"/>
        </w:rPr>
        <w:t>磋商文件的编制依据与构成</w:t>
      </w:r>
    </w:p>
    <w:p>
      <w:pPr>
        <w:spacing w:line="420" w:lineRule="exact"/>
        <w:outlineLvl w:val="0"/>
        <w:rPr>
          <w:rFonts w:ascii="宋体" w:cs="宋体"/>
          <w:szCs w:val="21"/>
        </w:rPr>
      </w:pPr>
      <w:r>
        <w:rPr>
          <w:rFonts w:ascii="宋体" w:hAnsi="宋体" w:cs="宋体"/>
          <w:szCs w:val="21"/>
        </w:rPr>
        <w:t xml:space="preserve">    7.1</w:t>
      </w:r>
      <w:r>
        <w:rPr>
          <w:rFonts w:hint="eastAsia" w:ascii="宋体" w:hAnsi="宋体" w:cs="宋体"/>
          <w:szCs w:val="21"/>
        </w:rPr>
        <w:t>本竞争性磋商文件（以下简称磋商文件）的编制依据</w:t>
      </w:r>
    </w:p>
    <w:p>
      <w:pPr>
        <w:spacing w:line="420" w:lineRule="exact"/>
        <w:ind w:firstLine="480"/>
        <w:rPr>
          <w:rFonts w:ascii="宋体" w:cs="宋体"/>
          <w:szCs w:val="21"/>
        </w:rPr>
      </w:pPr>
      <w:r>
        <w:rPr>
          <w:rFonts w:ascii="宋体" w:hAnsi="宋体" w:cs="宋体"/>
          <w:szCs w:val="21"/>
        </w:rPr>
        <w:t>7.1.1</w:t>
      </w:r>
      <w:r>
        <w:rPr>
          <w:rFonts w:hint="eastAsia" w:ascii="宋体" w:hAnsi="宋体" w:cs="宋体"/>
          <w:szCs w:val="21"/>
        </w:rPr>
        <w:t>《中华人民共和国政府采购法》</w:t>
      </w:r>
    </w:p>
    <w:p>
      <w:pPr>
        <w:spacing w:line="420" w:lineRule="exact"/>
        <w:ind w:firstLine="480"/>
        <w:rPr>
          <w:rFonts w:ascii="宋体" w:cs="宋体"/>
          <w:szCs w:val="21"/>
        </w:rPr>
      </w:pPr>
      <w:r>
        <w:rPr>
          <w:rFonts w:ascii="宋体" w:hAnsi="宋体" w:cs="宋体"/>
          <w:szCs w:val="21"/>
        </w:rPr>
        <w:t>7.1.2</w:t>
      </w:r>
      <w:r>
        <w:rPr>
          <w:rFonts w:hint="eastAsia" w:ascii="宋体" w:hAnsi="宋体" w:cs="宋体"/>
          <w:szCs w:val="21"/>
        </w:rPr>
        <w:t>《中华人民共和国政府采购法实施条例》</w:t>
      </w:r>
    </w:p>
    <w:p>
      <w:pPr>
        <w:spacing w:line="420" w:lineRule="exact"/>
        <w:rPr>
          <w:rFonts w:ascii="宋体" w:cs="宋体"/>
          <w:szCs w:val="21"/>
        </w:rPr>
      </w:pPr>
      <w:r>
        <w:rPr>
          <w:rFonts w:ascii="宋体" w:hAnsi="宋体" w:cs="宋体"/>
          <w:szCs w:val="21"/>
        </w:rPr>
        <w:t xml:space="preserve">    7.1.6</w:t>
      </w:r>
      <w:r>
        <w:rPr>
          <w:rFonts w:hint="eastAsia" w:ascii="宋体" w:hAnsi="宋体" w:cs="宋体"/>
          <w:szCs w:val="21"/>
        </w:rPr>
        <w:t>财政部关于印发《政府采购竞争性磋商采购方式管理暂行办法》的通知（财库</w:t>
      </w:r>
      <w:r>
        <w:rPr>
          <w:rFonts w:ascii="宋体" w:hAnsi="宋体" w:cs="宋体"/>
          <w:szCs w:val="21"/>
        </w:rPr>
        <w:t>[2014]214</w:t>
      </w:r>
      <w:r>
        <w:rPr>
          <w:rFonts w:hint="eastAsia" w:ascii="宋体" w:hAnsi="宋体" w:cs="宋体"/>
          <w:szCs w:val="21"/>
        </w:rPr>
        <w:t>号）</w:t>
      </w:r>
    </w:p>
    <w:p>
      <w:pPr>
        <w:spacing w:line="420" w:lineRule="exact"/>
        <w:ind w:firstLine="480"/>
        <w:rPr>
          <w:rFonts w:ascii="宋体" w:cs="宋体"/>
          <w:szCs w:val="21"/>
        </w:rPr>
      </w:pPr>
      <w:r>
        <w:rPr>
          <w:rFonts w:ascii="宋体" w:hAnsi="宋体" w:cs="宋体"/>
          <w:szCs w:val="21"/>
        </w:rPr>
        <w:t>7.1.7</w:t>
      </w:r>
      <w:r>
        <w:rPr>
          <w:rFonts w:hint="eastAsia" w:ascii="宋体" w:hAnsi="宋体" w:cs="宋体"/>
          <w:szCs w:val="21"/>
        </w:rPr>
        <w:t>关于印发《政府购买服务管理办法（暂行）》的通知（财综</w:t>
      </w:r>
      <w:r>
        <w:rPr>
          <w:rFonts w:ascii="宋体" w:hAnsi="宋体" w:cs="宋体"/>
          <w:szCs w:val="21"/>
        </w:rPr>
        <w:t>[2014]96</w:t>
      </w:r>
      <w:r>
        <w:rPr>
          <w:rFonts w:hint="eastAsia" w:ascii="宋体" w:hAnsi="宋体" w:cs="宋体"/>
          <w:szCs w:val="21"/>
        </w:rPr>
        <w:t>号）</w:t>
      </w:r>
    </w:p>
    <w:p>
      <w:pPr>
        <w:spacing w:line="420" w:lineRule="exact"/>
        <w:ind w:firstLine="480"/>
        <w:rPr>
          <w:rFonts w:ascii="宋体" w:cs="宋体"/>
          <w:szCs w:val="21"/>
        </w:rPr>
      </w:pPr>
      <w:r>
        <w:rPr>
          <w:rFonts w:ascii="宋体" w:hAnsi="宋体" w:cs="宋体"/>
          <w:szCs w:val="21"/>
        </w:rPr>
        <w:t>7.1.8</w:t>
      </w:r>
      <w:r>
        <w:rPr>
          <w:rFonts w:hint="eastAsia" w:ascii="宋体" w:hAnsi="宋体" w:cs="宋体"/>
          <w:szCs w:val="21"/>
        </w:rPr>
        <w:t>《财政部关于竞争性磋商采购方式管理暂行办法有关问题的补充通知》（财库</w:t>
      </w:r>
      <w:r>
        <w:rPr>
          <w:rFonts w:ascii="宋体" w:hAnsi="宋体" w:cs="宋体"/>
          <w:szCs w:val="21"/>
        </w:rPr>
        <w:t>[2015]124</w:t>
      </w:r>
      <w:r>
        <w:rPr>
          <w:rFonts w:hint="eastAsia" w:ascii="宋体" w:hAnsi="宋体" w:cs="宋体"/>
          <w:szCs w:val="21"/>
        </w:rPr>
        <w:t>号）</w:t>
      </w:r>
    </w:p>
    <w:p>
      <w:pPr>
        <w:spacing w:line="420" w:lineRule="exact"/>
        <w:ind w:firstLine="480"/>
        <w:rPr>
          <w:rFonts w:ascii="宋体" w:cs="宋体"/>
          <w:szCs w:val="21"/>
        </w:rPr>
      </w:pPr>
      <w:r>
        <w:rPr>
          <w:rFonts w:hint="eastAsia" w:ascii="宋体" w:hAnsi="宋体" w:cs="宋体"/>
          <w:szCs w:val="21"/>
        </w:rPr>
        <w:t>磋商文件的编制依据含但不限于上述文件，上述文件如有更新的以最新版本为准。</w:t>
      </w:r>
    </w:p>
    <w:p>
      <w:pPr>
        <w:spacing w:line="420" w:lineRule="exact"/>
        <w:ind w:firstLine="480"/>
        <w:rPr>
          <w:rFonts w:ascii="宋体" w:cs="宋体"/>
          <w:szCs w:val="21"/>
        </w:rPr>
      </w:pPr>
      <w:r>
        <w:rPr>
          <w:rFonts w:ascii="宋体" w:hAnsi="宋体" w:cs="宋体"/>
          <w:szCs w:val="21"/>
        </w:rPr>
        <w:t>7.2</w:t>
      </w:r>
      <w:r>
        <w:rPr>
          <w:rFonts w:hint="eastAsia" w:ascii="宋体" w:hAnsi="宋体" w:cs="宋体"/>
          <w:szCs w:val="21"/>
        </w:rPr>
        <w:t>磋商文件由下列章节组成：</w:t>
      </w:r>
    </w:p>
    <w:p>
      <w:pPr>
        <w:spacing w:line="420" w:lineRule="exact"/>
        <w:ind w:firstLine="480"/>
        <w:rPr>
          <w:rFonts w:ascii="宋体" w:cs="宋体"/>
          <w:szCs w:val="21"/>
        </w:rPr>
      </w:pPr>
      <w:r>
        <w:rPr>
          <w:rFonts w:hint="eastAsia" w:ascii="宋体" w:hAnsi="宋体" w:cs="宋体"/>
          <w:szCs w:val="21"/>
        </w:rPr>
        <w:t>第一章 邀请函</w:t>
      </w:r>
    </w:p>
    <w:p>
      <w:pPr>
        <w:spacing w:line="420" w:lineRule="exact"/>
        <w:ind w:firstLine="480"/>
        <w:rPr>
          <w:rFonts w:ascii="宋体" w:cs="宋体"/>
          <w:szCs w:val="21"/>
        </w:rPr>
      </w:pPr>
      <w:r>
        <w:rPr>
          <w:rFonts w:hint="eastAsia" w:ascii="宋体" w:hAnsi="宋体" w:cs="宋体"/>
          <w:szCs w:val="21"/>
        </w:rPr>
        <w:t>第二章 项目采购需求及要求</w:t>
      </w:r>
    </w:p>
    <w:p>
      <w:pPr>
        <w:spacing w:line="420" w:lineRule="exact"/>
        <w:ind w:firstLine="480"/>
        <w:rPr>
          <w:rFonts w:ascii="宋体" w:cs="宋体"/>
          <w:szCs w:val="21"/>
        </w:rPr>
      </w:pPr>
      <w:r>
        <w:rPr>
          <w:rFonts w:hint="eastAsia" w:ascii="宋体" w:hAnsi="宋体" w:cs="宋体"/>
          <w:szCs w:val="21"/>
        </w:rPr>
        <w:t>第三章 竞争性磋商须知</w:t>
      </w:r>
    </w:p>
    <w:p>
      <w:pPr>
        <w:spacing w:line="420" w:lineRule="exact"/>
        <w:ind w:firstLine="480"/>
        <w:rPr>
          <w:rFonts w:ascii="宋体" w:cs="宋体"/>
          <w:szCs w:val="21"/>
        </w:rPr>
      </w:pPr>
      <w:r>
        <w:rPr>
          <w:rFonts w:hint="eastAsia" w:ascii="宋体" w:hAnsi="宋体" w:cs="宋体"/>
          <w:szCs w:val="21"/>
        </w:rPr>
        <w:t>第四章 评审办法</w:t>
      </w:r>
    </w:p>
    <w:p>
      <w:pPr>
        <w:spacing w:line="420" w:lineRule="exact"/>
        <w:ind w:firstLine="480"/>
        <w:rPr>
          <w:rFonts w:ascii="宋体" w:cs="宋体"/>
          <w:szCs w:val="21"/>
        </w:rPr>
      </w:pPr>
      <w:r>
        <w:rPr>
          <w:rFonts w:hint="eastAsia" w:ascii="宋体" w:hAnsi="宋体" w:cs="宋体"/>
          <w:szCs w:val="21"/>
        </w:rPr>
        <w:t>第五章 项目合同（草案）</w:t>
      </w:r>
    </w:p>
    <w:p>
      <w:pPr>
        <w:spacing w:line="420" w:lineRule="exact"/>
        <w:ind w:firstLine="480"/>
        <w:rPr>
          <w:rFonts w:ascii="宋体" w:cs="宋体"/>
          <w:szCs w:val="21"/>
        </w:rPr>
      </w:pPr>
      <w:r>
        <w:rPr>
          <w:rFonts w:hint="eastAsia" w:ascii="宋体" w:hAnsi="宋体" w:cs="宋体"/>
          <w:szCs w:val="21"/>
        </w:rPr>
        <w:t>第六章 响应文件格式</w:t>
      </w:r>
    </w:p>
    <w:p>
      <w:pPr>
        <w:spacing w:line="420" w:lineRule="exact"/>
        <w:ind w:firstLine="480"/>
        <w:rPr>
          <w:rFonts w:ascii="宋体" w:cs="宋体"/>
          <w:szCs w:val="21"/>
        </w:rPr>
      </w:pPr>
      <w:r>
        <w:rPr>
          <w:rFonts w:ascii="宋体" w:hAnsi="宋体" w:cs="宋体"/>
          <w:szCs w:val="21"/>
        </w:rPr>
        <w:t>7.3</w:t>
      </w:r>
      <w:r>
        <w:rPr>
          <w:rFonts w:hint="eastAsia" w:ascii="宋体" w:hAnsi="宋体" w:cs="宋体"/>
          <w:szCs w:val="21"/>
        </w:rPr>
        <w:t>磋商文件以中文文字编写。纸质磋商文件与电子介质磋商文件具有同等法律效力，除另有约定外，两者出现不一致时，以纸质磋商文件为准。</w:t>
      </w:r>
    </w:p>
    <w:p>
      <w:pPr>
        <w:spacing w:line="420" w:lineRule="exact"/>
        <w:ind w:firstLine="480"/>
        <w:rPr>
          <w:rFonts w:ascii="宋体" w:cs="宋体"/>
          <w:szCs w:val="21"/>
        </w:rPr>
      </w:pPr>
      <w:r>
        <w:rPr>
          <w:rFonts w:ascii="宋体" w:hAnsi="宋体" w:cs="宋体"/>
          <w:szCs w:val="21"/>
        </w:rPr>
        <w:t>7.4</w:t>
      </w:r>
      <w:r>
        <w:rPr>
          <w:rFonts w:hint="eastAsia" w:ascii="宋体" w:hAnsi="宋体" w:cs="宋体"/>
          <w:szCs w:val="21"/>
        </w:rPr>
        <w:t>供应商应认真阅读、磋商文件中所有的事项、格式、条款和磋商内容及要求等，并按照磋商文件的要求编制响应文件。若供应商不按照磋商文件要求编制相应文件，由此产生的风险和责任将由供应商自己承担。</w:t>
      </w:r>
    </w:p>
    <w:p>
      <w:pPr>
        <w:spacing w:line="420" w:lineRule="exact"/>
        <w:ind w:firstLine="482"/>
        <w:outlineLvl w:val="0"/>
        <w:rPr>
          <w:rFonts w:ascii="宋体" w:cs="宋体"/>
          <w:b/>
          <w:szCs w:val="21"/>
        </w:rPr>
      </w:pPr>
      <w:r>
        <w:rPr>
          <w:rFonts w:ascii="宋体" w:hAnsi="宋体" w:cs="宋体"/>
          <w:b/>
          <w:szCs w:val="21"/>
        </w:rPr>
        <w:t>8.</w:t>
      </w:r>
      <w:r>
        <w:rPr>
          <w:rFonts w:hint="eastAsia" w:ascii="宋体" w:hAnsi="宋体" w:cs="宋体"/>
          <w:b/>
          <w:szCs w:val="21"/>
        </w:rPr>
        <w:t>磋商文件的澄清、修改及变动</w:t>
      </w:r>
    </w:p>
    <w:p>
      <w:pPr>
        <w:spacing w:line="420" w:lineRule="exact"/>
        <w:ind w:firstLine="480"/>
        <w:rPr>
          <w:rFonts w:ascii="宋体" w:cs="宋体"/>
          <w:szCs w:val="21"/>
        </w:rPr>
      </w:pPr>
      <w:r>
        <w:rPr>
          <w:rFonts w:ascii="宋体" w:hAnsi="宋体" w:cs="宋体"/>
          <w:szCs w:val="21"/>
        </w:rPr>
        <w:t>8.1</w:t>
      </w:r>
      <w:r>
        <w:rPr>
          <w:rFonts w:hint="eastAsia" w:ascii="宋体" w:hAnsi="宋体" w:cs="宋体"/>
          <w:szCs w:val="21"/>
        </w:rPr>
        <w:t>提交首次响应文件截止之日前，采购人、采购代理机构或者磋商小组有权对已发出的磋商文件进行必要的澄清或者修改，澄清或者修改的内容作为磋商文件的组成部分。如澄清或者修改的内容可能影响响应文件编制，采购人、采购代理机构将在提交首次响应文件截止时间至少</w:t>
      </w:r>
      <w:r>
        <w:rPr>
          <w:rFonts w:ascii="宋体" w:hAnsi="宋体" w:cs="宋体"/>
          <w:szCs w:val="21"/>
        </w:rPr>
        <w:t>5</w:t>
      </w:r>
      <w:r>
        <w:rPr>
          <w:rFonts w:hint="eastAsia" w:ascii="宋体" w:hAnsi="宋体" w:cs="宋体"/>
          <w:szCs w:val="21"/>
        </w:rPr>
        <w:t>日前，以书面形式通知所有获取磋商文件的供应商；不足</w:t>
      </w:r>
      <w:r>
        <w:rPr>
          <w:rFonts w:ascii="宋体" w:hAnsi="宋体" w:cs="宋体"/>
          <w:szCs w:val="21"/>
        </w:rPr>
        <w:t>5</w:t>
      </w:r>
      <w:r>
        <w:rPr>
          <w:rFonts w:hint="eastAsia" w:ascii="宋体" w:hAnsi="宋体" w:cs="宋体"/>
          <w:szCs w:val="21"/>
        </w:rPr>
        <w:t>日的，采购人、采购代理机构将顺延提交首次响应文件截止时间。</w:t>
      </w:r>
    </w:p>
    <w:p>
      <w:pPr>
        <w:spacing w:line="420" w:lineRule="exact"/>
        <w:ind w:firstLine="480"/>
        <w:rPr>
          <w:rFonts w:ascii="宋体" w:cs="宋体"/>
          <w:szCs w:val="21"/>
        </w:rPr>
      </w:pPr>
      <w:r>
        <w:rPr>
          <w:rFonts w:ascii="宋体" w:hAnsi="宋体" w:cs="宋体"/>
          <w:szCs w:val="21"/>
        </w:rPr>
        <w:t>8.2</w:t>
      </w:r>
      <w:r>
        <w:rPr>
          <w:rFonts w:hint="eastAsia" w:ascii="宋体" w:hAnsi="宋体" w:cs="宋体"/>
          <w:szCs w:val="21"/>
        </w:rPr>
        <w:t>如供应商对磋商文件内容有疑义，需在竞争性磋商须知资料表中规定的时间前以书面形式向采购代理机构提出，采购代理机构收到将进行书面答复。如答复内容需要对磋商文件进行澄清和修改的将按照相关规定执行。</w:t>
      </w:r>
    </w:p>
    <w:p>
      <w:pPr>
        <w:spacing w:line="440" w:lineRule="exact"/>
        <w:ind w:firstLine="480"/>
        <w:rPr>
          <w:rFonts w:ascii="宋体" w:cs="宋体"/>
          <w:szCs w:val="21"/>
        </w:rPr>
      </w:pPr>
      <w:r>
        <w:rPr>
          <w:rFonts w:ascii="宋体" w:hAnsi="宋体" w:cs="宋体"/>
          <w:szCs w:val="21"/>
        </w:rPr>
        <w:t>8.3</w:t>
      </w:r>
      <w:r>
        <w:rPr>
          <w:rFonts w:hint="eastAsia" w:ascii="宋体" w:hAnsi="宋体" w:cs="宋体"/>
          <w:szCs w:val="21"/>
        </w:rPr>
        <w:t>在采购需求明确以后，采购人会依据磋商会议纪要及磋商小组要求对磋商文件进行变动。磋商文件的变动主要标段含采购需求中的技术、服务要求以及合同草案条款等，并将磋商文件的全部变动内容发给参与磋商的供应商。</w:t>
      </w:r>
    </w:p>
    <w:p>
      <w:pPr>
        <w:spacing w:line="420" w:lineRule="exact"/>
        <w:ind w:firstLine="482"/>
        <w:outlineLvl w:val="0"/>
        <w:rPr>
          <w:rFonts w:ascii="宋体" w:cs="宋体"/>
          <w:b/>
          <w:szCs w:val="21"/>
        </w:rPr>
      </w:pPr>
      <w:bookmarkStart w:id="167" w:name="_Toc448307929"/>
      <w:bookmarkEnd w:id="167"/>
      <w:r>
        <w:rPr>
          <w:rFonts w:hint="eastAsia" w:ascii="宋体" w:hAnsi="宋体" w:cs="宋体"/>
          <w:b/>
          <w:szCs w:val="21"/>
        </w:rPr>
        <w:t>四、响应文件的编制</w:t>
      </w:r>
    </w:p>
    <w:p>
      <w:pPr>
        <w:spacing w:line="420" w:lineRule="exact"/>
        <w:ind w:firstLine="482"/>
        <w:rPr>
          <w:rFonts w:ascii="宋体" w:cs="宋体"/>
          <w:b/>
          <w:szCs w:val="21"/>
        </w:rPr>
      </w:pPr>
      <w:r>
        <w:rPr>
          <w:rFonts w:ascii="宋体" w:hAnsi="宋体" w:cs="宋体"/>
          <w:b/>
          <w:szCs w:val="21"/>
        </w:rPr>
        <w:t>9.</w:t>
      </w:r>
      <w:r>
        <w:rPr>
          <w:rFonts w:hint="eastAsia" w:ascii="宋体" w:hAnsi="宋体" w:cs="宋体"/>
          <w:b/>
          <w:szCs w:val="21"/>
        </w:rPr>
        <w:t>磋商的语言与计量</w:t>
      </w:r>
    </w:p>
    <w:p>
      <w:pPr>
        <w:spacing w:line="420" w:lineRule="exact"/>
        <w:ind w:firstLine="480"/>
        <w:rPr>
          <w:rFonts w:ascii="宋体" w:cs="宋体"/>
          <w:szCs w:val="21"/>
        </w:rPr>
      </w:pPr>
      <w:r>
        <w:rPr>
          <w:rFonts w:ascii="宋体" w:hAnsi="宋体" w:cs="宋体"/>
          <w:szCs w:val="21"/>
        </w:rPr>
        <w:t>9.1</w:t>
      </w:r>
      <w:r>
        <w:rPr>
          <w:rFonts w:hint="eastAsia" w:ascii="宋体" w:hAnsi="宋体" w:cs="宋体"/>
          <w:szCs w:val="21"/>
        </w:rPr>
        <w:t>供应商提交的响应文件以及供应商与采购人和采购代理机构就有关磋商的所有来往函电均以中文文字书写。供应商提交的支持资料和已印刷的证件或资料可以用另一种语言，但相应内容应附有中文的翻译版本，在解释响应文件时以翻译文本为准。</w:t>
      </w:r>
    </w:p>
    <w:p>
      <w:pPr>
        <w:spacing w:line="420" w:lineRule="exact"/>
        <w:ind w:firstLine="480"/>
        <w:rPr>
          <w:rFonts w:ascii="宋体" w:cs="宋体"/>
          <w:szCs w:val="21"/>
        </w:rPr>
      </w:pPr>
      <w:r>
        <w:rPr>
          <w:rFonts w:ascii="宋体" w:hAnsi="宋体" w:cs="宋体"/>
          <w:szCs w:val="21"/>
        </w:rPr>
        <w:t>9.2</w:t>
      </w:r>
      <w:r>
        <w:rPr>
          <w:rFonts w:hint="eastAsia" w:ascii="宋体" w:hAnsi="宋体" w:cs="宋体"/>
          <w:szCs w:val="21"/>
        </w:rPr>
        <w:t>除在磋商文件的技术规格中另有规定外，计量单位应使用中华人民共和国法定计量单位。</w:t>
      </w:r>
    </w:p>
    <w:p>
      <w:pPr>
        <w:spacing w:line="420" w:lineRule="exact"/>
        <w:ind w:firstLine="482"/>
        <w:outlineLvl w:val="0"/>
        <w:rPr>
          <w:rFonts w:ascii="宋体" w:cs="宋体"/>
          <w:szCs w:val="21"/>
        </w:rPr>
      </w:pPr>
      <w:r>
        <w:rPr>
          <w:rFonts w:ascii="宋体" w:hAnsi="宋体" w:cs="宋体"/>
          <w:b/>
          <w:szCs w:val="21"/>
        </w:rPr>
        <w:t>10.</w:t>
      </w:r>
      <w:r>
        <w:rPr>
          <w:rFonts w:hint="eastAsia" w:ascii="宋体" w:hAnsi="宋体" w:cs="宋体"/>
          <w:b/>
          <w:szCs w:val="21"/>
        </w:rPr>
        <w:t>响应文件的编写</w:t>
      </w:r>
    </w:p>
    <w:p>
      <w:pPr>
        <w:spacing w:line="420" w:lineRule="exact"/>
        <w:rPr>
          <w:rFonts w:ascii="宋体" w:cs="宋体"/>
          <w:szCs w:val="21"/>
        </w:rPr>
      </w:pPr>
      <w:r>
        <w:rPr>
          <w:rFonts w:ascii="宋体" w:hAnsi="宋体" w:cs="宋体"/>
          <w:szCs w:val="21"/>
        </w:rPr>
        <w:t xml:space="preserve">    10.1</w:t>
      </w:r>
      <w:r>
        <w:rPr>
          <w:rFonts w:hint="eastAsia" w:ascii="宋体" w:hAnsi="宋体" w:cs="宋体"/>
          <w:szCs w:val="21"/>
        </w:rPr>
        <w:t>供应商应按照第六章响应文件格式完整地填写磋商响应文件，并对其提交的响应文件的真实性、合法性承担法律责任。</w:t>
      </w:r>
    </w:p>
    <w:p>
      <w:pPr>
        <w:spacing w:line="420" w:lineRule="exact"/>
        <w:rPr>
          <w:rFonts w:ascii="宋体" w:cs="宋体"/>
          <w:szCs w:val="21"/>
        </w:rPr>
      </w:pPr>
      <w:r>
        <w:rPr>
          <w:rFonts w:ascii="宋体" w:hAnsi="宋体" w:cs="宋体"/>
          <w:szCs w:val="21"/>
        </w:rPr>
        <w:t xml:space="preserve">    10.2</w:t>
      </w:r>
      <w:r>
        <w:rPr>
          <w:rFonts w:hint="eastAsia" w:ascii="宋体" w:hAnsi="宋体" w:cs="宋体"/>
          <w:szCs w:val="21"/>
        </w:rPr>
        <w:t>供应商应将任何不同于磋商文件的磋商内容、要求和商务条款列于“偏离表”中，同时在“偏离表”中注明其他条款无偏离；若所有条款均无偏离也应在“偏离表”中注明所有条款均无偏离。未在“偏离表”中列明的偏离不予认可，在磋商以及后期合同谈判过程中以磋商文件为准。</w:t>
      </w:r>
    </w:p>
    <w:p>
      <w:pPr>
        <w:spacing w:line="420" w:lineRule="exact"/>
        <w:ind w:firstLine="482"/>
        <w:outlineLvl w:val="0"/>
        <w:rPr>
          <w:rFonts w:ascii="宋体" w:cs="宋体"/>
          <w:b/>
          <w:szCs w:val="21"/>
        </w:rPr>
      </w:pPr>
      <w:r>
        <w:rPr>
          <w:rFonts w:ascii="宋体" w:hAnsi="宋体" w:cs="宋体"/>
          <w:b/>
          <w:szCs w:val="21"/>
        </w:rPr>
        <w:t>11.</w:t>
      </w:r>
      <w:r>
        <w:rPr>
          <w:rFonts w:hint="eastAsia" w:ascii="宋体" w:hAnsi="宋体" w:cs="宋体"/>
          <w:b/>
          <w:szCs w:val="21"/>
        </w:rPr>
        <w:t>磋商价格</w:t>
      </w:r>
    </w:p>
    <w:p>
      <w:pPr>
        <w:spacing w:line="420" w:lineRule="exact"/>
        <w:ind w:firstLine="465"/>
        <w:rPr>
          <w:rFonts w:ascii="宋体" w:cs="宋体"/>
          <w:szCs w:val="21"/>
        </w:rPr>
      </w:pPr>
      <w:r>
        <w:rPr>
          <w:rFonts w:ascii="宋体" w:hAnsi="宋体" w:cs="宋体"/>
          <w:szCs w:val="21"/>
        </w:rPr>
        <w:t>11.1</w:t>
      </w:r>
      <w:r>
        <w:rPr>
          <w:rFonts w:hint="eastAsia" w:ascii="宋体" w:hAnsi="宋体" w:cs="宋体"/>
          <w:szCs w:val="21"/>
        </w:rPr>
        <w:t>供应商根据项目情况及采购人给出的项目实施方案填报磋商价格。磋商最终报价应为完成本项目服务的全部服务项下的总价，服务过程中采购人不作任何价格追加，未列明的将视为标段含在磋商价格中。磋商的报价方式及控制价（或其他控制条件）应在前附表中明确。</w:t>
      </w:r>
    </w:p>
    <w:p>
      <w:pPr>
        <w:spacing w:line="420" w:lineRule="exact"/>
        <w:ind w:firstLine="465"/>
        <w:rPr>
          <w:rFonts w:ascii="宋体" w:cs="宋体"/>
          <w:szCs w:val="21"/>
        </w:rPr>
      </w:pPr>
      <w:r>
        <w:rPr>
          <w:rFonts w:ascii="宋体" w:hAnsi="宋体" w:cs="宋体"/>
          <w:szCs w:val="21"/>
        </w:rPr>
        <w:t>11.2</w:t>
      </w:r>
      <w:r>
        <w:rPr>
          <w:rFonts w:hint="eastAsia" w:ascii="宋体" w:hAnsi="宋体" w:cs="宋体"/>
          <w:szCs w:val="21"/>
        </w:rPr>
        <w:t>磋商价格中不应含有磋商文件要求以外的内容，否则在磋商过程中不予核减。</w:t>
      </w:r>
    </w:p>
    <w:p>
      <w:pPr>
        <w:spacing w:line="420" w:lineRule="exact"/>
        <w:ind w:firstLine="465"/>
        <w:rPr>
          <w:rFonts w:ascii="宋体" w:cs="宋体"/>
          <w:szCs w:val="21"/>
        </w:rPr>
      </w:pPr>
      <w:r>
        <w:rPr>
          <w:rFonts w:ascii="宋体" w:hAnsi="宋体" w:cs="宋体"/>
          <w:szCs w:val="21"/>
        </w:rPr>
        <w:t>11.3</w:t>
      </w:r>
      <w:r>
        <w:rPr>
          <w:rFonts w:hint="eastAsia" w:ascii="宋体" w:hAnsi="宋体" w:cs="宋体"/>
          <w:szCs w:val="21"/>
        </w:rPr>
        <w:t>供应商应当根据磋商文件要求和磋商内容要求在分项报价表上列出分项价格和总价。</w:t>
      </w:r>
    </w:p>
    <w:p>
      <w:pPr>
        <w:spacing w:line="420" w:lineRule="exact"/>
        <w:ind w:firstLine="465"/>
        <w:rPr>
          <w:rFonts w:ascii="宋体" w:cs="宋体"/>
          <w:szCs w:val="21"/>
        </w:rPr>
      </w:pPr>
      <w:r>
        <w:rPr>
          <w:rFonts w:ascii="宋体" w:hAnsi="宋体" w:cs="宋体"/>
          <w:szCs w:val="21"/>
        </w:rPr>
        <w:t>11.4</w:t>
      </w:r>
      <w:r>
        <w:rPr>
          <w:rFonts w:hint="eastAsia" w:ascii="宋体" w:hAnsi="宋体" w:cs="宋体"/>
          <w:szCs w:val="21"/>
        </w:rPr>
        <w:t>本次磋商不接受选择性报价或者有附加条件的报价。</w:t>
      </w:r>
    </w:p>
    <w:p>
      <w:pPr>
        <w:spacing w:line="420" w:lineRule="exact"/>
        <w:ind w:firstLine="482"/>
        <w:outlineLvl w:val="0"/>
        <w:rPr>
          <w:rFonts w:ascii="宋体" w:cs="宋体"/>
          <w:b/>
          <w:szCs w:val="21"/>
        </w:rPr>
      </w:pPr>
      <w:r>
        <w:rPr>
          <w:rFonts w:ascii="宋体" w:hAnsi="宋体" w:cs="宋体"/>
          <w:b/>
          <w:szCs w:val="21"/>
        </w:rPr>
        <w:t>12.</w:t>
      </w:r>
      <w:r>
        <w:rPr>
          <w:rFonts w:hint="eastAsia" w:ascii="宋体" w:hAnsi="宋体" w:cs="宋体"/>
          <w:b/>
          <w:szCs w:val="21"/>
        </w:rPr>
        <w:t>证明供应商合格和资格的文件</w:t>
      </w:r>
    </w:p>
    <w:p>
      <w:pPr>
        <w:spacing w:line="420" w:lineRule="exact"/>
        <w:ind w:firstLine="465"/>
        <w:rPr>
          <w:rFonts w:ascii="宋体" w:cs="宋体"/>
          <w:szCs w:val="21"/>
        </w:rPr>
      </w:pPr>
      <w:r>
        <w:rPr>
          <w:rFonts w:ascii="宋体" w:hAnsi="宋体" w:cs="宋体"/>
          <w:szCs w:val="21"/>
        </w:rPr>
        <w:t>12.1</w:t>
      </w:r>
      <w:r>
        <w:rPr>
          <w:rFonts w:hint="eastAsia" w:ascii="宋体" w:hAnsi="宋体" w:cs="宋体"/>
          <w:szCs w:val="21"/>
        </w:rPr>
        <w:t>供应商应提交证明其有资格参加磋商和成交后有能力履行合同的文件，并作为其响应文件的一部分。联合体参加磋商的，应完整提供各成员的资格证明文件，否则联合体的响应将被拒绝。</w:t>
      </w:r>
    </w:p>
    <w:p>
      <w:pPr>
        <w:spacing w:line="420" w:lineRule="exact"/>
        <w:ind w:firstLine="465"/>
        <w:rPr>
          <w:rFonts w:ascii="宋体" w:cs="宋体"/>
          <w:szCs w:val="21"/>
        </w:rPr>
      </w:pPr>
      <w:r>
        <w:rPr>
          <w:rFonts w:ascii="宋体" w:hAnsi="宋体" w:cs="宋体"/>
          <w:szCs w:val="21"/>
        </w:rPr>
        <w:t>12.2</w:t>
      </w:r>
      <w:r>
        <w:rPr>
          <w:rFonts w:hint="eastAsia" w:ascii="宋体" w:hAnsi="宋体" w:cs="宋体"/>
          <w:szCs w:val="21"/>
        </w:rPr>
        <w:t>供应商提交的证明其成交后能履行合同的资格证明文件应标段含（但不仅限于）响应文件格式中要求的内容。</w:t>
      </w:r>
    </w:p>
    <w:p>
      <w:pPr>
        <w:spacing w:line="420" w:lineRule="exact"/>
        <w:ind w:firstLine="465"/>
        <w:rPr>
          <w:rFonts w:ascii="宋体" w:cs="宋体"/>
          <w:szCs w:val="21"/>
        </w:rPr>
      </w:pPr>
      <w:r>
        <w:rPr>
          <w:rFonts w:ascii="宋体" w:hAnsi="宋体" w:cs="宋体"/>
          <w:szCs w:val="21"/>
        </w:rPr>
        <w:t>12.3</w:t>
      </w:r>
      <w:r>
        <w:rPr>
          <w:rFonts w:hint="eastAsia" w:ascii="宋体" w:hAnsi="宋体" w:cs="宋体"/>
          <w:szCs w:val="21"/>
        </w:rPr>
        <w:t>在磋商过程中，供应商发生合并、分立、破产等重大变化时，应当及时书面告知招标采购人。</w:t>
      </w:r>
    </w:p>
    <w:p>
      <w:pPr>
        <w:spacing w:line="420" w:lineRule="exact"/>
        <w:ind w:firstLine="465"/>
        <w:rPr>
          <w:rFonts w:ascii="宋体" w:cs="宋体"/>
          <w:szCs w:val="21"/>
        </w:rPr>
      </w:pPr>
      <w:r>
        <w:rPr>
          <w:rFonts w:ascii="宋体" w:hAnsi="宋体" w:cs="宋体"/>
          <w:szCs w:val="21"/>
        </w:rPr>
        <w:t>12.4</w:t>
      </w:r>
      <w:r>
        <w:rPr>
          <w:rFonts w:hint="eastAsia" w:ascii="宋体" w:hAnsi="宋体" w:cs="宋体"/>
          <w:szCs w:val="21"/>
        </w:rPr>
        <w:t>供应商资格条件如有变动或者更新，应在响应文件中说明。</w:t>
      </w:r>
    </w:p>
    <w:p>
      <w:pPr>
        <w:spacing w:line="420" w:lineRule="exact"/>
        <w:ind w:firstLine="482"/>
        <w:outlineLvl w:val="0"/>
        <w:rPr>
          <w:rFonts w:ascii="宋体" w:cs="宋体"/>
          <w:b/>
          <w:szCs w:val="21"/>
        </w:rPr>
      </w:pPr>
      <w:r>
        <w:rPr>
          <w:rFonts w:ascii="宋体" w:hAnsi="宋体" w:cs="宋体"/>
          <w:b/>
          <w:szCs w:val="21"/>
        </w:rPr>
        <w:t>13.</w:t>
      </w:r>
      <w:r>
        <w:rPr>
          <w:rFonts w:hint="eastAsia" w:ascii="宋体" w:hAnsi="宋体" w:cs="宋体"/>
          <w:b/>
          <w:szCs w:val="21"/>
        </w:rPr>
        <w:t>供应商提供服务项目中涉及的产品、工程和服务的合格性的文件</w:t>
      </w:r>
    </w:p>
    <w:p>
      <w:pPr>
        <w:spacing w:line="420" w:lineRule="exact"/>
        <w:ind w:firstLine="465"/>
        <w:rPr>
          <w:rFonts w:ascii="宋体" w:cs="宋体"/>
          <w:szCs w:val="21"/>
        </w:rPr>
      </w:pPr>
      <w:r>
        <w:rPr>
          <w:rFonts w:ascii="宋体" w:hAnsi="宋体" w:cs="宋体"/>
          <w:szCs w:val="21"/>
        </w:rPr>
        <w:t>13.1</w:t>
      </w:r>
      <w:r>
        <w:rPr>
          <w:rFonts w:hint="eastAsia" w:ascii="宋体" w:hAnsi="宋体" w:cs="宋体"/>
          <w:szCs w:val="21"/>
        </w:rPr>
        <w:t>符合国家强制性标准及政府采购政策的证明材料。</w:t>
      </w:r>
    </w:p>
    <w:p>
      <w:pPr>
        <w:spacing w:line="420" w:lineRule="exact"/>
        <w:ind w:firstLine="465"/>
        <w:rPr>
          <w:rFonts w:ascii="宋体" w:cs="宋体"/>
          <w:szCs w:val="21"/>
        </w:rPr>
      </w:pPr>
      <w:r>
        <w:rPr>
          <w:rFonts w:ascii="宋体" w:hAnsi="宋体" w:cs="宋体"/>
          <w:szCs w:val="21"/>
        </w:rPr>
        <w:t>13.2</w:t>
      </w:r>
      <w:r>
        <w:rPr>
          <w:rFonts w:hint="eastAsia" w:ascii="宋体" w:hAnsi="宋体" w:cs="宋体"/>
          <w:szCs w:val="21"/>
        </w:rPr>
        <w:t>供应商应提交证明文件，证明其拟提供的产品和服务的合格性符合磋商文件规定。该证明文件作为响应文件的一部分。</w:t>
      </w:r>
    </w:p>
    <w:p>
      <w:pPr>
        <w:spacing w:line="420" w:lineRule="exact"/>
        <w:ind w:firstLine="465"/>
        <w:rPr>
          <w:rFonts w:ascii="宋体" w:cs="宋体"/>
          <w:szCs w:val="21"/>
        </w:rPr>
      </w:pPr>
      <w:r>
        <w:rPr>
          <w:rFonts w:ascii="宋体" w:hAnsi="宋体" w:cs="宋体"/>
          <w:szCs w:val="21"/>
        </w:rPr>
        <w:t>13.3</w:t>
      </w:r>
      <w:r>
        <w:rPr>
          <w:rFonts w:hint="eastAsia" w:ascii="宋体" w:hAnsi="宋体" w:cs="宋体"/>
          <w:szCs w:val="21"/>
        </w:rPr>
        <w:t>产品和服务合格性的证明文件应括产品的制作工艺（建造实施）方案，拟投入的组织管理人员，技术力量等，以及管理者和技术人员的经验。</w:t>
      </w:r>
    </w:p>
    <w:p>
      <w:pPr>
        <w:spacing w:line="420" w:lineRule="exact"/>
        <w:ind w:firstLine="465"/>
        <w:rPr>
          <w:rFonts w:ascii="宋体" w:cs="宋体"/>
          <w:szCs w:val="21"/>
        </w:rPr>
      </w:pPr>
      <w:r>
        <w:rPr>
          <w:rFonts w:ascii="宋体" w:hAnsi="宋体" w:cs="宋体"/>
          <w:szCs w:val="21"/>
        </w:rPr>
        <w:t>13.4</w:t>
      </w:r>
      <w:r>
        <w:rPr>
          <w:rFonts w:hint="eastAsia" w:ascii="宋体" w:hAnsi="宋体" w:cs="宋体"/>
          <w:szCs w:val="21"/>
        </w:rPr>
        <w:t>证明产品和服务符合磋商文件要求的文件可以是产品的制造工艺，项目组织设计，管理方的组织机构及人员的经验，技术团队人员的履历和相关证件。</w:t>
      </w:r>
    </w:p>
    <w:p>
      <w:pPr>
        <w:spacing w:line="420" w:lineRule="exact"/>
        <w:ind w:firstLine="465"/>
        <w:rPr>
          <w:rFonts w:ascii="宋体" w:cs="宋体"/>
          <w:szCs w:val="21"/>
        </w:rPr>
      </w:pPr>
      <w:r>
        <w:rPr>
          <w:rFonts w:ascii="宋体" w:hAnsi="宋体" w:cs="宋体"/>
          <w:szCs w:val="21"/>
        </w:rPr>
        <w:t>13.5</w:t>
      </w:r>
      <w:r>
        <w:rPr>
          <w:rFonts w:hint="eastAsia" w:ascii="宋体" w:hAnsi="宋体" w:cs="宋体"/>
          <w:szCs w:val="21"/>
        </w:rPr>
        <w:t>采购人根据项目特色有其他特殊要求的</w:t>
      </w:r>
      <w:r>
        <w:rPr>
          <w:rFonts w:ascii="宋体" w:cs="宋体"/>
          <w:szCs w:val="21"/>
        </w:rPr>
        <w:t>,</w:t>
      </w:r>
      <w:r>
        <w:rPr>
          <w:rFonts w:hint="eastAsia" w:ascii="宋体" w:hAnsi="宋体" w:cs="宋体"/>
          <w:szCs w:val="21"/>
        </w:rPr>
        <w:t>供应商应按要求提供证明材料。</w:t>
      </w:r>
    </w:p>
    <w:p>
      <w:pPr>
        <w:spacing w:line="420" w:lineRule="exact"/>
        <w:ind w:firstLine="482"/>
        <w:outlineLvl w:val="0"/>
        <w:rPr>
          <w:rFonts w:ascii="宋体" w:cs="宋体"/>
          <w:b/>
          <w:szCs w:val="21"/>
        </w:rPr>
      </w:pPr>
      <w:r>
        <w:rPr>
          <w:rFonts w:ascii="宋体" w:hAnsi="宋体" w:cs="宋体"/>
          <w:b/>
          <w:szCs w:val="21"/>
        </w:rPr>
        <w:t>14.</w:t>
      </w:r>
      <w:r>
        <w:rPr>
          <w:rFonts w:hint="eastAsia" w:ascii="宋体" w:hAnsi="宋体" w:cs="宋体"/>
          <w:b/>
          <w:szCs w:val="21"/>
        </w:rPr>
        <w:t>磋商保证金</w:t>
      </w:r>
    </w:p>
    <w:p>
      <w:pPr>
        <w:spacing w:line="420" w:lineRule="exact"/>
        <w:ind w:firstLine="465"/>
        <w:rPr>
          <w:rFonts w:ascii="宋体" w:cs="宋体"/>
          <w:szCs w:val="21"/>
        </w:rPr>
      </w:pPr>
      <w:r>
        <w:rPr>
          <w:rFonts w:ascii="宋体" w:hAnsi="宋体" w:cs="宋体"/>
          <w:szCs w:val="21"/>
        </w:rPr>
        <w:t>14.1</w:t>
      </w:r>
      <w:r>
        <w:rPr>
          <w:rFonts w:hint="eastAsia" w:ascii="宋体" w:hAnsi="宋体" w:cs="宋体"/>
          <w:szCs w:val="21"/>
        </w:rPr>
        <w:t>采购人在须知资料表中要求供应商提交磋商保证金的，供应商应提交竞争性磋商须知资料表中规定数额的磋商保证金，并作为其响应文件的一部分。磋商保证金有效期应当与磋商有效期一致。</w:t>
      </w:r>
    </w:p>
    <w:p>
      <w:pPr>
        <w:spacing w:line="420" w:lineRule="exact"/>
        <w:ind w:firstLine="465"/>
        <w:rPr>
          <w:rFonts w:ascii="宋体" w:cs="宋体"/>
          <w:szCs w:val="21"/>
        </w:rPr>
      </w:pPr>
      <w:r>
        <w:rPr>
          <w:rFonts w:ascii="宋体" w:hAnsi="宋体" w:cs="宋体"/>
          <w:szCs w:val="21"/>
        </w:rPr>
        <w:t>14.2</w:t>
      </w:r>
      <w:r>
        <w:rPr>
          <w:rFonts w:hint="eastAsia" w:ascii="宋体" w:hAnsi="宋体" w:cs="宋体"/>
          <w:szCs w:val="21"/>
        </w:rPr>
        <w:t>磋商保证金应当采用支票、汇票、本票（支票、汇票、本票须由供应商的基本户办理）或者中资商业银行出具的保函等非现金形式交纳。磋商保证金数额应当不超过采购项目预算的</w:t>
      </w:r>
      <w:r>
        <w:rPr>
          <w:rFonts w:ascii="宋体" w:hAnsi="宋体" w:cs="宋体"/>
          <w:szCs w:val="21"/>
        </w:rPr>
        <w:t>2%</w:t>
      </w:r>
      <w:r>
        <w:rPr>
          <w:rFonts w:hint="eastAsia" w:ascii="宋体" w:hAnsi="宋体" w:cs="宋体"/>
          <w:szCs w:val="21"/>
        </w:rPr>
        <w:t>。供应商未按照磋商文件要求提交磋商保证金的，其响应无效。</w:t>
      </w:r>
    </w:p>
    <w:p>
      <w:pPr>
        <w:spacing w:line="420" w:lineRule="exact"/>
        <w:ind w:firstLine="465"/>
        <w:rPr>
          <w:rFonts w:ascii="宋体" w:cs="宋体"/>
          <w:szCs w:val="21"/>
        </w:rPr>
      </w:pPr>
      <w:r>
        <w:rPr>
          <w:rFonts w:ascii="宋体" w:hAnsi="宋体" w:cs="宋体"/>
          <w:szCs w:val="21"/>
        </w:rPr>
        <w:t>14.3</w:t>
      </w:r>
      <w:r>
        <w:rPr>
          <w:rFonts w:hint="eastAsia" w:ascii="宋体" w:hAnsi="宋体" w:cs="宋体"/>
          <w:szCs w:val="21"/>
        </w:rPr>
        <w:t>供应商为联合体的，可以由联合体中的一方或者多方共同交纳磋商保证金，其交纳的保证金对联合体各方均具有约束力。</w:t>
      </w:r>
    </w:p>
    <w:p>
      <w:pPr>
        <w:spacing w:line="420" w:lineRule="exact"/>
        <w:ind w:firstLine="465"/>
        <w:rPr>
          <w:rFonts w:ascii="宋体" w:cs="宋体"/>
          <w:szCs w:val="21"/>
        </w:rPr>
      </w:pPr>
      <w:r>
        <w:rPr>
          <w:rFonts w:ascii="宋体" w:hAnsi="宋体" w:cs="宋体"/>
          <w:szCs w:val="21"/>
        </w:rPr>
        <w:t>14.4</w:t>
      </w:r>
      <w:r>
        <w:rPr>
          <w:rFonts w:hint="eastAsia" w:ascii="宋体" w:hAnsi="宋体" w:cs="宋体"/>
          <w:szCs w:val="21"/>
        </w:rPr>
        <w:t>未成交供应商的磋商保证金在成交通知书发出后</w:t>
      </w:r>
      <w:r>
        <w:rPr>
          <w:rFonts w:ascii="宋体" w:hAnsi="宋体" w:cs="宋体"/>
          <w:szCs w:val="21"/>
        </w:rPr>
        <w:t>5</w:t>
      </w:r>
      <w:r>
        <w:rPr>
          <w:rFonts w:hint="eastAsia" w:ascii="宋体" w:hAnsi="宋体" w:cs="宋体"/>
          <w:szCs w:val="21"/>
        </w:rPr>
        <w:t>个工作日内退还。</w:t>
      </w:r>
    </w:p>
    <w:p>
      <w:pPr>
        <w:spacing w:line="420" w:lineRule="exact"/>
        <w:ind w:firstLine="465"/>
        <w:rPr>
          <w:rFonts w:ascii="宋体" w:cs="宋体"/>
          <w:szCs w:val="21"/>
        </w:rPr>
      </w:pPr>
      <w:r>
        <w:rPr>
          <w:rFonts w:ascii="宋体" w:hAnsi="宋体" w:cs="宋体"/>
          <w:szCs w:val="21"/>
        </w:rPr>
        <w:t>14.5</w:t>
      </w:r>
      <w:r>
        <w:rPr>
          <w:rFonts w:hint="eastAsia" w:ascii="宋体" w:hAnsi="宋体" w:cs="宋体"/>
          <w:szCs w:val="21"/>
        </w:rPr>
        <w:t>成交供应商的磋商保证金，在采购合同签订后</w:t>
      </w:r>
      <w:r>
        <w:rPr>
          <w:rFonts w:ascii="宋体" w:hAnsi="宋体" w:cs="宋体"/>
          <w:szCs w:val="21"/>
        </w:rPr>
        <w:t>5</w:t>
      </w:r>
      <w:r>
        <w:rPr>
          <w:rFonts w:hint="eastAsia" w:ascii="宋体" w:hAnsi="宋体" w:cs="宋体"/>
          <w:szCs w:val="21"/>
        </w:rPr>
        <w:t>个工作日内退还。</w:t>
      </w:r>
    </w:p>
    <w:p>
      <w:pPr>
        <w:spacing w:line="420" w:lineRule="exact"/>
        <w:ind w:firstLine="465"/>
        <w:rPr>
          <w:rFonts w:ascii="宋体" w:cs="宋体"/>
          <w:szCs w:val="21"/>
        </w:rPr>
      </w:pPr>
      <w:r>
        <w:rPr>
          <w:rFonts w:ascii="宋体" w:hAnsi="宋体" w:cs="宋体"/>
          <w:szCs w:val="21"/>
        </w:rPr>
        <w:t>14.6</w:t>
      </w:r>
      <w:r>
        <w:rPr>
          <w:rFonts w:hint="eastAsia" w:ascii="宋体" w:hAnsi="宋体" w:cs="宋体"/>
          <w:szCs w:val="21"/>
        </w:rPr>
        <w:t>下列任何一种情况发生时，磋商保证金将不予退还（不予退还的磋商保证金将按照相关规定上缴财政）：</w:t>
      </w:r>
    </w:p>
    <w:p>
      <w:pPr>
        <w:spacing w:line="420" w:lineRule="exact"/>
        <w:ind w:firstLine="480"/>
        <w:outlineLvl w:val="0"/>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）供应商在提交响应文件截止时间后撤回响应文件的；</w:t>
      </w:r>
    </w:p>
    <w:p>
      <w:pPr>
        <w:spacing w:line="420" w:lineRule="exact"/>
        <w:ind w:firstLine="465"/>
        <w:rPr>
          <w:rFonts w:asci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）供应商在响应文件中提供虚假材料的；</w:t>
      </w:r>
    </w:p>
    <w:p>
      <w:pPr>
        <w:spacing w:line="420" w:lineRule="exact"/>
        <w:ind w:firstLine="465"/>
        <w:rPr>
          <w:rFonts w:asci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）除因不可抗力或磋商文件认可的情形以外，成交供应商不与采购人签订合同的；</w:t>
      </w:r>
    </w:p>
    <w:p>
      <w:pPr>
        <w:spacing w:line="420" w:lineRule="exact"/>
        <w:ind w:firstLine="465"/>
        <w:outlineLvl w:val="0"/>
        <w:rPr>
          <w:rFonts w:asci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）供应商与采购人、其他供应商或者采购代理机构恶意串通的；</w:t>
      </w:r>
    </w:p>
    <w:p>
      <w:pPr>
        <w:spacing w:line="420" w:lineRule="exact"/>
        <w:ind w:firstLine="465"/>
        <w:rPr>
          <w:rFonts w:ascii="宋体" w:cs="宋体"/>
          <w:szCs w:val="21"/>
        </w:rPr>
      </w:pPr>
      <w:r>
        <w:rPr>
          <w:rFonts w:hint="eastAsia" w:ascii="宋体" w:hAnsi="宋体" w:cs="宋体"/>
          <w:szCs w:val="21"/>
        </w:rPr>
        <w:t>（</w:t>
      </w:r>
      <w:r>
        <w:rPr>
          <w:rFonts w:hint="eastAsia" w:ascii="宋体" w:hAnsi="宋体" w:cs="宋体"/>
          <w:szCs w:val="21"/>
          <w:lang w:val="en-US" w:eastAsia="zh-CN"/>
        </w:rPr>
        <w:t>5</w:t>
      </w:r>
      <w:r>
        <w:rPr>
          <w:rFonts w:hint="eastAsia" w:ascii="宋体" w:hAnsi="宋体" w:cs="宋体"/>
          <w:szCs w:val="21"/>
        </w:rPr>
        <w:t>）提交最终报价后退出磋商的；</w:t>
      </w:r>
    </w:p>
    <w:p>
      <w:pPr>
        <w:spacing w:line="420" w:lineRule="exact"/>
        <w:ind w:firstLine="465"/>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6</w:t>
      </w:r>
      <w:r>
        <w:rPr>
          <w:rFonts w:hint="eastAsia" w:ascii="宋体" w:hAnsi="宋体" w:cs="宋体"/>
          <w:szCs w:val="21"/>
        </w:rPr>
        <w:t>）法律、行政规章规定的其他情形。</w:t>
      </w:r>
    </w:p>
    <w:p>
      <w:pPr>
        <w:spacing w:line="420" w:lineRule="exact"/>
        <w:ind w:firstLine="465"/>
        <w:rPr>
          <w:rFonts w:ascii="宋体" w:hAnsi="宋体" w:cs="宋体"/>
          <w:szCs w:val="21"/>
        </w:rPr>
      </w:pPr>
    </w:p>
    <w:p>
      <w:pPr>
        <w:pStyle w:val="2"/>
      </w:pPr>
    </w:p>
    <w:p>
      <w:pPr>
        <w:spacing w:line="420" w:lineRule="exact"/>
        <w:ind w:firstLine="482"/>
        <w:rPr>
          <w:rFonts w:ascii="宋体" w:cs="宋体"/>
          <w:b/>
          <w:szCs w:val="21"/>
        </w:rPr>
      </w:pPr>
      <w:r>
        <w:rPr>
          <w:rFonts w:ascii="宋体" w:hAnsi="宋体" w:cs="宋体"/>
          <w:b/>
          <w:szCs w:val="21"/>
        </w:rPr>
        <w:t>15.</w:t>
      </w:r>
      <w:r>
        <w:rPr>
          <w:rFonts w:hint="eastAsia" w:ascii="宋体" w:hAnsi="宋体" w:cs="宋体"/>
          <w:b/>
          <w:szCs w:val="21"/>
        </w:rPr>
        <w:t>磋商有效期</w:t>
      </w:r>
    </w:p>
    <w:p>
      <w:pPr>
        <w:spacing w:line="420" w:lineRule="exact"/>
        <w:ind w:firstLine="465"/>
        <w:rPr>
          <w:rFonts w:ascii="宋体" w:cs="宋体"/>
          <w:szCs w:val="21"/>
        </w:rPr>
      </w:pPr>
      <w:r>
        <w:rPr>
          <w:rFonts w:ascii="宋体" w:hAnsi="宋体" w:cs="宋体"/>
          <w:szCs w:val="21"/>
        </w:rPr>
        <w:t>15.1</w:t>
      </w:r>
      <w:r>
        <w:rPr>
          <w:rFonts w:hint="eastAsia" w:ascii="宋体" w:hAnsi="宋体" w:cs="宋体"/>
          <w:szCs w:val="21"/>
        </w:rPr>
        <w:t>响应文件应自竞争性磋商须知资料表中规定的提交响应文件的截止之日起，并在须知资料表中所述期限内保持有效。磋商有效期不足的响应文件将被视为非实质性响应，其响应将被拒绝。</w:t>
      </w:r>
    </w:p>
    <w:p>
      <w:pPr>
        <w:spacing w:line="420" w:lineRule="exact"/>
        <w:ind w:firstLine="465"/>
        <w:rPr>
          <w:rFonts w:ascii="宋体" w:cs="宋体"/>
          <w:szCs w:val="21"/>
        </w:rPr>
      </w:pPr>
      <w:r>
        <w:rPr>
          <w:rFonts w:ascii="宋体" w:hAnsi="宋体" w:cs="宋体"/>
          <w:szCs w:val="21"/>
        </w:rPr>
        <w:t>15.2</w:t>
      </w:r>
      <w:r>
        <w:rPr>
          <w:rFonts w:hint="eastAsia" w:ascii="宋体" w:hAnsi="宋体" w:cs="宋体"/>
          <w:szCs w:val="21"/>
        </w:rPr>
        <w:t>特殊情况下，在原磋商有效期截止之前，采购人可要求供应商延长磋商有效期。这种要求与答复均应以书面形式提交。供应商可以拒绝招标采购人的这种要求，其磋商保证金将予以退还，但其响应文件在原磋商有效期期满后将不再有效。同意延长磋商有效期的供应商将不会被要求和允许修正其磋商响应，而只会被要求相应地延长其磋商保证金的有效期。在这种情况下，本须知第</w:t>
      </w:r>
      <w:r>
        <w:rPr>
          <w:rFonts w:ascii="宋体" w:hAnsi="宋体" w:cs="宋体"/>
          <w:szCs w:val="21"/>
        </w:rPr>
        <w:t>12</w:t>
      </w:r>
      <w:r>
        <w:rPr>
          <w:rFonts w:hint="eastAsia" w:ascii="宋体" w:hAnsi="宋体" w:cs="宋体"/>
          <w:szCs w:val="21"/>
        </w:rPr>
        <w:t>条有关磋商保证金的退还和不予退还的规定将在延长了的有效期内继续有效。</w:t>
      </w:r>
    </w:p>
    <w:p>
      <w:pPr>
        <w:spacing w:line="420" w:lineRule="exact"/>
        <w:ind w:firstLine="482"/>
        <w:outlineLvl w:val="0"/>
        <w:rPr>
          <w:rFonts w:ascii="宋体" w:cs="宋体"/>
          <w:b/>
          <w:szCs w:val="21"/>
        </w:rPr>
      </w:pPr>
      <w:r>
        <w:rPr>
          <w:rFonts w:ascii="宋体" w:hAnsi="宋体" w:cs="宋体"/>
          <w:b/>
          <w:szCs w:val="21"/>
        </w:rPr>
        <w:t>16.</w:t>
      </w:r>
      <w:r>
        <w:rPr>
          <w:rFonts w:hint="eastAsia" w:ascii="宋体" w:hAnsi="宋体" w:cs="宋体"/>
          <w:b/>
          <w:szCs w:val="21"/>
        </w:rPr>
        <w:t>响应文件的式样和签署</w:t>
      </w:r>
    </w:p>
    <w:p>
      <w:pPr>
        <w:spacing w:line="420" w:lineRule="exact"/>
        <w:ind w:firstLine="465"/>
        <w:rPr>
          <w:rFonts w:ascii="宋体" w:cs="宋体"/>
          <w:szCs w:val="21"/>
        </w:rPr>
      </w:pPr>
      <w:r>
        <w:rPr>
          <w:rFonts w:ascii="宋体" w:hAnsi="宋体" w:cs="宋体"/>
          <w:szCs w:val="21"/>
        </w:rPr>
        <w:t>16.1</w:t>
      </w:r>
      <w:r>
        <w:rPr>
          <w:rFonts w:hint="eastAsia" w:ascii="宋体" w:hAnsi="宋体" w:cs="宋体"/>
          <w:szCs w:val="21"/>
        </w:rPr>
        <w:t>供应商应准备一份磋商响应文件正本和须知资料表中规定数目的副本，每套响应文件须清楚地标明“正本”或“副本”。若副本与正本不符，以正本为准。</w:t>
      </w:r>
    </w:p>
    <w:p>
      <w:pPr>
        <w:spacing w:line="420" w:lineRule="exact"/>
        <w:ind w:firstLine="465"/>
        <w:rPr>
          <w:rFonts w:ascii="宋体" w:cs="宋体"/>
          <w:szCs w:val="21"/>
        </w:rPr>
      </w:pPr>
      <w:r>
        <w:rPr>
          <w:rFonts w:ascii="宋体" w:hAnsi="宋体" w:cs="宋体"/>
          <w:szCs w:val="21"/>
        </w:rPr>
        <w:t>16.2</w:t>
      </w:r>
      <w:r>
        <w:rPr>
          <w:rFonts w:hint="eastAsia" w:ascii="宋体" w:hAnsi="宋体" w:cs="宋体"/>
          <w:szCs w:val="21"/>
        </w:rPr>
        <w:t>响应文件的正本需打印或用不褪色墨水书写，并由供应商法定代表人或经其正式授权的代表签字（授权代表）。授权代表须将以书面形式出具的《法定代表人授权书》附在响应文件中。响应文件必须用不可拆解的胶装装订，因响应文件内容缺页或遗失对供应商造成的影响供应商自行承担。</w:t>
      </w:r>
    </w:p>
    <w:p>
      <w:pPr>
        <w:spacing w:line="420" w:lineRule="exact"/>
        <w:ind w:firstLine="465"/>
        <w:rPr>
          <w:rFonts w:ascii="宋体" w:cs="宋体"/>
          <w:szCs w:val="21"/>
        </w:rPr>
      </w:pPr>
      <w:r>
        <w:rPr>
          <w:rFonts w:ascii="宋体" w:hAnsi="宋体" w:cs="宋体"/>
          <w:szCs w:val="21"/>
        </w:rPr>
        <w:t>16.3</w:t>
      </w:r>
      <w:r>
        <w:rPr>
          <w:rFonts w:hint="eastAsia" w:ascii="宋体" w:hAnsi="宋体" w:cs="宋体"/>
          <w:szCs w:val="21"/>
        </w:rPr>
        <w:t>任何行间插字、涂改和增删，必须由供应商的签字人在旁边签字或盖章才有效。</w:t>
      </w:r>
    </w:p>
    <w:p>
      <w:pPr>
        <w:spacing w:line="420" w:lineRule="exact"/>
        <w:ind w:firstLine="482"/>
        <w:outlineLvl w:val="0"/>
        <w:rPr>
          <w:rFonts w:ascii="宋体" w:cs="宋体"/>
          <w:b/>
          <w:szCs w:val="21"/>
        </w:rPr>
      </w:pPr>
      <w:bookmarkStart w:id="168" w:name="_Toc448307930"/>
      <w:bookmarkEnd w:id="168"/>
      <w:r>
        <w:rPr>
          <w:rFonts w:hint="eastAsia" w:ascii="宋体" w:hAnsi="宋体" w:cs="宋体"/>
          <w:b/>
          <w:szCs w:val="21"/>
        </w:rPr>
        <w:t>五、响应文件的递交</w:t>
      </w:r>
    </w:p>
    <w:p>
      <w:pPr>
        <w:spacing w:line="420" w:lineRule="exact"/>
        <w:ind w:firstLine="482"/>
        <w:rPr>
          <w:rFonts w:ascii="宋体" w:cs="宋体"/>
          <w:b/>
          <w:szCs w:val="21"/>
        </w:rPr>
      </w:pPr>
      <w:r>
        <w:rPr>
          <w:rFonts w:ascii="宋体" w:hAnsi="宋体" w:cs="宋体"/>
          <w:b/>
          <w:szCs w:val="21"/>
        </w:rPr>
        <w:t>17.</w:t>
      </w:r>
      <w:r>
        <w:rPr>
          <w:rFonts w:hint="eastAsia" w:ascii="宋体" w:hAnsi="宋体" w:cs="宋体"/>
          <w:b/>
          <w:szCs w:val="21"/>
        </w:rPr>
        <w:t>响应文件的密封和标记</w:t>
      </w:r>
    </w:p>
    <w:p>
      <w:pPr>
        <w:spacing w:line="420" w:lineRule="exact"/>
        <w:ind w:firstLine="465"/>
        <w:rPr>
          <w:rFonts w:ascii="宋体" w:cs="宋体"/>
          <w:szCs w:val="21"/>
        </w:rPr>
      </w:pPr>
      <w:r>
        <w:rPr>
          <w:rFonts w:ascii="宋体" w:hAnsi="宋体" w:cs="宋体"/>
          <w:szCs w:val="21"/>
        </w:rPr>
        <w:t>17.1</w:t>
      </w:r>
      <w:r>
        <w:rPr>
          <w:rFonts w:hint="eastAsia" w:ascii="宋体" w:hAnsi="宋体" w:cs="宋体"/>
          <w:szCs w:val="21"/>
        </w:rPr>
        <w:t>响应文件应密封递交。封套上均应：</w:t>
      </w:r>
    </w:p>
    <w:p>
      <w:pPr>
        <w:numPr>
          <w:ilvl w:val="0"/>
          <w:numId w:val="3"/>
        </w:numPr>
        <w:spacing w:line="420" w:lineRule="exact"/>
        <w:ind w:firstLine="465"/>
        <w:rPr>
          <w:rFonts w:ascii="宋体" w:cs="宋体"/>
          <w:szCs w:val="21"/>
        </w:rPr>
      </w:pPr>
      <w:r>
        <w:rPr>
          <w:rFonts w:hint="eastAsia" w:ascii="宋体" w:hAnsi="宋体" w:cs="宋体"/>
          <w:szCs w:val="21"/>
        </w:rPr>
        <w:t>清楚标明递交至须知资料表中指明的地址。</w:t>
      </w:r>
    </w:p>
    <w:p>
      <w:pPr>
        <w:numPr>
          <w:ilvl w:val="0"/>
          <w:numId w:val="3"/>
        </w:numPr>
        <w:spacing w:line="420" w:lineRule="exact"/>
        <w:ind w:firstLine="465"/>
        <w:rPr>
          <w:rFonts w:ascii="宋体" w:cs="宋体"/>
          <w:szCs w:val="21"/>
        </w:rPr>
      </w:pPr>
      <w:r>
        <w:rPr>
          <w:rFonts w:hint="eastAsia" w:ascii="宋体" w:hAnsi="宋体" w:cs="宋体"/>
          <w:szCs w:val="21"/>
        </w:rPr>
        <w:t>注明须知资料表中指明的项目名称、编号和“在（递交截止日期和时间）之前不得启封”的字样，并填入须知资料表中规定的递交截止日期和时间。</w:t>
      </w:r>
    </w:p>
    <w:p>
      <w:pPr>
        <w:spacing w:line="420" w:lineRule="exact"/>
        <w:ind w:firstLine="480"/>
        <w:rPr>
          <w:rFonts w:ascii="宋体" w:cs="宋体"/>
          <w:szCs w:val="21"/>
        </w:rPr>
      </w:pPr>
      <w:r>
        <w:rPr>
          <w:rFonts w:ascii="宋体" w:hAnsi="宋体" w:cs="宋体"/>
          <w:szCs w:val="21"/>
        </w:rPr>
        <w:t>17.2</w:t>
      </w:r>
      <w:r>
        <w:rPr>
          <w:rFonts w:hint="eastAsia" w:ascii="宋体" w:hAnsi="宋体" w:cs="宋体"/>
          <w:szCs w:val="21"/>
        </w:rPr>
        <w:t>响应文件的正本与副本应进行封装，加贴封条，并在封套的封口处由法定代表人或其授权代表签字或盖单位章。响应文件的封面上应清楚地标记“正本”或“副本”字样。</w:t>
      </w:r>
    </w:p>
    <w:p>
      <w:pPr>
        <w:spacing w:line="420" w:lineRule="exact"/>
        <w:ind w:firstLine="480"/>
        <w:rPr>
          <w:rFonts w:ascii="宋体" w:cs="宋体"/>
          <w:szCs w:val="21"/>
        </w:rPr>
      </w:pPr>
      <w:r>
        <w:rPr>
          <w:rFonts w:ascii="宋体" w:hAnsi="宋体" w:cs="宋体"/>
          <w:szCs w:val="21"/>
        </w:rPr>
        <w:t>17.3</w:t>
      </w:r>
      <w:r>
        <w:rPr>
          <w:rFonts w:hint="eastAsia" w:ascii="宋体" w:hAnsi="宋体" w:cs="宋体"/>
          <w:szCs w:val="21"/>
        </w:rPr>
        <w:t>供应商在递交截止时间前提交磋商价格变更等相关内容的磋商声明的，应按照上述密封和标记的要求执行。</w:t>
      </w:r>
    </w:p>
    <w:p>
      <w:pPr>
        <w:spacing w:line="420" w:lineRule="exact"/>
        <w:ind w:firstLine="482"/>
        <w:outlineLvl w:val="0"/>
        <w:rPr>
          <w:rFonts w:ascii="宋体" w:cs="宋体"/>
          <w:b/>
          <w:szCs w:val="21"/>
        </w:rPr>
      </w:pPr>
      <w:r>
        <w:rPr>
          <w:rFonts w:ascii="宋体" w:hAnsi="宋体" w:cs="宋体"/>
          <w:b/>
          <w:szCs w:val="21"/>
        </w:rPr>
        <w:t>18.</w:t>
      </w:r>
      <w:r>
        <w:rPr>
          <w:rFonts w:hint="eastAsia" w:ascii="宋体" w:hAnsi="宋体" w:cs="宋体"/>
          <w:b/>
          <w:szCs w:val="21"/>
        </w:rPr>
        <w:t>递交截止时间</w:t>
      </w:r>
    </w:p>
    <w:p>
      <w:pPr>
        <w:spacing w:line="420" w:lineRule="exact"/>
        <w:ind w:firstLine="480"/>
        <w:rPr>
          <w:rFonts w:ascii="宋体" w:cs="宋体"/>
          <w:szCs w:val="21"/>
        </w:rPr>
      </w:pPr>
      <w:r>
        <w:rPr>
          <w:rFonts w:ascii="宋体" w:hAnsi="宋体" w:cs="宋体"/>
          <w:szCs w:val="21"/>
        </w:rPr>
        <w:t>18.1</w:t>
      </w:r>
      <w:r>
        <w:rPr>
          <w:rFonts w:hint="eastAsia" w:ascii="宋体" w:hAnsi="宋体" w:cs="宋体"/>
          <w:szCs w:val="21"/>
        </w:rPr>
        <w:t>供应商应在不迟于竞争性磋商须知资料表中规定的递交截止时间将相应文件递交至采购人或采购代理机构，递交地点应是须知资料表中指明的地址。采购人将拒绝并原封退回在须知资料表中规定的递交截止时间后收到的任何响应文件。</w:t>
      </w:r>
    </w:p>
    <w:p>
      <w:pPr>
        <w:spacing w:line="420" w:lineRule="exact"/>
        <w:ind w:firstLine="480"/>
        <w:rPr>
          <w:rFonts w:ascii="宋体" w:cs="宋体"/>
          <w:szCs w:val="21"/>
        </w:rPr>
      </w:pPr>
      <w:r>
        <w:rPr>
          <w:rFonts w:ascii="宋体" w:hAnsi="宋体" w:cs="宋体"/>
          <w:szCs w:val="21"/>
        </w:rPr>
        <w:t>18.2</w:t>
      </w:r>
      <w:r>
        <w:rPr>
          <w:rFonts w:hint="eastAsia" w:ascii="宋体" w:hAnsi="宋体" w:cs="宋体"/>
          <w:szCs w:val="21"/>
        </w:rPr>
        <w:t>采购人可以按有关规定推迟递交截止时间。在此情况下，采购人、采购代理机构和供应商受递交截止时间制约的所有权利和义务均应延长至新的递交截止时间。</w:t>
      </w:r>
    </w:p>
    <w:p>
      <w:pPr>
        <w:spacing w:line="420" w:lineRule="exact"/>
        <w:ind w:firstLine="482"/>
        <w:outlineLvl w:val="0"/>
        <w:rPr>
          <w:rFonts w:ascii="宋体" w:cs="宋体"/>
          <w:b/>
          <w:szCs w:val="24"/>
        </w:rPr>
      </w:pPr>
      <w:r>
        <w:rPr>
          <w:rFonts w:ascii="宋体" w:hAnsi="宋体" w:cs="宋体"/>
          <w:b/>
          <w:szCs w:val="21"/>
        </w:rPr>
        <w:t>19.</w:t>
      </w:r>
      <w:r>
        <w:rPr>
          <w:rFonts w:hint="eastAsia" w:ascii="宋体" w:hAnsi="宋体" w:cs="宋体"/>
          <w:b/>
          <w:szCs w:val="21"/>
        </w:rPr>
        <w:t>响应文件的修改与撤回</w:t>
      </w:r>
    </w:p>
    <w:p>
      <w:pPr>
        <w:spacing w:line="420" w:lineRule="exact"/>
        <w:ind w:firstLine="480"/>
        <w:rPr>
          <w:rFonts w:ascii="宋体" w:cs="宋体"/>
          <w:szCs w:val="21"/>
        </w:rPr>
      </w:pPr>
      <w:r>
        <w:rPr>
          <w:rFonts w:ascii="宋体" w:hAnsi="宋体" w:cs="宋体"/>
          <w:szCs w:val="21"/>
        </w:rPr>
        <w:t>19.1</w:t>
      </w:r>
      <w:r>
        <w:rPr>
          <w:rFonts w:hint="eastAsia" w:ascii="宋体" w:hAnsi="宋体" w:cs="宋体"/>
          <w:szCs w:val="21"/>
        </w:rPr>
        <w:t>在规定的递交截止时间前，供应商可以修改或撤回已递交的响应文件，但应以书面形式通知采购人。</w:t>
      </w:r>
    </w:p>
    <w:p>
      <w:pPr>
        <w:spacing w:line="420" w:lineRule="exact"/>
        <w:ind w:firstLine="480"/>
        <w:rPr>
          <w:rFonts w:ascii="宋体" w:cs="宋体"/>
          <w:szCs w:val="21"/>
        </w:rPr>
      </w:pPr>
      <w:r>
        <w:rPr>
          <w:rFonts w:ascii="宋体" w:hAnsi="宋体" w:cs="宋体"/>
          <w:szCs w:val="21"/>
        </w:rPr>
        <w:t>19.2</w:t>
      </w:r>
      <w:r>
        <w:rPr>
          <w:rFonts w:hint="eastAsia" w:ascii="宋体" w:hAnsi="宋体" w:cs="宋体"/>
          <w:szCs w:val="21"/>
        </w:rPr>
        <w:t>供应商修改或撤回已递交响应文件的书面通知应按照本章的要求签字或盖章。</w:t>
      </w:r>
    </w:p>
    <w:p>
      <w:pPr>
        <w:spacing w:line="420" w:lineRule="exact"/>
        <w:ind w:firstLine="480"/>
        <w:rPr>
          <w:rFonts w:ascii="宋体" w:cs="宋体"/>
          <w:szCs w:val="21"/>
        </w:rPr>
      </w:pPr>
      <w:r>
        <w:rPr>
          <w:rFonts w:ascii="宋体" w:hAnsi="宋体" w:cs="宋体"/>
          <w:szCs w:val="21"/>
        </w:rPr>
        <w:t>19.3</w:t>
      </w:r>
      <w:r>
        <w:rPr>
          <w:rFonts w:hint="eastAsia" w:ascii="宋体" w:hAnsi="宋体" w:cs="宋体"/>
          <w:szCs w:val="21"/>
        </w:rPr>
        <w:t>修改的内容为响应文件的组成部分。修改的响应文件应按照本章第</w:t>
      </w:r>
      <w:r>
        <w:rPr>
          <w:rFonts w:ascii="宋体" w:hAnsi="宋体" w:cs="宋体"/>
          <w:szCs w:val="21"/>
        </w:rPr>
        <w:t>16</w:t>
      </w:r>
      <w:r>
        <w:rPr>
          <w:rFonts w:hint="eastAsia" w:ascii="宋体" w:hAnsi="宋体" w:cs="宋体"/>
          <w:szCs w:val="21"/>
        </w:rPr>
        <w:t>条规定进行编制、密封、标记和递交，并标明“修改”字样。</w:t>
      </w:r>
    </w:p>
    <w:p>
      <w:pPr>
        <w:spacing w:line="420" w:lineRule="exact"/>
        <w:ind w:firstLine="465"/>
        <w:rPr>
          <w:rFonts w:ascii="宋体" w:cs="宋体"/>
          <w:b/>
          <w:szCs w:val="21"/>
        </w:rPr>
      </w:pPr>
      <w:bookmarkStart w:id="169" w:name="_Toc448307931"/>
      <w:bookmarkEnd w:id="169"/>
      <w:r>
        <w:rPr>
          <w:rFonts w:hint="eastAsia" w:ascii="宋体" w:hAnsi="宋体" w:cs="宋体"/>
          <w:b/>
          <w:szCs w:val="21"/>
        </w:rPr>
        <w:t>六、开标和评审</w:t>
      </w:r>
    </w:p>
    <w:p>
      <w:pPr>
        <w:spacing w:line="420" w:lineRule="exact"/>
        <w:ind w:firstLine="482"/>
        <w:rPr>
          <w:rFonts w:ascii="宋体" w:cs="宋体"/>
          <w:b/>
          <w:szCs w:val="21"/>
        </w:rPr>
      </w:pPr>
      <w:r>
        <w:rPr>
          <w:rFonts w:ascii="宋体" w:hAnsi="宋体" w:cs="宋体"/>
          <w:b/>
          <w:szCs w:val="21"/>
        </w:rPr>
        <w:t>20.</w:t>
      </w:r>
      <w:r>
        <w:rPr>
          <w:rFonts w:hint="eastAsia" w:ascii="宋体" w:hAnsi="宋体" w:cs="宋体"/>
          <w:b/>
          <w:szCs w:val="21"/>
        </w:rPr>
        <w:t>开标</w:t>
      </w:r>
    </w:p>
    <w:p>
      <w:pPr>
        <w:spacing w:line="420" w:lineRule="exact"/>
        <w:rPr>
          <w:rFonts w:ascii="宋体" w:cs="宋体"/>
          <w:szCs w:val="21"/>
        </w:rPr>
      </w:pPr>
      <w:r>
        <w:rPr>
          <w:rFonts w:ascii="宋体" w:hAnsi="宋体" w:cs="宋体"/>
          <w:szCs w:val="21"/>
        </w:rPr>
        <w:t xml:space="preserve">    20.1</w:t>
      </w:r>
      <w:r>
        <w:rPr>
          <w:rFonts w:hint="eastAsia" w:ascii="宋体" w:hAnsi="宋体" w:cs="宋体"/>
          <w:szCs w:val="21"/>
        </w:rPr>
        <w:t>采购代理机构将在竞争性磋商须知资料表中规定的时间和地点组织开标和磋商工作。并邀请所有响应供应代表参加，参加开标的供应商授权代表应在递交相应文件表上签名以证明其出席。</w:t>
      </w:r>
    </w:p>
    <w:p>
      <w:pPr>
        <w:spacing w:line="420" w:lineRule="exact"/>
        <w:rPr>
          <w:rFonts w:ascii="宋体" w:cs="宋体"/>
          <w:szCs w:val="21"/>
        </w:rPr>
      </w:pPr>
      <w:r>
        <w:rPr>
          <w:rFonts w:ascii="宋体" w:hAnsi="宋体" w:cs="宋体"/>
          <w:szCs w:val="21"/>
        </w:rPr>
        <w:t xml:space="preserve">    20.2</w:t>
      </w:r>
      <w:r>
        <w:rPr>
          <w:rFonts w:hint="eastAsia" w:ascii="宋体" w:hAnsi="宋体" w:cs="宋体"/>
          <w:szCs w:val="21"/>
        </w:rPr>
        <w:t>递交响应文件过程中，采购人、采购代理机构及监督部门将对响应文件递交的时间、密封及标记等进行检查。迟到的响应文件及未密封的响应文件不予接收。</w:t>
      </w:r>
    </w:p>
    <w:p>
      <w:pPr>
        <w:spacing w:line="420" w:lineRule="exact"/>
        <w:ind w:firstLine="482"/>
        <w:outlineLvl w:val="0"/>
        <w:rPr>
          <w:rFonts w:ascii="宋体" w:cs="宋体"/>
          <w:b/>
          <w:szCs w:val="21"/>
        </w:rPr>
      </w:pPr>
      <w:r>
        <w:rPr>
          <w:rFonts w:ascii="宋体" w:hAnsi="宋体" w:cs="宋体"/>
          <w:b/>
          <w:szCs w:val="21"/>
        </w:rPr>
        <w:t>21.</w:t>
      </w:r>
      <w:r>
        <w:rPr>
          <w:rFonts w:hint="eastAsia" w:ascii="宋体" w:hAnsi="宋体" w:cs="宋体"/>
          <w:b/>
          <w:szCs w:val="21"/>
        </w:rPr>
        <w:t>磋商小组和评审办法</w:t>
      </w:r>
    </w:p>
    <w:p>
      <w:pPr>
        <w:spacing w:line="420" w:lineRule="exact"/>
        <w:ind w:firstLine="480"/>
        <w:rPr>
          <w:rFonts w:ascii="宋体" w:cs="宋体"/>
          <w:szCs w:val="21"/>
        </w:rPr>
      </w:pPr>
      <w:r>
        <w:rPr>
          <w:rFonts w:ascii="宋体" w:hAnsi="宋体" w:cs="宋体"/>
          <w:szCs w:val="21"/>
        </w:rPr>
        <w:t>21.1</w:t>
      </w:r>
      <w:r>
        <w:rPr>
          <w:rFonts w:hint="eastAsia" w:ascii="宋体" w:hAnsi="宋体" w:cs="宋体"/>
          <w:szCs w:val="21"/>
        </w:rPr>
        <w:t>磋商和评审由采购代理机构依法组建的磋商小组负责。磋商小组的组成详见竞争性磋商须知资料表。</w:t>
      </w:r>
    </w:p>
    <w:p>
      <w:pPr>
        <w:spacing w:line="420" w:lineRule="exact"/>
        <w:ind w:firstLine="482"/>
        <w:rPr>
          <w:rFonts w:ascii="宋体" w:cs="宋体"/>
          <w:bCs/>
          <w:szCs w:val="21"/>
        </w:rPr>
      </w:pPr>
      <w:r>
        <w:rPr>
          <w:rFonts w:ascii="宋体" w:hAnsi="宋体" w:cs="宋体"/>
          <w:bCs/>
          <w:szCs w:val="21"/>
        </w:rPr>
        <w:t>21.2</w:t>
      </w:r>
      <w:r>
        <w:rPr>
          <w:rFonts w:hint="eastAsia" w:ascii="宋体" w:hAnsi="宋体" w:cs="宋体"/>
          <w:bCs/>
          <w:szCs w:val="21"/>
        </w:rPr>
        <w:t>磋商小组由采购人代表和评审专家共3人以上单数组成。</w:t>
      </w:r>
    </w:p>
    <w:p>
      <w:pPr>
        <w:spacing w:line="420" w:lineRule="exact"/>
        <w:ind w:firstLine="480"/>
        <w:rPr>
          <w:rFonts w:ascii="宋体" w:cs="宋体"/>
          <w:szCs w:val="21"/>
        </w:rPr>
      </w:pPr>
      <w:r>
        <w:rPr>
          <w:rFonts w:ascii="宋体" w:hAnsi="宋体" w:cs="宋体"/>
          <w:szCs w:val="21"/>
        </w:rPr>
        <w:t>21.3</w:t>
      </w:r>
      <w:r>
        <w:rPr>
          <w:rFonts w:hint="eastAsia" w:ascii="宋体" w:hAnsi="宋体" w:cs="宋体"/>
          <w:szCs w:val="21"/>
        </w:rPr>
        <w:t>磋商小组成员应当按照客观、公正、审慎的原则，根据磋商文件规定的评审程序、评审办法和评审标准进行独立评审。未实质性响应磋商文件的响应文件按无效响应处理，磋商小组应当告知提交响应文件的供应商。磋商文件内容违反国家有关强制性规定的，磋商小组应当停止评审并向采购人或者采购代理机构说明情况。</w:t>
      </w:r>
    </w:p>
    <w:p>
      <w:pPr>
        <w:spacing w:line="420" w:lineRule="exact"/>
        <w:ind w:firstLine="480"/>
        <w:rPr>
          <w:rFonts w:ascii="宋体" w:cs="宋体"/>
          <w:szCs w:val="21"/>
        </w:rPr>
      </w:pPr>
      <w:r>
        <w:rPr>
          <w:rFonts w:ascii="宋体" w:hAnsi="宋体" w:cs="宋体"/>
          <w:szCs w:val="21"/>
        </w:rPr>
        <w:t>21.4</w:t>
      </w:r>
      <w:r>
        <w:rPr>
          <w:rFonts w:hint="eastAsia" w:ascii="宋体" w:hAnsi="宋体" w:cs="宋体"/>
          <w:szCs w:val="21"/>
        </w:rPr>
        <w:t>磋商小组将首先按照本须知第</w:t>
      </w:r>
      <w:r>
        <w:rPr>
          <w:rFonts w:ascii="宋体" w:hAnsi="宋体" w:cs="宋体"/>
          <w:szCs w:val="21"/>
        </w:rPr>
        <w:t>21</w:t>
      </w:r>
      <w:r>
        <w:rPr>
          <w:rFonts w:hint="eastAsia" w:ascii="宋体" w:hAnsi="宋体" w:cs="宋体"/>
          <w:szCs w:val="21"/>
        </w:rPr>
        <w:t>条对响应文件进行初审。对初审合格的响应文件将按照本须知第</w:t>
      </w:r>
      <w:r>
        <w:rPr>
          <w:rFonts w:ascii="宋体" w:hAnsi="宋体" w:cs="宋体"/>
          <w:szCs w:val="21"/>
        </w:rPr>
        <w:t>22</w:t>
      </w:r>
      <w:r>
        <w:rPr>
          <w:rFonts w:hint="eastAsia" w:ascii="宋体" w:hAnsi="宋体" w:cs="宋体"/>
          <w:szCs w:val="21"/>
        </w:rPr>
        <w:t>条和第</w:t>
      </w:r>
      <w:r>
        <w:rPr>
          <w:rFonts w:ascii="宋体" w:hAnsi="宋体" w:cs="宋体"/>
          <w:szCs w:val="21"/>
        </w:rPr>
        <w:t>23</w:t>
      </w:r>
      <w:r>
        <w:rPr>
          <w:rFonts w:hint="eastAsia" w:ascii="宋体" w:hAnsi="宋体" w:cs="宋体"/>
          <w:szCs w:val="21"/>
        </w:rPr>
        <w:t>条对应的磋商和评价程序进行磋商和评审。</w:t>
      </w:r>
    </w:p>
    <w:p>
      <w:pPr>
        <w:spacing w:line="420" w:lineRule="exact"/>
        <w:ind w:firstLine="480"/>
        <w:rPr>
          <w:rFonts w:ascii="宋体" w:cs="宋体"/>
          <w:szCs w:val="21"/>
        </w:rPr>
      </w:pPr>
      <w:r>
        <w:rPr>
          <w:rFonts w:ascii="宋体" w:hAnsi="宋体" w:cs="宋体"/>
          <w:szCs w:val="21"/>
        </w:rPr>
        <w:t>21.5</w:t>
      </w:r>
      <w:r>
        <w:rPr>
          <w:rFonts w:hint="eastAsia" w:ascii="宋体" w:hAnsi="宋体" w:cs="宋体"/>
          <w:szCs w:val="21"/>
        </w:rPr>
        <w:t>在磋商期间，磋商小组可要求供应商对其响应文件进行澄清，但不得寻求、提供或允许对磋商价格等实质性内容做任何更改。有关澄清的要求和答复均应以书面形式提交。磋商小组不接受供应商主动提出的澄清、说明。</w:t>
      </w:r>
    </w:p>
    <w:p>
      <w:pPr>
        <w:spacing w:line="420" w:lineRule="exact"/>
        <w:ind w:firstLine="480"/>
        <w:rPr>
          <w:rFonts w:ascii="宋体" w:cs="宋体"/>
          <w:szCs w:val="21"/>
        </w:rPr>
      </w:pPr>
      <w:r>
        <w:rPr>
          <w:rFonts w:ascii="宋体" w:hAnsi="宋体" w:cs="宋体"/>
          <w:szCs w:val="21"/>
        </w:rPr>
        <w:t>21.6</w:t>
      </w:r>
      <w:r>
        <w:rPr>
          <w:rFonts w:hint="eastAsia" w:ascii="宋体" w:hAnsi="宋体" w:cs="宋体"/>
          <w:szCs w:val="21"/>
        </w:rPr>
        <w:t>采购人、采购代理机构不得向磋商小组中的评审专家作倾向性、误导性的解释或者说明。</w:t>
      </w:r>
    </w:p>
    <w:p>
      <w:pPr>
        <w:spacing w:line="420" w:lineRule="exact"/>
        <w:ind w:firstLine="482"/>
        <w:outlineLvl w:val="0"/>
        <w:rPr>
          <w:rFonts w:ascii="宋体" w:cs="宋体"/>
          <w:b/>
          <w:szCs w:val="21"/>
        </w:rPr>
      </w:pPr>
      <w:r>
        <w:rPr>
          <w:rFonts w:ascii="宋体" w:hAnsi="宋体" w:cs="宋体"/>
          <w:b/>
          <w:szCs w:val="21"/>
        </w:rPr>
        <w:t>22.</w:t>
      </w:r>
      <w:r>
        <w:rPr>
          <w:rFonts w:hint="eastAsia" w:ascii="宋体" w:hAnsi="宋体" w:cs="宋体"/>
          <w:b/>
          <w:szCs w:val="21"/>
        </w:rPr>
        <w:t>评审程序</w:t>
      </w:r>
    </w:p>
    <w:p>
      <w:pPr>
        <w:spacing w:line="420" w:lineRule="exact"/>
        <w:ind w:firstLine="480"/>
        <w:rPr>
          <w:rFonts w:ascii="宋体" w:cs="宋体"/>
          <w:szCs w:val="21"/>
        </w:rPr>
      </w:pPr>
      <w:r>
        <w:rPr>
          <w:rFonts w:ascii="宋体" w:hAnsi="宋体" w:cs="宋体"/>
          <w:szCs w:val="21"/>
        </w:rPr>
        <w:t>22.1</w:t>
      </w:r>
      <w:r>
        <w:rPr>
          <w:rFonts w:hint="eastAsia" w:ascii="宋体" w:hAnsi="宋体" w:cs="宋体"/>
          <w:szCs w:val="21"/>
        </w:rPr>
        <w:t>响应文件的初审。</w:t>
      </w:r>
    </w:p>
    <w:p>
      <w:pPr>
        <w:spacing w:line="420" w:lineRule="exact"/>
        <w:ind w:firstLine="480"/>
        <w:outlineLvl w:val="0"/>
        <w:rPr>
          <w:rFonts w:ascii="宋体" w:cs="宋体"/>
          <w:szCs w:val="21"/>
        </w:rPr>
      </w:pPr>
      <w:r>
        <w:rPr>
          <w:rFonts w:ascii="宋体" w:hAnsi="宋体" w:cs="宋体"/>
          <w:szCs w:val="21"/>
        </w:rPr>
        <w:t>22.1.1</w:t>
      </w:r>
      <w:r>
        <w:rPr>
          <w:rFonts w:hint="eastAsia" w:ascii="宋体" w:hAnsi="宋体" w:cs="宋体"/>
          <w:szCs w:val="21"/>
        </w:rPr>
        <w:t>资格性检查</w:t>
      </w:r>
    </w:p>
    <w:p>
      <w:pPr>
        <w:spacing w:line="420" w:lineRule="exact"/>
        <w:ind w:firstLine="480"/>
        <w:rPr>
          <w:rFonts w:ascii="宋体" w:cs="宋体"/>
          <w:szCs w:val="21"/>
        </w:rPr>
      </w:pPr>
      <w:r>
        <w:rPr>
          <w:rFonts w:hint="eastAsia" w:ascii="宋体" w:hAnsi="宋体" w:cs="宋体"/>
          <w:szCs w:val="21"/>
        </w:rPr>
        <w:t>依据法律法规和磋商文件的规定，对响应文件中的资格证明、磋商保证金等进行检查以确定供应商是否具备磋商资格。</w:t>
      </w:r>
    </w:p>
    <w:p>
      <w:pPr>
        <w:spacing w:line="420" w:lineRule="exact"/>
        <w:ind w:firstLine="480"/>
        <w:outlineLvl w:val="0"/>
        <w:rPr>
          <w:rFonts w:ascii="宋体" w:cs="宋体"/>
          <w:szCs w:val="21"/>
        </w:rPr>
      </w:pPr>
      <w:r>
        <w:rPr>
          <w:rFonts w:ascii="宋体" w:hAnsi="宋体" w:cs="宋体"/>
          <w:szCs w:val="21"/>
        </w:rPr>
        <w:t>22.1.2</w:t>
      </w:r>
      <w:r>
        <w:rPr>
          <w:rFonts w:hint="eastAsia" w:ascii="宋体" w:hAnsi="宋体" w:cs="宋体"/>
          <w:szCs w:val="21"/>
        </w:rPr>
        <w:t>符合性检查</w:t>
      </w:r>
    </w:p>
    <w:p>
      <w:pPr>
        <w:spacing w:line="420" w:lineRule="exact"/>
        <w:ind w:firstLine="480"/>
        <w:rPr>
          <w:rFonts w:ascii="宋体" w:cs="宋体"/>
          <w:szCs w:val="21"/>
        </w:rPr>
      </w:pPr>
      <w:r>
        <w:rPr>
          <w:rFonts w:hint="eastAsia" w:ascii="宋体" w:hAnsi="宋体" w:cs="宋体"/>
          <w:szCs w:val="21"/>
        </w:rPr>
        <w:t>依据磋商文件的规定，从响应文件的有效性、完整性和对磋商文件的响应程度进行检查，以确定是否对磋商文件的实质性要求做出相应符合性。</w:t>
      </w:r>
    </w:p>
    <w:p>
      <w:pPr>
        <w:spacing w:line="420" w:lineRule="exact"/>
        <w:ind w:firstLine="480"/>
        <w:rPr>
          <w:rFonts w:ascii="宋体" w:cs="宋体"/>
          <w:szCs w:val="21"/>
        </w:rPr>
      </w:pPr>
      <w:r>
        <w:rPr>
          <w:rFonts w:ascii="宋体" w:hAnsi="宋体" w:cs="宋体"/>
          <w:szCs w:val="21"/>
        </w:rPr>
        <w:t>22.1.3</w:t>
      </w:r>
      <w:r>
        <w:rPr>
          <w:rFonts w:hint="eastAsia" w:ascii="宋体" w:hAnsi="宋体" w:cs="宋体"/>
          <w:szCs w:val="21"/>
        </w:rPr>
        <w:t>没有实质性响应磋商文件要求的响应文件将被否决。供应商不得通过修正、补充或撤销不合要求的偏离或保留从而使其响应文件成为实质上响应的磋商文件。有下列情形之一者视为未实质性响应磋商文件，其响应文件将被否决：</w:t>
      </w:r>
    </w:p>
    <w:p>
      <w:pPr>
        <w:spacing w:line="420" w:lineRule="exact"/>
        <w:ind w:firstLine="480"/>
        <w:outlineLvl w:val="0"/>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）供应商与采购人有利害关系可能影响磋商公正性的；</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）供应商参与项目前期咨询或磋商文件编制的；</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）未按磋商文件要求提供证明文件的；</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）不同供应商法定代表人为同一人或者存在控股、管理关系的；</w:t>
      </w:r>
    </w:p>
    <w:p>
      <w:pPr>
        <w:spacing w:line="420" w:lineRule="exact"/>
        <w:ind w:firstLine="480"/>
        <w:outlineLvl w:val="0"/>
        <w:rPr>
          <w:rFonts w:asci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）响应文件未按磋商文件的要求签署的；</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6</w:t>
      </w:r>
      <w:r>
        <w:rPr>
          <w:rFonts w:hint="eastAsia" w:ascii="宋体" w:hAnsi="宋体" w:cs="宋体"/>
          <w:szCs w:val="21"/>
        </w:rPr>
        <w:t>）响应联合体没有提交联合体协议或联合体协议不符合要求的；</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7</w:t>
      </w:r>
      <w:r>
        <w:rPr>
          <w:rFonts w:hint="eastAsia" w:ascii="宋体" w:hAnsi="宋体" w:cs="宋体"/>
          <w:szCs w:val="21"/>
        </w:rPr>
        <w:t>）供应商的磋商函、资格证明材料未提供，或不符合国家规定或者磋商文件要求的；</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8</w:t>
      </w:r>
      <w:r>
        <w:rPr>
          <w:rFonts w:hint="eastAsia" w:ascii="宋体" w:hAnsi="宋体" w:cs="宋体"/>
          <w:szCs w:val="21"/>
        </w:rPr>
        <w:t>）同一供应商提交两个以上不同的方案或者磋商价格的，但磋商文件有要求的除外；</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9</w:t>
      </w:r>
      <w:r>
        <w:rPr>
          <w:rFonts w:hint="eastAsia" w:ascii="宋体" w:hAnsi="宋体" w:cs="宋体"/>
          <w:szCs w:val="21"/>
        </w:rPr>
        <w:t>）供应商未按磋商文件要求提交磋商保证金或保证金金额不足、保函有效期不足、磋商保证金形式或提交保证金的银行、账户不符合磋商文件要求的；</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10</w:t>
      </w:r>
      <w:r>
        <w:rPr>
          <w:rFonts w:hint="eastAsia" w:ascii="宋体" w:hAnsi="宋体" w:cs="宋体"/>
          <w:szCs w:val="21"/>
        </w:rPr>
        <w:t>）磋商价格高于磋商文件设定的控制价的；</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11</w:t>
      </w:r>
      <w:r>
        <w:rPr>
          <w:rFonts w:hint="eastAsia" w:ascii="宋体" w:hAnsi="宋体" w:cs="宋体"/>
          <w:szCs w:val="21"/>
        </w:rPr>
        <w:t>）不接受磋商有效期要求的；</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12</w:t>
      </w:r>
      <w:r>
        <w:rPr>
          <w:rFonts w:hint="eastAsia" w:ascii="宋体" w:hAnsi="宋体" w:cs="宋体"/>
          <w:szCs w:val="21"/>
        </w:rPr>
        <w:t>）供应商有串通磋商、弄虚作假、行贿等违法行为的；</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13</w:t>
      </w:r>
      <w:r>
        <w:rPr>
          <w:rFonts w:hint="eastAsia" w:ascii="宋体" w:hAnsi="宋体" w:cs="宋体"/>
          <w:szCs w:val="21"/>
        </w:rPr>
        <w:t>）存在磋商文件中规定的否决响应的其他条款的。</w:t>
      </w:r>
    </w:p>
    <w:p>
      <w:pPr>
        <w:spacing w:line="420" w:lineRule="exact"/>
        <w:ind w:firstLine="480"/>
        <w:outlineLvl w:val="0"/>
        <w:rPr>
          <w:rFonts w:ascii="宋体" w:cs="宋体"/>
          <w:szCs w:val="21"/>
        </w:rPr>
      </w:pPr>
      <w:r>
        <w:rPr>
          <w:rFonts w:ascii="宋体" w:hAnsi="宋体" w:cs="宋体"/>
          <w:szCs w:val="21"/>
        </w:rPr>
        <w:t>22.2</w:t>
      </w:r>
      <w:r>
        <w:rPr>
          <w:rFonts w:hint="eastAsia" w:ascii="宋体" w:hAnsi="宋体" w:cs="宋体"/>
          <w:szCs w:val="21"/>
        </w:rPr>
        <w:t>澄清有关问题</w:t>
      </w:r>
    </w:p>
    <w:p>
      <w:pPr>
        <w:spacing w:line="420" w:lineRule="exact"/>
        <w:ind w:firstLine="480"/>
        <w:rPr>
          <w:rFonts w:ascii="宋体" w:cs="宋体"/>
          <w:szCs w:val="21"/>
        </w:rPr>
      </w:pPr>
      <w:r>
        <w:rPr>
          <w:rFonts w:hint="eastAsia" w:ascii="宋体" w:hAnsi="宋体" w:cs="宋体"/>
          <w:szCs w:val="21"/>
        </w:rPr>
        <w:t>对响应文件中含义不明确、同类问题表述不一致或者有明显文字和计算错误的内容，磋商小组可以书面形式（应当由磋商专家签字）要求供应商做出必要的澄清、说明或者纠正。供应商的澄清、说明或者补正应当采用书面形式，由其授权的代表签字，并不得超出响应文件的范围或者改变响应文件的实质性内容。</w:t>
      </w:r>
    </w:p>
    <w:p>
      <w:pPr>
        <w:spacing w:line="420" w:lineRule="exact"/>
        <w:ind w:firstLine="480"/>
        <w:rPr>
          <w:rFonts w:ascii="宋体" w:cs="宋体"/>
          <w:szCs w:val="21"/>
        </w:rPr>
      </w:pPr>
      <w:r>
        <w:rPr>
          <w:rFonts w:hint="eastAsia" w:ascii="宋体" w:hAnsi="宋体" w:cs="宋体"/>
          <w:szCs w:val="21"/>
        </w:rPr>
        <w:t>磋商小组要求供应商澄清、说明或者更正响应文件应当以书面形式做出。供应商的澄清、说明或者更正应当由法定代表人或其授权代表签字或者加盖公章。由授权代表签字的，应当附法定代表人授权书。供应商为自然人的，应当由本人签字并附身份证明。</w:t>
      </w:r>
    </w:p>
    <w:p>
      <w:pPr>
        <w:spacing w:line="420" w:lineRule="exact"/>
        <w:ind w:firstLine="480"/>
        <w:outlineLvl w:val="0"/>
        <w:rPr>
          <w:rFonts w:ascii="宋体" w:cs="宋体"/>
          <w:szCs w:val="21"/>
        </w:rPr>
      </w:pPr>
      <w:r>
        <w:rPr>
          <w:rFonts w:ascii="宋体" w:hAnsi="宋体" w:cs="宋体"/>
          <w:szCs w:val="21"/>
        </w:rPr>
        <w:t>22.3</w:t>
      </w:r>
      <w:r>
        <w:rPr>
          <w:rFonts w:hint="eastAsia" w:ascii="宋体" w:hAnsi="宋体" w:cs="宋体"/>
          <w:szCs w:val="21"/>
        </w:rPr>
        <w:t>算数更正</w:t>
      </w:r>
    </w:p>
    <w:p>
      <w:pPr>
        <w:spacing w:line="420" w:lineRule="exact"/>
        <w:ind w:firstLine="480"/>
        <w:rPr>
          <w:rFonts w:ascii="宋体" w:cs="宋体"/>
          <w:szCs w:val="21"/>
        </w:rPr>
      </w:pPr>
      <w:r>
        <w:rPr>
          <w:rFonts w:hint="eastAsia" w:ascii="宋体" w:hAnsi="宋体" w:cs="宋体"/>
          <w:szCs w:val="21"/>
        </w:rPr>
        <w:t>响应文件的大写金额和小写金额不一致的，以大写金额为准；磋商总价金额与按分项报价汇总金额不一致的，以分项报价金额计算结果为准；分项报价金额小数点有明显错位的，应以磋商总价为准，并修改分项报价。如果供应商不接受对其算数错误的更正，其响应文件可能被否决。</w:t>
      </w:r>
    </w:p>
    <w:p>
      <w:pPr>
        <w:spacing w:line="420" w:lineRule="exact"/>
        <w:ind w:firstLine="480"/>
        <w:rPr>
          <w:rFonts w:ascii="宋体" w:cs="宋体"/>
          <w:szCs w:val="21"/>
        </w:rPr>
      </w:pPr>
      <w:r>
        <w:rPr>
          <w:rFonts w:ascii="宋体" w:hAnsi="宋体" w:cs="宋体"/>
          <w:szCs w:val="21"/>
        </w:rPr>
        <w:t>22.4</w:t>
      </w:r>
      <w:r>
        <w:rPr>
          <w:rFonts w:hint="eastAsia" w:ascii="宋体" w:hAnsi="宋体" w:cs="宋体"/>
          <w:szCs w:val="21"/>
        </w:rPr>
        <w:t>对于响应文件中不构成实质性偏差的不正规、不一致或不规则，磋商小组可以接受，但这种接受不能损害或影响任何响应供应商的相对排序。</w:t>
      </w:r>
    </w:p>
    <w:p>
      <w:pPr>
        <w:spacing w:line="420" w:lineRule="exact"/>
        <w:ind w:firstLine="481"/>
        <w:outlineLvl w:val="0"/>
        <w:rPr>
          <w:rFonts w:ascii="宋体" w:cs="宋体"/>
          <w:b/>
          <w:szCs w:val="21"/>
        </w:rPr>
      </w:pPr>
      <w:r>
        <w:rPr>
          <w:rFonts w:ascii="宋体" w:hAnsi="宋体" w:cs="宋体"/>
          <w:b/>
          <w:szCs w:val="21"/>
        </w:rPr>
        <w:t>23.</w:t>
      </w:r>
      <w:r>
        <w:rPr>
          <w:rFonts w:hint="eastAsia" w:ascii="宋体" w:hAnsi="宋体" w:cs="宋体"/>
          <w:b/>
          <w:szCs w:val="21"/>
        </w:rPr>
        <w:t>磋商</w:t>
      </w:r>
    </w:p>
    <w:p>
      <w:pPr>
        <w:spacing w:line="420" w:lineRule="exact"/>
        <w:ind w:firstLine="481"/>
        <w:rPr>
          <w:rFonts w:ascii="宋体" w:cs="宋体"/>
          <w:szCs w:val="21"/>
        </w:rPr>
      </w:pPr>
      <w:r>
        <w:rPr>
          <w:rFonts w:ascii="宋体" w:hAnsi="宋体" w:cs="宋体"/>
          <w:szCs w:val="21"/>
        </w:rPr>
        <w:t>23.1</w:t>
      </w:r>
      <w:r>
        <w:rPr>
          <w:rFonts w:hint="eastAsia" w:ascii="宋体" w:hAnsi="宋体" w:cs="宋体"/>
          <w:szCs w:val="21"/>
        </w:rPr>
        <w:t>磋商小组将按照须知资料表中规定的顺序分别依次与通过响应文件初审的供应商授权代表进行磋商。磋商内容及要求详见本磋商文件，磋商小组与供应商授权代表仅能针对除磋商内容和要求中不得偏离部分以外的条款进行磋商。</w:t>
      </w:r>
    </w:p>
    <w:p>
      <w:pPr>
        <w:spacing w:line="420" w:lineRule="exact"/>
        <w:ind w:firstLine="481"/>
        <w:rPr>
          <w:rFonts w:ascii="宋体" w:cs="宋体"/>
          <w:szCs w:val="21"/>
        </w:rPr>
      </w:pPr>
      <w:r>
        <w:rPr>
          <w:rFonts w:ascii="宋体" w:hAnsi="宋体" w:cs="宋体"/>
          <w:szCs w:val="21"/>
        </w:rPr>
        <w:t>23.2</w:t>
      </w:r>
      <w:r>
        <w:rPr>
          <w:rFonts w:hint="eastAsia" w:ascii="宋体" w:hAnsi="宋体" w:cs="宋体"/>
          <w:szCs w:val="21"/>
        </w:rPr>
        <w:t>在磋商过程中，磋商小组可以根据磋商文件和磋商情况实质性变动采购需求中的技术、服务要求以及合同草案条款，但不得变动磋商文件中的其他内容。实质性变动的内容，须经采购人代表确认。</w:t>
      </w:r>
    </w:p>
    <w:p>
      <w:pPr>
        <w:spacing w:line="420" w:lineRule="exact"/>
        <w:ind w:firstLine="481"/>
        <w:rPr>
          <w:rFonts w:ascii="宋体" w:cs="宋体"/>
          <w:szCs w:val="21"/>
        </w:rPr>
      </w:pPr>
      <w:r>
        <w:rPr>
          <w:rFonts w:ascii="宋体" w:hAnsi="宋体" w:cs="宋体"/>
          <w:szCs w:val="21"/>
        </w:rPr>
        <w:t>23.3</w:t>
      </w:r>
      <w:r>
        <w:rPr>
          <w:rFonts w:hint="eastAsia" w:ascii="宋体" w:hAnsi="宋体" w:cs="宋体"/>
          <w:szCs w:val="21"/>
        </w:rPr>
        <w:t>对磋商文件做出的实质性变动是磋商文件的有效组成部分，磋商小组应当及时以书面形式同时通知所有参加磋商的供应商。</w:t>
      </w:r>
    </w:p>
    <w:p>
      <w:pPr>
        <w:spacing w:line="420" w:lineRule="exact"/>
        <w:ind w:firstLine="481"/>
        <w:rPr>
          <w:rFonts w:ascii="宋体" w:cs="宋体"/>
          <w:szCs w:val="21"/>
        </w:rPr>
      </w:pPr>
      <w:r>
        <w:rPr>
          <w:rFonts w:ascii="宋体" w:hAnsi="宋体" w:cs="宋体"/>
          <w:szCs w:val="21"/>
        </w:rPr>
        <w:t>23.4</w:t>
      </w:r>
      <w:r>
        <w:rPr>
          <w:rFonts w:hint="eastAsia" w:ascii="宋体" w:hAnsi="宋体" w:cs="宋体"/>
          <w:szCs w:val="21"/>
        </w:rPr>
        <w:t>供应商应当按照磋商文件的变动情况和磋商小组的要求重新提交响应文件，并由其法定代表人或授权代表签字或加盖公章。由授权代表签字的，应当附法定代表人授权书。供应商为自然人的，应当由本人签字并附身份证明。</w:t>
      </w:r>
    </w:p>
    <w:p>
      <w:pPr>
        <w:spacing w:line="420" w:lineRule="exact"/>
        <w:ind w:firstLine="481"/>
        <w:rPr>
          <w:rFonts w:ascii="宋体" w:cs="宋体"/>
          <w:szCs w:val="21"/>
        </w:rPr>
      </w:pPr>
      <w:r>
        <w:rPr>
          <w:rFonts w:ascii="宋体" w:hAnsi="宋体" w:cs="宋体"/>
          <w:szCs w:val="21"/>
        </w:rPr>
        <w:t>23.5</w:t>
      </w:r>
      <w:r>
        <w:rPr>
          <w:rFonts w:hint="eastAsia" w:ascii="宋体" w:hAnsi="宋体" w:cs="宋体"/>
          <w:szCs w:val="21"/>
        </w:rPr>
        <w:t>磋商过程中工作人员应做好记录工作，并整理出磋商备忘录（磋商备忘录将成为后期供应商与采购人签订合同的重要依据之一）由供应商和采购人签字确认。</w:t>
      </w:r>
    </w:p>
    <w:p>
      <w:pPr>
        <w:spacing w:line="420" w:lineRule="exact"/>
        <w:ind w:firstLine="481"/>
        <w:outlineLvl w:val="0"/>
        <w:rPr>
          <w:rFonts w:ascii="宋体" w:cs="宋体"/>
          <w:b/>
          <w:bCs/>
          <w:szCs w:val="21"/>
        </w:rPr>
      </w:pPr>
      <w:r>
        <w:rPr>
          <w:rFonts w:ascii="宋体" w:hAnsi="宋体" w:cs="宋体"/>
          <w:b/>
          <w:bCs/>
          <w:szCs w:val="21"/>
        </w:rPr>
        <w:t>23.6</w:t>
      </w:r>
      <w:r>
        <w:rPr>
          <w:rFonts w:hint="eastAsia" w:ascii="宋体" w:hAnsi="宋体" w:cs="宋体"/>
          <w:b/>
          <w:bCs/>
          <w:szCs w:val="21"/>
        </w:rPr>
        <w:t>最终报价</w:t>
      </w:r>
    </w:p>
    <w:p>
      <w:pPr>
        <w:spacing w:line="420" w:lineRule="exact"/>
        <w:ind w:firstLine="481"/>
        <w:rPr>
          <w:rFonts w:ascii="宋体" w:cs="宋体"/>
          <w:szCs w:val="21"/>
        </w:rPr>
      </w:pPr>
      <w:r>
        <w:rPr>
          <w:rFonts w:hint="eastAsia" w:ascii="宋体" w:hAnsi="宋体" w:cs="宋体"/>
          <w:szCs w:val="21"/>
        </w:rPr>
        <w:t>根据《财政部关于政府采购竞争性磋商采购方式管理暂行办法有关问题的补充通知》财库〔</w:t>
      </w:r>
      <w:r>
        <w:rPr>
          <w:rFonts w:ascii="宋体" w:hAnsi="宋体" w:cs="宋体"/>
          <w:szCs w:val="21"/>
        </w:rPr>
        <w:t>2015</w:t>
      </w:r>
      <w:r>
        <w:rPr>
          <w:rFonts w:hint="eastAsia" w:ascii="宋体" w:hAnsi="宋体" w:cs="宋体"/>
          <w:szCs w:val="21"/>
        </w:rPr>
        <w:t>〕</w:t>
      </w:r>
      <w:r>
        <w:rPr>
          <w:rFonts w:ascii="宋体" w:hAnsi="宋体" w:cs="宋体"/>
          <w:szCs w:val="21"/>
        </w:rPr>
        <w:t>124</w:t>
      </w:r>
      <w:r>
        <w:rPr>
          <w:rFonts w:hint="eastAsia" w:ascii="宋体" w:hAnsi="宋体" w:cs="宋体"/>
          <w:szCs w:val="21"/>
        </w:rPr>
        <w:t>号之规定。采用竞争性磋商采购方式采购的政府购买服务项目，在采购过程中符合要求且符合上述规定的供应商只有</w:t>
      </w:r>
      <w:r>
        <w:rPr>
          <w:rFonts w:ascii="宋体" w:hAnsi="宋体" w:cs="宋体"/>
          <w:szCs w:val="21"/>
        </w:rPr>
        <w:t>2</w:t>
      </w:r>
      <w:r>
        <w:rPr>
          <w:rFonts w:hint="eastAsia" w:ascii="宋体" w:hAnsi="宋体" w:cs="宋体"/>
          <w:szCs w:val="21"/>
        </w:rPr>
        <w:t>家的，竞争性磋商采购活动可以继续进行。采购过程中符合要求的供应商只有</w:t>
      </w:r>
      <w:r>
        <w:rPr>
          <w:rFonts w:ascii="宋体" w:hAnsi="宋体" w:cs="宋体"/>
          <w:szCs w:val="21"/>
        </w:rPr>
        <w:t>1</w:t>
      </w:r>
      <w:r>
        <w:rPr>
          <w:rFonts w:hint="eastAsia" w:ascii="宋体" w:hAnsi="宋体" w:cs="宋体"/>
          <w:szCs w:val="21"/>
        </w:rPr>
        <w:t>家的，采购人或者采购代理机构应当终止竞争性磋商采购活动，发布项目终止公告并说明原因，重新开展采购活动。</w:t>
      </w:r>
    </w:p>
    <w:p>
      <w:pPr>
        <w:spacing w:line="420" w:lineRule="exact"/>
        <w:ind w:firstLine="481"/>
        <w:rPr>
          <w:rFonts w:ascii="宋体" w:cs="宋体"/>
          <w:szCs w:val="21"/>
        </w:rPr>
      </w:pPr>
      <w:r>
        <w:rPr>
          <w:rFonts w:hint="eastAsia" w:ascii="宋体" w:hAnsi="宋体" w:cs="宋体"/>
          <w:szCs w:val="21"/>
        </w:rPr>
        <w:t>磋商文件不能详细列明采购标的技术、服务要求，需经磋商由供应商提供最终设计方案或解决方案的，磋商结束后，磋商小组应当按照少数服从多数的原则投票推荐</w:t>
      </w:r>
      <w:r>
        <w:rPr>
          <w:rFonts w:ascii="宋体" w:hAnsi="宋体" w:cs="宋体"/>
          <w:szCs w:val="21"/>
        </w:rPr>
        <w:t>3</w:t>
      </w:r>
      <w:r>
        <w:rPr>
          <w:rFonts w:hint="eastAsia" w:ascii="宋体" w:hAnsi="宋体" w:cs="宋体"/>
          <w:szCs w:val="21"/>
        </w:rPr>
        <w:t>家</w:t>
      </w:r>
      <w:r>
        <w:rPr>
          <w:rFonts w:hint="eastAsia" w:ascii="宋体" w:hAnsi="宋体" w:cs="宋体"/>
          <w:szCs w:val="21"/>
          <w:lang w:eastAsia="zh-CN"/>
        </w:rPr>
        <w:t>或</w:t>
      </w:r>
      <w:r>
        <w:rPr>
          <w:rFonts w:hint="eastAsia" w:ascii="宋体" w:hAnsi="宋体" w:cs="宋体"/>
          <w:szCs w:val="21"/>
        </w:rPr>
        <w:t>以上供应商的设计方案或者解决方案，并要求其在规定时间内提交最后报价。</w:t>
      </w:r>
    </w:p>
    <w:p>
      <w:pPr>
        <w:spacing w:line="420" w:lineRule="exact"/>
        <w:ind w:firstLine="481"/>
        <w:rPr>
          <w:rFonts w:ascii="宋体" w:cs="宋体"/>
          <w:szCs w:val="21"/>
        </w:rPr>
      </w:pPr>
      <w:r>
        <w:rPr>
          <w:rFonts w:hint="eastAsia" w:ascii="宋体" w:hAnsi="宋体" w:cs="宋体"/>
          <w:szCs w:val="21"/>
        </w:rPr>
        <w:t>磋商文件能够详细列明采购标的技术、服务要求的，磋商结束后，磋商小组应当要求所有实质性响应的供应商在规定时间内提交最后报价，提交最后报价的供应商不得少于3家。</w:t>
      </w:r>
    </w:p>
    <w:p>
      <w:pPr>
        <w:spacing w:line="420" w:lineRule="exact"/>
        <w:ind w:firstLine="482"/>
        <w:outlineLvl w:val="0"/>
        <w:rPr>
          <w:rFonts w:ascii="宋体" w:cs="宋体"/>
          <w:b/>
          <w:szCs w:val="21"/>
        </w:rPr>
      </w:pPr>
      <w:r>
        <w:rPr>
          <w:rFonts w:ascii="宋体" w:hAnsi="宋体" w:cs="宋体"/>
          <w:b/>
          <w:szCs w:val="21"/>
        </w:rPr>
        <w:t>24.</w:t>
      </w:r>
      <w:r>
        <w:rPr>
          <w:rFonts w:hint="eastAsia" w:ascii="宋体" w:hAnsi="宋体" w:cs="宋体"/>
          <w:b/>
          <w:szCs w:val="21"/>
        </w:rPr>
        <w:t>比较与评价</w:t>
      </w:r>
    </w:p>
    <w:p>
      <w:pPr>
        <w:spacing w:line="420" w:lineRule="exact"/>
        <w:ind w:firstLine="481"/>
        <w:rPr>
          <w:rFonts w:ascii="宋体" w:cs="宋体"/>
          <w:szCs w:val="21"/>
        </w:rPr>
      </w:pPr>
      <w:r>
        <w:rPr>
          <w:rFonts w:hint="eastAsia" w:ascii="宋体" w:hAnsi="宋体" w:cs="宋体"/>
          <w:szCs w:val="21"/>
        </w:rPr>
        <w:t>经磋商确定最终采购需求和提交最后报价的供应商后，由磋商小组采用综合评分法对提交最后报价的供应商的响应文件和最后报价进行综合评分。评分的标准详见第四章评审办法。</w:t>
      </w:r>
    </w:p>
    <w:p>
      <w:pPr>
        <w:spacing w:line="420" w:lineRule="exact"/>
        <w:ind w:firstLine="482"/>
        <w:rPr>
          <w:rFonts w:ascii="宋体" w:cs="宋体"/>
          <w:b/>
          <w:szCs w:val="24"/>
        </w:rPr>
      </w:pPr>
      <w:r>
        <w:rPr>
          <w:rFonts w:ascii="宋体" w:hAnsi="宋体" w:cs="宋体"/>
          <w:b/>
          <w:szCs w:val="24"/>
        </w:rPr>
        <w:t>25.</w:t>
      </w:r>
      <w:r>
        <w:rPr>
          <w:rFonts w:hint="eastAsia" w:ascii="宋体" w:hAnsi="宋体" w:cs="宋体"/>
          <w:b/>
          <w:szCs w:val="24"/>
        </w:rPr>
        <w:t>推荐成交候选供应商</w:t>
      </w:r>
    </w:p>
    <w:p>
      <w:pPr>
        <w:spacing w:line="420" w:lineRule="exact"/>
        <w:ind w:firstLine="480"/>
        <w:rPr>
          <w:rFonts w:ascii="宋体" w:cs="宋体"/>
          <w:szCs w:val="21"/>
        </w:rPr>
      </w:pPr>
      <w:r>
        <w:rPr>
          <w:rFonts w:ascii="宋体" w:hAnsi="宋体" w:cs="宋体"/>
          <w:szCs w:val="21"/>
        </w:rPr>
        <w:t>25.1</w:t>
      </w:r>
      <w:r>
        <w:rPr>
          <w:rFonts w:hint="eastAsia" w:ascii="宋体" w:hAnsi="宋体" w:cs="宋体"/>
          <w:szCs w:val="21"/>
        </w:rPr>
        <w:t>磋商小组将根据综合评分情况，按照评审得分由高到低顺序推荐</w:t>
      </w:r>
      <w:r>
        <w:rPr>
          <w:rFonts w:ascii="宋体" w:hAnsi="宋体" w:cs="宋体"/>
          <w:szCs w:val="21"/>
        </w:rPr>
        <w:t>3</w:t>
      </w:r>
      <w:r>
        <w:rPr>
          <w:rFonts w:hint="eastAsia" w:ascii="宋体" w:hAnsi="宋体" w:cs="宋体"/>
          <w:szCs w:val="21"/>
        </w:rPr>
        <w:t>名以上成交候选供应商，并编写评审报告。符合本须知第</w:t>
      </w:r>
      <w:r>
        <w:rPr>
          <w:rFonts w:ascii="宋体" w:hAnsi="宋体" w:cs="宋体"/>
          <w:szCs w:val="21"/>
        </w:rPr>
        <w:t>23.6</w:t>
      </w:r>
      <w:r>
        <w:rPr>
          <w:rFonts w:hint="eastAsia" w:ascii="宋体" w:hAnsi="宋体" w:cs="宋体"/>
          <w:szCs w:val="21"/>
        </w:rPr>
        <w:t>条第一款情况的，可以推荐</w:t>
      </w:r>
      <w:r>
        <w:rPr>
          <w:rFonts w:ascii="宋体" w:hAnsi="宋体" w:cs="宋体"/>
          <w:szCs w:val="21"/>
        </w:rPr>
        <w:t>2</w:t>
      </w:r>
      <w:r>
        <w:rPr>
          <w:rFonts w:hint="eastAsia" w:ascii="宋体" w:hAnsi="宋体" w:cs="宋体"/>
          <w:szCs w:val="21"/>
        </w:rPr>
        <w:t>家成交候选供应商。</w:t>
      </w:r>
    </w:p>
    <w:p>
      <w:pPr>
        <w:spacing w:line="420" w:lineRule="exact"/>
        <w:ind w:firstLine="480"/>
        <w:rPr>
          <w:rFonts w:ascii="宋体" w:cs="宋体"/>
          <w:szCs w:val="21"/>
        </w:rPr>
      </w:pPr>
      <w:r>
        <w:rPr>
          <w:rFonts w:ascii="宋体" w:hAnsi="宋体" w:cs="宋体"/>
          <w:szCs w:val="21"/>
        </w:rPr>
        <w:t>25.2</w:t>
      </w:r>
      <w:r>
        <w:rPr>
          <w:rFonts w:hint="eastAsia" w:ascii="宋体" w:hAnsi="宋体" w:cs="宋体"/>
          <w:szCs w:val="21"/>
        </w:rPr>
        <w:t>评审报告将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tabs>
          <w:tab w:val="left" w:pos="641"/>
        </w:tabs>
        <w:spacing w:line="420" w:lineRule="exact"/>
        <w:ind w:firstLine="482"/>
        <w:outlineLvl w:val="0"/>
        <w:rPr>
          <w:rFonts w:ascii="宋体" w:cs="宋体"/>
          <w:b/>
          <w:bCs/>
          <w:szCs w:val="24"/>
        </w:rPr>
      </w:pPr>
      <w:r>
        <w:rPr>
          <w:rFonts w:ascii="宋体" w:hAnsi="宋体" w:cs="宋体"/>
          <w:b/>
          <w:bCs/>
          <w:szCs w:val="24"/>
        </w:rPr>
        <w:t>26.</w:t>
      </w:r>
      <w:r>
        <w:rPr>
          <w:rFonts w:hint="eastAsia" w:ascii="宋体" w:hAnsi="宋体" w:cs="宋体"/>
          <w:b/>
          <w:bCs/>
          <w:szCs w:val="24"/>
        </w:rPr>
        <w:t>成交供应商</w:t>
      </w:r>
    </w:p>
    <w:p>
      <w:pPr>
        <w:spacing w:line="420" w:lineRule="exact"/>
        <w:ind w:firstLine="480"/>
        <w:rPr>
          <w:rFonts w:ascii="宋体" w:cs="宋体"/>
        </w:rPr>
      </w:pPr>
      <w:r>
        <w:rPr>
          <w:rFonts w:ascii="宋体" w:hAnsi="宋体" w:cs="宋体"/>
        </w:rPr>
        <w:t xml:space="preserve">26.1 </w:t>
      </w:r>
      <w:r>
        <w:rPr>
          <w:rFonts w:hint="eastAsia" w:ascii="宋体" w:hAnsi="宋体" w:cs="宋体"/>
        </w:rPr>
        <w:t>采购代理机构将在评审结束后</w:t>
      </w:r>
      <w:r>
        <w:rPr>
          <w:rFonts w:ascii="宋体" w:hAnsi="宋体" w:cs="宋体"/>
        </w:rPr>
        <w:t>2</w:t>
      </w:r>
      <w:r>
        <w:rPr>
          <w:rFonts w:hint="eastAsia" w:ascii="宋体" w:hAnsi="宋体" w:cs="宋体"/>
        </w:rPr>
        <w:t>个工作日内将评审报告送招标采购人确认。</w:t>
      </w:r>
    </w:p>
    <w:p>
      <w:pPr>
        <w:spacing w:line="420" w:lineRule="exact"/>
        <w:ind w:firstLine="480"/>
        <w:rPr>
          <w:rFonts w:ascii="宋体" w:cs="宋体"/>
        </w:rPr>
      </w:pPr>
      <w:r>
        <w:rPr>
          <w:rFonts w:ascii="宋体" w:hAnsi="宋体" w:cs="宋体"/>
        </w:rPr>
        <w:t xml:space="preserve">26.2 </w:t>
      </w:r>
      <w:r>
        <w:rPr>
          <w:rFonts w:hint="eastAsia" w:ascii="宋体" w:hAnsi="宋体" w:cs="宋体"/>
        </w:rPr>
        <w:t>磋商结果的确认。采购人应当对</w:t>
      </w:r>
      <w:r>
        <w:rPr>
          <w:rStyle w:val="60"/>
          <w:rFonts w:hint="eastAsia"/>
          <w:sz w:val="24"/>
          <w:szCs w:val="24"/>
        </w:rPr>
        <w:t>磋商小组</w:t>
      </w:r>
      <w:r>
        <w:rPr>
          <w:rFonts w:hint="eastAsia" w:ascii="宋体" w:hAnsi="宋体" w:cs="宋体"/>
        </w:rPr>
        <w:t>评审报告推荐的候选供应商进行确认。并按照排名依次与候选供应商就项目合同中可变的结论问题进行项目合同签署前的确认谈判，率先达成一致的候选供应商即为成交供应商。</w:t>
      </w:r>
    </w:p>
    <w:p>
      <w:pPr>
        <w:spacing w:line="420" w:lineRule="exact"/>
        <w:ind w:firstLine="480"/>
        <w:rPr>
          <w:rFonts w:ascii="宋体" w:cs="宋体"/>
        </w:rPr>
      </w:pPr>
      <w:r>
        <w:rPr>
          <w:rFonts w:ascii="宋体" w:hAnsi="宋体" w:cs="宋体"/>
        </w:rPr>
        <w:t xml:space="preserve">25.3 </w:t>
      </w:r>
      <w:r>
        <w:rPr>
          <w:rFonts w:hint="eastAsia" w:ascii="宋体" w:hAnsi="宋体" w:cs="宋体"/>
        </w:rPr>
        <w:t>采购人应当在成交供应商确定后</w:t>
      </w:r>
      <w:r>
        <w:rPr>
          <w:rFonts w:ascii="宋体" w:hAnsi="宋体" w:cs="宋体"/>
        </w:rPr>
        <w:t>10</w:t>
      </w:r>
      <w:r>
        <w:rPr>
          <w:rFonts w:hint="eastAsia" w:ascii="宋体" w:hAnsi="宋体" w:cs="宋体"/>
        </w:rPr>
        <w:t>个工作日内，与成交供应商签署确认成交合同，</w:t>
      </w:r>
    </w:p>
    <w:p>
      <w:pPr>
        <w:spacing w:line="420" w:lineRule="exact"/>
        <w:ind w:firstLine="480"/>
        <w:rPr>
          <w:rFonts w:ascii="宋体" w:cs="宋体"/>
        </w:rPr>
      </w:pPr>
      <w:r>
        <w:rPr>
          <w:rFonts w:ascii="宋体" w:hAnsi="宋体" w:cs="宋体"/>
        </w:rPr>
        <w:t>25.4</w:t>
      </w:r>
      <w:r>
        <w:rPr>
          <w:rFonts w:hint="eastAsia" w:ascii="宋体" w:hAnsi="宋体" w:cs="宋体"/>
        </w:rPr>
        <w:t>采购人或者采购代理机构应当在成交供应商确定后</w:t>
      </w:r>
      <w:r>
        <w:rPr>
          <w:rFonts w:ascii="宋体" w:hAnsi="宋体" w:cs="宋体"/>
        </w:rPr>
        <w:t>2</w:t>
      </w:r>
      <w:r>
        <w:rPr>
          <w:rFonts w:hint="eastAsia" w:ascii="宋体" w:hAnsi="宋体" w:cs="宋体"/>
        </w:rPr>
        <w:t>个工作日内，在省级以上财政部门指定的政府采购信息发布媒体上公告成交结果，同时向成交供应商发出成交通知书，并将磋商文件随成交结果同时公告。</w:t>
      </w:r>
    </w:p>
    <w:p>
      <w:pPr>
        <w:tabs>
          <w:tab w:val="left" w:pos="641"/>
        </w:tabs>
        <w:spacing w:line="420" w:lineRule="exact"/>
        <w:ind w:firstLine="482"/>
        <w:rPr>
          <w:rFonts w:ascii="宋体" w:cs="宋体"/>
          <w:b/>
          <w:bCs/>
          <w:szCs w:val="24"/>
        </w:rPr>
      </w:pPr>
      <w:r>
        <w:rPr>
          <w:rFonts w:ascii="宋体" w:hAnsi="宋体" w:cs="宋体"/>
          <w:b/>
          <w:bCs/>
          <w:szCs w:val="24"/>
        </w:rPr>
        <w:t>27.</w:t>
      </w:r>
      <w:r>
        <w:rPr>
          <w:rFonts w:hint="eastAsia" w:ascii="宋体" w:hAnsi="宋体" w:cs="宋体"/>
          <w:b/>
          <w:bCs/>
          <w:szCs w:val="24"/>
        </w:rPr>
        <w:t>合同的授予和执行</w:t>
      </w:r>
    </w:p>
    <w:p>
      <w:pPr>
        <w:spacing w:line="420" w:lineRule="exact"/>
        <w:ind w:firstLine="480"/>
        <w:rPr>
          <w:rFonts w:ascii="宋体" w:cs="宋体"/>
        </w:rPr>
      </w:pPr>
      <w:r>
        <w:rPr>
          <w:rFonts w:ascii="宋体" w:hAnsi="宋体" w:cs="宋体"/>
        </w:rPr>
        <w:t xml:space="preserve">27.1 </w:t>
      </w:r>
      <w:r>
        <w:rPr>
          <w:rFonts w:hint="eastAsia" w:ascii="宋体" w:hAnsi="宋体" w:cs="宋体"/>
        </w:rPr>
        <w:t>采购人与成交供应商应当在成交通知书发出之日起</w:t>
      </w:r>
      <w:r>
        <w:rPr>
          <w:rFonts w:ascii="宋体" w:hAnsi="宋体" w:cs="宋体"/>
        </w:rPr>
        <w:t>30</w:t>
      </w:r>
      <w:r>
        <w:rPr>
          <w:rFonts w:hint="eastAsia" w:ascii="宋体" w:hAnsi="宋体" w:cs="宋体"/>
        </w:rPr>
        <w:t>日内，与成交供应商签订经本项目监管部门审核同意的服务合同。</w:t>
      </w:r>
    </w:p>
    <w:p>
      <w:pPr>
        <w:spacing w:line="420" w:lineRule="exact"/>
        <w:ind w:firstLine="480"/>
        <w:rPr>
          <w:rFonts w:ascii="宋体" w:cs="宋体"/>
        </w:rPr>
      </w:pPr>
      <w:r>
        <w:rPr>
          <w:rFonts w:ascii="宋体" w:hAnsi="宋体" w:cs="宋体"/>
        </w:rPr>
        <w:t>27.2</w:t>
      </w:r>
      <w:r>
        <w:rPr>
          <w:rFonts w:hint="eastAsia" w:ascii="宋体" w:hAnsi="宋体" w:cs="宋体"/>
        </w:rPr>
        <w:t>成交供应商拒绝签订服务合同的，采购人可以按照第四章“评审方法”推荐成交候选供应商的原则确定其他供应商作为成交供应商并签订项目合同，也可以重新开展采购活动。拒绝签项目合同的成交供应商不得参加对该项目重新开展的采购活动。</w:t>
      </w:r>
    </w:p>
    <w:p>
      <w:pPr>
        <w:spacing w:line="420" w:lineRule="exact"/>
        <w:ind w:firstLine="480"/>
        <w:rPr>
          <w:rFonts w:ascii="宋体" w:cs="宋体"/>
        </w:rPr>
      </w:pPr>
      <w:r>
        <w:rPr>
          <w:rFonts w:ascii="宋体" w:hAnsi="宋体" w:cs="宋体"/>
        </w:rPr>
        <w:t>27.3</w:t>
      </w:r>
      <w:r>
        <w:rPr>
          <w:rFonts w:hint="eastAsia" w:ascii="宋体" w:hAnsi="宋体" w:cs="宋体"/>
        </w:rPr>
        <w:t>出现下列情形之一的，采购人或者采购代理机构应当终止竞争性磋商采购活动，发布项目终止公告并说明原因，重新开展采购活动：</w:t>
      </w:r>
    </w:p>
    <w:p>
      <w:pPr>
        <w:numPr>
          <w:ilvl w:val="0"/>
          <w:numId w:val="4"/>
        </w:numPr>
        <w:spacing w:line="420" w:lineRule="exact"/>
        <w:ind w:firstLine="480"/>
        <w:rPr>
          <w:rFonts w:ascii="宋体" w:cs="宋体"/>
        </w:rPr>
      </w:pPr>
      <w:r>
        <w:rPr>
          <w:rFonts w:hint="eastAsia" w:ascii="宋体" w:hAnsi="宋体" w:cs="宋体"/>
        </w:rPr>
        <w:t>因情况变化，不再符合规定的竞争性磋商采购方式适用情形的；</w:t>
      </w:r>
    </w:p>
    <w:p>
      <w:pPr>
        <w:numPr>
          <w:ilvl w:val="0"/>
          <w:numId w:val="4"/>
        </w:numPr>
        <w:spacing w:line="420" w:lineRule="exact"/>
        <w:ind w:firstLine="480"/>
        <w:rPr>
          <w:rFonts w:ascii="宋体" w:cs="宋体"/>
        </w:rPr>
      </w:pPr>
      <w:r>
        <w:rPr>
          <w:rFonts w:hint="eastAsia" w:ascii="宋体" w:hAnsi="宋体" w:cs="宋体"/>
        </w:rPr>
        <w:t>出现影响采购公正的违法、违规行为的；</w:t>
      </w:r>
    </w:p>
    <w:p>
      <w:pPr>
        <w:numPr>
          <w:ilvl w:val="0"/>
          <w:numId w:val="4"/>
        </w:numPr>
        <w:spacing w:line="420" w:lineRule="exact"/>
        <w:ind w:firstLine="480"/>
        <w:rPr>
          <w:rFonts w:ascii="宋体" w:cs="宋体"/>
        </w:rPr>
      </w:pPr>
      <w:r>
        <w:rPr>
          <w:rFonts w:hint="eastAsia" w:ascii="宋体" w:hAnsi="宋体" w:cs="宋体"/>
        </w:rPr>
        <w:t>在采购过程中符合要求的供应商或者报价未超过采购预算的供应商方不足3家的。</w:t>
      </w:r>
    </w:p>
    <w:p>
      <w:pPr>
        <w:spacing w:line="420" w:lineRule="exact"/>
        <w:ind w:firstLine="480"/>
        <w:rPr>
          <w:rFonts w:ascii="宋体" w:cs="宋体"/>
        </w:rPr>
      </w:pPr>
      <w:r>
        <w:rPr>
          <w:rFonts w:ascii="宋体" w:hAnsi="宋体" w:cs="宋体"/>
        </w:rPr>
        <w:t>27.4</w:t>
      </w:r>
      <w:r>
        <w:rPr>
          <w:rFonts w:hint="eastAsia" w:ascii="宋体" w:hAnsi="宋体" w:cs="宋体"/>
        </w:rPr>
        <w:t>在采购活动中因重大变故，采购任务取消的，采购人或者采购代理机构应当终止采购活动，通知所有参加采购活动的供应商，并将项目实施情况和采购任务取消原因报送本级监管部门。</w:t>
      </w:r>
    </w:p>
    <w:p>
      <w:pPr>
        <w:spacing w:line="420" w:lineRule="exact"/>
        <w:ind w:firstLine="480"/>
        <w:rPr>
          <w:rFonts w:ascii="宋体" w:cs="宋体"/>
        </w:rPr>
      </w:pPr>
      <w:r>
        <w:rPr>
          <w:rFonts w:ascii="宋体" w:hAnsi="宋体" w:cs="宋体"/>
        </w:rPr>
        <w:t>27.5</w:t>
      </w:r>
      <w:r>
        <w:rPr>
          <w:rFonts w:hint="eastAsia" w:ascii="宋体" w:hAnsi="宋体" w:cs="宋体"/>
        </w:rPr>
        <w:t>项目合同必须报请本级主管部门审核同意，在获得同意前项目合同不得生效。</w:t>
      </w:r>
    </w:p>
    <w:p>
      <w:pPr>
        <w:spacing w:line="420" w:lineRule="exact"/>
        <w:ind w:firstLine="480"/>
        <w:rPr>
          <w:rFonts w:ascii="宋体" w:cs="宋体"/>
        </w:rPr>
      </w:pPr>
      <w:r>
        <w:rPr>
          <w:rFonts w:ascii="宋体" w:hAnsi="宋体" w:cs="宋体"/>
        </w:rPr>
        <w:t>27.6</w:t>
      </w:r>
      <w:r>
        <w:rPr>
          <w:rFonts w:hint="eastAsia" w:ascii="宋体" w:hAnsi="宋体" w:cs="宋体"/>
        </w:rPr>
        <w:t>采购人和监管部门应监督供应商按照采购文件和项目服务项目合同约定提供的服务。</w:t>
      </w:r>
    </w:p>
    <w:p>
      <w:pPr>
        <w:tabs>
          <w:tab w:val="left" w:pos="641"/>
        </w:tabs>
        <w:spacing w:line="420" w:lineRule="exact"/>
        <w:ind w:firstLine="482"/>
        <w:rPr>
          <w:rFonts w:ascii="宋体" w:cs="宋体"/>
          <w:b/>
          <w:bCs/>
          <w:szCs w:val="24"/>
        </w:rPr>
      </w:pPr>
      <w:bookmarkStart w:id="170" w:name="_Toc137651730"/>
      <w:bookmarkEnd w:id="170"/>
      <w:bookmarkStart w:id="171" w:name="_Toc127973031"/>
      <w:bookmarkEnd w:id="171"/>
      <w:r>
        <w:rPr>
          <w:rFonts w:ascii="宋体" w:hAnsi="宋体" w:cs="宋体"/>
          <w:b/>
          <w:bCs/>
          <w:szCs w:val="24"/>
        </w:rPr>
        <w:t>28.</w:t>
      </w:r>
      <w:r>
        <w:rPr>
          <w:rFonts w:hint="eastAsia" w:ascii="宋体" w:hAnsi="宋体" w:cs="宋体"/>
          <w:b/>
          <w:bCs/>
          <w:szCs w:val="24"/>
        </w:rPr>
        <w:t>保密</w:t>
      </w:r>
    </w:p>
    <w:p>
      <w:pPr>
        <w:spacing w:line="420" w:lineRule="exact"/>
        <w:ind w:firstLine="480"/>
        <w:rPr>
          <w:rFonts w:ascii="宋体" w:cs="宋体"/>
        </w:rPr>
      </w:pPr>
      <w:r>
        <w:rPr>
          <w:rFonts w:hint="eastAsia" w:ascii="宋体" w:hAnsi="宋体" w:cs="宋体"/>
        </w:rPr>
        <w:t>参与磋商活动的供应商应对磋商文件和响应文件中的涉及国家秘密和商业秘密进行保密，未经采购人书面同意不得扩散，否则承担相关法律责任。</w:t>
      </w:r>
    </w:p>
    <w:p>
      <w:pPr>
        <w:tabs>
          <w:tab w:val="left" w:pos="641"/>
        </w:tabs>
        <w:spacing w:line="420" w:lineRule="exact"/>
        <w:ind w:firstLine="482"/>
        <w:rPr>
          <w:rFonts w:ascii="宋体" w:cs="宋体"/>
          <w:b/>
          <w:bCs/>
          <w:szCs w:val="24"/>
        </w:rPr>
      </w:pPr>
      <w:r>
        <w:rPr>
          <w:rFonts w:ascii="宋体" w:hAnsi="宋体" w:cs="宋体"/>
          <w:b/>
          <w:bCs/>
          <w:szCs w:val="24"/>
        </w:rPr>
        <w:t>29.</w:t>
      </w:r>
      <w:r>
        <w:rPr>
          <w:rFonts w:hint="eastAsia" w:ascii="宋体" w:hAnsi="宋体" w:cs="宋体"/>
          <w:b/>
          <w:bCs/>
          <w:szCs w:val="24"/>
        </w:rPr>
        <w:t>质疑投诉</w:t>
      </w:r>
    </w:p>
    <w:p>
      <w:pPr>
        <w:spacing w:line="420" w:lineRule="exact"/>
        <w:ind w:firstLine="480"/>
        <w:rPr>
          <w:rFonts w:ascii="宋体" w:cs="宋体"/>
        </w:rPr>
      </w:pPr>
      <w:r>
        <w:rPr>
          <w:rFonts w:hint="eastAsia" w:ascii="宋体" w:hAnsi="宋体" w:cs="宋体"/>
        </w:rPr>
        <w:t>参加竞争性磋商采购活动的询问、质疑和投诉，依照有关政府采购相关法律规定执行。</w:t>
      </w:r>
    </w:p>
    <w:p>
      <w:pPr>
        <w:tabs>
          <w:tab w:val="left" w:pos="641"/>
        </w:tabs>
        <w:spacing w:line="420" w:lineRule="exact"/>
        <w:ind w:firstLine="482"/>
        <w:rPr>
          <w:rFonts w:ascii="宋体" w:hAnsi="宋体" w:cs="宋体"/>
          <w:b/>
          <w:bCs/>
          <w:szCs w:val="24"/>
        </w:rPr>
      </w:pPr>
      <w:r>
        <w:rPr>
          <w:rFonts w:hint="eastAsia" w:ascii="宋体" w:hAnsi="宋体" w:cs="宋体"/>
          <w:b/>
          <w:bCs/>
          <w:szCs w:val="24"/>
        </w:rPr>
        <w:t>30.政府采购政策</w:t>
      </w:r>
    </w:p>
    <w:p>
      <w:pPr>
        <w:tabs>
          <w:tab w:val="left" w:pos="641"/>
        </w:tabs>
        <w:spacing w:line="420" w:lineRule="exact"/>
        <w:ind w:firstLine="480" w:firstLineChars="200"/>
        <w:jc w:val="center"/>
        <w:rPr>
          <w:rFonts w:ascii="黑体" w:hAnsi="黑体" w:eastAsia="黑体"/>
          <w:sz w:val="32"/>
          <w:szCs w:val="32"/>
        </w:rPr>
      </w:pPr>
      <w:r>
        <w:rPr>
          <w:rFonts w:ascii="宋体" w:hAnsi="宋体" w:cs="宋体"/>
        </w:rPr>
        <w:t>30.1</w:t>
      </w:r>
      <w:r>
        <w:rPr>
          <w:rFonts w:hint="eastAsia" w:ascii="宋体" w:hAnsi="宋体" w:cs="宋体"/>
        </w:rPr>
        <w:t>政府采购应当有助于实现国家的经济和</w:t>
      </w:r>
      <w:r>
        <w:fldChar w:fldCharType="begin"/>
      </w:r>
      <w:r>
        <w:instrText xml:space="preserve"> HYPERLINK "http://baike.baidu.com/view/391473.htm" </w:instrText>
      </w:r>
      <w:r>
        <w:fldChar w:fldCharType="separate"/>
      </w:r>
      <w:r>
        <w:rPr>
          <w:rFonts w:hint="eastAsia" w:ascii="宋体" w:hAnsi="宋体" w:cs="宋体"/>
        </w:rPr>
        <w:t>社会发展</w:t>
      </w:r>
      <w:r>
        <w:rPr>
          <w:rFonts w:hint="eastAsia" w:ascii="宋体" w:hAnsi="宋体" w:cs="宋体"/>
        </w:rPr>
        <w:fldChar w:fldCharType="end"/>
      </w:r>
      <w:r>
        <w:rPr>
          <w:rFonts w:hint="eastAsia" w:ascii="宋体" w:hAnsi="宋体" w:cs="宋体"/>
        </w:rPr>
        <w:t>政策目标，包括保护环境，扶持不发达地区和少数民族地区，促进中小企业发展等。政府采购应当采购本国货物、工程和服务。</w:t>
      </w:r>
      <w:r>
        <w:br w:type="page"/>
      </w:r>
      <w:r>
        <w:rPr>
          <w:rFonts w:hint="eastAsia" w:ascii="黑体" w:hAnsi="黑体" w:eastAsia="黑体"/>
          <w:sz w:val="32"/>
          <w:szCs w:val="32"/>
        </w:rPr>
        <w:t>第四章 评审办法</w:t>
      </w:r>
    </w:p>
    <w:p>
      <w:pPr>
        <w:pStyle w:val="27"/>
        <w:spacing w:before="0" w:line="440" w:lineRule="exact"/>
        <w:ind w:firstLine="482" w:firstLineChars="200"/>
        <w:jc w:val="both"/>
        <w:rPr>
          <w:rFonts w:hint="eastAsia"/>
          <w:sz w:val="24"/>
          <w:szCs w:val="24"/>
        </w:rPr>
      </w:pPr>
      <w:bookmarkStart w:id="172" w:name="_Toc431307779"/>
      <w:bookmarkEnd w:id="172"/>
      <w:bookmarkStart w:id="173" w:name="_Toc448307955"/>
      <w:bookmarkEnd w:id="173"/>
    </w:p>
    <w:p>
      <w:pPr>
        <w:pStyle w:val="27"/>
        <w:spacing w:before="0" w:line="440" w:lineRule="exact"/>
        <w:ind w:firstLine="482" w:firstLineChars="200"/>
        <w:jc w:val="both"/>
        <w:rPr>
          <w:sz w:val="24"/>
          <w:szCs w:val="24"/>
        </w:rPr>
      </w:pPr>
      <w:r>
        <w:rPr>
          <w:rFonts w:hint="eastAsia"/>
          <w:sz w:val="24"/>
          <w:szCs w:val="24"/>
        </w:rPr>
        <w:t>一、评审方法及评审原则</w:t>
      </w:r>
      <w:bookmarkStart w:id="174" w:name="_Toc414112651"/>
      <w:bookmarkEnd w:id="174"/>
      <w:bookmarkStart w:id="175" w:name="_Toc415575790"/>
      <w:bookmarkEnd w:id="175"/>
      <w:bookmarkStart w:id="176" w:name="_Toc152045600"/>
      <w:bookmarkEnd w:id="176"/>
      <w:bookmarkStart w:id="177" w:name="_Toc448307956"/>
      <w:bookmarkEnd w:id="177"/>
      <w:bookmarkStart w:id="178" w:name="_Toc144974567"/>
      <w:bookmarkEnd w:id="178"/>
      <w:bookmarkStart w:id="179" w:name="_Toc152042377"/>
      <w:bookmarkEnd w:id="179"/>
      <w:bookmarkStart w:id="180" w:name="_Toc431307789"/>
      <w:bookmarkEnd w:id="180"/>
      <w:bookmarkStart w:id="181" w:name="_Toc414277163"/>
      <w:bookmarkEnd w:id="181"/>
    </w:p>
    <w:p>
      <w:pPr>
        <w:pStyle w:val="27"/>
        <w:spacing w:before="0" w:line="440" w:lineRule="exact"/>
        <w:ind w:firstLine="482" w:firstLineChars="200"/>
        <w:jc w:val="both"/>
        <w:rPr>
          <w:rFonts w:ascii="宋体" w:cs="宋体"/>
          <w:sz w:val="24"/>
          <w:szCs w:val="24"/>
        </w:rPr>
      </w:pPr>
      <w:r>
        <w:rPr>
          <w:rFonts w:ascii="宋体" w:hAnsi="宋体" w:cs="宋体"/>
          <w:sz w:val="24"/>
          <w:szCs w:val="24"/>
        </w:rPr>
        <w:t>1.</w:t>
      </w:r>
      <w:r>
        <w:rPr>
          <w:rFonts w:hint="eastAsia" w:ascii="宋体" w:hAnsi="宋体" w:cs="宋体"/>
          <w:sz w:val="24"/>
          <w:szCs w:val="24"/>
        </w:rPr>
        <w:t>评审方法</w:t>
      </w:r>
    </w:p>
    <w:p>
      <w:pPr>
        <w:spacing w:line="400" w:lineRule="exact"/>
        <w:ind w:firstLine="482"/>
        <w:rPr>
          <w:rFonts w:ascii="宋体" w:cs="宋体"/>
        </w:rPr>
      </w:pPr>
      <w:r>
        <w:rPr>
          <w:rFonts w:hint="eastAsia" w:ascii="宋体" w:hAnsi="宋体" w:cs="宋体"/>
        </w:rPr>
        <w:t>本次评审采用综合评分法，满分</w:t>
      </w:r>
      <w:r>
        <w:rPr>
          <w:rFonts w:ascii="宋体" w:hAnsi="宋体" w:cs="宋体"/>
        </w:rPr>
        <w:t>100</w:t>
      </w:r>
      <w:r>
        <w:rPr>
          <w:rFonts w:hint="eastAsia" w:ascii="宋体" w:hAnsi="宋体" w:cs="宋体"/>
        </w:rPr>
        <w:t>分。磋商小组对满足磋商文件要求的响应文件，按照本章规定的评审标准进行评审，按评审办法的量化指标评审得分从高到低顺序推荐候选供应商。评分得分相同的，按照报价从由低到高顺序推荐。</w:t>
      </w:r>
    </w:p>
    <w:p>
      <w:pPr>
        <w:spacing w:line="440" w:lineRule="exact"/>
        <w:ind w:firstLine="482"/>
        <w:rPr>
          <w:rFonts w:ascii="宋体" w:cs="宋体"/>
          <w:b/>
          <w:szCs w:val="24"/>
        </w:rPr>
      </w:pPr>
      <w:r>
        <w:rPr>
          <w:rFonts w:ascii="宋体" w:hAnsi="宋体" w:cs="宋体"/>
          <w:b/>
          <w:szCs w:val="24"/>
        </w:rPr>
        <w:t>2.</w:t>
      </w:r>
      <w:r>
        <w:rPr>
          <w:rFonts w:hint="eastAsia" w:ascii="宋体" w:hAnsi="宋体" w:cs="宋体"/>
          <w:b/>
          <w:szCs w:val="24"/>
        </w:rPr>
        <w:t>评审原则标准</w:t>
      </w:r>
      <w:bookmarkStart w:id="182" w:name="_Toc448307958"/>
      <w:bookmarkEnd w:id="182"/>
    </w:p>
    <w:p>
      <w:pPr>
        <w:spacing w:line="440" w:lineRule="exact"/>
        <w:ind w:firstLine="482"/>
        <w:rPr>
          <w:rFonts w:ascii="宋体" w:cs="宋体"/>
          <w:szCs w:val="24"/>
        </w:rPr>
      </w:pPr>
      <w:r>
        <w:rPr>
          <w:rFonts w:ascii="宋体" w:hAnsi="宋体" w:cs="宋体"/>
          <w:szCs w:val="24"/>
        </w:rPr>
        <w:t>2.1</w:t>
      </w:r>
      <w:r>
        <w:rPr>
          <w:rFonts w:hint="eastAsia" w:ascii="宋体" w:hAnsi="宋体" w:cs="宋体"/>
          <w:szCs w:val="24"/>
        </w:rPr>
        <w:t>磋商响应文件初审</w:t>
      </w:r>
      <w:bookmarkStart w:id="183" w:name="_Toc448307959"/>
      <w:bookmarkEnd w:id="183"/>
    </w:p>
    <w:p>
      <w:pPr>
        <w:spacing w:line="440" w:lineRule="exact"/>
        <w:ind w:firstLine="482"/>
        <w:rPr>
          <w:rFonts w:ascii="宋体" w:cs="宋体"/>
          <w:b/>
          <w:szCs w:val="24"/>
        </w:rPr>
      </w:pPr>
      <w:r>
        <w:rPr>
          <w:rFonts w:ascii="宋体" w:hAnsi="宋体" w:cs="宋体"/>
          <w:b/>
          <w:szCs w:val="24"/>
        </w:rPr>
        <w:t>2.1.1</w:t>
      </w:r>
      <w:r>
        <w:rPr>
          <w:rFonts w:hint="eastAsia" w:ascii="宋体" w:hAnsi="宋体" w:cs="宋体"/>
          <w:b/>
          <w:szCs w:val="24"/>
        </w:rPr>
        <w:t>资格性检查标准</w:t>
      </w:r>
    </w:p>
    <w:p>
      <w:pPr>
        <w:spacing w:line="400" w:lineRule="exact"/>
        <w:ind w:firstLine="482"/>
        <w:rPr>
          <w:rFonts w:ascii="宋体" w:cs="宋体"/>
        </w:rPr>
      </w:pPr>
      <w:r>
        <w:rPr>
          <w:rFonts w:hint="eastAsia" w:ascii="宋体" w:hAnsi="宋体" w:cs="宋体"/>
        </w:rPr>
        <w:t>由磋商小组进行资格审查。依据法律法规和磋商文件的规定，对响应文件中的资格证明、磋商保证金等进行检查，以确定供应商是否具备磋商资格。资格性检查评审标准：见评审方法前附表。</w:t>
      </w:r>
    </w:p>
    <w:p>
      <w:pPr>
        <w:spacing w:line="400" w:lineRule="exact"/>
        <w:ind w:firstLine="482"/>
        <w:rPr>
          <w:rFonts w:ascii="宋体" w:cs="宋体"/>
        </w:rPr>
      </w:pPr>
      <w:r>
        <w:rPr>
          <w:rFonts w:hint="eastAsia" w:ascii="宋体" w:hAnsi="宋体" w:cs="宋体"/>
        </w:rPr>
        <w:t>由磋商小组按照资格文件规定的审查标准对供应商进行资格审查。有一项不符合审查标准的，响应文件将不进入下一步评审。</w:t>
      </w:r>
    </w:p>
    <w:p>
      <w:pPr>
        <w:spacing w:line="400" w:lineRule="exact"/>
        <w:ind w:firstLine="482"/>
        <w:rPr>
          <w:rFonts w:ascii="宋体" w:cs="宋体"/>
        </w:rPr>
      </w:pPr>
      <w:bookmarkStart w:id="184" w:name="_Toc448307960"/>
      <w:bookmarkEnd w:id="184"/>
      <w:r>
        <w:rPr>
          <w:rFonts w:ascii="宋体" w:hAnsi="宋体" w:cs="宋体"/>
        </w:rPr>
        <w:t>2.1.2</w:t>
      </w:r>
      <w:r>
        <w:rPr>
          <w:rFonts w:hint="eastAsia" w:ascii="宋体" w:hAnsi="宋体" w:cs="宋体"/>
        </w:rPr>
        <w:t>符合性审查标准</w:t>
      </w:r>
    </w:p>
    <w:p>
      <w:pPr>
        <w:spacing w:line="400" w:lineRule="exact"/>
        <w:ind w:firstLine="482"/>
        <w:rPr>
          <w:rFonts w:ascii="宋体" w:cs="宋体"/>
        </w:rPr>
      </w:pPr>
      <w:r>
        <w:rPr>
          <w:rFonts w:hint="eastAsia" w:ascii="宋体" w:hAnsi="宋体" w:cs="宋体"/>
        </w:rPr>
        <w:t>通过资格审查的供应商，由磋商小组进行符合性审查。依据磋商文件的规定，从响应文件的有效性、完整性和对磋商文件的响应程度进行审查，以确定是否对磋商文件的实质性要求做出响应。符合性检查评审标准：见评审方法附表。</w:t>
      </w:r>
      <w:bookmarkStart w:id="185" w:name="_Toc414277170"/>
      <w:bookmarkEnd w:id="185"/>
      <w:bookmarkStart w:id="186" w:name="_Toc414112658"/>
      <w:bookmarkEnd w:id="186"/>
      <w:bookmarkStart w:id="187" w:name="_Toc144974575"/>
      <w:bookmarkEnd w:id="187"/>
      <w:bookmarkStart w:id="188" w:name="_Toc152042385"/>
      <w:bookmarkEnd w:id="188"/>
      <w:bookmarkStart w:id="189" w:name="_Toc152045607"/>
      <w:bookmarkEnd w:id="189"/>
      <w:bookmarkStart w:id="190" w:name="_Toc448307961"/>
      <w:bookmarkEnd w:id="190"/>
    </w:p>
    <w:p>
      <w:pPr>
        <w:spacing w:line="400" w:lineRule="exact"/>
        <w:ind w:firstLine="482"/>
        <w:rPr>
          <w:rFonts w:ascii="宋体" w:cs="宋体"/>
        </w:rPr>
      </w:pPr>
      <w:r>
        <w:rPr>
          <w:rFonts w:ascii="宋体" w:hAnsi="宋体" w:cs="宋体"/>
        </w:rPr>
        <w:t>2.2</w:t>
      </w:r>
      <w:r>
        <w:rPr>
          <w:rFonts w:hint="eastAsia" w:ascii="宋体" w:hAnsi="宋体" w:cs="宋体"/>
        </w:rPr>
        <w:t>澄清有关问题</w:t>
      </w:r>
    </w:p>
    <w:p>
      <w:pPr>
        <w:spacing w:line="400" w:lineRule="exact"/>
        <w:ind w:firstLine="482"/>
        <w:rPr>
          <w:rFonts w:ascii="宋体" w:cs="宋体"/>
        </w:rPr>
      </w:pPr>
      <w:r>
        <w:rPr>
          <w:rFonts w:ascii="宋体" w:hAnsi="宋体" w:cs="宋体"/>
        </w:rPr>
        <w:t>2.2.1</w:t>
      </w:r>
      <w:r>
        <w:rPr>
          <w:rFonts w:hint="eastAsia" w:ascii="宋体" w:hAnsi="宋体" w:cs="宋体"/>
        </w:rPr>
        <w:t>对响应文件中含义不明确、同类问题表述不一致或者有明显文字和计算错误的内容，磋商小组可以书面形式（应当由磋商小组专家签字）要求响应供应商做出必要的澄清、说明或者纠正。供应商的澄清、说明或者补正应当采用书面形式，由其授权代表签字，并不得超出响应文件的范围或者改变响应文件的实质性内容。</w:t>
      </w:r>
    </w:p>
    <w:p>
      <w:pPr>
        <w:spacing w:line="400" w:lineRule="exact"/>
        <w:ind w:firstLine="482"/>
        <w:rPr>
          <w:rFonts w:ascii="宋体" w:cs="宋体"/>
        </w:rPr>
      </w:pPr>
      <w:r>
        <w:rPr>
          <w:rFonts w:ascii="宋体" w:hAnsi="宋体" w:cs="宋体"/>
        </w:rPr>
        <w:t>2.2.2</w:t>
      </w:r>
      <w:r>
        <w:rPr>
          <w:rFonts w:hint="eastAsia" w:ascii="宋体" w:hAnsi="宋体" w:cs="宋体"/>
        </w:rPr>
        <w:t>磋商小组要求供应商澄清、说明或者更正响应文件应当以书面形式做出。供应商的澄清、说明或者更正应当由法定代表人或其授权代表签字或者加盖公章。</w:t>
      </w:r>
    </w:p>
    <w:p>
      <w:pPr>
        <w:spacing w:line="400" w:lineRule="exact"/>
        <w:ind w:firstLine="482"/>
        <w:rPr>
          <w:rFonts w:ascii="宋体" w:cs="宋体"/>
        </w:rPr>
      </w:pPr>
      <w:r>
        <w:rPr>
          <w:rFonts w:ascii="宋体" w:hAnsi="宋体" w:cs="宋体"/>
        </w:rPr>
        <w:t>2.3</w:t>
      </w:r>
      <w:r>
        <w:rPr>
          <w:rFonts w:hint="eastAsia" w:ascii="宋体" w:hAnsi="宋体" w:cs="宋体"/>
        </w:rPr>
        <w:t>比较与评价</w:t>
      </w:r>
    </w:p>
    <w:p>
      <w:pPr>
        <w:spacing w:line="400" w:lineRule="exact"/>
        <w:ind w:firstLine="482"/>
        <w:rPr>
          <w:rFonts w:ascii="宋体" w:cs="宋体"/>
        </w:rPr>
      </w:pPr>
      <w:r>
        <w:rPr>
          <w:rFonts w:ascii="宋体" w:hAnsi="宋体" w:cs="宋体"/>
        </w:rPr>
        <w:t>2.3.1</w:t>
      </w:r>
      <w:r>
        <w:rPr>
          <w:rFonts w:hint="eastAsia" w:ascii="宋体" w:hAnsi="宋体" w:cs="宋体"/>
        </w:rPr>
        <w:t>按磋商文件中规定的评标方法和标准，对资格性检查和符合性检查合格的响应文件进行详细评审，详细评审标准。</w:t>
      </w:r>
    </w:p>
    <w:p>
      <w:pPr>
        <w:spacing w:line="400" w:lineRule="exact"/>
        <w:ind w:firstLine="482"/>
        <w:rPr>
          <w:rFonts w:ascii="宋体" w:cs="宋体"/>
        </w:rPr>
      </w:pPr>
      <w:r>
        <w:rPr>
          <w:rFonts w:ascii="宋体" w:hAnsi="宋体" w:cs="宋体"/>
        </w:rPr>
        <w:t>2.3.2</w:t>
      </w:r>
      <w:r>
        <w:rPr>
          <w:rFonts w:hint="eastAsia" w:ascii="宋体" w:hAnsi="宋体" w:cs="宋体"/>
        </w:rPr>
        <w:t>磋商小组按规定的量化指标和分值进行打分，并计算出综合评审得分；</w:t>
      </w:r>
    </w:p>
    <w:p>
      <w:pPr>
        <w:spacing w:line="400" w:lineRule="exact"/>
        <w:ind w:firstLine="482"/>
        <w:rPr>
          <w:rFonts w:ascii="宋体" w:cs="宋体"/>
        </w:rPr>
      </w:pPr>
      <w:r>
        <w:rPr>
          <w:rFonts w:ascii="宋体" w:hAnsi="宋体" w:cs="宋体"/>
        </w:rPr>
        <w:t>2.3.3</w:t>
      </w:r>
      <w:r>
        <w:rPr>
          <w:rFonts w:hint="eastAsia" w:ascii="宋体" w:hAnsi="宋体" w:cs="宋体"/>
        </w:rPr>
        <w:t>汇总全体磋商小组对响应供商的打分总和，即供应商的最终评审得分；</w:t>
      </w:r>
    </w:p>
    <w:p>
      <w:pPr>
        <w:spacing w:line="400" w:lineRule="exact"/>
        <w:ind w:firstLine="482"/>
        <w:rPr>
          <w:rFonts w:ascii="宋体"/>
          <w:szCs w:val="24"/>
        </w:rPr>
      </w:pPr>
      <w:r>
        <w:rPr>
          <w:rFonts w:ascii="宋体" w:hAnsi="宋体" w:cs="宋体"/>
        </w:rPr>
        <w:t>2.3.4</w:t>
      </w:r>
      <w:r>
        <w:rPr>
          <w:rFonts w:hint="eastAsia" w:ascii="宋体" w:hAnsi="宋体" w:cs="宋体"/>
        </w:rPr>
        <w:t>评分分值计算保留小数点后两位，小数点后两位</w:t>
      </w:r>
      <w:r>
        <w:rPr>
          <w:rFonts w:hint="eastAsia" w:ascii="宋体" w:hAnsi="宋体"/>
          <w:szCs w:val="24"/>
        </w:rPr>
        <w:t>（采用四舍五入法）。</w:t>
      </w:r>
    </w:p>
    <w:p>
      <w:pPr>
        <w:spacing w:line="440" w:lineRule="exact"/>
        <w:ind w:firstLine="482"/>
        <w:rPr>
          <w:rFonts w:ascii="宋体" w:cs="宋体"/>
          <w:b/>
          <w:szCs w:val="24"/>
        </w:rPr>
      </w:pPr>
      <w:bookmarkStart w:id="191" w:name="_Toc448307963"/>
      <w:bookmarkEnd w:id="191"/>
      <w:r>
        <w:rPr>
          <w:rFonts w:ascii="宋体" w:hAnsi="宋体" w:cs="宋体"/>
          <w:b/>
          <w:szCs w:val="24"/>
        </w:rPr>
        <w:t>3.</w:t>
      </w:r>
      <w:r>
        <w:rPr>
          <w:rFonts w:hint="eastAsia" w:ascii="宋体" w:hAnsi="宋体" w:cs="宋体"/>
          <w:b/>
          <w:szCs w:val="24"/>
        </w:rPr>
        <w:t>评审程序</w:t>
      </w:r>
    </w:p>
    <w:p>
      <w:pPr>
        <w:spacing w:line="440" w:lineRule="exact"/>
        <w:ind w:firstLine="482"/>
        <w:rPr>
          <w:rFonts w:ascii="宋体" w:cs="宋体"/>
          <w:b/>
          <w:szCs w:val="24"/>
        </w:rPr>
      </w:pPr>
      <w:bookmarkStart w:id="192" w:name="_Toc448307964"/>
      <w:bookmarkEnd w:id="192"/>
      <w:r>
        <w:rPr>
          <w:rFonts w:ascii="宋体" w:hAnsi="宋体" w:cs="宋体"/>
          <w:b/>
          <w:szCs w:val="24"/>
        </w:rPr>
        <w:t>3.1</w:t>
      </w:r>
      <w:r>
        <w:rPr>
          <w:rFonts w:hint="eastAsia" w:ascii="宋体" w:hAnsi="宋体" w:cs="宋体"/>
          <w:b/>
          <w:szCs w:val="24"/>
        </w:rPr>
        <w:t>响应文件初审</w:t>
      </w:r>
    </w:p>
    <w:p>
      <w:pPr>
        <w:spacing w:line="400" w:lineRule="exact"/>
        <w:ind w:firstLine="482"/>
        <w:rPr>
          <w:rFonts w:ascii="宋体" w:cs="宋体"/>
        </w:rPr>
      </w:pPr>
      <w:r>
        <w:rPr>
          <w:rFonts w:hint="eastAsia" w:ascii="宋体" w:hAnsi="宋体" w:cs="宋体"/>
        </w:rPr>
        <w:t>磋商小组依据本章规定的检查标准，对响应文件进行初审。有一项不符合检查标准的，其磋商将被拒绝，不能进入后续评审或磋商程序。</w:t>
      </w:r>
      <w:bookmarkStart w:id="193" w:name="_Toc448307965"/>
      <w:bookmarkEnd w:id="193"/>
    </w:p>
    <w:p>
      <w:pPr>
        <w:spacing w:line="400" w:lineRule="exact"/>
        <w:ind w:firstLine="482"/>
        <w:rPr>
          <w:rFonts w:ascii="宋体" w:cs="宋体"/>
          <w:b/>
          <w:szCs w:val="24"/>
        </w:rPr>
      </w:pPr>
      <w:r>
        <w:rPr>
          <w:rFonts w:ascii="宋体" w:hAnsi="宋体" w:cs="宋体"/>
          <w:b/>
          <w:szCs w:val="24"/>
        </w:rPr>
        <w:t>3.2</w:t>
      </w:r>
      <w:r>
        <w:rPr>
          <w:rFonts w:hint="eastAsia" w:ascii="宋体" w:hAnsi="宋体" w:cs="宋体"/>
          <w:b/>
          <w:szCs w:val="24"/>
        </w:rPr>
        <w:t>磋商</w:t>
      </w:r>
    </w:p>
    <w:p>
      <w:pPr>
        <w:spacing w:line="400" w:lineRule="exact"/>
        <w:ind w:firstLine="482"/>
        <w:rPr>
          <w:rFonts w:ascii="宋体" w:cs="宋体"/>
        </w:rPr>
      </w:pPr>
      <w:r>
        <w:rPr>
          <w:rFonts w:hint="eastAsia" w:ascii="宋体" w:hAnsi="宋体" w:cs="宋体"/>
        </w:rPr>
        <w:t>磋商程序详见竞争性磋商须知。</w:t>
      </w:r>
      <w:bookmarkStart w:id="194" w:name="_Toc448307966"/>
      <w:bookmarkEnd w:id="194"/>
    </w:p>
    <w:p>
      <w:pPr>
        <w:spacing w:line="400" w:lineRule="exact"/>
        <w:ind w:firstLine="482"/>
        <w:rPr>
          <w:rFonts w:ascii="宋体" w:cs="宋体"/>
          <w:b/>
          <w:bCs/>
        </w:rPr>
      </w:pPr>
      <w:r>
        <w:rPr>
          <w:rFonts w:ascii="宋体" w:hAnsi="宋体" w:cs="宋体"/>
          <w:b/>
          <w:bCs/>
        </w:rPr>
        <w:t>3.3</w:t>
      </w:r>
      <w:r>
        <w:rPr>
          <w:rFonts w:hint="eastAsia" w:ascii="宋体" w:hAnsi="宋体" w:cs="宋体"/>
          <w:b/>
          <w:bCs/>
        </w:rPr>
        <w:t>澄清及算术修正</w:t>
      </w:r>
    </w:p>
    <w:p>
      <w:pPr>
        <w:spacing w:line="400" w:lineRule="exact"/>
        <w:ind w:firstLine="482"/>
        <w:rPr>
          <w:rFonts w:ascii="宋体" w:cs="宋体"/>
        </w:rPr>
      </w:pPr>
      <w:r>
        <w:rPr>
          <w:rFonts w:hint="eastAsia" w:ascii="宋体" w:hAnsi="宋体" w:cs="宋体"/>
        </w:rPr>
        <w:t>响应供应商应按照磋商小组和磋商文件的要求进行问题澄清。算数修正的要求和原则详见须知。</w:t>
      </w:r>
    </w:p>
    <w:p>
      <w:pPr>
        <w:spacing w:line="400" w:lineRule="exact"/>
        <w:ind w:firstLine="482"/>
        <w:rPr>
          <w:rFonts w:ascii="宋体" w:cs="宋体"/>
          <w:b/>
          <w:bCs/>
        </w:rPr>
      </w:pPr>
      <w:r>
        <w:rPr>
          <w:rFonts w:ascii="宋体" w:hAnsi="宋体" w:cs="宋体"/>
          <w:b/>
          <w:bCs/>
        </w:rPr>
        <w:t>3.4</w:t>
      </w:r>
      <w:r>
        <w:rPr>
          <w:rFonts w:hint="eastAsia" w:ascii="宋体" w:hAnsi="宋体" w:cs="宋体"/>
          <w:b/>
          <w:bCs/>
        </w:rPr>
        <w:t>磋商最后报价</w:t>
      </w:r>
    </w:p>
    <w:p>
      <w:pPr>
        <w:spacing w:line="400" w:lineRule="exact"/>
        <w:ind w:firstLine="482"/>
        <w:rPr>
          <w:rFonts w:ascii="宋体" w:cs="宋体"/>
        </w:rPr>
      </w:pPr>
      <w:r>
        <w:rPr>
          <w:rFonts w:hint="eastAsia" w:ascii="宋体" w:hAnsi="宋体" w:cs="宋体"/>
        </w:rPr>
        <w:t>经过磋商符合要求的供应商进行最后报价，最后报价为报价得分的依据。</w:t>
      </w:r>
    </w:p>
    <w:p>
      <w:pPr>
        <w:spacing w:line="400" w:lineRule="exact"/>
        <w:ind w:firstLine="482"/>
        <w:rPr>
          <w:rFonts w:ascii="宋体" w:cs="宋体"/>
          <w:b/>
          <w:bCs/>
        </w:rPr>
      </w:pPr>
      <w:r>
        <w:rPr>
          <w:rFonts w:ascii="宋体" w:hAnsi="宋体" w:cs="宋体"/>
          <w:b/>
          <w:bCs/>
        </w:rPr>
        <w:t xml:space="preserve"> 3.5</w:t>
      </w:r>
      <w:r>
        <w:rPr>
          <w:rFonts w:hint="eastAsia" w:ascii="宋体" w:hAnsi="宋体" w:cs="宋体"/>
          <w:b/>
          <w:bCs/>
        </w:rPr>
        <w:t>比较与评价</w:t>
      </w:r>
    </w:p>
    <w:p>
      <w:pPr>
        <w:spacing w:line="400" w:lineRule="exact"/>
        <w:ind w:firstLine="482"/>
        <w:rPr>
          <w:rFonts w:ascii="宋体"/>
          <w:szCs w:val="24"/>
        </w:rPr>
      </w:pPr>
      <w:r>
        <w:rPr>
          <w:rFonts w:hint="eastAsia" w:ascii="宋体" w:hAnsi="宋体" w:cs="宋体"/>
        </w:rPr>
        <w:t>磋商小组按照评审方法前附表进行比较和评价，评分分值计算保留小数点后两位</w:t>
      </w:r>
      <w:r>
        <w:rPr>
          <w:rFonts w:hint="eastAsia" w:ascii="宋体" w:hAnsi="宋体"/>
          <w:szCs w:val="24"/>
        </w:rPr>
        <w:t>（采用四舍五入法）</w:t>
      </w:r>
    </w:p>
    <w:p>
      <w:pPr>
        <w:spacing w:line="400" w:lineRule="exact"/>
        <w:ind w:firstLine="482"/>
        <w:rPr>
          <w:rFonts w:ascii="宋体" w:cs="宋体"/>
          <w:b/>
          <w:bCs/>
        </w:rPr>
      </w:pPr>
      <w:r>
        <w:rPr>
          <w:rFonts w:ascii="宋体" w:hAnsi="宋体" w:cs="宋体"/>
          <w:b/>
          <w:bCs/>
        </w:rPr>
        <w:t>3.6</w:t>
      </w:r>
      <w:r>
        <w:rPr>
          <w:rFonts w:hint="eastAsia" w:ascii="宋体" w:hAnsi="宋体" w:cs="宋体"/>
          <w:b/>
          <w:bCs/>
        </w:rPr>
        <w:t>推荐成交候选供应商</w:t>
      </w:r>
    </w:p>
    <w:p>
      <w:pPr>
        <w:spacing w:line="400" w:lineRule="exact"/>
        <w:ind w:firstLine="482"/>
        <w:rPr>
          <w:rFonts w:ascii="宋体" w:cs="宋体"/>
        </w:rPr>
      </w:pPr>
      <w:r>
        <w:rPr>
          <w:rFonts w:ascii="宋体" w:hAnsi="宋体" w:cs="宋体"/>
        </w:rPr>
        <w:t>3.6.1</w:t>
      </w:r>
      <w:r>
        <w:rPr>
          <w:rFonts w:hint="eastAsia" w:ascii="宋体" w:hAnsi="宋体" w:cs="宋体"/>
        </w:rPr>
        <w:t>磋商小组按照综合评审得分由高到低的顺序推荐候选供应商。</w:t>
      </w:r>
    </w:p>
    <w:p>
      <w:pPr>
        <w:spacing w:line="400" w:lineRule="exact"/>
        <w:ind w:firstLine="482"/>
        <w:rPr>
          <w:rFonts w:ascii="宋体" w:cs="宋体"/>
        </w:rPr>
      </w:pPr>
      <w:r>
        <w:rPr>
          <w:rFonts w:ascii="宋体" w:hAnsi="宋体" w:cs="宋体"/>
        </w:rPr>
        <w:t>3.6.2</w:t>
      </w:r>
      <w:r>
        <w:rPr>
          <w:rFonts w:hint="eastAsia" w:ascii="宋体" w:hAnsi="宋体" w:cs="宋体"/>
        </w:rPr>
        <w:t>磋商小组完成评审后，向采购人提交书面评审报告。</w:t>
      </w:r>
    </w:p>
    <w:p>
      <w:pPr>
        <w:spacing w:line="400" w:lineRule="exact"/>
        <w:ind w:firstLine="482"/>
        <w:rPr>
          <w:rFonts w:ascii="宋体" w:cs="宋体"/>
          <w:b/>
          <w:bCs/>
        </w:rPr>
      </w:pPr>
      <w:r>
        <w:rPr>
          <w:rFonts w:hint="eastAsia" w:ascii="宋体" w:hAnsi="宋体" w:cs="宋体"/>
          <w:b/>
          <w:bCs/>
        </w:rPr>
        <w:t>二、评审方法附表</w:t>
      </w:r>
    </w:p>
    <w:p>
      <w:pPr>
        <w:spacing w:line="400" w:lineRule="exact"/>
        <w:ind w:firstLine="482"/>
        <w:rPr>
          <w:b/>
        </w:rPr>
      </w:pPr>
      <w:r>
        <w:rPr>
          <w:b/>
          <w:szCs w:val="24"/>
        </w:rPr>
        <w:t>1</w:t>
      </w:r>
      <w:r>
        <w:rPr>
          <w:rFonts w:hint="eastAsia"/>
          <w:b/>
          <w:szCs w:val="24"/>
        </w:rPr>
        <w:t>．响应文件审查内容</w:t>
      </w:r>
    </w:p>
    <w:tbl>
      <w:tblPr>
        <w:tblStyle w:val="31"/>
        <w:tblW w:w="9931" w:type="dxa"/>
        <w:jc w:val="right"/>
        <w:tblInd w:w="0" w:type="dxa"/>
        <w:tblLayout w:type="fixed"/>
        <w:tblCellMar>
          <w:top w:w="0" w:type="dxa"/>
          <w:left w:w="10" w:type="dxa"/>
          <w:bottom w:w="0" w:type="dxa"/>
          <w:right w:w="10" w:type="dxa"/>
        </w:tblCellMar>
      </w:tblPr>
      <w:tblGrid>
        <w:gridCol w:w="1830"/>
        <w:gridCol w:w="8101"/>
      </w:tblGrid>
      <w:tr>
        <w:tblPrEx>
          <w:tblLayout w:type="fixed"/>
          <w:tblCellMar>
            <w:top w:w="0" w:type="dxa"/>
            <w:left w:w="10" w:type="dxa"/>
            <w:bottom w:w="0" w:type="dxa"/>
            <w:right w:w="10" w:type="dxa"/>
          </w:tblCellMar>
        </w:tblPrEx>
        <w:trPr>
          <w:trHeight w:val="307" w:hRule="atLeast"/>
          <w:jc w:val="right"/>
        </w:trPr>
        <w:tc>
          <w:tcPr>
            <w:tcW w:w="1830" w:type="dxa"/>
            <w:tcBorders>
              <w:top w:val="doub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cs="Arial"/>
                <w:b/>
                <w:sz w:val="21"/>
                <w:szCs w:val="21"/>
              </w:rPr>
            </w:pPr>
            <w:r>
              <w:rPr>
                <w:rFonts w:hint="eastAsia" w:ascii="宋体" w:hAnsi="宋体" w:cs="Arial"/>
                <w:b/>
                <w:sz w:val="21"/>
                <w:szCs w:val="21"/>
              </w:rPr>
              <w:t>项目</w:t>
            </w:r>
          </w:p>
        </w:tc>
        <w:tc>
          <w:tcPr>
            <w:tcW w:w="8101" w:type="dxa"/>
            <w:tcBorders>
              <w:top w:val="doub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jc w:val="center"/>
              <w:rPr>
                <w:rFonts w:ascii="宋体" w:cs="Arial"/>
                <w:b/>
                <w:sz w:val="21"/>
                <w:szCs w:val="21"/>
              </w:rPr>
            </w:pPr>
            <w:r>
              <w:rPr>
                <w:rFonts w:hint="eastAsia" w:ascii="宋体" w:hAnsi="宋体" w:cs="Arial"/>
                <w:b/>
                <w:sz w:val="21"/>
                <w:szCs w:val="21"/>
              </w:rPr>
              <w:t>响应文件内容</w:t>
            </w:r>
          </w:p>
        </w:tc>
      </w:tr>
      <w:tr>
        <w:tblPrEx>
          <w:tblLayout w:type="fixed"/>
          <w:tblCellMar>
            <w:top w:w="0" w:type="dxa"/>
            <w:left w:w="10" w:type="dxa"/>
            <w:bottom w:w="0" w:type="dxa"/>
            <w:right w:w="10" w:type="dxa"/>
          </w:tblCellMar>
        </w:tblPrEx>
        <w:trPr>
          <w:trHeight w:val="215" w:hRule="atLeast"/>
          <w:jc w:val="right"/>
        </w:trPr>
        <w:tc>
          <w:tcPr>
            <w:tcW w:w="1830"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cs="Arial"/>
                <w:b/>
                <w:sz w:val="21"/>
                <w:szCs w:val="21"/>
              </w:rPr>
            </w:pPr>
            <w:r>
              <w:rPr>
                <w:rFonts w:hint="eastAsia" w:ascii="宋体" w:hAnsi="宋体" w:cs="Arial"/>
                <w:b/>
                <w:sz w:val="21"/>
                <w:szCs w:val="21"/>
              </w:rPr>
              <w:t>投标文件</w:t>
            </w: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jc w:val="center"/>
              <w:rPr>
                <w:rFonts w:ascii="宋体" w:cs="Arial"/>
                <w:sz w:val="21"/>
                <w:szCs w:val="21"/>
              </w:rPr>
            </w:pPr>
            <w:r>
              <w:rPr>
                <w:rFonts w:hint="eastAsia" w:ascii="宋体" w:hAnsi="宋体" w:cs="Arial"/>
                <w:sz w:val="21"/>
                <w:szCs w:val="21"/>
              </w:rPr>
              <w:t>封面</w:t>
            </w:r>
          </w:p>
        </w:tc>
      </w:tr>
      <w:tr>
        <w:tblPrEx>
          <w:tblLayout w:type="fixed"/>
          <w:tblCellMar>
            <w:top w:w="0" w:type="dxa"/>
            <w:left w:w="10" w:type="dxa"/>
            <w:bottom w:w="0" w:type="dxa"/>
            <w:right w:w="10" w:type="dxa"/>
          </w:tblCellMar>
        </w:tblPrEx>
        <w:trPr>
          <w:trHeight w:val="330" w:hRule="atLeast"/>
          <w:jc w:val="right"/>
        </w:trPr>
        <w:tc>
          <w:tcPr>
            <w:tcW w:w="1830" w:type="dxa"/>
            <w:vMerge w:val="restart"/>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cs="Arial"/>
                <w:b/>
                <w:sz w:val="21"/>
                <w:szCs w:val="21"/>
              </w:rPr>
            </w:pPr>
            <w:r>
              <w:rPr>
                <w:rFonts w:hint="eastAsia" w:ascii="宋体" w:hAnsi="宋体" w:cs="Arial"/>
                <w:b/>
                <w:sz w:val="21"/>
                <w:szCs w:val="21"/>
              </w:rPr>
              <w:t>资格性审查材料</w:t>
            </w: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ascii="宋体" w:cs="Arial"/>
                <w:sz w:val="21"/>
                <w:szCs w:val="21"/>
              </w:rPr>
            </w:pPr>
            <w:bookmarkStart w:id="195" w:name="定位_【循环符合性证明材料】_20122614258"/>
            <w:bookmarkEnd w:id="195"/>
            <w:bookmarkStart w:id="196" w:name="定位_【循环符合性证明材料】_201244141212"/>
            <w:bookmarkEnd w:id="196"/>
            <w:bookmarkStart w:id="197" w:name="定位_【循环符合性证明材料】_20122314636"/>
            <w:bookmarkEnd w:id="197"/>
            <w:r>
              <w:rPr>
                <w:rFonts w:ascii="宋体" w:hAnsi="宋体" w:cs="Arial"/>
                <w:sz w:val="21"/>
                <w:szCs w:val="21"/>
              </w:rPr>
              <w:t>1.</w:t>
            </w:r>
            <w:r>
              <w:rPr>
                <w:rFonts w:hint="eastAsia" w:ascii="宋体" w:hAnsi="宋体" w:cs="Arial"/>
                <w:sz w:val="21"/>
                <w:szCs w:val="21"/>
              </w:rPr>
              <w:t>营业执照副本复印件（或三证合一）</w:t>
            </w:r>
          </w:p>
        </w:tc>
      </w:tr>
      <w:tr>
        <w:tblPrEx>
          <w:tblLayout w:type="fixed"/>
          <w:tblCellMar>
            <w:top w:w="0" w:type="dxa"/>
            <w:left w:w="10" w:type="dxa"/>
            <w:bottom w:w="0" w:type="dxa"/>
            <w:right w:w="10" w:type="dxa"/>
          </w:tblCellMar>
        </w:tblPrEx>
        <w:trPr>
          <w:trHeight w:val="300" w:hRule="atLeast"/>
          <w:jc w:val="right"/>
        </w:trPr>
        <w:tc>
          <w:tcPr>
            <w:tcW w:w="1830" w:type="dxa"/>
            <w:vMerge w:val="continue"/>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ascii="宋体" w:cs="Arial"/>
                <w:sz w:val="21"/>
                <w:szCs w:val="21"/>
              </w:rPr>
            </w:pPr>
            <w:r>
              <w:rPr>
                <w:rFonts w:ascii="宋体" w:hAnsi="宋体" w:cs="Arial"/>
                <w:sz w:val="21"/>
                <w:szCs w:val="21"/>
              </w:rPr>
              <w:t>2.</w:t>
            </w:r>
            <w:r>
              <w:rPr>
                <w:rFonts w:hint="eastAsia" w:ascii="宋体" w:hAnsi="宋体" w:cs="Arial"/>
                <w:sz w:val="21"/>
                <w:szCs w:val="21"/>
              </w:rPr>
              <w:t>税务登记证副本复印件（或三证合一）</w:t>
            </w:r>
          </w:p>
        </w:tc>
      </w:tr>
      <w:tr>
        <w:tblPrEx>
          <w:tblLayout w:type="fixed"/>
          <w:tblCellMar>
            <w:top w:w="0" w:type="dxa"/>
            <w:left w:w="10" w:type="dxa"/>
            <w:bottom w:w="0" w:type="dxa"/>
            <w:right w:w="10" w:type="dxa"/>
          </w:tblCellMar>
        </w:tblPrEx>
        <w:trPr>
          <w:trHeight w:val="300" w:hRule="atLeast"/>
          <w:jc w:val="right"/>
        </w:trPr>
        <w:tc>
          <w:tcPr>
            <w:tcW w:w="1830" w:type="dxa"/>
            <w:vMerge w:val="continue"/>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ascii="宋体" w:cs="Arial"/>
                <w:sz w:val="21"/>
                <w:szCs w:val="21"/>
              </w:rPr>
            </w:pPr>
            <w:r>
              <w:rPr>
                <w:rFonts w:ascii="宋体" w:hAnsi="宋体" w:cs="Arial"/>
                <w:sz w:val="21"/>
                <w:szCs w:val="21"/>
              </w:rPr>
              <w:t>3.</w:t>
            </w:r>
            <w:r>
              <w:rPr>
                <w:rFonts w:hint="eastAsia" w:ascii="宋体" w:hAnsi="宋体" w:cs="Arial"/>
                <w:sz w:val="21"/>
                <w:szCs w:val="21"/>
              </w:rPr>
              <w:t>法定代表人资格证明书或法定代表人授权委托书</w:t>
            </w:r>
          </w:p>
        </w:tc>
      </w:tr>
      <w:tr>
        <w:tblPrEx>
          <w:tblLayout w:type="fixed"/>
          <w:tblCellMar>
            <w:top w:w="0" w:type="dxa"/>
            <w:left w:w="10" w:type="dxa"/>
            <w:bottom w:w="0" w:type="dxa"/>
            <w:right w:w="10" w:type="dxa"/>
          </w:tblCellMar>
        </w:tblPrEx>
        <w:trPr>
          <w:trHeight w:val="316" w:hRule="atLeast"/>
          <w:jc w:val="right"/>
        </w:trPr>
        <w:tc>
          <w:tcPr>
            <w:tcW w:w="1830" w:type="dxa"/>
            <w:vMerge w:val="continue"/>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ascii="宋体" w:cs="Arial"/>
                <w:sz w:val="21"/>
                <w:szCs w:val="21"/>
              </w:rPr>
            </w:pPr>
            <w:r>
              <w:rPr>
                <w:rFonts w:ascii="宋体" w:hAnsi="宋体" w:cs="Arial"/>
                <w:sz w:val="21"/>
                <w:szCs w:val="21"/>
              </w:rPr>
              <w:t>4.</w:t>
            </w:r>
            <w:r>
              <w:rPr>
                <w:rFonts w:hint="eastAsia" w:ascii="宋体" w:hAnsi="宋体" w:cs="Arial"/>
                <w:sz w:val="21"/>
                <w:szCs w:val="21"/>
              </w:rPr>
              <w:t>被授权人身份证复印件</w:t>
            </w:r>
          </w:p>
        </w:tc>
      </w:tr>
      <w:tr>
        <w:tblPrEx>
          <w:tblLayout w:type="fixed"/>
          <w:tblCellMar>
            <w:top w:w="0" w:type="dxa"/>
            <w:left w:w="10" w:type="dxa"/>
            <w:bottom w:w="0" w:type="dxa"/>
            <w:right w:w="10" w:type="dxa"/>
          </w:tblCellMar>
        </w:tblPrEx>
        <w:trPr>
          <w:trHeight w:val="316" w:hRule="atLeast"/>
          <w:jc w:val="right"/>
        </w:trPr>
        <w:tc>
          <w:tcPr>
            <w:tcW w:w="1830" w:type="dxa"/>
            <w:vMerge w:val="continue"/>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ascii="宋体" w:cs="Arial"/>
                <w:sz w:val="21"/>
                <w:szCs w:val="21"/>
              </w:rPr>
            </w:pPr>
            <w:r>
              <w:rPr>
                <w:rFonts w:ascii="宋体" w:hAnsi="宋体" w:cs="宋体"/>
                <w:sz w:val="21"/>
                <w:szCs w:val="21"/>
              </w:rPr>
              <w:t>5.</w:t>
            </w:r>
            <w:r>
              <w:rPr>
                <w:rFonts w:hint="eastAsia" w:ascii="宋体" w:hAnsi="宋体" w:cs="宋体"/>
                <w:sz w:val="21"/>
                <w:szCs w:val="21"/>
              </w:rPr>
              <w:t>磋商保证金证明复印件</w:t>
            </w:r>
          </w:p>
        </w:tc>
      </w:tr>
      <w:tr>
        <w:tblPrEx>
          <w:tblLayout w:type="fixed"/>
          <w:tblCellMar>
            <w:top w:w="0" w:type="dxa"/>
            <w:left w:w="10" w:type="dxa"/>
            <w:bottom w:w="0" w:type="dxa"/>
            <w:right w:w="10" w:type="dxa"/>
          </w:tblCellMar>
        </w:tblPrEx>
        <w:trPr>
          <w:trHeight w:val="316" w:hRule="atLeast"/>
          <w:jc w:val="right"/>
        </w:trPr>
        <w:tc>
          <w:tcPr>
            <w:tcW w:w="1830" w:type="dxa"/>
            <w:vMerge w:val="continue"/>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ascii="宋体" w:cs="Arial"/>
                <w:sz w:val="21"/>
                <w:szCs w:val="21"/>
              </w:rPr>
            </w:pPr>
            <w:r>
              <w:rPr>
                <w:rFonts w:ascii="宋体" w:hAnsi="宋体" w:cs="Arial"/>
                <w:sz w:val="21"/>
                <w:szCs w:val="21"/>
              </w:rPr>
              <w:t>6.2017</w:t>
            </w:r>
            <w:r>
              <w:rPr>
                <w:rFonts w:hint="eastAsia" w:ascii="宋体" w:hAnsi="宋体" w:cs="Arial"/>
                <w:sz w:val="21"/>
                <w:szCs w:val="21"/>
                <w:lang w:eastAsia="zh-CN"/>
              </w:rPr>
              <w:t>或</w:t>
            </w:r>
            <w:r>
              <w:rPr>
                <w:rFonts w:hint="eastAsia" w:ascii="宋体" w:hAnsi="宋体" w:cs="Arial"/>
                <w:sz w:val="21"/>
                <w:szCs w:val="21"/>
                <w:lang w:val="en-US" w:eastAsia="zh-CN"/>
              </w:rPr>
              <w:t>2018</w:t>
            </w:r>
            <w:r>
              <w:rPr>
                <w:rFonts w:hint="eastAsia" w:ascii="宋体" w:hAnsi="宋体" w:cs="Arial"/>
                <w:sz w:val="21"/>
                <w:szCs w:val="21"/>
              </w:rPr>
              <w:t>年度通过中介机构出具财务审计报告报复印件或投标经营方参加磋商前</w:t>
            </w:r>
            <w:r>
              <w:rPr>
                <w:rFonts w:ascii="宋体" w:hAnsi="宋体" w:cs="Arial"/>
                <w:sz w:val="21"/>
                <w:szCs w:val="21"/>
              </w:rPr>
              <w:t>1</w:t>
            </w:r>
            <w:r>
              <w:rPr>
                <w:rFonts w:hint="eastAsia" w:ascii="宋体" w:hAnsi="宋体" w:cs="Arial"/>
                <w:sz w:val="21"/>
                <w:szCs w:val="21"/>
              </w:rPr>
              <w:t>个月的财务报表。</w:t>
            </w:r>
          </w:p>
        </w:tc>
      </w:tr>
      <w:tr>
        <w:tblPrEx>
          <w:tblLayout w:type="fixed"/>
          <w:tblCellMar>
            <w:top w:w="0" w:type="dxa"/>
            <w:left w:w="10" w:type="dxa"/>
            <w:bottom w:w="0" w:type="dxa"/>
            <w:right w:w="10" w:type="dxa"/>
          </w:tblCellMar>
        </w:tblPrEx>
        <w:trPr>
          <w:trHeight w:val="316" w:hRule="atLeast"/>
          <w:jc w:val="right"/>
        </w:trPr>
        <w:tc>
          <w:tcPr>
            <w:tcW w:w="1830" w:type="dxa"/>
            <w:vMerge w:val="continue"/>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ascii="宋体" w:cs="Arial"/>
                <w:sz w:val="21"/>
                <w:szCs w:val="21"/>
              </w:rPr>
            </w:pPr>
            <w:r>
              <w:rPr>
                <w:rFonts w:ascii="宋体" w:hAnsi="宋体" w:cs="Arial"/>
                <w:sz w:val="21"/>
                <w:szCs w:val="21"/>
              </w:rPr>
              <w:t>7.2018</w:t>
            </w:r>
            <w:r>
              <w:rPr>
                <w:rFonts w:hint="eastAsia" w:ascii="宋体" w:hAnsi="宋体" w:cs="Arial"/>
                <w:sz w:val="21"/>
                <w:szCs w:val="21"/>
              </w:rPr>
              <w:t>年</w:t>
            </w:r>
            <w:r>
              <w:rPr>
                <w:rFonts w:hint="eastAsia" w:ascii="宋体" w:hAnsi="宋体" w:cs="Arial"/>
                <w:sz w:val="21"/>
                <w:szCs w:val="21"/>
                <w:lang w:eastAsia="zh-CN"/>
              </w:rPr>
              <w:t>以来</w:t>
            </w:r>
            <w:r>
              <w:rPr>
                <w:rFonts w:hint="eastAsia" w:ascii="宋体" w:hAnsi="宋体" w:cs="Arial"/>
                <w:sz w:val="21"/>
                <w:szCs w:val="21"/>
              </w:rPr>
              <w:t>任意一个月依法缴纳税收和社会保障资金的证明材料；</w:t>
            </w:r>
          </w:p>
        </w:tc>
      </w:tr>
      <w:tr>
        <w:tblPrEx>
          <w:tblLayout w:type="fixed"/>
          <w:tblCellMar>
            <w:top w:w="0" w:type="dxa"/>
            <w:left w:w="10" w:type="dxa"/>
            <w:bottom w:w="0" w:type="dxa"/>
            <w:right w:w="10" w:type="dxa"/>
          </w:tblCellMar>
        </w:tblPrEx>
        <w:trPr>
          <w:trHeight w:val="316" w:hRule="atLeast"/>
          <w:jc w:val="right"/>
        </w:trPr>
        <w:tc>
          <w:tcPr>
            <w:tcW w:w="1830" w:type="dxa"/>
            <w:vMerge w:val="continue"/>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ascii="宋体" w:cs="Arial"/>
                <w:sz w:val="21"/>
                <w:szCs w:val="21"/>
              </w:rPr>
            </w:pPr>
            <w:r>
              <w:rPr>
                <w:rFonts w:ascii="宋体" w:hAnsi="宋体" w:cs="宋体"/>
                <w:sz w:val="21"/>
                <w:szCs w:val="21"/>
              </w:rPr>
              <w:t>8</w:t>
            </w:r>
            <w:r>
              <w:rPr>
                <w:rFonts w:ascii="宋体" w:cs="宋体"/>
                <w:sz w:val="21"/>
                <w:szCs w:val="21"/>
              </w:rPr>
              <w:t>.</w:t>
            </w:r>
            <w:r>
              <w:rPr>
                <w:rFonts w:hint="eastAsia" w:ascii="宋体" w:hAnsi="宋体" w:cs="宋体"/>
                <w:sz w:val="21"/>
                <w:szCs w:val="21"/>
              </w:rPr>
              <w:t>参加政府采购活动前三年内，在经营活动中没有重大违法记录声明</w:t>
            </w:r>
          </w:p>
        </w:tc>
      </w:tr>
      <w:tr>
        <w:tblPrEx>
          <w:tblLayout w:type="fixed"/>
          <w:tblCellMar>
            <w:top w:w="0" w:type="dxa"/>
            <w:left w:w="10" w:type="dxa"/>
            <w:bottom w:w="0" w:type="dxa"/>
            <w:right w:w="10" w:type="dxa"/>
          </w:tblCellMar>
        </w:tblPrEx>
        <w:trPr>
          <w:trHeight w:val="316" w:hRule="atLeast"/>
          <w:jc w:val="right"/>
        </w:trPr>
        <w:tc>
          <w:tcPr>
            <w:tcW w:w="1830" w:type="dxa"/>
            <w:vMerge w:val="continue"/>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ind w:left="1523" w:right="-4625" w:hanging="1523"/>
              <w:rPr>
                <w:rFonts w:ascii="宋体" w:cs="宋体"/>
                <w:sz w:val="21"/>
                <w:szCs w:val="21"/>
              </w:rPr>
            </w:pPr>
            <w:r>
              <w:rPr>
                <w:rFonts w:ascii="宋体" w:hAnsi="宋体" w:cs="宋体"/>
                <w:sz w:val="21"/>
                <w:szCs w:val="21"/>
              </w:rPr>
              <w:t>9</w:t>
            </w:r>
            <w:r>
              <w:rPr>
                <w:rFonts w:ascii="宋体" w:cs="宋体"/>
                <w:sz w:val="21"/>
                <w:szCs w:val="21"/>
              </w:rPr>
              <w:t>.</w:t>
            </w:r>
            <w:r>
              <w:rPr>
                <w:rFonts w:hint="eastAsia" w:ascii="宋体" w:hAnsi="宋体" w:cs="宋体"/>
                <w:sz w:val="21"/>
                <w:szCs w:val="21"/>
              </w:rPr>
              <w:t>具有履行合同所必需的设备和专业技术能力承诺书</w:t>
            </w:r>
          </w:p>
        </w:tc>
      </w:tr>
      <w:tr>
        <w:tblPrEx>
          <w:tblLayout w:type="fixed"/>
          <w:tblCellMar>
            <w:top w:w="0" w:type="dxa"/>
            <w:left w:w="10" w:type="dxa"/>
            <w:bottom w:w="0" w:type="dxa"/>
            <w:right w:w="10" w:type="dxa"/>
          </w:tblCellMar>
        </w:tblPrEx>
        <w:trPr>
          <w:trHeight w:val="316" w:hRule="atLeast"/>
          <w:jc w:val="right"/>
        </w:trPr>
        <w:tc>
          <w:tcPr>
            <w:tcW w:w="1830" w:type="dxa"/>
            <w:vMerge w:val="continue"/>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ascii="宋体" w:cs="宋体"/>
                <w:sz w:val="21"/>
                <w:szCs w:val="21"/>
              </w:rPr>
            </w:pPr>
            <w:r>
              <w:rPr>
                <w:rFonts w:ascii="宋体" w:hAnsi="宋体" w:cs="宋体"/>
                <w:sz w:val="21"/>
                <w:szCs w:val="21"/>
              </w:rPr>
              <w:t>1</w:t>
            </w:r>
            <w:r>
              <w:rPr>
                <w:rFonts w:hint="eastAsia" w:ascii="宋体" w:hAnsi="宋体" w:cs="宋体"/>
                <w:sz w:val="21"/>
                <w:szCs w:val="21"/>
              </w:rPr>
              <w:t>0</w:t>
            </w:r>
            <w:r>
              <w:rPr>
                <w:rFonts w:ascii="宋体" w:hAnsi="宋体" w:cs="宋体"/>
                <w:sz w:val="21"/>
                <w:szCs w:val="21"/>
              </w:rPr>
              <w:t>.</w:t>
            </w:r>
            <w:r>
              <w:rPr>
                <w:rFonts w:hint="eastAsia" w:ascii="宋体" w:hAnsi="宋体" w:cs="宋体"/>
                <w:sz w:val="21"/>
                <w:szCs w:val="21"/>
              </w:rPr>
              <w:t>未被列入</w:t>
            </w:r>
            <w:r>
              <w:rPr>
                <w:rFonts w:hint="eastAsia" w:ascii="宋体" w:cs="宋体"/>
                <w:sz w:val="21"/>
                <w:szCs w:val="21"/>
              </w:rPr>
              <w:t>“</w:t>
            </w:r>
            <w:r>
              <w:rPr>
                <w:rFonts w:hint="eastAsia" w:ascii="宋体" w:hAnsi="宋体" w:cs="宋体"/>
                <w:sz w:val="21"/>
                <w:szCs w:val="21"/>
              </w:rPr>
              <w:t>信用中国</w:t>
            </w:r>
            <w:r>
              <w:rPr>
                <w:rFonts w:hint="eastAsia" w:ascii="宋体" w:cs="宋体"/>
                <w:sz w:val="21"/>
                <w:szCs w:val="21"/>
              </w:rPr>
              <w:t>”</w:t>
            </w:r>
            <w:r>
              <w:rPr>
                <w:rFonts w:hint="eastAsia" w:ascii="宋体" w:hAnsi="宋体" w:cs="宋体"/>
                <w:sz w:val="21"/>
                <w:szCs w:val="21"/>
              </w:rPr>
              <w:t>（</w:t>
            </w:r>
            <w:r>
              <w:rPr>
                <w:rFonts w:ascii="宋体" w:hAnsi="宋体" w:cs="宋体"/>
                <w:sz w:val="21"/>
                <w:szCs w:val="21"/>
              </w:rPr>
              <w:t>www.creditchina.gov.cn</w:t>
            </w:r>
            <w:r>
              <w:rPr>
                <w:rFonts w:hint="eastAsia" w:ascii="宋体" w:hAnsi="宋体" w:cs="宋体"/>
                <w:sz w:val="21"/>
                <w:szCs w:val="21"/>
              </w:rPr>
              <w:t>）、中国政府采购网（</w:t>
            </w:r>
            <w:r>
              <w:rPr>
                <w:rFonts w:ascii="宋体" w:hAnsi="宋体" w:cs="宋体"/>
                <w:sz w:val="21"/>
                <w:szCs w:val="21"/>
              </w:rPr>
              <w:t>www.ccgp.gov.cn</w:t>
            </w:r>
            <w:r>
              <w:rPr>
                <w:rFonts w:hint="eastAsia" w:ascii="宋体" w:hAnsi="宋体" w:cs="宋体"/>
                <w:sz w:val="21"/>
                <w:szCs w:val="21"/>
              </w:rPr>
              <w:t>）渠道信用记录失信被执行人（执行期内）、重大税收违法案件当事人名单、政府采购严重违法失信行为记录名单的投标人。</w:t>
            </w:r>
          </w:p>
        </w:tc>
      </w:tr>
      <w:tr>
        <w:tblPrEx>
          <w:tblLayout w:type="fixed"/>
          <w:tblCellMar>
            <w:top w:w="0" w:type="dxa"/>
            <w:left w:w="10" w:type="dxa"/>
            <w:bottom w:w="0" w:type="dxa"/>
            <w:right w:w="10" w:type="dxa"/>
          </w:tblCellMar>
        </w:tblPrEx>
        <w:trPr>
          <w:trHeight w:val="184" w:hRule="atLeast"/>
          <w:jc w:val="right"/>
        </w:trPr>
        <w:tc>
          <w:tcPr>
            <w:tcW w:w="1830" w:type="dxa"/>
            <w:vMerge w:val="restart"/>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cs="Arial"/>
                <w:b/>
                <w:sz w:val="21"/>
                <w:szCs w:val="21"/>
              </w:rPr>
            </w:pPr>
            <w:r>
              <w:rPr>
                <w:rFonts w:hint="eastAsia" w:ascii="宋体" w:hAnsi="宋体" w:cs="Arial"/>
                <w:b/>
                <w:sz w:val="21"/>
                <w:szCs w:val="21"/>
              </w:rPr>
              <w:t>符合性审查材料</w:t>
            </w: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ascii="宋体" w:cs="Arial"/>
                <w:sz w:val="21"/>
                <w:szCs w:val="21"/>
              </w:rPr>
            </w:pPr>
            <w:r>
              <w:rPr>
                <w:rFonts w:ascii="宋体" w:hAnsi="宋体" w:cs="宋体"/>
                <w:sz w:val="21"/>
                <w:szCs w:val="21"/>
              </w:rPr>
              <w:t>1.</w:t>
            </w:r>
            <w:r>
              <w:rPr>
                <w:rFonts w:hint="eastAsia" w:ascii="宋体" w:hAnsi="宋体" w:cs="宋体"/>
                <w:sz w:val="21"/>
                <w:szCs w:val="21"/>
              </w:rPr>
              <w:t>响应文件签署</w:t>
            </w:r>
          </w:p>
        </w:tc>
      </w:tr>
      <w:tr>
        <w:tblPrEx>
          <w:tblLayout w:type="fixed"/>
          <w:tblCellMar>
            <w:top w:w="0" w:type="dxa"/>
            <w:left w:w="10" w:type="dxa"/>
            <w:bottom w:w="0" w:type="dxa"/>
            <w:right w:w="10" w:type="dxa"/>
          </w:tblCellMar>
        </w:tblPrEx>
        <w:trPr>
          <w:trHeight w:val="232" w:hRule="atLeast"/>
          <w:jc w:val="right"/>
        </w:trPr>
        <w:tc>
          <w:tcPr>
            <w:tcW w:w="1830" w:type="dxa"/>
            <w:vMerge w:val="continue"/>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ascii="宋体" w:cs="Arial"/>
                <w:sz w:val="21"/>
                <w:szCs w:val="21"/>
              </w:rPr>
            </w:pPr>
            <w:r>
              <w:rPr>
                <w:rFonts w:ascii="宋体" w:hAnsi="宋体" w:cs="宋体"/>
                <w:bCs/>
                <w:sz w:val="21"/>
                <w:szCs w:val="21"/>
              </w:rPr>
              <w:t>2.</w:t>
            </w:r>
            <w:r>
              <w:rPr>
                <w:rFonts w:hint="eastAsia" w:ascii="宋体" w:hAnsi="宋体" w:cs="宋体"/>
                <w:bCs/>
                <w:sz w:val="21"/>
                <w:szCs w:val="21"/>
              </w:rPr>
              <w:t>磋商函</w:t>
            </w:r>
          </w:p>
        </w:tc>
      </w:tr>
      <w:tr>
        <w:tblPrEx>
          <w:tblLayout w:type="fixed"/>
          <w:tblCellMar>
            <w:top w:w="0" w:type="dxa"/>
            <w:left w:w="10" w:type="dxa"/>
            <w:bottom w:w="0" w:type="dxa"/>
            <w:right w:w="10" w:type="dxa"/>
          </w:tblCellMar>
        </w:tblPrEx>
        <w:trPr>
          <w:trHeight w:val="236" w:hRule="atLeast"/>
          <w:jc w:val="right"/>
        </w:trPr>
        <w:tc>
          <w:tcPr>
            <w:tcW w:w="1830" w:type="dxa"/>
            <w:vMerge w:val="continue"/>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ascii="宋体" w:cs="Arial"/>
                <w:sz w:val="21"/>
                <w:szCs w:val="21"/>
              </w:rPr>
            </w:pPr>
            <w:r>
              <w:rPr>
                <w:rFonts w:ascii="宋体" w:hAnsi="宋体" w:cs="宋体"/>
                <w:bCs/>
                <w:sz w:val="21"/>
                <w:szCs w:val="21"/>
              </w:rPr>
              <w:t>3.</w:t>
            </w:r>
            <w:r>
              <w:rPr>
                <w:rFonts w:hint="eastAsia" w:ascii="宋体" w:hAnsi="宋体" w:cs="Arial"/>
                <w:sz w:val="21"/>
                <w:szCs w:val="21"/>
              </w:rPr>
              <w:t>报价一览表</w:t>
            </w:r>
          </w:p>
        </w:tc>
      </w:tr>
      <w:tr>
        <w:tblPrEx>
          <w:tblLayout w:type="fixed"/>
          <w:tblCellMar>
            <w:top w:w="0" w:type="dxa"/>
            <w:left w:w="10" w:type="dxa"/>
            <w:bottom w:w="0" w:type="dxa"/>
            <w:right w:w="10" w:type="dxa"/>
          </w:tblCellMar>
        </w:tblPrEx>
        <w:trPr>
          <w:trHeight w:val="90" w:hRule="atLeast"/>
          <w:jc w:val="right"/>
        </w:trPr>
        <w:tc>
          <w:tcPr>
            <w:tcW w:w="1830" w:type="dxa"/>
            <w:vMerge w:val="continue"/>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ascii="宋体" w:cs="Arial"/>
                <w:sz w:val="21"/>
                <w:szCs w:val="21"/>
              </w:rPr>
            </w:pPr>
            <w:r>
              <w:rPr>
                <w:rFonts w:ascii="宋体" w:hAnsi="宋体" w:cs="宋体"/>
                <w:bCs/>
                <w:sz w:val="21"/>
                <w:szCs w:val="21"/>
              </w:rPr>
              <w:t>4.</w:t>
            </w:r>
            <w:r>
              <w:rPr>
                <w:rFonts w:hint="eastAsia" w:ascii="宋体" w:hAnsi="宋体" w:cs="Arial"/>
                <w:sz w:val="21"/>
                <w:szCs w:val="21"/>
              </w:rPr>
              <w:t>分项报价表</w:t>
            </w:r>
          </w:p>
        </w:tc>
      </w:tr>
      <w:tr>
        <w:tblPrEx>
          <w:tblLayout w:type="fixed"/>
          <w:tblCellMar>
            <w:top w:w="0" w:type="dxa"/>
            <w:left w:w="10" w:type="dxa"/>
            <w:bottom w:w="0" w:type="dxa"/>
            <w:right w:w="10" w:type="dxa"/>
          </w:tblCellMar>
        </w:tblPrEx>
        <w:trPr>
          <w:trHeight w:val="175" w:hRule="atLeast"/>
          <w:jc w:val="right"/>
        </w:trPr>
        <w:tc>
          <w:tcPr>
            <w:tcW w:w="1830" w:type="dxa"/>
            <w:vMerge w:val="continue"/>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ascii="宋体" w:cs="Arial"/>
                <w:sz w:val="21"/>
                <w:szCs w:val="21"/>
              </w:rPr>
            </w:pPr>
            <w:r>
              <w:rPr>
                <w:rFonts w:ascii="宋体" w:hAnsi="宋体" w:cs="Arial"/>
                <w:sz w:val="21"/>
                <w:szCs w:val="21"/>
              </w:rPr>
              <w:t>5.</w:t>
            </w:r>
            <w:r>
              <w:rPr>
                <w:rFonts w:hint="eastAsia" w:ascii="宋体" w:hAnsi="宋体" w:cs="Arial"/>
                <w:sz w:val="21"/>
                <w:szCs w:val="21"/>
              </w:rPr>
              <w:t>偏离表</w:t>
            </w:r>
          </w:p>
        </w:tc>
      </w:tr>
      <w:tr>
        <w:tblPrEx>
          <w:tblLayout w:type="fixed"/>
          <w:tblCellMar>
            <w:top w:w="0" w:type="dxa"/>
            <w:left w:w="10" w:type="dxa"/>
            <w:bottom w:w="0" w:type="dxa"/>
            <w:right w:w="10" w:type="dxa"/>
          </w:tblCellMar>
        </w:tblPrEx>
        <w:trPr>
          <w:trHeight w:val="237" w:hRule="atLeast"/>
          <w:jc w:val="right"/>
        </w:trPr>
        <w:tc>
          <w:tcPr>
            <w:tcW w:w="1830" w:type="dxa"/>
            <w:vMerge w:val="continue"/>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ascii="宋体" w:cs="Arial"/>
                <w:sz w:val="21"/>
                <w:szCs w:val="21"/>
              </w:rPr>
            </w:pPr>
            <w:r>
              <w:rPr>
                <w:rFonts w:ascii="宋体" w:hAnsi="宋体" w:cs="Arial"/>
                <w:sz w:val="21"/>
                <w:szCs w:val="21"/>
              </w:rPr>
              <w:t>6.</w:t>
            </w:r>
            <w:r>
              <w:rPr>
                <w:rFonts w:hint="eastAsia" w:ascii="宋体" w:hAnsi="宋体" w:cs="Arial"/>
                <w:sz w:val="21"/>
                <w:szCs w:val="21"/>
              </w:rPr>
              <w:t>实施方案及服务承诺</w:t>
            </w:r>
          </w:p>
        </w:tc>
      </w:tr>
      <w:tr>
        <w:tblPrEx>
          <w:tblLayout w:type="fixed"/>
          <w:tblCellMar>
            <w:top w:w="0" w:type="dxa"/>
            <w:left w:w="10" w:type="dxa"/>
            <w:bottom w:w="0" w:type="dxa"/>
            <w:right w:w="10" w:type="dxa"/>
          </w:tblCellMar>
        </w:tblPrEx>
        <w:trPr>
          <w:trHeight w:val="285" w:hRule="atLeast"/>
          <w:jc w:val="right"/>
        </w:trPr>
        <w:tc>
          <w:tcPr>
            <w:tcW w:w="1830" w:type="dxa"/>
            <w:tcBorders>
              <w:top w:val="single" w:color="000000" w:sz="4" w:space="0"/>
              <w:left w:val="double" w:color="000000" w:sz="4" w:space="0"/>
              <w:bottom w:val="double" w:color="000000" w:sz="4" w:space="0"/>
              <w:right w:val="single" w:color="000000" w:sz="4" w:space="0"/>
            </w:tcBorders>
            <w:tcMar>
              <w:top w:w="0" w:type="dxa"/>
              <w:left w:w="108" w:type="dxa"/>
              <w:bottom w:w="0" w:type="dxa"/>
              <w:right w:w="108" w:type="dxa"/>
            </w:tcMar>
            <w:vAlign w:val="center"/>
          </w:tcPr>
          <w:p>
            <w:pPr>
              <w:jc w:val="center"/>
              <w:rPr>
                <w:rFonts w:ascii="宋体" w:cs="Arial"/>
                <w:b/>
                <w:sz w:val="21"/>
                <w:szCs w:val="21"/>
              </w:rPr>
            </w:pPr>
            <w:r>
              <w:rPr>
                <w:rFonts w:hint="eastAsia" w:ascii="宋体" w:hAnsi="宋体" w:cs="Arial"/>
                <w:b/>
                <w:sz w:val="21"/>
                <w:szCs w:val="21"/>
              </w:rPr>
              <w:t>其他材料</w:t>
            </w:r>
          </w:p>
        </w:tc>
        <w:tc>
          <w:tcPr>
            <w:tcW w:w="8101" w:type="dxa"/>
            <w:tcBorders>
              <w:top w:val="single" w:color="000000" w:sz="4" w:space="0"/>
              <w:left w:val="single" w:color="000000" w:sz="4" w:space="0"/>
              <w:bottom w:val="double" w:color="000000" w:sz="4" w:space="0"/>
              <w:right w:val="double" w:color="000000" w:sz="4" w:space="0"/>
            </w:tcBorders>
            <w:tcMar>
              <w:top w:w="0" w:type="dxa"/>
              <w:left w:w="108" w:type="dxa"/>
              <w:bottom w:w="0" w:type="dxa"/>
              <w:right w:w="108" w:type="dxa"/>
            </w:tcMar>
            <w:vAlign w:val="center"/>
          </w:tcPr>
          <w:p>
            <w:pPr>
              <w:rPr>
                <w:rFonts w:ascii="宋体" w:cs="Arial"/>
                <w:sz w:val="21"/>
                <w:szCs w:val="21"/>
              </w:rPr>
            </w:pPr>
            <w:r>
              <w:rPr>
                <w:rFonts w:hint="eastAsia" w:ascii="宋体" w:hAnsi="宋体" w:cs="Arial"/>
                <w:sz w:val="21"/>
                <w:szCs w:val="21"/>
              </w:rPr>
              <w:t>供应商认为需要提供的其他相关数据和材料</w:t>
            </w:r>
          </w:p>
        </w:tc>
      </w:tr>
    </w:tbl>
    <w:p>
      <w:pPr>
        <w:spacing w:line="440" w:lineRule="exact"/>
        <w:ind w:firstLine="480"/>
        <w:rPr>
          <w:rFonts w:ascii="宋体" w:cs="Arial"/>
          <w:b/>
        </w:rPr>
      </w:pPr>
      <w:r>
        <w:rPr>
          <w:rFonts w:ascii="宋体" w:hAnsi="宋体" w:cs="Arial"/>
          <w:b/>
        </w:rPr>
        <w:t>2</w:t>
      </w:r>
      <w:r>
        <w:rPr>
          <w:rFonts w:hint="eastAsia" w:ascii="宋体" w:hAnsi="宋体" w:cs="Arial"/>
          <w:b/>
        </w:rPr>
        <w:t>．</w:t>
      </w:r>
      <w:r>
        <w:rPr>
          <w:rFonts w:hint="eastAsia" w:ascii="宋体" w:hAnsi="宋体"/>
          <w:b/>
          <w:szCs w:val="24"/>
        </w:rPr>
        <w:t>特别说明</w:t>
      </w:r>
    </w:p>
    <w:p>
      <w:pPr>
        <w:spacing w:line="440" w:lineRule="exact"/>
        <w:ind w:firstLine="480"/>
        <w:rPr>
          <w:rFonts w:ascii="宋体" w:cs="Arial"/>
        </w:rPr>
      </w:pPr>
      <w:r>
        <w:rPr>
          <w:rFonts w:hint="eastAsia" w:ascii="宋体" w:hAnsi="宋体" w:cs="Arial"/>
        </w:rPr>
        <w:t>（</w:t>
      </w:r>
      <w:r>
        <w:rPr>
          <w:rFonts w:ascii="宋体" w:hAnsi="宋体" w:cs="Arial"/>
        </w:rPr>
        <w:t>1</w:t>
      </w:r>
      <w:r>
        <w:rPr>
          <w:rFonts w:hint="eastAsia" w:ascii="宋体" w:hAnsi="宋体" w:cs="Arial"/>
        </w:rPr>
        <w:t>）“资格性审查材料”和“符合性审查材料”均须加盖投标方的公章。“资格性审查材料”和“符合性审查材料”中有一项不符合要求，响应文件无效。</w:t>
      </w:r>
    </w:p>
    <w:p>
      <w:pPr>
        <w:spacing w:line="440" w:lineRule="exact"/>
        <w:ind w:firstLine="480"/>
        <w:rPr>
          <w:rFonts w:ascii="宋体" w:cs="Arial"/>
        </w:rPr>
      </w:pPr>
      <w:r>
        <w:rPr>
          <w:rFonts w:hint="eastAsia" w:ascii="宋体" w:hAnsi="宋体" w:cs="Arial"/>
        </w:rPr>
        <w:t>（</w:t>
      </w:r>
      <w:r>
        <w:rPr>
          <w:rFonts w:ascii="宋体" w:hAnsi="宋体" w:cs="Arial"/>
        </w:rPr>
        <w:t>2</w:t>
      </w:r>
      <w:r>
        <w:rPr>
          <w:rFonts w:hint="eastAsia" w:ascii="宋体" w:hAnsi="宋体" w:cs="Arial"/>
        </w:rPr>
        <w:t>）对于给定格式的，须按照给定的格式进行填报，没有给定格式的，投标经营方可以自行设计。</w:t>
      </w:r>
    </w:p>
    <w:p>
      <w:pPr>
        <w:spacing w:line="440" w:lineRule="exact"/>
        <w:ind w:firstLine="480"/>
        <w:rPr>
          <w:rFonts w:ascii="宋体" w:cs="Arial"/>
        </w:rPr>
      </w:pPr>
      <w:r>
        <w:rPr>
          <w:rFonts w:hint="eastAsia" w:ascii="宋体" w:hAnsi="宋体" w:cs="Arial"/>
        </w:rPr>
        <w:t>（</w:t>
      </w:r>
      <w:r>
        <w:rPr>
          <w:rFonts w:ascii="宋体" w:hAnsi="宋体" w:cs="Arial"/>
        </w:rPr>
        <w:t>3</w:t>
      </w:r>
      <w:r>
        <w:rPr>
          <w:rFonts w:hint="eastAsia" w:ascii="宋体" w:hAnsi="宋体" w:cs="Arial"/>
        </w:rPr>
        <w:t>）不具有独立运作并自负盈亏的企业法人的分公司没有企业法人授权的拒绝参加谈判。</w:t>
      </w:r>
    </w:p>
    <w:p>
      <w:pPr>
        <w:spacing w:line="440" w:lineRule="exact"/>
        <w:ind w:firstLine="480"/>
        <w:rPr>
          <w:rFonts w:ascii="宋体" w:cs="Arial"/>
          <w:bCs/>
        </w:rPr>
      </w:pPr>
      <w:r>
        <w:rPr>
          <w:rFonts w:hint="eastAsia" w:ascii="宋体" w:hAnsi="宋体" w:cs="Arial"/>
          <w:bCs/>
        </w:rPr>
        <w:t>（</w:t>
      </w:r>
      <w:r>
        <w:rPr>
          <w:rFonts w:ascii="宋体" w:hAnsi="宋体" w:cs="Arial"/>
          <w:bCs/>
        </w:rPr>
        <w:t>4</w:t>
      </w:r>
      <w:r>
        <w:rPr>
          <w:rFonts w:hint="eastAsia" w:ascii="宋体" w:hAnsi="宋体" w:cs="Arial"/>
          <w:b/>
          <w:bCs/>
        </w:rPr>
        <w:t>）依据磋商文件的要求，所提供的资格证明文件，磋商响应文件中须提供复印件，评审现场不再对原件进行审查（被授权代表身份证除外）。</w:t>
      </w:r>
    </w:p>
    <w:p>
      <w:pPr>
        <w:spacing w:line="440" w:lineRule="exact"/>
        <w:ind w:firstLine="482"/>
        <w:rPr>
          <w:rFonts w:ascii="宋体" w:cs="Arial"/>
        </w:rPr>
      </w:pPr>
      <w:r>
        <w:rPr>
          <w:rFonts w:hint="eastAsia" w:ascii="宋体" w:hAnsi="宋体" w:cs="Arial"/>
        </w:rPr>
        <w:t>（</w:t>
      </w:r>
      <w:r>
        <w:rPr>
          <w:rFonts w:ascii="宋体" w:hAnsi="宋体" w:cs="Arial"/>
        </w:rPr>
        <w:t>5</w:t>
      </w:r>
      <w:r>
        <w:rPr>
          <w:rFonts w:hint="eastAsia" w:ascii="宋体" w:hAnsi="宋体" w:cs="Arial"/>
        </w:rPr>
        <w:t>）磋商文件第二章“采购项目需求及相关要求”中的各项服务及其他要求，响应文件必须完全满足，且须提供更加完整详尽服务方案。</w:t>
      </w:r>
    </w:p>
    <w:p>
      <w:pPr>
        <w:spacing w:line="400" w:lineRule="exact"/>
        <w:ind w:firstLine="540"/>
        <w:rPr>
          <w:rFonts w:ascii="宋体"/>
          <w:szCs w:val="24"/>
        </w:rPr>
      </w:pPr>
      <w:r>
        <w:rPr>
          <w:rFonts w:ascii="宋体" w:hAnsi="宋体"/>
          <w:szCs w:val="24"/>
        </w:rPr>
        <w:t>3</w:t>
      </w:r>
      <w:r>
        <w:rPr>
          <w:rFonts w:ascii="宋体"/>
          <w:szCs w:val="24"/>
        </w:rPr>
        <w:t>.</w:t>
      </w:r>
      <w:r>
        <w:rPr>
          <w:rFonts w:hint="eastAsia" w:ascii="宋体" w:hAnsi="宋体"/>
          <w:szCs w:val="24"/>
        </w:rPr>
        <w:t>响应文件有下列情形之一的，按照无效响应文件（或拒绝参加磋商）处理：</w:t>
      </w:r>
    </w:p>
    <w:p>
      <w:pPr>
        <w:spacing w:line="400" w:lineRule="exact"/>
        <w:ind w:firstLine="540"/>
        <w:rPr>
          <w:rFonts w:ascii="宋体"/>
          <w:szCs w:val="24"/>
        </w:rPr>
      </w:pPr>
      <w:r>
        <w:rPr>
          <w:rFonts w:hint="eastAsia" w:ascii="宋体" w:hAnsi="宋体"/>
          <w:szCs w:val="24"/>
        </w:rPr>
        <w:t>（</w:t>
      </w:r>
      <w:r>
        <w:rPr>
          <w:rFonts w:ascii="宋体" w:hAnsi="宋体"/>
          <w:szCs w:val="24"/>
        </w:rPr>
        <w:t>1</w:t>
      </w:r>
      <w:r>
        <w:rPr>
          <w:rFonts w:hint="eastAsia" w:ascii="宋体" w:hAnsi="宋体"/>
          <w:szCs w:val="24"/>
        </w:rPr>
        <w:t>）未提供谈判响应文件所要求的“符合性审查材料”和“资格性审查材料”，或虽然提供了上述材料但未加盖投标经营方公章的；</w:t>
      </w:r>
    </w:p>
    <w:p>
      <w:pPr>
        <w:spacing w:line="400" w:lineRule="exact"/>
        <w:ind w:firstLine="540"/>
        <w:rPr>
          <w:rFonts w:ascii="宋体"/>
          <w:szCs w:val="24"/>
        </w:rPr>
      </w:pPr>
      <w:r>
        <w:rPr>
          <w:rFonts w:hint="eastAsia" w:ascii="宋体" w:hAnsi="宋体"/>
          <w:szCs w:val="24"/>
        </w:rPr>
        <w:t>（</w:t>
      </w:r>
      <w:r>
        <w:rPr>
          <w:rFonts w:ascii="宋体" w:hAnsi="宋体"/>
          <w:szCs w:val="24"/>
        </w:rPr>
        <w:t>2</w:t>
      </w:r>
      <w:r>
        <w:rPr>
          <w:rFonts w:hint="eastAsia" w:ascii="宋体" w:hAnsi="宋体"/>
          <w:szCs w:val="24"/>
        </w:rPr>
        <w:t>）谈判投标经营方的法定代表人（代表人）或其授权委托人未参加磋商会议且未在开标报价记录上签字确认的；</w:t>
      </w:r>
    </w:p>
    <w:p>
      <w:pPr>
        <w:spacing w:line="400" w:lineRule="exact"/>
        <w:ind w:firstLine="540"/>
        <w:rPr>
          <w:rFonts w:ascii="宋体" w:hAnsi="宋体"/>
          <w:szCs w:val="24"/>
        </w:rPr>
      </w:pPr>
      <w:r>
        <w:rPr>
          <w:rFonts w:hint="eastAsia" w:ascii="宋体" w:hAnsi="宋体"/>
          <w:szCs w:val="24"/>
        </w:rPr>
        <w:t>（</w:t>
      </w:r>
      <w:r>
        <w:rPr>
          <w:rFonts w:ascii="宋体" w:hAnsi="宋体"/>
          <w:szCs w:val="24"/>
        </w:rPr>
        <w:t>3</w:t>
      </w:r>
      <w:r>
        <w:rPr>
          <w:rFonts w:hint="eastAsia" w:ascii="宋体" w:hAnsi="宋体"/>
          <w:szCs w:val="24"/>
        </w:rPr>
        <w:t>）未满足谈判文件“采购项目需求及相关要求”的；</w:t>
      </w:r>
    </w:p>
    <w:p>
      <w:pPr>
        <w:spacing w:line="400" w:lineRule="exact"/>
        <w:ind w:firstLine="540"/>
        <w:rPr>
          <w:rFonts w:ascii="宋体"/>
          <w:szCs w:val="24"/>
        </w:rPr>
      </w:pPr>
      <w:r>
        <w:rPr>
          <w:rFonts w:hint="eastAsia" w:ascii="宋体" w:hAnsi="宋体"/>
          <w:szCs w:val="24"/>
        </w:rPr>
        <w:t>（</w:t>
      </w:r>
      <w:r>
        <w:rPr>
          <w:rFonts w:ascii="宋体" w:hAnsi="宋体"/>
          <w:szCs w:val="24"/>
        </w:rPr>
        <w:t>4</w:t>
      </w:r>
      <w:r>
        <w:rPr>
          <w:rFonts w:hint="eastAsia" w:ascii="宋体" w:hAnsi="宋体"/>
          <w:szCs w:val="24"/>
        </w:rPr>
        <w:t>）磋商响应文件附有不能接受的条件的；</w:t>
      </w:r>
    </w:p>
    <w:p>
      <w:pPr>
        <w:spacing w:line="400" w:lineRule="exact"/>
        <w:ind w:firstLine="540"/>
        <w:rPr>
          <w:rFonts w:ascii="宋体"/>
          <w:szCs w:val="24"/>
        </w:rPr>
      </w:pPr>
      <w:r>
        <w:rPr>
          <w:rFonts w:hint="eastAsia" w:ascii="宋体" w:hAnsi="宋体"/>
          <w:szCs w:val="24"/>
        </w:rPr>
        <w:t>（</w:t>
      </w:r>
      <w:r>
        <w:rPr>
          <w:rFonts w:ascii="宋体" w:hAnsi="宋体"/>
          <w:szCs w:val="24"/>
        </w:rPr>
        <w:t>6</w:t>
      </w:r>
      <w:r>
        <w:rPr>
          <w:rFonts w:hint="eastAsia" w:ascii="宋体" w:hAnsi="宋体"/>
          <w:szCs w:val="24"/>
        </w:rPr>
        <w:t>）磋商响应文件中未提供法人授权书原件和被授权人身份证复印件的，或者法定代表人参加磋商未提供身份证复印件的；</w:t>
      </w:r>
    </w:p>
    <w:p>
      <w:pPr>
        <w:spacing w:line="400" w:lineRule="exact"/>
        <w:ind w:firstLine="540"/>
        <w:rPr>
          <w:rFonts w:ascii="宋体" w:hAnsi="宋体"/>
          <w:szCs w:val="24"/>
        </w:rPr>
      </w:pPr>
      <w:r>
        <w:rPr>
          <w:rFonts w:hint="eastAsia" w:ascii="宋体" w:hAnsi="宋体"/>
          <w:szCs w:val="24"/>
        </w:rPr>
        <w:t>（</w:t>
      </w:r>
      <w:r>
        <w:rPr>
          <w:rFonts w:ascii="宋体" w:hAnsi="宋体"/>
          <w:szCs w:val="24"/>
        </w:rPr>
        <w:t>7</w:t>
      </w:r>
      <w:r>
        <w:rPr>
          <w:rFonts w:hint="eastAsia" w:ascii="宋体" w:hAnsi="宋体"/>
          <w:szCs w:val="24"/>
        </w:rPr>
        <w:t>）响应文件未提供要求提供的相关证明文件复印件的；</w:t>
      </w:r>
    </w:p>
    <w:p>
      <w:pPr>
        <w:spacing w:line="400" w:lineRule="exact"/>
        <w:ind w:firstLine="540"/>
        <w:rPr>
          <w:rFonts w:ascii="宋体"/>
          <w:szCs w:val="24"/>
        </w:rPr>
      </w:pPr>
      <w:r>
        <w:rPr>
          <w:rFonts w:hint="eastAsia" w:ascii="宋体" w:hAnsi="宋体"/>
          <w:szCs w:val="24"/>
        </w:rPr>
        <w:t>（</w:t>
      </w:r>
      <w:r>
        <w:rPr>
          <w:rFonts w:ascii="宋体" w:hAnsi="宋体"/>
          <w:szCs w:val="24"/>
        </w:rPr>
        <w:t>8</w:t>
      </w:r>
      <w:r>
        <w:rPr>
          <w:rFonts w:hint="eastAsia" w:ascii="宋体" w:hAnsi="宋体"/>
          <w:szCs w:val="24"/>
        </w:rPr>
        <w:t>）响应文件出现不符合法律、法规规定的其他实质性要求的；</w:t>
      </w:r>
    </w:p>
    <w:p>
      <w:pPr>
        <w:spacing w:line="400" w:lineRule="exact"/>
        <w:ind w:firstLine="540"/>
        <w:rPr>
          <w:rFonts w:ascii="宋体"/>
          <w:szCs w:val="24"/>
        </w:rPr>
      </w:pPr>
      <w:r>
        <w:rPr>
          <w:rFonts w:hint="eastAsia" w:ascii="宋体" w:hAnsi="宋体"/>
          <w:szCs w:val="24"/>
        </w:rPr>
        <w:t>（</w:t>
      </w:r>
      <w:r>
        <w:rPr>
          <w:rFonts w:ascii="宋体" w:hAnsi="宋体"/>
          <w:szCs w:val="24"/>
        </w:rPr>
        <w:t>9</w:t>
      </w:r>
      <w:r>
        <w:rPr>
          <w:rFonts w:hint="eastAsia" w:ascii="宋体" w:hAnsi="宋体"/>
          <w:szCs w:val="24"/>
        </w:rPr>
        <w:t>）出现影响采购公正的违法、违规行为的。如</w:t>
      </w:r>
      <w:r>
        <w:rPr>
          <w:rFonts w:hint="eastAsia" w:ascii="宋体" w:hAnsi="宋体" w:cs="宋体"/>
          <w:szCs w:val="24"/>
        </w:rPr>
        <w:t>提供虚假材料等。</w:t>
      </w:r>
    </w:p>
    <w:p>
      <w:pPr>
        <w:spacing w:line="400" w:lineRule="exact"/>
        <w:ind w:firstLine="542"/>
        <w:outlineLvl w:val="0"/>
        <w:rPr>
          <w:rFonts w:ascii="宋体"/>
          <w:b/>
          <w:bCs/>
          <w:szCs w:val="24"/>
        </w:rPr>
      </w:pPr>
      <w:r>
        <w:rPr>
          <w:rFonts w:ascii="宋体" w:hAnsi="宋体"/>
          <w:b/>
          <w:bCs/>
          <w:szCs w:val="24"/>
        </w:rPr>
        <w:t>4.</w:t>
      </w:r>
      <w:r>
        <w:rPr>
          <w:rFonts w:hint="eastAsia" w:ascii="宋体" w:hAnsi="宋体"/>
          <w:b/>
          <w:bCs/>
          <w:szCs w:val="24"/>
        </w:rPr>
        <w:t>磋商评审办法</w:t>
      </w:r>
    </w:p>
    <w:p>
      <w:pPr>
        <w:spacing w:line="400" w:lineRule="exact"/>
        <w:ind w:firstLine="540"/>
        <w:rPr>
          <w:rFonts w:ascii="宋体"/>
          <w:bCs/>
          <w:szCs w:val="24"/>
        </w:rPr>
      </w:pPr>
      <w:r>
        <w:rPr>
          <w:rFonts w:ascii="宋体" w:hAnsi="宋体"/>
          <w:bCs/>
          <w:szCs w:val="24"/>
        </w:rPr>
        <w:t>4.1</w:t>
      </w:r>
      <w:r>
        <w:rPr>
          <w:rFonts w:hint="eastAsia" w:ascii="宋体" w:hAnsi="宋体"/>
          <w:bCs/>
          <w:szCs w:val="24"/>
        </w:rPr>
        <w:t>项目不能详细列明采购标的技术、服务要求，需经磋商由供应商提供最终设计方案和解决方案，供应商最后提交的方案不符合采购文件的要求或者不符合招标采购人提出技术要求，磋商小组将取消其最后报价资格。磋商结束后，磋商小组要求实质性响应的供商在规定时间内提交最后报价。</w:t>
      </w:r>
    </w:p>
    <w:p>
      <w:pPr>
        <w:spacing w:line="400" w:lineRule="exact"/>
        <w:ind w:firstLine="540"/>
        <w:rPr>
          <w:rFonts w:ascii="宋体"/>
          <w:bCs/>
          <w:szCs w:val="24"/>
        </w:rPr>
      </w:pPr>
      <w:r>
        <w:rPr>
          <w:rFonts w:ascii="宋体" w:hAnsi="宋体"/>
          <w:bCs/>
          <w:szCs w:val="24"/>
        </w:rPr>
        <w:t>4.2</w:t>
      </w:r>
      <w:r>
        <w:rPr>
          <w:rFonts w:hint="eastAsia" w:ascii="宋体" w:hAnsi="宋体"/>
          <w:bCs/>
          <w:szCs w:val="24"/>
        </w:rPr>
        <w:t>经磋商确定最终满足采购需求和提交最后报价的供应商后</w:t>
      </w:r>
      <w:r>
        <w:rPr>
          <w:rFonts w:ascii="宋体"/>
          <w:bCs/>
          <w:szCs w:val="24"/>
        </w:rPr>
        <w:t>,</w:t>
      </w:r>
      <w:r>
        <w:rPr>
          <w:rFonts w:hint="eastAsia" w:ascii="宋体" w:hAnsi="宋体"/>
          <w:bCs/>
          <w:szCs w:val="24"/>
        </w:rPr>
        <w:t>由磋商小组采用综合评分法对提交最后报价的供应商的响应文件和最后报价进行综合评分。符合相关规定的情形，最后报价的供应商可以为</w:t>
      </w:r>
      <w:r>
        <w:rPr>
          <w:rFonts w:ascii="宋体" w:hAnsi="宋体"/>
          <w:bCs/>
          <w:szCs w:val="24"/>
        </w:rPr>
        <w:t>2</w:t>
      </w:r>
      <w:r>
        <w:rPr>
          <w:rFonts w:hint="eastAsia" w:ascii="宋体" w:hAnsi="宋体"/>
          <w:bCs/>
          <w:szCs w:val="24"/>
        </w:rPr>
        <w:t>家。</w:t>
      </w:r>
    </w:p>
    <w:p>
      <w:pPr>
        <w:spacing w:line="400" w:lineRule="exact"/>
        <w:ind w:firstLine="540"/>
        <w:rPr>
          <w:rFonts w:ascii="宋体"/>
          <w:b/>
          <w:bCs/>
          <w:szCs w:val="24"/>
        </w:rPr>
      </w:pPr>
      <w:r>
        <w:rPr>
          <w:rFonts w:ascii="宋体" w:hAnsi="宋体" w:cs="宋体"/>
          <w:szCs w:val="24"/>
        </w:rPr>
        <w:t>4.3</w:t>
      </w:r>
      <w:r>
        <w:rPr>
          <w:rFonts w:hint="eastAsia" w:ascii="宋体" w:hAnsi="宋体" w:cs="宋体"/>
          <w:szCs w:val="24"/>
        </w:rPr>
        <w:t>评审小组认为有供应商的报价明显低于其他通过符合审查供应商的报价，有可能影响产品质量或者不能诚信履约的，应当要求其在评审现场合理的时</w:t>
      </w:r>
      <w:r>
        <w:rPr>
          <w:rFonts w:hint="eastAsia" w:ascii="宋体" w:hAnsi="宋体" w:cs="宋体"/>
          <w:szCs w:val="24"/>
          <w:lang w:eastAsia="zh-CN"/>
        </w:rPr>
        <w:t>间</w:t>
      </w:r>
      <w:r>
        <w:rPr>
          <w:rFonts w:hint="eastAsia" w:ascii="宋体" w:hAnsi="宋体" w:cs="宋体"/>
          <w:szCs w:val="24"/>
        </w:rPr>
        <w:t>内提出书面说明，必要时提交相关证明材料；供应商不能证明其报价合理性的，评审小组应当将其作为无效报价处理。</w:t>
      </w:r>
    </w:p>
    <w:p>
      <w:pPr>
        <w:spacing w:line="400" w:lineRule="exact"/>
        <w:ind w:firstLine="542"/>
        <w:rPr>
          <w:rFonts w:ascii="宋体"/>
          <w:b/>
          <w:bCs/>
          <w:szCs w:val="24"/>
        </w:rPr>
      </w:pPr>
      <w:r>
        <w:rPr>
          <w:rFonts w:ascii="宋体" w:hAnsi="宋体"/>
          <w:b/>
          <w:bCs/>
          <w:szCs w:val="24"/>
        </w:rPr>
        <w:t>5.</w:t>
      </w:r>
      <w:r>
        <w:rPr>
          <w:rFonts w:hint="eastAsia" w:ascii="宋体" w:hAnsi="宋体" w:cs="Times New Roman"/>
          <w:b/>
          <w:bCs/>
          <w:szCs w:val="24"/>
        </w:rPr>
        <w:t>综合评分法，满分</w:t>
      </w:r>
      <w:r>
        <w:rPr>
          <w:rFonts w:ascii="宋体" w:hAnsi="宋体" w:cs="Times New Roman"/>
          <w:b/>
          <w:bCs/>
          <w:szCs w:val="24"/>
        </w:rPr>
        <w:t>100</w:t>
      </w:r>
      <w:r>
        <w:rPr>
          <w:rFonts w:hint="eastAsia" w:ascii="宋体" w:hAnsi="宋体" w:cs="Times New Roman"/>
          <w:b/>
          <w:bCs/>
          <w:szCs w:val="24"/>
        </w:rPr>
        <w:t>分。</w:t>
      </w:r>
    </w:p>
    <w:p>
      <w:pPr>
        <w:pStyle w:val="16"/>
        <w:spacing w:line="360" w:lineRule="auto"/>
        <w:ind w:firstLine="422" w:firstLineChars="200"/>
        <w:contextualSpacing/>
        <w:rPr>
          <w:rFonts w:hint="eastAsia" w:cs="仿宋_GB2312" w:asciiTheme="minorEastAsia" w:hAnsiTheme="minorEastAsia" w:eastAsiaTheme="minorEastAsia"/>
          <w:b/>
          <w:sz w:val="21"/>
          <w:szCs w:val="21"/>
          <w:lang w:val="en-US" w:eastAsia="zh-CN"/>
        </w:rPr>
      </w:pPr>
      <w:bookmarkStart w:id="198" w:name="_Toc448307933"/>
      <w:bookmarkEnd w:id="198"/>
      <w:r>
        <w:rPr>
          <w:rFonts w:hint="eastAsia" w:cs="仿宋_GB2312" w:asciiTheme="minorEastAsia" w:hAnsiTheme="minorEastAsia" w:eastAsiaTheme="minorEastAsia"/>
          <w:b/>
          <w:sz w:val="21"/>
          <w:szCs w:val="21"/>
          <w:lang w:val="en-US" w:eastAsia="zh-CN"/>
        </w:rPr>
        <w:t>A包：</w:t>
      </w:r>
    </w:p>
    <w:tbl>
      <w:tblPr>
        <w:tblStyle w:val="31"/>
        <w:tblW w:w="9447" w:type="dxa"/>
        <w:jc w:val="center"/>
        <w:tblInd w:w="-4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1"/>
        <w:gridCol w:w="7426"/>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1321"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heme="minorEastAsia" w:hAnsiTheme="minorEastAsia"/>
                <w:color w:val="auto"/>
                <w:sz w:val="21"/>
                <w:szCs w:val="21"/>
              </w:rPr>
            </w:pPr>
            <w:r>
              <w:rPr>
                <w:rFonts w:hint="eastAsia" w:asciiTheme="minorEastAsia" w:hAnsiTheme="minorEastAsia"/>
                <w:color w:val="auto"/>
                <w:sz w:val="21"/>
                <w:szCs w:val="21"/>
              </w:rPr>
              <w:t>分值构成</w:t>
            </w:r>
          </w:p>
        </w:tc>
        <w:tc>
          <w:tcPr>
            <w:tcW w:w="8126" w:type="dxa"/>
            <w:gridSpan w:val="2"/>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eastAsia="宋体" w:asciiTheme="minorEastAsia" w:hAnsiTheme="minorEastAsia"/>
                <w:color w:val="auto"/>
                <w:sz w:val="21"/>
                <w:szCs w:val="21"/>
                <w:lang w:eastAsia="zh-CN"/>
              </w:rPr>
            </w:pPr>
            <w:r>
              <w:rPr>
                <w:rFonts w:hint="eastAsia" w:asciiTheme="minorEastAsia" w:hAnsiTheme="minorEastAsia"/>
                <w:color w:val="auto"/>
                <w:sz w:val="21"/>
                <w:szCs w:val="21"/>
              </w:rPr>
              <w:t>总分100分</w:t>
            </w:r>
            <w:r>
              <w:rPr>
                <w:rFonts w:hint="eastAsia" w:asciiTheme="minorEastAsia" w:hAnsiTheme="minorEastAsia"/>
                <w:color w:val="auto"/>
                <w:sz w:val="21"/>
                <w:szCs w:val="21"/>
                <w:lang w:eastAsia="zh-CN"/>
              </w:rPr>
              <w:t>，其中：</w:t>
            </w:r>
            <w:r>
              <w:rPr>
                <w:rFonts w:hint="eastAsia" w:asciiTheme="minorEastAsia" w:hAnsiTheme="minorEastAsia"/>
                <w:color w:val="auto"/>
                <w:sz w:val="21"/>
                <w:szCs w:val="21"/>
              </w:rPr>
              <w:t>价格分值：</w:t>
            </w:r>
            <w:r>
              <w:rPr>
                <w:rFonts w:hint="eastAsia" w:asciiTheme="minorEastAsia" w:hAnsiTheme="minorEastAsia"/>
                <w:color w:val="auto"/>
                <w:sz w:val="21"/>
                <w:szCs w:val="21"/>
                <w:u w:val="single"/>
                <w:lang w:val="en-US" w:eastAsia="zh-CN"/>
              </w:rPr>
              <w:t>20</w:t>
            </w:r>
            <w:r>
              <w:rPr>
                <w:rFonts w:hint="eastAsia" w:asciiTheme="minorEastAsia" w:hAnsiTheme="minorEastAsia"/>
                <w:color w:val="auto"/>
                <w:sz w:val="21"/>
                <w:szCs w:val="21"/>
              </w:rPr>
              <w:t>分</w:t>
            </w:r>
            <w:r>
              <w:rPr>
                <w:rFonts w:hint="eastAsia" w:asciiTheme="minorEastAsia" w:hAnsiTheme="minorEastAsia"/>
                <w:color w:val="auto"/>
                <w:sz w:val="21"/>
                <w:szCs w:val="21"/>
                <w:lang w:eastAsia="zh-CN"/>
              </w:rPr>
              <w:t>、</w:t>
            </w:r>
            <w:r>
              <w:rPr>
                <w:rFonts w:hint="eastAsia" w:asciiTheme="minorEastAsia" w:hAnsiTheme="minorEastAsia"/>
                <w:color w:val="auto"/>
                <w:sz w:val="21"/>
                <w:szCs w:val="21"/>
              </w:rPr>
              <w:t>商务部分：</w:t>
            </w:r>
            <w:r>
              <w:rPr>
                <w:rFonts w:hint="eastAsia" w:asciiTheme="minorEastAsia" w:hAnsiTheme="minorEastAsia"/>
                <w:color w:val="auto"/>
                <w:sz w:val="21"/>
                <w:szCs w:val="21"/>
                <w:u w:val="single"/>
                <w:lang w:val="en-US" w:eastAsia="zh-CN"/>
              </w:rPr>
              <w:t>2</w:t>
            </w:r>
            <w:r>
              <w:rPr>
                <w:rFonts w:hint="eastAsia" w:asciiTheme="minorEastAsia" w:hAnsiTheme="minorEastAsia"/>
                <w:color w:val="auto"/>
                <w:sz w:val="21"/>
                <w:szCs w:val="21"/>
                <w:u w:val="single"/>
              </w:rPr>
              <w:t>0</w:t>
            </w:r>
            <w:r>
              <w:rPr>
                <w:rFonts w:hint="eastAsia" w:asciiTheme="minorEastAsia" w:hAnsiTheme="minorEastAsia"/>
                <w:color w:val="auto"/>
                <w:sz w:val="21"/>
                <w:szCs w:val="21"/>
              </w:rPr>
              <w:t>分</w:t>
            </w:r>
            <w:r>
              <w:rPr>
                <w:rFonts w:hint="eastAsia" w:asciiTheme="minorEastAsia" w:hAnsiTheme="minorEastAsia"/>
                <w:color w:val="auto"/>
                <w:sz w:val="21"/>
                <w:szCs w:val="21"/>
                <w:lang w:eastAsia="zh-CN"/>
              </w:rPr>
              <w:t>、</w:t>
            </w:r>
            <w:r>
              <w:rPr>
                <w:rFonts w:hint="eastAsia" w:asciiTheme="minorEastAsia" w:hAnsiTheme="minorEastAsia"/>
                <w:color w:val="auto"/>
                <w:sz w:val="21"/>
                <w:szCs w:val="21"/>
              </w:rPr>
              <w:t>技术部分：</w:t>
            </w:r>
            <w:r>
              <w:rPr>
                <w:rFonts w:hint="eastAsia" w:asciiTheme="minorEastAsia" w:hAnsiTheme="minorEastAsia"/>
                <w:color w:val="auto"/>
                <w:sz w:val="21"/>
                <w:szCs w:val="21"/>
                <w:u w:val="single"/>
                <w:lang w:val="en-US" w:eastAsia="zh-CN"/>
              </w:rPr>
              <w:t>60</w:t>
            </w:r>
            <w:r>
              <w:rPr>
                <w:rFonts w:hint="eastAsia" w:asciiTheme="minorEastAsia" w:hAnsiTheme="minorEastAsia"/>
                <w:color w:val="auto"/>
                <w:sz w:val="21"/>
                <w:szCs w:val="21"/>
              </w:rPr>
              <w:t>分</w:t>
            </w:r>
            <w:r>
              <w:rPr>
                <w:rFonts w:hint="eastAsia" w:asciiTheme="minorEastAsia" w:hAnsiTheme="minorEastAsia"/>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1321"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heme="minorEastAsia" w:hAnsiTheme="minorEastAsia"/>
                <w:b/>
                <w:color w:val="auto"/>
                <w:sz w:val="21"/>
                <w:szCs w:val="21"/>
              </w:rPr>
            </w:pPr>
            <w:r>
              <w:rPr>
                <w:rFonts w:hint="eastAsia" w:asciiTheme="minorEastAsia" w:hAnsiTheme="minorEastAsia"/>
                <w:b/>
                <w:color w:val="auto"/>
                <w:sz w:val="21"/>
                <w:szCs w:val="21"/>
              </w:rPr>
              <w:t>评分因素</w:t>
            </w:r>
          </w:p>
        </w:tc>
        <w:tc>
          <w:tcPr>
            <w:tcW w:w="7426"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eastAsia="宋体" w:asciiTheme="minorEastAsia" w:hAnsiTheme="minorEastAsia"/>
                <w:b/>
                <w:color w:val="auto"/>
                <w:sz w:val="21"/>
                <w:szCs w:val="21"/>
                <w:lang w:eastAsia="zh-CN"/>
              </w:rPr>
            </w:pPr>
            <w:r>
              <w:rPr>
                <w:rFonts w:hint="eastAsia" w:asciiTheme="minorEastAsia" w:hAnsiTheme="minorEastAsia"/>
                <w:b/>
                <w:color w:val="auto"/>
                <w:sz w:val="21"/>
                <w:szCs w:val="21"/>
                <w:lang w:eastAsia="zh-CN"/>
              </w:rPr>
              <w:t>评分细则</w:t>
            </w:r>
          </w:p>
        </w:tc>
        <w:tc>
          <w:tcPr>
            <w:tcW w:w="700"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heme="minorEastAsia" w:hAnsiTheme="minorEastAsia"/>
                <w:b/>
                <w:color w:val="auto"/>
                <w:sz w:val="21"/>
                <w:szCs w:val="21"/>
              </w:rPr>
            </w:pPr>
            <w:r>
              <w:rPr>
                <w:rFonts w:hint="eastAsia" w:asciiTheme="minorEastAsia" w:hAnsiTheme="minorEastAsia"/>
                <w:b/>
                <w:color w:val="auto"/>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9447" w:type="dxa"/>
            <w:gridSpan w:val="3"/>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heme="minorEastAsia" w:hAnsiTheme="minorEastAsia"/>
                <w:b/>
                <w:color w:val="auto"/>
                <w:sz w:val="21"/>
                <w:szCs w:val="21"/>
              </w:rPr>
            </w:pPr>
            <w:r>
              <w:rPr>
                <w:rFonts w:hint="eastAsia" w:asciiTheme="minorEastAsia" w:hAnsiTheme="minorEastAsia"/>
                <w:b/>
                <w:color w:val="auto"/>
                <w:sz w:val="21"/>
                <w:szCs w:val="21"/>
              </w:rPr>
              <w:t>价格部分（满分</w:t>
            </w:r>
            <w:r>
              <w:rPr>
                <w:rFonts w:hint="eastAsia" w:asciiTheme="minorEastAsia" w:hAnsiTheme="minorEastAsia"/>
                <w:b/>
                <w:color w:val="auto"/>
                <w:sz w:val="21"/>
                <w:szCs w:val="21"/>
                <w:u w:val="single"/>
                <w:lang w:val="en-US" w:eastAsia="zh-CN"/>
              </w:rPr>
              <w:t>20</w:t>
            </w:r>
            <w:r>
              <w:rPr>
                <w:rFonts w:hint="eastAsia" w:asciiTheme="minorEastAsia" w:hAnsiTheme="minorEastAsia"/>
                <w:b/>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jc w:val="center"/>
        </w:trPr>
        <w:tc>
          <w:tcPr>
            <w:tcW w:w="1321"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heme="minorEastAsia" w:hAnsiTheme="minorEastAsia"/>
                <w:color w:val="auto"/>
                <w:sz w:val="21"/>
                <w:szCs w:val="21"/>
              </w:rPr>
            </w:pPr>
            <w:r>
              <w:rPr>
                <w:rFonts w:hint="eastAsia" w:asciiTheme="minorEastAsia" w:hAnsiTheme="minorEastAsia"/>
                <w:color w:val="auto"/>
                <w:sz w:val="21"/>
                <w:szCs w:val="21"/>
              </w:rPr>
              <w:t>投标报价</w:t>
            </w:r>
          </w:p>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heme="minorEastAsia" w:hAnsiTheme="minorEastAsia"/>
                <w:color w:val="auto"/>
                <w:sz w:val="21"/>
                <w:szCs w:val="21"/>
              </w:rPr>
            </w:pPr>
          </w:p>
        </w:tc>
        <w:tc>
          <w:tcPr>
            <w:tcW w:w="7426"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Theme="minorEastAsia" w:hAnsiTheme="minorEastAsia"/>
                <w:color w:val="auto"/>
                <w:sz w:val="21"/>
                <w:szCs w:val="21"/>
              </w:rPr>
            </w:pPr>
            <w:r>
              <w:rPr>
                <w:rFonts w:hint="eastAsia" w:asciiTheme="minorEastAsia" w:hAnsiTheme="minorEastAsia"/>
                <w:color w:val="auto"/>
                <w:sz w:val="21"/>
                <w:szCs w:val="21"/>
              </w:rPr>
              <w:t>评标基准价：满足招标文件要求的有效投标报价中，最低的投标报价为评标基准价。</w:t>
            </w:r>
          </w:p>
          <w:p>
            <w:pPr>
              <w:keepNext w:val="0"/>
              <w:keepLines w:val="0"/>
              <w:pageBreakBefore w:val="0"/>
              <w:widowControl w:val="0"/>
              <w:kinsoku/>
              <w:wordWrap/>
              <w:overflowPunct/>
              <w:topLinePunct w:val="0"/>
              <w:autoSpaceDE/>
              <w:autoSpaceDN/>
              <w:bidi w:val="0"/>
              <w:adjustRightInd/>
              <w:spacing w:line="360" w:lineRule="exact"/>
              <w:textAlignment w:val="auto"/>
              <w:rPr>
                <w:rFonts w:hint="default" w:asciiTheme="minorEastAsia" w:hAnsiTheme="minorEastAsia" w:eastAsiaTheme="minorEastAsia"/>
                <w:color w:val="auto"/>
                <w:sz w:val="21"/>
                <w:szCs w:val="21"/>
                <w:lang w:val="en-US" w:eastAsia="zh-CN"/>
              </w:rPr>
            </w:pPr>
            <w:r>
              <w:rPr>
                <w:rFonts w:hint="eastAsia" w:asciiTheme="minorEastAsia" w:hAnsiTheme="minorEastAsia"/>
                <w:color w:val="auto"/>
                <w:sz w:val="21"/>
                <w:szCs w:val="21"/>
              </w:rPr>
              <w:t>投标报价得分=（评标基准价/投标报价）×</w:t>
            </w:r>
            <w:r>
              <w:rPr>
                <w:rFonts w:hint="eastAsia" w:asciiTheme="minorEastAsia" w:hAnsiTheme="minorEastAsia"/>
                <w:color w:val="auto"/>
                <w:sz w:val="21"/>
                <w:szCs w:val="21"/>
                <w:lang w:val="en-US" w:eastAsia="zh-CN"/>
              </w:rPr>
              <w:t>20</w:t>
            </w:r>
          </w:p>
        </w:tc>
        <w:tc>
          <w:tcPr>
            <w:tcW w:w="700"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heme="minorEastAsia" w:hAnsiTheme="minorEastAsia"/>
                <w:color w:val="auto"/>
                <w:sz w:val="21"/>
                <w:szCs w:val="21"/>
              </w:rPr>
            </w:pPr>
            <w:r>
              <w:rPr>
                <w:rFonts w:hint="eastAsia" w:asciiTheme="minorEastAsia" w:hAnsiTheme="minorEastAsia"/>
                <w:color w:val="auto"/>
                <w:sz w:val="21"/>
                <w:szCs w:val="21"/>
                <w:u w:val="single"/>
                <w:lang w:val="en-US" w:eastAsia="zh-CN"/>
              </w:rPr>
              <w:t>20</w:t>
            </w:r>
            <w:r>
              <w:rPr>
                <w:rFonts w:hint="eastAsia" w:asciiTheme="minorEastAsia" w:hAnsiTheme="minorEastAsia"/>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47" w:type="dxa"/>
            <w:gridSpan w:val="3"/>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heme="minorEastAsia" w:hAnsiTheme="minorEastAsia"/>
                <w:b/>
                <w:color w:val="auto"/>
                <w:sz w:val="21"/>
                <w:szCs w:val="21"/>
              </w:rPr>
            </w:pPr>
            <w:r>
              <w:rPr>
                <w:rFonts w:hint="eastAsia" w:asciiTheme="minorEastAsia" w:hAnsiTheme="minorEastAsia"/>
                <w:b/>
                <w:color w:val="auto"/>
                <w:sz w:val="21"/>
                <w:szCs w:val="21"/>
              </w:rPr>
              <w:t>商务部分（满分</w:t>
            </w:r>
            <w:r>
              <w:rPr>
                <w:rFonts w:hint="eastAsia" w:asciiTheme="minorEastAsia" w:hAnsiTheme="minorEastAsia"/>
                <w:b/>
                <w:color w:val="auto"/>
                <w:sz w:val="21"/>
                <w:szCs w:val="21"/>
                <w:u w:val="single"/>
                <w:lang w:val="en-US" w:eastAsia="zh-CN"/>
              </w:rPr>
              <w:t>2</w:t>
            </w:r>
            <w:r>
              <w:rPr>
                <w:rFonts w:hint="eastAsia" w:asciiTheme="minorEastAsia" w:hAnsiTheme="minorEastAsia"/>
                <w:b/>
                <w:color w:val="auto"/>
                <w:sz w:val="21"/>
                <w:szCs w:val="21"/>
                <w:u w:val="single"/>
              </w:rPr>
              <w:t>0</w:t>
            </w:r>
            <w:r>
              <w:rPr>
                <w:rFonts w:hint="eastAsia" w:asciiTheme="minorEastAsia" w:hAnsiTheme="minorEastAsia"/>
                <w:b/>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jc w:val="center"/>
        </w:trPr>
        <w:tc>
          <w:tcPr>
            <w:tcW w:w="1321"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heme="minorEastAsia" w:hAnsiTheme="minorEastAsia"/>
                <w:color w:val="auto"/>
                <w:sz w:val="21"/>
                <w:szCs w:val="21"/>
              </w:rPr>
            </w:pPr>
            <w:r>
              <w:rPr>
                <w:rFonts w:hint="eastAsia" w:asciiTheme="minorEastAsia" w:hAnsiTheme="minorEastAsia"/>
                <w:color w:val="auto"/>
                <w:sz w:val="21"/>
                <w:szCs w:val="21"/>
                <w:lang w:eastAsia="zh-CN"/>
              </w:rPr>
              <w:t>资质</w:t>
            </w:r>
            <w:r>
              <w:rPr>
                <w:rFonts w:hint="eastAsia" w:asciiTheme="minorEastAsia" w:hAnsiTheme="minorEastAsia"/>
                <w:color w:val="auto"/>
                <w:sz w:val="21"/>
                <w:szCs w:val="21"/>
              </w:rPr>
              <w:t>认证</w:t>
            </w:r>
          </w:p>
        </w:tc>
        <w:tc>
          <w:tcPr>
            <w:tcW w:w="7426"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Theme="minorEastAsia" w:hAnsiTheme="minorEastAsia"/>
                <w:color w:val="auto"/>
                <w:sz w:val="21"/>
                <w:szCs w:val="21"/>
              </w:rPr>
            </w:pPr>
            <w:r>
              <w:rPr>
                <w:rFonts w:hint="eastAsia" w:asciiTheme="minorEastAsia" w:hAnsiTheme="minorEastAsia"/>
                <w:color w:val="auto"/>
                <w:sz w:val="21"/>
                <w:szCs w:val="21"/>
              </w:rPr>
              <w:t>投标人应提供有效的质量管理体系认证ISO9001、信息安全体系认证ISO27001。符合要求每提供一项得1分，全部提供得2分。</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asciiTheme="minorEastAsia" w:hAnsiTheme="minorEastAsia"/>
                <w:color w:val="auto"/>
                <w:sz w:val="21"/>
                <w:szCs w:val="21"/>
              </w:rPr>
            </w:pPr>
            <w:r>
              <w:rPr>
                <w:rFonts w:hint="eastAsia" w:asciiTheme="minorEastAsia" w:hAnsiTheme="minorEastAsia"/>
                <w:color w:val="auto"/>
                <w:sz w:val="21"/>
                <w:szCs w:val="21"/>
              </w:rPr>
              <w:t>注：投标人须提供证书复印件，加盖投标人公章，不提供不得分。</w:t>
            </w:r>
          </w:p>
        </w:tc>
        <w:tc>
          <w:tcPr>
            <w:tcW w:w="700"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仿宋" w:hAnsi="仿宋" w:eastAsia="仿宋"/>
                <w:color w:val="auto"/>
                <w:sz w:val="21"/>
                <w:szCs w:val="21"/>
              </w:rPr>
            </w:pPr>
            <w:r>
              <w:rPr>
                <w:rFonts w:hint="eastAsia" w:ascii="宋体" w:hAnsi="宋体"/>
                <w:color w:val="auto"/>
                <w:sz w:val="21"/>
                <w:szCs w:val="21"/>
                <w:lang w:val="en-US" w:eastAsia="zh-CN"/>
              </w:rPr>
              <w:t>2</w:t>
            </w:r>
            <w:r>
              <w:rPr>
                <w:rFonts w:hint="eastAsia" w:ascii="宋体" w:hAnsi="宋体"/>
                <w:color w:val="auto"/>
                <w:sz w:val="21"/>
                <w:szCs w:val="21"/>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21" w:type="dxa"/>
            <w:vMerge w:val="restart"/>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eastAsia="宋体" w:asciiTheme="minorEastAsia" w:hAnsiTheme="minorEastAsia"/>
                <w:color w:val="auto"/>
                <w:sz w:val="21"/>
                <w:szCs w:val="21"/>
                <w:lang w:eastAsia="zh-CN"/>
              </w:rPr>
            </w:pPr>
            <w:r>
              <w:rPr>
                <w:rFonts w:hint="eastAsia" w:asciiTheme="minorEastAsia" w:hAnsiTheme="minorEastAsia"/>
                <w:color w:val="auto"/>
                <w:sz w:val="21"/>
                <w:szCs w:val="21"/>
              </w:rPr>
              <w:t>业绩</w:t>
            </w:r>
            <w:r>
              <w:rPr>
                <w:rFonts w:hint="eastAsia" w:asciiTheme="minorEastAsia" w:hAnsiTheme="minorEastAsia"/>
                <w:color w:val="auto"/>
                <w:sz w:val="21"/>
                <w:szCs w:val="21"/>
                <w:lang w:eastAsia="zh-CN"/>
              </w:rPr>
              <w:t>及业务能力</w:t>
            </w:r>
          </w:p>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heme="minorEastAsia" w:hAnsiTheme="minorEastAsia"/>
                <w:color w:val="0000FF"/>
                <w:sz w:val="21"/>
                <w:szCs w:val="21"/>
                <w:lang w:val="en-US" w:eastAsia="zh-CN"/>
              </w:rPr>
            </w:pPr>
            <w:r>
              <w:rPr>
                <w:rFonts w:hint="eastAsia" w:asciiTheme="minorEastAsia" w:hAnsiTheme="minorEastAsia"/>
                <w:color w:val="0000FF"/>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olor w:val="0000FF"/>
                <w:sz w:val="21"/>
                <w:szCs w:val="21"/>
                <w:lang w:eastAsia="zh-CN"/>
              </w:rPr>
            </w:pPr>
            <w:r>
              <w:rPr>
                <w:rFonts w:hint="eastAsia" w:asciiTheme="minorEastAsia" w:hAnsiTheme="minorEastAsia"/>
                <w:color w:val="0000FF"/>
                <w:sz w:val="21"/>
                <w:szCs w:val="21"/>
                <w:lang w:val="en-US" w:eastAsia="zh-CN"/>
              </w:rPr>
              <w:t xml:space="preserve"> </w:t>
            </w:r>
          </w:p>
        </w:tc>
        <w:tc>
          <w:tcPr>
            <w:tcW w:w="7426" w:type="dxa"/>
            <w:vAlign w:val="center"/>
          </w:tcPr>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Theme="minorEastAsia" w:hAnsiTheme="minorEastAsia"/>
                <w:color w:val="auto"/>
                <w:sz w:val="21"/>
                <w:szCs w:val="21"/>
                <w:lang w:val="en-GB"/>
              </w:rPr>
            </w:pPr>
            <w:r>
              <w:rPr>
                <w:rFonts w:hint="eastAsia" w:asciiTheme="minorEastAsia" w:hAnsiTheme="minorEastAsia"/>
                <w:color w:val="auto"/>
                <w:sz w:val="21"/>
                <w:szCs w:val="21"/>
                <w:lang w:val="en-GB"/>
              </w:rPr>
              <w:t>投标人应具有 “中央厨房”或融媒体中心等同类型的项目建设业绩（合同金额≥200万元），并提供相关合同复印件，每有1个得2分，最多得8分，没有不得分。</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Theme="minorEastAsia" w:hAnsiTheme="minorEastAsia"/>
                <w:color w:val="auto"/>
                <w:sz w:val="21"/>
                <w:szCs w:val="21"/>
                <w:lang w:val="en-GB"/>
              </w:rPr>
            </w:pPr>
            <w:r>
              <w:rPr>
                <w:rFonts w:hint="eastAsia" w:asciiTheme="minorEastAsia" w:hAnsiTheme="minorEastAsia"/>
                <w:color w:val="auto"/>
                <w:sz w:val="21"/>
                <w:szCs w:val="21"/>
                <w:lang w:val="en-GB"/>
              </w:rPr>
              <w:t>投标人须提供2018年1月1日以来的项目业绩合同复印件，并加盖投标人公章（合同</w:t>
            </w:r>
            <w:r>
              <w:rPr>
                <w:rFonts w:hint="eastAsia" w:asciiTheme="minorEastAsia" w:hAnsiTheme="minorEastAsia"/>
                <w:color w:val="auto"/>
                <w:sz w:val="21"/>
                <w:szCs w:val="21"/>
                <w:lang w:val="en-GB" w:eastAsia="zh-CN"/>
              </w:rPr>
              <w:t>内容完整</w:t>
            </w:r>
            <w:r>
              <w:rPr>
                <w:rFonts w:hint="eastAsia" w:asciiTheme="minorEastAsia" w:hAnsiTheme="minorEastAsia"/>
                <w:color w:val="auto"/>
                <w:sz w:val="21"/>
                <w:szCs w:val="21"/>
                <w:lang w:val="en-GB"/>
              </w:rPr>
              <w:t>，</w:t>
            </w:r>
            <w:r>
              <w:rPr>
                <w:rFonts w:hint="eastAsia" w:asciiTheme="minorEastAsia" w:hAnsiTheme="minorEastAsia"/>
                <w:color w:val="auto"/>
                <w:sz w:val="21"/>
                <w:szCs w:val="21"/>
                <w:lang w:val="en-GB" w:eastAsia="zh-CN"/>
              </w:rPr>
              <w:t>并包括</w:t>
            </w:r>
            <w:r>
              <w:rPr>
                <w:rFonts w:hint="eastAsia" w:asciiTheme="minorEastAsia" w:hAnsiTheme="minorEastAsia"/>
                <w:color w:val="auto"/>
                <w:sz w:val="21"/>
                <w:szCs w:val="21"/>
                <w:lang w:val="en-GB"/>
              </w:rPr>
              <w:t>上述案例要求内容），不提供不得分。</w:t>
            </w:r>
          </w:p>
        </w:tc>
        <w:tc>
          <w:tcPr>
            <w:tcW w:w="700"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heme="minorEastAsia" w:hAnsiTheme="minorEastAsia"/>
                <w:color w:val="auto"/>
                <w:sz w:val="21"/>
                <w:szCs w:val="21"/>
                <w:u w:val="single"/>
              </w:rPr>
            </w:pPr>
            <w:r>
              <w:rPr>
                <w:rFonts w:hint="eastAsia" w:asciiTheme="minorEastAsia" w:hAnsiTheme="minorEastAsia"/>
                <w:color w:val="auto"/>
                <w:sz w:val="21"/>
                <w:szCs w:val="21"/>
                <w:lang w:val="en-US" w:eastAsia="zh-CN"/>
              </w:rPr>
              <w:t>8</w:t>
            </w:r>
            <w:r>
              <w:rPr>
                <w:rFonts w:hint="eastAsia" w:asciiTheme="minorEastAsia" w:hAnsiTheme="minorEastAsia"/>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21" w:type="dxa"/>
            <w:vMerge w:val="continue"/>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olor w:val="0000FF"/>
                <w:sz w:val="21"/>
                <w:szCs w:val="21"/>
                <w:lang w:eastAsia="zh-CN"/>
              </w:rPr>
            </w:pPr>
          </w:p>
        </w:tc>
        <w:tc>
          <w:tcPr>
            <w:tcW w:w="7426" w:type="dxa"/>
            <w:vAlign w:val="center"/>
          </w:tcPr>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Theme="minorEastAsia" w:hAnsiTheme="minorEastAsia"/>
                <w:color w:val="auto"/>
                <w:sz w:val="21"/>
                <w:szCs w:val="21"/>
                <w:lang w:val="en-GB"/>
              </w:rPr>
            </w:pPr>
            <w:r>
              <w:rPr>
                <w:rFonts w:hint="eastAsia" w:asciiTheme="minorEastAsia" w:hAnsiTheme="minorEastAsia"/>
                <w:color w:val="auto"/>
                <w:sz w:val="21"/>
                <w:szCs w:val="21"/>
                <w:lang w:val="en-GB"/>
              </w:rPr>
              <w:t>投标人具有良好的内容渠道推广能力，与地市级及以上的党政媒体有渠道合作关系，投标人须提供证明资料，并加盖投标人公章。</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Theme="minorEastAsia" w:hAnsiTheme="minorEastAsia"/>
                <w:color w:val="auto"/>
                <w:sz w:val="21"/>
                <w:szCs w:val="21"/>
                <w:lang w:val="en-GB"/>
              </w:rPr>
            </w:pPr>
            <w:r>
              <w:rPr>
                <w:rFonts w:hint="eastAsia" w:asciiTheme="minorEastAsia" w:hAnsiTheme="minorEastAsia"/>
                <w:color w:val="auto"/>
                <w:sz w:val="21"/>
                <w:szCs w:val="21"/>
                <w:lang w:val="en-GB"/>
              </w:rPr>
              <w:t>-没有渠道合作关系的，得0分；</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Theme="minorEastAsia" w:hAnsiTheme="minorEastAsia"/>
                <w:color w:val="auto"/>
                <w:sz w:val="21"/>
                <w:szCs w:val="21"/>
                <w:lang w:val="en-GB"/>
              </w:rPr>
            </w:pPr>
            <w:r>
              <w:rPr>
                <w:rFonts w:hint="eastAsia" w:asciiTheme="minorEastAsia" w:hAnsiTheme="minorEastAsia"/>
                <w:color w:val="auto"/>
                <w:sz w:val="21"/>
                <w:szCs w:val="21"/>
                <w:lang w:val="en-GB"/>
              </w:rPr>
              <w:t>-有1~10家渠道合作媒体单位，且提供证明材料的，得2分</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Theme="minorEastAsia" w:hAnsiTheme="minorEastAsia"/>
                <w:color w:val="auto"/>
                <w:sz w:val="21"/>
                <w:szCs w:val="21"/>
                <w:lang w:val="en-GB"/>
              </w:rPr>
            </w:pPr>
            <w:r>
              <w:rPr>
                <w:rFonts w:hint="eastAsia" w:asciiTheme="minorEastAsia" w:hAnsiTheme="minorEastAsia"/>
                <w:color w:val="auto"/>
                <w:sz w:val="21"/>
                <w:szCs w:val="21"/>
                <w:lang w:val="en-GB"/>
              </w:rPr>
              <w:t>-有10~20家渠道合作媒体单位，且提供证明材料的，得4分；</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Theme="minorEastAsia" w:hAnsiTheme="minorEastAsia"/>
                <w:color w:val="auto"/>
                <w:sz w:val="21"/>
                <w:szCs w:val="21"/>
                <w:lang w:val="en-GB"/>
              </w:rPr>
            </w:pPr>
            <w:r>
              <w:rPr>
                <w:rFonts w:hint="eastAsia" w:asciiTheme="minorEastAsia" w:hAnsiTheme="minorEastAsia"/>
                <w:color w:val="auto"/>
                <w:sz w:val="21"/>
                <w:szCs w:val="21"/>
                <w:lang w:val="en-GB"/>
              </w:rPr>
              <w:t>-有25家（不含）以上渠道合作媒体单位，且提供证明材料的，得6分</w:t>
            </w:r>
          </w:p>
        </w:tc>
        <w:tc>
          <w:tcPr>
            <w:tcW w:w="700"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heme="minorEastAsia" w:hAnsiTheme="minorEastAsia"/>
                <w:color w:val="auto"/>
                <w:sz w:val="21"/>
                <w:szCs w:val="21"/>
                <w:u w:val="single"/>
              </w:rPr>
            </w:pPr>
            <w:r>
              <w:rPr>
                <w:rFonts w:hint="eastAsia" w:asciiTheme="minorEastAsia" w:hAnsiTheme="minorEastAsia"/>
                <w:color w:val="auto"/>
                <w:sz w:val="21"/>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21" w:type="dxa"/>
            <w:vMerge w:val="continue"/>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olor w:val="0000FF"/>
                <w:sz w:val="21"/>
                <w:szCs w:val="21"/>
                <w:lang w:eastAsia="zh-CN"/>
              </w:rPr>
            </w:pPr>
          </w:p>
        </w:tc>
        <w:tc>
          <w:tcPr>
            <w:tcW w:w="7426" w:type="dxa"/>
            <w:vAlign w:val="center"/>
          </w:tcPr>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ascii="宋体" w:hAnsi="宋体"/>
                <w:color w:val="auto"/>
                <w:sz w:val="21"/>
                <w:szCs w:val="21"/>
              </w:rPr>
            </w:pPr>
            <w:r>
              <w:rPr>
                <w:rFonts w:hint="eastAsia" w:ascii="宋体" w:hAnsi="宋体"/>
                <w:color w:val="auto"/>
                <w:sz w:val="21"/>
                <w:szCs w:val="21"/>
              </w:rPr>
              <w:t>投标人具有权威的面向媒体行业服务的稿件交换公共平台，并可依据自建的稿件池面向媒体行业提供内容；</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ascii="宋体" w:hAnsi="宋体"/>
                <w:color w:val="auto"/>
                <w:sz w:val="21"/>
                <w:szCs w:val="21"/>
              </w:rPr>
            </w:pPr>
            <w:r>
              <w:rPr>
                <w:rFonts w:hint="eastAsia" w:ascii="宋体" w:hAnsi="宋体"/>
                <w:color w:val="auto"/>
                <w:sz w:val="21"/>
                <w:szCs w:val="21"/>
              </w:rPr>
              <w:t>具备且提供有效的证明材料得</w:t>
            </w:r>
            <w:r>
              <w:rPr>
                <w:rFonts w:ascii="宋体" w:hAnsi="宋体"/>
                <w:color w:val="auto"/>
                <w:sz w:val="21"/>
                <w:szCs w:val="21"/>
              </w:rPr>
              <w:t>4</w:t>
            </w:r>
            <w:r>
              <w:rPr>
                <w:rFonts w:hint="eastAsia" w:ascii="宋体" w:hAnsi="宋体"/>
                <w:color w:val="auto"/>
                <w:sz w:val="21"/>
                <w:szCs w:val="21"/>
              </w:rPr>
              <w:t>分，没有或提供的证明材料不足，本项不得分。</w:t>
            </w:r>
          </w:p>
          <w:p>
            <w:pPr>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olor w:val="auto"/>
                <w:sz w:val="21"/>
                <w:szCs w:val="21"/>
              </w:rPr>
            </w:pPr>
            <w:r>
              <w:rPr>
                <w:rFonts w:hint="eastAsia" w:ascii="宋体" w:hAnsi="宋体"/>
                <w:color w:val="auto"/>
                <w:sz w:val="21"/>
                <w:szCs w:val="21"/>
              </w:rPr>
              <w:t>注：须证明平台的运营权归投标人所有，同时提供网站链接地址、界面截图及ICP备案信息证明截图，加盖投标人公章。</w:t>
            </w:r>
          </w:p>
        </w:tc>
        <w:tc>
          <w:tcPr>
            <w:tcW w:w="700"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heme="minorEastAsia" w:hAnsiTheme="minorEastAsia"/>
                <w:color w:val="auto"/>
                <w:sz w:val="21"/>
                <w:szCs w:val="21"/>
              </w:rPr>
            </w:pPr>
            <w:r>
              <w:rPr>
                <w:rFonts w:hint="eastAsia" w:asciiTheme="minorEastAsia" w:hAnsiTheme="minorEastAsia"/>
                <w:color w:val="auto"/>
                <w:sz w:val="21"/>
                <w:szCs w:val="21"/>
                <w:lang w:val="en-US" w:eastAsia="zh-CN"/>
              </w:rPr>
              <w:t>4</w:t>
            </w:r>
            <w:r>
              <w:rPr>
                <w:rFonts w:hint="eastAsia" w:asciiTheme="minorEastAsia" w:hAnsiTheme="minorEastAsia"/>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 w:hRule="atLeast"/>
          <w:jc w:val="center"/>
        </w:trPr>
        <w:tc>
          <w:tcPr>
            <w:tcW w:w="9447" w:type="dxa"/>
            <w:gridSpan w:val="3"/>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heme="minorEastAsia" w:hAnsiTheme="minorEastAsia"/>
                <w:b/>
                <w:color w:val="auto"/>
                <w:sz w:val="21"/>
                <w:szCs w:val="21"/>
              </w:rPr>
            </w:pPr>
            <w:r>
              <w:rPr>
                <w:rFonts w:hint="eastAsia" w:asciiTheme="minorEastAsia" w:hAnsiTheme="minorEastAsia"/>
                <w:b/>
                <w:color w:val="auto"/>
                <w:sz w:val="21"/>
                <w:szCs w:val="21"/>
              </w:rPr>
              <w:t>技术部分（满分</w:t>
            </w:r>
            <w:r>
              <w:rPr>
                <w:rFonts w:hint="eastAsia" w:asciiTheme="minorEastAsia" w:hAnsiTheme="minorEastAsia"/>
                <w:b/>
                <w:color w:val="auto"/>
                <w:sz w:val="21"/>
                <w:szCs w:val="21"/>
                <w:u w:val="single"/>
                <w:lang w:val="en-US" w:eastAsia="zh-CN"/>
              </w:rPr>
              <w:t>60</w:t>
            </w:r>
            <w:r>
              <w:rPr>
                <w:rFonts w:hint="eastAsia" w:asciiTheme="minorEastAsia" w:hAnsiTheme="minorEastAsia"/>
                <w:b/>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1321"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仿宋" w:hAnsi="仿宋" w:eastAsia="仿宋"/>
                <w:color w:val="auto"/>
                <w:sz w:val="21"/>
                <w:szCs w:val="21"/>
              </w:rPr>
            </w:pPr>
            <w:r>
              <w:rPr>
                <w:rFonts w:hint="eastAsia" w:asciiTheme="minorEastAsia" w:hAnsiTheme="minorEastAsia"/>
                <w:color w:val="auto"/>
                <w:sz w:val="21"/>
                <w:szCs w:val="21"/>
              </w:rPr>
              <w:t>总体设计</w:t>
            </w:r>
          </w:p>
        </w:tc>
        <w:tc>
          <w:tcPr>
            <w:tcW w:w="7426" w:type="dxa"/>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color w:val="auto"/>
                <w:sz w:val="21"/>
                <w:szCs w:val="21"/>
              </w:rPr>
            </w:pPr>
            <w:r>
              <w:rPr>
                <w:rFonts w:hint="eastAsia" w:ascii="宋体" w:hAnsi="宋体"/>
                <w:color w:val="auto"/>
                <w:sz w:val="21"/>
                <w:szCs w:val="21"/>
                <w:lang w:val="en-US" w:eastAsia="zh-CN"/>
              </w:rPr>
              <w:t>1.</w:t>
            </w:r>
            <w:r>
              <w:rPr>
                <w:rFonts w:hint="eastAsia" w:ascii="宋体" w:hAnsi="宋体"/>
                <w:color w:val="auto"/>
                <w:sz w:val="21"/>
                <w:szCs w:val="21"/>
              </w:rPr>
              <w:t>总体业务流程设计（5分）</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宋体" w:hAnsi="宋体"/>
                <w:color w:val="auto"/>
                <w:sz w:val="21"/>
                <w:szCs w:val="21"/>
              </w:rPr>
            </w:pPr>
            <w:r>
              <w:rPr>
                <w:rFonts w:hint="eastAsia" w:ascii="宋体" w:hAnsi="宋体"/>
                <w:color w:val="auto"/>
                <w:sz w:val="21"/>
                <w:szCs w:val="21"/>
              </w:rPr>
              <w:t>要求基于许昌日报业务现状，根据整体业务路径，梳理“策、采、编、发、评”各个环节的关系，进行整体业务流程的设计，设计需完全覆盖项目的要求，逻辑清晰、透彻。</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宋体" w:hAnsi="宋体"/>
                <w:color w:val="auto"/>
                <w:sz w:val="21"/>
                <w:szCs w:val="21"/>
              </w:rPr>
            </w:pPr>
            <w:r>
              <w:rPr>
                <w:rFonts w:hint="eastAsia" w:ascii="宋体" w:hAnsi="宋体"/>
                <w:color w:val="auto"/>
                <w:sz w:val="21"/>
                <w:szCs w:val="21"/>
              </w:rPr>
              <w:t>各投标人横向对比，业务流程设计完整、方案优秀的得5分，总体设计一般得3分，总体设计较差得1分，不提供不得分。</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color w:val="auto"/>
                <w:sz w:val="21"/>
                <w:szCs w:val="21"/>
              </w:rPr>
            </w:pPr>
            <w:r>
              <w:rPr>
                <w:rFonts w:hint="eastAsia" w:ascii="宋体" w:hAnsi="宋体"/>
                <w:color w:val="auto"/>
                <w:sz w:val="21"/>
                <w:szCs w:val="21"/>
                <w:lang w:val="en-US" w:eastAsia="zh-CN"/>
              </w:rPr>
              <w:t>2.</w:t>
            </w:r>
            <w:r>
              <w:rPr>
                <w:rFonts w:hint="eastAsia" w:ascii="宋体" w:hAnsi="宋体"/>
                <w:color w:val="auto"/>
                <w:sz w:val="21"/>
                <w:szCs w:val="21"/>
              </w:rPr>
              <w:t>总体架构设计（5分）</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宋体" w:hAnsi="宋体"/>
                <w:color w:val="auto"/>
                <w:sz w:val="21"/>
                <w:szCs w:val="21"/>
              </w:rPr>
            </w:pPr>
            <w:r>
              <w:rPr>
                <w:rFonts w:hint="eastAsia" w:ascii="宋体" w:hAnsi="宋体"/>
                <w:color w:val="auto"/>
                <w:sz w:val="21"/>
                <w:szCs w:val="21"/>
              </w:rPr>
              <w:t>要求投标人提供融媒体采编业务平台整体架构设计，技术路线要求先进、标准化，方案设计要求全面、可行、针对性强。</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宋体" w:hAnsi="宋体"/>
                <w:color w:val="auto"/>
                <w:sz w:val="21"/>
                <w:szCs w:val="21"/>
              </w:rPr>
            </w:pPr>
            <w:r>
              <w:rPr>
                <w:rFonts w:hint="eastAsia" w:ascii="宋体" w:hAnsi="宋体"/>
                <w:color w:val="auto"/>
                <w:sz w:val="21"/>
                <w:szCs w:val="21"/>
              </w:rPr>
              <w:t>各投标人横向对比，总体架构设计合理方案优秀的得5分；技术架构设计一般得3分；设计较差得1分；不提供不得分。</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color w:val="auto"/>
                <w:sz w:val="21"/>
                <w:szCs w:val="21"/>
              </w:rPr>
            </w:pPr>
            <w:r>
              <w:rPr>
                <w:rFonts w:hint="eastAsia" w:ascii="宋体" w:hAnsi="宋体"/>
                <w:color w:val="auto"/>
                <w:sz w:val="21"/>
                <w:szCs w:val="21"/>
                <w:lang w:val="en-US" w:eastAsia="zh-CN"/>
              </w:rPr>
              <w:t>3.</w:t>
            </w:r>
            <w:r>
              <w:rPr>
                <w:rFonts w:hint="eastAsia" w:ascii="宋体" w:hAnsi="宋体"/>
                <w:color w:val="auto"/>
                <w:sz w:val="21"/>
                <w:szCs w:val="21"/>
              </w:rPr>
              <w:t>渠道整合体系设计（5分）</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宋体" w:hAnsi="宋体"/>
                <w:color w:val="auto"/>
                <w:sz w:val="21"/>
                <w:szCs w:val="21"/>
              </w:rPr>
            </w:pPr>
            <w:r>
              <w:rPr>
                <w:rFonts w:hint="eastAsia" w:ascii="宋体" w:hAnsi="宋体"/>
                <w:color w:val="auto"/>
                <w:sz w:val="21"/>
                <w:szCs w:val="21"/>
              </w:rPr>
              <w:t>要求投标人在方案中提供渠道整合体系设计，可实现与全国主流党媒渠道的对接，形成内容、渠道等方面紧密协作的共享生态体系。投标人须结合媒体合作渠道，提供许昌日报与全国主流党媒联动的建设共享生态体系的总体设计思路。</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宋体" w:hAnsi="宋体"/>
                <w:color w:val="auto"/>
                <w:sz w:val="21"/>
                <w:szCs w:val="21"/>
              </w:rPr>
            </w:pPr>
            <w:r>
              <w:rPr>
                <w:rFonts w:hint="eastAsia" w:ascii="宋体" w:hAnsi="宋体"/>
                <w:color w:val="auto"/>
                <w:sz w:val="21"/>
                <w:szCs w:val="21"/>
              </w:rPr>
              <w:t>各投标人横向对比，共享体系接入总体思路完善可行得5分，渠道整合设计方案一般得3分，设计较差得1分，不提供不得分。</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color w:val="auto"/>
                <w:sz w:val="21"/>
                <w:szCs w:val="21"/>
              </w:rPr>
            </w:pPr>
            <w:r>
              <w:rPr>
                <w:rFonts w:hint="eastAsia" w:ascii="宋体" w:hAnsi="宋体"/>
                <w:color w:val="auto"/>
                <w:sz w:val="21"/>
                <w:szCs w:val="21"/>
                <w:lang w:val="en-US" w:eastAsia="zh-CN"/>
              </w:rPr>
              <w:t>4.</w:t>
            </w:r>
            <w:r>
              <w:rPr>
                <w:rFonts w:hint="eastAsia" w:ascii="宋体" w:hAnsi="宋体"/>
                <w:color w:val="auto"/>
                <w:sz w:val="21"/>
                <w:szCs w:val="21"/>
              </w:rPr>
              <w:t>部署方案设计（5分）</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宋体" w:hAnsi="宋体"/>
                <w:color w:val="auto"/>
                <w:sz w:val="21"/>
                <w:szCs w:val="21"/>
              </w:rPr>
            </w:pPr>
            <w:r>
              <w:rPr>
                <w:rFonts w:hint="eastAsia" w:ascii="宋体" w:hAnsi="宋体"/>
                <w:color w:val="auto"/>
                <w:sz w:val="21"/>
                <w:szCs w:val="21"/>
              </w:rPr>
              <w:t>要求投标人按照私有化架构进行技术平台部署方案的设计，部署方案要全面、可行、合理，具备可落地性。</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ascii="宋体" w:hAnsi="宋体"/>
                <w:color w:val="auto"/>
                <w:sz w:val="21"/>
                <w:szCs w:val="21"/>
              </w:rPr>
            </w:pPr>
            <w:r>
              <w:rPr>
                <w:rFonts w:hint="eastAsia" w:ascii="宋体" w:hAnsi="宋体"/>
                <w:color w:val="auto"/>
                <w:sz w:val="21"/>
                <w:szCs w:val="21"/>
              </w:rPr>
              <w:t>各投标人横向对比，项目部署方案优秀的得5分；部署方案一般的得3分；方案较差得1分，不提供不得分。</w:t>
            </w:r>
          </w:p>
        </w:tc>
        <w:tc>
          <w:tcPr>
            <w:tcW w:w="700"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heme="minorEastAsia" w:hAnsiTheme="minorEastAsia"/>
                <w:color w:val="auto"/>
                <w:sz w:val="21"/>
                <w:szCs w:val="21"/>
              </w:rPr>
            </w:pPr>
            <w:r>
              <w:rPr>
                <w:rFonts w:hint="eastAsia" w:asciiTheme="minorEastAsia" w:hAnsiTheme="minorEastAsia"/>
                <w:color w:val="auto"/>
                <w:sz w:val="21"/>
                <w:szCs w:val="21"/>
                <w:u w:val="none"/>
              </w:rPr>
              <w:t>2</w:t>
            </w:r>
            <w:r>
              <w:rPr>
                <w:rFonts w:hint="eastAsia" w:asciiTheme="minorEastAsia" w:hAnsiTheme="minorEastAsia"/>
                <w:color w:val="auto"/>
                <w:sz w:val="21"/>
                <w:szCs w:val="21"/>
                <w:u w:val="none"/>
                <w:lang w:val="en-US" w:eastAsia="zh-CN"/>
              </w:rPr>
              <w:t>0</w:t>
            </w:r>
            <w:r>
              <w:rPr>
                <w:rFonts w:hint="eastAsia" w:asciiTheme="minorEastAsia" w:hAnsiTheme="minorEastAsia"/>
                <w:color w:val="auto"/>
                <w:sz w:val="21"/>
                <w:szCs w:val="21"/>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1321"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heme="minorEastAsia" w:hAnsiTheme="minorEastAsia"/>
                <w:color w:val="auto"/>
                <w:sz w:val="21"/>
                <w:szCs w:val="21"/>
              </w:rPr>
            </w:pPr>
            <w:r>
              <w:rPr>
                <w:rFonts w:hint="eastAsia" w:asciiTheme="minorEastAsia" w:hAnsiTheme="minorEastAsia"/>
                <w:color w:val="auto"/>
                <w:sz w:val="21"/>
                <w:szCs w:val="21"/>
              </w:rPr>
              <w:t>详细技术设计方案</w:t>
            </w:r>
          </w:p>
        </w:tc>
        <w:tc>
          <w:tcPr>
            <w:tcW w:w="7426" w:type="dxa"/>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color w:val="auto"/>
                <w:sz w:val="21"/>
                <w:szCs w:val="21"/>
              </w:rPr>
            </w:pPr>
            <w:r>
              <w:rPr>
                <w:rFonts w:hint="eastAsia" w:ascii="宋体" w:hAnsi="宋体"/>
                <w:color w:val="auto"/>
                <w:sz w:val="21"/>
                <w:szCs w:val="21"/>
                <w:lang w:val="en-US" w:eastAsia="zh-CN"/>
              </w:rPr>
              <w:t>1.</w:t>
            </w:r>
            <w:r>
              <w:rPr>
                <w:rFonts w:hint="eastAsia" w:ascii="宋体" w:hAnsi="宋体"/>
                <w:color w:val="auto"/>
                <w:sz w:val="21"/>
                <w:szCs w:val="21"/>
              </w:rPr>
              <w:t>融媒采编平台（5分）</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宋体" w:hAnsi="宋体"/>
                <w:color w:val="auto"/>
                <w:sz w:val="21"/>
                <w:szCs w:val="21"/>
              </w:rPr>
            </w:pPr>
            <w:r>
              <w:rPr>
                <w:rFonts w:hint="eastAsia" w:ascii="宋体" w:hAnsi="宋体"/>
                <w:color w:val="auto"/>
                <w:sz w:val="21"/>
                <w:szCs w:val="21"/>
              </w:rPr>
              <w:t>投标人需要对融媒采编平台进行详细的方案设计，按照招标文件要求，需完全包括工作台、选题策划、指挥调度、协同采编、媒资管理、渠道分发、评价管理各系统模块设计。</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宋体" w:hAnsi="宋体"/>
                <w:color w:val="auto"/>
                <w:sz w:val="21"/>
                <w:szCs w:val="21"/>
              </w:rPr>
            </w:pPr>
            <w:r>
              <w:rPr>
                <w:rFonts w:hint="eastAsia" w:ascii="宋体" w:hAnsi="宋体"/>
                <w:color w:val="auto"/>
                <w:sz w:val="21"/>
                <w:szCs w:val="21"/>
              </w:rPr>
              <w:t>各投标人横向对比，融媒采编平台功能描述清晰完整，完全响应项目需求的得5分；融媒采编平台功能设计一般得3分；融媒采编平台方案较差得2分；不提供不得分。</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color w:val="auto"/>
                <w:sz w:val="21"/>
                <w:szCs w:val="21"/>
              </w:rPr>
            </w:pPr>
            <w:r>
              <w:rPr>
                <w:rFonts w:hint="eastAsia" w:ascii="宋体" w:hAnsi="宋体"/>
                <w:color w:val="auto"/>
                <w:sz w:val="21"/>
                <w:szCs w:val="21"/>
                <w:lang w:val="en-US" w:eastAsia="zh-CN"/>
              </w:rPr>
              <w:t>2.</w:t>
            </w:r>
            <w:r>
              <w:rPr>
                <w:rFonts w:hint="eastAsia" w:ascii="宋体" w:hAnsi="宋体"/>
                <w:color w:val="auto"/>
                <w:sz w:val="21"/>
                <w:szCs w:val="21"/>
              </w:rPr>
              <w:t>移动融媒系统（5分）</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宋体" w:hAnsi="宋体"/>
                <w:color w:val="auto"/>
                <w:sz w:val="21"/>
                <w:szCs w:val="21"/>
              </w:rPr>
            </w:pPr>
            <w:r>
              <w:rPr>
                <w:rFonts w:hint="eastAsia" w:ascii="宋体" w:hAnsi="宋体"/>
                <w:color w:val="auto"/>
                <w:sz w:val="21"/>
                <w:szCs w:val="21"/>
              </w:rPr>
              <w:t>投标人需要对移动融媒系统进行详细的方案设计，按照招标文件要求，需完全包含稿件中心、选题中心、协同任务、移动采编、稿件流转、指挥连线、地理信息开关、消息推送子系统模块设计。</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宋体" w:hAnsi="宋体"/>
                <w:color w:val="auto"/>
                <w:sz w:val="21"/>
                <w:szCs w:val="21"/>
              </w:rPr>
            </w:pPr>
            <w:r>
              <w:rPr>
                <w:rFonts w:hint="eastAsia" w:ascii="宋体" w:hAnsi="宋体"/>
                <w:color w:val="auto"/>
                <w:sz w:val="21"/>
                <w:szCs w:val="21"/>
              </w:rPr>
              <w:t>各投标人横向对比，移动融媒系统功能描述清晰完整，完全响应项目需求的得5分；移动融媒系统功能设计一般的得3分；移动融媒系统功能较差的得2分；不提供不得分。</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color w:val="auto"/>
                <w:sz w:val="21"/>
                <w:szCs w:val="21"/>
              </w:rPr>
            </w:pPr>
            <w:r>
              <w:rPr>
                <w:rFonts w:hint="eastAsia" w:ascii="宋体" w:hAnsi="宋体"/>
                <w:color w:val="auto"/>
                <w:sz w:val="21"/>
                <w:szCs w:val="21"/>
                <w:lang w:val="en-US" w:eastAsia="zh-CN"/>
              </w:rPr>
              <w:t>3.</w:t>
            </w:r>
            <w:r>
              <w:rPr>
                <w:rFonts w:hint="eastAsia" w:ascii="宋体" w:hAnsi="宋体"/>
                <w:color w:val="auto"/>
                <w:sz w:val="21"/>
                <w:szCs w:val="21"/>
              </w:rPr>
              <w:t>运营分析与推荐系统</w:t>
            </w:r>
            <w:r>
              <w:rPr>
                <w:rFonts w:hint="eastAsia" w:ascii="宋体" w:hAnsi="宋体"/>
                <w:color w:val="auto"/>
                <w:sz w:val="21"/>
                <w:szCs w:val="21"/>
                <w:lang w:val="en-US" w:eastAsia="zh-CN"/>
              </w:rPr>
              <w:t>（4</w:t>
            </w:r>
            <w:r>
              <w:rPr>
                <w:rFonts w:hint="eastAsia" w:ascii="宋体" w:hAnsi="宋体"/>
                <w:color w:val="auto"/>
                <w:sz w:val="21"/>
                <w:szCs w:val="21"/>
              </w:rPr>
              <w:t>分</w:t>
            </w:r>
            <w:r>
              <w:rPr>
                <w:rFonts w:hint="eastAsia" w:ascii="宋体" w:hAnsi="宋体"/>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宋体" w:hAnsi="宋体"/>
                <w:color w:val="auto"/>
                <w:sz w:val="21"/>
                <w:szCs w:val="21"/>
              </w:rPr>
            </w:pPr>
            <w:r>
              <w:rPr>
                <w:rFonts w:hint="eastAsia" w:ascii="宋体" w:hAnsi="宋体"/>
                <w:color w:val="auto"/>
                <w:sz w:val="21"/>
                <w:szCs w:val="21"/>
              </w:rPr>
              <w:t>投标人需要对运营分析与推荐系统进行详细的方案设计，按照招标文件要求，需完全包含运营分析、用户画像、个性推荐、系统管理等子系统模块设计。</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宋体" w:hAnsi="宋体"/>
                <w:color w:val="auto"/>
                <w:sz w:val="21"/>
                <w:szCs w:val="21"/>
              </w:rPr>
            </w:pPr>
            <w:r>
              <w:rPr>
                <w:rFonts w:hint="eastAsia" w:ascii="宋体" w:hAnsi="宋体"/>
                <w:color w:val="auto"/>
                <w:sz w:val="21"/>
                <w:szCs w:val="21"/>
              </w:rPr>
              <w:t>各投标人横向对比，运营分析与推荐系统功能描述清晰完整，完全响应项目需求的得4分；用设计一般得2分；设计方案较差得1分；不提供不得分。</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color w:val="auto"/>
                <w:sz w:val="21"/>
                <w:szCs w:val="21"/>
              </w:rPr>
            </w:pPr>
            <w:r>
              <w:rPr>
                <w:rFonts w:hint="eastAsia" w:ascii="宋体" w:hAnsi="宋体"/>
                <w:color w:val="auto"/>
                <w:sz w:val="21"/>
                <w:szCs w:val="21"/>
                <w:lang w:val="en-US" w:eastAsia="zh-CN"/>
              </w:rPr>
              <w:t>4.</w:t>
            </w:r>
            <w:r>
              <w:rPr>
                <w:rFonts w:hint="eastAsia" w:ascii="宋体" w:hAnsi="宋体"/>
                <w:color w:val="auto"/>
                <w:sz w:val="21"/>
                <w:szCs w:val="21"/>
              </w:rPr>
              <w:t>系统集成对接设计（4分）</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宋体" w:hAnsi="宋体"/>
                <w:color w:val="auto"/>
                <w:sz w:val="21"/>
                <w:szCs w:val="21"/>
              </w:rPr>
            </w:pPr>
            <w:r>
              <w:rPr>
                <w:rFonts w:hint="eastAsia" w:ascii="宋体" w:hAnsi="宋体"/>
                <w:color w:val="auto"/>
                <w:sz w:val="21"/>
                <w:szCs w:val="21"/>
              </w:rPr>
              <w:t>要求投标人对各应用系统进行系统集成对接设计，梳理系统集成关系，提供交互信息表，涵盖各原系统、调用系统、交互内容、功能描述。</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宋体" w:hAnsi="宋体"/>
                <w:color w:val="auto"/>
                <w:sz w:val="21"/>
                <w:szCs w:val="21"/>
              </w:rPr>
            </w:pPr>
            <w:r>
              <w:rPr>
                <w:rFonts w:hint="eastAsia" w:ascii="宋体" w:hAnsi="宋体"/>
                <w:color w:val="auto"/>
                <w:sz w:val="21"/>
                <w:szCs w:val="21"/>
              </w:rPr>
              <w:t>各投标人横向对比，系统对接方案设计优秀的得4分；系统集成设计一般的得2分；系统集成设计较差的得1分；不提供不得分。</w:t>
            </w:r>
          </w:p>
        </w:tc>
        <w:tc>
          <w:tcPr>
            <w:tcW w:w="700"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Theme="minorEastAsia" w:hAnsiTheme="minorEastAsia" w:eastAsiaTheme="minorEastAsia"/>
                <w:color w:val="auto"/>
                <w:sz w:val="21"/>
                <w:szCs w:val="21"/>
                <w:u w:val="single"/>
                <w:lang w:val="en-US" w:eastAsia="zh-CN"/>
              </w:rPr>
            </w:pPr>
            <w:r>
              <w:rPr>
                <w:rFonts w:hint="eastAsia" w:asciiTheme="minorEastAsia" w:hAnsiTheme="minorEastAsia"/>
                <w:color w:val="auto"/>
                <w:sz w:val="21"/>
                <w:szCs w:val="21"/>
                <w:u w:val="none"/>
                <w:lang w:val="en-US" w:eastAsia="zh-CN"/>
              </w:rPr>
              <w:t>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1321"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heme="minorEastAsia" w:hAnsiTheme="minorEastAsia"/>
                <w:color w:val="auto"/>
                <w:sz w:val="21"/>
                <w:szCs w:val="21"/>
              </w:rPr>
            </w:pPr>
            <w:r>
              <w:rPr>
                <w:rFonts w:hint="eastAsia" w:asciiTheme="minorEastAsia" w:hAnsiTheme="minorEastAsia"/>
                <w:color w:val="auto"/>
                <w:sz w:val="21"/>
                <w:szCs w:val="21"/>
              </w:rPr>
              <w:t>产品研发实力</w:t>
            </w:r>
          </w:p>
        </w:tc>
        <w:tc>
          <w:tcPr>
            <w:tcW w:w="7426" w:type="dxa"/>
            <w:vAlign w:val="center"/>
          </w:tcPr>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宋体" w:hAnsi="宋体"/>
                <w:color w:val="auto"/>
                <w:sz w:val="21"/>
                <w:szCs w:val="21"/>
              </w:rPr>
            </w:pPr>
            <w:r>
              <w:rPr>
                <w:rFonts w:hint="eastAsia" w:ascii="宋体" w:hAnsi="宋体"/>
                <w:color w:val="auto"/>
                <w:sz w:val="21"/>
                <w:szCs w:val="21"/>
              </w:rPr>
              <w:t>投标人具有新媒体内容发布系统、社交媒体渠道分发服务系统、互联网用户平台、大数据基础管理平台、运营分析与推荐平台、传播效果评估系统等与融媒体平台相关的软件著作权证书，每提供1个得1分，最高6分（须提供证书复印件）。</w:t>
            </w:r>
          </w:p>
        </w:tc>
        <w:tc>
          <w:tcPr>
            <w:tcW w:w="700"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Theme="minorEastAsia" w:hAnsiTheme="minorEastAsia"/>
                <w:color w:val="auto"/>
                <w:sz w:val="21"/>
                <w:szCs w:val="21"/>
                <w:u w:val="none"/>
                <w:lang w:val="en-US" w:eastAsia="zh-CN"/>
              </w:rPr>
            </w:pPr>
            <w:r>
              <w:rPr>
                <w:rFonts w:hint="eastAsia" w:asciiTheme="minorEastAsia" w:hAnsiTheme="minorEastAsia"/>
                <w:color w:val="auto"/>
                <w:sz w:val="21"/>
                <w:szCs w:val="21"/>
                <w:u w:val="none"/>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1321"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heme="minorEastAsia" w:hAnsiTheme="minorEastAsia"/>
                <w:color w:val="auto"/>
                <w:sz w:val="21"/>
                <w:szCs w:val="21"/>
              </w:rPr>
            </w:pPr>
            <w:r>
              <w:rPr>
                <w:rFonts w:hint="eastAsia" w:asciiTheme="minorEastAsia" w:hAnsiTheme="minorEastAsia"/>
                <w:color w:val="auto"/>
                <w:sz w:val="21"/>
                <w:szCs w:val="21"/>
              </w:rPr>
              <w:t>项目实施及售后服务</w:t>
            </w:r>
          </w:p>
        </w:tc>
        <w:tc>
          <w:tcPr>
            <w:tcW w:w="7426" w:type="dxa"/>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color w:val="auto"/>
                <w:sz w:val="21"/>
                <w:szCs w:val="21"/>
              </w:rPr>
            </w:pPr>
            <w:r>
              <w:rPr>
                <w:rFonts w:hint="eastAsia" w:ascii="宋体" w:hAnsi="宋体"/>
                <w:color w:val="auto"/>
                <w:sz w:val="21"/>
                <w:szCs w:val="21"/>
                <w:lang w:val="en-US" w:eastAsia="zh-CN"/>
              </w:rPr>
              <w:t>1.</w:t>
            </w:r>
            <w:r>
              <w:rPr>
                <w:rFonts w:hint="eastAsia" w:ascii="宋体" w:hAnsi="宋体"/>
                <w:color w:val="auto"/>
                <w:sz w:val="21"/>
                <w:szCs w:val="21"/>
              </w:rPr>
              <w:t>项目实施方案（4分）</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宋体" w:hAnsi="宋体"/>
                <w:color w:val="auto"/>
                <w:sz w:val="21"/>
                <w:szCs w:val="21"/>
              </w:rPr>
            </w:pPr>
            <w:r>
              <w:rPr>
                <w:rFonts w:hint="eastAsia" w:ascii="宋体" w:hAnsi="宋体"/>
                <w:color w:val="auto"/>
                <w:sz w:val="21"/>
                <w:szCs w:val="21"/>
              </w:rPr>
              <w:t>根据投标人提供的项目实施方案进行评价。各投标人横向对比，项目实施方案全面、可行，进度计划合理的得4分；项目实施方案一般得2分；项目实施方案较差的得1分，不提供不得分。</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color w:val="auto"/>
                <w:sz w:val="21"/>
                <w:szCs w:val="21"/>
              </w:rPr>
            </w:pPr>
            <w:r>
              <w:rPr>
                <w:rFonts w:hint="eastAsia" w:ascii="宋体" w:hAnsi="宋体"/>
                <w:color w:val="auto"/>
                <w:sz w:val="21"/>
                <w:szCs w:val="21"/>
                <w:lang w:val="en-US" w:eastAsia="zh-CN"/>
              </w:rPr>
              <w:t>2.</w:t>
            </w:r>
            <w:r>
              <w:rPr>
                <w:rFonts w:hint="eastAsia" w:ascii="宋体" w:hAnsi="宋体"/>
                <w:color w:val="auto"/>
                <w:sz w:val="21"/>
                <w:szCs w:val="21"/>
              </w:rPr>
              <w:t>人员配备（2分）</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宋体" w:hAnsi="宋体"/>
                <w:color w:val="auto"/>
                <w:sz w:val="21"/>
                <w:szCs w:val="21"/>
              </w:rPr>
            </w:pPr>
            <w:r>
              <w:rPr>
                <w:rFonts w:hint="eastAsia" w:ascii="宋体" w:hAnsi="宋体"/>
                <w:color w:val="auto"/>
                <w:sz w:val="21"/>
                <w:szCs w:val="21"/>
              </w:rPr>
              <w:t>根据项目工作组的组成及人员职责分配及人员配备情况进行评定，同时要求投标人所提供的项目团队有专业的新闻素养与采编人员，能为融媒体整体业务流程提供专业业务流程支持，提供国家新闻出版广电总局颁发的新闻资质类证书的，得2分，不提供不得分。</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宋体" w:hAnsi="宋体"/>
                <w:color w:val="auto"/>
                <w:sz w:val="21"/>
                <w:szCs w:val="21"/>
              </w:rPr>
            </w:pPr>
            <w:r>
              <w:rPr>
                <w:rFonts w:hint="eastAsia" w:ascii="宋体" w:hAnsi="宋体"/>
                <w:color w:val="auto"/>
                <w:sz w:val="21"/>
                <w:szCs w:val="21"/>
              </w:rPr>
              <w:t>注：须提供证书复印件加盖投标人公章，并提供开标日前六个月加盖社保部门公章的投标人为其缴纳社会保险的证明材料，不提供不得分。</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color w:val="auto"/>
                <w:sz w:val="21"/>
                <w:szCs w:val="21"/>
              </w:rPr>
            </w:pPr>
            <w:r>
              <w:rPr>
                <w:rFonts w:hint="eastAsia" w:ascii="宋体" w:hAnsi="宋体"/>
                <w:color w:val="auto"/>
                <w:sz w:val="21"/>
                <w:szCs w:val="21"/>
                <w:lang w:val="en-US" w:eastAsia="zh-CN"/>
              </w:rPr>
              <w:t>3.</w:t>
            </w:r>
            <w:r>
              <w:rPr>
                <w:rFonts w:hint="eastAsia" w:ascii="宋体" w:hAnsi="宋体"/>
                <w:color w:val="auto"/>
                <w:sz w:val="21"/>
                <w:szCs w:val="21"/>
              </w:rPr>
              <w:t>项目经理（2分）</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宋体" w:hAnsi="宋体"/>
                <w:color w:val="auto"/>
                <w:sz w:val="21"/>
                <w:szCs w:val="21"/>
              </w:rPr>
            </w:pPr>
            <w:r>
              <w:rPr>
                <w:rFonts w:hint="eastAsia" w:ascii="宋体" w:hAnsi="宋体"/>
                <w:color w:val="auto"/>
                <w:sz w:val="21"/>
                <w:szCs w:val="21"/>
              </w:rPr>
              <w:t>投标人拟投入本项目的项目经理要求具有信息系统集成及服务项目高级项目经理证书和PMI-ACP证书。全部提供可得2分，仅提供一项得1分，不提供不得分；</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宋体" w:hAnsi="宋体"/>
                <w:color w:val="auto"/>
                <w:sz w:val="21"/>
                <w:szCs w:val="21"/>
              </w:rPr>
            </w:pPr>
            <w:r>
              <w:rPr>
                <w:rFonts w:hint="eastAsia" w:ascii="宋体" w:hAnsi="宋体"/>
                <w:color w:val="auto"/>
                <w:sz w:val="21"/>
                <w:szCs w:val="21"/>
              </w:rPr>
              <w:t>注：须提供证书复印件加盖投标人公章，并提供开标日前六个月加盖社保部门公章的投标人为其缴纳社会保险的证明材料，不提供不得分。</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color w:val="auto"/>
                <w:sz w:val="21"/>
                <w:szCs w:val="21"/>
              </w:rPr>
            </w:pPr>
            <w:r>
              <w:rPr>
                <w:rFonts w:hint="eastAsia" w:ascii="宋体" w:hAnsi="宋体"/>
                <w:color w:val="auto"/>
                <w:sz w:val="21"/>
                <w:szCs w:val="21"/>
                <w:lang w:val="en-US" w:eastAsia="zh-CN"/>
              </w:rPr>
              <w:t>4.</w:t>
            </w:r>
            <w:r>
              <w:rPr>
                <w:rFonts w:hint="eastAsia" w:ascii="宋体" w:hAnsi="宋体"/>
                <w:color w:val="auto"/>
                <w:sz w:val="21"/>
                <w:szCs w:val="21"/>
              </w:rPr>
              <w:t>培训（4分）</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宋体" w:hAnsi="宋体"/>
                <w:color w:val="auto"/>
                <w:sz w:val="21"/>
                <w:szCs w:val="21"/>
              </w:rPr>
            </w:pPr>
            <w:r>
              <w:rPr>
                <w:rFonts w:hint="eastAsia" w:ascii="宋体" w:hAnsi="宋体"/>
                <w:color w:val="auto"/>
                <w:sz w:val="21"/>
                <w:szCs w:val="21"/>
              </w:rPr>
              <w:t>投标人结合招标人需求制定项目培训方案，要求培训方案合理，考虑培训的方式、内容、水平及范围。</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宋体" w:hAnsi="宋体"/>
                <w:color w:val="auto"/>
                <w:sz w:val="21"/>
                <w:szCs w:val="21"/>
              </w:rPr>
            </w:pPr>
            <w:r>
              <w:rPr>
                <w:rFonts w:hint="eastAsia" w:ascii="宋体" w:hAnsi="宋体"/>
                <w:color w:val="auto"/>
                <w:sz w:val="21"/>
                <w:szCs w:val="21"/>
              </w:rPr>
              <w:t>各投标人横向对比，培训方案设计优秀的得2分；培训方案设计一般的得2分；培训方案设计较差或不提供不得分。</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宋体" w:hAnsi="宋体"/>
                <w:color w:val="auto"/>
                <w:sz w:val="21"/>
                <w:szCs w:val="21"/>
              </w:rPr>
            </w:pPr>
            <w:r>
              <w:rPr>
                <w:rFonts w:hint="eastAsia" w:ascii="宋体" w:hAnsi="宋体"/>
                <w:color w:val="auto"/>
                <w:sz w:val="21"/>
                <w:szCs w:val="21"/>
              </w:rPr>
              <w:t>投标人结合许昌日报媒体融合发展需求，提供融媒体人才培养方案，阐述在融媒体人才培养方面的合理化建议，提供相应的培训项目课程体系。人才培养方案设计合理、提供详细培训项目课程得2分；不满足或不提供不得分。</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color w:val="auto"/>
                <w:sz w:val="21"/>
                <w:szCs w:val="21"/>
              </w:rPr>
            </w:pPr>
            <w:r>
              <w:rPr>
                <w:rFonts w:hint="eastAsia" w:ascii="宋体" w:hAnsi="宋体"/>
                <w:color w:val="auto"/>
                <w:sz w:val="21"/>
                <w:szCs w:val="21"/>
                <w:lang w:val="en-US" w:eastAsia="zh-CN"/>
              </w:rPr>
              <w:t>5.</w:t>
            </w:r>
            <w:r>
              <w:rPr>
                <w:rFonts w:hint="eastAsia" w:ascii="宋体" w:hAnsi="宋体"/>
                <w:color w:val="auto"/>
                <w:sz w:val="21"/>
                <w:szCs w:val="21"/>
              </w:rPr>
              <w:t>售后服务方案（4分）</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宋体" w:hAnsi="宋体"/>
                <w:color w:val="auto"/>
                <w:sz w:val="21"/>
                <w:szCs w:val="21"/>
              </w:rPr>
            </w:pPr>
            <w:r>
              <w:rPr>
                <w:rFonts w:hint="eastAsia" w:ascii="宋体" w:hAnsi="宋体"/>
                <w:color w:val="auto"/>
                <w:sz w:val="21"/>
                <w:szCs w:val="21"/>
              </w:rPr>
              <w:t>根据投标人的售后及技术支持方案进行评估，考察售后服务方式、技术支持水平等要素。</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宋体" w:hAnsi="宋体"/>
                <w:color w:val="auto"/>
                <w:sz w:val="21"/>
                <w:szCs w:val="21"/>
              </w:rPr>
            </w:pPr>
            <w:r>
              <w:rPr>
                <w:rFonts w:hint="eastAsia" w:ascii="宋体" w:hAnsi="宋体"/>
                <w:color w:val="auto"/>
                <w:sz w:val="21"/>
                <w:szCs w:val="21"/>
              </w:rPr>
              <w:t>各投标人横向对比，售后服务方案完整，提供服务良好得4分，售后服务方案一般的得2分，售后服务方案较差的得1分，不提供售后服务方案不得分。</w:t>
            </w:r>
          </w:p>
        </w:tc>
        <w:tc>
          <w:tcPr>
            <w:tcW w:w="700"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Theme="minorEastAsia" w:hAnsiTheme="minorEastAsia"/>
                <w:color w:val="auto"/>
                <w:sz w:val="21"/>
                <w:szCs w:val="21"/>
                <w:u w:val="none"/>
                <w:lang w:val="en-US" w:eastAsia="zh-CN"/>
              </w:rPr>
            </w:pPr>
            <w:r>
              <w:rPr>
                <w:rFonts w:hint="eastAsia" w:asciiTheme="minorEastAsia" w:hAnsiTheme="minorEastAsia"/>
                <w:color w:val="auto"/>
                <w:sz w:val="21"/>
                <w:szCs w:val="21"/>
                <w:u w:val="none"/>
                <w:lang w:val="en-US" w:eastAsia="zh-CN"/>
              </w:rPr>
              <w:t>16分</w:t>
            </w:r>
          </w:p>
        </w:tc>
      </w:tr>
    </w:tbl>
    <w:p>
      <w:pPr>
        <w:pStyle w:val="16"/>
        <w:spacing w:line="360" w:lineRule="auto"/>
        <w:ind w:firstLine="422" w:firstLineChars="200"/>
        <w:contextualSpacing/>
        <w:rPr>
          <w:rFonts w:hint="eastAsia" w:cs="仿宋_GB2312" w:asciiTheme="minorEastAsia" w:hAnsiTheme="minorEastAsia" w:eastAsiaTheme="minorEastAsia"/>
          <w:b/>
          <w:sz w:val="21"/>
          <w:szCs w:val="21"/>
          <w:lang w:val="en-US" w:eastAsia="zh-CN"/>
        </w:rPr>
      </w:pPr>
      <w:r>
        <w:rPr>
          <w:rFonts w:hint="eastAsia" w:cs="仿宋_GB2312" w:asciiTheme="minorEastAsia" w:hAnsiTheme="minorEastAsia" w:eastAsiaTheme="minorEastAsia"/>
          <w:b/>
          <w:sz w:val="21"/>
          <w:szCs w:val="21"/>
          <w:lang w:val="en-US" w:eastAsia="zh-CN"/>
        </w:rPr>
        <w:t>B包：</w:t>
      </w:r>
    </w:p>
    <w:tbl>
      <w:tblPr>
        <w:tblStyle w:val="31"/>
        <w:tblW w:w="9595" w:type="dxa"/>
        <w:jc w:val="center"/>
        <w:tblInd w:w="-4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7647"/>
        <w:gridCol w:w="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jc w:val="center"/>
        </w:trPr>
        <w:tc>
          <w:tcPr>
            <w:tcW w:w="1112"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heme="minorEastAsia" w:hAnsiTheme="minorEastAsia"/>
                <w:color w:val="auto"/>
                <w:sz w:val="21"/>
                <w:szCs w:val="21"/>
              </w:rPr>
            </w:pPr>
            <w:r>
              <w:rPr>
                <w:rFonts w:hint="eastAsia" w:asciiTheme="minorEastAsia" w:hAnsiTheme="minorEastAsia"/>
                <w:color w:val="auto"/>
                <w:sz w:val="21"/>
                <w:szCs w:val="21"/>
              </w:rPr>
              <w:t>分值构成</w:t>
            </w:r>
          </w:p>
        </w:tc>
        <w:tc>
          <w:tcPr>
            <w:tcW w:w="8483" w:type="dxa"/>
            <w:gridSpan w:val="2"/>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Theme="minorEastAsia" w:hAnsiTheme="minorEastAsia"/>
                <w:color w:val="auto"/>
                <w:sz w:val="21"/>
                <w:szCs w:val="21"/>
              </w:rPr>
            </w:pPr>
            <w:r>
              <w:rPr>
                <w:rFonts w:hint="eastAsia" w:asciiTheme="minorEastAsia" w:hAnsiTheme="minorEastAsia"/>
                <w:color w:val="auto"/>
                <w:sz w:val="21"/>
                <w:szCs w:val="21"/>
              </w:rPr>
              <w:t>总分100分</w:t>
            </w:r>
            <w:r>
              <w:rPr>
                <w:rFonts w:hint="eastAsia" w:asciiTheme="minorEastAsia" w:hAnsiTheme="minorEastAsia"/>
                <w:color w:val="auto"/>
                <w:sz w:val="21"/>
                <w:szCs w:val="21"/>
                <w:lang w:val="en-US" w:eastAsia="zh-CN"/>
              </w:rPr>
              <w:t>,其中：</w:t>
            </w:r>
            <w:r>
              <w:rPr>
                <w:rFonts w:hint="eastAsia" w:asciiTheme="minorEastAsia" w:hAnsiTheme="minorEastAsia"/>
                <w:color w:val="auto"/>
                <w:sz w:val="21"/>
                <w:szCs w:val="21"/>
              </w:rPr>
              <w:t>价格分值：</w:t>
            </w:r>
            <w:r>
              <w:rPr>
                <w:rFonts w:hint="eastAsia" w:asciiTheme="minorEastAsia" w:hAnsiTheme="minorEastAsia"/>
                <w:color w:val="auto"/>
                <w:sz w:val="21"/>
                <w:szCs w:val="21"/>
                <w:u w:val="single"/>
                <w:lang w:val="en-US" w:eastAsia="zh-CN"/>
              </w:rPr>
              <w:t>20</w:t>
            </w:r>
            <w:r>
              <w:rPr>
                <w:rFonts w:hint="eastAsia" w:asciiTheme="minorEastAsia" w:hAnsiTheme="minorEastAsia"/>
                <w:color w:val="auto"/>
                <w:sz w:val="21"/>
                <w:szCs w:val="21"/>
              </w:rPr>
              <w:t>分</w:t>
            </w:r>
            <w:r>
              <w:rPr>
                <w:rFonts w:hint="eastAsia" w:asciiTheme="minorEastAsia" w:hAnsiTheme="minorEastAsia"/>
                <w:color w:val="auto"/>
                <w:sz w:val="21"/>
                <w:szCs w:val="21"/>
                <w:lang w:eastAsia="zh-CN"/>
              </w:rPr>
              <w:t>、</w:t>
            </w:r>
            <w:r>
              <w:rPr>
                <w:rFonts w:hint="eastAsia" w:asciiTheme="minorEastAsia" w:hAnsiTheme="minorEastAsia"/>
                <w:color w:val="auto"/>
                <w:sz w:val="21"/>
                <w:szCs w:val="21"/>
              </w:rPr>
              <w:t>商务部分：</w:t>
            </w:r>
            <w:r>
              <w:rPr>
                <w:rFonts w:hint="eastAsia" w:asciiTheme="minorEastAsia" w:hAnsiTheme="minorEastAsia"/>
                <w:color w:val="auto"/>
                <w:sz w:val="21"/>
                <w:szCs w:val="21"/>
                <w:u w:val="single"/>
                <w:lang w:val="en-US" w:eastAsia="zh-CN"/>
              </w:rPr>
              <w:t>40</w:t>
            </w:r>
            <w:r>
              <w:rPr>
                <w:rFonts w:hint="eastAsia" w:asciiTheme="minorEastAsia" w:hAnsiTheme="minorEastAsia"/>
                <w:color w:val="auto"/>
                <w:sz w:val="21"/>
                <w:szCs w:val="21"/>
              </w:rPr>
              <w:t>分</w:t>
            </w:r>
            <w:r>
              <w:rPr>
                <w:rFonts w:hint="eastAsia" w:asciiTheme="minorEastAsia" w:hAnsiTheme="minorEastAsia"/>
                <w:color w:val="auto"/>
                <w:sz w:val="21"/>
                <w:szCs w:val="21"/>
                <w:lang w:eastAsia="zh-CN"/>
              </w:rPr>
              <w:t>、</w:t>
            </w:r>
            <w:r>
              <w:rPr>
                <w:rFonts w:hint="eastAsia" w:asciiTheme="minorEastAsia" w:hAnsiTheme="minorEastAsia"/>
                <w:color w:val="auto"/>
                <w:sz w:val="21"/>
                <w:szCs w:val="21"/>
              </w:rPr>
              <w:t>技术部分：</w:t>
            </w:r>
            <w:r>
              <w:rPr>
                <w:rFonts w:hint="eastAsia" w:asciiTheme="minorEastAsia" w:hAnsiTheme="minorEastAsia"/>
                <w:color w:val="auto"/>
                <w:sz w:val="21"/>
                <w:szCs w:val="21"/>
                <w:u w:val="single"/>
                <w:lang w:val="en-US" w:eastAsia="zh-CN"/>
              </w:rPr>
              <w:t>40</w:t>
            </w:r>
            <w:r>
              <w:rPr>
                <w:rFonts w:hint="eastAsia" w:asciiTheme="minorEastAsia" w:hAnsiTheme="minorEastAsia"/>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1112"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heme="minorEastAsia" w:hAnsiTheme="minorEastAsia"/>
                <w:b/>
                <w:color w:val="auto"/>
                <w:sz w:val="21"/>
                <w:szCs w:val="21"/>
              </w:rPr>
            </w:pPr>
            <w:r>
              <w:rPr>
                <w:rFonts w:hint="eastAsia" w:asciiTheme="minorEastAsia" w:hAnsiTheme="minorEastAsia"/>
                <w:b/>
                <w:color w:val="auto"/>
                <w:sz w:val="21"/>
                <w:szCs w:val="21"/>
              </w:rPr>
              <w:t>评分因素</w:t>
            </w:r>
          </w:p>
        </w:tc>
        <w:tc>
          <w:tcPr>
            <w:tcW w:w="7647"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eastAsia="宋体" w:asciiTheme="minorEastAsia" w:hAnsiTheme="minorEastAsia"/>
                <w:b/>
                <w:color w:val="auto"/>
                <w:sz w:val="21"/>
                <w:szCs w:val="21"/>
                <w:lang w:eastAsia="zh-CN"/>
              </w:rPr>
            </w:pPr>
            <w:r>
              <w:rPr>
                <w:rFonts w:hint="eastAsia" w:asciiTheme="minorEastAsia" w:hAnsiTheme="minorEastAsia"/>
                <w:b/>
                <w:color w:val="auto"/>
                <w:sz w:val="21"/>
                <w:szCs w:val="21"/>
              </w:rPr>
              <w:t>评</w:t>
            </w:r>
            <w:r>
              <w:rPr>
                <w:rFonts w:hint="eastAsia" w:asciiTheme="minorEastAsia" w:hAnsiTheme="minorEastAsia"/>
                <w:b/>
                <w:color w:val="auto"/>
                <w:sz w:val="21"/>
                <w:szCs w:val="21"/>
                <w:lang w:eastAsia="zh-CN"/>
              </w:rPr>
              <w:t>分</w:t>
            </w:r>
            <w:r>
              <w:rPr>
                <w:rFonts w:hint="eastAsia" w:asciiTheme="minorEastAsia" w:hAnsiTheme="minorEastAsia"/>
                <w:b/>
                <w:color w:val="auto"/>
                <w:sz w:val="21"/>
                <w:szCs w:val="21"/>
              </w:rPr>
              <w:t>标准</w:t>
            </w:r>
            <w:r>
              <w:rPr>
                <w:rFonts w:hint="eastAsia" w:asciiTheme="minorEastAsia" w:hAnsiTheme="minorEastAsia"/>
                <w:b/>
                <w:color w:val="auto"/>
                <w:sz w:val="21"/>
                <w:szCs w:val="21"/>
                <w:lang w:eastAsia="zh-CN"/>
              </w:rPr>
              <w:t>细则</w:t>
            </w:r>
          </w:p>
        </w:tc>
        <w:tc>
          <w:tcPr>
            <w:tcW w:w="836"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heme="minorEastAsia" w:hAnsiTheme="minorEastAsia"/>
                <w:b/>
                <w:color w:val="auto"/>
                <w:sz w:val="21"/>
                <w:szCs w:val="21"/>
              </w:rPr>
            </w:pPr>
            <w:r>
              <w:rPr>
                <w:rFonts w:hint="eastAsia" w:asciiTheme="minorEastAsia" w:hAnsiTheme="minorEastAsia"/>
                <w:b/>
                <w:color w:val="auto"/>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9595" w:type="dxa"/>
            <w:gridSpan w:val="3"/>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heme="minorEastAsia" w:hAnsiTheme="minorEastAsia"/>
                <w:b/>
                <w:color w:val="auto"/>
                <w:sz w:val="21"/>
                <w:szCs w:val="21"/>
              </w:rPr>
            </w:pPr>
            <w:r>
              <w:rPr>
                <w:rFonts w:hint="eastAsia" w:asciiTheme="minorEastAsia" w:hAnsiTheme="minorEastAsia"/>
                <w:b/>
                <w:color w:val="auto"/>
                <w:sz w:val="21"/>
                <w:szCs w:val="21"/>
              </w:rPr>
              <w:t>价格部分（满分</w:t>
            </w:r>
            <w:r>
              <w:rPr>
                <w:rFonts w:hint="eastAsia" w:asciiTheme="minorEastAsia" w:hAnsiTheme="minorEastAsia"/>
                <w:b/>
                <w:color w:val="auto"/>
                <w:sz w:val="21"/>
                <w:szCs w:val="21"/>
                <w:u w:val="single"/>
                <w:lang w:val="en-US" w:eastAsia="zh-CN"/>
              </w:rPr>
              <w:t>20</w:t>
            </w:r>
            <w:r>
              <w:rPr>
                <w:rFonts w:hint="eastAsia" w:asciiTheme="minorEastAsia" w:hAnsiTheme="minorEastAsia"/>
                <w:b/>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112"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heme="minorEastAsia" w:hAnsiTheme="minorEastAsia"/>
                <w:color w:val="auto"/>
                <w:sz w:val="21"/>
                <w:szCs w:val="21"/>
              </w:rPr>
            </w:pPr>
            <w:r>
              <w:rPr>
                <w:rFonts w:hint="eastAsia" w:asciiTheme="minorEastAsia" w:hAnsiTheme="minorEastAsia"/>
                <w:color w:val="auto"/>
                <w:sz w:val="21"/>
                <w:szCs w:val="21"/>
              </w:rPr>
              <w:t>投标报价</w:t>
            </w:r>
          </w:p>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heme="minorEastAsia" w:hAnsiTheme="minorEastAsia"/>
                <w:color w:val="auto"/>
                <w:sz w:val="21"/>
                <w:szCs w:val="21"/>
              </w:rPr>
            </w:pPr>
            <w:r>
              <w:rPr>
                <w:rFonts w:hint="eastAsia" w:asciiTheme="minorEastAsia" w:hAnsiTheme="minorEastAsia"/>
                <w:color w:val="auto"/>
                <w:sz w:val="21"/>
                <w:szCs w:val="21"/>
              </w:rPr>
              <w:t>评分标准</w:t>
            </w:r>
          </w:p>
        </w:tc>
        <w:tc>
          <w:tcPr>
            <w:tcW w:w="7647"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exact"/>
              <w:ind w:right="-19" w:rightChars="-8"/>
              <w:textAlignment w:val="auto"/>
              <w:rPr>
                <w:rFonts w:asciiTheme="minorEastAsia" w:hAnsiTheme="minorEastAsia"/>
                <w:color w:val="auto"/>
                <w:sz w:val="21"/>
                <w:szCs w:val="21"/>
              </w:rPr>
            </w:pPr>
            <w:r>
              <w:rPr>
                <w:rFonts w:hint="eastAsia" w:asciiTheme="minorEastAsia" w:hAnsiTheme="minorEastAsia"/>
                <w:color w:val="auto"/>
                <w:sz w:val="21"/>
                <w:szCs w:val="21"/>
              </w:rPr>
              <w:t>评标基准价：满足招标文件要求的有效投标报价中，最低的投标报价为评标基准价。</w:t>
            </w:r>
          </w:p>
          <w:p>
            <w:pPr>
              <w:keepNext w:val="0"/>
              <w:keepLines w:val="0"/>
              <w:pageBreakBefore w:val="0"/>
              <w:widowControl w:val="0"/>
              <w:kinsoku/>
              <w:wordWrap/>
              <w:overflowPunct/>
              <w:topLinePunct w:val="0"/>
              <w:autoSpaceDE/>
              <w:autoSpaceDN/>
              <w:bidi w:val="0"/>
              <w:adjustRightInd/>
              <w:spacing w:line="360" w:lineRule="exact"/>
              <w:textAlignment w:val="auto"/>
              <w:rPr>
                <w:rFonts w:hint="default" w:asciiTheme="minorEastAsia" w:hAnsiTheme="minorEastAsia" w:eastAsiaTheme="minorEastAsia"/>
                <w:color w:val="auto"/>
                <w:sz w:val="21"/>
                <w:szCs w:val="21"/>
                <w:lang w:val="en-US" w:eastAsia="zh-CN"/>
              </w:rPr>
            </w:pPr>
            <w:r>
              <w:rPr>
                <w:rFonts w:hint="eastAsia" w:asciiTheme="minorEastAsia" w:hAnsiTheme="minorEastAsia"/>
                <w:color w:val="auto"/>
                <w:sz w:val="21"/>
                <w:szCs w:val="21"/>
              </w:rPr>
              <w:t>投标报价得分=（评标基准价/投标报价）×</w:t>
            </w:r>
            <w:r>
              <w:rPr>
                <w:rFonts w:hint="eastAsia" w:asciiTheme="minorEastAsia" w:hAnsiTheme="minorEastAsia"/>
                <w:color w:val="auto"/>
                <w:sz w:val="21"/>
                <w:szCs w:val="21"/>
                <w:lang w:val="en-US" w:eastAsia="zh-CN"/>
              </w:rPr>
              <w:t>20</w:t>
            </w:r>
          </w:p>
        </w:tc>
        <w:tc>
          <w:tcPr>
            <w:tcW w:w="836"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heme="minorEastAsia" w:hAnsiTheme="minorEastAsia"/>
                <w:color w:val="auto"/>
                <w:sz w:val="21"/>
                <w:szCs w:val="21"/>
              </w:rPr>
            </w:pPr>
            <w:r>
              <w:rPr>
                <w:rFonts w:hint="eastAsia" w:asciiTheme="minorEastAsia" w:hAnsiTheme="minorEastAsia"/>
                <w:color w:val="auto"/>
                <w:sz w:val="21"/>
                <w:szCs w:val="21"/>
                <w:u w:val="single"/>
                <w:lang w:val="en-US" w:eastAsia="zh-CN"/>
              </w:rPr>
              <w:t>20</w:t>
            </w:r>
            <w:r>
              <w:rPr>
                <w:rFonts w:hint="eastAsia" w:asciiTheme="minorEastAsia" w:hAnsiTheme="minorEastAsia"/>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595" w:type="dxa"/>
            <w:gridSpan w:val="3"/>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heme="minorEastAsia" w:hAnsiTheme="minorEastAsia"/>
                <w:b/>
                <w:color w:val="auto"/>
                <w:sz w:val="21"/>
                <w:szCs w:val="21"/>
              </w:rPr>
            </w:pPr>
            <w:r>
              <w:rPr>
                <w:rFonts w:hint="eastAsia" w:asciiTheme="minorEastAsia" w:hAnsiTheme="minorEastAsia"/>
                <w:b/>
                <w:color w:val="auto"/>
                <w:sz w:val="21"/>
                <w:szCs w:val="21"/>
              </w:rPr>
              <w:t>商务部分（满分</w:t>
            </w:r>
            <w:r>
              <w:rPr>
                <w:rFonts w:hint="eastAsia" w:asciiTheme="minorEastAsia" w:hAnsiTheme="minorEastAsia"/>
                <w:b/>
                <w:color w:val="auto"/>
                <w:sz w:val="21"/>
                <w:szCs w:val="21"/>
                <w:u w:val="single"/>
                <w:lang w:val="en-US" w:eastAsia="zh-CN"/>
              </w:rPr>
              <w:t>40</w:t>
            </w:r>
            <w:r>
              <w:rPr>
                <w:rFonts w:hint="eastAsia" w:asciiTheme="minorEastAsia" w:hAnsiTheme="minorEastAsia"/>
                <w:b/>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jc w:val="center"/>
        </w:trPr>
        <w:tc>
          <w:tcPr>
            <w:tcW w:w="1112"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olor w:val="auto"/>
                <w:sz w:val="21"/>
                <w:szCs w:val="21"/>
                <w:lang w:eastAsia="zh-CN"/>
              </w:rPr>
            </w:pPr>
            <w:r>
              <w:rPr>
                <w:rFonts w:hint="eastAsia" w:asciiTheme="minorEastAsia" w:hAnsiTheme="minorEastAsia" w:eastAsiaTheme="minorEastAsia"/>
                <w:color w:val="auto"/>
                <w:sz w:val="21"/>
                <w:szCs w:val="21"/>
                <w:lang w:eastAsia="zh-CN"/>
              </w:rPr>
              <w:t>技术人员情况</w:t>
            </w:r>
          </w:p>
        </w:tc>
        <w:tc>
          <w:tcPr>
            <w:tcW w:w="7647"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asciiTheme="minorEastAsia" w:hAnsiTheme="minorEastAsia"/>
                <w:color w:val="auto"/>
                <w:sz w:val="21"/>
                <w:szCs w:val="21"/>
              </w:rPr>
            </w:pPr>
            <w:r>
              <w:rPr>
                <w:rFonts w:hint="eastAsia" w:asciiTheme="minorEastAsia" w:hAnsiTheme="minorEastAsia"/>
                <w:color w:val="auto"/>
                <w:sz w:val="21"/>
                <w:szCs w:val="21"/>
              </w:rPr>
              <w:t>核心团队人员要求具备的资质为：具有PMP高级项目经理证书的，每提供一个得2分，满分4分</w:t>
            </w:r>
            <w:r>
              <w:rPr>
                <w:rFonts w:hint="eastAsia" w:asciiTheme="minorEastAsia" w:hAnsiTheme="minorEastAsia"/>
                <w:color w:val="auto"/>
                <w:sz w:val="21"/>
                <w:szCs w:val="21"/>
                <w:lang w:eastAsia="zh-CN"/>
              </w:rPr>
              <w:t>；</w:t>
            </w:r>
            <w:r>
              <w:rPr>
                <w:rFonts w:hint="eastAsia" w:asciiTheme="minorEastAsia" w:hAnsiTheme="minorEastAsia"/>
                <w:color w:val="auto"/>
                <w:sz w:val="21"/>
                <w:szCs w:val="21"/>
              </w:rPr>
              <w:t>具有高级软件工程师证书的,每提供一个得2分，满分2分。注：需提供证书复印件，并加盖公章</w:t>
            </w:r>
          </w:p>
        </w:tc>
        <w:tc>
          <w:tcPr>
            <w:tcW w:w="836"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仿宋" w:hAnsi="仿宋" w:eastAsia="仿宋"/>
                <w:color w:val="auto"/>
                <w:sz w:val="21"/>
                <w:szCs w:val="21"/>
              </w:rPr>
            </w:pPr>
            <w:r>
              <w:rPr>
                <w:rFonts w:hint="eastAsia" w:ascii="宋体" w:hAnsi="宋体"/>
                <w:color w:val="auto"/>
                <w:sz w:val="21"/>
                <w:szCs w:val="21"/>
                <w:lang w:val="en-US" w:eastAsia="zh-CN"/>
              </w:rPr>
              <w:t>6</w:t>
            </w:r>
            <w:r>
              <w:rPr>
                <w:rFonts w:hint="eastAsia" w:ascii="宋体" w:hAnsi="宋体"/>
                <w:color w:val="auto"/>
                <w:sz w:val="21"/>
                <w:szCs w:val="21"/>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12"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heme="minorEastAsia" w:hAnsiTheme="minorEastAsia"/>
                <w:color w:val="auto"/>
                <w:sz w:val="21"/>
                <w:szCs w:val="21"/>
              </w:rPr>
            </w:pPr>
            <w:r>
              <w:rPr>
                <w:rFonts w:hint="eastAsia" w:asciiTheme="minorEastAsia" w:hAnsiTheme="minorEastAsia"/>
                <w:color w:val="auto"/>
                <w:sz w:val="21"/>
                <w:szCs w:val="21"/>
              </w:rPr>
              <w:t>业绩</w:t>
            </w:r>
          </w:p>
        </w:tc>
        <w:tc>
          <w:tcPr>
            <w:tcW w:w="7647" w:type="dxa"/>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Theme="minorEastAsia" w:hAnsiTheme="minorEastAsia"/>
                <w:color w:val="auto"/>
                <w:sz w:val="21"/>
                <w:szCs w:val="21"/>
                <w:lang w:val="en-GB"/>
              </w:rPr>
            </w:pPr>
            <w:r>
              <w:rPr>
                <w:rFonts w:hint="eastAsia" w:asciiTheme="minorEastAsia" w:hAnsiTheme="minorEastAsia"/>
                <w:color w:val="auto"/>
                <w:sz w:val="21"/>
                <w:szCs w:val="21"/>
                <w:lang w:val="en-US" w:eastAsia="zh-CN"/>
              </w:rPr>
              <w:t>1、</w:t>
            </w:r>
            <w:r>
              <w:rPr>
                <w:rFonts w:hint="eastAsia" w:asciiTheme="minorEastAsia" w:hAnsiTheme="minorEastAsia"/>
                <w:color w:val="auto"/>
                <w:sz w:val="21"/>
                <w:szCs w:val="21"/>
                <w:lang w:val="en-GB"/>
              </w:rPr>
              <w:t>投标人自 2015 年1 月1 日以来（以合同签订时间为准）为省级及副省级媒体做过大数据类项目且合同金额100万以上的，每提供一个得1分，满分3分。</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Theme="minorEastAsia" w:hAnsiTheme="minorEastAsia"/>
                <w:color w:val="auto"/>
                <w:sz w:val="21"/>
                <w:szCs w:val="21"/>
                <w:lang w:val="en-GB"/>
              </w:rPr>
            </w:pPr>
            <w:r>
              <w:rPr>
                <w:rFonts w:hint="eastAsia" w:asciiTheme="minorEastAsia" w:hAnsiTheme="minorEastAsia"/>
                <w:color w:val="auto"/>
                <w:sz w:val="21"/>
                <w:szCs w:val="21"/>
                <w:lang w:val="en-US" w:eastAsia="zh-CN"/>
              </w:rPr>
              <w:t>2、</w:t>
            </w:r>
            <w:r>
              <w:rPr>
                <w:rFonts w:hint="eastAsia" w:asciiTheme="minorEastAsia" w:hAnsiTheme="minorEastAsia"/>
                <w:color w:val="auto"/>
                <w:sz w:val="21"/>
                <w:szCs w:val="21"/>
                <w:lang w:val="en-GB"/>
              </w:rPr>
              <w:t>投标人自 2015 年1 月1 日以来（以合同签订时间为准）为地市级媒体做过大数据项目的且合同金额100万以上的，每提供一个得1 分。（满分2分）。</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Theme="minorEastAsia" w:hAnsiTheme="minorEastAsia"/>
                <w:color w:val="auto"/>
                <w:sz w:val="21"/>
                <w:szCs w:val="21"/>
                <w:lang w:val="en-GB"/>
              </w:rPr>
            </w:pPr>
            <w:r>
              <w:rPr>
                <w:rFonts w:hint="eastAsia" w:asciiTheme="minorEastAsia" w:hAnsiTheme="minorEastAsia"/>
                <w:color w:val="auto"/>
                <w:sz w:val="21"/>
                <w:szCs w:val="21"/>
                <w:lang w:val="en-US" w:eastAsia="zh-CN"/>
              </w:rPr>
              <w:t>3、</w:t>
            </w:r>
            <w:r>
              <w:rPr>
                <w:rFonts w:hint="eastAsia" w:asciiTheme="minorEastAsia" w:hAnsiTheme="minorEastAsia"/>
                <w:color w:val="auto"/>
                <w:sz w:val="21"/>
                <w:szCs w:val="21"/>
                <w:lang w:val="en-GB"/>
              </w:rPr>
              <w:t>投标人自 2015 年1 月1 日以来（以合同签订时间为准）为国内商业门户网站做过大数据项目且合同金额达到200万的，每提供一个得2分。（满分2分）</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Theme="minorEastAsia" w:hAnsiTheme="minorEastAsia"/>
                <w:color w:val="auto"/>
                <w:sz w:val="21"/>
                <w:szCs w:val="21"/>
                <w:lang w:val="en-GB"/>
              </w:rPr>
            </w:pPr>
            <w:r>
              <w:rPr>
                <w:rFonts w:hint="eastAsia" w:asciiTheme="minorEastAsia" w:hAnsiTheme="minorEastAsia"/>
                <w:color w:val="auto"/>
                <w:sz w:val="21"/>
                <w:szCs w:val="21"/>
                <w:lang w:val="en-GB"/>
              </w:rPr>
              <w:t>注：请提供合同复印件，并加盖公章。</w:t>
            </w:r>
          </w:p>
        </w:tc>
        <w:tc>
          <w:tcPr>
            <w:tcW w:w="836"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heme="minorEastAsia" w:hAnsiTheme="minorEastAsia"/>
                <w:color w:val="auto"/>
                <w:sz w:val="21"/>
                <w:szCs w:val="21"/>
                <w:u w:val="single"/>
              </w:rPr>
            </w:pPr>
            <w:r>
              <w:rPr>
                <w:rFonts w:hint="eastAsia" w:asciiTheme="minorEastAsia" w:hAnsiTheme="minorEastAsia"/>
                <w:color w:val="auto"/>
                <w:sz w:val="21"/>
                <w:szCs w:val="21"/>
                <w:lang w:val="en-US" w:eastAsia="zh-CN"/>
              </w:rPr>
              <w:t>7</w:t>
            </w:r>
            <w:r>
              <w:rPr>
                <w:rFonts w:hint="eastAsia" w:asciiTheme="minorEastAsia" w:hAnsiTheme="minorEastAsia"/>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12" w:type="dxa"/>
            <w:vMerge w:val="restart"/>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olor w:val="auto"/>
                <w:sz w:val="21"/>
                <w:szCs w:val="21"/>
                <w:lang w:eastAsia="zh-CN"/>
              </w:rPr>
            </w:pPr>
            <w:r>
              <w:rPr>
                <w:rFonts w:hint="eastAsia" w:asciiTheme="minorEastAsia" w:hAnsiTheme="minorEastAsia" w:eastAsiaTheme="minorEastAsia"/>
                <w:color w:val="auto"/>
                <w:sz w:val="21"/>
                <w:szCs w:val="21"/>
                <w:lang w:eastAsia="zh-CN"/>
              </w:rPr>
              <w:t>资质能力</w:t>
            </w:r>
          </w:p>
        </w:tc>
        <w:tc>
          <w:tcPr>
            <w:tcW w:w="7647" w:type="dxa"/>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Theme="minorEastAsia" w:hAnsiTheme="minorEastAsia"/>
                <w:color w:val="auto"/>
                <w:sz w:val="21"/>
                <w:szCs w:val="21"/>
                <w:lang w:val="en-GB"/>
              </w:rPr>
            </w:pPr>
            <w:r>
              <w:rPr>
                <w:rFonts w:hint="eastAsia" w:asciiTheme="minorEastAsia" w:hAnsiTheme="minorEastAsia"/>
                <w:color w:val="auto"/>
                <w:sz w:val="21"/>
                <w:szCs w:val="21"/>
                <w:lang w:val="en-US" w:eastAsia="zh-CN"/>
              </w:rPr>
              <w:t>1、</w:t>
            </w:r>
            <w:r>
              <w:rPr>
                <w:rFonts w:hint="eastAsia" w:asciiTheme="minorEastAsia" w:hAnsiTheme="minorEastAsia"/>
                <w:color w:val="auto"/>
                <w:sz w:val="21"/>
                <w:szCs w:val="21"/>
                <w:lang w:val="en-GB"/>
              </w:rPr>
              <w:t>供应商需具有软件企业认定资质的，得1分。</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Theme="minorEastAsia" w:hAnsiTheme="minorEastAsia"/>
                <w:color w:val="auto"/>
                <w:sz w:val="21"/>
                <w:szCs w:val="21"/>
                <w:lang w:val="en-GB"/>
              </w:rPr>
            </w:pPr>
            <w:r>
              <w:rPr>
                <w:rFonts w:hint="eastAsia" w:asciiTheme="minorEastAsia" w:hAnsiTheme="minorEastAsia"/>
                <w:color w:val="auto"/>
                <w:sz w:val="21"/>
                <w:szCs w:val="21"/>
                <w:lang w:val="en-US" w:eastAsia="zh-CN"/>
              </w:rPr>
              <w:t>2、</w:t>
            </w:r>
            <w:r>
              <w:rPr>
                <w:rFonts w:hint="eastAsia" w:asciiTheme="minorEastAsia" w:hAnsiTheme="minorEastAsia"/>
                <w:color w:val="auto"/>
                <w:sz w:val="21"/>
                <w:szCs w:val="21"/>
                <w:lang w:val="en-GB"/>
              </w:rPr>
              <w:t>供应商具有软件成熟度三级认证证书的得2分。</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Theme="minorEastAsia" w:hAnsiTheme="minorEastAsia"/>
                <w:color w:val="auto"/>
                <w:sz w:val="21"/>
                <w:szCs w:val="21"/>
                <w:lang w:val="en-GB"/>
              </w:rPr>
            </w:pPr>
            <w:r>
              <w:rPr>
                <w:rFonts w:hint="eastAsia" w:asciiTheme="minorEastAsia" w:hAnsiTheme="minorEastAsia"/>
                <w:color w:val="auto"/>
                <w:sz w:val="21"/>
                <w:szCs w:val="21"/>
                <w:lang w:val="en-US" w:eastAsia="zh-CN"/>
              </w:rPr>
              <w:t>3、</w:t>
            </w:r>
            <w:r>
              <w:rPr>
                <w:rFonts w:hint="eastAsia" w:asciiTheme="minorEastAsia" w:hAnsiTheme="minorEastAsia"/>
                <w:color w:val="auto"/>
                <w:sz w:val="21"/>
                <w:szCs w:val="21"/>
                <w:lang w:val="en-GB"/>
              </w:rPr>
              <w:t>供应商具有质量管理体系认证证书的得2分。</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eastAsia="宋体" w:asciiTheme="minorEastAsia" w:hAnsiTheme="minorEastAsia"/>
                <w:color w:val="auto"/>
                <w:sz w:val="21"/>
                <w:szCs w:val="21"/>
                <w:lang w:val="en-GB" w:eastAsia="zh-CN"/>
              </w:rPr>
            </w:pPr>
            <w:r>
              <w:rPr>
                <w:rFonts w:hint="eastAsia" w:asciiTheme="minorEastAsia" w:hAnsiTheme="minorEastAsia"/>
                <w:color w:val="auto"/>
                <w:sz w:val="21"/>
                <w:szCs w:val="21"/>
                <w:lang w:val="en-GB"/>
              </w:rPr>
              <w:t>注：需提供证书复印件，并加盖公章</w:t>
            </w:r>
            <w:r>
              <w:rPr>
                <w:rFonts w:hint="eastAsia" w:asciiTheme="minorEastAsia" w:hAnsiTheme="minorEastAsia"/>
                <w:color w:val="auto"/>
                <w:sz w:val="21"/>
                <w:szCs w:val="21"/>
                <w:lang w:val="en-GB" w:eastAsia="zh-CN"/>
              </w:rPr>
              <w:t>。</w:t>
            </w:r>
          </w:p>
        </w:tc>
        <w:tc>
          <w:tcPr>
            <w:tcW w:w="836"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heme="minorEastAsia" w:hAnsiTheme="minorEastAsia"/>
                <w:color w:val="auto"/>
                <w:sz w:val="21"/>
                <w:szCs w:val="21"/>
                <w:u w:val="single"/>
              </w:rPr>
            </w:pPr>
            <w:r>
              <w:rPr>
                <w:rFonts w:hint="eastAsia" w:asciiTheme="minorEastAsia" w:hAnsiTheme="minorEastAsia"/>
                <w:color w:val="auto"/>
                <w:sz w:val="21"/>
                <w:szCs w:val="21"/>
                <w:lang w:val="en-US" w:eastAsia="zh-CN"/>
              </w:rPr>
              <w:t>5</w:t>
            </w:r>
            <w:r>
              <w:rPr>
                <w:rFonts w:hint="eastAsia" w:asciiTheme="minorEastAsia" w:hAnsiTheme="minorEastAsia"/>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12" w:type="dxa"/>
            <w:vMerge w:val="continue"/>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olor w:val="auto"/>
                <w:sz w:val="21"/>
                <w:szCs w:val="21"/>
                <w:lang w:eastAsia="zh-CN"/>
              </w:rPr>
            </w:pPr>
          </w:p>
        </w:tc>
        <w:tc>
          <w:tcPr>
            <w:tcW w:w="7647" w:type="dxa"/>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Theme="minorEastAsia" w:hAnsiTheme="minorEastAsia"/>
                <w:color w:val="auto"/>
                <w:sz w:val="21"/>
                <w:szCs w:val="21"/>
                <w:lang w:val="en-GB"/>
              </w:rPr>
            </w:pPr>
            <w:r>
              <w:rPr>
                <w:rFonts w:hint="eastAsia" w:asciiTheme="minorEastAsia" w:hAnsiTheme="minorEastAsia"/>
                <w:color w:val="auto"/>
                <w:sz w:val="21"/>
                <w:szCs w:val="21"/>
                <w:lang w:val="en-GB"/>
              </w:rPr>
              <w:t>新闻数据服务相关的软件著作：</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Theme="minorEastAsia" w:hAnsiTheme="minorEastAsia"/>
                <w:color w:val="auto"/>
                <w:sz w:val="21"/>
                <w:szCs w:val="21"/>
                <w:lang w:val="en-GB"/>
              </w:rPr>
            </w:pPr>
            <w:r>
              <w:rPr>
                <w:rFonts w:hint="eastAsia" w:asciiTheme="minorEastAsia" w:hAnsiTheme="minorEastAsia"/>
                <w:color w:val="auto"/>
                <w:sz w:val="21"/>
                <w:szCs w:val="21"/>
                <w:lang w:val="en-GB"/>
              </w:rPr>
              <w:t>1、具有媒体关注可视化软件著作权；</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Theme="minorEastAsia" w:hAnsiTheme="minorEastAsia"/>
                <w:color w:val="auto"/>
                <w:sz w:val="21"/>
                <w:szCs w:val="21"/>
                <w:lang w:val="en-GB"/>
              </w:rPr>
            </w:pPr>
            <w:r>
              <w:rPr>
                <w:rFonts w:hint="eastAsia" w:asciiTheme="minorEastAsia" w:hAnsiTheme="minorEastAsia"/>
                <w:color w:val="auto"/>
                <w:sz w:val="21"/>
                <w:szCs w:val="21"/>
                <w:lang w:val="en-GB"/>
              </w:rPr>
              <w:t>2、具有周边新闻可视化软件著作权；</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Theme="minorEastAsia" w:hAnsiTheme="minorEastAsia"/>
                <w:color w:val="auto"/>
                <w:sz w:val="21"/>
                <w:szCs w:val="21"/>
                <w:lang w:val="en-GB"/>
              </w:rPr>
            </w:pPr>
            <w:r>
              <w:rPr>
                <w:rFonts w:hint="eastAsia" w:asciiTheme="minorEastAsia" w:hAnsiTheme="minorEastAsia"/>
                <w:color w:val="auto"/>
                <w:sz w:val="21"/>
                <w:szCs w:val="21"/>
                <w:lang w:val="en-GB"/>
              </w:rPr>
              <w:t>3、具有传播路径可视化软件著作权；</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Theme="minorEastAsia" w:hAnsiTheme="minorEastAsia"/>
                <w:color w:val="auto"/>
                <w:sz w:val="21"/>
                <w:szCs w:val="21"/>
                <w:lang w:val="en-GB"/>
              </w:rPr>
            </w:pPr>
            <w:r>
              <w:rPr>
                <w:rFonts w:hint="eastAsia" w:asciiTheme="minorEastAsia" w:hAnsiTheme="minorEastAsia"/>
                <w:color w:val="auto"/>
                <w:sz w:val="21"/>
                <w:szCs w:val="21"/>
                <w:lang w:val="en-GB"/>
              </w:rPr>
              <w:t>4、具有事件跟踪可视化软件著作权；</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Theme="minorEastAsia" w:hAnsiTheme="minorEastAsia"/>
                <w:color w:val="auto"/>
                <w:sz w:val="21"/>
                <w:szCs w:val="21"/>
                <w:lang w:val="en-GB"/>
              </w:rPr>
            </w:pPr>
            <w:r>
              <w:rPr>
                <w:rFonts w:hint="eastAsia" w:asciiTheme="minorEastAsia" w:hAnsiTheme="minorEastAsia"/>
                <w:color w:val="auto"/>
                <w:sz w:val="21"/>
                <w:szCs w:val="21"/>
                <w:lang w:val="en-GB"/>
              </w:rPr>
              <w:t>5、具有新媒体数据可视化软件著作权；</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Theme="minorEastAsia" w:hAnsiTheme="minorEastAsia"/>
                <w:color w:val="auto"/>
                <w:sz w:val="21"/>
                <w:szCs w:val="21"/>
                <w:lang w:val="en-GB"/>
              </w:rPr>
            </w:pPr>
            <w:r>
              <w:rPr>
                <w:rFonts w:hint="eastAsia" w:asciiTheme="minorEastAsia" w:hAnsiTheme="minorEastAsia"/>
                <w:color w:val="auto"/>
                <w:sz w:val="21"/>
                <w:szCs w:val="21"/>
                <w:lang w:val="en-GB"/>
              </w:rPr>
              <w:t>6、具有版面对比数据可视化软件著作权；</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Theme="minorEastAsia" w:hAnsiTheme="minorEastAsia"/>
                <w:color w:val="auto"/>
                <w:sz w:val="21"/>
                <w:szCs w:val="21"/>
                <w:lang w:val="en-GB"/>
              </w:rPr>
            </w:pPr>
            <w:r>
              <w:rPr>
                <w:rFonts w:hint="eastAsia" w:asciiTheme="minorEastAsia" w:hAnsiTheme="minorEastAsia"/>
                <w:color w:val="auto"/>
                <w:sz w:val="21"/>
                <w:szCs w:val="21"/>
                <w:lang w:val="en-GB"/>
              </w:rPr>
              <w:t>7、具有传播力榜单数据可视化软件著作权；</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Theme="minorEastAsia" w:hAnsiTheme="minorEastAsia"/>
                <w:color w:val="auto"/>
                <w:sz w:val="21"/>
                <w:szCs w:val="21"/>
                <w:lang w:val="en-GB"/>
              </w:rPr>
            </w:pPr>
            <w:r>
              <w:rPr>
                <w:rFonts w:hint="eastAsia" w:asciiTheme="minorEastAsia" w:hAnsiTheme="minorEastAsia"/>
                <w:color w:val="auto"/>
                <w:sz w:val="21"/>
                <w:szCs w:val="21"/>
                <w:lang w:val="en-GB"/>
              </w:rPr>
              <w:t>8、具有竞媒播报可视化软件著作权；</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Theme="minorEastAsia" w:hAnsiTheme="minorEastAsia"/>
                <w:color w:val="auto"/>
                <w:sz w:val="21"/>
                <w:szCs w:val="21"/>
                <w:lang w:val="en-GB"/>
              </w:rPr>
            </w:pPr>
            <w:r>
              <w:rPr>
                <w:rFonts w:hint="eastAsia" w:asciiTheme="minorEastAsia" w:hAnsiTheme="minorEastAsia"/>
                <w:color w:val="auto"/>
                <w:sz w:val="21"/>
                <w:szCs w:val="21"/>
                <w:lang w:val="en-GB"/>
              </w:rPr>
              <w:t>9、具有领导活动报道可视化软件著作权；</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Theme="minorEastAsia" w:hAnsiTheme="minorEastAsia"/>
                <w:color w:val="auto"/>
                <w:sz w:val="21"/>
                <w:szCs w:val="21"/>
                <w:lang w:val="en-GB"/>
              </w:rPr>
            </w:pPr>
            <w:r>
              <w:rPr>
                <w:rFonts w:hint="eastAsia" w:asciiTheme="minorEastAsia" w:hAnsiTheme="minorEastAsia"/>
                <w:color w:val="auto"/>
                <w:sz w:val="21"/>
                <w:szCs w:val="21"/>
                <w:lang w:val="en-GB"/>
              </w:rPr>
              <w:t>10、具有微信传播分析可视化软件著作权；</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Theme="minorEastAsia" w:hAnsiTheme="minorEastAsia"/>
                <w:color w:val="auto"/>
                <w:sz w:val="21"/>
                <w:szCs w:val="21"/>
                <w:lang w:val="en-GB"/>
              </w:rPr>
            </w:pPr>
            <w:r>
              <w:rPr>
                <w:rFonts w:hint="eastAsia" w:asciiTheme="minorEastAsia" w:hAnsiTheme="minorEastAsia"/>
                <w:color w:val="auto"/>
                <w:sz w:val="21"/>
                <w:szCs w:val="21"/>
                <w:lang w:val="en-GB"/>
              </w:rPr>
              <w:t>以上著作权每提供一个得1分，满分10分</w:t>
            </w:r>
            <w:r>
              <w:rPr>
                <w:rFonts w:hint="eastAsia" w:asciiTheme="minorEastAsia" w:hAnsiTheme="minorEastAsia"/>
                <w:color w:val="auto"/>
                <w:sz w:val="21"/>
                <w:szCs w:val="21"/>
                <w:lang w:val="en-GB" w:eastAsia="zh-CN"/>
              </w:rPr>
              <w:t>。</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Theme="minorEastAsia" w:hAnsiTheme="minorEastAsia"/>
                <w:color w:val="auto"/>
                <w:sz w:val="21"/>
                <w:szCs w:val="21"/>
                <w:lang w:val="en-GB"/>
              </w:rPr>
            </w:pPr>
            <w:r>
              <w:rPr>
                <w:rFonts w:hint="eastAsia" w:asciiTheme="minorEastAsia" w:hAnsiTheme="minorEastAsia"/>
                <w:color w:val="auto"/>
                <w:sz w:val="21"/>
                <w:szCs w:val="21"/>
                <w:lang w:val="en-GB"/>
              </w:rPr>
              <w:t>注：需提供证书复印件，并加盖公章</w:t>
            </w:r>
          </w:p>
        </w:tc>
        <w:tc>
          <w:tcPr>
            <w:tcW w:w="836"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Theme="minorEastAsia" w:hAnsiTheme="minorEastAsia" w:eastAsiaTheme="minorEastAsia"/>
                <w:color w:val="auto"/>
                <w:sz w:val="21"/>
                <w:szCs w:val="21"/>
                <w:lang w:val="en-US" w:eastAsia="zh-CN"/>
              </w:rPr>
            </w:pPr>
            <w:r>
              <w:rPr>
                <w:rFonts w:hint="eastAsia" w:asciiTheme="minorEastAsia" w:hAnsiTheme="minorEastAsia"/>
                <w:color w:val="auto"/>
                <w:sz w:val="21"/>
                <w:szCs w:val="21"/>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12" w:type="dxa"/>
            <w:vMerge w:val="continue"/>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olor w:val="auto"/>
                <w:sz w:val="21"/>
                <w:szCs w:val="21"/>
                <w:lang w:eastAsia="zh-CN"/>
              </w:rPr>
            </w:pPr>
          </w:p>
        </w:tc>
        <w:tc>
          <w:tcPr>
            <w:tcW w:w="7647" w:type="dxa"/>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Theme="minorEastAsia" w:hAnsiTheme="minorEastAsia"/>
                <w:color w:val="auto"/>
                <w:sz w:val="21"/>
                <w:szCs w:val="21"/>
                <w:lang w:val="en-GB"/>
              </w:rPr>
            </w:pPr>
            <w:r>
              <w:rPr>
                <w:rFonts w:hint="eastAsia" w:asciiTheme="minorEastAsia" w:hAnsiTheme="minorEastAsia"/>
                <w:color w:val="auto"/>
                <w:sz w:val="21"/>
                <w:szCs w:val="21"/>
                <w:lang w:val="en-GB"/>
              </w:rPr>
              <w:t>1、投标人具有文档相似度计算方法及相似文档全网检索跟踪方法专利证书得3分。</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Theme="minorEastAsia" w:hAnsiTheme="minorEastAsia"/>
                <w:color w:val="auto"/>
                <w:sz w:val="21"/>
                <w:szCs w:val="21"/>
                <w:lang w:val="en-GB"/>
              </w:rPr>
            </w:pPr>
            <w:r>
              <w:rPr>
                <w:rFonts w:hint="eastAsia" w:asciiTheme="minorEastAsia" w:hAnsiTheme="minorEastAsia"/>
                <w:color w:val="auto"/>
                <w:sz w:val="21"/>
                <w:szCs w:val="21"/>
                <w:lang w:val="en-GB"/>
              </w:rPr>
              <w:t>2、投标人具有一种基于数字报纸的资讯数据分类方法专利证书得3分。</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Theme="minorEastAsia" w:hAnsiTheme="minorEastAsia"/>
                <w:color w:val="auto"/>
                <w:sz w:val="21"/>
                <w:szCs w:val="21"/>
                <w:lang w:val="en-GB"/>
              </w:rPr>
            </w:pPr>
            <w:r>
              <w:rPr>
                <w:rFonts w:hint="eastAsia" w:asciiTheme="minorEastAsia" w:hAnsiTheme="minorEastAsia"/>
                <w:color w:val="auto"/>
                <w:sz w:val="21"/>
                <w:szCs w:val="21"/>
                <w:lang w:val="en-GB"/>
              </w:rPr>
              <w:t>3、投标人具有一种媒体热点跟踪方法及系统专利证书得3分。</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Theme="minorEastAsia" w:hAnsiTheme="minorEastAsia" w:eastAsiaTheme="minorEastAsia"/>
                <w:color w:val="auto"/>
                <w:sz w:val="21"/>
                <w:szCs w:val="21"/>
                <w:lang w:val="en-GB" w:eastAsia="zh-CN"/>
              </w:rPr>
            </w:pPr>
            <w:r>
              <w:rPr>
                <w:rFonts w:hint="eastAsia" w:asciiTheme="minorEastAsia" w:hAnsiTheme="minorEastAsia"/>
                <w:color w:val="auto"/>
                <w:sz w:val="21"/>
                <w:szCs w:val="21"/>
                <w:lang w:val="en-GB"/>
              </w:rPr>
              <w:t>4、投标人具有基于文章特征的原创新闻评估方法和系统专利证书得3分</w:t>
            </w:r>
            <w:r>
              <w:rPr>
                <w:rFonts w:hint="eastAsia" w:asciiTheme="minorEastAsia" w:hAnsiTheme="minorEastAsia"/>
                <w:color w:val="auto"/>
                <w:sz w:val="21"/>
                <w:szCs w:val="21"/>
                <w:lang w:val="en-GB" w:eastAsia="zh-CN"/>
              </w:rPr>
              <w:t>。</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Theme="minorEastAsia" w:hAnsiTheme="minorEastAsia"/>
                <w:color w:val="auto"/>
                <w:sz w:val="21"/>
                <w:szCs w:val="21"/>
                <w:lang w:val="en-GB"/>
              </w:rPr>
            </w:pPr>
            <w:r>
              <w:rPr>
                <w:rFonts w:hint="eastAsia" w:asciiTheme="minorEastAsia" w:hAnsiTheme="minorEastAsia"/>
                <w:color w:val="auto"/>
                <w:sz w:val="21"/>
                <w:szCs w:val="21"/>
                <w:lang w:val="en-GB"/>
              </w:rPr>
              <w:t>注：需提供专利证书或者是专利申请受理通知书复印件，并加盖公章</w:t>
            </w:r>
          </w:p>
        </w:tc>
        <w:tc>
          <w:tcPr>
            <w:tcW w:w="836"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Theme="minorEastAsia" w:hAnsiTheme="minorEastAsia" w:eastAsiaTheme="minorEastAsia"/>
                <w:color w:val="auto"/>
                <w:sz w:val="21"/>
                <w:szCs w:val="21"/>
                <w:lang w:val="en-US" w:eastAsia="zh-CN"/>
              </w:rPr>
            </w:pPr>
            <w:r>
              <w:rPr>
                <w:rFonts w:hint="eastAsia" w:asciiTheme="minorEastAsia" w:hAnsiTheme="minorEastAsia"/>
                <w:color w:val="auto"/>
                <w:sz w:val="21"/>
                <w:szCs w:val="21"/>
                <w:lang w:val="en-US" w:eastAsia="zh-CN"/>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 w:hRule="atLeast"/>
          <w:jc w:val="center"/>
        </w:trPr>
        <w:tc>
          <w:tcPr>
            <w:tcW w:w="9595" w:type="dxa"/>
            <w:gridSpan w:val="3"/>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heme="minorEastAsia" w:hAnsiTheme="minorEastAsia"/>
                <w:b/>
                <w:color w:val="auto"/>
                <w:sz w:val="21"/>
                <w:szCs w:val="21"/>
              </w:rPr>
            </w:pPr>
            <w:r>
              <w:rPr>
                <w:rFonts w:hint="eastAsia" w:asciiTheme="minorEastAsia" w:hAnsiTheme="minorEastAsia"/>
                <w:b/>
                <w:color w:val="auto"/>
                <w:sz w:val="21"/>
                <w:szCs w:val="21"/>
              </w:rPr>
              <w:t>技术部分（满分</w:t>
            </w:r>
            <w:r>
              <w:rPr>
                <w:rFonts w:hint="eastAsia" w:asciiTheme="minorEastAsia" w:hAnsiTheme="minorEastAsia"/>
                <w:b/>
                <w:color w:val="auto"/>
                <w:sz w:val="21"/>
                <w:szCs w:val="21"/>
                <w:u w:val="single"/>
                <w:lang w:val="en-US" w:eastAsia="zh-CN"/>
              </w:rPr>
              <w:t>40</w:t>
            </w:r>
            <w:r>
              <w:rPr>
                <w:rFonts w:hint="eastAsia" w:asciiTheme="minorEastAsia" w:hAnsiTheme="minorEastAsia"/>
                <w:b/>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1112"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heme="minorEastAsia" w:hAnsiTheme="minorEastAsia"/>
                <w:color w:val="auto"/>
                <w:sz w:val="21"/>
                <w:szCs w:val="21"/>
                <w:lang w:val="en-US" w:eastAsia="zh-CN"/>
              </w:rPr>
            </w:pPr>
            <w:r>
              <w:rPr>
                <w:rFonts w:hint="eastAsia" w:asciiTheme="minorEastAsia" w:hAnsiTheme="minorEastAsia"/>
                <w:color w:val="auto"/>
                <w:sz w:val="21"/>
                <w:szCs w:val="21"/>
                <w:lang w:val="en-GB"/>
              </w:rPr>
              <w:t>服务清单</w:t>
            </w:r>
          </w:p>
        </w:tc>
        <w:tc>
          <w:tcPr>
            <w:tcW w:w="7647" w:type="dxa"/>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Theme="minorEastAsia" w:hAnsiTheme="minorEastAsia"/>
                <w:color w:val="auto"/>
                <w:sz w:val="21"/>
                <w:szCs w:val="21"/>
                <w:lang w:val="en-GB"/>
              </w:rPr>
            </w:pPr>
            <w:r>
              <w:rPr>
                <w:rFonts w:hint="eastAsia" w:asciiTheme="minorEastAsia" w:hAnsiTheme="minorEastAsia"/>
                <w:color w:val="auto"/>
                <w:sz w:val="21"/>
                <w:szCs w:val="21"/>
                <w:lang w:val="en-GB"/>
              </w:rPr>
              <w:t>1、按照网站、报纸、客户端、微信、微博等数据源浏览数据，展现结构化纯净数据；实现对省市区的主流网站、报刊、微博、微信号及其他新媒体发布渠道进行定向采集和监测，得1分；</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Theme="minorEastAsia" w:hAnsiTheme="minorEastAsia"/>
                <w:color w:val="auto"/>
                <w:sz w:val="21"/>
                <w:szCs w:val="21"/>
                <w:lang w:val="en-GB"/>
              </w:rPr>
            </w:pPr>
            <w:r>
              <w:rPr>
                <w:rFonts w:hint="eastAsia" w:asciiTheme="minorEastAsia" w:hAnsiTheme="minorEastAsia"/>
                <w:color w:val="auto"/>
                <w:sz w:val="21"/>
                <w:szCs w:val="21"/>
                <w:lang w:val="en-GB"/>
              </w:rPr>
              <w:t>2、具有媒体热点监测功能，得1分；</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Theme="minorEastAsia" w:hAnsiTheme="minorEastAsia"/>
                <w:color w:val="auto"/>
                <w:sz w:val="21"/>
                <w:szCs w:val="21"/>
                <w:lang w:val="en-GB"/>
              </w:rPr>
            </w:pPr>
            <w:r>
              <w:rPr>
                <w:rFonts w:hint="eastAsia" w:asciiTheme="minorEastAsia" w:hAnsiTheme="minorEastAsia"/>
                <w:color w:val="auto"/>
                <w:sz w:val="21"/>
                <w:szCs w:val="21"/>
                <w:lang w:val="en-GB"/>
              </w:rPr>
              <w:t>3、具有用户热点监测功能，得1分；</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Theme="minorEastAsia" w:hAnsiTheme="minorEastAsia"/>
                <w:color w:val="auto"/>
                <w:sz w:val="21"/>
                <w:szCs w:val="21"/>
                <w:lang w:val="en-GB"/>
              </w:rPr>
            </w:pPr>
            <w:r>
              <w:rPr>
                <w:rFonts w:hint="eastAsia" w:asciiTheme="minorEastAsia" w:hAnsiTheme="minorEastAsia"/>
                <w:color w:val="auto"/>
                <w:sz w:val="21"/>
                <w:szCs w:val="21"/>
                <w:lang w:val="en-GB"/>
              </w:rPr>
              <w:t>4、具有专题分析功能，得1分；</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Theme="minorEastAsia" w:hAnsiTheme="minorEastAsia"/>
                <w:color w:val="auto"/>
                <w:sz w:val="21"/>
                <w:szCs w:val="21"/>
                <w:lang w:val="en-GB"/>
              </w:rPr>
            </w:pPr>
            <w:r>
              <w:rPr>
                <w:rFonts w:hint="eastAsia" w:asciiTheme="minorEastAsia" w:hAnsiTheme="minorEastAsia"/>
                <w:color w:val="auto"/>
                <w:sz w:val="21"/>
                <w:szCs w:val="21"/>
                <w:lang w:val="en-GB"/>
              </w:rPr>
              <w:t>5、具有地域新闻功能，得1分；</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Theme="minorEastAsia" w:hAnsiTheme="minorEastAsia"/>
                <w:color w:val="auto"/>
                <w:sz w:val="21"/>
                <w:szCs w:val="21"/>
                <w:lang w:val="en-GB"/>
              </w:rPr>
            </w:pPr>
            <w:r>
              <w:rPr>
                <w:rFonts w:hint="eastAsia" w:asciiTheme="minorEastAsia" w:hAnsiTheme="minorEastAsia"/>
                <w:color w:val="auto"/>
                <w:sz w:val="21"/>
                <w:szCs w:val="21"/>
                <w:lang w:val="en-GB"/>
              </w:rPr>
              <w:t>6、具有高频点击功能，得1分；</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Theme="minorEastAsia" w:hAnsiTheme="minorEastAsia"/>
                <w:color w:val="auto"/>
                <w:sz w:val="21"/>
                <w:szCs w:val="21"/>
                <w:lang w:val="en-GB"/>
              </w:rPr>
            </w:pPr>
            <w:r>
              <w:rPr>
                <w:rFonts w:hint="eastAsia" w:asciiTheme="minorEastAsia" w:hAnsiTheme="minorEastAsia"/>
                <w:color w:val="auto"/>
                <w:sz w:val="21"/>
                <w:szCs w:val="21"/>
                <w:lang w:val="en-GB"/>
              </w:rPr>
              <w:t>7、具有新闻快报功能，得1分；</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Theme="minorEastAsia" w:hAnsiTheme="minorEastAsia"/>
                <w:color w:val="auto"/>
                <w:sz w:val="21"/>
                <w:szCs w:val="21"/>
                <w:lang w:val="en-GB"/>
              </w:rPr>
            </w:pPr>
            <w:r>
              <w:rPr>
                <w:rFonts w:hint="eastAsia" w:asciiTheme="minorEastAsia" w:hAnsiTheme="minorEastAsia"/>
                <w:color w:val="auto"/>
                <w:sz w:val="21"/>
                <w:szCs w:val="21"/>
                <w:lang w:val="en-GB"/>
              </w:rPr>
              <w:t>8、具有微信助手功能，得1分；</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Theme="minorEastAsia" w:hAnsiTheme="minorEastAsia"/>
                <w:color w:val="auto"/>
                <w:sz w:val="21"/>
                <w:szCs w:val="21"/>
                <w:lang w:val="en-GB"/>
              </w:rPr>
            </w:pPr>
            <w:r>
              <w:rPr>
                <w:rFonts w:hint="eastAsia" w:asciiTheme="minorEastAsia" w:hAnsiTheme="minorEastAsia"/>
                <w:color w:val="auto"/>
                <w:sz w:val="21"/>
                <w:szCs w:val="21"/>
                <w:lang w:val="en-GB"/>
              </w:rPr>
              <w:t>9、具有图片跟踪功能，得1分；</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Theme="minorEastAsia" w:hAnsiTheme="minorEastAsia"/>
                <w:color w:val="auto"/>
                <w:sz w:val="21"/>
                <w:szCs w:val="21"/>
                <w:lang w:val="en-GB"/>
              </w:rPr>
            </w:pPr>
            <w:r>
              <w:rPr>
                <w:rFonts w:hint="eastAsia" w:asciiTheme="minorEastAsia" w:hAnsiTheme="minorEastAsia"/>
                <w:color w:val="auto"/>
                <w:sz w:val="21"/>
                <w:szCs w:val="21"/>
                <w:lang w:val="en-GB"/>
              </w:rPr>
              <w:t>10、具有多维度检索和排序功能，支持不少于10个的检索维度，得1分。</w:t>
            </w:r>
          </w:p>
        </w:tc>
        <w:tc>
          <w:tcPr>
            <w:tcW w:w="836"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heme="minorEastAsia" w:hAnsiTheme="minorEastAsia"/>
                <w:color w:val="auto"/>
                <w:sz w:val="21"/>
                <w:szCs w:val="21"/>
              </w:rPr>
            </w:pPr>
            <w:r>
              <w:rPr>
                <w:rFonts w:hint="eastAsia" w:asciiTheme="minorEastAsia" w:hAnsiTheme="minorEastAsia"/>
                <w:color w:val="auto"/>
                <w:sz w:val="21"/>
                <w:szCs w:val="21"/>
                <w:u w:val="none"/>
                <w:lang w:val="en-US" w:eastAsia="zh-CN"/>
              </w:rPr>
              <w:t>10</w:t>
            </w:r>
            <w:r>
              <w:rPr>
                <w:rFonts w:hint="eastAsia" w:asciiTheme="minorEastAsia" w:hAnsiTheme="minorEastAsia"/>
                <w:color w:val="auto"/>
                <w:sz w:val="21"/>
                <w:szCs w:val="21"/>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1112"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heme="minorEastAsia" w:hAnsiTheme="minorEastAsia"/>
                <w:color w:val="auto"/>
                <w:sz w:val="21"/>
                <w:szCs w:val="21"/>
                <w:lang w:val="en-US" w:eastAsia="zh-CN"/>
              </w:rPr>
            </w:pPr>
            <w:r>
              <w:rPr>
                <w:rFonts w:hint="eastAsia" w:asciiTheme="minorEastAsia" w:hAnsiTheme="minorEastAsia"/>
                <w:color w:val="auto"/>
                <w:sz w:val="21"/>
                <w:szCs w:val="21"/>
                <w:lang w:val="en-GB"/>
              </w:rPr>
              <w:t>数据可视化</w:t>
            </w:r>
          </w:p>
        </w:tc>
        <w:tc>
          <w:tcPr>
            <w:tcW w:w="7647" w:type="dxa"/>
            <w:vAlign w:val="center"/>
          </w:tcPr>
          <w:p>
            <w:pPr>
              <w:ind w:firstLine="210" w:firstLineChars="100"/>
              <w:jc w:val="left"/>
              <w:rPr>
                <w:rFonts w:hint="eastAsia" w:ascii="宋体" w:hAnsi="宋体"/>
                <w:color w:val="000000"/>
                <w:sz w:val="21"/>
                <w:szCs w:val="21"/>
                <w:lang w:val="en-GB"/>
              </w:rPr>
            </w:pPr>
            <w:r>
              <w:rPr>
                <w:rFonts w:hint="eastAsia" w:ascii="宋体" w:hAnsi="宋体"/>
                <w:color w:val="000000"/>
                <w:sz w:val="21"/>
                <w:szCs w:val="21"/>
                <w:lang w:val="en-GB"/>
              </w:rPr>
              <w:t>支持以图表、排行榜、时间轴等方式，实时展示数据分析结果，同时对大屏幕的展示效果进行适配和优化。</w:t>
            </w:r>
          </w:p>
          <w:p>
            <w:pPr>
              <w:ind w:firstLine="210" w:firstLineChars="100"/>
              <w:jc w:val="left"/>
              <w:rPr>
                <w:rFonts w:hint="eastAsia" w:ascii="宋体" w:hAnsi="宋体"/>
                <w:color w:val="000000"/>
                <w:sz w:val="21"/>
                <w:szCs w:val="21"/>
                <w:lang w:val="en-GB"/>
              </w:rPr>
            </w:pPr>
            <w:r>
              <w:rPr>
                <w:rFonts w:hint="eastAsia" w:ascii="宋体" w:hAnsi="宋体"/>
                <w:color w:val="000000"/>
                <w:sz w:val="21"/>
                <w:szCs w:val="21"/>
                <w:lang w:val="en-GB"/>
              </w:rPr>
              <w:t>支持互联网热点信息、热搜以及热门话题的展示和轮播；支持热点信息、热搜以及热门话题的展示和轮播；支持自定义网络大V账号、官方微信账号、自定义网站频道等内容的展示和轮播，并实现数据动态更新，同时对大屏幕的展示效果进行适配和优化。</w:t>
            </w:r>
          </w:p>
          <w:p>
            <w:pPr>
              <w:ind w:firstLine="210" w:firstLineChars="100"/>
              <w:jc w:val="left"/>
              <w:rPr>
                <w:rFonts w:hint="eastAsia" w:ascii="宋体" w:hAnsi="宋体"/>
                <w:color w:val="000000"/>
                <w:sz w:val="21"/>
                <w:szCs w:val="21"/>
                <w:lang w:val="en-GB"/>
              </w:rPr>
            </w:pPr>
            <w:r>
              <w:rPr>
                <w:rFonts w:hint="eastAsia" w:ascii="宋体" w:hAnsi="宋体"/>
                <w:color w:val="000000"/>
                <w:sz w:val="21"/>
                <w:szCs w:val="21"/>
                <w:lang w:val="en-GB"/>
              </w:rPr>
              <w:t>要求平台整体页面UI设计大方精美，支持大屏展示页面的定制开发，能对集团的传播力、周边动态和事件跟踪等进行大屏可视化呈现。</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Theme="minorEastAsia" w:hAnsiTheme="minorEastAsia"/>
                <w:color w:val="auto"/>
                <w:sz w:val="21"/>
                <w:szCs w:val="21"/>
                <w:lang w:val="en-GB"/>
              </w:rPr>
            </w:pPr>
            <w:r>
              <w:rPr>
                <w:rFonts w:hint="eastAsia" w:asciiTheme="minorEastAsia" w:hAnsiTheme="minorEastAsia"/>
                <w:color w:val="auto"/>
                <w:sz w:val="21"/>
                <w:szCs w:val="21"/>
                <w:lang w:val="en-GB"/>
              </w:rPr>
              <w:t>模块数量：12块，满足，得</w:t>
            </w:r>
            <w:r>
              <w:rPr>
                <w:rFonts w:hint="eastAsia" w:asciiTheme="minorEastAsia" w:hAnsiTheme="minorEastAsia"/>
                <w:color w:val="auto"/>
                <w:sz w:val="21"/>
                <w:szCs w:val="21"/>
                <w:lang w:val="en-US" w:eastAsia="zh-CN"/>
              </w:rPr>
              <w:t>6</w:t>
            </w:r>
            <w:r>
              <w:rPr>
                <w:rFonts w:hint="eastAsia" w:asciiTheme="minorEastAsia" w:hAnsiTheme="minorEastAsia"/>
                <w:color w:val="auto"/>
                <w:sz w:val="21"/>
                <w:szCs w:val="21"/>
                <w:lang w:val="en-GB"/>
              </w:rPr>
              <w:t>分。</w:t>
            </w:r>
          </w:p>
        </w:tc>
        <w:tc>
          <w:tcPr>
            <w:tcW w:w="836"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olor w:val="auto"/>
                <w:sz w:val="21"/>
                <w:szCs w:val="21"/>
                <w:u w:val="none"/>
                <w:lang w:val="en-US" w:eastAsia="zh-CN"/>
              </w:rPr>
            </w:pPr>
            <w:r>
              <w:rPr>
                <w:rFonts w:hint="eastAsia" w:asciiTheme="minorEastAsia" w:hAnsiTheme="minorEastAsia"/>
                <w:color w:val="auto"/>
                <w:sz w:val="21"/>
                <w:szCs w:val="21"/>
                <w:u w:val="none"/>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1112"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heme="minorEastAsia" w:hAnsiTheme="minorEastAsia"/>
                <w:color w:val="auto"/>
                <w:sz w:val="21"/>
                <w:szCs w:val="21"/>
                <w:lang w:val="en-US" w:eastAsia="zh-CN"/>
              </w:rPr>
            </w:pPr>
            <w:r>
              <w:rPr>
                <w:rFonts w:hint="eastAsia" w:asciiTheme="minorEastAsia" w:hAnsiTheme="minorEastAsia"/>
                <w:color w:val="auto"/>
                <w:sz w:val="21"/>
                <w:szCs w:val="21"/>
                <w:lang w:val="en-GB"/>
              </w:rPr>
              <w:t>现场演示</w:t>
            </w:r>
          </w:p>
        </w:tc>
        <w:tc>
          <w:tcPr>
            <w:tcW w:w="7647" w:type="dxa"/>
            <w:vAlign w:val="center"/>
          </w:tcPr>
          <w:p>
            <w:pPr>
              <w:jc w:val="left"/>
              <w:rPr>
                <w:rFonts w:hint="eastAsia" w:ascii="宋体" w:hAnsi="宋体"/>
                <w:color w:val="000000"/>
                <w:sz w:val="21"/>
                <w:szCs w:val="21"/>
                <w:lang w:val="en-GB"/>
              </w:rPr>
            </w:pPr>
            <w:r>
              <w:rPr>
                <w:rFonts w:hint="eastAsia" w:ascii="宋体" w:hAnsi="宋体"/>
                <w:color w:val="000000"/>
                <w:sz w:val="21"/>
                <w:szCs w:val="21"/>
                <w:lang w:val="en-GB"/>
              </w:rPr>
              <w:t>1、演示基础数据，网站站点、微信、客户端等数据采集量和数据完整度以及数据分类维度等（数字报分类不少于10个类别，微信数据分类不少于5个，并支持按地区分类检索），类别需满足否则不得分，满足，则得3分，不满足不得分；</w:t>
            </w:r>
          </w:p>
          <w:p>
            <w:pPr>
              <w:jc w:val="left"/>
              <w:rPr>
                <w:rFonts w:hint="eastAsia" w:ascii="宋体" w:hAnsi="宋体"/>
                <w:color w:val="000000"/>
                <w:sz w:val="21"/>
                <w:szCs w:val="21"/>
                <w:lang w:val="en-GB"/>
              </w:rPr>
            </w:pPr>
            <w:r>
              <w:rPr>
                <w:rFonts w:hint="eastAsia" w:ascii="宋体" w:hAnsi="宋体"/>
                <w:color w:val="000000"/>
                <w:sz w:val="21"/>
                <w:szCs w:val="21"/>
                <w:lang w:val="en-GB"/>
              </w:rPr>
              <w:t>2、演示专题分析，能自动提取该专题的文字摘要、获取到该专题报道的文章总数，媒体总数，原创数及转载文章数，TOP10 报道媒体，首发报道、最新报道，实时计算该事件文章的词频，预测发展趋势及情感趋势，展示该事件的媒体地域分布情况及相关图集。全方位、多角度展示该事件发生发展全貌，得3分，不满足不得分；</w:t>
            </w:r>
          </w:p>
          <w:p>
            <w:pPr>
              <w:jc w:val="left"/>
              <w:rPr>
                <w:rFonts w:hint="eastAsia" w:ascii="宋体" w:hAnsi="宋体"/>
                <w:color w:val="000000"/>
                <w:sz w:val="21"/>
                <w:szCs w:val="21"/>
                <w:lang w:val="en-GB"/>
              </w:rPr>
            </w:pPr>
            <w:r>
              <w:rPr>
                <w:rFonts w:hint="eastAsia" w:ascii="宋体" w:hAnsi="宋体"/>
                <w:color w:val="000000"/>
                <w:sz w:val="21"/>
                <w:szCs w:val="21"/>
                <w:lang w:val="en-GB"/>
              </w:rPr>
              <w:t>3、演示媒体热点监测功能，满足得3分，不满足不得分；</w:t>
            </w:r>
          </w:p>
          <w:p>
            <w:pPr>
              <w:jc w:val="left"/>
              <w:rPr>
                <w:rFonts w:hint="eastAsia" w:ascii="宋体" w:hAnsi="宋体"/>
                <w:color w:val="000000"/>
                <w:sz w:val="21"/>
                <w:szCs w:val="21"/>
                <w:lang w:val="en-GB"/>
              </w:rPr>
            </w:pPr>
            <w:r>
              <w:rPr>
                <w:rFonts w:hint="eastAsia" w:ascii="宋体" w:hAnsi="宋体"/>
                <w:color w:val="000000"/>
                <w:sz w:val="21"/>
                <w:szCs w:val="21"/>
                <w:lang w:val="en-GB"/>
              </w:rPr>
              <w:t>4、演示地域新闻功能，满足得3分，不满足不得分；</w:t>
            </w:r>
          </w:p>
          <w:p>
            <w:pPr>
              <w:jc w:val="left"/>
              <w:rPr>
                <w:rFonts w:hint="eastAsia" w:ascii="宋体" w:hAnsi="宋体"/>
                <w:color w:val="000000"/>
                <w:sz w:val="21"/>
                <w:szCs w:val="21"/>
                <w:lang w:val="en-GB"/>
              </w:rPr>
            </w:pPr>
            <w:r>
              <w:rPr>
                <w:rFonts w:hint="eastAsia" w:ascii="宋体" w:hAnsi="宋体"/>
                <w:color w:val="000000"/>
                <w:sz w:val="21"/>
                <w:szCs w:val="21"/>
                <w:lang w:val="en-GB"/>
              </w:rPr>
              <w:t>5、演示用户热点监测功能，满足得3分，不满足不得分；</w:t>
            </w:r>
          </w:p>
          <w:p>
            <w:pPr>
              <w:jc w:val="left"/>
              <w:rPr>
                <w:rFonts w:hint="eastAsia" w:ascii="宋体" w:hAnsi="宋体"/>
                <w:color w:val="000000"/>
                <w:sz w:val="21"/>
                <w:szCs w:val="21"/>
                <w:lang w:val="en-GB"/>
              </w:rPr>
            </w:pPr>
            <w:r>
              <w:rPr>
                <w:rFonts w:hint="eastAsia" w:ascii="宋体" w:hAnsi="宋体"/>
                <w:color w:val="000000"/>
                <w:sz w:val="21"/>
                <w:szCs w:val="21"/>
                <w:lang w:val="en-GB"/>
              </w:rPr>
              <w:t>6、演示大屏可视化系统，满足得6分，不满足不得分；</w:t>
            </w:r>
          </w:p>
          <w:p>
            <w:pPr>
              <w:jc w:val="left"/>
              <w:rPr>
                <w:rFonts w:hint="eastAsia" w:ascii="宋体" w:hAnsi="宋体"/>
                <w:color w:val="000000"/>
                <w:sz w:val="21"/>
                <w:szCs w:val="21"/>
                <w:lang w:val="en-GB"/>
              </w:rPr>
            </w:pPr>
            <w:r>
              <w:rPr>
                <w:rFonts w:hint="eastAsia" w:ascii="宋体" w:hAnsi="宋体"/>
                <w:color w:val="000000"/>
                <w:sz w:val="21"/>
                <w:szCs w:val="21"/>
                <w:lang w:val="en-GB"/>
              </w:rPr>
              <w:t>7、演示数据多维度全文检索能力，满足得3分，不满足不得分；</w:t>
            </w:r>
          </w:p>
          <w:p>
            <w:pPr>
              <w:jc w:val="left"/>
              <w:rPr>
                <w:rFonts w:hint="eastAsia" w:ascii="宋体" w:hAnsi="宋体"/>
                <w:color w:val="000000"/>
                <w:sz w:val="21"/>
                <w:szCs w:val="21"/>
                <w:lang w:val="en-US"/>
              </w:rPr>
            </w:pPr>
            <w:r>
              <w:rPr>
                <w:rFonts w:hint="eastAsia" w:ascii="宋体" w:hAnsi="宋体"/>
                <w:color w:val="000000"/>
                <w:sz w:val="21"/>
                <w:szCs w:val="21"/>
                <w:lang w:val="en-US"/>
              </w:rPr>
              <w:t>支持关键词检索</w:t>
            </w:r>
          </w:p>
          <w:p>
            <w:pPr>
              <w:jc w:val="left"/>
              <w:rPr>
                <w:rFonts w:hint="eastAsia" w:ascii="宋体" w:hAnsi="宋体"/>
                <w:color w:val="000000"/>
                <w:sz w:val="21"/>
                <w:szCs w:val="21"/>
                <w:lang w:val="en-US"/>
              </w:rPr>
            </w:pPr>
            <w:r>
              <w:rPr>
                <w:rFonts w:hint="eastAsia" w:ascii="宋体" w:hAnsi="宋体"/>
                <w:color w:val="000000"/>
                <w:sz w:val="21"/>
                <w:szCs w:val="21"/>
                <w:lang w:val="en-US"/>
              </w:rPr>
              <w:t>支持原创/转载判断检索</w:t>
            </w:r>
          </w:p>
          <w:p>
            <w:pPr>
              <w:jc w:val="left"/>
              <w:rPr>
                <w:rFonts w:hint="eastAsia" w:ascii="宋体" w:hAnsi="宋体"/>
                <w:color w:val="000000"/>
                <w:sz w:val="21"/>
                <w:szCs w:val="21"/>
                <w:lang w:val="en-US"/>
              </w:rPr>
            </w:pPr>
            <w:r>
              <w:rPr>
                <w:rFonts w:hint="eastAsia" w:ascii="宋体" w:hAnsi="宋体"/>
                <w:color w:val="000000"/>
                <w:sz w:val="21"/>
                <w:szCs w:val="21"/>
                <w:lang w:val="en-US"/>
              </w:rPr>
              <w:t>支持正负面情感值检索</w:t>
            </w:r>
          </w:p>
          <w:p>
            <w:pPr>
              <w:jc w:val="left"/>
              <w:rPr>
                <w:rFonts w:hint="eastAsia" w:ascii="宋体" w:hAnsi="宋体"/>
                <w:color w:val="000000"/>
                <w:sz w:val="21"/>
                <w:szCs w:val="21"/>
                <w:lang w:val="en-US"/>
              </w:rPr>
            </w:pPr>
            <w:r>
              <w:rPr>
                <w:rFonts w:hint="eastAsia" w:ascii="宋体" w:hAnsi="宋体"/>
                <w:color w:val="000000"/>
                <w:sz w:val="21"/>
                <w:szCs w:val="21"/>
                <w:lang w:val="en-US"/>
              </w:rPr>
              <w:t>支持是否图片检索</w:t>
            </w:r>
          </w:p>
          <w:p>
            <w:pPr>
              <w:jc w:val="left"/>
              <w:rPr>
                <w:rFonts w:hint="eastAsia" w:asciiTheme="minorEastAsia" w:hAnsiTheme="minorEastAsia"/>
                <w:color w:val="FF0000"/>
                <w:sz w:val="21"/>
                <w:szCs w:val="21"/>
                <w:lang w:val="en-GB"/>
              </w:rPr>
            </w:pPr>
            <w:r>
              <w:rPr>
                <w:rFonts w:hint="eastAsia" w:ascii="宋体" w:hAnsi="宋体"/>
                <w:color w:val="000000"/>
                <w:sz w:val="21"/>
                <w:szCs w:val="21"/>
                <w:lang w:val="en-GB"/>
              </w:rPr>
              <w:t>演示要求：只接受投标人真实系统功能实际操作演示，采用PPT、宣传视频、截图或纯静态页面等事先准备好的材料进行演示的均视为无效演示</w:t>
            </w:r>
            <w:r>
              <w:rPr>
                <w:rFonts w:hint="eastAsia"/>
                <w:color w:val="000000"/>
                <w:sz w:val="21"/>
                <w:szCs w:val="21"/>
                <w:lang w:val="en-GB"/>
              </w:rPr>
              <w:t>。</w:t>
            </w:r>
          </w:p>
        </w:tc>
        <w:tc>
          <w:tcPr>
            <w:tcW w:w="836"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Theme="minorEastAsia" w:hAnsiTheme="minorEastAsia" w:eastAsiaTheme="minorEastAsia"/>
                <w:color w:val="auto"/>
                <w:sz w:val="21"/>
                <w:szCs w:val="21"/>
                <w:u w:val="single"/>
                <w:lang w:val="en-US" w:eastAsia="zh-CN"/>
              </w:rPr>
            </w:pPr>
            <w:r>
              <w:rPr>
                <w:rFonts w:hint="eastAsia" w:asciiTheme="minorEastAsia" w:hAnsiTheme="minorEastAsia"/>
                <w:color w:val="auto"/>
                <w:sz w:val="21"/>
                <w:szCs w:val="21"/>
                <w:u w:val="none"/>
                <w:lang w:val="en-US" w:eastAsia="zh-CN"/>
              </w:rPr>
              <w:t>24分</w:t>
            </w:r>
          </w:p>
        </w:tc>
      </w:tr>
    </w:tbl>
    <w:p>
      <w:pPr>
        <w:pStyle w:val="16"/>
        <w:spacing w:line="360" w:lineRule="auto"/>
        <w:ind w:firstLine="422" w:firstLineChars="200"/>
        <w:contextualSpacing/>
        <w:rPr>
          <w:rFonts w:hint="eastAsia" w:cs="仿宋_GB2312" w:asciiTheme="minorEastAsia" w:hAnsiTheme="minorEastAsia" w:eastAsiaTheme="minorEastAsia"/>
          <w:b/>
          <w:sz w:val="21"/>
          <w:szCs w:val="21"/>
          <w:lang w:val="en-US" w:eastAsia="zh-CN"/>
        </w:rPr>
      </w:pPr>
    </w:p>
    <w:p>
      <w:pPr>
        <w:pStyle w:val="16"/>
        <w:spacing w:line="360" w:lineRule="auto"/>
        <w:ind w:firstLine="422" w:firstLineChars="200"/>
        <w:contextualSpacing/>
        <w:rPr>
          <w:rFonts w:hint="eastAsia" w:cs="仿宋_GB2312" w:asciiTheme="minorEastAsia" w:hAnsiTheme="minorEastAsia" w:eastAsiaTheme="minorEastAsia"/>
          <w:b/>
          <w:sz w:val="21"/>
          <w:szCs w:val="21"/>
          <w:lang w:val="en-US" w:eastAsia="zh-CN"/>
        </w:rPr>
      </w:pPr>
      <w:r>
        <w:rPr>
          <w:rFonts w:hint="eastAsia" w:cs="仿宋_GB2312" w:asciiTheme="minorEastAsia" w:hAnsiTheme="minorEastAsia" w:eastAsiaTheme="minorEastAsia"/>
          <w:b/>
          <w:sz w:val="21"/>
          <w:szCs w:val="21"/>
          <w:lang w:val="en-US" w:eastAsia="zh-CN"/>
        </w:rPr>
        <w:t>C包：</w:t>
      </w:r>
    </w:p>
    <w:tbl>
      <w:tblPr>
        <w:tblStyle w:val="31"/>
        <w:tblW w:w="9447" w:type="dxa"/>
        <w:jc w:val="center"/>
        <w:tblInd w:w="-4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7635"/>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112"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heme="minorEastAsia" w:hAnsiTheme="minorEastAsia"/>
                <w:color w:val="auto"/>
                <w:sz w:val="21"/>
                <w:szCs w:val="21"/>
              </w:rPr>
            </w:pPr>
            <w:r>
              <w:rPr>
                <w:rFonts w:hint="eastAsia" w:asciiTheme="minorEastAsia" w:hAnsiTheme="minorEastAsia"/>
                <w:color w:val="auto"/>
                <w:sz w:val="21"/>
                <w:szCs w:val="21"/>
              </w:rPr>
              <w:t>分值构成</w:t>
            </w:r>
          </w:p>
        </w:tc>
        <w:tc>
          <w:tcPr>
            <w:tcW w:w="8335" w:type="dxa"/>
            <w:gridSpan w:val="2"/>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eastAsia="宋体" w:asciiTheme="minorEastAsia" w:hAnsiTheme="minorEastAsia"/>
                <w:color w:val="auto"/>
                <w:sz w:val="21"/>
                <w:szCs w:val="21"/>
                <w:lang w:eastAsia="zh-CN"/>
              </w:rPr>
            </w:pPr>
            <w:r>
              <w:rPr>
                <w:rFonts w:hint="eastAsia" w:asciiTheme="minorEastAsia" w:hAnsiTheme="minorEastAsia"/>
                <w:color w:val="auto"/>
                <w:sz w:val="21"/>
                <w:szCs w:val="21"/>
              </w:rPr>
              <w:t>总分100分</w:t>
            </w:r>
            <w:r>
              <w:rPr>
                <w:rFonts w:hint="eastAsia" w:asciiTheme="minorEastAsia" w:hAnsiTheme="minorEastAsia"/>
                <w:color w:val="auto"/>
                <w:sz w:val="21"/>
                <w:szCs w:val="21"/>
                <w:lang w:val="en-US" w:eastAsia="zh-CN"/>
              </w:rPr>
              <w:t>，其中：</w:t>
            </w:r>
            <w:r>
              <w:rPr>
                <w:rFonts w:hint="eastAsia" w:asciiTheme="minorEastAsia" w:hAnsiTheme="minorEastAsia"/>
                <w:color w:val="auto"/>
                <w:sz w:val="21"/>
                <w:szCs w:val="21"/>
              </w:rPr>
              <w:t>价格分值：</w:t>
            </w:r>
            <w:r>
              <w:rPr>
                <w:rFonts w:hint="eastAsia" w:asciiTheme="minorEastAsia" w:hAnsiTheme="minorEastAsia"/>
                <w:color w:val="auto"/>
                <w:sz w:val="21"/>
                <w:szCs w:val="21"/>
                <w:u w:val="single"/>
                <w:lang w:val="en-US" w:eastAsia="zh-CN"/>
              </w:rPr>
              <w:t>30</w:t>
            </w:r>
            <w:r>
              <w:rPr>
                <w:rFonts w:hint="eastAsia" w:asciiTheme="minorEastAsia" w:hAnsiTheme="minorEastAsia"/>
                <w:color w:val="auto"/>
                <w:sz w:val="21"/>
                <w:szCs w:val="21"/>
              </w:rPr>
              <w:t>分</w:t>
            </w:r>
            <w:r>
              <w:rPr>
                <w:rFonts w:hint="eastAsia" w:asciiTheme="minorEastAsia" w:hAnsiTheme="minorEastAsia"/>
                <w:color w:val="auto"/>
                <w:sz w:val="21"/>
                <w:szCs w:val="21"/>
                <w:lang w:eastAsia="zh-CN"/>
              </w:rPr>
              <w:t>、</w:t>
            </w:r>
            <w:r>
              <w:rPr>
                <w:rFonts w:hint="eastAsia" w:asciiTheme="minorEastAsia" w:hAnsiTheme="minorEastAsia"/>
                <w:color w:val="auto"/>
                <w:sz w:val="21"/>
                <w:szCs w:val="21"/>
              </w:rPr>
              <w:t>商务部分：</w:t>
            </w:r>
            <w:r>
              <w:rPr>
                <w:rFonts w:hint="eastAsia" w:asciiTheme="minorEastAsia" w:hAnsiTheme="minorEastAsia"/>
                <w:color w:val="auto"/>
                <w:sz w:val="21"/>
                <w:szCs w:val="21"/>
                <w:u w:val="single"/>
                <w:lang w:val="en-US" w:eastAsia="zh-CN"/>
              </w:rPr>
              <w:t>33</w:t>
            </w:r>
            <w:r>
              <w:rPr>
                <w:rFonts w:hint="eastAsia" w:asciiTheme="minorEastAsia" w:hAnsiTheme="minorEastAsia"/>
                <w:color w:val="auto"/>
                <w:sz w:val="21"/>
                <w:szCs w:val="21"/>
              </w:rPr>
              <w:t>分</w:t>
            </w:r>
            <w:r>
              <w:rPr>
                <w:rFonts w:hint="eastAsia" w:asciiTheme="minorEastAsia" w:hAnsiTheme="minorEastAsia"/>
                <w:color w:val="auto"/>
                <w:sz w:val="21"/>
                <w:szCs w:val="21"/>
                <w:lang w:eastAsia="zh-CN"/>
              </w:rPr>
              <w:t>、</w:t>
            </w:r>
            <w:r>
              <w:rPr>
                <w:rFonts w:hint="eastAsia" w:asciiTheme="minorEastAsia" w:hAnsiTheme="minorEastAsia"/>
                <w:color w:val="auto"/>
                <w:sz w:val="21"/>
                <w:szCs w:val="21"/>
              </w:rPr>
              <w:t>技术部分：</w:t>
            </w:r>
            <w:r>
              <w:rPr>
                <w:rFonts w:hint="eastAsia" w:asciiTheme="minorEastAsia" w:hAnsiTheme="minorEastAsia"/>
                <w:color w:val="auto"/>
                <w:sz w:val="21"/>
                <w:szCs w:val="21"/>
                <w:u w:val="single"/>
                <w:lang w:val="en-US" w:eastAsia="zh-CN"/>
              </w:rPr>
              <w:t>37</w:t>
            </w:r>
            <w:r>
              <w:rPr>
                <w:rFonts w:hint="eastAsia" w:asciiTheme="minorEastAsia" w:hAnsiTheme="minorEastAsia"/>
                <w:color w:val="auto"/>
                <w:sz w:val="21"/>
                <w:szCs w:val="21"/>
              </w:rPr>
              <w:t>分</w:t>
            </w:r>
            <w:r>
              <w:rPr>
                <w:rFonts w:hint="eastAsia" w:asciiTheme="minorEastAsia" w:hAnsiTheme="minorEastAsia"/>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jc w:val="center"/>
        </w:trPr>
        <w:tc>
          <w:tcPr>
            <w:tcW w:w="9447" w:type="dxa"/>
            <w:gridSpan w:val="3"/>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heme="minorEastAsia" w:hAnsiTheme="minorEastAsia"/>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1112"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heme="minorEastAsia" w:hAnsiTheme="minorEastAsia"/>
                <w:b/>
                <w:color w:val="auto"/>
                <w:sz w:val="21"/>
                <w:szCs w:val="21"/>
              </w:rPr>
            </w:pPr>
            <w:r>
              <w:rPr>
                <w:rFonts w:hint="eastAsia" w:asciiTheme="minorEastAsia" w:hAnsiTheme="minorEastAsia"/>
                <w:b/>
                <w:color w:val="auto"/>
                <w:sz w:val="21"/>
                <w:szCs w:val="21"/>
              </w:rPr>
              <w:t>评分因素</w:t>
            </w:r>
          </w:p>
        </w:tc>
        <w:tc>
          <w:tcPr>
            <w:tcW w:w="7635"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eastAsia="宋体" w:asciiTheme="minorEastAsia" w:hAnsiTheme="minorEastAsia"/>
                <w:b/>
                <w:color w:val="auto"/>
                <w:sz w:val="21"/>
                <w:szCs w:val="21"/>
                <w:lang w:eastAsia="zh-CN"/>
              </w:rPr>
            </w:pPr>
            <w:r>
              <w:rPr>
                <w:rFonts w:hint="eastAsia" w:asciiTheme="minorEastAsia" w:hAnsiTheme="minorEastAsia"/>
                <w:b/>
                <w:color w:val="auto"/>
                <w:sz w:val="21"/>
                <w:szCs w:val="21"/>
              </w:rPr>
              <w:t>评</w:t>
            </w:r>
            <w:r>
              <w:rPr>
                <w:rFonts w:hint="eastAsia" w:asciiTheme="minorEastAsia" w:hAnsiTheme="minorEastAsia"/>
                <w:b/>
                <w:color w:val="auto"/>
                <w:sz w:val="21"/>
                <w:szCs w:val="21"/>
                <w:lang w:eastAsia="zh-CN"/>
              </w:rPr>
              <w:t>分</w:t>
            </w:r>
            <w:r>
              <w:rPr>
                <w:rFonts w:hint="eastAsia" w:asciiTheme="minorEastAsia" w:hAnsiTheme="minorEastAsia"/>
                <w:b/>
                <w:color w:val="auto"/>
                <w:sz w:val="21"/>
                <w:szCs w:val="21"/>
              </w:rPr>
              <w:t>标准</w:t>
            </w:r>
            <w:r>
              <w:rPr>
                <w:rFonts w:hint="eastAsia" w:asciiTheme="minorEastAsia" w:hAnsiTheme="minorEastAsia"/>
                <w:b/>
                <w:color w:val="auto"/>
                <w:sz w:val="21"/>
                <w:szCs w:val="21"/>
                <w:lang w:eastAsia="zh-CN"/>
              </w:rPr>
              <w:t>细则</w:t>
            </w:r>
          </w:p>
        </w:tc>
        <w:tc>
          <w:tcPr>
            <w:tcW w:w="700"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heme="minorEastAsia" w:hAnsiTheme="minorEastAsia"/>
                <w:b/>
                <w:color w:val="auto"/>
                <w:sz w:val="21"/>
                <w:szCs w:val="21"/>
              </w:rPr>
            </w:pPr>
            <w:r>
              <w:rPr>
                <w:rFonts w:hint="eastAsia" w:asciiTheme="minorEastAsia" w:hAnsiTheme="minorEastAsia"/>
                <w:b/>
                <w:color w:val="auto"/>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9447" w:type="dxa"/>
            <w:gridSpan w:val="3"/>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heme="minorEastAsia" w:hAnsiTheme="minorEastAsia"/>
                <w:b/>
                <w:color w:val="auto"/>
                <w:sz w:val="21"/>
                <w:szCs w:val="21"/>
              </w:rPr>
            </w:pPr>
            <w:r>
              <w:rPr>
                <w:rFonts w:hint="eastAsia" w:asciiTheme="minorEastAsia" w:hAnsiTheme="minorEastAsia"/>
                <w:b/>
                <w:color w:val="auto"/>
                <w:sz w:val="21"/>
                <w:szCs w:val="21"/>
              </w:rPr>
              <w:t>价格部分（满分</w:t>
            </w:r>
            <w:r>
              <w:rPr>
                <w:rFonts w:hint="eastAsia" w:asciiTheme="minorEastAsia" w:hAnsiTheme="minorEastAsia"/>
                <w:b/>
                <w:color w:val="auto"/>
                <w:sz w:val="21"/>
                <w:szCs w:val="21"/>
                <w:u w:val="single"/>
                <w:lang w:val="en-US" w:eastAsia="zh-CN"/>
              </w:rPr>
              <w:t>30</w:t>
            </w:r>
            <w:r>
              <w:rPr>
                <w:rFonts w:hint="eastAsia" w:asciiTheme="minorEastAsia" w:hAnsiTheme="minorEastAsia"/>
                <w:b/>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112"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heme="minorEastAsia" w:hAnsiTheme="minorEastAsia"/>
                <w:color w:val="auto"/>
                <w:sz w:val="21"/>
                <w:szCs w:val="21"/>
              </w:rPr>
            </w:pPr>
            <w:r>
              <w:rPr>
                <w:rFonts w:hint="eastAsia" w:asciiTheme="minorEastAsia" w:hAnsiTheme="minorEastAsia"/>
                <w:color w:val="auto"/>
                <w:sz w:val="21"/>
                <w:szCs w:val="21"/>
              </w:rPr>
              <w:t>投标报价</w:t>
            </w:r>
          </w:p>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heme="minorEastAsia" w:hAnsiTheme="minorEastAsia"/>
                <w:color w:val="auto"/>
                <w:sz w:val="21"/>
                <w:szCs w:val="21"/>
              </w:rPr>
            </w:pPr>
            <w:r>
              <w:rPr>
                <w:rFonts w:hint="eastAsia" w:asciiTheme="minorEastAsia" w:hAnsiTheme="minorEastAsia"/>
                <w:color w:val="auto"/>
                <w:sz w:val="21"/>
                <w:szCs w:val="21"/>
              </w:rPr>
              <w:t>评分标准</w:t>
            </w:r>
          </w:p>
        </w:tc>
        <w:tc>
          <w:tcPr>
            <w:tcW w:w="7635"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Theme="minorEastAsia" w:hAnsiTheme="minorEastAsia"/>
                <w:color w:val="auto"/>
                <w:sz w:val="21"/>
                <w:szCs w:val="21"/>
              </w:rPr>
            </w:pPr>
            <w:r>
              <w:rPr>
                <w:rFonts w:hint="eastAsia" w:asciiTheme="minorEastAsia" w:hAnsiTheme="minorEastAsia"/>
                <w:color w:val="auto"/>
                <w:sz w:val="21"/>
                <w:szCs w:val="21"/>
              </w:rPr>
              <w:t>评标基准价：满足招标文件要求的有效投标报价中，最低的投标报价为评标基准价。</w:t>
            </w:r>
          </w:p>
          <w:p>
            <w:pPr>
              <w:keepNext w:val="0"/>
              <w:keepLines w:val="0"/>
              <w:pageBreakBefore w:val="0"/>
              <w:widowControl w:val="0"/>
              <w:kinsoku/>
              <w:wordWrap/>
              <w:overflowPunct/>
              <w:topLinePunct w:val="0"/>
              <w:autoSpaceDE/>
              <w:autoSpaceDN/>
              <w:bidi w:val="0"/>
              <w:adjustRightInd/>
              <w:spacing w:line="360" w:lineRule="exact"/>
              <w:textAlignment w:val="auto"/>
              <w:rPr>
                <w:rFonts w:hint="default" w:asciiTheme="minorEastAsia" w:hAnsiTheme="minorEastAsia" w:eastAsiaTheme="minorEastAsia"/>
                <w:color w:val="auto"/>
                <w:sz w:val="21"/>
                <w:szCs w:val="21"/>
                <w:lang w:val="en-US" w:eastAsia="zh-CN"/>
              </w:rPr>
            </w:pPr>
            <w:r>
              <w:rPr>
                <w:rFonts w:hint="eastAsia" w:asciiTheme="minorEastAsia" w:hAnsiTheme="minorEastAsia"/>
                <w:color w:val="auto"/>
                <w:sz w:val="21"/>
                <w:szCs w:val="21"/>
              </w:rPr>
              <w:t>投标报价得分=（评标基准价/投标报价）×</w:t>
            </w:r>
            <w:r>
              <w:rPr>
                <w:rFonts w:hint="eastAsia" w:asciiTheme="minorEastAsia" w:hAnsiTheme="minorEastAsia"/>
                <w:color w:val="auto"/>
                <w:sz w:val="21"/>
                <w:szCs w:val="21"/>
                <w:lang w:val="en-US" w:eastAsia="zh-CN"/>
              </w:rPr>
              <w:t>30</w:t>
            </w:r>
          </w:p>
        </w:tc>
        <w:tc>
          <w:tcPr>
            <w:tcW w:w="700"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heme="minorEastAsia" w:hAnsiTheme="minorEastAsia"/>
                <w:color w:val="auto"/>
                <w:sz w:val="21"/>
                <w:szCs w:val="21"/>
              </w:rPr>
            </w:pPr>
            <w:r>
              <w:rPr>
                <w:rFonts w:hint="eastAsia" w:asciiTheme="minorEastAsia" w:hAnsiTheme="minorEastAsia"/>
                <w:color w:val="auto"/>
                <w:sz w:val="21"/>
                <w:szCs w:val="21"/>
                <w:u w:val="single"/>
                <w:lang w:val="en-US" w:eastAsia="zh-CN"/>
              </w:rPr>
              <w:t>30</w:t>
            </w:r>
            <w:r>
              <w:rPr>
                <w:rFonts w:hint="eastAsia" w:asciiTheme="minorEastAsia" w:hAnsiTheme="minorEastAsia"/>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47" w:type="dxa"/>
            <w:gridSpan w:val="3"/>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heme="minorEastAsia" w:hAnsiTheme="minorEastAsia"/>
                <w:b/>
                <w:color w:val="auto"/>
                <w:sz w:val="21"/>
                <w:szCs w:val="21"/>
              </w:rPr>
            </w:pPr>
            <w:r>
              <w:rPr>
                <w:rFonts w:hint="eastAsia" w:asciiTheme="minorEastAsia" w:hAnsiTheme="minorEastAsia"/>
                <w:b/>
                <w:color w:val="auto"/>
                <w:sz w:val="21"/>
                <w:szCs w:val="21"/>
              </w:rPr>
              <w:t>商务部分（满分</w:t>
            </w:r>
            <w:r>
              <w:rPr>
                <w:rFonts w:hint="eastAsia" w:asciiTheme="minorEastAsia" w:hAnsiTheme="minorEastAsia"/>
                <w:b/>
                <w:color w:val="auto"/>
                <w:sz w:val="21"/>
                <w:szCs w:val="21"/>
                <w:u w:val="single"/>
                <w:lang w:val="en-US" w:eastAsia="zh-CN"/>
              </w:rPr>
              <w:t>33</w:t>
            </w:r>
            <w:r>
              <w:rPr>
                <w:rFonts w:hint="eastAsia" w:asciiTheme="minorEastAsia" w:hAnsiTheme="minorEastAsia"/>
                <w:b/>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jc w:val="center"/>
        </w:trPr>
        <w:tc>
          <w:tcPr>
            <w:tcW w:w="1112"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olor w:val="auto"/>
                <w:sz w:val="21"/>
                <w:szCs w:val="21"/>
                <w:lang w:eastAsia="zh-CN"/>
              </w:rPr>
            </w:pPr>
            <w:r>
              <w:rPr>
                <w:rFonts w:hint="eastAsia" w:asciiTheme="minorEastAsia" w:hAnsiTheme="minorEastAsia"/>
                <w:color w:val="auto"/>
                <w:sz w:val="21"/>
                <w:szCs w:val="21"/>
                <w:lang w:eastAsia="zh-CN"/>
              </w:rPr>
              <w:t>信誉</w:t>
            </w:r>
          </w:p>
        </w:tc>
        <w:tc>
          <w:tcPr>
            <w:tcW w:w="763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asciiTheme="minorEastAsia" w:hAnsiTheme="minorEastAsia"/>
                <w:color w:val="auto"/>
                <w:sz w:val="21"/>
                <w:szCs w:val="21"/>
              </w:rPr>
            </w:pPr>
            <w:r>
              <w:rPr>
                <w:rFonts w:hint="eastAsia" w:asciiTheme="minorEastAsia" w:hAnsiTheme="minorEastAsia"/>
                <w:color w:val="auto"/>
                <w:sz w:val="21"/>
                <w:szCs w:val="21"/>
              </w:rPr>
              <w:t>投标单位提供经信用评估机构颁发的AAA信用等证书得3分。（评标时提供原件，否则不得分）</w:t>
            </w:r>
          </w:p>
        </w:tc>
        <w:tc>
          <w:tcPr>
            <w:tcW w:w="700"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仿宋" w:hAnsi="仿宋" w:eastAsia="仿宋"/>
                <w:color w:val="auto"/>
                <w:sz w:val="21"/>
                <w:szCs w:val="21"/>
              </w:rPr>
            </w:pPr>
            <w:r>
              <w:rPr>
                <w:rFonts w:hint="eastAsia" w:ascii="宋体" w:hAnsi="宋体"/>
                <w:color w:val="auto"/>
                <w:sz w:val="21"/>
                <w:szCs w:val="21"/>
                <w:lang w:val="en-US" w:eastAsia="zh-CN"/>
              </w:rPr>
              <w:t>3</w:t>
            </w:r>
            <w:r>
              <w:rPr>
                <w:rFonts w:hint="eastAsia" w:ascii="宋体" w:hAnsi="宋体"/>
                <w:color w:val="auto"/>
                <w:sz w:val="21"/>
                <w:szCs w:val="21"/>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12"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heme="minorEastAsia" w:hAnsiTheme="minorEastAsia"/>
                <w:color w:val="auto"/>
                <w:sz w:val="21"/>
                <w:szCs w:val="21"/>
              </w:rPr>
            </w:pPr>
            <w:r>
              <w:rPr>
                <w:rFonts w:hint="eastAsia" w:asciiTheme="minorEastAsia" w:hAnsiTheme="minorEastAsia"/>
                <w:color w:val="auto"/>
                <w:sz w:val="21"/>
                <w:szCs w:val="21"/>
              </w:rPr>
              <w:t>业绩</w:t>
            </w:r>
          </w:p>
        </w:tc>
        <w:tc>
          <w:tcPr>
            <w:tcW w:w="7635" w:type="dxa"/>
            <w:vAlign w:val="center"/>
          </w:tcPr>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Theme="minorEastAsia" w:hAnsiTheme="minorEastAsia"/>
                <w:color w:val="auto"/>
                <w:sz w:val="21"/>
                <w:szCs w:val="21"/>
                <w:lang w:val="en-GB"/>
              </w:rPr>
            </w:pPr>
            <w:r>
              <w:rPr>
                <w:rFonts w:hint="eastAsia" w:asciiTheme="minorEastAsia" w:hAnsiTheme="minorEastAsia"/>
                <w:color w:val="auto"/>
                <w:sz w:val="21"/>
                <w:szCs w:val="21"/>
                <w:lang w:val="en-GB"/>
              </w:rPr>
              <w:t>为保证投标单位拥有类似项目的实施经验，提供投标单位2017年以来在地市级及以上新闻媒体单位单份合同金额≥人民币200万元项目合同、合同内容须包含类似开发或系统集成项目。每提供1份有效证明材料（包含合同、中标通知书及政府采购网网页截图）得4分，最多得16分（评标时提供合同原件、中标通知书原件，否则不得分）</w:t>
            </w:r>
          </w:p>
        </w:tc>
        <w:tc>
          <w:tcPr>
            <w:tcW w:w="700"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heme="minorEastAsia" w:hAnsiTheme="minorEastAsia"/>
                <w:color w:val="auto"/>
                <w:sz w:val="21"/>
                <w:szCs w:val="21"/>
                <w:u w:val="single"/>
              </w:rPr>
            </w:pPr>
            <w:r>
              <w:rPr>
                <w:rFonts w:hint="eastAsia" w:asciiTheme="minorEastAsia" w:hAnsiTheme="minorEastAsia"/>
                <w:color w:val="auto"/>
                <w:sz w:val="21"/>
                <w:szCs w:val="21"/>
                <w:lang w:val="en-US" w:eastAsia="zh-CN"/>
              </w:rPr>
              <w:t>16</w:t>
            </w:r>
            <w:r>
              <w:rPr>
                <w:rFonts w:hint="eastAsia" w:asciiTheme="minorEastAsia" w:hAnsiTheme="minorEastAsia"/>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12"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olor w:val="auto"/>
                <w:sz w:val="21"/>
                <w:szCs w:val="21"/>
                <w:lang w:eastAsia="zh-CN"/>
              </w:rPr>
            </w:pPr>
            <w:r>
              <w:rPr>
                <w:rFonts w:hint="eastAsia" w:asciiTheme="minorEastAsia" w:hAnsiTheme="minorEastAsia"/>
                <w:color w:val="auto"/>
                <w:sz w:val="21"/>
                <w:szCs w:val="21"/>
                <w:lang w:val="en-US" w:eastAsia="zh-CN"/>
              </w:rPr>
              <w:t>售后服务体系</w:t>
            </w:r>
          </w:p>
        </w:tc>
        <w:tc>
          <w:tcPr>
            <w:tcW w:w="7635" w:type="dxa"/>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Theme="minorEastAsia" w:hAnsiTheme="minorEastAsia"/>
                <w:color w:val="auto"/>
                <w:sz w:val="21"/>
                <w:szCs w:val="21"/>
                <w:lang w:val="en-GB"/>
              </w:rPr>
            </w:pPr>
            <w:r>
              <w:rPr>
                <w:rFonts w:hint="eastAsia" w:asciiTheme="minorEastAsia" w:hAnsiTheme="minorEastAsia"/>
                <w:color w:val="auto"/>
                <w:sz w:val="21"/>
                <w:szCs w:val="21"/>
                <w:lang w:val="en-GB"/>
              </w:rPr>
              <w:t>1、为保证投标单位具备充足且稳定的售后服务人员，提供自2018年6月1日以来售后服务人员所在投标单位缴纳社保证明材料且缴纳社保月数6个月以上，售后服务人员10人（含）以上的得8分，6-9人（含）得 4分,5人（含）以下得2分；（评标时提供原件，否则不得分）</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Theme="minorEastAsia" w:hAnsiTheme="minorEastAsia"/>
                <w:color w:val="auto"/>
                <w:sz w:val="21"/>
                <w:szCs w:val="21"/>
                <w:lang w:val="en-GB"/>
              </w:rPr>
            </w:pPr>
            <w:r>
              <w:rPr>
                <w:rFonts w:hint="eastAsia" w:asciiTheme="minorEastAsia" w:hAnsiTheme="minorEastAsia"/>
                <w:color w:val="auto"/>
                <w:sz w:val="21"/>
                <w:szCs w:val="21"/>
                <w:lang w:val="en-GB"/>
              </w:rPr>
              <w:t>2、符合或高于售后运维服务要求，有完善的售后运维服务方案、培训方案，能确保售后运维服务的质量。优者得3分，中等者得2分，较差者得1分，未提供不得分</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Theme="minorEastAsia" w:hAnsiTheme="minorEastAsia"/>
                <w:color w:val="auto"/>
                <w:sz w:val="21"/>
                <w:szCs w:val="21"/>
                <w:lang w:val="en-GB"/>
              </w:rPr>
            </w:pPr>
            <w:r>
              <w:rPr>
                <w:rFonts w:hint="eastAsia" w:asciiTheme="minorEastAsia" w:hAnsiTheme="minorEastAsia"/>
                <w:color w:val="auto"/>
                <w:sz w:val="21"/>
                <w:szCs w:val="21"/>
                <w:lang w:val="en-GB"/>
              </w:rPr>
              <w:t>3、为保证售后服务，投标单位须设有</w:t>
            </w:r>
            <w:r>
              <w:rPr>
                <w:rFonts w:hint="eastAsia" w:asciiTheme="minorEastAsia" w:hAnsiTheme="minorEastAsia"/>
                <w:color w:val="auto"/>
                <w:sz w:val="21"/>
                <w:szCs w:val="21"/>
                <w:lang w:val="en-GB" w:eastAsia="zh-CN"/>
              </w:rPr>
              <w:t>完善的</w:t>
            </w:r>
            <w:r>
              <w:rPr>
                <w:rFonts w:hint="eastAsia" w:asciiTheme="minorEastAsia" w:hAnsiTheme="minorEastAsia"/>
                <w:color w:val="auto"/>
                <w:sz w:val="21"/>
                <w:szCs w:val="21"/>
                <w:lang w:val="en-GB"/>
              </w:rPr>
              <w:t>售后服务机构，并提供售后服务机构证明材料（售后服务协议及营业执照）的得3分，未提供不得分，</w:t>
            </w:r>
            <w:r>
              <w:rPr>
                <w:rFonts w:hint="eastAsia" w:asciiTheme="minorEastAsia" w:hAnsiTheme="minorEastAsia"/>
                <w:color w:val="auto"/>
                <w:sz w:val="21"/>
                <w:szCs w:val="21"/>
                <w:lang w:val="en-GB" w:eastAsia="zh-CN"/>
              </w:rPr>
              <w:t>河南</w:t>
            </w:r>
            <w:r>
              <w:rPr>
                <w:rFonts w:hint="eastAsia" w:asciiTheme="minorEastAsia" w:hAnsiTheme="minorEastAsia"/>
                <w:color w:val="auto"/>
                <w:sz w:val="21"/>
                <w:szCs w:val="21"/>
                <w:lang w:val="en-GB"/>
              </w:rPr>
              <w:t>省</w:t>
            </w:r>
            <w:r>
              <w:rPr>
                <w:rFonts w:hint="eastAsia" w:asciiTheme="minorEastAsia" w:hAnsiTheme="minorEastAsia"/>
                <w:color w:val="auto"/>
                <w:sz w:val="21"/>
                <w:szCs w:val="21"/>
                <w:lang w:val="en-GB" w:eastAsia="zh-CN"/>
              </w:rPr>
              <w:t>辖区</w:t>
            </w:r>
            <w:r>
              <w:rPr>
                <w:rFonts w:hint="eastAsia" w:asciiTheme="minorEastAsia" w:hAnsiTheme="minorEastAsia"/>
                <w:color w:val="auto"/>
                <w:sz w:val="21"/>
                <w:szCs w:val="21"/>
                <w:lang w:val="en-GB"/>
              </w:rPr>
              <w:t>内投标</w:t>
            </w:r>
            <w:r>
              <w:rPr>
                <w:rFonts w:hint="eastAsia" w:asciiTheme="minorEastAsia" w:hAnsiTheme="minorEastAsia"/>
                <w:color w:val="auto"/>
                <w:sz w:val="21"/>
                <w:szCs w:val="21"/>
                <w:lang w:val="en-GB" w:eastAsia="zh-CN"/>
              </w:rPr>
              <w:t>有</w:t>
            </w:r>
            <w:r>
              <w:rPr>
                <w:rFonts w:hint="eastAsia" w:asciiTheme="minorEastAsia" w:hAnsiTheme="minorEastAsia"/>
                <w:color w:val="auto"/>
                <w:sz w:val="21"/>
                <w:szCs w:val="21"/>
                <w:lang w:val="en-GB"/>
              </w:rPr>
              <w:t>无需提供。（评标时提供原件，否则不得分）</w:t>
            </w:r>
          </w:p>
        </w:tc>
        <w:tc>
          <w:tcPr>
            <w:tcW w:w="700"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heme="minorEastAsia" w:hAnsiTheme="minorEastAsia"/>
                <w:color w:val="auto"/>
                <w:sz w:val="21"/>
                <w:szCs w:val="21"/>
                <w:u w:val="single"/>
              </w:rPr>
            </w:pPr>
            <w:r>
              <w:rPr>
                <w:rFonts w:hint="eastAsia" w:asciiTheme="minorEastAsia" w:hAnsiTheme="minorEastAsia"/>
                <w:color w:val="auto"/>
                <w:sz w:val="21"/>
                <w:szCs w:val="21"/>
                <w:lang w:val="en-US" w:eastAsia="zh-CN"/>
              </w:rPr>
              <w:t>14</w:t>
            </w:r>
            <w:r>
              <w:rPr>
                <w:rFonts w:hint="eastAsia" w:asciiTheme="minorEastAsia" w:hAnsiTheme="minorEastAsia"/>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 w:hRule="atLeast"/>
          <w:jc w:val="center"/>
        </w:trPr>
        <w:tc>
          <w:tcPr>
            <w:tcW w:w="9447" w:type="dxa"/>
            <w:gridSpan w:val="3"/>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heme="minorEastAsia" w:hAnsiTheme="minorEastAsia"/>
                <w:b/>
                <w:color w:val="auto"/>
                <w:sz w:val="21"/>
                <w:szCs w:val="21"/>
              </w:rPr>
            </w:pPr>
            <w:r>
              <w:rPr>
                <w:rFonts w:hint="eastAsia" w:asciiTheme="minorEastAsia" w:hAnsiTheme="minorEastAsia"/>
                <w:b/>
                <w:color w:val="auto"/>
                <w:sz w:val="21"/>
                <w:szCs w:val="21"/>
              </w:rPr>
              <w:t>技术部分（满分</w:t>
            </w:r>
            <w:r>
              <w:rPr>
                <w:rFonts w:hint="eastAsia" w:asciiTheme="minorEastAsia" w:hAnsiTheme="minorEastAsia"/>
                <w:b/>
                <w:color w:val="auto"/>
                <w:sz w:val="21"/>
                <w:szCs w:val="21"/>
                <w:u w:val="single"/>
                <w:lang w:val="en-US" w:eastAsia="zh-CN"/>
              </w:rPr>
              <w:t>37</w:t>
            </w:r>
            <w:r>
              <w:rPr>
                <w:rFonts w:hint="eastAsia" w:asciiTheme="minorEastAsia" w:hAnsiTheme="minorEastAsia"/>
                <w:b/>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1112"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heme="minorEastAsia" w:hAnsiTheme="minorEastAsia"/>
                <w:color w:val="auto"/>
                <w:sz w:val="21"/>
                <w:szCs w:val="21"/>
                <w:lang w:val="en-US" w:eastAsia="zh-CN"/>
              </w:rPr>
            </w:pPr>
            <w:r>
              <w:rPr>
                <w:rFonts w:hint="eastAsia" w:asciiTheme="minorEastAsia" w:hAnsiTheme="minorEastAsia"/>
                <w:color w:val="auto"/>
                <w:sz w:val="21"/>
                <w:szCs w:val="21"/>
                <w:lang w:val="en-US" w:eastAsia="zh-CN"/>
              </w:rPr>
              <w:t>对招标文件的响应程度</w:t>
            </w:r>
          </w:p>
        </w:tc>
        <w:tc>
          <w:tcPr>
            <w:tcW w:w="7635" w:type="dxa"/>
            <w:vAlign w:val="center"/>
          </w:tcPr>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ascii="宋体" w:hAnsi="宋体"/>
                <w:color w:val="auto"/>
                <w:sz w:val="21"/>
                <w:szCs w:val="21"/>
              </w:rPr>
            </w:pPr>
            <w:r>
              <w:rPr>
                <w:rFonts w:hint="eastAsia" w:ascii="宋体" w:hAnsi="宋体"/>
                <w:color w:val="auto"/>
                <w:sz w:val="21"/>
                <w:szCs w:val="21"/>
              </w:rPr>
              <w:t>软件产品选型合理或开发方案完善，完全符合采购软件技术需求和参数得</w:t>
            </w:r>
            <w:r>
              <w:rPr>
                <w:rFonts w:ascii="宋体" w:hAnsi="宋体"/>
                <w:color w:val="auto"/>
                <w:sz w:val="21"/>
                <w:szCs w:val="21"/>
              </w:rPr>
              <w:t>24</w:t>
            </w:r>
            <w:r>
              <w:rPr>
                <w:rFonts w:hint="eastAsia" w:ascii="宋体" w:hAnsi="宋体"/>
                <w:color w:val="auto"/>
                <w:sz w:val="21"/>
                <w:szCs w:val="21"/>
              </w:rPr>
              <w:t>分；对于本项中重要指标（标注“★”指标项），每存在一项重要指标的负偏离扣减</w:t>
            </w:r>
            <w:r>
              <w:rPr>
                <w:rFonts w:ascii="宋体" w:hAnsi="宋体"/>
                <w:color w:val="auto"/>
                <w:sz w:val="21"/>
                <w:szCs w:val="21"/>
              </w:rPr>
              <w:t>2</w:t>
            </w:r>
            <w:r>
              <w:rPr>
                <w:rFonts w:hint="eastAsia" w:ascii="宋体" w:hAnsi="宋体"/>
                <w:color w:val="auto"/>
                <w:sz w:val="21"/>
                <w:szCs w:val="21"/>
              </w:rPr>
              <w:t>分，其他指标的负偏离扣减1分，扣完为止。</w:t>
            </w:r>
          </w:p>
        </w:tc>
        <w:tc>
          <w:tcPr>
            <w:tcW w:w="700"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heme="minorEastAsia" w:hAnsiTheme="minorEastAsia"/>
                <w:color w:val="auto"/>
                <w:sz w:val="21"/>
                <w:szCs w:val="21"/>
              </w:rPr>
            </w:pPr>
            <w:r>
              <w:rPr>
                <w:rFonts w:hint="eastAsia" w:asciiTheme="minorEastAsia" w:hAnsiTheme="minorEastAsia"/>
                <w:color w:val="auto"/>
                <w:sz w:val="21"/>
                <w:szCs w:val="21"/>
                <w:u w:val="none"/>
                <w:lang w:val="en-US" w:eastAsia="zh-CN"/>
              </w:rPr>
              <w:t>24</w:t>
            </w:r>
            <w:r>
              <w:rPr>
                <w:rFonts w:hint="eastAsia" w:asciiTheme="minorEastAsia" w:hAnsiTheme="minorEastAsia"/>
                <w:color w:val="auto"/>
                <w:sz w:val="21"/>
                <w:szCs w:val="21"/>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1112"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heme="minorEastAsia" w:hAnsiTheme="minorEastAsia"/>
                <w:color w:val="auto"/>
                <w:sz w:val="21"/>
                <w:szCs w:val="21"/>
                <w:lang w:val="en-US" w:eastAsia="zh-CN"/>
              </w:rPr>
            </w:pPr>
            <w:r>
              <w:rPr>
                <w:rFonts w:hint="eastAsia" w:asciiTheme="minorEastAsia" w:hAnsiTheme="minorEastAsia"/>
                <w:color w:val="auto"/>
                <w:sz w:val="21"/>
                <w:szCs w:val="21"/>
                <w:lang w:val="en-US" w:eastAsia="zh-CN"/>
              </w:rPr>
              <w:t>技术实力</w:t>
            </w:r>
          </w:p>
        </w:tc>
        <w:tc>
          <w:tcPr>
            <w:tcW w:w="7635" w:type="dxa"/>
            <w:vAlign w:val="center"/>
          </w:tcPr>
          <w:p>
            <w:pPr>
              <w:keepNext w:val="0"/>
              <w:keepLines w:val="0"/>
              <w:pageBreakBefore w:val="0"/>
              <w:widowControl w:val="0"/>
              <w:numPr>
                <w:ilvl w:val="0"/>
                <w:numId w:val="5"/>
              </w:numPr>
              <w:kinsoku/>
              <w:wordWrap/>
              <w:overflowPunct/>
              <w:topLinePunct w:val="0"/>
              <w:autoSpaceDE/>
              <w:autoSpaceDN/>
              <w:bidi w:val="0"/>
              <w:adjustRightInd/>
              <w:spacing w:line="360" w:lineRule="exact"/>
              <w:textAlignment w:val="auto"/>
              <w:rPr>
                <w:rFonts w:hint="eastAsia" w:ascii="宋体" w:hAnsi="宋体"/>
                <w:color w:val="auto"/>
                <w:sz w:val="21"/>
                <w:szCs w:val="21"/>
              </w:rPr>
            </w:pPr>
            <w:r>
              <w:rPr>
                <w:rFonts w:hint="eastAsia" w:ascii="宋体" w:hAnsi="宋体"/>
                <w:color w:val="auto"/>
                <w:sz w:val="21"/>
                <w:szCs w:val="21"/>
              </w:rPr>
              <w:t>提供融媒体软件生产厂家对本项目授权书及售后服务承诺书原件，得1分，未提供不得分</w:t>
            </w:r>
            <w:r>
              <w:rPr>
                <w:rFonts w:hint="eastAsia" w:ascii="宋体" w:hAnsi="宋体"/>
                <w:color w:val="auto"/>
                <w:sz w:val="21"/>
                <w:szCs w:val="21"/>
                <w:lang w:eastAsia="zh-CN"/>
              </w:rPr>
              <w:t>。</w:t>
            </w:r>
          </w:p>
          <w:p>
            <w:pPr>
              <w:keepNext w:val="0"/>
              <w:keepLines w:val="0"/>
              <w:pageBreakBefore w:val="0"/>
              <w:widowControl w:val="0"/>
              <w:numPr>
                <w:ilvl w:val="0"/>
                <w:numId w:val="5"/>
              </w:numPr>
              <w:kinsoku/>
              <w:wordWrap/>
              <w:overflowPunct/>
              <w:topLinePunct w:val="0"/>
              <w:autoSpaceDE/>
              <w:autoSpaceDN/>
              <w:bidi w:val="0"/>
              <w:adjustRightInd/>
              <w:spacing w:line="360" w:lineRule="exact"/>
              <w:textAlignment w:val="auto"/>
              <w:rPr>
                <w:rFonts w:hint="eastAsia" w:ascii="宋体" w:hAnsi="宋体"/>
                <w:color w:val="auto"/>
                <w:sz w:val="21"/>
                <w:szCs w:val="21"/>
              </w:rPr>
            </w:pPr>
            <w:r>
              <w:rPr>
                <w:rFonts w:hint="eastAsia" w:ascii="宋体" w:hAnsi="宋体"/>
                <w:color w:val="auto"/>
                <w:sz w:val="21"/>
                <w:szCs w:val="21"/>
              </w:rPr>
              <w:t>为保证投标单位具备软硬件开发及集成能力，提供投标单位音视频集成工程企业资质认证，壹级得4分，贰级得2分。（评标时提供原件，否则不得分）</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color w:val="auto"/>
                <w:sz w:val="21"/>
                <w:szCs w:val="21"/>
              </w:rPr>
            </w:pPr>
            <w:r>
              <w:rPr>
                <w:rFonts w:hint="eastAsia" w:ascii="宋体" w:hAnsi="宋体"/>
                <w:color w:val="auto"/>
                <w:sz w:val="21"/>
                <w:szCs w:val="21"/>
                <w:lang w:val="en-US" w:eastAsia="zh-CN"/>
              </w:rPr>
              <w:t>3、</w:t>
            </w:r>
            <w:r>
              <w:rPr>
                <w:rFonts w:hint="eastAsia" w:ascii="宋体" w:hAnsi="宋体"/>
                <w:color w:val="auto"/>
                <w:sz w:val="21"/>
                <w:szCs w:val="21"/>
              </w:rPr>
              <w:t>为保证投标单位具备良好的信誉，投标单位提供IS0质量管理体系认证、IS0环境管理体系认证、职业健康安全管理体系认证证书的得3分，缺一不得分。（评标时提供原件，否则不得分）</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color w:val="auto"/>
                <w:sz w:val="21"/>
                <w:szCs w:val="21"/>
              </w:rPr>
            </w:pPr>
            <w:r>
              <w:rPr>
                <w:rFonts w:hint="eastAsia" w:ascii="宋体" w:hAnsi="宋体"/>
                <w:color w:val="auto"/>
                <w:sz w:val="21"/>
                <w:szCs w:val="21"/>
                <w:lang w:val="en-US" w:eastAsia="zh-CN"/>
              </w:rPr>
              <w:t>4、</w:t>
            </w:r>
            <w:r>
              <w:rPr>
                <w:rFonts w:hint="eastAsia" w:ascii="宋体" w:hAnsi="宋体"/>
                <w:color w:val="auto"/>
                <w:sz w:val="21"/>
                <w:szCs w:val="21"/>
              </w:rPr>
              <w:t>为保证投标单位具有音视频方面专业技术人才，提供技术人员音视频设计工程师证书的得5分，并提供该员工所在投标单位的近期社保，两者缺一不得分。（评标时提供原件，否则不得分）</w:t>
            </w:r>
          </w:p>
        </w:tc>
        <w:tc>
          <w:tcPr>
            <w:tcW w:w="700"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Theme="minorEastAsia" w:hAnsiTheme="minorEastAsia" w:eastAsiaTheme="minorEastAsia"/>
                <w:color w:val="auto"/>
                <w:sz w:val="21"/>
                <w:szCs w:val="21"/>
                <w:u w:val="single"/>
                <w:lang w:val="en-US" w:eastAsia="zh-CN"/>
              </w:rPr>
            </w:pPr>
            <w:r>
              <w:rPr>
                <w:rFonts w:hint="eastAsia" w:asciiTheme="minorEastAsia" w:hAnsiTheme="minorEastAsia"/>
                <w:color w:val="auto"/>
                <w:sz w:val="21"/>
                <w:szCs w:val="21"/>
                <w:u w:val="none"/>
                <w:lang w:val="en-US" w:eastAsia="zh-CN"/>
              </w:rPr>
              <w:t>13分</w:t>
            </w:r>
          </w:p>
        </w:tc>
      </w:tr>
    </w:tbl>
    <w:p>
      <w:pPr>
        <w:pStyle w:val="16"/>
        <w:spacing w:line="360" w:lineRule="auto"/>
        <w:ind w:firstLine="422" w:firstLineChars="200"/>
        <w:contextualSpacing/>
        <w:rPr>
          <w:rFonts w:hint="eastAsia" w:cs="仿宋_GB2312" w:asciiTheme="minorEastAsia" w:hAnsiTheme="minorEastAsia" w:eastAsiaTheme="minorEastAsia"/>
          <w:b/>
          <w:sz w:val="21"/>
          <w:szCs w:val="21"/>
          <w:lang w:val="en-US" w:eastAsia="zh-CN"/>
        </w:rPr>
      </w:pPr>
    </w:p>
    <w:p>
      <w:pPr>
        <w:spacing w:line="360" w:lineRule="auto"/>
        <w:ind w:firstLine="482" w:firstLineChars="200"/>
        <w:rPr>
          <w:rFonts w:cs="仿宋_GB2312" w:asciiTheme="minorEastAsia" w:hAnsiTheme="minorEastAsia"/>
          <w:b/>
          <w:szCs w:val="24"/>
          <w:lang w:val="zh-CN"/>
        </w:rPr>
      </w:pPr>
      <w:r>
        <w:rPr>
          <w:rFonts w:hint="eastAsia" w:cs="仿宋_GB2312" w:asciiTheme="minorEastAsia" w:hAnsiTheme="minorEastAsia"/>
          <w:b/>
          <w:szCs w:val="24"/>
          <w:lang w:val="zh-CN"/>
        </w:rPr>
        <w:t>其中：价格分计算（落实政府采购政策价格调整部分）</w:t>
      </w:r>
    </w:p>
    <w:tbl>
      <w:tblPr>
        <w:tblStyle w:val="31"/>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3161"/>
        <w:gridCol w:w="2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trPr>
        <w:tc>
          <w:tcPr>
            <w:tcW w:w="721" w:type="dxa"/>
            <w:vAlign w:val="center"/>
          </w:tcPr>
          <w:p>
            <w:pPr>
              <w:jc w:val="center"/>
              <w:rPr>
                <w:rFonts w:ascii="宋体" w:hAnsi="宋体"/>
                <w:b/>
                <w:color w:val="000000"/>
                <w:sz w:val="21"/>
                <w:szCs w:val="21"/>
                <w:lang w:val="en-GB"/>
              </w:rPr>
            </w:pPr>
            <w:r>
              <w:rPr>
                <w:rFonts w:hint="eastAsia" w:ascii="宋体" w:hAnsi="宋体"/>
                <w:b/>
                <w:color w:val="000000"/>
                <w:sz w:val="21"/>
                <w:szCs w:val="21"/>
                <w:lang w:val="en-GB"/>
              </w:rPr>
              <w:t>序号</w:t>
            </w:r>
          </w:p>
        </w:tc>
        <w:tc>
          <w:tcPr>
            <w:tcW w:w="2823" w:type="dxa"/>
            <w:vAlign w:val="center"/>
          </w:tcPr>
          <w:p>
            <w:pPr>
              <w:jc w:val="center"/>
              <w:rPr>
                <w:rFonts w:ascii="宋体" w:hAnsi="宋体"/>
                <w:b/>
                <w:color w:val="000000"/>
                <w:sz w:val="21"/>
                <w:szCs w:val="21"/>
                <w:lang w:val="en-GB"/>
              </w:rPr>
            </w:pPr>
            <w:r>
              <w:rPr>
                <w:rFonts w:hint="eastAsia" w:ascii="宋体" w:hAnsi="宋体"/>
                <w:b/>
                <w:color w:val="000000"/>
                <w:sz w:val="21"/>
                <w:szCs w:val="21"/>
                <w:lang w:val="en-GB"/>
              </w:rPr>
              <w:t>情形</w:t>
            </w:r>
          </w:p>
        </w:tc>
        <w:tc>
          <w:tcPr>
            <w:tcW w:w="3161" w:type="dxa"/>
            <w:vAlign w:val="center"/>
          </w:tcPr>
          <w:p>
            <w:pPr>
              <w:jc w:val="center"/>
              <w:rPr>
                <w:rFonts w:ascii="宋体" w:hAnsi="宋体"/>
                <w:b/>
                <w:color w:val="000000"/>
                <w:sz w:val="21"/>
                <w:szCs w:val="21"/>
                <w:lang w:val="en-GB"/>
              </w:rPr>
            </w:pPr>
            <w:r>
              <w:rPr>
                <w:rFonts w:hint="eastAsia" w:ascii="宋体" w:hAnsi="宋体"/>
                <w:b/>
                <w:color w:val="000000"/>
                <w:sz w:val="21"/>
                <w:szCs w:val="21"/>
              </w:rPr>
              <w:t>价格扣除</w:t>
            </w:r>
            <w:r>
              <w:rPr>
                <w:rFonts w:hint="eastAsia" w:ascii="宋体" w:hAnsi="宋体"/>
                <w:b/>
                <w:color w:val="000000"/>
                <w:sz w:val="21"/>
                <w:szCs w:val="21"/>
                <w:lang w:val="en-GB"/>
              </w:rPr>
              <w:t>比例</w:t>
            </w:r>
          </w:p>
        </w:tc>
        <w:tc>
          <w:tcPr>
            <w:tcW w:w="2934" w:type="dxa"/>
            <w:vAlign w:val="center"/>
          </w:tcPr>
          <w:p>
            <w:pPr>
              <w:jc w:val="center"/>
              <w:rPr>
                <w:rFonts w:ascii="宋体" w:hAnsi="宋体"/>
                <w:b/>
                <w:color w:val="000000"/>
                <w:sz w:val="21"/>
                <w:szCs w:val="21"/>
                <w:lang w:val="en-GB"/>
              </w:rPr>
            </w:pPr>
            <w:r>
              <w:rPr>
                <w:rFonts w:hint="eastAsia" w:ascii="宋体" w:hAnsi="宋体"/>
                <w:b/>
                <w:color w:val="000000"/>
                <w:sz w:val="21"/>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trPr>
        <w:tc>
          <w:tcPr>
            <w:tcW w:w="721" w:type="dxa"/>
            <w:vAlign w:val="center"/>
          </w:tcPr>
          <w:p>
            <w:pPr>
              <w:jc w:val="center"/>
              <w:rPr>
                <w:rFonts w:ascii="宋体" w:hAnsi="宋体"/>
                <w:b/>
                <w:color w:val="000000"/>
                <w:sz w:val="21"/>
                <w:szCs w:val="21"/>
                <w:lang w:val="en-GB"/>
              </w:rPr>
            </w:pPr>
            <w:r>
              <w:rPr>
                <w:rFonts w:hint="eastAsia" w:ascii="宋体" w:hAnsi="宋体"/>
                <w:b/>
                <w:color w:val="000000"/>
                <w:sz w:val="21"/>
                <w:szCs w:val="21"/>
                <w:lang w:val="en-GB"/>
              </w:rPr>
              <w:t>1</w:t>
            </w:r>
          </w:p>
        </w:tc>
        <w:tc>
          <w:tcPr>
            <w:tcW w:w="2823" w:type="dxa"/>
            <w:vAlign w:val="center"/>
          </w:tcPr>
          <w:p>
            <w:pPr>
              <w:jc w:val="left"/>
              <w:rPr>
                <w:rFonts w:ascii="宋体" w:hAnsi="宋体"/>
                <w:color w:val="000000"/>
                <w:sz w:val="21"/>
                <w:szCs w:val="21"/>
                <w:lang w:val="en-GB"/>
              </w:rPr>
            </w:pPr>
            <w:r>
              <w:rPr>
                <w:rFonts w:hint="eastAsia" w:ascii="宋体" w:hAnsi="宋体"/>
                <w:color w:val="000000"/>
                <w:sz w:val="21"/>
                <w:szCs w:val="21"/>
                <w:lang w:val="en-GB"/>
              </w:rPr>
              <w:t>非联合体投标人</w:t>
            </w:r>
          </w:p>
          <w:p>
            <w:pPr>
              <w:jc w:val="left"/>
              <w:rPr>
                <w:rFonts w:ascii="宋体" w:hAnsi="宋体"/>
                <w:b/>
                <w:color w:val="000000"/>
                <w:sz w:val="21"/>
                <w:szCs w:val="21"/>
                <w:lang w:val="en-GB"/>
              </w:rPr>
            </w:pPr>
            <w:r>
              <w:rPr>
                <w:rFonts w:hint="eastAsia" w:ascii="宋体" w:hAnsi="宋体"/>
                <w:color w:val="000000"/>
                <w:sz w:val="21"/>
                <w:szCs w:val="21"/>
                <w:lang w:val="en-GB"/>
              </w:rPr>
              <w:t>（投标人须为中小企业）</w:t>
            </w:r>
          </w:p>
        </w:tc>
        <w:tc>
          <w:tcPr>
            <w:tcW w:w="3161" w:type="dxa"/>
            <w:vAlign w:val="center"/>
          </w:tcPr>
          <w:p>
            <w:pPr>
              <w:jc w:val="center"/>
              <w:rPr>
                <w:rFonts w:ascii="宋体" w:hAnsi="宋体"/>
                <w:b/>
                <w:sz w:val="21"/>
                <w:szCs w:val="21"/>
                <w:lang w:val="en-GB"/>
              </w:rPr>
            </w:pPr>
            <w:r>
              <w:rPr>
                <w:rFonts w:hint="eastAsia" w:ascii="宋体" w:hAnsi="宋体"/>
                <w:color w:val="000000"/>
                <w:sz w:val="21"/>
                <w:szCs w:val="21"/>
              </w:rPr>
              <w:t>对小型和微型企业产品的价格扣除</w:t>
            </w:r>
            <w:r>
              <w:rPr>
                <w:rFonts w:ascii="宋体" w:hAnsi="宋体"/>
                <w:sz w:val="21"/>
                <w:szCs w:val="21"/>
                <w:u w:val="single"/>
              </w:rPr>
              <w:t>6</w:t>
            </w:r>
            <w:r>
              <w:rPr>
                <w:rFonts w:hint="eastAsia" w:ascii="宋体" w:hAnsi="宋体"/>
                <w:sz w:val="21"/>
                <w:szCs w:val="21"/>
              </w:rPr>
              <w:t>%</w:t>
            </w:r>
          </w:p>
        </w:tc>
        <w:tc>
          <w:tcPr>
            <w:tcW w:w="2934" w:type="dxa"/>
            <w:vMerge w:val="restart"/>
            <w:shd w:val="clear" w:color="auto" w:fill="auto"/>
            <w:vAlign w:val="center"/>
          </w:tcPr>
          <w:p>
            <w:pPr>
              <w:jc w:val="center"/>
              <w:rPr>
                <w:rFonts w:ascii="宋体" w:hAnsi="宋体"/>
                <w:b/>
                <w:color w:val="000000"/>
                <w:sz w:val="21"/>
                <w:szCs w:val="21"/>
                <w:lang w:val="en-GB"/>
              </w:rPr>
            </w:pPr>
            <w:r>
              <w:rPr>
                <w:rFonts w:hint="eastAsia"/>
                <w:color w:val="000000"/>
                <w:sz w:val="21"/>
                <w:szCs w:val="21"/>
                <w:lang w:val="en-GB"/>
              </w:rPr>
              <w:t>评标价格＝投标报价—</w:t>
            </w:r>
            <w:r>
              <w:rPr>
                <w:rFonts w:hint="eastAsia"/>
                <w:color w:val="000000"/>
                <w:sz w:val="21"/>
                <w:szCs w:val="21"/>
              </w:rPr>
              <w:t>小型和微型企业产品的价格</w:t>
            </w:r>
            <w:r>
              <w:rPr>
                <w:rFonts w:hint="eastAsia" w:ascii="宋体" w:hAnsi="宋体"/>
                <w:color w:val="000000"/>
                <w:sz w:val="21"/>
                <w:szCs w:val="21"/>
                <w:lang w:val="en-GB"/>
              </w:rPr>
              <w:t>×</w:t>
            </w:r>
            <w:r>
              <w:rPr>
                <w:rFonts w:hint="eastAsia"/>
                <w:color w:val="000000"/>
                <w:sz w:val="21"/>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9" w:hRule="atLeast"/>
        </w:trPr>
        <w:tc>
          <w:tcPr>
            <w:tcW w:w="721" w:type="dxa"/>
            <w:vAlign w:val="center"/>
          </w:tcPr>
          <w:p>
            <w:pPr>
              <w:jc w:val="center"/>
              <w:rPr>
                <w:rFonts w:ascii="宋体" w:hAnsi="宋体"/>
                <w:b/>
                <w:color w:val="000000"/>
                <w:sz w:val="21"/>
                <w:szCs w:val="21"/>
                <w:lang w:val="en-GB"/>
              </w:rPr>
            </w:pPr>
            <w:r>
              <w:rPr>
                <w:rFonts w:hint="eastAsia" w:ascii="宋体" w:hAnsi="宋体"/>
                <w:b/>
                <w:color w:val="000000"/>
                <w:sz w:val="21"/>
                <w:szCs w:val="21"/>
                <w:lang w:val="en-GB"/>
              </w:rPr>
              <w:t>2</w:t>
            </w:r>
          </w:p>
        </w:tc>
        <w:tc>
          <w:tcPr>
            <w:tcW w:w="2823" w:type="dxa"/>
            <w:vAlign w:val="center"/>
          </w:tcPr>
          <w:p>
            <w:pPr>
              <w:jc w:val="center"/>
              <w:rPr>
                <w:rFonts w:ascii="宋体" w:hAnsi="宋体"/>
                <w:b/>
                <w:color w:val="000000"/>
                <w:sz w:val="21"/>
                <w:szCs w:val="21"/>
              </w:rPr>
            </w:pPr>
            <w:r>
              <w:rPr>
                <w:rFonts w:hint="eastAsia" w:ascii="宋体" w:hAnsi="宋体"/>
                <w:color w:val="000000"/>
                <w:sz w:val="21"/>
                <w:szCs w:val="21"/>
                <w:lang w:val="en-GB"/>
              </w:rPr>
              <w:t>联合体各方均为小型、微型企业</w:t>
            </w:r>
          </w:p>
        </w:tc>
        <w:tc>
          <w:tcPr>
            <w:tcW w:w="3161" w:type="dxa"/>
            <w:vAlign w:val="center"/>
          </w:tcPr>
          <w:p>
            <w:pPr>
              <w:jc w:val="center"/>
              <w:rPr>
                <w:rFonts w:ascii="宋体" w:hAnsi="宋体"/>
                <w:sz w:val="21"/>
                <w:szCs w:val="21"/>
              </w:rPr>
            </w:pPr>
            <w:r>
              <w:rPr>
                <w:rFonts w:hint="eastAsia" w:ascii="宋体" w:hAnsi="宋体"/>
                <w:color w:val="000000"/>
                <w:sz w:val="21"/>
                <w:szCs w:val="21"/>
              </w:rPr>
              <w:t>对小型和微型企业产品的价格扣除</w:t>
            </w:r>
            <w:r>
              <w:rPr>
                <w:rFonts w:ascii="宋体" w:hAnsi="宋体"/>
                <w:sz w:val="21"/>
                <w:szCs w:val="21"/>
                <w:u w:val="single"/>
              </w:rPr>
              <w:t>6</w:t>
            </w:r>
            <w:r>
              <w:rPr>
                <w:rFonts w:hint="eastAsia" w:ascii="宋体" w:hAnsi="宋体"/>
                <w:sz w:val="21"/>
                <w:szCs w:val="21"/>
              </w:rPr>
              <w:t>%</w:t>
            </w:r>
          </w:p>
          <w:p>
            <w:pPr>
              <w:ind w:right="-79" w:rightChars="-33"/>
              <w:jc w:val="center"/>
              <w:rPr>
                <w:rFonts w:ascii="宋体" w:hAnsi="宋体"/>
                <w:b/>
                <w:sz w:val="21"/>
                <w:szCs w:val="21"/>
                <w:lang w:val="en-GB"/>
              </w:rPr>
            </w:pPr>
            <w:r>
              <w:rPr>
                <w:rFonts w:hint="eastAsia" w:ascii="宋体" w:hAnsi="宋体"/>
                <w:sz w:val="21"/>
                <w:szCs w:val="21"/>
              </w:rPr>
              <w:t>（不再享受序号3的价格折扣）</w:t>
            </w:r>
          </w:p>
        </w:tc>
        <w:tc>
          <w:tcPr>
            <w:tcW w:w="2934" w:type="dxa"/>
            <w:vMerge w:val="continue"/>
            <w:shd w:val="clear" w:color="auto" w:fill="auto"/>
          </w:tcPr>
          <w:p>
            <w:pPr>
              <w:rPr>
                <w:rFonts w:ascii="宋体" w:hAnsi="宋体"/>
                <w:color w:val="000000"/>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1"/>
                <w:szCs w:val="21"/>
                <w:lang w:val="en-GB"/>
              </w:rPr>
            </w:pPr>
            <w:r>
              <w:rPr>
                <w:rFonts w:hint="eastAsia" w:ascii="宋体" w:hAnsi="宋体"/>
                <w:b/>
                <w:color w:val="000000"/>
                <w:sz w:val="21"/>
                <w:szCs w:val="21"/>
                <w:lang w:val="en-GB"/>
              </w:rPr>
              <w:t>3</w:t>
            </w:r>
          </w:p>
        </w:tc>
        <w:tc>
          <w:tcPr>
            <w:tcW w:w="2823" w:type="dxa"/>
            <w:vAlign w:val="center"/>
          </w:tcPr>
          <w:p>
            <w:pPr>
              <w:jc w:val="center"/>
              <w:rPr>
                <w:rFonts w:ascii="宋体" w:hAnsi="宋体"/>
                <w:b/>
                <w:color w:val="000000"/>
                <w:sz w:val="21"/>
                <w:szCs w:val="21"/>
                <w:lang w:val="en-GB"/>
              </w:rPr>
            </w:pPr>
            <w:r>
              <w:rPr>
                <w:rFonts w:hint="eastAsia" w:ascii="宋体" w:hAnsi="宋体"/>
                <w:color w:val="000000"/>
                <w:sz w:val="21"/>
                <w:szCs w:val="21"/>
                <w:lang w:val="en-GB"/>
              </w:rPr>
              <w:t>联合体一方为小型、微型企业且小型、微型企业协议合同金额占联合体协议合同总金额30%以上的</w:t>
            </w:r>
          </w:p>
        </w:tc>
        <w:tc>
          <w:tcPr>
            <w:tcW w:w="3161" w:type="dxa"/>
            <w:vAlign w:val="center"/>
          </w:tcPr>
          <w:p>
            <w:pPr>
              <w:ind w:right="-79" w:rightChars="-33"/>
              <w:jc w:val="center"/>
              <w:rPr>
                <w:rFonts w:ascii="宋体" w:hAnsi="宋体"/>
                <w:b/>
                <w:sz w:val="21"/>
                <w:szCs w:val="21"/>
                <w:lang w:val="en-GB"/>
              </w:rPr>
            </w:pPr>
            <w:r>
              <w:rPr>
                <w:rFonts w:hint="eastAsia" w:ascii="宋体" w:hAnsi="宋体"/>
                <w:color w:val="000000"/>
                <w:sz w:val="21"/>
                <w:szCs w:val="21"/>
                <w:lang w:val="en-GB"/>
              </w:rPr>
              <w:t>对联合体总金额扣除</w:t>
            </w:r>
            <w:r>
              <w:rPr>
                <w:rFonts w:ascii="宋体" w:hAnsi="宋体"/>
                <w:sz w:val="21"/>
                <w:szCs w:val="21"/>
                <w:u w:val="single"/>
              </w:rPr>
              <w:t>2</w:t>
            </w:r>
            <w:r>
              <w:rPr>
                <w:rFonts w:hint="eastAsia" w:ascii="宋体" w:hAnsi="宋体"/>
                <w:sz w:val="21"/>
                <w:szCs w:val="21"/>
              </w:rPr>
              <w:t>%</w:t>
            </w:r>
          </w:p>
        </w:tc>
        <w:tc>
          <w:tcPr>
            <w:tcW w:w="2934" w:type="dxa"/>
            <w:shd w:val="clear" w:color="auto" w:fill="auto"/>
            <w:vAlign w:val="center"/>
          </w:tcPr>
          <w:p>
            <w:pPr>
              <w:ind w:right="-161" w:rightChars="-67"/>
              <w:jc w:val="center"/>
              <w:rPr>
                <w:rFonts w:ascii="宋体" w:hAnsi="宋体"/>
                <w:color w:val="FF0000"/>
                <w:sz w:val="21"/>
                <w:szCs w:val="21"/>
                <w:u w:val="single"/>
              </w:rPr>
            </w:pPr>
            <w:r>
              <w:rPr>
                <w:rFonts w:hint="eastAsia" w:ascii="宋体" w:hAnsi="宋体"/>
                <w:color w:val="000000"/>
                <w:sz w:val="21"/>
                <w:szCs w:val="21"/>
                <w:lang w:val="en-GB"/>
              </w:rPr>
              <w:t>评标价格＝投标报价×</w:t>
            </w:r>
            <w:r>
              <w:rPr>
                <w:rFonts w:hint="eastAsia" w:ascii="宋体" w:hAnsi="宋体"/>
                <w:color w:val="000000" w:themeColor="text1"/>
                <w:sz w:val="21"/>
                <w:szCs w:val="21"/>
                <w14:textFill>
                  <w14:solidFill>
                    <w14:schemeClr w14:val="tx1"/>
                  </w14:solidFill>
                </w14:textFill>
              </w:rPr>
              <w:t>(1-</w:t>
            </w:r>
            <w:r>
              <w:rPr>
                <w:rFonts w:ascii="宋体" w:hAnsi="宋体"/>
                <w:color w:val="000000" w:themeColor="text1"/>
                <w:sz w:val="21"/>
                <w:szCs w:val="21"/>
                <w:u w:val="single"/>
                <w14:textFill>
                  <w14:solidFill>
                    <w14:schemeClr w14:val="tx1"/>
                  </w14:solidFill>
                </w14:textFill>
              </w:rPr>
              <w:t>2</w:t>
            </w:r>
            <w:r>
              <w:rPr>
                <w:rFonts w:hint="eastAsia" w:ascii="宋体" w:hAnsi="宋体"/>
                <w:color w:val="000000" w:themeColor="text1"/>
                <w:sz w:val="21"/>
                <w:szCs w:val="21"/>
                <w:u w:val="single"/>
                <w14:textFill>
                  <w14:solidFill>
                    <w14:schemeClr w14:val="tx1"/>
                  </w14:solidFill>
                </w14:textFill>
              </w:rPr>
              <w:t>%)</w:t>
            </w:r>
          </w:p>
          <w:p>
            <w:pPr>
              <w:jc w:val="center"/>
              <w:rPr>
                <w:rFonts w:ascii="宋体" w:hAnsi="宋体"/>
                <w:b/>
                <w:color w:val="000000"/>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1"/>
                <w:szCs w:val="21"/>
                <w:lang w:val="en-GB"/>
              </w:rPr>
            </w:pPr>
            <w:r>
              <w:rPr>
                <w:rFonts w:hint="eastAsia" w:ascii="宋体" w:hAnsi="宋体"/>
                <w:b/>
                <w:color w:val="000000"/>
                <w:sz w:val="21"/>
                <w:szCs w:val="21"/>
                <w:lang w:val="en-GB"/>
              </w:rPr>
              <w:t>4</w:t>
            </w:r>
          </w:p>
        </w:tc>
        <w:tc>
          <w:tcPr>
            <w:tcW w:w="2823" w:type="dxa"/>
            <w:vAlign w:val="center"/>
          </w:tcPr>
          <w:p>
            <w:pPr>
              <w:jc w:val="center"/>
              <w:rPr>
                <w:rFonts w:ascii="宋体" w:hAnsi="宋体"/>
                <w:color w:val="000000"/>
                <w:sz w:val="21"/>
                <w:szCs w:val="21"/>
                <w:lang w:val="en-GB"/>
              </w:rPr>
            </w:pPr>
            <w:r>
              <w:rPr>
                <w:rFonts w:hint="eastAsia" w:ascii="宋体" w:hAnsi="宋体"/>
                <w:color w:val="000000"/>
                <w:sz w:val="21"/>
                <w:szCs w:val="21"/>
                <w:lang w:val="en-GB"/>
              </w:rPr>
              <w:t>监狱企业</w:t>
            </w:r>
          </w:p>
        </w:tc>
        <w:tc>
          <w:tcPr>
            <w:tcW w:w="3161" w:type="dxa"/>
            <w:vAlign w:val="center"/>
          </w:tcPr>
          <w:p>
            <w:pPr>
              <w:jc w:val="center"/>
              <w:rPr>
                <w:rFonts w:ascii="宋体" w:hAnsi="宋体"/>
                <w:color w:val="000000"/>
                <w:sz w:val="21"/>
                <w:szCs w:val="21"/>
                <w:lang w:val="en-GB"/>
              </w:rPr>
            </w:pPr>
            <w:r>
              <w:rPr>
                <w:rFonts w:hint="eastAsia" w:ascii="宋体" w:hAnsi="宋体"/>
                <w:color w:val="000000"/>
                <w:sz w:val="21"/>
                <w:szCs w:val="21"/>
                <w:lang w:val="en-GB"/>
              </w:rPr>
              <w:t>视同小型、微型企业</w:t>
            </w:r>
          </w:p>
          <w:p>
            <w:pPr>
              <w:jc w:val="center"/>
              <w:rPr>
                <w:rFonts w:ascii="宋体" w:hAnsi="宋体"/>
                <w:color w:val="000000"/>
                <w:sz w:val="21"/>
                <w:szCs w:val="21"/>
                <w:lang w:val="en-GB"/>
              </w:rPr>
            </w:pPr>
            <w:r>
              <w:rPr>
                <w:rFonts w:hint="eastAsia" w:ascii="宋体" w:hAnsi="宋体"/>
                <w:color w:val="000000"/>
                <w:sz w:val="21"/>
                <w:szCs w:val="21"/>
                <w:lang w:val="en-GB"/>
              </w:rPr>
              <w:t>对监狱企业产品价格扣除</w:t>
            </w:r>
            <w:r>
              <w:rPr>
                <w:rFonts w:ascii="宋体" w:hAnsi="宋体"/>
                <w:sz w:val="21"/>
                <w:szCs w:val="21"/>
                <w:u w:val="single"/>
              </w:rPr>
              <w:t>6</w:t>
            </w:r>
            <w:r>
              <w:rPr>
                <w:rFonts w:hint="eastAsia" w:ascii="宋体" w:hAnsi="宋体"/>
                <w:sz w:val="21"/>
                <w:szCs w:val="21"/>
              </w:rPr>
              <w:t>%</w:t>
            </w:r>
          </w:p>
        </w:tc>
        <w:tc>
          <w:tcPr>
            <w:tcW w:w="2934" w:type="dxa"/>
            <w:shd w:val="clear" w:color="auto" w:fill="auto"/>
            <w:vAlign w:val="center"/>
          </w:tcPr>
          <w:p>
            <w:pPr>
              <w:jc w:val="center"/>
              <w:rPr>
                <w:rFonts w:ascii="宋体" w:hAnsi="宋体"/>
                <w:color w:val="000000"/>
                <w:sz w:val="21"/>
                <w:szCs w:val="21"/>
                <w:lang w:val="en-GB"/>
              </w:rPr>
            </w:pPr>
            <w:r>
              <w:rPr>
                <w:rFonts w:hint="eastAsia"/>
                <w:color w:val="000000"/>
                <w:sz w:val="21"/>
                <w:szCs w:val="21"/>
                <w:lang w:val="en-GB"/>
              </w:rPr>
              <w:t>评标价格＝投标报价—</w:t>
            </w:r>
            <w:r>
              <w:rPr>
                <w:rFonts w:hint="eastAsia"/>
                <w:color w:val="000000"/>
                <w:sz w:val="21"/>
                <w:szCs w:val="21"/>
              </w:rPr>
              <w:t>监狱企业产品的价格</w:t>
            </w:r>
            <w:r>
              <w:rPr>
                <w:rFonts w:hint="eastAsia" w:ascii="宋体" w:hAnsi="宋体"/>
                <w:color w:val="000000"/>
                <w:sz w:val="21"/>
                <w:szCs w:val="21"/>
                <w:lang w:val="en-GB"/>
              </w:rPr>
              <w:t>×</w:t>
            </w:r>
            <w:r>
              <w:rPr>
                <w:rFonts w:hint="eastAsia"/>
                <w:color w:val="000000"/>
                <w:sz w:val="21"/>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1"/>
                <w:szCs w:val="21"/>
                <w:lang w:val="en-GB"/>
              </w:rPr>
            </w:pPr>
            <w:r>
              <w:rPr>
                <w:rFonts w:hint="eastAsia" w:ascii="宋体" w:hAnsi="宋体"/>
                <w:b/>
                <w:color w:val="000000"/>
                <w:sz w:val="21"/>
                <w:szCs w:val="21"/>
                <w:lang w:val="en-GB"/>
              </w:rPr>
              <w:t>5</w:t>
            </w:r>
          </w:p>
        </w:tc>
        <w:tc>
          <w:tcPr>
            <w:tcW w:w="2823" w:type="dxa"/>
            <w:vAlign w:val="center"/>
          </w:tcPr>
          <w:p>
            <w:pPr>
              <w:jc w:val="center"/>
              <w:rPr>
                <w:rFonts w:ascii="宋体" w:hAnsi="宋体"/>
                <w:color w:val="000000"/>
                <w:sz w:val="21"/>
                <w:szCs w:val="21"/>
                <w:lang w:val="en-GB"/>
              </w:rPr>
            </w:pPr>
            <w:r>
              <w:rPr>
                <w:rFonts w:hint="eastAsia" w:ascii="宋体" w:hAnsi="宋体"/>
                <w:color w:val="000000"/>
                <w:sz w:val="21"/>
                <w:szCs w:val="21"/>
                <w:lang w:val="en-GB"/>
              </w:rPr>
              <w:t>残疾人福利性单位</w:t>
            </w:r>
          </w:p>
        </w:tc>
        <w:tc>
          <w:tcPr>
            <w:tcW w:w="3161" w:type="dxa"/>
            <w:vAlign w:val="center"/>
          </w:tcPr>
          <w:p>
            <w:pPr>
              <w:jc w:val="center"/>
              <w:rPr>
                <w:rFonts w:ascii="宋体" w:hAnsi="宋体"/>
                <w:color w:val="000000"/>
                <w:sz w:val="21"/>
                <w:szCs w:val="21"/>
                <w:lang w:val="en-GB"/>
              </w:rPr>
            </w:pPr>
            <w:r>
              <w:rPr>
                <w:rFonts w:hint="eastAsia" w:ascii="宋体" w:hAnsi="宋体"/>
                <w:color w:val="000000"/>
                <w:sz w:val="21"/>
                <w:szCs w:val="21"/>
                <w:lang w:val="en-GB"/>
              </w:rPr>
              <w:t>视同小型、微型企业</w:t>
            </w:r>
          </w:p>
          <w:p>
            <w:pPr>
              <w:jc w:val="center"/>
              <w:rPr>
                <w:rFonts w:ascii="宋体" w:hAnsi="宋体"/>
                <w:color w:val="000000"/>
                <w:sz w:val="21"/>
                <w:szCs w:val="21"/>
                <w:lang w:val="en-GB"/>
              </w:rPr>
            </w:pPr>
            <w:r>
              <w:rPr>
                <w:rFonts w:hint="eastAsia" w:ascii="宋体" w:hAnsi="宋体"/>
                <w:color w:val="000000"/>
                <w:sz w:val="21"/>
                <w:szCs w:val="21"/>
                <w:lang w:val="en-GB"/>
              </w:rPr>
              <w:t>对残疾人福利性单位产品价格扣除</w:t>
            </w:r>
            <w:r>
              <w:rPr>
                <w:rFonts w:ascii="宋体" w:hAnsi="宋体"/>
                <w:sz w:val="21"/>
                <w:szCs w:val="21"/>
                <w:u w:val="single"/>
              </w:rPr>
              <w:t>6</w:t>
            </w:r>
            <w:r>
              <w:rPr>
                <w:rFonts w:hint="eastAsia" w:ascii="宋体" w:hAnsi="宋体"/>
                <w:sz w:val="21"/>
                <w:szCs w:val="21"/>
              </w:rPr>
              <w:t>%</w:t>
            </w:r>
          </w:p>
        </w:tc>
        <w:tc>
          <w:tcPr>
            <w:tcW w:w="2934" w:type="dxa"/>
            <w:shd w:val="clear" w:color="auto" w:fill="auto"/>
            <w:vAlign w:val="center"/>
          </w:tcPr>
          <w:p>
            <w:pPr>
              <w:jc w:val="center"/>
              <w:rPr>
                <w:color w:val="000000"/>
                <w:sz w:val="21"/>
                <w:szCs w:val="21"/>
                <w:lang w:val="en-GB"/>
              </w:rPr>
            </w:pPr>
            <w:r>
              <w:rPr>
                <w:rFonts w:hint="eastAsia"/>
                <w:color w:val="000000"/>
                <w:sz w:val="21"/>
                <w:szCs w:val="21"/>
                <w:lang w:val="en-GB"/>
              </w:rPr>
              <w:t>评标价格＝投标报价—</w:t>
            </w:r>
            <w:r>
              <w:rPr>
                <w:rFonts w:hint="eastAsia"/>
                <w:color w:val="000000"/>
                <w:sz w:val="21"/>
                <w:szCs w:val="21"/>
              </w:rPr>
              <w:t>残疾人福利性单位产品的价格</w:t>
            </w:r>
            <w:r>
              <w:rPr>
                <w:rFonts w:hint="eastAsia" w:ascii="宋体" w:hAnsi="宋体"/>
                <w:color w:val="000000"/>
                <w:sz w:val="21"/>
                <w:szCs w:val="21"/>
                <w:lang w:val="en-GB"/>
              </w:rPr>
              <w:t>×</w:t>
            </w:r>
            <w:r>
              <w:rPr>
                <w:rFonts w:hint="eastAsia"/>
                <w:color w:val="000000"/>
                <w:sz w:val="21"/>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8" w:hRule="atLeast"/>
        </w:trPr>
        <w:tc>
          <w:tcPr>
            <w:tcW w:w="9639" w:type="dxa"/>
            <w:gridSpan w:val="4"/>
            <w:vAlign w:val="center"/>
          </w:tcPr>
          <w:p>
            <w:pPr>
              <w:jc w:val="left"/>
              <w:rPr>
                <w:rFonts w:hint="eastAsia"/>
                <w:color w:val="000000"/>
                <w:sz w:val="21"/>
                <w:szCs w:val="21"/>
                <w:lang w:val="zh-CN"/>
              </w:rPr>
            </w:pPr>
            <w:r>
              <w:rPr>
                <w:rFonts w:hint="eastAsia"/>
                <w:color w:val="000000"/>
                <w:sz w:val="21"/>
                <w:szCs w:val="21"/>
                <w:lang w:val="en-US" w:eastAsia="zh-CN"/>
              </w:rPr>
              <w:t>1、</w:t>
            </w:r>
            <w:r>
              <w:rPr>
                <w:rFonts w:hint="eastAsia"/>
                <w:color w:val="000000"/>
                <w:sz w:val="21"/>
                <w:szCs w:val="21"/>
                <w:lang w:val="zh-CN"/>
              </w:rPr>
              <w:t>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jc w:val="left"/>
              <w:rPr>
                <w:rFonts w:hint="eastAsia"/>
                <w:color w:val="000000"/>
                <w:sz w:val="21"/>
                <w:szCs w:val="21"/>
                <w:lang w:val="zh-CN"/>
              </w:rPr>
            </w:pPr>
            <w:r>
              <w:rPr>
                <w:rFonts w:hint="eastAsia"/>
                <w:color w:val="000000"/>
                <w:sz w:val="21"/>
                <w:szCs w:val="21"/>
                <w:lang w:val="zh-CN"/>
              </w:rPr>
              <w:t>2、经评标委员会审查、评价，投标文件符合招标文件实质性要求且进行了政策性价格扣除后，以评标价格的最低价者定为评标基准价，其价格分为满分。其他投标人的价格分统一按下列公式计算。即：</w:t>
            </w:r>
          </w:p>
          <w:p>
            <w:pPr>
              <w:jc w:val="left"/>
              <w:rPr>
                <w:rFonts w:hint="eastAsia"/>
                <w:color w:val="000000"/>
                <w:sz w:val="21"/>
                <w:szCs w:val="21"/>
                <w:lang w:val="zh-CN"/>
              </w:rPr>
            </w:pPr>
            <w:r>
              <w:rPr>
                <w:rFonts w:hint="eastAsia"/>
                <w:color w:val="000000"/>
                <w:sz w:val="21"/>
                <w:szCs w:val="21"/>
                <w:lang w:val="en-US" w:eastAsia="zh-CN"/>
              </w:rPr>
              <w:t>3、</w:t>
            </w:r>
            <w:r>
              <w:rPr>
                <w:rFonts w:hint="eastAsia"/>
                <w:color w:val="000000"/>
                <w:sz w:val="21"/>
                <w:szCs w:val="21"/>
                <w:lang w:val="zh-CN"/>
              </w:rPr>
              <w:t>评标基准价=符合招标要求的最低价</w:t>
            </w:r>
          </w:p>
          <w:p>
            <w:pPr>
              <w:jc w:val="left"/>
              <w:rPr>
                <w:rFonts w:cs="仿宋_GB2312" w:asciiTheme="minorEastAsia" w:hAnsiTheme="minorEastAsia"/>
                <w:sz w:val="21"/>
                <w:szCs w:val="21"/>
                <w:lang w:val="zh-CN"/>
              </w:rPr>
            </w:pPr>
            <w:r>
              <w:rPr>
                <w:rFonts w:hint="eastAsia"/>
                <w:color w:val="000000"/>
                <w:sz w:val="21"/>
                <w:szCs w:val="21"/>
                <w:lang w:val="zh-CN"/>
              </w:rPr>
              <w:t>其他投标报价得分=（评标基准价/评标价格）×评标标准中价格分值</w:t>
            </w:r>
          </w:p>
        </w:tc>
      </w:tr>
    </w:tbl>
    <w:p>
      <w:pPr>
        <w:spacing w:line="360" w:lineRule="auto"/>
        <w:rPr>
          <w:rFonts w:ascii="宋体" w:hAnsi="宋体"/>
          <w:bCs/>
          <w:szCs w:val="24"/>
          <w:lang w:val="en-GB"/>
        </w:rPr>
      </w:pPr>
      <w:r>
        <w:rPr>
          <w:rFonts w:hint="eastAsia" w:ascii="宋体" w:hAnsi="宋体"/>
          <w:bCs/>
          <w:szCs w:val="24"/>
          <w:lang w:val="en-GB"/>
        </w:rPr>
        <w:t>备注：</w:t>
      </w:r>
    </w:p>
    <w:p>
      <w:pPr>
        <w:spacing w:line="360" w:lineRule="auto"/>
        <w:ind w:firstLine="480" w:firstLineChars="200"/>
        <w:rPr>
          <w:rFonts w:ascii="宋体" w:hAnsi="宋体"/>
          <w:bCs/>
          <w:szCs w:val="24"/>
          <w:lang w:val="en-GB"/>
        </w:rPr>
      </w:pPr>
      <w:r>
        <w:rPr>
          <w:rFonts w:hint="eastAsia" w:ascii="宋体" w:hAnsi="宋体"/>
          <w:bCs/>
          <w:szCs w:val="24"/>
          <w:lang w:val="en-GB"/>
        </w:rPr>
        <w:t>a、不接受联合体投标的项目，本表中第2项、第3项情形不适用。</w:t>
      </w:r>
    </w:p>
    <w:p>
      <w:pPr>
        <w:spacing w:line="360" w:lineRule="auto"/>
        <w:ind w:firstLine="480" w:firstLineChars="200"/>
        <w:rPr>
          <w:rFonts w:ascii="宋体" w:hAnsi="宋体"/>
          <w:bCs/>
          <w:szCs w:val="24"/>
          <w:lang w:val="en-GB"/>
        </w:rPr>
      </w:pPr>
      <w:r>
        <w:rPr>
          <w:rFonts w:hint="eastAsia" w:ascii="宋体" w:hAnsi="宋体"/>
          <w:bCs/>
          <w:szCs w:val="24"/>
          <w:lang w:val="en-GB"/>
        </w:rPr>
        <w:t>b、小型和微型企业产品包括货物及其提供的服务与工程。</w:t>
      </w:r>
    </w:p>
    <w:p>
      <w:pPr>
        <w:spacing w:line="360" w:lineRule="auto"/>
        <w:ind w:firstLine="480" w:firstLineChars="200"/>
        <w:rPr>
          <w:rFonts w:ascii="宋体" w:hAnsi="宋体"/>
          <w:bCs/>
          <w:szCs w:val="24"/>
          <w:lang w:val="en-GB"/>
        </w:rPr>
      </w:pPr>
      <w:r>
        <w:rPr>
          <w:rFonts w:hint="eastAsia" w:ascii="宋体" w:hAnsi="宋体"/>
          <w:bCs/>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szCs w:val="24"/>
          <w:lang w:val="en-GB"/>
        </w:rPr>
      </w:pPr>
      <w:r>
        <w:rPr>
          <w:rFonts w:hint="eastAsia" w:ascii="宋体" w:hAnsi="宋体"/>
          <w:bCs/>
          <w:szCs w:val="24"/>
          <w:lang w:val="en-GB"/>
        </w:rPr>
        <w:t>d、残疾人福利性单位属于小型、微型企业的，不重复享受政策。</w:t>
      </w:r>
    </w:p>
    <w:p>
      <w:pPr>
        <w:pStyle w:val="54"/>
        <w:spacing w:line="360" w:lineRule="auto"/>
        <w:ind w:firstLine="0"/>
        <w:jc w:val="both"/>
        <w:rPr>
          <w:rFonts w:ascii="黑体" w:hAnsi="黑体" w:eastAsia="黑体"/>
          <w:sz w:val="32"/>
          <w:szCs w:val="32"/>
        </w:rPr>
      </w:pPr>
    </w:p>
    <w:p>
      <w:pPr>
        <w:pStyle w:val="54"/>
        <w:spacing w:line="360" w:lineRule="auto"/>
        <w:jc w:val="center"/>
        <w:rPr>
          <w:rFonts w:hint="eastAsia" w:ascii="黑体" w:hAnsi="黑体" w:eastAsia="黑体"/>
          <w:sz w:val="32"/>
          <w:szCs w:val="32"/>
        </w:rPr>
      </w:pPr>
    </w:p>
    <w:p>
      <w:pPr>
        <w:pStyle w:val="54"/>
        <w:spacing w:line="360" w:lineRule="auto"/>
        <w:jc w:val="center"/>
        <w:rPr>
          <w:rFonts w:hint="eastAsia" w:ascii="黑体" w:hAnsi="黑体" w:eastAsia="黑体"/>
          <w:sz w:val="32"/>
          <w:szCs w:val="32"/>
        </w:rPr>
      </w:pPr>
    </w:p>
    <w:p>
      <w:pPr>
        <w:pStyle w:val="54"/>
        <w:spacing w:line="360" w:lineRule="auto"/>
        <w:jc w:val="center"/>
        <w:rPr>
          <w:rFonts w:hint="eastAsia" w:ascii="黑体" w:hAnsi="黑体" w:eastAsia="黑体"/>
          <w:sz w:val="32"/>
          <w:szCs w:val="32"/>
        </w:rPr>
      </w:pPr>
    </w:p>
    <w:p>
      <w:pPr>
        <w:pStyle w:val="54"/>
        <w:spacing w:line="360" w:lineRule="auto"/>
        <w:jc w:val="center"/>
        <w:rPr>
          <w:rFonts w:hint="eastAsia" w:ascii="黑体" w:hAnsi="黑体" w:eastAsia="黑体"/>
          <w:sz w:val="32"/>
          <w:szCs w:val="32"/>
        </w:rPr>
      </w:pPr>
    </w:p>
    <w:p>
      <w:pPr>
        <w:pStyle w:val="54"/>
        <w:spacing w:line="360" w:lineRule="auto"/>
        <w:jc w:val="center"/>
        <w:rPr>
          <w:rFonts w:hint="eastAsia" w:ascii="黑体" w:hAnsi="黑体" w:eastAsia="黑体"/>
          <w:sz w:val="32"/>
          <w:szCs w:val="32"/>
        </w:rPr>
      </w:pPr>
    </w:p>
    <w:p>
      <w:pPr>
        <w:pStyle w:val="54"/>
        <w:spacing w:line="360" w:lineRule="auto"/>
        <w:jc w:val="center"/>
        <w:rPr>
          <w:rFonts w:hint="eastAsia" w:ascii="黑体" w:hAnsi="黑体" w:eastAsia="黑体"/>
          <w:sz w:val="32"/>
          <w:szCs w:val="32"/>
        </w:rPr>
      </w:pPr>
    </w:p>
    <w:p>
      <w:pPr>
        <w:pStyle w:val="54"/>
        <w:spacing w:line="360" w:lineRule="auto"/>
        <w:jc w:val="center"/>
        <w:rPr>
          <w:rFonts w:hint="eastAsia" w:ascii="黑体" w:hAnsi="黑体" w:eastAsia="黑体"/>
          <w:sz w:val="32"/>
          <w:szCs w:val="32"/>
        </w:rPr>
      </w:pPr>
    </w:p>
    <w:p>
      <w:pPr>
        <w:pStyle w:val="54"/>
        <w:spacing w:line="360" w:lineRule="auto"/>
        <w:jc w:val="center"/>
        <w:rPr>
          <w:rFonts w:hint="eastAsia" w:ascii="黑体" w:hAnsi="黑体" w:eastAsia="黑体"/>
          <w:sz w:val="32"/>
          <w:szCs w:val="32"/>
        </w:rPr>
      </w:pPr>
    </w:p>
    <w:p>
      <w:pPr>
        <w:pStyle w:val="54"/>
        <w:spacing w:line="360" w:lineRule="auto"/>
        <w:jc w:val="center"/>
        <w:rPr>
          <w:rFonts w:hint="eastAsia" w:ascii="黑体" w:hAnsi="黑体" w:eastAsia="黑体"/>
          <w:sz w:val="32"/>
          <w:szCs w:val="32"/>
        </w:rPr>
      </w:pPr>
    </w:p>
    <w:p>
      <w:pPr>
        <w:pStyle w:val="54"/>
        <w:spacing w:line="360" w:lineRule="auto"/>
        <w:jc w:val="center"/>
        <w:rPr>
          <w:rFonts w:hint="eastAsia" w:ascii="黑体" w:hAnsi="黑体" w:eastAsia="黑体"/>
          <w:sz w:val="32"/>
          <w:szCs w:val="32"/>
        </w:rPr>
      </w:pPr>
    </w:p>
    <w:p>
      <w:pPr>
        <w:pStyle w:val="54"/>
        <w:spacing w:line="360" w:lineRule="auto"/>
        <w:jc w:val="center"/>
        <w:rPr>
          <w:rFonts w:hint="eastAsia" w:ascii="黑体" w:hAnsi="黑体" w:eastAsia="黑体"/>
          <w:sz w:val="32"/>
          <w:szCs w:val="32"/>
        </w:rPr>
      </w:pPr>
    </w:p>
    <w:p>
      <w:pPr>
        <w:pStyle w:val="54"/>
        <w:spacing w:line="360" w:lineRule="auto"/>
        <w:jc w:val="center"/>
        <w:rPr>
          <w:rFonts w:hint="eastAsia" w:ascii="黑体" w:hAnsi="黑体" w:eastAsia="黑体"/>
          <w:sz w:val="32"/>
          <w:szCs w:val="32"/>
        </w:rPr>
      </w:pPr>
    </w:p>
    <w:p>
      <w:pPr>
        <w:pStyle w:val="54"/>
        <w:spacing w:line="360" w:lineRule="auto"/>
        <w:jc w:val="center"/>
        <w:rPr>
          <w:rFonts w:hint="eastAsia" w:ascii="黑体" w:hAnsi="黑体" w:eastAsia="黑体"/>
          <w:sz w:val="32"/>
          <w:szCs w:val="32"/>
        </w:rPr>
      </w:pPr>
    </w:p>
    <w:p>
      <w:pPr>
        <w:pStyle w:val="54"/>
        <w:spacing w:line="360" w:lineRule="auto"/>
        <w:jc w:val="center"/>
        <w:rPr>
          <w:rFonts w:hint="eastAsia" w:ascii="黑体" w:hAnsi="黑体" w:eastAsia="黑体"/>
          <w:sz w:val="32"/>
          <w:szCs w:val="32"/>
        </w:rPr>
      </w:pPr>
    </w:p>
    <w:p>
      <w:pPr>
        <w:pStyle w:val="54"/>
        <w:spacing w:line="360" w:lineRule="auto"/>
        <w:jc w:val="center"/>
        <w:rPr>
          <w:rFonts w:hint="eastAsia" w:ascii="黑体" w:hAnsi="黑体" w:eastAsia="黑体"/>
          <w:sz w:val="32"/>
          <w:szCs w:val="32"/>
        </w:rPr>
      </w:pPr>
    </w:p>
    <w:p>
      <w:pPr>
        <w:pStyle w:val="54"/>
        <w:spacing w:line="360" w:lineRule="auto"/>
        <w:jc w:val="center"/>
        <w:rPr>
          <w:rFonts w:hint="eastAsia" w:ascii="黑体" w:hAnsi="黑体" w:eastAsia="黑体"/>
          <w:sz w:val="32"/>
          <w:szCs w:val="32"/>
        </w:rPr>
      </w:pPr>
    </w:p>
    <w:p>
      <w:pPr>
        <w:pStyle w:val="54"/>
        <w:spacing w:line="360" w:lineRule="auto"/>
        <w:jc w:val="center"/>
        <w:rPr>
          <w:rFonts w:hint="eastAsia" w:ascii="黑体" w:hAnsi="黑体" w:eastAsia="黑体"/>
          <w:sz w:val="32"/>
          <w:szCs w:val="32"/>
        </w:rPr>
      </w:pPr>
    </w:p>
    <w:p>
      <w:pPr>
        <w:pStyle w:val="54"/>
        <w:spacing w:line="360" w:lineRule="auto"/>
        <w:jc w:val="center"/>
        <w:rPr>
          <w:rFonts w:hint="eastAsia" w:ascii="黑体" w:hAnsi="黑体" w:eastAsia="黑体"/>
          <w:sz w:val="32"/>
          <w:szCs w:val="32"/>
        </w:rPr>
      </w:pPr>
    </w:p>
    <w:p>
      <w:pPr>
        <w:pStyle w:val="54"/>
        <w:spacing w:line="360" w:lineRule="auto"/>
        <w:jc w:val="center"/>
        <w:rPr>
          <w:rFonts w:hint="eastAsia" w:ascii="黑体" w:hAnsi="黑体" w:eastAsia="黑体"/>
          <w:sz w:val="32"/>
          <w:szCs w:val="32"/>
        </w:rPr>
      </w:pPr>
    </w:p>
    <w:p>
      <w:pPr>
        <w:pStyle w:val="54"/>
        <w:spacing w:line="360" w:lineRule="auto"/>
        <w:jc w:val="center"/>
        <w:rPr>
          <w:rFonts w:hint="eastAsia" w:ascii="黑体" w:hAnsi="黑体" w:eastAsia="黑体"/>
          <w:sz w:val="32"/>
          <w:szCs w:val="32"/>
        </w:rPr>
      </w:pPr>
    </w:p>
    <w:p>
      <w:pPr>
        <w:pStyle w:val="54"/>
        <w:spacing w:line="360" w:lineRule="auto"/>
        <w:jc w:val="center"/>
        <w:rPr>
          <w:rFonts w:ascii="黑体" w:hAnsi="黑体" w:eastAsia="黑体"/>
          <w:sz w:val="32"/>
          <w:szCs w:val="32"/>
        </w:rPr>
      </w:pPr>
      <w:r>
        <w:rPr>
          <w:rFonts w:hint="eastAsia" w:ascii="黑体" w:hAnsi="黑体" w:eastAsia="黑体"/>
          <w:sz w:val="32"/>
          <w:szCs w:val="32"/>
        </w:rPr>
        <w:t>第五章  合同格式</w:t>
      </w:r>
    </w:p>
    <w:p>
      <w:pPr>
        <w:spacing w:line="360" w:lineRule="auto"/>
        <w:jc w:val="center"/>
        <w:rPr>
          <w:rFonts w:ascii="宋体" w:hAnsi="宋体" w:cs="微软雅黑"/>
          <w:b/>
          <w:bCs/>
          <w:szCs w:val="24"/>
        </w:rPr>
      </w:pPr>
      <w:bookmarkStart w:id="199" w:name="_Toc431307796"/>
      <w:bookmarkEnd w:id="199"/>
      <w:bookmarkStart w:id="200" w:name="_Toc448307969"/>
      <w:bookmarkEnd w:id="200"/>
      <w:r>
        <w:rPr>
          <w:rFonts w:hint="eastAsia" w:ascii="宋体" w:hAnsi="宋体" w:cs="微软雅黑"/>
          <w:b/>
          <w:bCs/>
          <w:szCs w:val="24"/>
        </w:rPr>
        <w:t>（此合同仅供参考。以最终采购人与中标人签定的合同条款为准进行公示，最终签定合同的条款不能与</w:t>
      </w:r>
      <w:r>
        <w:rPr>
          <w:rFonts w:hint="eastAsia" w:ascii="宋体" w:hAnsi="宋体" w:cs="微软雅黑"/>
          <w:b/>
          <w:bCs/>
          <w:szCs w:val="24"/>
          <w:lang w:eastAsia="zh-CN"/>
        </w:rPr>
        <w:t>采购</w:t>
      </w:r>
      <w:r>
        <w:rPr>
          <w:rFonts w:hint="eastAsia" w:ascii="宋体" w:hAnsi="宋体" w:cs="微软雅黑"/>
          <w:b/>
          <w:bCs/>
          <w:szCs w:val="24"/>
        </w:rPr>
        <w:t>文件有冲突）</w:t>
      </w:r>
    </w:p>
    <w:p>
      <w:pPr>
        <w:pStyle w:val="16"/>
        <w:spacing w:line="360" w:lineRule="auto"/>
        <w:contextualSpacing/>
        <w:jc w:val="center"/>
        <w:rPr>
          <w:rFonts w:cs="宋体" w:asciiTheme="majorEastAsia" w:hAnsiTheme="majorEastAsia" w:eastAsiaTheme="majorEastAsia"/>
          <w:b/>
          <w:kern w:val="0"/>
          <w:sz w:val="36"/>
          <w:szCs w:val="36"/>
        </w:rPr>
      </w:pPr>
    </w:p>
    <w:p>
      <w:pPr>
        <w:autoSpaceDE w:val="0"/>
        <w:autoSpaceDN w:val="0"/>
        <w:adjustRightInd w:val="0"/>
        <w:spacing w:line="360" w:lineRule="auto"/>
        <w:rPr>
          <w:rFonts w:ascii="宋体" w:cs="宋体"/>
          <w:lang w:val="zh-CN"/>
        </w:rPr>
      </w:pPr>
      <w:r>
        <w:rPr>
          <w:rFonts w:hint="eastAsia" w:ascii="宋体" w:cs="宋体"/>
          <w:lang w:val="zh-CN"/>
        </w:rPr>
        <w:t>合同编号：</w:t>
      </w:r>
    </w:p>
    <w:p>
      <w:pPr>
        <w:autoSpaceDE w:val="0"/>
        <w:autoSpaceDN w:val="0"/>
        <w:adjustRightInd w:val="0"/>
        <w:spacing w:line="360" w:lineRule="auto"/>
        <w:rPr>
          <w:rFonts w:ascii="宋体" w:cs="宋体"/>
          <w:lang w:val="zh-CN"/>
        </w:rPr>
      </w:pPr>
      <w:r>
        <w:rPr>
          <w:rFonts w:hint="eastAsia" w:ascii="宋体" w:cs="宋体"/>
          <w:lang w:val="zh-CN"/>
        </w:rPr>
        <w:t>供方：需方：</w:t>
      </w:r>
    </w:p>
    <w:p>
      <w:pPr>
        <w:autoSpaceDE w:val="0"/>
        <w:autoSpaceDN w:val="0"/>
        <w:adjustRightInd w:val="0"/>
        <w:spacing w:line="360" w:lineRule="auto"/>
        <w:rPr>
          <w:rFonts w:ascii="宋体" w:cs="宋体"/>
          <w:lang w:val="zh-CN"/>
        </w:rPr>
      </w:pPr>
      <w:r>
        <w:rPr>
          <w:rFonts w:hint="eastAsia" w:ascii="宋体" w:cs="宋体"/>
          <w:lang w:val="zh-CN"/>
        </w:rPr>
        <w:t>供、需双方根据年月日招标人签发的中标通知书和招投标文件，并经双方协商一致，在平等互利的基础上，达成以下合同条款：</w:t>
      </w:r>
    </w:p>
    <w:p>
      <w:pPr>
        <w:autoSpaceDE w:val="0"/>
        <w:autoSpaceDN w:val="0"/>
        <w:adjustRightInd w:val="0"/>
        <w:spacing w:line="360" w:lineRule="auto"/>
        <w:ind w:firstLine="480"/>
        <w:rPr>
          <w:rFonts w:ascii="宋体" w:cs="宋体"/>
          <w:lang w:val="zh-CN"/>
        </w:rPr>
      </w:pPr>
      <w:r>
        <w:rPr>
          <w:rFonts w:hint="eastAsia" w:ascii="宋体" w:cs="宋体"/>
          <w:lang w:val="zh-CN"/>
        </w:rPr>
        <w:t>一、招标文件、投标文件、澄清文件及材料（如果有的话）、中标通知书、合同条款、补充协议（如果有的话）均为合同不可分割的部分。</w:t>
      </w:r>
    </w:p>
    <w:p>
      <w:pPr>
        <w:autoSpaceDE w:val="0"/>
        <w:autoSpaceDN w:val="0"/>
        <w:adjustRightInd w:val="0"/>
        <w:spacing w:line="360" w:lineRule="auto"/>
        <w:ind w:firstLine="480"/>
        <w:rPr>
          <w:rFonts w:ascii="宋体" w:cs="宋体"/>
          <w:lang w:val="zh-CN"/>
        </w:rPr>
      </w:pPr>
      <w:r>
        <w:rPr>
          <w:rFonts w:hint="eastAsia" w:ascii="宋体" w:cs="宋体"/>
          <w:lang w:val="zh-CN"/>
        </w:rPr>
        <w:t>二、货物名称、数量、规格、型号、金额及交货期</w:t>
      </w:r>
    </w:p>
    <w:tbl>
      <w:tblPr>
        <w:tblStyle w:val="31"/>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pPr>
            <w:r>
              <w:rPr>
                <w:rFonts w:hint="eastAsia" w:ascii="宋体" w:cs="宋体"/>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pPr>
            <w:r>
              <w:rPr>
                <w:rFonts w:hint="eastAsia" w:ascii="宋体" w:cs="宋体"/>
                <w:lang w:val="zh-CN"/>
              </w:rPr>
              <w:t>名称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pPr>
            <w:r>
              <w:rPr>
                <w:rFonts w:hint="eastAsia" w:ascii="宋体" w:cs="宋体"/>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pPr>
            <w:r>
              <w:rPr>
                <w:rFonts w:hint="eastAsia" w:ascii="宋体" w:cs="宋体"/>
                <w:lang w:val="zh-CN"/>
              </w:rPr>
              <w:t>单位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pPr>
            <w:r>
              <w:rPr>
                <w:rFonts w:hint="eastAsia" w:ascii="宋体" w:cs="宋体"/>
                <w:lang w:val="zh-CN"/>
              </w:rPr>
              <w:t>数量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pPr>
            <w:r>
              <w:rPr>
                <w:rFonts w:hint="eastAsia" w:ascii="宋体" w:cs="宋体"/>
                <w:lang w:val="zh-CN"/>
              </w:rPr>
              <w:t>单价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pPr>
            <w:r>
              <w:rPr>
                <w:rFonts w:hint="eastAsia" w:ascii="宋体" w:cs="宋体"/>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pPr>
            <w:r>
              <w:rPr>
                <w:rFonts w:hint="eastAsia" w:ascii="宋体" w:cs="宋体"/>
                <w:lang w:val="zh-CN"/>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pPr>
            <w:r>
              <w:rPr>
                <w:rFonts w:hint="eastAsia" w:ascii="宋体" w:cs="宋体"/>
                <w:lang w:val="zh-CN"/>
              </w:rPr>
              <w:t>合计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宋体"/>
                <w:lang w:val="zh-CN"/>
              </w:rPr>
            </w:pPr>
            <w:r>
              <w:rPr>
                <w:rFonts w:hint="eastAsia" w:ascii="宋体" w:cs="宋体"/>
                <w:lang w:val="zh-CN"/>
              </w:rPr>
              <w:t>大写：　　　　　　小写：</w:t>
            </w:r>
          </w:p>
        </w:tc>
      </w:tr>
    </w:tbl>
    <w:p>
      <w:pPr>
        <w:autoSpaceDE w:val="0"/>
        <w:autoSpaceDN w:val="0"/>
        <w:adjustRightInd w:val="0"/>
        <w:spacing w:line="360" w:lineRule="auto"/>
        <w:ind w:firstLine="480"/>
        <w:rPr>
          <w:rFonts w:ascii="宋体" w:cs="宋体"/>
          <w:lang w:val="zh-CN"/>
        </w:rPr>
      </w:pPr>
      <w:r>
        <w:rPr>
          <w:rFonts w:hint="eastAsia" w:ascii="宋体" w:cs="宋体"/>
          <w:lang w:val="zh-CN"/>
        </w:rPr>
        <w:t>三、设备质量要求及供方对质量负责的条件和期限</w:t>
      </w:r>
    </w:p>
    <w:p>
      <w:pPr>
        <w:autoSpaceDE w:val="0"/>
        <w:autoSpaceDN w:val="0"/>
        <w:adjustRightInd w:val="0"/>
        <w:spacing w:line="360" w:lineRule="auto"/>
        <w:rPr>
          <w:rFonts w:ascii="宋体" w:cs="宋体"/>
          <w:lang w:val="zh-CN"/>
        </w:rPr>
      </w:pPr>
      <w:r>
        <w:rPr>
          <w:rFonts w:ascii="宋体" w:cs="宋体"/>
          <w:lang w:val="zh-CN"/>
        </w:rPr>
        <w:t xml:space="preserve">    1</w:t>
      </w:r>
      <w:r>
        <w:rPr>
          <w:rFonts w:hint="eastAsia" w:ascii="宋体" w:cs="宋体"/>
          <w:lang w:val="zh-CN"/>
        </w:rPr>
        <w:t>、供方提供的货物须是全新的且保证不是库存或积压品</w:t>
      </w:r>
      <w:r>
        <w:rPr>
          <w:rFonts w:ascii="宋体" w:cs="宋体"/>
          <w:lang w:val="zh-CN"/>
        </w:rPr>
        <w:t>(</w:t>
      </w:r>
      <w:r>
        <w:rPr>
          <w:rFonts w:hint="eastAsia" w:ascii="宋体" w:cs="宋体"/>
          <w:lang w:val="zh-CN"/>
        </w:rPr>
        <w:t>包括零部件</w:t>
      </w:r>
      <w:r>
        <w:rPr>
          <w:rFonts w:ascii="宋体" w:cs="宋体"/>
          <w:lang w:val="zh-CN"/>
        </w:rPr>
        <w:t>)</w:t>
      </w:r>
      <w:r>
        <w:rPr>
          <w:rFonts w:hint="eastAsia" w:ascii="宋体" w:cs="宋体"/>
          <w:lang w:val="zh-CN"/>
        </w:rPr>
        <w:t>，符合国家、部委或地方相关标准以及该产品的出厂标准。</w:t>
      </w:r>
    </w:p>
    <w:p>
      <w:pPr>
        <w:autoSpaceDE w:val="0"/>
        <w:autoSpaceDN w:val="0"/>
        <w:adjustRightInd w:val="0"/>
        <w:spacing w:line="360" w:lineRule="auto"/>
        <w:ind w:firstLine="570"/>
        <w:rPr>
          <w:rFonts w:ascii="宋体" w:cs="宋体"/>
          <w:lang w:val="zh-CN"/>
        </w:rPr>
      </w:pPr>
      <w:r>
        <w:rPr>
          <w:rFonts w:ascii="宋体" w:cs="宋体"/>
          <w:lang w:val="zh-CN"/>
        </w:rPr>
        <w:t>2</w:t>
      </w:r>
      <w:r>
        <w:rPr>
          <w:rFonts w:hint="eastAsia" w:ascii="宋体" w:cs="宋体"/>
          <w:lang w:val="zh-CN"/>
        </w:rPr>
        <w:t>、供方应在产品使用期限内，承担所提供的货物因自身质量原因产生的责任。</w:t>
      </w:r>
    </w:p>
    <w:p>
      <w:pPr>
        <w:autoSpaceDE w:val="0"/>
        <w:autoSpaceDN w:val="0"/>
        <w:adjustRightInd w:val="0"/>
        <w:spacing w:line="360" w:lineRule="auto"/>
        <w:ind w:firstLine="570"/>
        <w:rPr>
          <w:rFonts w:ascii="宋体" w:cs="宋体"/>
          <w:lang w:val="zh-CN"/>
        </w:rPr>
      </w:pPr>
      <w:r>
        <w:rPr>
          <w:rFonts w:hint="eastAsia" w:ascii="宋体" w:cs="宋体"/>
          <w:lang w:val="zh-CN"/>
        </w:rPr>
        <w:t>四、交货时间、地点、方式：年月日前，供方负责将货物按需方规定的地点交货、安装、调试完毕，并具备验收条件。</w:t>
      </w:r>
    </w:p>
    <w:p>
      <w:pPr>
        <w:autoSpaceDE w:val="0"/>
        <w:autoSpaceDN w:val="0"/>
        <w:adjustRightInd w:val="0"/>
        <w:spacing w:line="360" w:lineRule="auto"/>
        <w:ind w:firstLine="480"/>
        <w:rPr>
          <w:rFonts w:ascii="宋体" w:cs="宋体"/>
          <w:lang w:val="zh-CN"/>
        </w:rPr>
      </w:pPr>
      <w:r>
        <w:rPr>
          <w:rFonts w:hint="eastAsia" w:ascii="宋体" w:cs="宋体"/>
          <w:lang w:val="zh-CN"/>
        </w:rPr>
        <w:t>五、货物标志、包装、运输：按招标文件办理。供方将货物直接运至规定的地点，运费自理。</w:t>
      </w:r>
    </w:p>
    <w:p>
      <w:pPr>
        <w:autoSpaceDE w:val="0"/>
        <w:autoSpaceDN w:val="0"/>
        <w:adjustRightInd w:val="0"/>
        <w:spacing w:line="360" w:lineRule="auto"/>
        <w:ind w:firstLine="480"/>
        <w:rPr>
          <w:rFonts w:ascii="宋体" w:cs="宋体"/>
          <w:lang w:val="zh-CN"/>
        </w:rPr>
      </w:pPr>
      <w:r>
        <w:rPr>
          <w:rFonts w:hint="eastAsia" w:ascii="宋体" w:cs="宋体"/>
          <w:lang w:val="zh-CN"/>
        </w:rPr>
        <w:t>六、技术资料及技术服务：供方在交货时应执行招标文件中有关技术资料、技术服务的规定，向需方交付技术资料并进行技术培训。</w:t>
      </w:r>
    </w:p>
    <w:p>
      <w:pPr>
        <w:autoSpaceDE w:val="0"/>
        <w:autoSpaceDN w:val="0"/>
        <w:adjustRightInd w:val="0"/>
        <w:spacing w:line="360" w:lineRule="auto"/>
        <w:ind w:firstLine="480"/>
        <w:rPr>
          <w:rFonts w:ascii="宋体" w:cs="宋体"/>
          <w:lang w:val="zh-CN"/>
        </w:rPr>
      </w:pPr>
      <w:r>
        <w:rPr>
          <w:rFonts w:hint="eastAsia" w:ascii="宋体" w:cs="宋体"/>
          <w:lang w:val="zh-CN"/>
        </w:rPr>
        <w:t>七、货物验收：验收标准按招标文件规定执行。需方有权对供方所交货物抽样做试运行实验、实验室检查。</w:t>
      </w:r>
    </w:p>
    <w:p>
      <w:pPr>
        <w:autoSpaceDE w:val="0"/>
        <w:autoSpaceDN w:val="0"/>
        <w:adjustRightInd w:val="0"/>
        <w:spacing w:line="360" w:lineRule="auto"/>
        <w:ind w:firstLine="480"/>
        <w:rPr>
          <w:rFonts w:ascii="宋体" w:cs="宋体"/>
          <w:lang w:val="zh-CN"/>
        </w:rPr>
      </w:pPr>
      <w:r>
        <w:rPr>
          <w:rFonts w:hint="eastAsia" w:ascii="宋体" w:cs="宋体"/>
          <w:lang w:val="zh-CN"/>
        </w:rPr>
        <w:t>八、售后服务：按招标文件及投标文件相应条款执行。</w:t>
      </w:r>
    </w:p>
    <w:p>
      <w:pPr>
        <w:autoSpaceDE w:val="0"/>
        <w:autoSpaceDN w:val="0"/>
        <w:adjustRightInd w:val="0"/>
        <w:spacing w:line="360" w:lineRule="auto"/>
        <w:ind w:firstLine="480"/>
        <w:rPr>
          <w:rFonts w:ascii="宋体" w:cs="宋体"/>
          <w:lang w:val="zh-CN"/>
        </w:rPr>
      </w:pPr>
      <w:r>
        <w:rPr>
          <w:rFonts w:hint="eastAsia" w:ascii="宋体" w:cs="宋体"/>
          <w:lang w:val="zh-CN"/>
        </w:rPr>
        <w:t>九、结算方式：</w:t>
      </w:r>
      <w:r>
        <w:rPr>
          <w:rFonts w:hint="eastAsia" w:ascii="宋体" w:cs="宋体"/>
          <w:u w:val="single"/>
          <w:lang w:val="en-US" w:eastAsia="zh-CN"/>
        </w:rPr>
        <w:t xml:space="preserve">                             </w:t>
      </w:r>
      <w:r>
        <w:rPr>
          <w:rFonts w:hint="eastAsia" w:ascii="宋体" w:cs="宋体"/>
          <w:lang w:val="zh-CN"/>
        </w:rPr>
        <w:t>。</w:t>
      </w:r>
    </w:p>
    <w:p>
      <w:pPr>
        <w:autoSpaceDE w:val="0"/>
        <w:autoSpaceDN w:val="0"/>
        <w:adjustRightInd w:val="0"/>
        <w:spacing w:line="360" w:lineRule="auto"/>
        <w:ind w:firstLine="480"/>
        <w:rPr>
          <w:rFonts w:ascii="宋体" w:cs="宋体"/>
          <w:lang w:val="zh-CN"/>
        </w:rPr>
      </w:pPr>
      <w:r>
        <w:rPr>
          <w:rFonts w:hint="eastAsia" w:ascii="宋体" w:cs="宋体"/>
          <w:lang w:val="zh-CN"/>
        </w:rPr>
        <w:t>十、法律责任</w:t>
      </w:r>
    </w:p>
    <w:p>
      <w:pPr>
        <w:autoSpaceDE w:val="0"/>
        <w:autoSpaceDN w:val="0"/>
        <w:adjustRightInd w:val="0"/>
        <w:spacing w:line="360" w:lineRule="auto"/>
        <w:rPr>
          <w:rFonts w:ascii="宋体" w:cs="宋体"/>
          <w:lang w:val="zh-CN"/>
        </w:rPr>
      </w:pPr>
      <w:r>
        <w:rPr>
          <w:rFonts w:ascii="宋体" w:cs="宋体"/>
          <w:lang w:val="zh-CN"/>
        </w:rPr>
        <w:t xml:space="preserve">    1</w:t>
      </w:r>
      <w:r>
        <w:rPr>
          <w:rFonts w:hint="eastAsia" w:ascii="宋体" w:cs="宋体"/>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autoSpaceDE w:val="0"/>
        <w:autoSpaceDN w:val="0"/>
        <w:adjustRightInd w:val="0"/>
        <w:spacing w:line="360" w:lineRule="auto"/>
        <w:rPr>
          <w:rFonts w:ascii="宋体" w:cs="宋体"/>
          <w:lang w:val="zh-CN"/>
        </w:rPr>
      </w:pPr>
      <w:r>
        <w:rPr>
          <w:rFonts w:ascii="宋体" w:cs="宋体"/>
          <w:lang w:val="zh-CN"/>
        </w:rPr>
        <w:t xml:space="preserve">    2</w:t>
      </w:r>
      <w:r>
        <w:rPr>
          <w:rFonts w:hint="eastAsia" w:ascii="宋体" w:cs="宋体"/>
          <w:lang w:val="zh-CN"/>
        </w:rPr>
        <w:t>、供方逾期交付货物，应向需方每日支付逾期交货部分货款总值</w:t>
      </w:r>
      <w:r>
        <w:rPr>
          <w:rFonts w:ascii="宋体" w:cs="宋体"/>
          <w:lang w:val="zh-CN"/>
        </w:rPr>
        <w:t>5%</w:t>
      </w:r>
      <w:r>
        <w:rPr>
          <w:rFonts w:hint="eastAsia" w:ascii="宋体" w:cs="宋体"/>
          <w:lang w:val="zh-CN"/>
        </w:rPr>
        <w:t>的违约金；在合同规定的交货期满</w:t>
      </w:r>
      <w:r>
        <w:rPr>
          <w:rFonts w:ascii="宋体" w:cs="宋体"/>
          <w:lang w:val="zh-CN"/>
        </w:rPr>
        <w:t>15</w:t>
      </w:r>
      <w:r>
        <w:rPr>
          <w:rFonts w:hint="eastAsia" w:ascii="宋体" w:cs="宋体"/>
          <w:lang w:val="zh-CN"/>
        </w:rPr>
        <w:t>日仍未全部交货，按不能交货处理。仅支付已验收货物的货款，供方应承担由此发生的全部费用。</w:t>
      </w:r>
    </w:p>
    <w:p>
      <w:pPr>
        <w:autoSpaceDE w:val="0"/>
        <w:autoSpaceDN w:val="0"/>
        <w:adjustRightInd w:val="0"/>
        <w:spacing w:line="360" w:lineRule="auto"/>
        <w:rPr>
          <w:rFonts w:ascii="宋体" w:cs="宋体"/>
          <w:lang w:val="zh-CN"/>
        </w:rPr>
      </w:pPr>
      <w:r>
        <w:rPr>
          <w:rFonts w:ascii="宋体" w:cs="宋体"/>
          <w:lang w:val="zh-CN"/>
        </w:rPr>
        <w:t xml:space="preserve">    3</w:t>
      </w:r>
      <w:r>
        <w:rPr>
          <w:rFonts w:hint="eastAsia" w:ascii="宋体" w:cs="宋体"/>
          <w:lang w:val="zh-CN"/>
        </w:rPr>
        <w:t>、供方在本合同规定的交货期内不能交货，应向需方支付全部合同金额</w:t>
      </w:r>
      <w:r>
        <w:rPr>
          <w:rFonts w:ascii="宋体" w:cs="宋体"/>
          <w:lang w:val="zh-CN"/>
        </w:rPr>
        <w:t>5%</w:t>
      </w:r>
      <w:r>
        <w:rPr>
          <w:rFonts w:hint="eastAsia" w:ascii="宋体" w:cs="宋体"/>
          <w:lang w:val="zh-CN"/>
        </w:rPr>
        <w:t>的违约金，需方有权终止合同。</w:t>
      </w:r>
    </w:p>
    <w:p>
      <w:pPr>
        <w:autoSpaceDE w:val="0"/>
        <w:autoSpaceDN w:val="0"/>
        <w:adjustRightInd w:val="0"/>
        <w:spacing w:line="360" w:lineRule="auto"/>
        <w:rPr>
          <w:rFonts w:ascii="宋体" w:cs="宋体"/>
          <w:lang w:val="zh-CN"/>
        </w:rPr>
      </w:pPr>
      <w:r>
        <w:rPr>
          <w:rFonts w:ascii="宋体" w:cs="宋体"/>
          <w:lang w:val="zh-CN"/>
        </w:rPr>
        <w:t xml:space="preserve">    4</w:t>
      </w:r>
      <w:r>
        <w:rPr>
          <w:rFonts w:hint="eastAsia" w:ascii="宋体" w:cs="宋体"/>
          <w:lang w:val="zh-CN"/>
        </w:rPr>
        <w:t>、需方无正当理由拒收设备，应向供方支付无正当理由拒收设备金额</w:t>
      </w:r>
      <w:r>
        <w:rPr>
          <w:rFonts w:ascii="宋体" w:cs="宋体"/>
          <w:lang w:val="zh-CN"/>
        </w:rPr>
        <w:t>5%</w:t>
      </w:r>
      <w:r>
        <w:rPr>
          <w:rFonts w:hint="eastAsia" w:ascii="宋体" w:cs="宋体"/>
          <w:lang w:val="zh-CN"/>
        </w:rPr>
        <w:t>的违约金。</w:t>
      </w:r>
    </w:p>
    <w:p>
      <w:pPr>
        <w:autoSpaceDE w:val="0"/>
        <w:autoSpaceDN w:val="0"/>
        <w:adjustRightInd w:val="0"/>
        <w:spacing w:line="360" w:lineRule="auto"/>
        <w:rPr>
          <w:rFonts w:ascii="宋体" w:cs="宋体"/>
          <w:lang w:val="zh-CN"/>
        </w:rPr>
      </w:pPr>
      <w:r>
        <w:rPr>
          <w:rFonts w:ascii="宋体" w:cs="宋体"/>
          <w:lang w:val="zh-CN"/>
        </w:rPr>
        <w:t xml:space="preserve">    5</w:t>
      </w:r>
      <w:r>
        <w:rPr>
          <w:rFonts w:hint="eastAsia" w:ascii="宋体" w:cs="宋体"/>
          <w:lang w:val="zh-CN"/>
        </w:rPr>
        <w:t>、因供方原因造成逾期付款，需方不承担责任。</w:t>
      </w:r>
    </w:p>
    <w:p>
      <w:pPr>
        <w:autoSpaceDE w:val="0"/>
        <w:autoSpaceDN w:val="0"/>
        <w:adjustRightInd w:val="0"/>
        <w:spacing w:line="360" w:lineRule="auto"/>
        <w:ind w:firstLine="480"/>
        <w:rPr>
          <w:rFonts w:ascii="宋体" w:cs="宋体"/>
          <w:lang w:val="zh-CN"/>
        </w:rPr>
      </w:pPr>
      <w:r>
        <w:rPr>
          <w:rFonts w:hint="eastAsia" w:ascii="宋体" w:cs="宋体"/>
          <w:lang w:val="zh-CN"/>
        </w:rPr>
        <w:t>十一、质量鉴定：因质量问题发生争议，由许昌市技术监督局或其指定的机构进行质量鉴定，该鉴定结论是终局的，供需双方均应当接受鉴定结论。</w:t>
      </w:r>
    </w:p>
    <w:p>
      <w:pPr>
        <w:autoSpaceDE w:val="0"/>
        <w:autoSpaceDN w:val="0"/>
        <w:adjustRightInd w:val="0"/>
        <w:spacing w:line="360" w:lineRule="auto"/>
        <w:ind w:firstLine="360"/>
        <w:rPr>
          <w:rFonts w:ascii="宋体" w:cs="宋体"/>
          <w:lang w:val="zh-CN"/>
        </w:rPr>
      </w:pPr>
      <w:r>
        <w:rPr>
          <w:rFonts w:hint="eastAsia" w:ascii="宋体" w:cs="宋体"/>
          <w:lang w:val="zh-CN"/>
        </w:rPr>
        <w:t>十二、合同生效及其它：本合同经双方法定代表人或委托代理人签字并加盖公章后生效。本合同一式　份，供需双方各一份、相关部门</w:t>
      </w:r>
      <w:r>
        <w:rPr>
          <w:rFonts w:hint="eastAsia" w:ascii="宋体" w:cs="宋体"/>
          <w:u w:val="single"/>
          <w:lang w:val="zh-CN"/>
        </w:rPr>
        <w:t>　</w:t>
      </w:r>
      <w:r>
        <w:rPr>
          <w:rFonts w:hint="eastAsia" w:ascii="宋体" w:cs="宋体"/>
          <w:lang w:val="zh-CN"/>
        </w:rPr>
        <w:t>份。</w:t>
      </w:r>
    </w:p>
    <w:p>
      <w:pPr>
        <w:autoSpaceDE w:val="0"/>
        <w:autoSpaceDN w:val="0"/>
        <w:adjustRightInd w:val="0"/>
        <w:spacing w:line="360" w:lineRule="auto"/>
        <w:ind w:firstLine="480"/>
        <w:rPr>
          <w:rFonts w:ascii="宋体" w:cs="宋体"/>
          <w:lang w:val="zh-CN"/>
        </w:rPr>
      </w:pPr>
      <w:r>
        <w:rPr>
          <w:rFonts w:hint="eastAsia" w:ascii="宋体" w:cs="宋体"/>
          <w:lang w:val="zh-CN"/>
        </w:rPr>
        <w:t>供方：需方：</w:t>
      </w:r>
    </w:p>
    <w:p>
      <w:pPr>
        <w:autoSpaceDE w:val="0"/>
        <w:autoSpaceDN w:val="0"/>
        <w:adjustRightInd w:val="0"/>
        <w:spacing w:line="360" w:lineRule="auto"/>
        <w:ind w:firstLine="480"/>
        <w:rPr>
          <w:rFonts w:ascii="宋体" w:cs="宋体"/>
          <w:lang w:val="zh-CN"/>
        </w:rPr>
      </w:pPr>
      <w:r>
        <w:rPr>
          <w:rFonts w:hint="eastAsia" w:ascii="宋体" w:cs="宋体"/>
          <w:lang w:val="zh-CN"/>
        </w:rPr>
        <w:t>地址：地址：</w:t>
      </w:r>
    </w:p>
    <w:p>
      <w:pPr>
        <w:autoSpaceDE w:val="0"/>
        <w:autoSpaceDN w:val="0"/>
        <w:adjustRightInd w:val="0"/>
        <w:spacing w:line="360" w:lineRule="auto"/>
        <w:ind w:firstLine="480"/>
        <w:rPr>
          <w:rFonts w:ascii="宋体" w:cs="宋体"/>
          <w:lang w:val="zh-CN"/>
        </w:rPr>
      </w:pPr>
      <w:r>
        <w:rPr>
          <w:rFonts w:hint="eastAsia" w:ascii="宋体" w:cs="宋体"/>
          <w:lang w:val="zh-CN"/>
        </w:rPr>
        <w:t>法定代表人：法定代表人：</w:t>
      </w:r>
    </w:p>
    <w:p>
      <w:pPr>
        <w:autoSpaceDE w:val="0"/>
        <w:autoSpaceDN w:val="0"/>
        <w:adjustRightInd w:val="0"/>
        <w:spacing w:line="360" w:lineRule="auto"/>
        <w:ind w:firstLine="480"/>
        <w:rPr>
          <w:rFonts w:ascii="宋体" w:cs="宋体"/>
          <w:lang w:val="zh-CN"/>
        </w:rPr>
      </w:pPr>
      <w:r>
        <w:rPr>
          <w:rFonts w:hint="eastAsia" w:ascii="宋体" w:cs="宋体"/>
          <w:lang w:val="zh-CN"/>
        </w:rPr>
        <w:t>委托代理人：委托代理人：</w:t>
      </w:r>
    </w:p>
    <w:p>
      <w:pPr>
        <w:autoSpaceDE w:val="0"/>
        <w:autoSpaceDN w:val="0"/>
        <w:adjustRightInd w:val="0"/>
        <w:spacing w:line="360" w:lineRule="auto"/>
        <w:ind w:firstLine="480"/>
        <w:rPr>
          <w:rFonts w:ascii="宋体" w:cs="宋体"/>
          <w:lang w:val="zh-CN"/>
        </w:rPr>
      </w:pPr>
      <w:r>
        <w:rPr>
          <w:rFonts w:hint="eastAsia" w:ascii="宋体" w:cs="宋体"/>
          <w:lang w:val="zh-CN"/>
        </w:rPr>
        <w:t>电话：电话：</w:t>
      </w:r>
    </w:p>
    <w:p>
      <w:pPr>
        <w:autoSpaceDE w:val="0"/>
        <w:autoSpaceDN w:val="0"/>
        <w:adjustRightInd w:val="0"/>
        <w:spacing w:line="360" w:lineRule="auto"/>
        <w:ind w:firstLine="480"/>
        <w:rPr>
          <w:rFonts w:ascii="宋体" w:cs="宋体"/>
          <w:lang w:val="zh-CN"/>
        </w:rPr>
      </w:pPr>
      <w:r>
        <w:rPr>
          <w:rFonts w:hint="eastAsia" w:ascii="宋体" w:cs="宋体"/>
          <w:lang w:val="zh-CN"/>
        </w:rPr>
        <w:t>开户银行：开户银行：</w:t>
      </w:r>
    </w:p>
    <w:p>
      <w:pPr>
        <w:autoSpaceDE w:val="0"/>
        <w:autoSpaceDN w:val="0"/>
        <w:adjustRightInd w:val="0"/>
        <w:spacing w:line="360" w:lineRule="auto"/>
        <w:ind w:firstLine="480"/>
        <w:rPr>
          <w:rFonts w:ascii="宋体" w:cs="宋体"/>
          <w:lang w:val="zh-CN"/>
        </w:rPr>
      </w:pPr>
      <w:r>
        <w:rPr>
          <w:rFonts w:hint="eastAsia" w:ascii="宋体" w:cs="宋体"/>
          <w:lang w:val="zh-CN"/>
        </w:rPr>
        <w:t>帐号：帐号：</w:t>
      </w:r>
    </w:p>
    <w:p>
      <w:pPr>
        <w:autoSpaceDE w:val="0"/>
        <w:autoSpaceDN w:val="0"/>
        <w:adjustRightInd w:val="0"/>
        <w:spacing w:line="360" w:lineRule="auto"/>
        <w:ind w:firstLine="480"/>
        <w:rPr>
          <w:rFonts w:ascii="宋体" w:cs="宋体"/>
          <w:b/>
          <w:kern w:val="0"/>
          <w:sz w:val="36"/>
          <w:szCs w:val="36"/>
        </w:rPr>
      </w:pPr>
      <w:r>
        <w:rPr>
          <w:rFonts w:hint="eastAsia" w:ascii="宋体" w:cs="宋体"/>
          <w:lang w:val="zh-CN"/>
        </w:rPr>
        <w:t>税务登记证号：签定时间：</w:t>
      </w:r>
    </w:p>
    <w:p>
      <w:pPr>
        <w:pStyle w:val="16"/>
        <w:spacing w:line="360" w:lineRule="auto"/>
        <w:contextualSpacing/>
        <w:jc w:val="center"/>
        <w:rPr>
          <w:rFonts w:cs="宋体" w:asciiTheme="majorEastAsia" w:hAnsiTheme="majorEastAsia" w:eastAsiaTheme="majorEastAsia"/>
          <w:b/>
          <w:kern w:val="0"/>
          <w:sz w:val="36"/>
          <w:szCs w:val="36"/>
        </w:rPr>
      </w:pPr>
    </w:p>
    <w:p>
      <w:pPr>
        <w:pStyle w:val="54"/>
        <w:spacing w:line="360" w:lineRule="auto"/>
        <w:jc w:val="center"/>
        <w:rPr>
          <w:rFonts w:ascii="黑体" w:hAnsi="黑体" w:eastAsia="黑体"/>
          <w:sz w:val="32"/>
          <w:szCs w:val="32"/>
        </w:rPr>
      </w:pPr>
    </w:p>
    <w:p>
      <w:pPr>
        <w:pStyle w:val="54"/>
        <w:spacing w:line="360" w:lineRule="auto"/>
        <w:jc w:val="center"/>
        <w:rPr>
          <w:rFonts w:ascii="黑体" w:hAnsi="黑体" w:eastAsia="黑体"/>
          <w:sz w:val="32"/>
          <w:szCs w:val="32"/>
        </w:rPr>
      </w:pPr>
    </w:p>
    <w:p>
      <w:pPr>
        <w:pStyle w:val="54"/>
        <w:spacing w:line="360" w:lineRule="auto"/>
        <w:jc w:val="center"/>
        <w:rPr>
          <w:rFonts w:ascii="黑体" w:hAnsi="黑体" w:eastAsia="黑体"/>
          <w:sz w:val="32"/>
          <w:szCs w:val="32"/>
        </w:rPr>
      </w:pPr>
      <w:r>
        <w:rPr>
          <w:rFonts w:hint="eastAsia" w:ascii="黑体" w:hAnsi="黑体" w:eastAsia="黑体"/>
          <w:sz w:val="32"/>
          <w:szCs w:val="32"/>
        </w:rPr>
        <w:t>第六章  响应文件格式</w:t>
      </w:r>
    </w:p>
    <w:p>
      <w:pPr>
        <w:jc w:val="center"/>
        <w:rPr>
          <w:rFonts w:ascii="宋体" w:cs="宋体"/>
          <w:b/>
          <w:sz w:val="44"/>
          <w:szCs w:val="44"/>
        </w:rPr>
      </w:pPr>
      <w:r>
        <w:rPr>
          <w:rFonts w:hint="eastAsia"/>
          <w:b/>
          <w:sz w:val="30"/>
          <w:szCs w:val="30"/>
        </w:rPr>
        <w:t>（参考）</w:t>
      </w:r>
      <w:r>
        <w:br w:type="page"/>
      </w:r>
    </w:p>
    <w:p>
      <w:pPr>
        <w:jc w:val="right"/>
        <w:rPr>
          <w:rFonts w:ascii="宋体" w:cs="宋体"/>
          <w:b/>
          <w:sz w:val="40"/>
          <w:szCs w:val="40"/>
        </w:rPr>
      </w:pPr>
      <w:r>
        <w:rPr>
          <w:rFonts w:hint="eastAsia" w:ascii="宋体" w:hAnsi="宋体" w:cs="宋体"/>
          <w:b/>
          <w:sz w:val="40"/>
          <w:szCs w:val="40"/>
        </w:rPr>
        <w:t>封面（正或副本）</w:t>
      </w:r>
    </w:p>
    <w:p>
      <w:pPr>
        <w:spacing w:line="360" w:lineRule="auto"/>
        <w:jc w:val="center"/>
        <w:rPr>
          <w:rFonts w:ascii="宋体" w:cs="宋体"/>
          <w:b/>
          <w:sz w:val="40"/>
          <w:szCs w:val="40"/>
        </w:rPr>
      </w:pPr>
    </w:p>
    <w:p>
      <w:pPr>
        <w:spacing w:line="360" w:lineRule="auto"/>
        <w:jc w:val="center"/>
        <w:rPr>
          <w:rFonts w:ascii="宋体" w:cs="宋体"/>
          <w:b/>
          <w:sz w:val="40"/>
          <w:szCs w:val="40"/>
        </w:rPr>
      </w:pPr>
    </w:p>
    <w:p>
      <w:pPr>
        <w:spacing w:line="360" w:lineRule="auto"/>
        <w:jc w:val="center"/>
        <w:rPr>
          <w:rFonts w:ascii="隶书" w:hAnsi="隶书" w:eastAsia="隶书" w:cs="宋体"/>
          <w:b/>
          <w:sz w:val="40"/>
          <w:szCs w:val="40"/>
        </w:rPr>
      </w:pPr>
      <w:r>
        <w:rPr>
          <w:rFonts w:hint="eastAsia" w:ascii="隶书" w:hAnsi="隶书" w:eastAsia="隶书"/>
          <w:b/>
          <w:sz w:val="48"/>
          <w:szCs w:val="48"/>
        </w:rPr>
        <w:t>xxxx项目</w:t>
      </w:r>
    </w:p>
    <w:p>
      <w:pPr>
        <w:spacing w:line="360" w:lineRule="auto"/>
        <w:jc w:val="center"/>
        <w:rPr>
          <w:rFonts w:ascii="隶书" w:hAnsi="隶书" w:eastAsia="隶书" w:cs="宋体"/>
          <w:sz w:val="28"/>
          <w:szCs w:val="28"/>
        </w:rPr>
      </w:pPr>
    </w:p>
    <w:p>
      <w:pPr>
        <w:spacing w:line="360" w:lineRule="auto"/>
        <w:jc w:val="center"/>
        <w:rPr>
          <w:rFonts w:ascii="隶书" w:hAnsi="隶书" w:eastAsia="隶书" w:cs="宋体"/>
          <w:b/>
          <w:spacing w:val="50"/>
          <w:sz w:val="28"/>
          <w:szCs w:val="28"/>
        </w:rPr>
      </w:pPr>
    </w:p>
    <w:p>
      <w:pPr>
        <w:spacing w:line="360" w:lineRule="auto"/>
        <w:jc w:val="center"/>
        <w:rPr>
          <w:rFonts w:ascii="隶书" w:hAnsi="隶书" w:eastAsia="隶书" w:cs="宋体"/>
          <w:b/>
          <w:spacing w:val="50"/>
          <w:sz w:val="28"/>
          <w:szCs w:val="28"/>
        </w:rPr>
      </w:pPr>
    </w:p>
    <w:p>
      <w:pPr>
        <w:spacing w:line="360" w:lineRule="auto"/>
        <w:jc w:val="center"/>
        <w:rPr>
          <w:rFonts w:ascii="隶书" w:hAnsi="隶书" w:eastAsia="隶书" w:cs="宋体"/>
          <w:b/>
          <w:spacing w:val="50"/>
          <w:sz w:val="28"/>
          <w:szCs w:val="28"/>
        </w:rPr>
      </w:pPr>
    </w:p>
    <w:p>
      <w:pPr>
        <w:spacing w:line="360" w:lineRule="auto"/>
        <w:jc w:val="center"/>
        <w:rPr>
          <w:rFonts w:ascii="隶书" w:hAnsi="隶书" w:eastAsia="隶书" w:cs="宋体"/>
          <w:b/>
          <w:spacing w:val="43"/>
          <w:sz w:val="56"/>
          <w:szCs w:val="24"/>
        </w:rPr>
      </w:pPr>
      <w:r>
        <w:rPr>
          <w:rFonts w:hint="eastAsia" w:ascii="隶书" w:hAnsi="隶书" w:eastAsia="隶书" w:cs="宋体"/>
          <w:b/>
          <w:spacing w:val="43"/>
          <w:sz w:val="56"/>
          <w:szCs w:val="24"/>
        </w:rPr>
        <w:t>竞争性磋商响应文件</w:t>
      </w:r>
    </w:p>
    <w:p>
      <w:pPr>
        <w:spacing w:line="360" w:lineRule="auto"/>
        <w:jc w:val="center"/>
        <w:rPr>
          <w:rFonts w:ascii="宋体" w:cs="宋体"/>
          <w:b/>
          <w:sz w:val="28"/>
          <w:szCs w:val="28"/>
        </w:rPr>
      </w:pPr>
    </w:p>
    <w:p>
      <w:pPr>
        <w:spacing w:line="360" w:lineRule="auto"/>
        <w:jc w:val="center"/>
        <w:rPr>
          <w:rFonts w:ascii="宋体" w:cs="宋体"/>
          <w:sz w:val="22"/>
          <w:szCs w:val="21"/>
        </w:rPr>
      </w:pPr>
    </w:p>
    <w:p>
      <w:pPr>
        <w:spacing w:line="360" w:lineRule="auto"/>
        <w:jc w:val="center"/>
        <w:rPr>
          <w:rFonts w:ascii="宋体" w:cs="宋体"/>
          <w:sz w:val="22"/>
          <w:szCs w:val="21"/>
        </w:rPr>
      </w:pPr>
    </w:p>
    <w:p>
      <w:pPr>
        <w:pStyle w:val="2"/>
        <w:rPr>
          <w:rFonts w:ascii="宋体" w:cs="宋体"/>
          <w:sz w:val="22"/>
          <w:szCs w:val="21"/>
        </w:rPr>
      </w:pPr>
    </w:p>
    <w:p>
      <w:pPr>
        <w:pStyle w:val="2"/>
        <w:rPr>
          <w:rFonts w:ascii="宋体" w:cs="宋体"/>
          <w:sz w:val="22"/>
          <w:szCs w:val="21"/>
        </w:rPr>
      </w:pPr>
    </w:p>
    <w:p>
      <w:pPr>
        <w:pStyle w:val="2"/>
        <w:rPr>
          <w:rFonts w:ascii="宋体" w:cs="宋体"/>
          <w:sz w:val="22"/>
          <w:szCs w:val="21"/>
        </w:rPr>
      </w:pPr>
    </w:p>
    <w:p>
      <w:pPr>
        <w:spacing w:line="360" w:lineRule="auto"/>
        <w:ind w:firstLine="900"/>
        <w:jc w:val="left"/>
        <w:rPr>
          <w:rFonts w:ascii="隶书" w:hAnsi="隶书" w:eastAsia="隶书"/>
          <w:b/>
          <w:sz w:val="32"/>
          <w:szCs w:val="32"/>
        </w:rPr>
      </w:pPr>
      <w:r>
        <w:rPr>
          <w:rFonts w:hint="eastAsia" w:ascii="隶书" w:hAnsi="隶书" w:eastAsia="隶书"/>
          <w:b/>
          <w:sz w:val="32"/>
          <w:szCs w:val="32"/>
        </w:rPr>
        <w:t>项目名称：</w:t>
      </w:r>
    </w:p>
    <w:p>
      <w:pPr>
        <w:spacing w:line="360" w:lineRule="auto"/>
        <w:ind w:firstLine="900"/>
        <w:jc w:val="left"/>
        <w:rPr>
          <w:rFonts w:ascii="隶书" w:hAnsi="隶书" w:eastAsia="隶书"/>
          <w:b/>
          <w:sz w:val="32"/>
          <w:szCs w:val="32"/>
        </w:rPr>
      </w:pPr>
      <w:r>
        <w:rPr>
          <w:rFonts w:hint="eastAsia" w:ascii="隶书" w:hAnsi="隶书" w:eastAsia="隶书"/>
          <w:b/>
          <w:sz w:val="32"/>
          <w:szCs w:val="32"/>
        </w:rPr>
        <w:t>项目编号：</w:t>
      </w:r>
    </w:p>
    <w:p>
      <w:pPr>
        <w:spacing w:line="360" w:lineRule="auto"/>
        <w:ind w:firstLine="900"/>
        <w:jc w:val="left"/>
        <w:rPr>
          <w:rFonts w:ascii="隶书" w:hAnsi="隶书" w:eastAsia="隶书" w:cs="Lucida Sans Unicode"/>
          <w:b/>
          <w:sz w:val="32"/>
          <w:szCs w:val="32"/>
        </w:rPr>
      </w:pPr>
      <w:r>
        <w:rPr>
          <w:rFonts w:hint="eastAsia" w:ascii="隶书" w:hAnsi="隶书" w:eastAsia="隶书"/>
          <w:b/>
          <w:sz w:val="32"/>
          <w:szCs w:val="32"/>
        </w:rPr>
        <w:t>响应单位：（加盖公章）</w:t>
      </w:r>
    </w:p>
    <w:p>
      <w:pPr>
        <w:spacing w:line="360" w:lineRule="auto"/>
        <w:ind w:firstLine="900"/>
        <w:jc w:val="left"/>
        <w:rPr>
          <w:rFonts w:ascii="隶书" w:hAnsi="隶书" w:eastAsia="隶书" w:cs="Lucida Sans Unicode"/>
          <w:b/>
          <w:sz w:val="32"/>
          <w:szCs w:val="32"/>
        </w:rPr>
      </w:pPr>
      <w:r>
        <w:rPr>
          <w:rFonts w:hint="eastAsia" w:ascii="隶书" w:hAnsi="隶书" w:eastAsia="隶书" w:cs="Lucida Sans Unicode"/>
          <w:b/>
          <w:sz w:val="32"/>
          <w:szCs w:val="32"/>
        </w:rPr>
        <w:t>时间：</w:t>
      </w:r>
    </w:p>
    <w:p>
      <w:pPr>
        <w:jc w:val="center"/>
        <w:rPr>
          <w:rFonts w:ascii="Arial" w:hAnsi="Arial" w:cs="Arial"/>
          <w:b/>
          <w:bCs/>
          <w:sz w:val="36"/>
          <w:szCs w:val="36"/>
        </w:rPr>
      </w:pPr>
    </w:p>
    <w:p>
      <w:pPr>
        <w:jc w:val="center"/>
        <w:rPr>
          <w:rFonts w:ascii="Arial" w:hAnsi="Arial" w:cs="Arial"/>
          <w:b/>
          <w:bCs/>
          <w:sz w:val="44"/>
          <w:szCs w:val="44"/>
        </w:rPr>
      </w:pPr>
    </w:p>
    <w:p>
      <w:pPr>
        <w:jc w:val="center"/>
        <w:rPr>
          <w:rFonts w:ascii="Arial" w:hAnsi="Arial" w:cs="Arial"/>
          <w:b/>
          <w:bCs/>
          <w:sz w:val="44"/>
          <w:szCs w:val="44"/>
        </w:rPr>
      </w:pPr>
    </w:p>
    <w:p>
      <w:pPr>
        <w:jc w:val="center"/>
        <w:rPr>
          <w:rFonts w:ascii="Arial" w:hAnsi="Arial" w:cs="Arial"/>
          <w:b/>
          <w:bCs/>
          <w:sz w:val="44"/>
          <w:szCs w:val="44"/>
        </w:rPr>
      </w:pPr>
    </w:p>
    <w:p>
      <w:pPr>
        <w:jc w:val="center"/>
        <w:rPr>
          <w:rFonts w:ascii="Arial" w:hAnsi="Arial" w:cs="Arial"/>
          <w:b/>
          <w:bCs/>
          <w:sz w:val="44"/>
          <w:szCs w:val="44"/>
        </w:rPr>
      </w:pPr>
      <w:r>
        <w:rPr>
          <w:rFonts w:hint="eastAsia" w:ascii="Arial" w:hAnsi="Arial" w:cs="Arial"/>
          <w:b/>
          <w:bCs/>
          <w:sz w:val="44"/>
          <w:szCs w:val="44"/>
        </w:rPr>
        <w:t>目录</w:t>
      </w:r>
    </w:p>
    <w:p>
      <w:pPr>
        <w:rPr>
          <w:rFonts w:ascii="Arial" w:hAnsi="Arial" w:cs="Arial"/>
        </w:rPr>
      </w:pPr>
    </w:p>
    <w:p>
      <w:pPr>
        <w:jc w:val="center"/>
        <w:rPr>
          <w:rFonts w:ascii="Arial" w:hAnsi="Arial" w:cs="Arial"/>
        </w:rPr>
      </w:pPr>
      <w:r>
        <w:rPr>
          <w:rFonts w:hint="eastAsia" w:ascii="Arial" w:hAnsi="Arial" w:cs="Arial"/>
        </w:rPr>
        <w:t>（响应文件的详细目录根据自己的响应文件编排自定）</w:t>
      </w:r>
    </w:p>
    <w:p>
      <w:pPr>
        <w:spacing w:line="362" w:lineRule="auto"/>
        <w:ind w:left="1680"/>
        <w:rPr>
          <w:rFonts w:cs="宋体"/>
          <w:szCs w:val="24"/>
        </w:rPr>
      </w:pPr>
    </w:p>
    <w:p>
      <w:pPr>
        <w:widowControl/>
        <w:spacing w:line="480" w:lineRule="exact"/>
        <w:ind w:firstLine="540"/>
        <w:rPr>
          <w:rFonts w:ascii="宋体" w:cs="Lucida Sans Unicode"/>
          <w:b/>
        </w:rPr>
      </w:pPr>
      <w:r>
        <w:rPr>
          <w:rFonts w:hint="eastAsia" w:ascii="宋体" w:hAnsi="宋体" w:cs="Lucida Sans Unicode"/>
          <w:b/>
        </w:rPr>
        <w:t>请供应商按照采购文件要求，根据竞争磋商采购文件具体内容详细编制响应文件目录。</w:t>
      </w:r>
    </w:p>
    <w:p>
      <w:pPr>
        <w:ind w:firstLine="1446"/>
        <w:rPr>
          <w:b/>
          <w:sz w:val="72"/>
          <w:szCs w:val="72"/>
        </w:rPr>
      </w:pPr>
    </w:p>
    <w:p>
      <w:pPr>
        <w:ind w:firstLine="1446"/>
        <w:rPr>
          <w:b/>
          <w:sz w:val="72"/>
          <w:szCs w:val="72"/>
        </w:rPr>
      </w:pPr>
    </w:p>
    <w:p>
      <w:pPr>
        <w:ind w:firstLine="1446"/>
        <w:rPr>
          <w:b/>
          <w:sz w:val="72"/>
          <w:szCs w:val="72"/>
        </w:rPr>
      </w:pPr>
    </w:p>
    <w:p>
      <w:pPr>
        <w:pStyle w:val="27"/>
        <w:jc w:val="both"/>
        <w:rPr>
          <w:rFonts w:ascii="宋体" w:cs="宋体"/>
          <w:sz w:val="24"/>
          <w:szCs w:val="24"/>
        </w:rPr>
      </w:pPr>
      <w:bookmarkStart w:id="201" w:name="_Toc448307970"/>
      <w:bookmarkEnd w:id="201"/>
      <w:bookmarkStart w:id="202" w:name="_Toc431307797"/>
      <w:bookmarkEnd w:id="202"/>
      <w:r>
        <w:br w:type="page"/>
      </w:r>
      <w:r>
        <w:rPr>
          <w:rFonts w:hint="eastAsia" w:ascii="宋体" w:hAnsi="宋体" w:cs="宋体"/>
          <w:sz w:val="24"/>
          <w:szCs w:val="24"/>
        </w:rPr>
        <w:t>格式</w:t>
      </w:r>
      <w:r>
        <w:rPr>
          <w:rFonts w:ascii="宋体" w:hAnsi="宋体" w:cs="宋体"/>
          <w:sz w:val="24"/>
          <w:szCs w:val="24"/>
        </w:rPr>
        <w:t xml:space="preserve">1     </w:t>
      </w:r>
    </w:p>
    <w:p>
      <w:pPr>
        <w:spacing w:line="480" w:lineRule="exact"/>
        <w:jc w:val="center"/>
        <w:rPr>
          <w:rFonts w:ascii="宋体"/>
          <w:b/>
          <w:bCs/>
          <w:sz w:val="36"/>
          <w:szCs w:val="36"/>
        </w:rPr>
      </w:pPr>
      <w:r>
        <w:rPr>
          <w:rFonts w:hint="eastAsia" w:ascii="宋体" w:hAnsi="宋体"/>
          <w:b/>
          <w:bCs/>
          <w:sz w:val="36"/>
          <w:szCs w:val="36"/>
        </w:rPr>
        <w:t>磋商函</w:t>
      </w:r>
    </w:p>
    <w:p>
      <w:pPr>
        <w:spacing w:line="360" w:lineRule="auto"/>
        <w:rPr>
          <w:rFonts w:cs="宋体"/>
          <w:szCs w:val="24"/>
        </w:rPr>
      </w:pPr>
      <w:r>
        <w:rPr>
          <w:rFonts w:hint="eastAsia" w:cs="宋体"/>
          <w:szCs w:val="24"/>
        </w:rPr>
        <w:t>致：</w:t>
      </w:r>
      <w:r>
        <w:rPr>
          <w:rFonts w:hint="eastAsia" w:cs="宋体"/>
          <w:szCs w:val="24"/>
          <w:u w:val="single"/>
        </w:rPr>
        <w:t>（采购人</w:t>
      </w:r>
      <w:r>
        <w:rPr>
          <w:rFonts w:cs="宋体"/>
          <w:szCs w:val="24"/>
          <w:u w:val="single"/>
        </w:rPr>
        <w:t>/</w:t>
      </w:r>
      <w:r>
        <w:rPr>
          <w:rFonts w:hint="eastAsia" w:cs="宋体"/>
          <w:szCs w:val="24"/>
          <w:u w:val="single"/>
        </w:rPr>
        <w:t>采购代理机构）</w:t>
      </w:r>
    </w:p>
    <w:p>
      <w:pPr>
        <w:spacing w:line="360" w:lineRule="auto"/>
        <w:ind w:firstLine="451"/>
        <w:rPr>
          <w:rFonts w:cs="宋体"/>
          <w:szCs w:val="24"/>
        </w:rPr>
      </w:pPr>
      <w:r>
        <w:rPr>
          <w:rFonts w:hint="eastAsia" w:cs="宋体"/>
          <w:szCs w:val="24"/>
        </w:rPr>
        <w:t>根据贵方为</w:t>
      </w:r>
      <w:r>
        <w:rPr>
          <w:rFonts w:hint="eastAsia" w:cs="宋体"/>
          <w:szCs w:val="24"/>
          <w:u w:val="single"/>
        </w:rPr>
        <w:t>（项目名称）</w:t>
      </w:r>
      <w:r>
        <w:rPr>
          <w:rFonts w:hint="eastAsia" w:cs="宋体"/>
          <w:szCs w:val="24"/>
        </w:rPr>
        <w:t>项目的采购邀请</w:t>
      </w:r>
      <w:r>
        <w:rPr>
          <w:rFonts w:hint="eastAsia" w:cs="宋体"/>
          <w:szCs w:val="24"/>
          <w:u w:val="single"/>
        </w:rPr>
        <w:t>（采购编号）</w:t>
      </w:r>
      <w:r>
        <w:rPr>
          <w:rFonts w:hint="eastAsia" w:cs="宋体"/>
          <w:szCs w:val="24"/>
        </w:rPr>
        <w:t>，签字代表</w:t>
      </w:r>
      <w:r>
        <w:rPr>
          <w:rFonts w:hint="eastAsia" w:cs="宋体"/>
          <w:szCs w:val="24"/>
          <w:u w:val="single"/>
        </w:rPr>
        <w:t>（姓名</w:t>
      </w:r>
      <w:r>
        <w:rPr>
          <w:rFonts w:cs="宋体"/>
          <w:szCs w:val="24"/>
          <w:u w:val="single"/>
        </w:rPr>
        <w:t>.</w:t>
      </w:r>
      <w:r>
        <w:rPr>
          <w:rFonts w:hint="eastAsia" w:cs="宋体"/>
          <w:szCs w:val="24"/>
          <w:u w:val="single"/>
        </w:rPr>
        <w:t>职务）</w:t>
      </w:r>
      <w:r>
        <w:rPr>
          <w:rFonts w:hint="eastAsia" w:cs="宋体"/>
          <w:szCs w:val="24"/>
        </w:rPr>
        <w:t>经正式授权并代表响应供商</w:t>
      </w:r>
      <w:r>
        <w:rPr>
          <w:rFonts w:hint="eastAsia" w:cs="宋体"/>
          <w:szCs w:val="24"/>
          <w:u w:val="single"/>
        </w:rPr>
        <w:t>（供应商名称</w:t>
      </w:r>
      <w:r>
        <w:rPr>
          <w:rFonts w:cs="宋体"/>
          <w:szCs w:val="24"/>
          <w:u w:val="single"/>
        </w:rPr>
        <w:t>.</w:t>
      </w:r>
      <w:r>
        <w:rPr>
          <w:rFonts w:hint="eastAsia" w:cs="宋体"/>
          <w:szCs w:val="24"/>
          <w:u w:val="single"/>
        </w:rPr>
        <w:t>地址）</w:t>
      </w:r>
      <w:r>
        <w:rPr>
          <w:rFonts w:hint="eastAsia" w:cs="宋体"/>
          <w:szCs w:val="24"/>
        </w:rPr>
        <w:t>提交下述文件正本</w:t>
      </w:r>
      <w:r>
        <w:rPr>
          <w:rFonts w:hint="eastAsia" w:cs="宋体"/>
          <w:szCs w:val="24"/>
          <w:u w:val="single"/>
        </w:rPr>
        <w:t>一份</w:t>
      </w:r>
      <w:r>
        <w:rPr>
          <w:rFonts w:hint="eastAsia" w:cs="宋体"/>
          <w:szCs w:val="24"/>
        </w:rPr>
        <w:t>及副本</w:t>
      </w:r>
      <w:r>
        <w:rPr>
          <w:rFonts w:cs="宋体"/>
          <w:szCs w:val="24"/>
          <w:u w:val="single"/>
        </w:rPr>
        <w:tab/>
      </w:r>
      <w:r>
        <w:rPr>
          <w:rFonts w:hint="eastAsia" w:cs="宋体"/>
          <w:szCs w:val="24"/>
          <w:u w:val="single"/>
        </w:rPr>
        <w:t xml:space="preserve">    份</w:t>
      </w:r>
      <w:r>
        <w:rPr>
          <w:rFonts w:hint="eastAsia" w:cs="宋体"/>
          <w:szCs w:val="24"/>
        </w:rPr>
        <w:t>：</w:t>
      </w:r>
    </w:p>
    <w:p>
      <w:pPr>
        <w:spacing w:line="360" w:lineRule="auto"/>
        <w:ind w:firstLine="480"/>
        <w:rPr>
          <w:rFonts w:ascii="宋体" w:cs="宋体"/>
          <w:szCs w:val="24"/>
        </w:rPr>
      </w:pPr>
      <w:r>
        <w:rPr>
          <w:rFonts w:ascii="宋体" w:hAnsi="宋体" w:cs="宋体"/>
          <w:szCs w:val="24"/>
        </w:rPr>
        <w:t>1.</w:t>
      </w:r>
      <w:r>
        <w:rPr>
          <w:rFonts w:hint="eastAsia" w:ascii="宋体" w:hAnsi="宋体" w:cs="宋体"/>
          <w:szCs w:val="24"/>
        </w:rPr>
        <w:t>磋商函附录</w:t>
      </w:r>
    </w:p>
    <w:p>
      <w:pPr>
        <w:spacing w:line="360" w:lineRule="auto"/>
        <w:ind w:firstLine="480"/>
        <w:rPr>
          <w:rFonts w:ascii="宋体" w:cs="宋体"/>
          <w:szCs w:val="24"/>
        </w:rPr>
      </w:pPr>
      <w:r>
        <w:rPr>
          <w:rFonts w:ascii="宋体" w:hAnsi="宋体" w:cs="宋体"/>
          <w:szCs w:val="24"/>
        </w:rPr>
        <w:t>2.</w:t>
      </w:r>
      <w:r>
        <w:rPr>
          <w:rFonts w:hint="eastAsia" w:ascii="宋体" w:hAnsi="宋体" w:cs="宋体"/>
          <w:szCs w:val="24"/>
        </w:rPr>
        <w:t>联合体协议（如有）</w:t>
      </w:r>
    </w:p>
    <w:p>
      <w:pPr>
        <w:spacing w:line="360" w:lineRule="auto"/>
        <w:ind w:firstLine="480"/>
        <w:rPr>
          <w:rFonts w:ascii="宋体" w:cs="宋体"/>
          <w:szCs w:val="24"/>
        </w:rPr>
      </w:pPr>
      <w:r>
        <w:rPr>
          <w:rFonts w:ascii="宋体" w:hAnsi="宋体" w:cs="宋体"/>
          <w:szCs w:val="24"/>
        </w:rPr>
        <w:t>3.</w:t>
      </w:r>
      <w:r>
        <w:rPr>
          <w:rFonts w:hint="eastAsia" w:ascii="宋体" w:hAnsi="宋体" w:cs="宋体"/>
          <w:szCs w:val="24"/>
        </w:rPr>
        <w:t>法定代表人证明</w:t>
      </w:r>
    </w:p>
    <w:p>
      <w:pPr>
        <w:spacing w:line="360" w:lineRule="auto"/>
        <w:ind w:firstLine="480"/>
        <w:rPr>
          <w:rFonts w:ascii="宋体" w:cs="宋体"/>
          <w:szCs w:val="24"/>
        </w:rPr>
      </w:pPr>
      <w:r>
        <w:rPr>
          <w:rFonts w:ascii="宋体" w:hAnsi="宋体" w:cs="宋体"/>
          <w:szCs w:val="24"/>
        </w:rPr>
        <w:t>4.</w:t>
      </w:r>
      <w:r>
        <w:rPr>
          <w:rFonts w:hint="eastAsia" w:ascii="宋体" w:hAnsi="宋体" w:cs="宋体"/>
          <w:szCs w:val="24"/>
        </w:rPr>
        <w:t>授权委托书</w:t>
      </w:r>
    </w:p>
    <w:p>
      <w:pPr>
        <w:spacing w:line="360" w:lineRule="auto"/>
        <w:ind w:firstLine="480"/>
        <w:rPr>
          <w:rFonts w:ascii="宋体" w:cs="宋体"/>
          <w:szCs w:val="24"/>
        </w:rPr>
      </w:pPr>
      <w:r>
        <w:rPr>
          <w:rFonts w:ascii="宋体" w:hAnsi="宋体" w:cs="宋体"/>
          <w:szCs w:val="24"/>
        </w:rPr>
        <w:t>5.</w:t>
      </w:r>
      <w:r>
        <w:rPr>
          <w:rFonts w:hint="eastAsia" w:ascii="宋体" w:hAnsi="宋体" w:cs="宋体"/>
          <w:szCs w:val="24"/>
        </w:rPr>
        <w:t>磋商保证金</w:t>
      </w:r>
    </w:p>
    <w:p>
      <w:pPr>
        <w:spacing w:line="360" w:lineRule="auto"/>
        <w:ind w:firstLine="480"/>
        <w:rPr>
          <w:rFonts w:ascii="宋体" w:cs="宋体"/>
          <w:szCs w:val="24"/>
        </w:rPr>
      </w:pPr>
      <w:r>
        <w:rPr>
          <w:rFonts w:ascii="宋体" w:hAnsi="宋体" w:cs="宋体"/>
          <w:szCs w:val="24"/>
        </w:rPr>
        <w:t>6.</w:t>
      </w:r>
      <w:r>
        <w:rPr>
          <w:rFonts w:hint="eastAsia" w:ascii="宋体" w:hAnsi="宋体" w:cs="宋体"/>
          <w:szCs w:val="24"/>
        </w:rPr>
        <w:t>磋商价格表</w:t>
      </w:r>
    </w:p>
    <w:p>
      <w:pPr>
        <w:spacing w:line="360" w:lineRule="auto"/>
        <w:ind w:firstLine="480"/>
        <w:rPr>
          <w:rFonts w:ascii="宋体" w:cs="宋体"/>
          <w:szCs w:val="24"/>
        </w:rPr>
      </w:pPr>
      <w:r>
        <w:rPr>
          <w:rFonts w:ascii="宋体" w:hAnsi="宋体" w:cs="宋体"/>
          <w:szCs w:val="24"/>
        </w:rPr>
        <w:t>7.</w:t>
      </w:r>
      <w:r>
        <w:rPr>
          <w:rFonts w:hint="eastAsia" w:ascii="宋体" w:hAnsi="宋体" w:cs="宋体"/>
          <w:szCs w:val="24"/>
        </w:rPr>
        <w:t>偏离表</w:t>
      </w:r>
    </w:p>
    <w:p>
      <w:pPr>
        <w:spacing w:line="360" w:lineRule="auto"/>
        <w:ind w:firstLine="480"/>
        <w:rPr>
          <w:rFonts w:ascii="宋体" w:cs="宋体"/>
          <w:szCs w:val="24"/>
        </w:rPr>
      </w:pPr>
      <w:r>
        <w:rPr>
          <w:rFonts w:ascii="宋体" w:hAnsi="宋体" w:cs="宋体"/>
          <w:szCs w:val="24"/>
        </w:rPr>
        <w:t>8.</w:t>
      </w:r>
      <w:r>
        <w:rPr>
          <w:rFonts w:hint="eastAsia" w:ascii="宋体" w:hAnsi="宋体" w:cs="宋体"/>
          <w:szCs w:val="24"/>
        </w:rPr>
        <w:t>响应供应商资格证明材料</w:t>
      </w:r>
    </w:p>
    <w:p>
      <w:pPr>
        <w:spacing w:line="360" w:lineRule="auto"/>
        <w:ind w:firstLine="480"/>
        <w:rPr>
          <w:rFonts w:ascii="宋体" w:cs="宋体"/>
          <w:szCs w:val="24"/>
        </w:rPr>
      </w:pPr>
      <w:r>
        <w:rPr>
          <w:rFonts w:ascii="宋体" w:hAnsi="宋体" w:cs="宋体"/>
          <w:szCs w:val="24"/>
        </w:rPr>
        <w:t>9.</w:t>
      </w:r>
      <w:r>
        <w:rPr>
          <w:rFonts w:hint="eastAsia" w:ascii="宋体" w:hAnsi="宋体" w:cs="宋体"/>
          <w:szCs w:val="24"/>
        </w:rPr>
        <w:t>供应商拟定的项目实施方案</w:t>
      </w:r>
    </w:p>
    <w:p>
      <w:pPr>
        <w:spacing w:line="360" w:lineRule="auto"/>
        <w:ind w:firstLine="480"/>
        <w:rPr>
          <w:rFonts w:ascii="宋体" w:cs="宋体"/>
          <w:szCs w:val="24"/>
        </w:rPr>
      </w:pPr>
      <w:r>
        <w:rPr>
          <w:rFonts w:ascii="宋体" w:hAnsi="宋体" w:cs="宋体"/>
          <w:szCs w:val="24"/>
        </w:rPr>
        <w:t>10.</w:t>
      </w:r>
      <w:r>
        <w:rPr>
          <w:rFonts w:hint="eastAsia" w:ascii="宋体" w:hAnsi="宋体" w:cs="宋体"/>
          <w:szCs w:val="24"/>
        </w:rPr>
        <w:t>磋商文件要求提供的其它有关文件</w:t>
      </w:r>
    </w:p>
    <w:p>
      <w:pPr>
        <w:spacing w:line="360" w:lineRule="auto"/>
        <w:ind w:firstLine="480"/>
        <w:rPr>
          <w:rFonts w:ascii="宋体" w:cs="宋体"/>
          <w:szCs w:val="24"/>
          <w:u w:val="single"/>
        </w:rPr>
      </w:pPr>
      <w:r>
        <w:rPr>
          <w:rFonts w:hint="eastAsia" w:ascii="宋体" w:hAnsi="宋体" w:cs="宋体"/>
          <w:szCs w:val="24"/>
        </w:rPr>
        <w:t>我方已仔细阅读并研究了</w:t>
      </w:r>
      <w:r>
        <w:rPr>
          <w:rFonts w:hint="eastAsia" w:ascii="宋体" w:hAnsi="宋体" w:cs="宋体"/>
          <w:szCs w:val="24"/>
          <w:u w:val="single"/>
        </w:rPr>
        <w:t>（项目名称）</w:t>
      </w:r>
      <w:r>
        <w:rPr>
          <w:rFonts w:hint="eastAsia" w:ascii="宋体" w:hAnsi="宋体" w:cs="宋体"/>
          <w:szCs w:val="24"/>
        </w:rPr>
        <w:t>磋商文件的全部内容（含本项目的所有补遗</w:t>
      </w:r>
      <w:r>
        <w:rPr>
          <w:rFonts w:ascii="宋体" w:cs="宋体"/>
          <w:szCs w:val="24"/>
        </w:rPr>
        <w:t>.</w:t>
      </w:r>
      <w:r>
        <w:rPr>
          <w:rFonts w:hint="eastAsia" w:ascii="宋体" w:hAnsi="宋体" w:cs="宋体"/>
          <w:szCs w:val="24"/>
        </w:rPr>
        <w:t>澄清和变更资料），我们完全熟悉其中的要求、条款和条件。愿意以人民币</w:t>
      </w:r>
      <w:r>
        <w:rPr>
          <w:rFonts w:hint="eastAsia" w:ascii="宋体" w:hAnsi="宋体" w:cs="宋体"/>
          <w:szCs w:val="24"/>
          <w:u w:val="single"/>
        </w:rPr>
        <w:t xml:space="preserve">大写：          </w:t>
      </w:r>
      <w:r>
        <w:rPr>
          <w:rFonts w:hint="eastAsia" w:ascii="宋体" w:hAnsi="宋体" w:cs="宋体"/>
          <w:szCs w:val="24"/>
        </w:rPr>
        <w:t>，小写：</w:t>
      </w:r>
      <w:r>
        <w:rPr>
          <w:rFonts w:hint="eastAsia" w:ascii="宋体" w:hAnsi="宋体" w:cs="宋体"/>
          <w:szCs w:val="24"/>
          <w:u w:val="single"/>
        </w:rPr>
        <w:t xml:space="preserve">               </w:t>
      </w:r>
      <w:r>
        <w:rPr>
          <w:rFonts w:hint="eastAsia" w:ascii="宋体" w:hAnsi="宋体" w:cs="宋体"/>
          <w:szCs w:val="24"/>
        </w:rPr>
        <w:t>，按磋商文件要求对完成本项目服务周期内的相应工作。同时做出以下声明：</w:t>
      </w:r>
    </w:p>
    <w:p>
      <w:pPr>
        <w:spacing w:line="360" w:lineRule="auto"/>
        <w:ind w:firstLine="480"/>
        <w:rPr>
          <w:rFonts w:ascii="宋体" w:cs="宋体"/>
          <w:szCs w:val="24"/>
        </w:rPr>
      </w:pPr>
      <w:r>
        <w:rPr>
          <w:rFonts w:ascii="宋体" w:hAnsi="宋体" w:cs="宋体"/>
          <w:szCs w:val="24"/>
        </w:rPr>
        <w:t>1.</w:t>
      </w:r>
      <w:r>
        <w:rPr>
          <w:rFonts w:hint="eastAsia" w:ascii="宋体" w:hAnsi="宋体" w:cs="宋体"/>
          <w:szCs w:val="24"/>
        </w:rPr>
        <w:t>我方完全按磋商文件的要求编制响应文件，并对磋商文件及磋商补充要求完全响应。</w:t>
      </w:r>
    </w:p>
    <w:p>
      <w:pPr>
        <w:spacing w:line="360" w:lineRule="auto"/>
        <w:ind w:firstLine="480"/>
        <w:rPr>
          <w:rFonts w:ascii="宋体" w:cs="宋体"/>
          <w:szCs w:val="24"/>
        </w:rPr>
      </w:pPr>
      <w:r>
        <w:rPr>
          <w:rFonts w:ascii="宋体" w:hAnsi="宋体" w:cs="宋体"/>
          <w:szCs w:val="24"/>
        </w:rPr>
        <w:t>2.</w:t>
      </w:r>
      <w:r>
        <w:rPr>
          <w:rFonts w:hint="eastAsia" w:ascii="宋体" w:hAnsi="宋体" w:cs="宋体"/>
          <w:szCs w:val="24"/>
        </w:rPr>
        <w:t>我方磋商有效期为</w:t>
      </w:r>
      <w:r>
        <w:rPr>
          <w:rFonts w:hint="eastAsia" w:ascii="宋体" w:hAnsi="宋体" w:cs="宋体"/>
          <w:szCs w:val="24"/>
          <w:u w:val="single"/>
        </w:rPr>
        <w:t xml:space="preserve">   </w:t>
      </w:r>
      <w:r>
        <w:rPr>
          <w:rFonts w:hint="eastAsia" w:ascii="宋体" w:hAnsi="宋体" w:cs="宋体"/>
          <w:szCs w:val="24"/>
        </w:rPr>
        <w:t>天。</w:t>
      </w:r>
    </w:p>
    <w:p>
      <w:pPr>
        <w:spacing w:line="360" w:lineRule="auto"/>
        <w:ind w:firstLine="480"/>
        <w:rPr>
          <w:rFonts w:ascii="宋体" w:cs="宋体"/>
          <w:szCs w:val="24"/>
        </w:rPr>
      </w:pPr>
      <w:r>
        <w:rPr>
          <w:rFonts w:ascii="宋体" w:hAnsi="宋体" w:cs="宋体"/>
          <w:szCs w:val="24"/>
        </w:rPr>
        <w:t>3.</w:t>
      </w:r>
      <w:r>
        <w:rPr>
          <w:rFonts w:hint="eastAsia" w:ascii="宋体" w:hAnsi="宋体" w:cs="宋体"/>
          <w:szCs w:val="24"/>
        </w:rPr>
        <w:t>我方承诺与采购人聘请的为此项目提供咨询服务的公司及任何附属机构均无关联，我方不是采购人的附属机构。</w:t>
      </w:r>
    </w:p>
    <w:p>
      <w:pPr>
        <w:spacing w:line="360" w:lineRule="auto"/>
        <w:ind w:firstLine="480"/>
        <w:rPr>
          <w:rFonts w:ascii="宋体" w:cs="宋体"/>
          <w:szCs w:val="24"/>
        </w:rPr>
      </w:pPr>
      <w:r>
        <w:rPr>
          <w:rFonts w:ascii="宋体" w:hAnsi="宋体" w:cs="宋体"/>
          <w:szCs w:val="24"/>
        </w:rPr>
        <w:t>4.</w:t>
      </w:r>
      <w:r>
        <w:rPr>
          <w:rFonts w:hint="eastAsia" w:ascii="宋体" w:hAnsi="宋体" w:cs="宋体"/>
          <w:szCs w:val="24"/>
        </w:rPr>
        <w:t>我方将按磋商文件的规定履行合同责任和义务。</w:t>
      </w:r>
    </w:p>
    <w:p>
      <w:pPr>
        <w:spacing w:line="360" w:lineRule="auto"/>
        <w:ind w:firstLine="480"/>
        <w:rPr>
          <w:rFonts w:ascii="宋体" w:cs="宋体"/>
          <w:szCs w:val="24"/>
        </w:rPr>
      </w:pPr>
      <w:r>
        <w:rPr>
          <w:rFonts w:ascii="宋体" w:hAnsi="宋体" w:cs="宋体"/>
          <w:szCs w:val="24"/>
        </w:rPr>
        <w:t>5.</w:t>
      </w:r>
      <w:r>
        <w:rPr>
          <w:rFonts w:hint="eastAsia" w:ascii="宋体" w:hAnsi="宋体" w:cs="宋体"/>
          <w:szCs w:val="24"/>
        </w:rPr>
        <w:t>我方同意竞争性磋商须知中关于没收磋商保证金的规定。</w:t>
      </w:r>
    </w:p>
    <w:p>
      <w:pPr>
        <w:spacing w:line="360" w:lineRule="auto"/>
        <w:ind w:firstLine="480"/>
        <w:rPr>
          <w:rFonts w:ascii="宋体" w:cs="宋体"/>
          <w:szCs w:val="24"/>
        </w:rPr>
      </w:pPr>
      <w:r>
        <w:rPr>
          <w:rFonts w:ascii="宋体" w:hAnsi="宋体" w:cs="宋体"/>
          <w:szCs w:val="24"/>
        </w:rPr>
        <w:t>6.</w:t>
      </w:r>
      <w:r>
        <w:rPr>
          <w:rFonts w:hint="eastAsia" w:ascii="宋体" w:hAnsi="宋体" w:cs="宋体"/>
          <w:szCs w:val="24"/>
        </w:rPr>
        <w:t>我方同意提供贵方可能要求的与其磋商有关的一切数据或资料。</w:t>
      </w:r>
    </w:p>
    <w:p>
      <w:pPr>
        <w:spacing w:line="360" w:lineRule="auto"/>
        <w:ind w:firstLine="480"/>
        <w:rPr>
          <w:rFonts w:ascii="宋体" w:cs="宋体"/>
          <w:szCs w:val="24"/>
        </w:rPr>
      </w:pPr>
      <w:r>
        <w:rPr>
          <w:rFonts w:ascii="宋体" w:hAnsi="宋体" w:cs="宋体"/>
          <w:szCs w:val="24"/>
        </w:rPr>
        <w:t>7.</w:t>
      </w:r>
      <w:r>
        <w:rPr>
          <w:rFonts w:hint="eastAsia" w:ascii="宋体" w:hAnsi="宋体" w:cs="宋体"/>
          <w:szCs w:val="24"/>
        </w:rPr>
        <w:t>我方完全理解贵方不一定接受最低价的响应或收到的任何响应。</w:t>
      </w:r>
    </w:p>
    <w:p>
      <w:pPr>
        <w:spacing w:line="360" w:lineRule="auto"/>
        <w:ind w:firstLine="480"/>
        <w:rPr>
          <w:rFonts w:ascii="宋体" w:cs="宋体"/>
          <w:szCs w:val="24"/>
        </w:rPr>
      </w:pPr>
      <w:r>
        <w:rPr>
          <w:rFonts w:ascii="宋体" w:hAnsi="宋体" w:cs="宋体"/>
          <w:szCs w:val="24"/>
        </w:rPr>
        <w:t>8.</w:t>
      </w:r>
      <w:r>
        <w:rPr>
          <w:rFonts w:hint="eastAsia" w:ascii="宋体" w:hAnsi="宋体" w:cs="宋体"/>
          <w:szCs w:val="24"/>
        </w:rPr>
        <w:t>我方承诺不泄露磋商活动中获取的项目信息</w:t>
      </w:r>
      <w:r>
        <w:rPr>
          <w:rFonts w:ascii="宋体" w:cs="宋体"/>
          <w:szCs w:val="24"/>
        </w:rPr>
        <w:t>.</w:t>
      </w:r>
      <w:r>
        <w:rPr>
          <w:rFonts w:hint="eastAsia" w:ascii="宋体" w:hAnsi="宋体" w:cs="宋体"/>
          <w:szCs w:val="24"/>
        </w:rPr>
        <w:t>商业秘密。</w:t>
      </w:r>
    </w:p>
    <w:p>
      <w:pPr>
        <w:spacing w:line="360" w:lineRule="auto"/>
        <w:ind w:firstLine="480"/>
        <w:rPr>
          <w:rFonts w:ascii="宋体" w:cs="宋体"/>
          <w:szCs w:val="24"/>
        </w:rPr>
      </w:pPr>
      <w:r>
        <w:rPr>
          <w:rFonts w:ascii="宋体" w:hAnsi="宋体" w:cs="宋体"/>
          <w:szCs w:val="24"/>
        </w:rPr>
        <w:t>9.</w:t>
      </w:r>
      <w:r>
        <w:rPr>
          <w:rFonts w:hint="eastAsia" w:ascii="宋体" w:hAnsi="宋体" w:cs="宋体"/>
          <w:szCs w:val="24"/>
        </w:rPr>
        <w:t>我方在此声明，所递交的响应文件及有关资料内容完整</w:t>
      </w:r>
      <w:r>
        <w:rPr>
          <w:rFonts w:ascii="宋体" w:cs="宋体"/>
          <w:szCs w:val="24"/>
        </w:rPr>
        <w:t>.</w:t>
      </w:r>
      <w:r>
        <w:rPr>
          <w:rFonts w:hint="eastAsia" w:ascii="宋体" w:hAnsi="宋体" w:cs="宋体"/>
          <w:szCs w:val="24"/>
        </w:rPr>
        <w:t>真实和准确。</w:t>
      </w:r>
    </w:p>
    <w:p>
      <w:pPr>
        <w:spacing w:line="360" w:lineRule="auto"/>
        <w:ind w:firstLine="480"/>
        <w:rPr>
          <w:rFonts w:ascii="宋体" w:hAnsi="宋体" w:cs="宋体"/>
          <w:szCs w:val="24"/>
        </w:rPr>
      </w:pPr>
      <w:r>
        <w:rPr>
          <w:rFonts w:hint="eastAsia" w:ascii="宋体" w:hAnsi="宋体" w:cs="宋体"/>
          <w:szCs w:val="24"/>
        </w:rPr>
        <w:t>10.我方提交的响应文件完全响应采购文件的要求。</w:t>
      </w:r>
    </w:p>
    <w:p>
      <w:pPr>
        <w:spacing w:line="360" w:lineRule="auto"/>
        <w:ind w:firstLine="480"/>
        <w:rPr>
          <w:rFonts w:ascii="宋体" w:cs="宋体"/>
          <w:szCs w:val="24"/>
        </w:rPr>
      </w:pPr>
      <w:r>
        <w:rPr>
          <w:rFonts w:hint="eastAsia" w:ascii="宋体" w:hAnsi="宋体" w:cs="宋体"/>
          <w:szCs w:val="24"/>
        </w:rPr>
        <w:t>与本磋商有关的一切正式信函请寄：</w:t>
      </w:r>
    </w:p>
    <w:p>
      <w:pPr>
        <w:spacing w:before="26" w:line="360" w:lineRule="auto"/>
        <w:ind w:firstLine="423"/>
        <w:rPr>
          <w:rFonts w:cs="宋体"/>
          <w:spacing w:val="-1"/>
          <w:szCs w:val="24"/>
        </w:rPr>
      </w:pPr>
    </w:p>
    <w:p>
      <w:pPr>
        <w:spacing w:before="26" w:line="360" w:lineRule="auto"/>
        <w:ind w:firstLine="423"/>
        <w:rPr>
          <w:rFonts w:cs="宋体"/>
          <w:spacing w:val="-1"/>
          <w:szCs w:val="24"/>
        </w:rPr>
      </w:pPr>
    </w:p>
    <w:p>
      <w:pPr>
        <w:spacing w:before="26" w:line="360" w:lineRule="auto"/>
        <w:ind w:firstLine="421"/>
        <w:rPr>
          <w:rFonts w:cs="宋体"/>
          <w:szCs w:val="24"/>
          <w:u w:val="single"/>
        </w:rPr>
      </w:pPr>
      <w:r>
        <w:rPr>
          <w:rFonts w:hint="eastAsia" w:cs="宋体"/>
          <w:spacing w:val="-1"/>
          <w:szCs w:val="24"/>
        </w:rPr>
        <w:t>单位名称（盖章）</w:t>
      </w:r>
      <w:r>
        <w:rPr>
          <w:rFonts w:hint="eastAsia" w:cs="宋体"/>
          <w:spacing w:val="-1"/>
          <w:szCs w:val="24"/>
          <w:u w:val="single"/>
        </w:rPr>
        <w:t xml:space="preserve">                             </w:t>
      </w:r>
    </w:p>
    <w:p>
      <w:pPr>
        <w:spacing w:before="26" w:line="360" w:lineRule="auto"/>
        <w:ind w:firstLine="425"/>
        <w:rPr>
          <w:rFonts w:cs="宋体"/>
          <w:szCs w:val="24"/>
          <w:u w:val="single"/>
        </w:rPr>
      </w:pPr>
      <w:r>
        <w:rPr>
          <w:rFonts w:hint="eastAsia" w:cs="宋体"/>
          <w:szCs w:val="24"/>
        </w:rPr>
        <w:t>地址：</w:t>
      </w:r>
      <w:r>
        <w:rPr>
          <w:rFonts w:hint="eastAsia" w:cs="宋体"/>
          <w:szCs w:val="24"/>
          <w:u w:val="single"/>
        </w:rPr>
        <w:t xml:space="preserve">  </w:t>
      </w:r>
      <w:r>
        <w:rPr>
          <w:rFonts w:cs="宋体"/>
          <w:szCs w:val="24"/>
          <w:u w:val="single"/>
        </w:rPr>
        <w:tab/>
      </w:r>
      <w:r>
        <w:rPr>
          <w:rFonts w:hint="eastAsia" w:cs="宋体"/>
          <w:szCs w:val="24"/>
          <w:u w:val="single"/>
        </w:rPr>
        <w:t xml:space="preserve">                         </w:t>
      </w:r>
    </w:p>
    <w:p>
      <w:pPr>
        <w:spacing w:before="26" w:line="360" w:lineRule="auto"/>
        <w:ind w:firstLine="425"/>
        <w:rPr>
          <w:rFonts w:cs="宋体"/>
          <w:szCs w:val="24"/>
          <w:u w:val="single"/>
        </w:rPr>
      </w:pPr>
      <w:r>
        <w:rPr>
          <w:rFonts w:hint="eastAsia" w:cs="宋体"/>
          <w:szCs w:val="24"/>
        </w:rPr>
        <w:t>电话：</w:t>
      </w:r>
      <w:r>
        <w:rPr>
          <w:rFonts w:cs="宋体"/>
          <w:szCs w:val="24"/>
          <w:u w:val="single"/>
        </w:rPr>
        <w:tab/>
      </w:r>
      <w:r>
        <w:rPr>
          <w:rFonts w:hint="eastAsia" w:cs="宋体"/>
          <w:szCs w:val="24"/>
          <w:u w:val="single"/>
        </w:rPr>
        <w:t xml:space="preserve">     </w:t>
      </w:r>
    </w:p>
    <w:p>
      <w:pPr>
        <w:spacing w:before="26" w:line="360" w:lineRule="auto"/>
        <w:ind w:firstLine="423"/>
        <w:rPr>
          <w:rFonts w:cs="宋体"/>
          <w:spacing w:val="-1"/>
          <w:szCs w:val="24"/>
        </w:rPr>
      </w:pPr>
      <w:r>
        <w:rPr>
          <w:rFonts w:hint="eastAsia" w:cs="宋体"/>
          <w:spacing w:val="-1"/>
          <w:szCs w:val="24"/>
        </w:rPr>
        <w:t>法人代表或授权代表签字</w:t>
      </w:r>
      <w:r>
        <w:rPr>
          <w:rFonts w:cs="宋体"/>
          <w:spacing w:val="-1"/>
          <w:szCs w:val="24"/>
        </w:rPr>
        <w:t>:</w:t>
      </w:r>
      <w:r>
        <w:rPr>
          <w:rFonts w:cs="宋体"/>
          <w:szCs w:val="24"/>
          <w:u w:val="single"/>
        </w:rPr>
        <w:tab/>
      </w:r>
      <w:r>
        <w:rPr>
          <w:rFonts w:hint="eastAsia" w:cs="宋体"/>
          <w:szCs w:val="24"/>
          <w:u w:val="single"/>
        </w:rPr>
        <w:t xml:space="preserve">                      </w:t>
      </w:r>
    </w:p>
    <w:p>
      <w:pPr>
        <w:spacing w:before="26" w:line="360" w:lineRule="auto"/>
        <w:ind w:firstLine="423"/>
        <w:rPr>
          <w:rFonts w:cs="宋体"/>
          <w:szCs w:val="24"/>
        </w:rPr>
      </w:pPr>
      <w:r>
        <w:rPr>
          <w:rFonts w:hint="eastAsia" w:cs="宋体"/>
          <w:spacing w:val="-1"/>
          <w:szCs w:val="24"/>
        </w:rPr>
        <w:t>日期</w:t>
      </w:r>
      <w:r>
        <w:rPr>
          <w:rFonts w:cs="宋体"/>
          <w:spacing w:val="-1"/>
          <w:szCs w:val="24"/>
        </w:rPr>
        <w:t>:</w:t>
      </w:r>
      <w:r>
        <w:rPr>
          <w:rFonts w:hint="eastAsia" w:cs="宋体"/>
          <w:spacing w:val="-1"/>
          <w:szCs w:val="24"/>
        </w:rPr>
        <w:t xml:space="preserve"> </w:t>
      </w:r>
      <w:r>
        <w:rPr>
          <w:rFonts w:cs="宋体"/>
          <w:szCs w:val="24"/>
          <w:u w:val="single"/>
        </w:rPr>
        <w:tab/>
      </w:r>
      <w:r>
        <w:rPr>
          <w:rFonts w:hint="eastAsia" w:cs="宋体"/>
          <w:szCs w:val="24"/>
          <w:u w:val="single"/>
        </w:rPr>
        <w:t xml:space="preserve">    </w:t>
      </w:r>
    </w:p>
    <w:p>
      <w:pPr>
        <w:spacing w:line="360" w:lineRule="auto"/>
        <w:ind w:firstLine="1446"/>
        <w:rPr>
          <w:rFonts w:ascii="宋体" w:cs="宋体"/>
          <w:b/>
          <w:szCs w:val="24"/>
        </w:rPr>
      </w:pPr>
    </w:p>
    <w:p>
      <w:pPr>
        <w:ind w:firstLine="1446"/>
        <w:rPr>
          <w:rFonts w:ascii="宋体" w:cs="宋体"/>
          <w:b/>
          <w:szCs w:val="24"/>
        </w:rPr>
      </w:pPr>
    </w:p>
    <w:p>
      <w:pPr>
        <w:pStyle w:val="27"/>
        <w:jc w:val="both"/>
        <w:rPr>
          <w:rFonts w:ascii="宋体" w:cs="宋体"/>
          <w:sz w:val="24"/>
          <w:szCs w:val="24"/>
        </w:rPr>
      </w:pPr>
      <w:bookmarkStart w:id="203" w:name="_Toc431307798"/>
      <w:bookmarkEnd w:id="203"/>
      <w:bookmarkStart w:id="204" w:name="_Toc448307971"/>
      <w:bookmarkEnd w:id="204"/>
      <w:r>
        <w:br w:type="page"/>
      </w:r>
      <w:r>
        <w:rPr>
          <w:rFonts w:hint="eastAsia" w:ascii="宋体" w:hAnsi="宋体" w:cs="宋体"/>
          <w:sz w:val="24"/>
          <w:szCs w:val="24"/>
        </w:rPr>
        <w:t>格式</w:t>
      </w:r>
      <w:r>
        <w:rPr>
          <w:rFonts w:ascii="宋体" w:hAnsi="宋体" w:cs="宋体"/>
          <w:sz w:val="24"/>
          <w:szCs w:val="24"/>
        </w:rPr>
        <w:t>2</w:t>
      </w:r>
    </w:p>
    <w:p>
      <w:pPr>
        <w:spacing w:line="480" w:lineRule="exact"/>
        <w:rPr>
          <w:szCs w:val="24"/>
        </w:rPr>
      </w:pPr>
    </w:p>
    <w:p>
      <w:pPr>
        <w:spacing w:line="480" w:lineRule="exact"/>
        <w:jc w:val="center"/>
        <w:rPr>
          <w:rFonts w:ascii="宋体"/>
          <w:b/>
          <w:bCs/>
          <w:sz w:val="36"/>
          <w:szCs w:val="36"/>
        </w:rPr>
      </w:pPr>
      <w:r>
        <w:rPr>
          <w:rFonts w:hint="eastAsia" w:ascii="宋体" w:hAnsi="宋体"/>
          <w:b/>
          <w:bCs/>
          <w:sz w:val="36"/>
          <w:szCs w:val="36"/>
        </w:rPr>
        <w:t>报价一览表</w:t>
      </w:r>
    </w:p>
    <w:p>
      <w:pPr>
        <w:spacing w:line="320" w:lineRule="exact"/>
        <w:rPr>
          <w:rFonts w:ascii="宋体"/>
          <w:szCs w:val="21"/>
        </w:rPr>
      </w:pPr>
    </w:p>
    <w:p>
      <w:pPr>
        <w:spacing w:line="320" w:lineRule="exact"/>
        <w:rPr>
          <w:rFonts w:ascii="宋体"/>
          <w:szCs w:val="24"/>
          <w:u w:val="single"/>
        </w:rPr>
      </w:pPr>
      <w:r>
        <w:rPr>
          <w:rFonts w:hint="eastAsia" w:ascii="宋体" w:hAnsi="宋体"/>
          <w:szCs w:val="24"/>
        </w:rPr>
        <w:t>采购项目名称：</w:t>
      </w:r>
    </w:p>
    <w:p>
      <w:pPr>
        <w:spacing w:line="320" w:lineRule="exact"/>
        <w:rPr>
          <w:rFonts w:ascii="宋体"/>
          <w:i/>
          <w:iCs/>
          <w:szCs w:val="24"/>
        </w:rPr>
      </w:pPr>
      <w:r>
        <w:rPr>
          <w:rFonts w:hint="eastAsia" w:ascii="宋体" w:hAnsi="宋体"/>
          <w:szCs w:val="24"/>
        </w:rPr>
        <w:t>采购项目编号：</w:t>
      </w:r>
    </w:p>
    <w:p>
      <w:pPr>
        <w:spacing w:line="320" w:lineRule="exact"/>
        <w:ind w:firstLine="6840"/>
        <w:rPr>
          <w:rFonts w:ascii="宋体" w:cs="Arial"/>
          <w:szCs w:val="24"/>
        </w:rPr>
      </w:pPr>
      <w:r>
        <w:rPr>
          <w:rFonts w:hint="eastAsia" w:ascii="宋体" w:hAnsi="宋体" w:cs="Arial"/>
          <w:szCs w:val="24"/>
        </w:rPr>
        <w:t>单位：元（人民币）</w:t>
      </w:r>
    </w:p>
    <w:tbl>
      <w:tblPr>
        <w:tblStyle w:val="31"/>
        <w:tblW w:w="9490" w:type="dxa"/>
        <w:tblInd w:w="106" w:type="dxa"/>
        <w:tblLayout w:type="fixed"/>
        <w:tblCellMar>
          <w:top w:w="0" w:type="dxa"/>
          <w:left w:w="10" w:type="dxa"/>
          <w:bottom w:w="0" w:type="dxa"/>
          <w:right w:w="10" w:type="dxa"/>
        </w:tblCellMar>
      </w:tblPr>
      <w:tblGrid>
        <w:gridCol w:w="1413"/>
        <w:gridCol w:w="5252"/>
        <w:gridCol w:w="1549"/>
        <w:gridCol w:w="1276"/>
      </w:tblGrid>
      <w:tr>
        <w:tblPrEx>
          <w:tblLayout w:type="fixed"/>
          <w:tblCellMar>
            <w:top w:w="0" w:type="dxa"/>
            <w:left w:w="10" w:type="dxa"/>
            <w:bottom w:w="0" w:type="dxa"/>
            <w:right w:w="10" w:type="dxa"/>
          </w:tblCellMar>
        </w:tblPrEx>
        <w:trPr>
          <w:trHeight w:val="581" w:hRule="atLeast"/>
        </w:trPr>
        <w:tc>
          <w:tcPr>
            <w:tcW w:w="14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rPr>
            </w:pPr>
            <w:r>
              <w:rPr>
                <w:rFonts w:hint="eastAsia" w:ascii="宋体" w:hAnsi="宋体"/>
              </w:rPr>
              <w:t>项目名称</w:t>
            </w:r>
          </w:p>
        </w:tc>
        <w:tc>
          <w:tcPr>
            <w:tcW w:w="52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rPr>
            </w:pPr>
            <w:r>
              <w:rPr>
                <w:rFonts w:hint="eastAsia" w:ascii="宋体" w:hAnsi="宋体"/>
              </w:rPr>
              <w:t>报价</w:t>
            </w:r>
          </w:p>
        </w:tc>
        <w:tc>
          <w:tcPr>
            <w:tcW w:w="15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rPr>
            </w:pPr>
            <w:r>
              <w:rPr>
                <w:rFonts w:hint="eastAsia" w:ascii="宋体" w:hAnsi="宋体"/>
              </w:rPr>
              <w:t>期限(工期)</w:t>
            </w:r>
          </w:p>
        </w:tc>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rPr>
            </w:pPr>
            <w:r>
              <w:rPr>
                <w:rFonts w:hint="eastAsia" w:ascii="宋体" w:hAnsi="宋体"/>
              </w:rPr>
              <w:t>备注</w:t>
            </w:r>
          </w:p>
        </w:tc>
      </w:tr>
      <w:tr>
        <w:tblPrEx>
          <w:tblLayout w:type="fixed"/>
          <w:tblCellMar>
            <w:top w:w="0" w:type="dxa"/>
            <w:left w:w="10" w:type="dxa"/>
            <w:bottom w:w="0" w:type="dxa"/>
            <w:right w:w="10" w:type="dxa"/>
          </w:tblCellMar>
        </w:tblPrEx>
        <w:trPr>
          <w:trHeight w:val="592" w:hRule="atLeast"/>
        </w:trPr>
        <w:tc>
          <w:tcPr>
            <w:tcW w:w="14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80" w:lineRule="exact"/>
              <w:ind w:firstLine="31"/>
              <w:jc w:val="center"/>
              <w:rPr>
                <w:rFonts w:ascii="宋体"/>
              </w:rPr>
            </w:pPr>
          </w:p>
        </w:tc>
        <w:tc>
          <w:tcPr>
            <w:tcW w:w="52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80" w:lineRule="exact"/>
              <w:rPr>
                <w:rFonts w:ascii="宋体"/>
                <w:u w:val="single"/>
              </w:rPr>
            </w:pPr>
            <w:r>
              <w:rPr>
                <w:rFonts w:hint="eastAsia" w:ascii="宋体" w:hAnsi="宋体"/>
                <w:szCs w:val="21"/>
              </w:rPr>
              <w:t>大写：              ；小写：</w:t>
            </w:r>
          </w:p>
        </w:tc>
        <w:tc>
          <w:tcPr>
            <w:tcW w:w="15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宋体"/>
              </w:rPr>
            </w:pPr>
          </w:p>
        </w:tc>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宋体"/>
              </w:rPr>
            </w:pPr>
          </w:p>
        </w:tc>
      </w:tr>
      <w:tr>
        <w:tblPrEx>
          <w:tblLayout w:type="fixed"/>
          <w:tblCellMar>
            <w:top w:w="0" w:type="dxa"/>
            <w:left w:w="10" w:type="dxa"/>
            <w:bottom w:w="0" w:type="dxa"/>
            <w:right w:w="10" w:type="dxa"/>
          </w:tblCellMar>
        </w:tblPrEx>
        <w:trPr>
          <w:trHeight w:val="592" w:hRule="atLeast"/>
        </w:trPr>
        <w:tc>
          <w:tcPr>
            <w:tcW w:w="14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80" w:lineRule="exact"/>
              <w:ind w:firstLine="31"/>
              <w:jc w:val="center"/>
              <w:rPr>
                <w:rFonts w:ascii="宋体"/>
              </w:rPr>
            </w:pPr>
          </w:p>
        </w:tc>
        <w:tc>
          <w:tcPr>
            <w:tcW w:w="52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80" w:lineRule="exact"/>
              <w:rPr>
                <w:rFonts w:ascii="宋体" w:hAnsi="宋体"/>
                <w:szCs w:val="21"/>
              </w:rPr>
            </w:pPr>
          </w:p>
        </w:tc>
        <w:tc>
          <w:tcPr>
            <w:tcW w:w="15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宋体"/>
              </w:rPr>
            </w:pPr>
          </w:p>
        </w:tc>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宋体"/>
              </w:rPr>
            </w:pPr>
          </w:p>
        </w:tc>
      </w:tr>
    </w:tbl>
    <w:p>
      <w:pPr>
        <w:spacing w:line="320" w:lineRule="exact"/>
        <w:rPr>
          <w:rFonts w:ascii="宋体" w:cs="Arial"/>
          <w:b/>
          <w:bCs/>
          <w:szCs w:val="24"/>
        </w:rPr>
      </w:pPr>
      <w:r>
        <w:rPr>
          <w:rFonts w:hint="eastAsia" w:ascii="宋体" w:hAnsi="宋体" w:cs="Arial"/>
          <w:b/>
          <w:bCs/>
          <w:szCs w:val="24"/>
        </w:rPr>
        <w:t>填写说明：</w:t>
      </w:r>
    </w:p>
    <w:p>
      <w:pPr>
        <w:numPr>
          <w:ilvl w:val="0"/>
          <w:numId w:val="6"/>
        </w:numPr>
        <w:spacing w:line="400" w:lineRule="exact"/>
        <w:ind w:firstLine="480" w:firstLineChars="200"/>
        <w:rPr>
          <w:rFonts w:ascii="宋体" w:hAnsi="宋体" w:cs="Arial"/>
          <w:szCs w:val="24"/>
        </w:rPr>
      </w:pPr>
      <w:r>
        <w:rPr>
          <w:rFonts w:hint="eastAsia" w:ascii="宋体" w:hAnsi="宋体" w:cs="Arial"/>
          <w:szCs w:val="24"/>
        </w:rPr>
        <w:t>本表中的内容与</w:t>
      </w:r>
      <w:r>
        <w:rPr>
          <w:rFonts w:ascii="宋体" w:hAnsi="宋体" w:cs="Arial"/>
          <w:szCs w:val="24"/>
        </w:rPr>
        <w:t>响应</w:t>
      </w:r>
      <w:r>
        <w:rPr>
          <w:rFonts w:hint="eastAsia" w:ascii="宋体" w:hAnsi="宋体" w:cs="Arial"/>
          <w:szCs w:val="24"/>
        </w:rPr>
        <w:t>文件中的磋商函、分项报价表的内容不一致的，以本表为准；大写金额和小写金额不一致的，以大写金额为准；总价金额与按单价汇总金额不一致的，以单价金额计算结果为准；单价金额小数点有明显错位的，应以总价为准，并修改单价。</w:t>
      </w:r>
    </w:p>
    <w:p>
      <w:pPr>
        <w:numPr>
          <w:ilvl w:val="0"/>
          <w:numId w:val="6"/>
        </w:numPr>
        <w:spacing w:line="400" w:lineRule="exact"/>
        <w:ind w:firstLine="480" w:firstLineChars="200"/>
        <w:rPr>
          <w:rFonts w:ascii="宋体" w:hAnsi="宋体" w:cs="Arial"/>
          <w:szCs w:val="24"/>
        </w:rPr>
      </w:pPr>
      <w:r>
        <w:rPr>
          <w:rFonts w:hint="eastAsia" w:ascii="宋体" w:hAnsi="宋体" w:cs="Arial"/>
          <w:szCs w:val="24"/>
        </w:rPr>
        <w:t>报价为采购范围所列全部货物和服务的报价总和，应与分项报价表保持一致。</w:t>
      </w:r>
    </w:p>
    <w:p>
      <w:pPr>
        <w:tabs>
          <w:tab w:val="left" w:pos="4881"/>
        </w:tabs>
        <w:spacing w:before="33" w:line="360" w:lineRule="auto"/>
        <w:ind w:left="102" w:right="4125"/>
        <w:rPr>
          <w:rFonts w:cs="宋体"/>
          <w:spacing w:val="-1"/>
          <w:szCs w:val="24"/>
        </w:rPr>
      </w:pPr>
    </w:p>
    <w:p>
      <w:pPr>
        <w:tabs>
          <w:tab w:val="left" w:pos="4881"/>
        </w:tabs>
        <w:spacing w:before="33" w:line="360" w:lineRule="auto"/>
        <w:ind w:left="102" w:right="4125"/>
        <w:rPr>
          <w:rFonts w:cs="宋体"/>
          <w:spacing w:val="-1"/>
          <w:szCs w:val="24"/>
        </w:rPr>
      </w:pPr>
    </w:p>
    <w:p>
      <w:pPr>
        <w:tabs>
          <w:tab w:val="left" w:pos="4881"/>
        </w:tabs>
        <w:spacing w:before="33" w:line="360" w:lineRule="auto"/>
        <w:ind w:left="102" w:right="4125"/>
        <w:rPr>
          <w:rFonts w:cs="宋体"/>
          <w:szCs w:val="24"/>
          <w:u w:val="single"/>
        </w:rPr>
      </w:pPr>
      <w:r>
        <w:rPr>
          <w:rFonts w:hint="eastAsia" w:cs="宋体"/>
          <w:spacing w:val="-1"/>
          <w:szCs w:val="24"/>
        </w:rPr>
        <w:t>单位名称（盖章）</w:t>
      </w:r>
      <w:r>
        <w:rPr>
          <w:rFonts w:cs="宋体"/>
          <w:spacing w:val="-1"/>
          <w:szCs w:val="24"/>
        </w:rPr>
        <w:t>:</w:t>
      </w:r>
    </w:p>
    <w:p>
      <w:pPr>
        <w:tabs>
          <w:tab w:val="left" w:pos="4881"/>
        </w:tabs>
        <w:spacing w:before="33" w:line="360" w:lineRule="auto"/>
        <w:ind w:left="102" w:right="4125"/>
        <w:rPr>
          <w:rFonts w:cs="宋体"/>
          <w:spacing w:val="25"/>
          <w:szCs w:val="24"/>
        </w:rPr>
      </w:pPr>
      <w:r>
        <w:rPr>
          <w:rFonts w:hint="eastAsia" w:cs="宋体"/>
          <w:spacing w:val="-1"/>
          <w:szCs w:val="24"/>
        </w:rPr>
        <w:t>法人代表或授权代表签字</w:t>
      </w:r>
      <w:r>
        <w:rPr>
          <w:rFonts w:cs="宋体"/>
          <w:spacing w:val="-1"/>
          <w:szCs w:val="24"/>
        </w:rPr>
        <w:t>:</w:t>
      </w:r>
      <w:r>
        <w:rPr>
          <w:rFonts w:cs="宋体"/>
          <w:szCs w:val="24"/>
          <w:u w:val="single"/>
        </w:rPr>
        <w:tab/>
      </w:r>
    </w:p>
    <w:p>
      <w:pPr>
        <w:tabs>
          <w:tab w:val="left" w:pos="4881"/>
        </w:tabs>
        <w:spacing w:before="33" w:line="360" w:lineRule="auto"/>
        <w:ind w:left="102" w:right="4125"/>
        <w:rPr>
          <w:rFonts w:cs="宋体"/>
          <w:szCs w:val="24"/>
        </w:rPr>
      </w:pPr>
      <w:r>
        <w:rPr>
          <w:rFonts w:hint="eastAsia" w:cs="宋体"/>
          <w:spacing w:val="-1"/>
          <w:szCs w:val="24"/>
        </w:rPr>
        <w:t>日期</w:t>
      </w:r>
      <w:r>
        <w:rPr>
          <w:rFonts w:cs="宋体"/>
          <w:spacing w:val="-1"/>
          <w:szCs w:val="24"/>
        </w:rPr>
        <w:t>:</w:t>
      </w:r>
      <w:r>
        <w:rPr>
          <w:rFonts w:cs="宋体"/>
          <w:szCs w:val="24"/>
          <w:u w:val="single"/>
        </w:rPr>
        <w:tab/>
      </w:r>
    </w:p>
    <w:p>
      <w:pPr>
        <w:pStyle w:val="27"/>
        <w:jc w:val="both"/>
        <w:rPr>
          <w:rFonts w:ascii="宋体" w:cs="宋体"/>
        </w:rPr>
      </w:pPr>
    </w:p>
    <w:p>
      <w:pPr>
        <w:spacing w:line="362" w:lineRule="auto"/>
        <w:rPr>
          <w:rFonts w:cs="宋体"/>
          <w:szCs w:val="24"/>
        </w:rPr>
      </w:pPr>
    </w:p>
    <w:p>
      <w:pPr>
        <w:spacing w:line="362" w:lineRule="auto"/>
        <w:rPr>
          <w:rFonts w:ascii="宋体" w:cs="宋体"/>
          <w:b/>
          <w:szCs w:val="24"/>
        </w:rPr>
      </w:pPr>
      <w:r>
        <w:br w:type="page"/>
      </w:r>
      <w:r>
        <w:rPr>
          <w:rFonts w:hint="eastAsia" w:ascii="宋体" w:hAnsi="宋体" w:cs="宋体"/>
          <w:b/>
          <w:szCs w:val="24"/>
        </w:rPr>
        <w:t>格式</w:t>
      </w:r>
      <w:r>
        <w:rPr>
          <w:rFonts w:ascii="宋体" w:hAnsi="宋体" w:cs="宋体"/>
          <w:b/>
          <w:szCs w:val="24"/>
        </w:rPr>
        <w:t>3</w:t>
      </w:r>
    </w:p>
    <w:p>
      <w:pPr>
        <w:autoSpaceDE w:val="0"/>
        <w:autoSpaceDN w:val="0"/>
        <w:adjustRightInd w:val="0"/>
        <w:spacing w:line="360" w:lineRule="auto"/>
        <w:jc w:val="center"/>
        <w:outlineLvl w:val="0"/>
        <w:rPr>
          <w:rFonts w:hAnsi="宋体"/>
          <w:b/>
          <w:snapToGrid w:val="0"/>
          <w:kern w:val="0"/>
          <w:sz w:val="36"/>
          <w:szCs w:val="36"/>
        </w:rPr>
      </w:pPr>
      <w:bookmarkStart w:id="205" w:name="_Toc448307972"/>
      <w:bookmarkEnd w:id="205"/>
      <w:r>
        <w:rPr>
          <w:rFonts w:hint="eastAsia" w:hAnsi="宋体"/>
          <w:b/>
          <w:snapToGrid w:val="0"/>
          <w:kern w:val="0"/>
          <w:sz w:val="36"/>
          <w:szCs w:val="36"/>
        </w:rPr>
        <w:t>分项报价表</w:t>
      </w:r>
    </w:p>
    <w:p>
      <w:pPr>
        <w:spacing w:before="50" w:after="120" w:afterLines="50" w:line="360" w:lineRule="auto"/>
        <w:contextualSpacing/>
        <w:jc w:val="left"/>
        <w:rPr>
          <w:rFonts w:asciiTheme="minorEastAsia" w:hAnsiTheme="minorEastAsia"/>
          <w:color w:val="000000"/>
          <w:szCs w:val="24"/>
        </w:rPr>
      </w:pPr>
      <w:r>
        <w:rPr>
          <w:rFonts w:hint="eastAsia" w:asciiTheme="minorEastAsia" w:hAnsiTheme="minorEastAsia"/>
          <w:color w:val="000000"/>
          <w:szCs w:val="24"/>
        </w:rPr>
        <w:t>项目编号：</w:t>
      </w:r>
    </w:p>
    <w:p>
      <w:pPr>
        <w:autoSpaceDE w:val="0"/>
        <w:autoSpaceDN w:val="0"/>
        <w:adjustRightInd w:val="0"/>
        <w:spacing w:line="360" w:lineRule="auto"/>
        <w:outlineLvl w:val="0"/>
        <w:rPr>
          <w:rFonts w:hAnsi="宋体"/>
          <w:b/>
          <w:snapToGrid w:val="0"/>
          <w:kern w:val="0"/>
          <w:sz w:val="36"/>
          <w:szCs w:val="36"/>
        </w:rPr>
      </w:pPr>
      <w:r>
        <w:rPr>
          <w:rFonts w:hint="eastAsia" w:asciiTheme="minorEastAsia" w:hAnsiTheme="minorEastAsia"/>
          <w:color w:val="000000"/>
          <w:szCs w:val="24"/>
        </w:rPr>
        <w:t xml:space="preserve">项目名称：   </w:t>
      </w:r>
    </w:p>
    <w:tbl>
      <w:tblPr>
        <w:tblStyle w:val="31"/>
        <w:tblW w:w="9690" w:type="dxa"/>
        <w:tblInd w:w="136" w:type="dxa"/>
        <w:tblLayout w:type="fixed"/>
        <w:tblCellMar>
          <w:top w:w="0" w:type="dxa"/>
          <w:left w:w="108" w:type="dxa"/>
          <w:bottom w:w="0" w:type="dxa"/>
          <w:right w:w="108" w:type="dxa"/>
        </w:tblCellMar>
      </w:tblPr>
      <w:tblGrid>
        <w:gridCol w:w="681"/>
        <w:gridCol w:w="851"/>
        <w:gridCol w:w="1500"/>
        <w:gridCol w:w="1260"/>
        <w:gridCol w:w="783"/>
        <w:gridCol w:w="851"/>
        <w:gridCol w:w="992"/>
        <w:gridCol w:w="851"/>
        <w:gridCol w:w="1921"/>
      </w:tblGrid>
      <w:tr>
        <w:tblPrEx>
          <w:tblLayout w:type="fixed"/>
          <w:tblCellMar>
            <w:top w:w="0" w:type="dxa"/>
            <w:left w:w="108" w:type="dxa"/>
            <w:bottom w:w="0" w:type="dxa"/>
            <w:right w:w="108" w:type="dxa"/>
          </w:tblCellMar>
        </w:tblPrEx>
        <w:trPr>
          <w:trHeight w:val="851" w:hRule="atLeast"/>
        </w:trPr>
        <w:tc>
          <w:tcPr>
            <w:tcW w:w="68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4"/>
                <w:lang w:val="zh-CN"/>
              </w:rPr>
            </w:pPr>
            <w:r>
              <w:rPr>
                <w:rFonts w:hint="eastAsia" w:cs="宋体" w:asciiTheme="minorEastAsia" w:hAnsiTheme="minorEastAsia"/>
                <w:b/>
                <w:szCs w:val="24"/>
                <w:lang w:val="zh-CN"/>
              </w:rPr>
              <w:t>序号</w:t>
            </w:r>
          </w:p>
        </w:tc>
        <w:tc>
          <w:tcPr>
            <w:tcW w:w="85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4"/>
                <w:lang w:val="zh-CN"/>
              </w:rPr>
            </w:pPr>
            <w:r>
              <w:rPr>
                <w:rFonts w:hint="eastAsia" w:cs="宋体" w:asciiTheme="minorEastAsia" w:hAnsiTheme="minorEastAsia"/>
                <w:b/>
                <w:szCs w:val="24"/>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4"/>
                <w:lang w:val="zh-CN"/>
              </w:rPr>
            </w:pPr>
            <w:r>
              <w:rPr>
                <w:rFonts w:hint="eastAsia" w:cs="宋体" w:asciiTheme="minorEastAsia" w:hAnsiTheme="minorEastAsia"/>
                <w:b/>
                <w:szCs w:val="24"/>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4"/>
                <w:lang w:val="zh-CN"/>
              </w:rPr>
            </w:pPr>
            <w:r>
              <w:rPr>
                <w:rFonts w:hint="eastAsia" w:cs="宋体" w:asciiTheme="minorEastAsia" w:hAnsiTheme="minorEastAsia"/>
                <w:b/>
                <w:szCs w:val="24"/>
                <w:lang w:val="zh-CN"/>
              </w:rPr>
              <w:t>技术参数</w:t>
            </w:r>
          </w:p>
        </w:tc>
        <w:tc>
          <w:tcPr>
            <w:tcW w:w="78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4"/>
                <w:lang w:val="zh-CN"/>
              </w:rPr>
            </w:pPr>
            <w:r>
              <w:rPr>
                <w:rFonts w:hint="eastAsia" w:cs="宋体" w:asciiTheme="minorEastAsia" w:hAnsiTheme="minorEastAsia"/>
                <w:b/>
                <w:szCs w:val="24"/>
                <w:lang w:val="zh-CN"/>
              </w:rPr>
              <w:t>单位</w:t>
            </w:r>
          </w:p>
        </w:tc>
        <w:tc>
          <w:tcPr>
            <w:tcW w:w="85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4"/>
                <w:lang w:val="zh-CN"/>
              </w:rPr>
            </w:pPr>
            <w:r>
              <w:rPr>
                <w:rFonts w:hint="eastAsia" w:cs="宋体" w:asciiTheme="minorEastAsia" w:hAnsiTheme="minorEastAsia"/>
                <w:b/>
                <w:szCs w:val="24"/>
                <w:lang w:val="zh-CN"/>
              </w:rPr>
              <w:t>数量</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4"/>
                <w:lang w:val="zh-CN"/>
              </w:rPr>
            </w:pPr>
            <w:r>
              <w:rPr>
                <w:rFonts w:hint="eastAsia" w:cs="宋体" w:asciiTheme="minorEastAsia" w:hAnsiTheme="minorEastAsia"/>
                <w:b/>
                <w:szCs w:val="24"/>
                <w:lang w:val="zh-CN"/>
              </w:rPr>
              <w:t>单价</w:t>
            </w:r>
          </w:p>
        </w:tc>
        <w:tc>
          <w:tcPr>
            <w:tcW w:w="85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4"/>
                <w:lang w:val="zh-CN"/>
              </w:rPr>
            </w:pPr>
            <w:r>
              <w:rPr>
                <w:rFonts w:hint="eastAsia" w:cs="宋体" w:asciiTheme="minorEastAsia" w:hAnsiTheme="minorEastAsia"/>
                <w:b/>
                <w:szCs w:val="24"/>
                <w:lang w:val="zh-CN"/>
              </w:rPr>
              <w:t>总价</w:t>
            </w:r>
          </w:p>
        </w:tc>
        <w:tc>
          <w:tcPr>
            <w:tcW w:w="192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4"/>
                <w:lang w:val="zh-CN"/>
              </w:rPr>
            </w:pPr>
            <w:r>
              <w:rPr>
                <w:rFonts w:hint="eastAsia" w:cs="宋体" w:asciiTheme="minorEastAsia" w:hAnsiTheme="minorEastAsia"/>
                <w:b/>
                <w:szCs w:val="24"/>
                <w:lang w:val="zh-CN"/>
              </w:rPr>
              <w:t>产地及厂家</w:t>
            </w:r>
          </w:p>
        </w:tc>
      </w:tr>
      <w:tr>
        <w:tblPrEx>
          <w:tblLayout w:type="fixed"/>
          <w:tblCellMar>
            <w:top w:w="0" w:type="dxa"/>
            <w:left w:w="108" w:type="dxa"/>
            <w:bottom w:w="0" w:type="dxa"/>
            <w:right w:w="108" w:type="dxa"/>
          </w:tblCellMar>
        </w:tblPrEx>
        <w:trPr>
          <w:trHeight w:val="851" w:hRule="atLeast"/>
        </w:trPr>
        <w:tc>
          <w:tcPr>
            <w:tcW w:w="6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4"/>
              </w:rPr>
            </w:pPr>
            <w:r>
              <w:rPr>
                <w:rFonts w:hint="eastAsia" w:asciiTheme="minorEastAsia" w:hAnsiTheme="minorEastAsia"/>
                <w:szCs w:val="24"/>
              </w:rPr>
              <w:t>1</w:t>
            </w: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4"/>
              </w:rPr>
            </w:pPr>
          </w:p>
        </w:tc>
        <w:tc>
          <w:tcPr>
            <w:tcW w:w="78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4"/>
              </w:rPr>
            </w:pP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4"/>
              </w:rPr>
            </w:pP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4"/>
              </w:rPr>
            </w:pPr>
          </w:p>
        </w:tc>
        <w:tc>
          <w:tcPr>
            <w:tcW w:w="192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4"/>
              </w:rPr>
            </w:pPr>
          </w:p>
        </w:tc>
      </w:tr>
      <w:tr>
        <w:tblPrEx>
          <w:tblLayout w:type="fixed"/>
          <w:tblCellMar>
            <w:top w:w="0" w:type="dxa"/>
            <w:left w:w="108" w:type="dxa"/>
            <w:bottom w:w="0" w:type="dxa"/>
            <w:right w:w="108" w:type="dxa"/>
          </w:tblCellMar>
        </w:tblPrEx>
        <w:trPr>
          <w:trHeight w:val="851" w:hRule="atLeast"/>
        </w:trPr>
        <w:tc>
          <w:tcPr>
            <w:tcW w:w="6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4"/>
              </w:rPr>
            </w:pPr>
            <w:r>
              <w:rPr>
                <w:rFonts w:hint="eastAsia" w:asciiTheme="minorEastAsia" w:hAnsiTheme="minorEastAsia"/>
                <w:szCs w:val="24"/>
              </w:rPr>
              <w:t>…</w:t>
            </w: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4"/>
              </w:rPr>
            </w:pPr>
          </w:p>
        </w:tc>
        <w:tc>
          <w:tcPr>
            <w:tcW w:w="78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4"/>
              </w:rPr>
            </w:pP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4"/>
              </w:rPr>
            </w:pP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4"/>
              </w:rPr>
            </w:pPr>
          </w:p>
        </w:tc>
        <w:tc>
          <w:tcPr>
            <w:tcW w:w="192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4"/>
              </w:rPr>
            </w:pPr>
          </w:p>
        </w:tc>
      </w:tr>
      <w:tr>
        <w:tblPrEx>
          <w:tblLayout w:type="fixed"/>
          <w:tblCellMar>
            <w:top w:w="0" w:type="dxa"/>
            <w:left w:w="108" w:type="dxa"/>
            <w:bottom w:w="0" w:type="dxa"/>
            <w:right w:w="108" w:type="dxa"/>
          </w:tblCellMar>
        </w:tblPrEx>
        <w:trPr>
          <w:trHeight w:val="851" w:hRule="atLeast"/>
        </w:trPr>
        <w:tc>
          <w:tcPr>
            <w:tcW w:w="153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4"/>
              </w:rPr>
            </w:pPr>
            <w:r>
              <w:rPr>
                <w:rFonts w:hint="eastAsia" w:cs="宋体" w:asciiTheme="minorEastAsia" w:hAnsiTheme="minorEastAsia"/>
                <w:szCs w:val="24"/>
                <w:lang w:val="zh-CN"/>
              </w:rPr>
              <w:t>合计</w:t>
            </w:r>
          </w:p>
        </w:tc>
        <w:tc>
          <w:tcPr>
            <w:tcW w:w="8158"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Cs w:val="24"/>
                <w:u w:val="single"/>
                <w:lang w:val="zh-CN"/>
              </w:rPr>
            </w:pPr>
            <w:r>
              <w:rPr>
                <w:rFonts w:hint="eastAsia" w:cs="宋体" w:asciiTheme="minorEastAsia" w:hAnsiTheme="minorEastAsia"/>
                <w:szCs w:val="24"/>
                <w:lang w:val="zh-CN"/>
              </w:rPr>
              <w:t>大写：　　</w:t>
            </w:r>
            <w:r>
              <w:rPr>
                <w:rFonts w:hint="eastAsia" w:cs="宋体" w:asciiTheme="minorEastAsia" w:hAnsiTheme="minorEastAsia"/>
                <w:szCs w:val="24"/>
                <w:lang w:val="en-US" w:eastAsia="zh-CN"/>
              </w:rPr>
              <w:t xml:space="preserve">                    </w:t>
            </w:r>
            <w:r>
              <w:rPr>
                <w:rFonts w:hint="eastAsia" w:cs="宋体" w:asciiTheme="minorEastAsia" w:hAnsiTheme="minorEastAsia"/>
                <w:szCs w:val="24"/>
                <w:lang w:val="zh-CN"/>
              </w:rPr>
              <w:t>小写：</w:t>
            </w:r>
            <w:r>
              <w:rPr>
                <w:rFonts w:hint="eastAsia" w:ascii="宋体" w:hAnsi="宋体" w:eastAsia="宋体" w:cs="宋体"/>
                <w:szCs w:val="24"/>
                <w:lang w:val="zh-CN"/>
              </w:rPr>
              <w:t>￥</w:t>
            </w:r>
          </w:p>
        </w:tc>
      </w:tr>
    </w:tbl>
    <w:p>
      <w:pPr>
        <w:tabs>
          <w:tab w:val="left" w:pos="4881"/>
        </w:tabs>
        <w:spacing w:before="33" w:line="360" w:lineRule="auto"/>
        <w:ind w:left="102" w:right="4125"/>
        <w:rPr>
          <w:rFonts w:hint="eastAsia" w:eastAsia="宋体" w:cs="宋体"/>
          <w:szCs w:val="24"/>
          <w:u w:val="single"/>
          <w:lang w:eastAsia="zh-CN"/>
        </w:rPr>
      </w:pPr>
      <w:r>
        <w:rPr>
          <w:rFonts w:hint="eastAsia" w:cs="宋体"/>
          <w:spacing w:val="-1"/>
          <w:szCs w:val="24"/>
        </w:rPr>
        <w:t>单位名称（盖章）</w:t>
      </w:r>
      <w:r>
        <w:rPr>
          <w:rFonts w:hint="eastAsia" w:cs="宋体"/>
          <w:spacing w:val="-1"/>
          <w:szCs w:val="24"/>
          <w:lang w:eastAsia="zh-CN"/>
        </w:rPr>
        <w:t>：</w:t>
      </w:r>
    </w:p>
    <w:p>
      <w:pPr>
        <w:tabs>
          <w:tab w:val="left" w:pos="4881"/>
        </w:tabs>
        <w:spacing w:before="33" w:line="360" w:lineRule="auto"/>
        <w:ind w:left="102" w:right="4125"/>
        <w:rPr>
          <w:rFonts w:hint="eastAsia" w:eastAsia="宋体" w:cs="宋体"/>
          <w:szCs w:val="24"/>
          <w:u w:val="single"/>
          <w:lang w:eastAsia="zh-CN"/>
        </w:rPr>
      </w:pPr>
      <w:r>
        <w:rPr>
          <w:rFonts w:hint="eastAsia" w:cs="宋体"/>
          <w:spacing w:val="-1"/>
          <w:szCs w:val="24"/>
        </w:rPr>
        <w:t>法人代表或授权代表签字</w:t>
      </w:r>
      <w:r>
        <w:rPr>
          <w:rFonts w:hint="eastAsia" w:cs="宋体"/>
          <w:spacing w:val="-1"/>
          <w:szCs w:val="24"/>
          <w:lang w:eastAsia="zh-CN"/>
        </w:rPr>
        <w:t>：</w:t>
      </w:r>
    </w:p>
    <w:p>
      <w:pPr>
        <w:tabs>
          <w:tab w:val="left" w:pos="4881"/>
        </w:tabs>
        <w:spacing w:before="33" w:line="360" w:lineRule="auto"/>
        <w:ind w:left="102" w:right="4125"/>
        <w:rPr>
          <w:rFonts w:hint="eastAsia" w:ascii="宋体" w:hAnsi="宋体" w:eastAsia="宋体"/>
          <w:b/>
          <w:bCs/>
          <w:sz w:val="32"/>
          <w:szCs w:val="32"/>
          <w:lang w:eastAsia="zh-CN"/>
        </w:rPr>
      </w:pPr>
      <w:r>
        <w:rPr>
          <w:rFonts w:hint="eastAsia" w:cs="宋体"/>
          <w:spacing w:val="-1"/>
          <w:szCs w:val="24"/>
        </w:rPr>
        <w:t>日期</w:t>
      </w:r>
      <w:r>
        <w:rPr>
          <w:rFonts w:hint="eastAsia" w:cs="宋体"/>
          <w:spacing w:val="-1"/>
          <w:szCs w:val="24"/>
          <w:lang w:eastAsia="zh-CN"/>
        </w:rPr>
        <w:t>：</w:t>
      </w:r>
      <w:bookmarkStart w:id="222" w:name="_GoBack"/>
      <w:bookmarkEnd w:id="222"/>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cs="宋体"/>
          <w:sz w:val="24"/>
          <w:szCs w:val="24"/>
        </w:rPr>
      </w:pPr>
      <w:r>
        <w:rPr>
          <w:rFonts w:hint="eastAsia" w:ascii="宋体" w:hAnsi="宋体" w:cs="宋体"/>
          <w:sz w:val="24"/>
          <w:szCs w:val="24"/>
        </w:rPr>
        <w:t>格式4</w:t>
      </w:r>
    </w:p>
    <w:p>
      <w:pPr>
        <w:autoSpaceDE w:val="0"/>
        <w:autoSpaceDN w:val="0"/>
        <w:adjustRightInd w:val="0"/>
        <w:spacing w:line="360" w:lineRule="auto"/>
        <w:jc w:val="center"/>
        <w:outlineLvl w:val="0"/>
        <w:rPr>
          <w:rFonts w:hAnsi="宋体"/>
          <w:b/>
          <w:snapToGrid w:val="0"/>
          <w:kern w:val="0"/>
          <w:sz w:val="36"/>
          <w:szCs w:val="36"/>
        </w:rPr>
      </w:pPr>
      <w:r>
        <w:rPr>
          <w:rFonts w:hint="eastAsia" w:hAnsi="宋体"/>
          <w:b/>
          <w:snapToGrid w:val="0"/>
          <w:kern w:val="0"/>
          <w:sz w:val="36"/>
          <w:szCs w:val="36"/>
        </w:rPr>
        <w:t>技术规格偏离表</w:t>
      </w:r>
    </w:p>
    <w:p>
      <w:pPr>
        <w:spacing w:before="50" w:after="120" w:afterLines="50" w:line="360" w:lineRule="auto"/>
        <w:contextualSpacing/>
        <w:jc w:val="left"/>
        <w:rPr>
          <w:rFonts w:asciiTheme="minorEastAsia" w:hAnsiTheme="minorEastAsia"/>
          <w:color w:val="000000"/>
          <w:szCs w:val="24"/>
        </w:rPr>
      </w:pPr>
      <w:r>
        <w:rPr>
          <w:rFonts w:hint="eastAsia" w:asciiTheme="minorEastAsia" w:hAnsiTheme="minorEastAsia"/>
          <w:color w:val="000000"/>
          <w:szCs w:val="24"/>
        </w:rPr>
        <w:t>项目编号：</w:t>
      </w:r>
    </w:p>
    <w:p>
      <w:pPr>
        <w:autoSpaceDE w:val="0"/>
        <w:autoSpaceDN w:val="0"/>
        <w:adjustRightInd w:val="0"/>
        <w:spacing w:line="360" w:lineRule="auto"/>
        <w:outlineLvl w:val="0"/>
        <w:rPr>
          <w:rFonts w:hAnsi="宋体"/>
          <w:b/>
          <w:snapToGrid w:val="0"/>
          <w:kern w:val="0"/>
          <w:sz w:val="36"/>
          <w:szCs w:val="36"/>
        </w:rPr>
      </w:pPr>
      <w:r>
        <w:rPr>
          <w:rFonts w:hint="eastAsia" w:asciiTheme="minorEastAsia" w:hAnsiTheme="minorEastAsia"/>
          <w:color w:val="000000"/>
          <w:szCs w:val="24"/>
        </w:rPr>
        <w:t xml:space="preserve">项目名称：   </w:t>
      </w:r>
    </w:p>
    <w:tbl>
      <w:tblPr>
        <w:tblStyle w:val="31"/>
        <w:tblW w:w="9720" w:type="dxa"/>
        <w:tblInd w:w="106" w:type="dxa"/>
        <w:tblLayout w:type="fixed"/>
        <w:tblCellMar>
          <w:top w:w="0" w:type="dxa"/>
          <w:left w:w="108" w:type="dxa"/>
          <w:bottom w:w="0" w:type="dxa"/>
          <w:right w:w="108" w:type="dxa"/>
        </w:tblCellMar>
      </w:tblPr>
      <w:tblGrid>
        <w:gridCol w:w="722"/>
        <w:gridCol w:w="1548"/>
        <w:gridCol w:w="1276"/>
        <w:gridCol w:w="2157"/>
        <w:gridCol w:w="1831"/>
        <w:gridCol w:w="900"/>
        <w:gridCol w:w="1286"/>
      </w:tblGrid>
      <w:tr>
        <w:tblPrEx>
          <w:tblLayout w:type="fixed"/>
          <w:tblCellMar>
            <w:top w:w="0" w:type="dxa"/>
            <w:left w:w="108" w:type="dxa"/>
            <w:bottom w:w="0" w:type="dxa"/>
            <w:right w:w="108" w:type="dxa"/>
          </w:tblCellMar>
        </w:tblPrEx>
        <w:trPr>
          <w:trHeight w:val="851" w:hRule="atLeast"/>
        </w:trPr>
        <w:tc>
          <w:tcPr>
            <w:tcW w:w="72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54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ind w:left="-134" w:leftChars="-56" w:right="-122" w:rightChars="-51"/>
              <w:jc w:val="center"/>
              <w:rPr>
                <w:rFonts w:ascii="宋体" w:hAnsi="宋体" w:eastAsia="宋体" w:cs="宋体"/>
                <w:b/>
                <w:bCs/>
                <w:sz w:val="24"/>
                <w:szCs w:val="24"/>
              </w:rPr>
            </w:pPr>
            <w:r>
              <w:rPr>
                <w:rFonts w:hint="eastAsia" w:ascii="宋体" w:hAnsi="宋体" w:eastAsia="宋体" w:cs="宋体"/>
                <w:b/>
                <w:bCs/>
                <w:sz w:val="24"/>
                <w:szCs w:val="24"/>
              </w:rPr>
              <w:t>货物服务名称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规格型号</w:t>
            </w:r>
          </w:p>
        </w:tc>
        <w:tc>
          <w:tcPr>
            <w:tcW w:w="215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招标文件技术参数</w:t>
            </w:r>
          </w:p>
        </w:tc>
        <w:tc>
          <w:tcPr>
            <w:tcW w:w="183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投标技术参数</w:t>
            </w:r>
          </w:p>
        </w:tc>
        <w:tc>
          <w:tcPr>
            <w:tcW w:w="9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128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偏离情况说明</w:t>
            </w:r>
          </w:p>
        </w:tc>
      </w:tr>
      <w:tr>
        <w:tblPrEx>
          <w:tblLayout w:type="fixed"/>
          <w:tblCellMar>
            <w:top w:w="0" w:type="dxa"/>
            <w:left w:w="108" w:type="dxa"/>
            <w:bottom w:w="0" w:type="dxa"/>
            <w:right w:w="108" w:type="dxa"/>
          </w:tblCellMar>
        </w:tblPrEx>
        <w:trPr>
          <w:trHeight w:val="851" w:hRule="atLeast"/>
        </w:trPr>
        <w:tc>
          <w:tcPr>
            <w:tcW w:w="72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4"/>
              </w:rPr>
            </w:pPr>
            <w:r>
              <w:rPr>
                <w:rFonts w:hint="eastAsia" w:asciiTheme="minorEastAsia" w:hAnsiTheme="minorEastAsia"/>
                <w:bCs/>
                <w:szCs w:val="24"/>
              </w:rPr>
              <w:t>1</w:t>
            </w:r>
          </w:p>
        </w:tc>
        <w:tc>
          <w:tcPr>
            <w:tcW w:w="15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4"/>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4"/>
              </w:rPr>
            </w:pPr>
          </w:p>
        </w:tc>
        <w:tc>
          <w:tcPr>
            <w:tcW w:w="215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4"/>
              </w:rPr>
            </w:pPr>
          </w:p>
        </w:tc>
        <w:tc>
          <w:tcPr>
            <w:tcW w:w="183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4"/>
              </w:rPr>
            </w:pPr>
          </w:p>
        </w:tc>
        <w:tc>
          <w:tcPr>
            <w:tcW w:w="128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4"/>
              </w:rPr>
            </w:pPr>
          </w:p>
        </w:tc>
      </w:tr>
      <w:tr>
        <w:tblPrEx>
          <w:tblLayout w:type="fixed"/>
          <w:tblCellMar>
            <w:top w:w="0" w:type="dxa"/>
            <w:left w:w="108" w:type="dxa"/>
            <w:bottom w:w="0" w:type="dxa"/>
            <w:right w:w="108" w:type="dxa"/>
          </w:tblCellMar>
        </w:tblPrEx>
        <w:trPr>
          <w:trHeight w:val="851" w:hRule="atLeast"/>
        </w:trPr>
        <w:tc>
          <w:tcPr>
            <w:tcW w:w="72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4"/>
              </w:rPr>
            </w:pPr>
            <w:r>
              <w:rPr>
                <w:rFonts w:hint="eastAsia" w:asciiTheme="minorEastAsia" w:hAnsiTheme="minorEastAsia"/>
                <w:szCs w:val="24"/>
              </w:rPr>
              <w:t>…</w:t>
            </w:r>
          </w:p>
        </w:tc>
        <w:tc>
          <w:tcPr>
            <w:tcW w:w="15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4"/>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4"/>
              </w:rPr>
            </w:pPr>
          </w:p>
        </w:tc>
        <w:tc>
          <w:tcPr>
            <w:tcW w:w="215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4"/>
              </w:rPr>
            </w:pPr>
          </w:p>
        </w:tc>
        <w:tc>
          <w:tcPr>
            <w:tcW w:w="183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4"/>
              </w:rPr>
            </w:pPr>
          </w:p>
        </w:tc>
        <w:tc>
          <w:tcPr>
            <w:tcW w:w="128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4"/>
              </w:rPr>
            </w:pPr>
          </w:p>
        </w:tc>
      </w:tr>
    </w:tbl>
    <w:p>
      <w:pPr>
        <w:autoSpaceDE w:val="0"/>
        <w:autoSpaceDN w:val="0"/>
        <w:adjustRightInd w:val="0"/>
        <w:spacing w:line="480" w:lineRule="auto"/>
        <w:rPr>
          <w:rFonts w:cs="宋体" w:asciiTheme="minorEastAsia" w:hAnsiTheme="minorEastAsia"/>
          <w:szCs w:val="24"/>
          <w:lang w:val="zh-CN"/>
        </w:rPr>
      </w:pPr>
      <w:r>
        <w:rPr>
          <w:rFonts w:hint="eastAsia" w:cs="宋体" w:asciiTheme="minorEastAsia" w:hAnsiTheme="minorEastAsia"/>
          <w:szCs w:val="24"/>
          <w:lang w:val="zh-CN"/>
        </w:rPr>
        <w:t>投标人（公章）：</w:t>
      </w:r>
    </w:p>
    <w:p>
      <w:pPr>
        <w:autoSpaceDE w:val="0"/>
        <w:autoSpaceDN w:val="0"/>
        <w:adjustRightInd w:val="0"/>
        <w:spacing w:line="480" w:lineRule="auto"/>
        <w:rPr>
          <w:rFonts w:cs="宋体" w:asciiTheme="minorEastAsia" w:hAnsiTheme="minorEastAsia"/>
          <w:szCs w:val="24"/>
          <w:lang w:val="zh-CN"/>
        </w:rPr>
      </w:pPr>
      <w:r>
        <w:rPr>
          <w:rFonts w:hint="eastAsia" w:cs="宋体" w:asciiTheme="minorEastAsia" w:hAnsiTheme="minorEastAsia"/>
          <w:szCs w:val="24"/>
          <w:lang w:val="zh-CN"/>
        </w:rPr>
        <w:t>投标人法定代表人（或授权代表）签字：</w:t>
      </w:r>
    </w:p>
    <w:p>
      <w:pPr>
        <w:pStyle w:val="2"/>
        <w:ind w:firstLine="340"/>
        <w:rPr>
          <w:lang w:val="zh-CN"/>
        </w:rPr>
      </w:pPr>
    </w:p>
    <w:p>
      <w:pPr>
        <w:spacing w:line="480" w:lineRule="exact"/>
        <w:jc w:val="center"/>
        <w:rPr>
          <w:rFonts w:asciiTheme="majorEastAsia" w:hAnsiTheme="majorEastAsia" w:eastAsiaTheme="majorEastAsia"/>
          <w:b/>
          <w:bCs/>
          <w:color w:val="000000"/>
          <w:sz w:val="36"/>
          <w:szCs w:val="36"/>
        </w:rPr>
      </w:pPr>
    </w:p>
    <w:p>
      <w:pPr>
        <w:spacing w:line="480" w:lineRule="exact"/>
        <w:jc w:val="center"/>
        <w:rPr>
          <w:rFonts w:asciiTheme="majorEastAsia" w:hAnsiTheme="majorEastAsia" w:eastAsiaTheme="majorEastAsia"/>
          <w:b/>
          <w:bCs/>
          <w:color w:val="000000"/>
          <w:sz w:val="36"/>
          <w:szCs w:val="36"/>
        </w:rPr>
      </w:pPr>
    </w:p>
    <w:p>
      <w:pPr>
        <w:spacing w:line="480" w:lineRule="exact"/>
        <w:jc w:val="center"/>
        <w:rPr>
          <w:rFonts w:asciiTheme="majorEastAsia" w:hAnsiTheme="majorEastAsia" w:eastAsiaTheme="majorEastAsia"/>
          <w:b/>
          <w:bCs/>
          <w:color w:val="000000"/>
          <w:sz w:val="36"/>
          <w:szCs w:val="36"/>
        </w:rPr>
      </w:pPr>
    </w:p>
    <w:p>
      <w:pPr>
        <w:spacing w:line="480" w:lineRule="exact"/>
        <w:rPr>
          <w:rFonts w:asciiTheme="majorEastAsia" w:hAnsiTheme="majorEastAsia" w:eastAsiaTheme="majorEastAsia"/>
          <w:b/>
          <w:bCs/>
          <w:color w:val="000000"/>
          <w:sz w:val="36"/>
          <w:szCs w:val="36"/>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r>
        <w:rPr>
          <w:rFonts w:hint="eastAsia" w:ascii="宋体" w:hAnsi="宋体" w:cs="宋体"/>
          <w:sz w:val="24"/>
          <w:szCs w:val="24"/>
        </w:rPr>
        <w:t>格式5</w:t>
      </w: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 xml:space="preserve">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Cs w:val="24"/>
        </w:rPr>
      </w:pPr>
    </w:p>
    <w:p>
      <w:pPr>
        <w:pStyle w:val="91"/>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91"/>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91"/>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91"/>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加贵方招</w:t>
      </w:r>
      <w:r>
        <w:rPr>
          <w:rFonts w:asciiTheme="minorEastAsia" w:hAnsiTheme="minorEastAsia"/>
          <w:color w:val="000000"/>
          <w:szCs w:val="24"/>
        </w:rPr>
        <w:t>标编号为</w:t>
      </w:r>
      <w:r>
        <w:rPr>
          <w:rFonts w:asciiTheme="minorEastAsia" w:hAnsiTheme="minorEastAsia"/>
          <w:i/>
          <w:color w:val="000000"/>
          <w:szCs w:val="24"/>
          <w:u w:val="single"/>
        </w:rPr>
        <w:t>项目编号</w:t>
      </w:r>
      <w:r>
        <w:rPr>
          <w:rFonts w:hint="eastAsia" w:asciiTheme="minorEastAsia" w:hAnsiTheme="minorEastAsia"/>
          <w:color w:val="000000"/>
          <w:szCs w:val="24"/>
        </w:rPr>
        <w:t>的</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91"/>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91"/>
        <w:spacing w:line="480" w:lineRule="auto"/>
        <w:ind w:firstLine="540" w:firstLineChars="225"/>
        <w:jc w:val="left"/>
        <w:rPr>
          <w:rFonts w:asciiTheme="minorEastAsia" w:hAnsiTheme="minorEastAsia"/>
          <w:color w:val="000000"/>
          <w:szCs w:val="24"/>
        </w:rPr>
      </w:pPr>
    </w:p>
    <w:p>
      <w:pPr>
        <w:pStyle w:val="91"/>
        <w:spacing w:line="480" w:lineRule="auto"/>
        <w:ind w:firstLine="540" w:firstLineChars="225"/>
        <w:jc w:val="left"/>
        <w:rPr>
          <w:rFonts w:asciiTheme="minorEastAsia" w:hAnsiTheme="minorEastAsia"/>
          <w:color w:val="000000"/>
          <w:szCs w:val="24"/>
        </w:rPr>
      </w:pPr>
    </w:p>
    <w:p>
      <w:pPr>
        <w:pStyle w:val="91"/>
        <w:spacing w:line="480" w:lineRule="auto"/>
        <w:ind w:left="-614"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91"/>
        <w:spacing w:line="480" w:lineRule="auto"/>
        <w:ind w:left="-614"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Cs w:val="24"/>
          <w:lang w:val="zh-CN"/>
        </w:rPr>
      </w:pPr>
    </w:p>
    <w:p>
      <w:pPr>
        <w:autoSpaceDE w:val="0"/>
        <w:autoSpaceDN w:val="0"/>
        <w:adjustRightInd w:val="0"/>
        <w:spacing w:line="360" w:lineRule="auto"/>
        <w:ind w:right="-11"/>
        <w:rPr>
          <w:rFonts w:cs="宋体" w:asciiTheme="minorEastAsia" w:hAnsiTheme="minorEastAsia"/>
          <w:szCs w:val="24"/>
          <w:lang w:val="zh-CN"/>
        </w:rPr>
      </w:pPr>
    </w:p>
    <w:p>
      <w:pPr>
        <w:autoSpaceDE w:val="0"/>
        <w:autoSpaceDN w:val="0"/>
        <w:adjustRightInd w:val="0"/>
        <w:spacing w:line="360" w:lineRule="auto"/>
        <w:ind w:right="-11"/>
        <w:rPr>
          <w:rFonts w:cs="宋体" w:asciiTheme="minorEastAsia" w:hAnsiTheme="minorEastAsia"/>
          <w:szCs w:val="24"/>
          <w:lang w:val="zh-CN"/>
        </w:rPr>
      </w:pPr>
    </w:p>
    <w:p>
      <w:pPr>
        <w:spacing w:line="480" w:lineRule="auto"/>
        <w:ind w:firstLine="3900" w:firstLineChars="1625"/>
        <w:rPr>
          <w:rFonts w:cs="Arial" w:asciiTheme="minorEastAsia" w:hAnsiTheme="minorEastAsia"/>
          <w:color w:val="000000"/>
          <w:szCs w:val="24"/>
          <w:u w:val="single"/>
        </w:rPr>
      </w:pPr>
      <w:r>
        <w:rPr>
          <w:rFonts w:hint="eastAsia" w:cs="Arial" w:asciiTheme="minorEastAsia" w:hAnsiTheme="minorEastAsia"/>
          <w:color w:val="000000"/>
          <w:szCs w:val="24"/>
        </w:rPr>
        <w:t>投标人名称（并加盖公章）：</w:t>
      </w:r>
    </w:p>
    <w:p>
      <w:pPr>
        <w:pStyle w:val="54"/>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92"/>
        <w:spacing w:line="480" w:lineRule="auto"/>
        <w:rPr>
          <w:rFonts w:cs="Arial" w:asciiTheme="minorEastAsia" w:hAnsiTheme="minorEastAsia"/>
          <w:color w:val="000000"/>
          <w:szCs w:val="24"/>
        </w:rPr>
      </w:pPr>
    </w:p>
    <w:p/>
    <w:p>
      <w:pPr>
        <w:spacing w:line="320" w:lineRule="exact"/>
        <w:rPr>
          <w:rFonts w:asciiTheme="minorEastAsia" w:hAnsiTheme="minorEastAsia"/>
          <w:bCs/>
          <w:color w:val="000000"/>
          <w:kern w:val="12"/>
          <w:szCs w:val="24"/>
        </w:rPr>
      </w:pPr>
      <w:r>
        <w:rPr>
          <w:rFonts w:hint="eastAsia" w:asciiTheme="minorEastAsia" w:hAnsiTheme="minorEastAsia"/>
          <w:bCs/>
          <w:color w:val="000000"/>
          <w:kern w:val="12"/>
          <w:szCs w:val="24"/>
        </w:rPr>
        <w:t>说明：法定代表人</w:t>
      </w:r>
      <w:r>
        <w:rPr>
          <w:rFonts w:asciiTheme="minorEastAsia" w:hAnsiTheme="minorEastAsia"/>
          <w:bCs/>
          <w:color w:val="000000"/>
          <w:kern w:val="12"/>
          <w:szCs w:val="24"/>
        </w:rPr>
        <w:t>参</w:t>
      </w:r>
      <w:r>
        <w:rPr>
          <w:rFonts w:hint="eastAsia" w:asciiTheme="minorEastAsia" w:hAnsiTheme="minorEastAsia"/>
          <w:bCs/>
          <w:color w:val="000000"/>
          <w:kern w:val="12"/>
          <w:szCs w:val="24"/>
        </w:rPr>
        <w:t>加本招</w:t>
      </w:r>
      <w:r>
        <w:rPr>
          <w:rFonts w:asciiTheme="minorEastAsia" w:hAnsiTheme="minorEastAsia"/>
          <w:bCs/>
          <w:color w:val="000000"/>
          <w:kern w:val="12"/>
          <w:szCs w:val="24"/>
        </w:rPr>
        <w:t>标项目</w:t>
      </w:r>
      <w:r>
        <w:rPr>
          <w:rFonts w:hint="eastAsia" w:asciiTheme="minorEastAsia" w:hAnsiTheme="minorEastAsia"/>
          <w:bCs/>
          <w:color w:val="000000"/>
          <w:kern w:val="12"/>
          <w:szCs w:val="24"/>
        </w:rPr>
        <w:t>投</w:t>
      </w:r>
      <w:r>
        <w:rPr>
          <w:rFonts w:asciiTheme="minorEastAsia" w:hAnsiTheme="minorEastAsia"/>
          <w:bCs/>
          <w:color w:val="000000"/>
          <w:kern w:val="12"/>
          <w:szCs w:val="24"/>
        </w:rPr>
        <w:t>标</w:t>
      </w:r>
      <w:r>
        <w:rPr>
          <w:rFonts w:hint="eastAsia" w:asciiTheme="minorEastAsia" w:hAnsiTheme="minorEastAsia"/>
          <w:bCs/>
          <w:color w:val="000000"/>
          <w:kern w:val="12"/>
          <w:szCs w:val="24"/>
        </w:rPr>
        <w:t>的，</w:t>
      </w:r>
      <w:r>
        <w:rPr>
          <w:rFonts w:asciiTheme="minorEastAsia" w:hAnsiTheme="minorEastAsia"/>
          <w:bCs/>
          <w:color w:val="000000"/>
          <w:kern w:val="12"/>
          <w:szCs w:val="24"/>
        </w:rPr>
        <w:t>仅须</w:t>
      </w:r>
      <w:r>
        <w:rPr>
          <w:rFonts w:hint="eastAsia" w:asciiTheme="minorEastAsia" w:hAnsiTheme="minorEastAsia"/>
          <w:bCs/>
          <w:color w:val="000000"/>
          <w:kern w:val="12"/>
          <w:szCs w:val="24"/>
        </w:rPr>
        <w:t>出具此</w:t>
      </w:r>
      <w:r>
        <w:rPr>
          <w:rFonts w:asciiTheme="minorEastAsia" w:hAnsiTheme="minorEastAsia"/>
          <w:bCs/>
          <w:color w:val="000000"/>
          <w:kern w:val="12"/>
          <w:szCs w:val="24"/>
        </w:rPr>
        <w:t>证</w:t>
      </w:r>
      <w:r>
        <w:rPr>
          <w:rFonts w:hint="eastAsia" w:asciiTheme="minorEastAsia" w:hAnsiTheme="minorEastAsia"/>
          <w:bCs/>
          <w:color w:val="000000"/>
          <w:kern w:val="12"/>
          <w:szCs w:val="24"/>
        </w:rPr>
        <w:t>明</w:t>
      </w:r>
      <w:r>
        <w:rPr>
          <w:rFonts w:asciiTheme="minorEastAsia" w:hAnsiTheme="minorEastAsia"/>
          <w:bCs/>
          <w:color w:val="000000"/>
          <w:kern w:val="12"/>
          <w:szCs w:val="24"/>
        </w:rPr>
        <w:t>书</w:t>
      </w:r>
      <w:r>
        <w:rPr>
          <w:rFonts w:hint="eastAsia" w:asciiTheme="minorEastAsia" w:hAnsiTheme="minorEastAsia"/>
          <w:bCs/>
          <w:color w:val="000000"/>
          <w:kern w:val="12"/>
          <w:szCs w:val="24"/>
        </w:rPr>
        <w:t>。</w:t>
      </w:r>
    </w:p>
    <w:p>
      <w:pPr>
        <w:spacing w:line="480" w:lineRule="exact"/>
        <w:jc w:val="center"/>
        <w:rPr>
          <w:rFonts w:ascii="宋体" w:hAnsi="宋体"/>
          <w:b/>
          <w:bCs/>
          <w:color w:val="000000"/>
          <w:sz w:val="36"/>
          <w:szCs w:val="36"/>
        </w:rPr>
      </w:pPr>
    </w:p>
    <w:p>
      <w:pPr>
        <w:widowControl/>
        <w:jc w:val="left"/>
        <w:rPr>
          <w:rFonts w:ascii="宋体" w:hAnsi="宋体"/>
          <w:b/>
          <w:bCs/>
          <w:color w:val="000000"/>
          <w:sz w:val="36"/>
          <w:szCs w:val="36"/>
        </w:rPr>
      </w:pPr>
      <w:r>
        <w:rPr>
          <w:rFonts w:ascii="宋体" w:hAnsi="宋体"/>
          <w:b/>
          <w:bCs/>
          <w:color w:val="000000"/>
          <w:sz w:val="36"/>
          <w:szCs w:val="36"/>
        </w:rPr>
        <w:br w:type="page"/>
      </w:r>
    </w:p>
    <w:p>
      <w:pPr>
        <w:pStyle w:val="27"/>
        <w:jc w:val="both"/>
        <w:rPr>
          <w:rFonts w:ascii="宋体" w:hAnsi="宋体" w:cs="宋体"/>
          <w:sz w:val="24"/>
          <w:szCs w:val="24"/>
        </w:rPr>
      </w:pPr>
      <w:r>
        <w:rPr>
          <w:rFonts w:hint="eastAsia" w:ascii="宋体" w:hAnsi="宋体" w:cs="宋体"/>
          <w:sz w:val="24"/>
          <w:szCs w:val="24"/>
        </w:rPr>
        <w:t>格式6</w:t>
      </w:r>
    </w:p>
    <w:p>
      <w:pPr>
        <w:spacing w:line="480" w:lineRule="exact"/>
        <w:jc w:val="center"/>
        <w:rPr>
          <w:rFonts w:ascii="宋体" w:hAnsi="宋体"/>
          <w:b/>
          <w:bCs/>
          <w:color w:val="000000"/>
          <w:sz w:val="36"/>
          <w:szCs w:val="36"/>
        </w:rPr>
      </w:pPr>
      <w:r>
        <w:rPr>
          <w:rFonts w:hint="eastAsia" w:ascii="宋体" w:hAnsi="宋体"/>
          <w:b/>
          <w:bCs/>
          <w:color w:val="000000"/>
          <w:sz w:val="36"/>
          <w:szCs w:val="36"/>
        </w:rPr>
        <w:t xml:space="preserve">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Cs w:val="24"/>
        </w:rPr>
      </w:pPr>
      <w:r>
        <w:rPr>
          <w:rFonts w:hint="eastAsia" w:cs="Arial" w:asciiTheme="minorEastAsia" w:hAnsiTheme="minorEastAsia"/>
          <w:szCs w:val="24"/>
        </w:rPr>
        <w:t>本人</w:t>
      </w:r>
      <w:r>
        <w:rPr>
          <w:rFonts w:hint="eastAsia" w:cs="Arial" w:asciiTheme="minorEastAsia" w:hAnsiTheme="minorEastAsia"/>
          <w:szCs w:val="24"/>
          <w:u w:val="single"/>
        </w:rPr>
        <w:t xml:space="preserve">　 </w:t>
      </w:r>
      <w:r>
        <w:rPr>
          <w:rFonts w:hint="eastAsia" w:asciiTheme="minorEastAsia" w:hAnsiTheme="minorEastAsia"/>
          <w:i/>
          <w:snapToGrid w:val="0"/>
          <w:szCs w:val="24"/>
          <w:u w:val="single"/>
        </w:rPr>
        <w:t>法人姓名</w:t>
      </w:r>
      <w:r>
        <w:rPr>
          <w:rFonts w:hint="eastAsia" w:cs="Arial" w:asciiTheme="minorEastAsia" w:hAnsiTheme="minorEastAsia"/>
          <w:szCs w:val="24"/>
        </w:rPr>
        <w:t>系</w:t>
      </w:r>
      <w:r>
        <w:rPr>
          <w:rFonts w:hint="eastAsia" w:cs="Arial" w:asciiTheme="minorEastAsia" w:hAnsiTheme="minorEastAsia"/>
          <w:szCs w:val="24"/>
          <w:u w:val="single"/>
        </w:rPr>
        <w:t>　</w:t>
      </w:r>
      <w:r>
        <w:rPr>
          <w:rFonts w:hint="eastAsia" w:asciiTheme="minorEastAsia" w:hAnsiTheme="minorEastAsia"/>
          <w:i/>
          <w:snapToGrid w:val="0"/>
          <w:szCs w:val="24"/>
          <w:u w:val="single"/>
        </w:rPr>
        <w:t xml:space="preserve">投标人名称  </w:t>
      </w:r>
      <w:r>
        <w:rPr>
          <w:rFonts w:hint="eastAsia" w:cs="Arial" w:asciiTheme="minorEastAsia" w:hAnsiTheme="minorEastAsia"/>
          <w:szCs w:val="24"/>
        </w:rPr>
        <w:t>的法定代表人，现委托</w:t>
      </w:r>
      <w:r>
        <w:rPr>
          <w:rFonts w:hint="eastAsia" w:cs="Arial" w:asciiTheme="minorEastAsia" w:hAnsiTheme="minorEastAsia"/>
          <w:szCs w:val="24"/>
          <w:u w:val="single"/>
        </w:rPr>
        <w:t xml:space="preserve">　 </w:t>
      </w:r>
      <w:r>
        <w:rPr>
          <w:rFonts w:hint="eastAsia" w:asciiTheme="minorEastAsia" w:hAnsiTheme="minorEastAsia"/>
          <w:i/>
          <w:snapToGrid w:val="0"/>
          <w:szCs w:val="24"/>
          <w:u w:val="single"/>
        </w:rPr>
        <w:t>姓名，职务</w:t>
      </w:r>
      <w:r>
        <w:rPr>
          <w:rFonts w:hint="eastAsia" w:cs="Arial" w:asciiTheme="minorEastAsia" w:hAnsiTheme="minorEastAsia"/>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Cs w:val="24"/>
        </w:rPr>
      </w:pPr>
      <w:r>
        <w:rPr>
          <w:rFonts w:hint="eastAsia" w:cs="Arial" w:asciiTheme="minorEastAsia" w:hAnsiTheme="minorEastAsia"/>
          <w:szCs w:val="24"/>
        </w:rPr>
        <w:t>我方对被授权人的签名事项负全部责任。</w:t>
      </w:r>
    </w:p>
    <w:p>
      <w:pPr>
        <w:adjustRightInd w:val="0"/>
        <w:spacing w:line="360" w:lineRule="auto"/>
        <w:ind w:firstLine="504" w:firstLineChars="210"/>
        <w:contextualSpacing/>
        <w:rPr>
          <w:rFonts w:cs="Arial" w:asciiTheme="minorEastAsia" w:hAnsiTheme="minorEastAsia"/>
          <w:szCs w:val="24"/>
        </w:rPr>
      </w:pPr>
      <w:r>
        <w:rPr>
          <w:rFonts w:hint="eastAsia" w:cs="Arial" w:asciiTheme="minorEastAsia" w:hAnsiTheme="minorEastAsia"/>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Cs w:val="24"/>
        </w:rPr>
      </w:pPr>
      <w:r>
        <w:rPr>
          <w:rFonts w:hint="eastAsia" w:cs="Arial" w:asciiTheme="minorEastAsia" w:hAnsiTheme="minorEastAsia"/>
          <w:szCs w:val="24"/>
        </w:rPr>
        <w:t>被授权人无转委托权，特此委托。</w:t>
      </w:r>
    </w:p>
    <w:p>
      <w:pPr>
        <w:spacing w:line="480" w:lineRule="auto"/>
        <w:ind w:firstLine="480" w:firstLineChars="200"/>
        <w:rPr>
          <w:rFonts w:asciiTheme="minorEastAsia" w:hAnsiTheme="minorEastAsia"/>
          <w:szCs w:val="24"/>
        </w:rPr>
      </w:pPr>
      <w:r>
        <w:rPr>
          <w:rFonts w:hint="eastAsia" w:asciiTheme="minorEastAsia" w:hAnsiTheme="minorEastAsia"/>
          <w:szCs w:val="24"/>
        </w:rPr>
        <w:t xml:space="preserve">投标人名称： </w:t>
      </w:r>
      <w:r>
        <w:rPr>
          <w:rFonts w:hint="eastAsia" w:asciiTheme="minorEastAsia" w:hAnsiTheme="minorEastAsia"/>
          <w:szCs w:val="24"/>
          <w:u w:val="single"/>
        </w:rPr>
        <w:t xml:space="preserve">       （全称）       </w:t>
      </w:r>
      <w:r>
        <w:rPr>
          <w:rFonts w:hint="eastAsia" w:asciiTheme="minorEastAsia" w:hAnsiTheme="minorEastAsia"/>
          <w:szCs w:val="24"/>
        </w:rPr>
        <w:t xml:space="preserve"> （盖单位公章）</w:t>
      </w:r>
    </w:p>
    <w:p>
      <w:pPr>
        <w:spacing w:line="480" w:lineRule="auto"/>
        <w:ind w:firstLine="480" w:firstLineChars="200"/>
        <w:rPr>
          <w:rFonts w:asciiTheme="minorEastAsia" w:hAnsiTheme="minorEastAsia"/>
          <w:szCs w:val="24"/>
        </w:rPr>
      </w:pPr>
      <w:r>
        <w:rPr>
          <w:rFonts w:hint="eastAsia" w:asciiTheme="minorEastAsia" w:hAnsiTheme="minorEastAsia"/>
          <w:szCs w:val="24"/>
        </w:rPr>
        <w:t>法定代表人：  （签字或加盖名章）</w:t>
      </w:r>
    </w:p>
    <w:p>
      <w:pPr>
        <w:spacing w:line="480" w:lineRule="auto"/>
        <w:ind w:firstLine="480" w:firstLineChars="200"/>
        <w:rPr>
          <w:rFonts w:asciiTheme="minorEastAsia" w:hAnsiTheme="minorEastAsia"/>
          <w:szCs w:val="24"/>
        </w:rPr>
      </w:pPr>
      <w:r>
        <w:rPr>
          <w:rFonts w:hint="eastAsia" w:asciiTheme="minorEastAsia" w:hAnsiTheme="minorEastAsia"/>
          <w:szCs w:val="24"/>
        </w:rPr>
        <w:t>法定代表人授权代表：  （签字或加盖名章）</w:t>
      </w:r>
    </w:p>
    <w:tbl>
      <w:tblPr>
        <w:tblStyle w:val="31"/>
        <w:tblW w:w="9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2"/>
        <w:gridCol w:w="8"/>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3" w:hRule="atLeast"/>
        </w:trPr>
        <w:tc>
          <w:tcPr>
            <w:tcW w:w="5102" w:type="dxa"/>
            <w:vAlign w:val="center"/>
          </w:tcPr>
          <w:p>
            <w:pPr>
              <w:jc w:val="center"/>
              <w:rPr>
                <w:rFonts w:asciiTheme="minorEastAsia" w:hAnsiTheme="minorEastAsia"/>
                <w:szCs w:val="24"/>
              </w:rPr>
            </w:pPr>
            <w:r>
              <w:rPr>
                <w:rFonts w:hint="eastAsia" w:asciiTheme="minorEastAsia" w:hAnsiTheme="minorEastAsia"/>
                <w:szCs w:val="24"/>
              </w:rPr>
              <w:t>法定代表人身份证（正面）</w:t>
            </w:r>
          </w:p>
        </w:tc>
        <w:tc>
          <w:tcPr>
            <w:tcW w:w="4828" w:type="dxa"/>
            <w:gridSpan w:val="2"/>
            <w:vAlign w:val="center"/>
          </w:tcPr>
          <w:p>
            <w:pPr>
              <w:jc w:val="center"/>
              <w:rPr>
                <w:rFonts w:asciiTheme="minorEastAsia" w:hAnsiTheme="minorEastAsia"/>
                <w:szCs w:val="24"/>
              </w:rPr>
            </w:pPr>
            <w:r>
              <w:rPr>
                <w:rFonts w:hint="eastAsia" w:asciiTheme="minorEastAsia" w:hAnsiTheme="minorEastAsia"/>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9" w:hRule="atLeast"/>
        </w:trPr>
        <w:tc>
          <w:tcPr>
            <w:tcW w:w="5110" w:type="dxa"/>
            <w:gridSpan w:val="2"/>
            <w:vAlign w:val="center"/>
          </w:tcPr>
          <w:p>
            <w:pPr>
              <w:jc w:val="center"/>
              <w:rPr>
                <w:rFonts w:asciiTheme="minorEastAsia" w:hAnsiTheme="minorEastAsia"/>
                <w:szCs w:val="24"/>
              </w:rPr>
            </w:pPr>
            <w:bookmarkStart w:id="206" w:name="_资格证明文件"/>
            <w:bookmarkEnd w:id="206"/>
            <w:bookmarkStart w:id="207" w:name="_Toc364329026"/>
            <w:r>
              <w:rPr>
                <w:rFonts w:hint="eastAsia" w:asciiTheme="minorEastAsia" w:hAnsiTheme="minorEastAsia"/>
                <w:szCs w:val="24"/>
              </w:rPr>
              <w:t>法定代表人授权代表身份证（正面）</w:t>
            </w:r>
            <w:bookmarkEnd w:id="207"/>
          </w:p>
        </w:tc>
        <w:tc>
          <w:tcPr>
            <w:tcW w:w="4820" w:type="dxa"/>
            <w:vAlign w:val="center"/>
          </w:tcPr>
          <w:p>
            <w:pPr>
              <w:jc w:val="center"/>
              <w:rPr>
                <w:rFonts w:asciiTheme="minorEastAsia" w:hAnsiTheme="minorEastAsia"/>
                <w:szCs w:val="24"/>
              </w:rPr>
            </w:pPr>
            <w:bookmarkStart w:id="208" w:name="_Toc364329027"/>
            <w:r>
              <w:rPr>
                <w:rFonts w:hint="eastAsia" w:asciiTheme="minorEastAsia" w:hAnsiTheme="minorEastAsia"/>
                <w:szCs w:val="24"/>
              </w:rPr>
              <w:t>法定代表人授权代表身份证（反面）</w:t>
            </w:r>
            <w:bookmarkEnd w:id="208"/>
          </w:p>
        </w:tc>
      </w:tr>
    </w:tbl>
    <w:p>
      <w:pPr>
        <w:spacing w:line="320" w:lineRule="exact"/>
        <w:ind w:left="2" w:firstLine="357" w:firstLineChars="149"/>
        <w:rPr>
          <w:rFonts w:cs="Courier New" w:asciiTheme="minorEastAsia" w:hAnsiTheme="minorEastAsia"/>
          <w:szCs w:val="24"/>
        </w:rPr>
      </w:pPr>
    </w:p>
    <w:p>
      <w:pPr>
        <w:widowControl/>
        <w:jc w:val="left"/>
        <w:rPr>
          <w:rFonts w:ascii="宋体" w:hAnsi="宋体"/>
          <w:b/>
          <w:bCs/>
          <w:color w:val="000000"/>
          <w:sz w:val="36"/>
          <w:szCs w:val="36"/>
        </w:rPr>
      </w:pPr>
      <w:r>
        <w:rPr>
          <w:rFonts w:ascii="宋体" w:hAnsi="宋体"/>
          <w:b/>
          <w:bCs/>
          <w:color w:val="000000"/>
          <w:sz w:val="36"/>
          <w:szCs w:val="36"/>
        </w:rPr>
        <w:br w:type="page"/>
      </w:r>
    </w:p>
    <w:p>
      <w:pPr>
        <w:pStyle w:val="27"/>
        <w:jc w:val="both"/>
        <w:rPr>
          <w:rFonts w:ascii="宋体" w:cs="宋体"/>
          <w:sz w:val="24"/>
          <w:szCs w:val="24"/>
        </w:rPr>
      </w:pPr>
      <w:r>
        <w:rPr>
          <w:rFonts w:hint="eastAsia" w:ascii="宋体" w:hAnsi="宋体" w:cs="宋体"/>
          <w:sz w:val="24"/>
          <w:szCs w:val="24"/>
        </w:rPr>
        <w:t>格式7</w:t>
      </w:r>
    </w:p>
    <w:p>
      <w:pPr>
        <w:pStyle w:val="27"/>
        <w:jc w:val="center"/>
        <w:rPr>
          <w:rFonts w:ascii="宋体" w:cs="宋体"/>
          <w:sz w:val="36"/>
          <w:szCs w:val="36"/>
        </w:rPr>
      </w:pPr>
      <w:r>
        <w:rPr>
          <w:rFonts w:hint="eastAsia" w:ascii="宋体" w:hAnsi="宋体" w:cs="宋体"/>
          <w:sz w:val="36"/>
          <w:szCs w:val="36"/>
        </w:rPr>
        <w:t>磋商保证金</w:t>
      </w:r>
    </w:p>
    <w:p>
      <w:pPr>
        <w:rPr>
          <w:rFonts w:ascii="宋体" w:cs="宋体"/>
        </w:rPr>
      </w:pPr>
    </w:p>
    <w:p>
      <w:pPr>
        <w:autoSpaceDE w:val="0"/>
        <w:autoSpaceDN w:val="0"/>
        <w:adjustRightInd w:val="0"/>
        <w:spacing w:line="360" w:lineRule="auto"/>
        <w:jc w:val="center"/>
        <w:rPr>
          <w:rFonts w:cs="宋体" w:asciiTheme="minorEastAsia" w:hAnsiTheme="minorEastAsia"/>
          <w:szCs w:val="24"/>
          <w:lang w:val="zh-CN"/>
        </w:rPr>
      </w:pPr>
      <w:r>
        <w:rPr>
          <w:rFonts w:hint="eastAsia" w:cs="宋体" w:asciiTheme="minorEastAsia" w:hAnsiTheme="minorEastAsia"/>
          <w:szCs w:val="24"/>
          <w:lang w:val="zh-CN"/>
        </w:rPr>
        <w:t>许昌公共资源交易中心保证金缴纳回执</w:t>
      </w: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jc w:val="center"/>
        <w:rPr>
          <w:rFonts w:ascii="宋体" w:cs="宋体"/>
          <w:lang w:val="zh-CN"/>
        </w:rPr>
      </w:pPr>
      <w:r>
        <w:rPr>
          <w:rFonts w:hint="eastAsia" w:ascii="宋体" w:cs="宋体"/>
          <w:lang w:val="zh-CN"/>
        </w:rPr>
        <w:t>（注：开标现场单独提供一份“许昌公共资源交易中心保证金缴纳回执”以备查询）</w:t>
      </w:r>
    </w:p>
    <w:p>
      <w:pPr>
        <w:tabs>
          <w:tab w:val="left" w:pos="4881"/>
        </w:tabs>
        <w:spacing w:before="33" w:line="360" w:lineRule="auto"/>
        <w:ind w:left="102" w:right="4125"/>
        <w:rPr>
          <w:rFonts w:cs="宋体"/>
          <w:spacing w:val="-1"/>
          <w:szCs w:val="24"/>
        </w:rPr>
      </w:pPr>
    </w:p>
    <w:p>
      <w:pPr>
        <w:rPr>
          <w:rFonts w:ascii="宋体" w:cs="宋体"/>
        </w:rPr>
      </w:pPr>
    </w:p>
    <w:p>
      <w:pPr>
        <w:pStyle w:val="27"/>
        <w:jc w:val="both"/>
        <w:rPr>
          <w:rFonts w:ascii="宋体" w:cs="宋体"/>
          <w:sz w:val="24"/>
          <w:szCs w:val="24"/>
        </w:rPr>
      </w:pPr>
      <w:bookmarkStart w:id="209" w:name="_Toc448307977"/>
      <w:bookmarkEnd w:id="209"/>
      <w:bookmarkStart w:id="210" w:name="_Toc431307803"/>
      <w:bookmarkEnd w:id="210"/>
      <w:r>
        <w:br w:type="page"/>
      </w:r>
      <w:r>
        <w:rPr>
          <w:rFonts w:hint="eastAsia" w:ascii="宋体" w:hAnsi="宋体" w:cs="宋体"/>
          <w:sz w:val="24"/>
          <w:szCs w:val="24"/>
        </w:rPr>
        <w:t>格式8</w:t>
      </w:r>
    </w:p>
    <w:p>
      <w:pPr>
        <w:spacing w:line="480" w:lineRule="exact"/>
        <w:jc w:val="center"/>
        <w:rPr>
          <w:rFonts w:ascii="宋体" w:cs="宋体"/>
          <w:b/>
          <w:sz w:val="36"/>
          <w:szCs w:val="36"/>
        </w:rPr>
      </w:pPr>
      <w:r>
        <w:rPr>
          <w:rFonts w:hint="eastAsia" w:ascii="宋体" w:hAnsi="宋体" w:cs="宋体"/>
          <w:b/>
          <w:sz w:val="36"/>
          <w:szCs w:val="36"/>
        </w:rPr>
        <w:t>供应商响应文件响应承诺</w:t>
      </w:r>
    </w:p>
    <w:p>
      <w:pPr>
        <w:spacing w:line="362" w:lineRule="auto"/>
        <w:jc w:val="center"/>
        <w:rPr>
          <w:rFonts w:cs="宋体"/>
          <w:sz w:val="28"/>
          <w:szCs w:val="28"/>
        </w:rPr>
      </w:pPr>
      <w:r>
        <w:rPr>
          <w:rFonts w:hint="eastAsia" w:cs="宋体"/>
          <w:sz w:val="24"/>
          <w:szCs w:val="24"/>
        </w:rPr>
        <w:t>格式内容自定。（应对竞争性磋商文件作出实质性响应）</w:t>
      </w:r>
    </w:p>
    <w:p>
      <w:pPr>
        <w:spacing w:line="362" w:lineRule="auto"/>
        <w:rPr>
          <w:rFonts w:cs="宋体"/>
          <w:b/>
          <w:szCs w:val="24"/>
        </w:rPr>
      </w:pPr>
    </w:p>
    <w:p>
      <w:pPr>
        <w:spacing w:line="362" w:lineRule="auto"/>
        <w:rPr>
          <w:rFonts w:cs="宋体"/>
          <w:b/>
          <w:szCs w:val="24"/>
        </w:rPr>
      </w:pPr>
    </w:p>
    <w:p>
      <w:pPr>
        <w:tabs>
          <w:tab w:val="left" w:pos="4881"/>
        </w:tabs>
        <w:spacing w:before="33" w:line="360" w:lineRule="auto"/>
        <w:ind w:left="102" w:right="4125"/>
        <w:rPr>
          <w:rFonts w:cs="宋体"/>
          <w:szCs w:val="24"/>
          <w:u w:val="single"/>
        </w:rPr>
      </w:pPr>
      <w:r>
        <w:rPr>
          <w:rFonts w:hint="eastAsia" w:cs="宋体"/>
          <w:spacing w:val="-1"/>
          <w:szCs w:val="24"/>
        </w:rPr>
        <w:t>单位名称（盖章）</w:t>
      </w:r>
      <w:r>
        <w:rPr>
          <w:rFonts w:cs="宋体"/>
          <w:spacing w:val="-1"/>
          <w:szCs w:val="24"/>
        </w:rPr>
        <w:t>:</w:t>
      </w:r>
    </w:p>
    <w:p>
      <w:pPr>
        <w:tabs>
          <w:tab w:val="left" w:pos="4881"/>
        </w:tabs>
        <w:spacing w:before="33" w:line="360" w:lineRule="auto"/>
        <w:ind w:left="102" w:right="4125"/>
        <w:rPr>
          <w:rFonts w:cs="宋体"/>
          <w:spacing w:val="25"/>
          <w:szCs w:val="24"/>
        </w:rPr>
      </w:pPr>
      <w:r>
        <w:rPr>
          <w:rFonts w:hint="eastAsia" w:cs="宋体"/>
          <w:spacing w:val="-1"/>
          <w:szCs w:val="24"/>
        </w:rPr>
        <w:t>法人代表或授权代表签字</w:t>
      </w:r>
      <w:r>
        <w:rPr>
          <w:rFonts w:cs="宋体"/>
          <w:spacing w:val="-1"/>
          <w:szCs w:val="24"/>
        </w:rPr>
        <w:t>:</w:t>
      </w:r>
      <w:r>
        <w:rPr>
          <w:rFonts w:cs="宋体"/>
          <w:szCs w:val="24"/>
          <w:u w:val="single"/>
        </w:rPr>
        <w:tab/>
      </w:r>
    </w:p>
    <w:p>
      <w:pPr>
        <w:tabs>
          <w:tab w:val="left" w:pos="4881"/>
        </w:tabs>
        <w:spacing w:before="33" w:line="360" w:lineRule="auto"/>
        <w:ind w:left="102" w:right="4125"/>
        <w:rPr>
          <w:rFonts w:cs="宋体"/>
        </w:rPr>
      </w:pPr>
      <w:r>
        <w:rPr>
          <w:rFonts w:hint="eastAsia" w:cs="宋体"/>
          <w:spacing w:val="-1"/>
          <w:szCs w:val="24"/>
        </w:rPr>
        <w:t>日期</w:t>
      </w:r>
      <w:r>
        <w:rPr>
          <w:rFonts w:cs="宋体"/>
          <w:spacing w:val="-1"/>
          <w:szCs w:val="24"/>
        </w:rPr>
        <w:t>:</w:t>
      </w:r>
      <w:r>
        <w:rPr>
          <w:rFonts w:cs="宋体"/>
          <w:szCs w:val="24"/>
          <w:u w:val="single"/>
        </w:rPr>
        <w:tab/>
      </w:r>
    </w:p>
    <w:p>
      <w:pPr>
        <w:rPr>
          <w:rFonts w:ascii="宋体" w:cs="宋体"/>
          <w:b/>
          <w:szCs w:val="21"/>
        </w:rPr>
      </w:pPr>
    </w:p>
    <w:p>
      <w:pPr>
        <w:rPr>
          <w:rFonts w:ascii="宋体" w:cs="宋体"/>
          <w:b/>
          <w:szCs w:val="21"/>
        </w:rPr>
      </w:pPr>
    </w:p>
    <w:p>
      <w:pPr>
        <w:rPr>
          <w:rFonts w:ascii="宋体" w:cs="宋体"/>
          <w:b/>
          <w:szCs w:val="21"/>
        </w:rPr>
      </w:pPr>
    </w:p>
    <w:p>
      <w:pPr>
        <w:rPr>
          <w:rFonts w:ascii="宋体" w:cs="宋体"/>
          <w:b/>
          <w:szCs w:val="21"/>
        </w:rPr>
      </w:pPr>
    </w:p>
    <w:p>
      <w:pPr>
        <w:rPr>
          <w:rFonts w:ascii="宋体" w:cs="宋体"/>
          <w:b/>
          <w:szCs w:val="21"/>
        </w:rPr>
      </w:pPr>
    </w:p>
    <w:p>
      <w:pPr>
        <w:pStyle w:val="27"/>
        <w:jc w:val="both"/>
        <w:rPr>
          <w:rFonts w:ascii="宋体" w:hAnsi="宋体" w:cs="宋体"/>
          <w:sz w:val="24"/>
          <w:szCs w:val="24"/>
        </w:rPr>
      </w:pPr>
      <w:bookmarkStart w:id="211" w:name="_Toc448307978"/>
      <w:bookmarkEnd w:id="211"/>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cs="宋体"/>
          <w:sz w:val="24"/>
          <w:szCs w:val="24"/>
        </w:rPr>
      </w:pPr>
      <w:r>
        <w:rPr>
          <w:rFonts w:hint="eastAsia" w:ascii="宋体" w:hAnsi="宋体" w:cs="宋体"/>
          <w:sz w:val="24"/>
          <w:szCs w:val="24"/>
        </w:rPr>
        <w:t>格式9</w:t>
      </w:r>
    </w:p>
    <w:p>
      <w:pPr>
        <w:pStyle w:val="27"/>
        <w:jc w:val="center"/>
        <w:rPr>
          <w:rFonts w:ascii="宋体" w:hAnsi="宋体" w:cs="宋体"/>
          <w:sz w:val="36"/>
          <w:szCs w:val="36"/>
        </w:rPr>
      </w:pPr>
      <w:r>
        <w:rPr>
          <w:rFonts w:hint="eastAsia" w:ascii="宋体" w:hAnsi="宋体" w:cs="宋体"/>
          <w:sz w:val="36"/>
          <w:szCs w:val="36"/>
        </w:rPr>
        <w:t>供应商资格证明文件</w:t>
      </w:r>
    </w:p>
    <w:p>
      <w:pPr>
        <w:spacing w:line="360" w:lineRule="auto"/>
        <w:rPr>
          <w:rFonts w:cs="宋体"/>
          <w:szCs w:val="24"/>
        </w:rPr>
      </w:pPr>
    </w:p>
    <w:p>
      <w:pPr>
        <w:pStyle w:val="27"/>
        <w:jc w:val="both"/>
        <w:rPr>
          <w:rFonts w:ascii="宋体" w:cs="宋体"/>
          <w:sz w:val="24"/>
          <w:szCs w:val="24"/>
        </w:rPr>
      </w:pPr>
      <w:bookmarkStart w:id="212" w:name="_Toc448307979"/>
      <w:bookmarkEnd w:id="212"/>
      <w:bookmarkStart w:id="213" w:name="_Toc431307805"/>
      <w:bookmarkEnd w:id="213"/>
      <w:r>
        <w:br w:type="page"/>
      </w:r>
      <w:r>
        <w:rPr>
          <w:rFonts w:hint="eastAsia" w:ascii="宋体" w:hAnsi="宋体" w:cs="宋体"/>
          <w:sz w:val="24"/>
          <w:szCs w:val="24"/>
        </w:rPr>
        <w:t>格式10</w:t>
      </w:r>
    </w:p>
    <w:p>
      <w:pPr>
        <w:pStyle w:val="27"/>
        <w:jc w:val="center"/>
        <w:rPr>
          <w:rFonts w:ascii="宋体" w:cs="宋体"/>
          <w:sz w:val="36"/>
          <w:szCs w:val="36"/>
        </w:rPr>
      </w:pPr>
      <w:r>
        <w:rPr>
          <w:rFonts w:hint="eastAsia" w:ascii="宋体" w:hAnsi="宋体" w:cs="宋体"/>
          <w:sz w:val="36"/>
          <w:szCs w:val="36"/>
        </w:rPr>
        <w:t>供应商基本情况</w:t>
      </w:r>
    </w:p>
    <w:tbl>
      <w:tblPr>
        <w:tblStyle w:val="31"/>
        <w:tblW w:w="9459" w:type="dxa"/>
        <w:tblInd w:w="151" w:type="dxa"/>
        <w:tblLayout w:type="fixed"/>
        <w:tblCellMar>
          <w:top w:w="0" w:type="dxa"/>
          <w:left w:w="10" w:type="dxa"/>
          <w:bottom w:w="0" w:type="dxa"/>
          <w:right w:w="10" w:type="dxa"/>
        </w:tblCellMar>
      </w:tblPr>
      <w:tblGrid>
        <w:gridCol w:w="1331"/>
        <w:gridCol w:w="973"/>
        <w:gridCol w:w="930"/>
        <w:gridCol w:w="855"/>
        <w:gridCol w:w="351"/>
        <w:gridCol w:w="311"/>
        <w:gridCol w:w="1213"/>
        <w:gridCol w:w="355"/>
        <w:gridCol w:w="860"/>
        <w:gridCol w:w="2280"/>
      </w:tblGrid>
      <w:tr>
        <w:tblPrEx>
          <w:tblLayout w:type="fixed"/>
          <w:tblCellMar>
            <w:top w:w="0" w:type="dxa"/>
            <w:left w:w="10" w:type="dxa"/>
            <w:bottom w:w="0" w:type="dxa"/>
            <w:right w:w="10" w:type="dxa"/>
          </w:tblCellMar>
        </w:tblPrEx>
        <w:trPr>
          <w:trHeight w:val="561" w:hRule="atLeast"/>
        </w:trPr>
        <w:tc>
          <w:tcPr>
            <w:tcW w:w="13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单位名称</w:t>
            </w:r>
          </w:p>
        </w:tc>
        <w:tc>
          <w:tcPr>
            <w:tcW w:w="8128" w:type="dxa"/>
            <w:gridSpan w:val="9"/>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r>
      <w:tr>
        <w:tblPrEx>
          <w:tblLayout w:type="fixed"/>
          <w:tblCellMar>
            <w:top w:w="0" w:type="dxa"/>
            <w:left w:w="10" w:type="dxa"/>
            <w:bottom w:w="0" w:type="dxa"/>
            <w:right w:w="10" w:type="dxa"/>
          </w:tblCellMar>
        </w:tblPrEx>
        <w:trPr>
          <w:trHeight w:val="611" w:hRule="atLeast"/>
        </w:trPr>
        <w:tc>
          <w:tcPr>
            <w:tcW w:w="13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注册地址</w:t>
            </w:r>
          </w:p>
        </w:tc>
        <w:tc>
          <w:tcPr>
            <w:tcW w:w="3420"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c>
          <w:tcPr>
            <w:tcW w:w="12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邮政编码</w:t>
            </w:r>
          </w:p>
        </w:tc>
        <w:tc>
          <w:tcPr>
            <w:tcW w:w="3495"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r>
      <w:tr>
        <w:tblPrEx>
          <w:tblLayout w:type="fixed"/>
          <w:tblCellMar>
            <w:top w:w="0" w:type="dxa"/>
            <w:left w:w="10" w:type="dxa"/>
            <w:bottom w:w="0" w:type="dxa"/>
            <w:right w:w="10" w:type="dxa"/>
          </w:tblCellMar>
        </w:tblPrEx>
        <w:trPr>
          <w:cantSplit/>
          <w:trHeight w:val="605" w:hRule="atLeast"/>
        </w:trPr>
        <w:tc>
          <w:tcPr>
            <w:tcW w:w="1331"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联系方式</w:t>
            </w:r>
          </w:p>
        </w:tc>
        <w:tc>
          <w:tcPr>
            <w:tcW w:w="9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联系人</w:t>
            </w:r>
          </w:p>
        </w:tc>
        <w:tc>
          <w:tcPr>
            <w:tcW w:w="2447"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c>
          <w:tcPr>
            <w:tcW w:w="12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电话</w:t>
            </w:r>
          </w:p>
        </w:tc>
        <w:tc>
          <w:tcPr>
            <w:tcW w:w="3495"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r>
      <w:tr>
        <w:tblPrEx>
          <w:tblLayout w:type="fixed"/>
          <w:tblCellMar>
            <w:top w:w="0" w:type="dxa"/>
            <w:left w:w="10" w:type="dxa"/>
            <w:bottom w:w="0" w:type="dxa"/>
            <w:right w:w="10" w:type="dxa"/>
          </w:tblCellMar>
        </w:tblPrEx>
        <w:trPr>
          <w:cantSplit/>
          <w:trHeight w:val="613" w:hRule="atLeast"/>
        </w:trPr>
        <w:tc>
          <w:tcPr>
            <w:tcW w:w="1331"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9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传真</w:t>
            </w:r>
          </w:p>
        </w:tc>
        <w:tc>
          <w:tcPr>
            <w:tcW w:w="2447"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c>
          <w:tcPr>
            <w:tcW w:w="12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网址</w:t>
            </w:r>
          </w:p>
        </w:tc>
        <w:tc>
          <w:tcPr>
            <w:tcW w:w="3495"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r>
      <w:tr>
        <w:tblPrEx>
          <w:tblLayout w:type="fixed"/>
          <w:tblCellMar>
            <w:top w:w="0" w:type="dxa"/>
            <w:left w:w="10" w:type="dxa"/>
            <w:bottom w:w="0" w:type="dxa"/>
            <w:right w:w="10" w:type="dxa"/>
          </w:tblCellMar>
        </w:tblPrEx>
        <w:trPr>
          <w:trHeight w:val="614" w:hRule="atLeast"/>
        </w:trPr>
        <w:tc>
          <w:tcPr>
            <w:tcW w:w="13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组织结构</w:t>
            </w:r>
          </w:p>
        </w:tc>
        <w:tc>
          <w:tcPr>
            <w:tcW w:w="8128" w:type="dxa"/>
            <w:gridSpan w:val="9"/>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r>
      <w:tr>
        <w:tblPrEx>
          <w:tblLayout w:type="fixed"/>
          <w:tblCellMar>
            <w:top w:w="0" w:type="dxa"/>
            <w:left w:w="10" w:type="dxa"/>
            <w:bottom w:w="0" w:type="dxa"/>
            <w:right w:w="10" w:type="dxa"/>
          </w:tblCellMar>
        </w:tblPrEx>
        <w:trPr>
          <w:trHeight w:val="608" w:hRule="atLeast"/>
        </w:trPr>
        <w:tc>
          <w:tcPr>
            <w:tcW w:w="13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法定代表人</w:t>
            </w:r>
          </w:p>
        </w:tc>
        <w:tc>
          <w:tcPr>
            <w:tcW w:w="9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姓名</w:t>
            </w:r>
          </w:p>
        </w:tc>
        <w:tc>
          <w:tcPr>
            <w:tcW w:w="9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c>
          <w:tcPr>
            <w:tcW w:w="1206"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技术职称</w:t>
            </w:r>
          </w:p>
        </w:tc>
        <w:tc>
          <w:tcPr>
            <w:tcW w:w="1879"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c>
          <w:tcPr>
            <w:tcW w:w="8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电话</w:t>
            </w:r>
          </w:p>
        </w:tc>
        <w:tc>
          <w:tcPr>
            <w:tcW w:w="22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r>
      <w:tr>
        <w:tblPrEx>
          <w:tblLayout w:type="fixed"/>
          <w:tblCellMar>
            <w:top w:w="0" w:type="dxa"/>
            <w:left w:w="10" w:type="dxa"/>
            <w:bottom w:w="0" w:type="dxa"/>
            <w:right w:w="10" w:type="dxa"/>
          </w:tblCellMar>
        </w:tblPrEx>
        <w:trPr>
          <w:trHeight w:val="624" w:hRule="atLeast"/>
        </w:trPr>
        <w:tc>
          <w:tcPr>
            <w:tcW w:w="13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成立时间</w:t>
            </w:r>
          </w:p>
        </w:tc>
        <w:tc>
          <w:tcPr>
            <w:tcW w:w="190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c>
          <w:tcPr>
            <w:tcW w:w="6225" w:type="dxa"/>
            <w:gridSpan w:val="7"/>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120"/>
              <w:rPr>
                <w:rFonts w:ascii="宋体" w:cs="宋体"/>
                <w:szCs w:val="24"/>
              </w:rPr>
            </w:pPr>
            <w:r>
              <w:rPr>
                <w:rFonts w:hint="eastAsia" w:ascii="宋体" w:hAnsi="宋体" w:cs="宋体"/>
                <w:szCs w:val="24"/>
              </w:rPr>
              <w:t>员工总人数：</w:t>
            </w:r>
          </w:p>
        </w:tc>
      </w:tr>
      <w:tr>
        <w:tblPrEx>
          <w:tblLayout w:type="fixed"/>
          <w:tblCellMar>
            <w:top w:w="0" w:type="dxa"/>
            <w:left w:w="10" w:type="dxa"/>
            <w:bottom w:w="0" w:type="dxa"/>
            <w:right w:w="10" w:type="dxa"/>
          </w:tblCellMar>
        </w:tblPrEx>
        <w:trPr>
          <w:cantSplit/>
          <w:trHeight w:val="610" w:hRule="atLeast"/>
        </w:trPr>
        <w:tc>
          <w:tcPr>
            <w:tcW w:w="13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营业执照</w:t>
            </w:r>
          </w:p>
          <w:p>
            <w:pPr>
              <w:spacing w:line="440" w:lineRule="exact"/>
              <w:rPr>
                <w:rFonts w:ascii="宋体" w:cs="宋体"/>
                <w:szCs w:val="24"/>
              </w:rPr>
            </w:pPr>
            <w:r>
              <w:rPr>
                <w:rFonts w:hint="eastAsia" w:ascii="宋体" w:hAnsi="宋体" w:cs="宋体"/>
                <w:szCs w:val="24"/>
              </w:rPr>
              <w:t>注册号</w:t>
            </w:r>
          </w:p>
        </w:tc>
        <w:tc>
          <w:tcPr>
            <w:tcW w:w="190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c>
          <w:tcPr>
            <w:tcW w:w="855"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其中</w:t>
            </w:r>
          </w:p>
        </w:tc>
        <w:tc>
          <w:tcPr>
            <w:tcW w:w="2230"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高级职称人员</w:t>
            </w:r>
          </w:p>
        </w:tc>
        <w:tc>
          <w:tcPr>
            <w:tcW w:w="314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r>
      <w:tr>
        <w:tblPrEx>
          <w:tblLayout w:type="fixed"/>
          <w:tblCellMar>
            <w:top w:w="0" w:type="dxa"/>
            <w:left w:w="10" w:type="dxa"/>
            <w:bottom w:w="0" w:type="dxa"/>
            <w:right w:w="10" w:type="dxa"/>
          </w:tblCellMar>
        </w:tblPrEx>
        <w:trPr>
          <w:cantSplit/>
          <w:trHeight w:val="604" w:hRule="atLeast"/>
        </w:trPr>
        <w:tc>
          <w:tcPr>
            <w:tcW w:w="13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注册资金</w:t>
            </w:r>
          </w:p>
        </w:tc>
        <w:tc>
          <w:tcPr>
            <w:tcW w:w="190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c>
          <w:tcPr>
            <w:tcW w:w="855"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2230"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中级职称人员</w:t>
            </w:r>
          </w:p>
        </w:tc>
        <w:tc>
          <w:tcPr>
            <w:tcW w:w="314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r>
      <w:tr>
        <w:tblPrEx>
          <w:tblLayout w:type="fixed"/>
          <w:tblCellMar>
            <w:top w:w="0" w:type="dxa"/>
            <w:left w:w="10" w:type="dxa"/>
            <w:bottom w:w="0" w:type="dxa"/>
            <w:right w:w="10" w:type="dxa"/>
          </w:tblCellMar>
        </w:tblPrEx>
        <w:trPr>
          <w:cantSplit/>
          <w:trHeight w:val="626" w:hRule="atLeast"/>
        </w:trPr>
        <w:tc>
          <w:tcPr>
            <w:tcW w:w="13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开户银行</w:t>
            </w:r>
          </w:p>
        </w:tc>
        <w:tc>
          <w:tcPr>
            <w:tcW w:w="190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c>
          <w:tcPr>
            <w:tcW w:w="855"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2230"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初级职称人员</w:t>
            </w:r>
          </w:p>
        </w:tc>
        <w:tc>
          <w:tcPr>
            <w:tcW w:w="314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r>
      <w:tr>
        <w:tblPrEx>
          <w:tblLayout w:type="fixed"/>
          <w:tblCellMar>
            <w:top w:w="0" w:type="dxa"/>
            <w:left w:w="10" w:type="dxa"/>
            <w:bottom w:w="0" w:type="dxa"/>
            <w:right w:w="10" w:type="dxa"/>
          </w:tblCellMar>
        </w:tblPrEx>
        <w:trPr>
          <w:cantSplit/>
          <w:trHeight w:val="606" w:hRule="atLeast"/>
        </w:trPr>
        <w:tc>
          <w:tcPr>
            <w:tcW w:w="13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账号</w:t>
            </w:r>
          </w:p>
        </w:tc>
        <w:tc>
          <w:tcPr>
            <w:tcW w:w="190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c>
          <w:tcPr>
            <w:tcW w:w="855"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2230"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技工</w:t>
            </w:r>
          </w:p>
        </w:tc>
        <w:tc>
          <w:tcPr>
            <w:tcW w:w="314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r>
      <w:tr>
        <w:tblPrEx>
          <w:tblLayout w:type="fixed"/>
          <w:tblCellMar>
            <w:top w:w="0" w:type="dxa"/>
            <w:left w:w="10" w:type="dxa"/>
            <w:bottom w:w="0" w:type="dxa"/>
            <w:right w:w="10" w:type="dxa"/>
          </w:tblCellMar>
        </w:tblPrEx>
        <w:trPr>
          <w:trHeight w:val="1595" w:hRule="atLeast"/>
        </w:trPr>
        <w:tc>
          <w:tcPr>
            <w:tcW w:w="1331" w:type="dxa"/>
            <w:tcBorders>
              <w:top w:val="single" w:color="000000" w:sz="4" w:space="0"/>
              <w:left w:val="single" w:color="000000" w:sz="4" w:space="0"/>
              <w:bottom w:val="nil"/>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经营范围</w:t>
            </w:r>
          </w:p>
        </w:tc>
        <w:tc>
          <w:tcPr>
            <w:tcW w:w="8128" w:type="dxa"/>
            <w:gridSpan w:val="9"/>
            <w:tcBorders>
              <w:top w:val="single" w:color="000000" w:sz="4" w:space="0"/>
              <w:left w:val="single" w:color="000000" w:sz="4" w:space="0"/>
              <w:bottom w:val="nil"/>
              <w:right w:val="single" w:color="000000" w:sz="4" w:space="0"/>
            </w:tcBorders>
            <w:tcMar>
              <w:top w:w="0" w:type="dxa"/>
              <w:left w:w="108" w:type="dxa"/>
              <w:bottom w:w="0" w:type="dxa"/>
              <w:right w:w="108" w:type="dxa"/>
            </w:tcMar>
            <w:vAlign w:val="center"/>
          </w:tcPr>
          <w:p>
            <w:pPr>
              <w:rPr>
                <w:rFonts w:ascii="宋体" w:cs="宋体"/>
                <w:szCs w:val="24"/>
              </w:rPr>
            </w:pPr>
          </w:p>
          <w:p>
            <w:pPr>
              <w:rPr>
                <w:rFonts w:ascii="宋体" w:cs="宋体"/>
                <w:szCs w:val="24"/>
              </w:rPr>
            </w:pPr>
          </w:p>
          <w:p>
            <w:pPr>
              <w:rPr>
                <w:rFonts w:ascii="宋体" w:cs="宋体"/>
                <w:szCs w:val="24"/>
              </w:rPr>
            </w:pPr>
          </w:p>
          <w:p>
            <w:pPr>
              <w:rPr>
                <w:rFonts w:ascii="宋体" w:cs="宋体"/>
                <w:szCs w:val="24"/>
              </w:rPr>
            </w:pPr>
          </w:p>
          <w:p>
            <w:pPr>
              <w:rPr>
                <w:rFonts w:ascii="宋体" w:cs="宋体"/>
                <w:szCs w:val="24"/>
              </w:rPr>
            </w:pPr>
          </w:p>
        </w:tc>
      </w:tr>
      <w:tr>
        <w:tblPrEx>
          <w:tblLayout w:type="fixed"/>
          <w:tblCellMar>
            <w:top w:w="0" w:type="dxa"/>
            <w:left w:w="10" w:type="dxa"/>
            <w:bottom w:w="0" w:type="dxa"/>
            <w:right w:w="10" w:type="dxa"/>
          </w:tblCellMar>
        </w:tblPrEx>
        <w:trPr>
          <w:trHeight w:val="615" w:hRule="atLeast"/>
        </w:trPr>
        <w:tc>
          <w:tcPr>
            <w:tcW w:w="13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宋体" w:cs="宋体"/>
                <w:szCs w:val="24"/>
              </w:rPr>
            </w:pPr>
            <w:r>
              <w:rPr>
                <w:rFonts w:hint="eastAsia" w:ascii="宋体" w:hAnsi="宋体" w:cs="宋体"/>
                <w:szCs w:val="24"/>
              </w:rPr>
              <w:t>备注</w:t>
            </w:r>
          </w:p>
        </w:tc>
        <w:tc>
          <w:tcPr>
            <w:tcW w:w="8128" w:type="dxa"/>
            <w:gridSpan w:val="9"/>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宋体" w:cs="宋体"/>
                <w:szCs w:val="24"/>
              </w:rPr>
            </w:pPr>
          </w:p>
        </w:tc>
      </w:tr>
    </w:tbl>
    <w:p>
      <w:pPr>
        <w:spacing w:line="362" w:lineRule="auto"/>
        <w:rPr>
          <w:rFonts w:cs="宋体"/>
          <w:szCs w:val="24"/>
        </w:rPr>
      </w:pPr>
      <w:r>
        <w:rPr>
          <w:rFonts w:hint="eastAsia" w:cs="宋体"/>
          <w:szCs w:val="24"/>
        </w:rPr>
        <w:t>注：后附投标经营方营业执照、基本户开户证明、投标经营方管理机构人员资格证明、近期财务报表、银行资信证明等资格证明文件。</w:t>
      </w:r>
    </w:p>
    <w:p>
      <w:pPr>
        <w:tabs>
          <w:tab w:val="left" w:pos="4881"/>
        </w:tabs>
        <w:spacing w:before="33" w:line="360" w:lineRule="auto"/>
        <w:ind w:left="102" w:right="4125"/>
        <w:rPr>
          <w:rFonts w:cs="宋体"/>
          <w:spacing w:val="-1"/>
          <w:szCs w:val="24"/>
        </w:rPr>
      </w:pPr>
    </w:p>
    <w:p>
      <w:pPr>
        <w:tabs>
          <w:tab w:val="left" w:pos="4881"/>
        </w:tabs>
        <w:spacing w:before="33" w:line="360" w:lineRule="auto"/>
        <w:ind w:left="102" w:right="4125"/>
        <w:rPr>
          <w:rFonts w:cs="宋体"/>
          <w:szCs w:val="24"/>
          <w:u w:val="single"/>
        </w:rPr>
      </w:pPr>
      <w:r>
        <w:rPr>
          <w:rFonts w:hint="eastAsia" w:cs="宋体"/>
          <w:spacing w:val="-1"/>
          <w:szCs w:val="24"/>
        </w:rPr>
        <w:t>单位名称（盖章）</w:t>
      </w:r>
      <w:r>
        <w:rPr>
          <w:rFonts w:cs="宋体"/>
          <w:spacing w:val="-1"/>
          <w:szCs w:val="24"/>
        </w:rPr>
        <w:t>:</w:t>
      </w:r>
    </w:p>
    <w:p>
      <w:pPr>
        <w:tabs>
          <w:tab w:val="left" w:pos="4881"/>
        </w:tabs>
        <w:spacing w:before="33" w:line="360" w:lineRule="auto"/>
        <w:ind w:right="4125" w:firstLine="119"/>
        <w:rPr>
          <w:rFonts w:cs="宋体"/>
          <w:spacing w:val="25"/>
          <w:szCs w:val="24"/>
        </w:rPr>
      </w:pPr>
      <w:r>
        <w:rPr>
          <w:rFonts w:hint="eastAsia" w:cs="宋体"/>
          <w:spacing w:val="-1"/>
          <w:szCs w:val="24"/>
        </w:rPr>
        <w:t>法人代表或授权代表签字</w:t>
      </w:r>
      <w:r>
        <w:rPr>
          <w:rFonts w:cs="宋体"/>
          <w:spacing w:val="-1"/>
          <w:szCs w:val="24"/>
        </w:rPr>
        <w:t>:</w:t>
      </w:r>
      <w:r>
        <w:rPr>
          <w:rFonts w:cs="宋体"/>
          <w:szCs w:val="24"/>
          <w:u w:val="single"/>
        </w:rPr>
        <w:tab/>
      </w:r>
    </w:p>
    <w:p>
      <w:pPr>
        <w:tabs>
          <w:tab w:val="left" w:pos="4881"/>
        </w:tabs>
        <w:spacing w:before="33" w:line="360" w:lineRule="auto"/>
        <w:ind w:left="102" w:right="4125"/>
        <w:rPr>
          <w:rFonts w:cs="宋体"/>
        </w:rPr>
      </w:pPr>
      <w:r>
        <w:rPr>
          <w:rFonts w:hint="eastAsia" w:cs="宋体"/>
          <w:spacing w:val="-1"/>
          <w:szCs w:val="24"/>
        </w:rPr>
        <w:t>日期</w:t>
      </w:r>
      <w:r>
        <w:rPr>
          <w:rFonts w:cs="宋体"/>
          <w:spacing w:val="-1"/>
          <w:szCs w:val="24"/>
        </w:rPr>
        <w:t>:</w:t>
      </w:r>
      <w:r>
        <w:rPr>
          <w:rFonts w:cs="宋体"/>
          <w:szCs w:val="24"/>
          <w:u w:val="single"/>
        </w:rPr>
        <w:tab/>
      </w:r>
    </w:p>
    <w:p>
      <w:pPr>
        <w:pStyle w:val="27"/>
        <w:jc w:val="both"/>
        <w:rPr>
          <w:rFonts w:ascii="宋体" w:cs="宋体"/>
          <w:sz w:val="24"/>
          <w:szCs w:val="24"/>
        </w:rPr>
      </w:pPr>
      <w:bookmarkStart w:id="214" w:name="_Toc448307980"/>
      <w:bookmarkEnd w:id="214"/>
      <w:bookmarkStart w:id="215" w:name="_Toc431307806"/>
      <w:bookmarkEnd w:id="215"/>
      <w:r>
        <w:rPr>
          <w:rFonts w:hint="eastAsia" w:ascii="宋体" w:hAnsi="宋体" w:cs="宋体"/>
          <w:sz w:val="24"/>
          <w:szCs w:val="24"/>
        </w:rPr>
        <w:t>格式</w:t>
      </w:r>
      <w:r>
        <w:rPr>
          <w:rFonts w:ascii="宋体" w:hAnsi="宋体" w:cs="宋体"/>
          <w:sz w:val="24"/>
          <w:szCs w:val="24"/>
        </w:rPr>
        <w:t>1</w:t>
      </w:r>
      <w:r>
        <w:rPr>
          <w:rFonts w:hint="eastAsia" w:ascii="宋体" w:hAnsi="宋体" w:cs="宋体"/>
          <w:sz w:val="24"/>
          <w:szCs w:val="24"/>
        </w:rPr>
        <w:t>1</w:t>
      </w:r>
    </w:p>
    <w:p>
      <w:pPr>
        <w:pStyle w:val="15"/>
        <w:spacing w:line="360" w:lineRule="auto"/>
        <w:jc w:val="center"/>
        <w:rPr>
          <w:rFonts w:ascii="宋体" w:cs="宋体"/>
          <w:sz w:val="36"/>
          <w:szCs w:val="36"/>
        </w:rPr>
      </w:pPr>
      <w:bookmarkStart w:id="216" w:name="_Toc281845088"/>
      <w:bookmarkEnd w:id="216"/>
      <w:r>
        <w:rPr>
          <w:rFonts w:hint="eastAsia" w:ascii="宋体" w:hAnsi="宋体" w:cs="宋体"/>
          <w:sz w:val="36"/>
          <w:szCs w:val="36"/>
        </w:rPr>
        <w:t>近期完成的类似业绩情况表</w:t>
      </w:r>
    </w:p>
    <w:p>
      <w:pPr>
        <w:spacing w:line="360" w:lineRule="auto"/>
      </w:pPr>
    </w:p>
    <w:tbl>
      <w:tblPr>
        <w:tblStyle w:val="31"/>
        <w:tblW w:w="9330" w:type="dxa"/>
        <w:jc w:val="center"/>
        <w:tblInd w:w="0" w:type="dxa"/>
        <w:tblLayout w:type="fixed"/>
        <w:tblCellMar>
          <w:top w:w="0" w:type="dxa"/>
          <w:left w:w="10" w:type="dxa"/>
          <w:bottom w:w="0" w:type="dxa"/>
          <w:right w:w="10" w:type="dxa"/>
        </w:tblCellMar>
      </w:tblPr>
      <w:tblGrid>
        <w:gridCol w:w="787"/>
        <w:gridCol w:w="1415"/>
        <w:gridCol w:w="1873"/>
        <w:gridCol w:w="1638"/>
        <w:gridCol w:w="3617"/>
      </w:tblGrid>
      <w:tr>
        <w:tblPrEx>
          <w:tblLayout w:type="fixed"/>
          <w:tblCellMar>
            <w:top w:w="0" w:type="dxa"/>
            <w:left w:w="10" w:type="dxa"/>
            <w:bottom w:w="0" w:type="dxa"/>
            <w:right w:w="10" w:type="dxa"/>
          </w:tblCellMar>
        </w:tblPrEx>
        <w:trPr>
          <w:cantSplit/>
          <w:trHeight w:val="521" w:hRule="atLeast"/>
          <w:jc w:val="center"/>
        </w:trPr>
        <w:tc>
          <w:tcPr>
            <w:tcW w:w="7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szCs w:val="21"/>
              </w:rPr>
            </w:pPr>
            <w:r>
              <w:rPr>
                <w:rFonts w:hint="eastAsia" w:ascii="宋体" w:hAnsi="宋体"/>
                <w:szCs w:val="21"/>
              </w:rPr>
              <w:t>序号</w:t>
            </w:r>
          </w:p>
        </w:tc>
        <w:tc>
          <w:tcPr>
            <w:tcW w:w="14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szCs w:val="21"/>
              </w:rPr>
            </w:pPr>
            <w:r>
              <w:rPr>
                <w:rFonts w:hint="eastAsia" w:ascii="宋体" w:hAnsi="宋体"/>
                <w:szCs w:val="21"/>
              </w:rPr>
              <w:t>项目名称</w:t>
            </w:r>
          </w:p>
        </w:tc>
        <w:tc>
          <w:tcPr>
            <w:tcW w:w="18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szCs w:val="21"/>
              </w:rPr>
            </w:pPr>
            <w:r>
              <w:rPr>
                <w:rFonts w:hint="eastAsia" w:ascii="宋体" w:hAnsi="宋体"/>
                <w:szCs w:val="21"/>
              </w:rPr>
              <w:t>项目实施时间</w:t>
            </w:r>
          </w:p>
        </w:tc>
        <w:tc>
          <w:tcPr>
            <w:tcW w:w="16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ind w:right="-139" w:rightChars="-58"/>
              <w:jc w:val="both"/>
              <w:rPr>
                <w:rFonts w:ascii="宋体"/>
                <w:szCs w:val="21"/>
              </w:rPr>
            </w:pPr>
            <w:r>
              <w:rPr>
                <w:rFonts w:hint="eastAsia" w:ascii="宋体" w:hAnsi="宋体"/>
                <w:szCs w:val="21"/>
              </w:rPr>
              <w:t>项目单位名称</w:t>
            </w:r>
          </w:p>
        </w:tc>
        <w:tc>
          <w:tcPr>
            <w:tcW w:w="36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szCs w:val="21"/>
              </w:rPr>
            </w:pPr>
            <w:r>
              <w:rPr>
                <w:rFonts w:hint="eastAsia" w:ascii="宋体" w:hAnsi="宋体"/>
                <w:szCs w:val="21"/>
              </w:rPr>
              <w:t>项目合同金额（单位：万元）</w:t>
            </w:r>
          </w:p>
        </w:tc>
      </w:tr>
      <w:tr>
        <w:tblPrEx>
          <w:tblLayout w:type="fixed"/>
          <w:tblCellMar>
            <w:top w:w="0" w:type="dxa"/>
            <w:left w:w="10" w:type="dxa"/>
            <w:bottom w:w="0" w:type="dxa"/>
            <w:right w:w="10" w:type="dxa"/>
          </w:tblCellMar>
        </w:tblPrEx>
        <w:trPr>
          <w:cantSplit/>
          <w:trHeight w:val="455" w:hRule="exact"/>
          <w:jc w:val="center"/>
        </w:trPr>
        <w:tc>
          <w:tcPr>
            <w:tcW w:w="7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4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6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36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cantSplit/>
          <w:trHeight w:val="455" w:hRule="exact"/>
          <w:jc w:val="center"/>
        </w:trPr>
        <w:tc>
          <w:tcPr>
            <w:tcW w:w="7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4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6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36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cantSplit/>
          <w:trHeight w:val="455" w:hRule="exact"/>
          <w:jc w:val="center"/>
        </w:trPr>
        <w:tc>
          <w:tcPr>
            <w:tcW w:w="7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4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6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36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cantSplit/>
          <w:trHeight w:val="455" w:hRule="exact"/>
          <w:jc w:val="center"/>
        </w:trPr>
        <w:tc>
          <w:tcPr>
            <w:tcW w:w="7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4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6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36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cantSplit/>
          <w:trHeight w:val="455" w:hRule="exact"/>
          <w:jc w:val="center"/>
        </w:trPr>
        <w:tc>
          <w:tcPr>
            <w:tcW w:w="7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4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6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36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cantSplit/>
          <w:trHeight w:val="455" w:hRule="exact"/>
          <w:jc w:val="center"/>
        </w:trPr>
        <w:tc>
          <w:tcPr>
            <w:tcW w:w="7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4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6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36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cantSplit/>
          <w:trHeight w:val="455" w:hRule="exact"/>
          <w:jc w:val="center"/>
        </w:trPr>
        <w:tc>
          <w:tcPr>
            <w:tcW w:w="7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4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6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36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cantSplit/>
          <w:trHeight w:val="465" w:hRule="exact"/>
          <w:jc w:val="center"/>
        </w:trPr>
        <w:tc>
          <w:tcPr>
            <w:tcW w:w="7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4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6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36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bl>
    <w:p>
      <w:pPr>
        <w:spacing w:line="360" w:lineRule="auto"/>
        <w:ind w:firstLine="480"/>
        <w:rPr>
          <w:rFonts w:ascii="宋体"/>
        </w:rPr>
      </w:pPr>
      <w:r>
        <w:rPr>
          <w:rFonts w:hint="eastAsia" w:ascii="宋体" w:hAnsi="宋体"/>
        </w:rPr>
        <w:t>注：提供</w:t>
      </w:r>
      <w:r>
        <w:rPr>
          <w:rFonts w:hint="eastAsia" w:ascii="宋体" w:hAnsi="宋体"/>
          <w:bCs/>
        </w:rPr>
        <w:t>近期具</w:t>
      </w:r>
      <w:r>
        <w:rPr>
          <w:rFonts w:hint="eastAsia" w:ascii="宋体" w:hAnsi="宋体"/>
        </w:rPr>
        <w:t>有类似项目实施经验。投标人应将合同复印件附后。</w:t>
      </w:r>
    </w:p>
    <w:p>
      <w:pPr>
        <w:tabs>
          <w:tab w:val="left" w:pos="4881"/>
        </w:tabs>
        <w:spacing w:before="33" w:line="360" w:lineRule="auto"/>
        <w:ind w:left="102" w:right="4125"/>
        <w:rPr>
          <w:rFonts w:cs="宋体"/>
          <w:spacing w:val="-1"/>
          <w:szCs w:val="24"/>
        </w:rPr>
      </w:pPr>
    </w:p>
    <w:p>
      <w:pPr>
        <w:tabs>
          <w:tab w:val="left" w:pos="4881"/>
        </w:tabs>
        <w:spacing w:before="33" w:line="360" w:lineRule="auto"/>
        <w:ind w:left="102" w:right="4125"/>
        <w:rPr>
          <w:rFonts w:cs="宋体"/>
          <w:szCs w:val="24"/>
          <w:u w:val="single"/>
        </w:rPr>
      </w:pPr>
      <w:r>
        <w:rPr>
          <w:rFonts w:hint="eastAsia" w:cs="宋体"/>
          <w:spacing w:val="-1"/>
          <w:szCs w:val="24"/>
        </w:rPr>
        <w:t>单位名称（盖章）</w:t>
      </w:r>
      <w:r>
        <w:rPr>
          <w:rFonts w:cs="宋体"/>
          <w:spacing w:val="-1"/>
          <w:szCs w:val="24"/>
        </w:rPr>
        <w:t>:</w:t>
      </w:r>
    </w:p>
    <w:p>
      <w:pPr>
        <w:tabs>
          <w:tab w:val="left" w:pos="4881"/>
        </w:tabs>
        <w:spacing w:before="33" w:line="360" w:lineRule="auto"/>
        <w:ind w:left="102" w:right="4125"/>
        <w:rPr>
          <w:rFonts w:cs="宋体"/>
          <w:spacing w:val="25"/>
          <w:szCs w:val="24"/>
        </w:rPr>
      </w:pPr>
      <w:r>
        <w:rPr>
          <w:rFonts w:hint="eastAsia" w:cs="宋体"/>
          <w:spacing w:val="-1"/>
          <w:szCs w:val="24"/>
        </w:rPr>
        <w:t>法人代表或授权代表签字</w:t>
      </w:r>
      <w:r>
        <w:rPr>
          <w:rFonts w:cs="宋体"/>
          <w:spacing w:val="-1"/>
          <w:szCs w:val="24"/>
        </w:rPr>
        <w:t>:</w:t>
      </w:r>
      <w:r>
        <w:rPr>
          <w:rFonts w:cs="宋体"/>
          <w:szCs w:val="24"/>
          <w:u w:val="single"/>
        </w:rPr>
        <w:tab/>
      </w:r>
    </w:p>
    <w:p>
      <w:pPr>
        <w:spacing w:line="360" w:lineRule="auto"/>
        <w:ind w:firstLine="117"/>
        <w:rPr>
          <w:rFonts w:ascii="宋体" w:cs="宋体"/>
          <w:b/>
          <w:sz w:val="28"/>
          <w:szCs w:val="28"/>
        </w:rPr>
      </w:pPr>
      <w:r>
        <w:rPr>
          <w:rFonts w:hint="eastAsia" w:ascii="宋体" w:hAnsi="宋体" w:cs="宋体"/>
          <w:spacing w:val="-1"/>
          <w:szCs w:val="24"/>
        </w:rPr>
        <w:t>日期</w:t>
      </w:r>
      <w:r>
        <w:rPr>
          <w:rFonts w:ascii="宋体" w:hAnsi="宋体" w:cs="宋体"/>
          <w:spacing w:val="-1"/>
          <w:szCs w:val="24"/>
        </w:rPr>
        <w:t>:</w:t>
      </w:r>
      <w:r>
        <w:rPr>
          <w:rFonts w:ascii="宋体" w:cs="宋体"/>
          <w:szCs w:val="24"/>
          <w:u w:val="single"/>
        </w:rPr>
        <w:tab/>
      </w:r>
    </w:p>
    <w:p>
      <w:pPr>
        <w:spacing w:line="360" w:lineRule="auto"/>
        <w:rPr>
          <w:rFonts w:ascii="宋体" w:cs="宋体"/>
          <w:b/>
          <w:szCs w:val="24"/>
        </w:rPr>
      </w:pPr>
      <w:r>
        <w:rPr>
          <w:rFonts w:hint="eastAsia" w:ascii="宋体" w:hAnsi="宋体" w:cs="宋体"/>
          <w:b/>
          <w:szCs w:val="24"/>
        </w:rPr>
        <w:t>附：合同复印件。</w:t>
      </w:r>
    </w:p>
    <w:p>
      <w:pPr>
        <w:spacing w:line="360" w:lineRule="auto"/>
        <w:rPr>
          <w:rFonts w:ascii="宋体" w:cs="宋体"/>
          <w:b/>
          <w:sz w:val="28"/>
          <w:szCs w:val="28"/>
        </w:rPr>
      </w:pPr>
    </w:p>
    <w:p>
      <w:pPr>
        <w:spacing w:line="362" w:lineRule="auto"/>
        <w:rPr>
          <w:rFonts w:cs="宋体"/>
          <w:b/>
          <w:sz w:val="32"/>
          <w:szCs w:val="32"/>
        </w:rPr>
      </w:pPr>
    </w:p>
    <w:p>
      <w:pPr>
        <w:spacing w:line="362" w:lineRule="auto"/>
        <w:rPr>
          <w:rFonts w:cs="宋体"/>
          <w:b/>
          <w:sz w:val="32"/>
          <w:szCs w:val="32"/>
        </w:rPr>
      </w:pPr>
    </w:p>
    <w:p>
      <w:pPr>
        <w:spacing w:line="362" w:lineRule="auto"/>
        <w:rPr>
          <w:rFonts w:cs="宋体"/>
          <w:b/>
          <w:sz w:val="32"/>
          <w:szCs w:val="32"/>
        </w:rPr>
      </w:pPr>
    </w:p>
    <w:p>
      <w:pPr>
        <w:spacing w:line="362" w:lineRule="auto"/>
        <w:rPr>
          <w:rFonts w:cs="宋体"/>
          <w:b/>
          <w:sz w:val="32"/>
          <w:szCs w:val="32"/>
        </w:rPr>
      </w:pPr>
    </w:p>
    <w:p>
      <w:pPr>
        <w:spacing w:line="362" w:lineRule="auto"/>
        <w:rPr>
          <w:rFonts w:ascii="宋体" w:cs="宋体"/>
          <w:szCs w:val="24"/>
        </w:rPr>
      </w:pPr>
      <w:r>
        <w:br w:type="page"/>
      </w:r>
      <w:bookmarkStart w:id="217" w:name="_Toc448307981"/>
      <w:bookmarkEnd w:id="217"/>
      <w:bookmarkStart w:id="218" w:name="_Toc431307807"/>
      <w:bookmarkEnd w:id="218"/>
      <w:r>
        <w:rPr>
          <w:rFonts w:hint="eastAsia" w:ascii="宋体" w:hAnsi="宋体" w:cs="宋体"/>
          <w:b/>
          <w:bCs/>
          <w:szCs w:val="24"/>
        </w:rPr>
        <w:t>格式12</w:t>
      </w:r>
    </w:p>
    <w:p>
      <w:pPr>
        <w:spacing w:line="360" w:lineRule="auto"/>
        <w:jc w:val="center"/>
        <w:rPr>
          <w:rFonts w:ascii="宋体"/>
          <w:b/>
          <w:sz w:val="32"/>
          <w:szCs w:val="32"/>
        </w:rPr>
      </w:pPr>
      <w:r>
        <w:rPr>
          <w:rFonts w:hint="eastAsia" w:ascii="宋体" w:hAnsi="宋体"/>
          <w:b/>
          <w:sz w:val="32"/>
          <w:szCs w:val="32"/>
        </w:rPr>
        <w:t>项目实施人员一览表</w:t>
      </w:r>
    </w:p>
    <w:tbl>
      <w:tblPr>
        <w:tblStyle w:val="31"/>
        <w:tblW w:w="9639" w:type="dxa"/>
        <w:tblInd w:w="98" w:type="dxa"/>
        <w:tblLayout w:type="fixed"/>
        <w:tblCellMar>
          <w:top w:w="0" w:type="dxa"/>
          <w:left w:w="10" w:type="dxa"/>
          <w:bottom w:w="0" w:type="dxa"/>
          <w:right w:w="10" w:type="dxa"/>
        </w:tblCellMar>
      </w:tblPr>
      <w:tblGrid>
        <w:gridCol w:w="1134"/>
        <w:gridCol w:w="993"/>
        <w:gridCol w:w="1701"/>
        <w:gridCol w:w="1559"/>
        <w:gridCol w:w="2410"/>
        <w:gridCol w:w="1842"/>
      </w:tblGrid>
      <w:tr>
        <w:tblPrEx>
          <w:tblLayout w:type="fixed"/>
          <w:tblCellMar>
            <w:top w:w="0" w:type="dxa"/>
            <w:left w:w="10" w:type="dxa"/>
            <w:bottom w:w="0" w:type="dxa"/>
            <w:right w:w="10" w:type="dxa"/>
          </w:tblCellMar>
        </w:tblPrEx>
        <w:trPr>
          <w:trHeight w:val="789" w:hRule="exact"/>
        </w:trPr>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szCs w:val="21"/>
              </w:rPr>
            </w:pPr>
            <w:r>
              <w:rPr>
                <w:rFonts w:hint="eastAsia" w:ascii="宋体" w:hAnsi="宋体"/>
                <w:szCs w:val="21"/>
              </w:rPr>
              <w:t>姓名</w:t>
            </w: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szCs w:val="21"/>
              </w:rPr>
            </w:pPr>
            <w:r>
              <w:rPr>
                <w:rFonts w:hint="eastAsia" w:ascii="宋体" w:hAnsi="宋体"/>
                <w:szCs w:val="21"/>
              </w:rPr>
              <w:t>职务</w:t>
            </w: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szCs w:val="21"/>
              </w:rPr>
            </w:pPr>
            <w:r>
              <w:rPr>
                <w:rFonts w:hint="eastAsia" w:ascii="宋体" w:hAnsi="宋体"/>
                <w:szCs w:val="21"/>
              </w:rPr>
              <w:t>专业技术资格</w:t>
            </w: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szCs w:val="21"/>
              </w:rPr>
            </w:pPr>
            <w:r>
              <w:rPr>
                <w:rFonts w:hint="eastAsia" w:ascii="宋体" w:hAnsi="宋体"/>
                <w:szCs w:val="21"/>
              </w:rPr>
              <w:t>证书编号</w:t>
            </w: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szCs w:val="21"/>
              </w:rPr>
            </w:pPr>
            <w:r>
              <w:rPr>
                <w:rFonts w:hint="eastAsia" w:ascii="宋体" w:hAnsi="宋体"/>
                <w:szCs w:val="21"/>
              </w:rPr>
              <w:t>参加工作时间</w:t>
            </w:r>
          </w:p>
        </w:tc>
        <w:tc>
          <w:tcPr>
            <w:tcW w:w="1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szCs w:val="21"/>
              </w:rPr>
            </w:pPr>
            <w:r>
              <w:rPr>
                <w:rFonts w:hint="eastAsia" w:ascii="宋体"/>
                <w:szCs w:val="21"/>
              </w:rPr>
              <w:t>备注</w:t>
            </w:r>
          </w:p>
        </w:tc>
      </w:tr>
      <w:tr>
        <w:tblPrEx>
          <w:tblLayout w:type="fixed"/>
          <w:tblCellMar>
            <w:top w:w="0" w:type="dxa"/>
            <w:left w:w="10" w:type="dxa"/>
            <w:bottom w:w="0" w:type="dxa"/>
            <w:right w:w="10" w:type="dxa"/>
          </w:tblCellMar>
        </w:tblPrEx>
        <w:trPr>
          <w:trHeight w:val="567" w:hRule="exact"/>
        </w:trPr>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trHeight w:val="567" w:hRule="exact"/>
        </w:trPr>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trHeight w:val="567" w:hRule="exact"/>
        </w:trPr>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trHeight w:val="567" w:hRule="exact"/>
        </w:trPr>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trHeight w:val="567" w:hRule="exact"/>
        </w:trPr>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trHeight w:val="567" w:hRule="exact"/>
        </w:trPr>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trHeight w:val="567" w:hRule="exact"/>
        </w:trPr>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trHeight w:val="567" w:hRule="exact"/>
        </w:trPr>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trHeight w:val="567" w:hRule="exact"/>
        </w:trPr>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trHeight w:val="567" w:hRule="exact"/>
        </w:trPr>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trHeight w:val="567" w:hRule="exact"/>
        </w:trPr>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trHeight w:val="567" w:hRule="exact"/>
        </w:trPr>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bl>
    <w:p>
      <w:pPr>
        <w:spacing w:before="50" w:line="360" w:lineRule="auto"/>
        <w:rPr>
          <w:rFonts w:ascii="宋体"/>
          <w:szCs w:val="21"/>
        </w:rPr>
      </w:pPr>
      <w:r>
        <w:rPr>
          <w:rFonts w:hint="eastAsia" w:ascii="宋体" w:hAnsi="宋体"/>
          <w:szCs w:val="21"/>
        </w:rPr>
        <w:t>注：在填写时，可根据本表格式自行划表填写。附相关证书复印件。</w:t>
      </w:r>
    </w:p>
    <w:p>
      <w:pPr>
        <w:tabs>
          <w:tab w:val="left" w:pos="4881"/>
        </w:tabs>
        <w:spacing w:before="33" w:line="360" w:lineRule="auto"/>
        <w:ind w:left="102" w:right="4125"/>
        <w:rPr>
          <w:rFonts w:cs="宋体"/>
          <w:spacing w:val="-1"/>
          <w:szCs w:val="24"/>
        </w:rPr>
      </w:pPr>
    </w:p>
    <w:p>
      <w:pPr>
        <w:tabs>
          <w:tab w:val="left" w:pos="4881"/>
        </w:tabs>
        <w:spacing w:before="33" w:line="360" w:lineRule="auto"/>
        <w:ind w:left="102" w:right="4125"/>
        <w:rPr>
          <w:rFonts w:cs="宋体"/>
          <w:szCs w:val="24"/>
          <w:u w:val="single"/>
        </w:rPr>
      </w:pPr>
      <w:r>
        <w:rPr>
          <w:rFonts w:hint="eastAsia" w:cs="宋体"/>
          <w:spacing w:val="-1"/>
          <w:szCs w:val="24"/>
        </w:rPr>
        <w:t>单位名称（盖章）</w:t>
      </w:r>
      <w:r>
        <w:rPr>
          <w:rFonts w:cs="宋体"/>
          <w:spacing w:val="-1"/>
          <w:szCs w:val="24"/>
        </w:rPr>
        <w:t>:</w:t>
      </w:r>
    </w:p>
    <w:p>
      <w:pPr>
        <w:tabs>
          <w:tab w:val="left" w:pos="4881"/>
        </w:tabs>
        <w:spacing w:before="33" w:line="360" w:lineRule="auto"/>
        <w:ind w:left="102" w:right="4125"/>
        <w:rPr>
          <w:rFonts w:cs="宋体"/>
          <w:szCs w:val="24"/>
          <w:u w:val="single"/>
        </w:rPr>
      </w:pPr>
      <w:r>
        <w:rPr>
          <w:rFonts w:hint="eastAsia" w:cs="宋体"/>
          <w:spacing w:val="-1"/>
          <w:szCs w:val="24"/>
        </w:rPr>
        <w:t>法人代表或授权代表签字</w:t>
      </w:r>
      <w:r>
        <w:rPr>
          <w:rFonts w:cs="宋体"/>
          <w:spacing w:val="-1"/>
          <w:szCs w:val="24"/>
        </w:rPr>
        <w:t>:</w:t>
      </w:r>
      <w:r>
        <w:rPr>
          <w:rFonts w:cs="宋体"/>
          <w:szCs w:val="24"/>
          <w:u w:val="single"/>
        </w:rPr>
        <w:tab/>
      </w:r>
    </w:p>
    <w:p>
      <w:pPr>
        <w:tabs>
          <w:tab w:val="left" w:pos="4881"/>
        </w:tabs>
        <w:spacing w:before="33" w:line="360" w:lineRule="auto"/>
        <w:ind w:left="102" w:right="4125"/>
        <w:rPr>
          <w:rFonts w:ascii="宋体" w:cs="宋体"/>
          <w:b/>
          <w:sz w:val="28"/>
          <w:szCs w:val="28"/>
        </w:rPr>
      </w:pPr>
      <w:r>
        <w:rPr>
          <w:rFonts w:hint="eastAsia" w:ascii="宋体" w:hAnsi="宋体" w:cs="宋体"/>
          <w:spacing w:val="-1"/>
          <w:szCs w:val="24"/>
        </w:rPr>
        <w:t>日期</w:t>
      </w:r>
      <w:r>
        <w:rPr>
          <w:rFonts w:ascii="宋体" w:hAnsi="宋体" w:cs="宋体"/>
          <w:spacing w:val="-1"/>
          <w:szCs w:val="24"/>
        </w:rPr>
        <w:t>:</w:t>
      </w:r>
      <w:r>
        <w:rPr>
          <w:rFonts w:ascii="宋体" w:cs="宋体"/>
          <w:szCs w:val="24"/>
          <w:u w:val="single"/>
        </w:rPr>
        <w:tab/>
      </w:r>
    </w:p>
    <w:p>
      <w:pPr>
        <w:pStyle w:val="27"/>
        <w:jc w:val="both"/>
        <w:rPr>
          <w:rFonts w:ascii="宋体" w:cs="宋体"/>
          <w:szCs w:val="28"/>
        </w:rPr>
      </w:pPr>
    </w:p>
    <w:p>
      <w:pPr>
        <w:rPr>
          <w:rFonts w:ascii="宋体" w:cs="宋体"/>
          <w:szCs w:val="24"/>
        </w:rPr>
      </w:pPr>
      <w:r>
        <w:br w:type="page"/>
      </w:r>
      <w:r>
        <w:rPr>
          <w:rFonts w:hint="eastAsia" w:ascii="宋体" w:hAnsi="宋体" w:cs="宋体"/>
          <w:b/>
          <w:bCs/>
          <w:szCs w:val="24"/>
        </w:rPr>
        <w:t>格式</w:t>
      </w:r>
      <w:r>
        <w:rPr>
          <w:rFonts w:ascii="宋体" w:hAnsi="宋体" w:cs="宋体"/>
          <w:b/>
          <w:bCs/>
          <w:szCs w:val="24"/>
        </w:rPr>
        <w:t>1</w:t>
      </w:r>
      <w:bookmarkStart w:id="219" w:name="_Toc431307808"/>
      <w:bookmarkEnd w:id="219"/>
      <w:bookmarkStart w:id="220" w:name="_Toc448307990"/>
      <w:bookmarkEnd w:id="220"/>
      <w:r>
        <w:rPr>
          <w:rFonts w:hint="eastAsia" w:ascii="宋体" w:hAnsi="宋体" w:cs="宋体"/>
          <w:b/>
          <w:bCs/>
          <w:szCs w:val="24"/>
        </w:rPr>
        <w:t>3</w:t>
      </w:r>
    </w:p>
    <w:p>
      <w:pPr>
        <w:pStyle w:val="27"/>
        <w:jc w:val="center"/>
        <w:rPr>
          <w:rFonts w:ascii="宋体" w:cs="宋体"/>
          <w:sz w:val="32"/>
          <w:szCs w:val="32"/>
        </w:rPr>
      </w:pPr>
      <w:r>
        <w:rPr>
          <w:rFonts w:hint="eastAsia" w:ascii="宋体" w:hAnsi="宋体" w:cs="宋体"/>
          <w:sz w:val="32"/>
          <w:szCs w:val="32"/>
        </w:rPr>
        <w:t>无重大违法记录声明</w:t>
      </w:r>
    </w:p>
    <w:p>
      <w:pPr>
        <w:rPr>
          <w:rFonts w:ascii="宋体" w:cs="宋体"/>
        </w:rPr>
      </w:pPr>
    </w:p>
    <w:p>
      <w:pPr>
        <w:rPr>
          <w:rFonts w:ascii="宋体" w:cs="宋体"/>
        </w:rPr>
      </w:pPr>
    </w:p>
    <w:p>
      <w:pPr>
        <w:spacing w:before="120" w:beforeLines="50" w:after="120"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120" w:beforeLines="50" w:after="120" w:afterLines="50" w:line="360" w:lineRule="auto"/>
        <w:ind w:firstLine="480" w:firstLineChars="200"/>
        <w:rPr>
          <w:rFonts w:cs="宋体" w:asciiTheme="minorEastAsia" w:hAnsiTheme="minorEastAsia"/>
          <w:szCs w:val="24"/>
          <w:lang w:val="zh-CN"/>
        </w:rPr>
      </w:pPr>
      <w:r>
        <w:rPr>
          <w:rFonts w:hint="eastAsia" w:cs="宋体" w:asciiTheme="minorEastAsia" w:hAnsiTheme="minorEastAsia"/>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20" w:beforeLines="50" w:after="120" w:afterLines="50" w:line="360" w:lineRule="auto"/>
        <w:rPr>
          <w:rFonts w:cs="宋体" w:asciiTheme="minorEastAsia" w:hAnsiTheme="minorEastAsia"/>
          <w:szCs w:val="24"/>
          <w:lang w:val="zh-CN"/>
        </w:rPr>
      </w:pPr>
      <w:r>
        <w:rPr>
          <w:rFonts w:hint="eastAsia" w:cs="宋体" w:asciiTheme="minorEastAsia" w:hAnsiTheme="minorEastAsia"/>
          <w:szCs w:val="24"/>
          <w:lang w:val="zh-CN"/>
        </w:rPr>
        <w:t>特此声明。</w:t>
      </w:r>
    </w:p>
    <w:p>
      <w:pPr>
        <w:spacing w:before="120" w:beforeLines="50" w:after="120" w:afterLines="50" w:line="360" w:lineRule="auto"/>
        <w:ind w:firstLine="480" w:firstLineChars="200"/>
        <w:rPr>
          <w:rFonts w:cs="宋体" w:asciiTheme="minorEastAsia" w:hAnsiTheme="minorEastAsia"/>
          <w:szCs w:val="24"/>
          <w:lang w:val="zh-CN"/>
        </w:rPr>
      </w:pPr>
      <w:r>
        <w:rPr>
          <w:rFonts w:hint="eastAsia" w:cs="宋体" w:asciiTheme="minorEastAsia" w:hAnsiTheme="minorEastAsia"/>
          <w:szCs w:val="24"/>
          <w:lang w:val="zh-CN"/>
        </w:rPr>
        <w:t>本公司对上述声明的真实性负责。如有虚假，将依法承担相应责任。</w:t>
      </w:r>
    </w:p>
    <w:p>
      <w:pPr>
        <w:spacing w:before="120" w:beforeLines="50" w:after="120" w:afterLines="50" w:line="360" w:lineRule="auto"/>
        <w:ind w:firstLine="566" w:firstLineChars="236"/>
        <w:rPr>
          <w:rFonts w:cs="宋体" w:asciiTheme="minorEastAsia" w:hAnsiTheme="minorEastAsia"/>
          <w:szCs w:val="24"/>
          <w:lang w:val="zh-CN"/>
        </w:rPr>
      </w:pPr>
    </w:p>
    <w:p>
      <w:pPr>
        <w:spacing w:before="120" w:beforeLines="50" w:after="120" w:afterLines="50" w:line="360" w:lineRule="auto"/>
        <w:ind w:right="420" w:firstLine="5486" w:firstLineChars="2286"/>
        <w:rPr>
          <w:rFonts w:cs="宋体" w:asciiTheme="minorEastAsia" w:hAnsiTheme="minorEastAsia"/>
          <w:szCs w:val="24"/>
          <w:lang w:val="zh-CN"/>
        </w:rPr>
      </w:pPr>
      <w:r>
        <w:rPr>
          <w:rFonts w:hint="eastAsia" w:cs="宋体" w:asciiTheme="minorEastAsia" w:hAnsiTheme="minorEastAsia"/>
          <w:szCs w:val="24"/>
          <w:lang w:val="zh-CN"/>
        </w:rPr>
        <w:t>单位名称（盖章）：</w:t>
      </w:r>
    </w:p>
    <w:p>
      <w:pPr>
        <w:spacing w:before="120" w:beforeLines="50" w:after="120" w:afterLines="50" w:line="360" w:lineRule="auto"/>
        <w:ind w:right="420" w:firstLine="5486" w:firstLineChars="2286"/>
        <w:rPr>
          <w:rFonts w:cs="宋体" w:asciiTheme="minorEastAsia" w:hAnsiTheme="minorEastAsia"/>
          <w:szCs w:val="24"/>
          <w:lang w:val="zh-CN"/>
        </w:rPr>
      </w:pPr>
      <w:r>
        <w:rPr>
          <w:rFonts w:hint="eastAsia" w:cs="宋体" w:asciiTheme="minorEastAsia" w:hAnsiTheme="minorEastAsia"/>
          <w:szCs w:val="24"/>
          <w:lang w:val="zh-CN"/>
        </w:rPr>
        <w:t>日    期：</w:t>
      </w:r>
    </w:p>
    <w:p>
      <w:pPr>
        <w:spacing w:line="480" w:lineRule="exact"/>
        <w:rPr>
          <w:rFonts w:ascii="宋体"/>
          <w:b/>
          <w:bCs/>
          <w:sz w:val="36"/>
          <w:szCs w:val="36"/>
        </w:rPr>
      </w:pPr>
    </w:p>
    <w:p>
      <w:pPr>
        <w:spacing w:line="480" w:lineRule="exact"/>
        <w:rPr>
          <w:rFonts w:ascii="宋体"/>
          <w:b/>
          <w:bCs/>
          <w:sz w:val="36"/>
          <w:szCs w:val="36"/>
        </w:rPr>
      </w:pPr>
    </w:p>
    <w:p>
      <w:pPr>
        <w:spacing w:line="480" w:lineRule="exact"/>
        <w:rPr>
          <w:rFonts w:ascii="宋体"/>
          <w:b/>
          <w:bCs/>
          <w:sz w:val="36"/>
          <w:szCs w:val="36"/>
        </w:rPr>
      </w:pPr>
    </w:p>
    <w:p>
      <w:pPr>
        <w:spacing w:line="480" w:lineRule="exact"/>
        <w:rPr>
          <w:rFonts w:ascii="宋体"/>
          <w:b/>
          <w:bCs/>
          <w:sz w:val="36"/>
          <w:szCs w:val="36"/>
        </w:rPr>
      </w:pPr>
    </w:p>
    <w:p>
      <w:pPr>
        <w:spacing w:line="480" w:lineRule="exact"/>
        <w:rPr>
          <w:rFonts w:ascii="宋体"/>
          <w:b/>
          <w:bCs/>
          <w:sz w:val="36"/>
          <w:szCs w:val="36"/>
        </w:rPr>
      </w:pPr>
    </w:p>
    <w:p>
      <w:pPr>
        <w:spacing w:line="480" w:lineRule="exact"/>
        <w:rPr>
          <w:rFonts w:ascii="宋体"/>
          <w:b/>
          <w:bCs/>
          <w:sz w:val="36"/>
          <w:szCs w:val="36"/>
        </w:rPr>
      </w:pPr>
    </w:p>
    <w:p>
      <w:pPr>
        <w:spacing w:line="480" w:lineRule="exact"/>
        <w:rPr>
          <w:rFonts w:ascii="宋体"/>
          <w:b/>
          <w:bCs/>
          <w:sz w:val="36"/>
          <w:szCs w:val="36"/>
        </w:rPr>
      </w:pPr>
    </w:p>
    <w:p>
      <w:pPr>
        <w:spacing w:line="480" w:lineRule="exact"/>
        <w:rPr>
          <w:rFonts w:ascii="宋体" w:cs="宋体"/>
          <w:szCs w:val="24"/>
        </w:rPr>
      </w:pPr>
      <w:r>
        <w:br w:type="page"/>
      </w:r>
      <w:r>
        <w:rPr>
          <w:rFonts w:hint="eastAsia" w:ascii="宋体" w:hAnsi="宋体" w:cs="宋体"/>
          <w:b/>
          <w:bCs/>
          <w:szCs w:val="24"/>
        </w:rPr>
        <w:t>格式</w:t>
      </w:r>
      <w:r>
        <w:rPr>
          <w:rFonts w:ascii="宋体" w:hAnsi="宋体" w:cs="宋体"/>
          <w:b/>
          <w:bCs/>
          <w:szCs w:val="24"/>
        </w:rPr>
        <w:t>1</w:t>
      </w:r>
      <w:r>
        <w:rPr>
          <w:rFonts w:hint="eastAsia" w:ascii="宋体" w:hAnsi="宋体" w:cs="宋体"/>
          <w:b/>
          <w:bCs/>
          <w:szCs w:val="24"/>
        </w:rPr>
        <w:t>4</w:t>
      </w:r>
    </w:p>
    <w:p>
      <w:pPr>
        <w:spacing w:line="480" w:lineRule="exact"/>
        <w:rPr>
          <w:rFonts w:ascii="宋体"/>
          <w:b/>
          <w:bCs/>
          <w:sz w:val="36"/>
          <w:szCs w:val="36"/>
        </w:rPr>
      </w:pPr>
    </w:p>
    <w:p>
      <w:pPr>
        <w:pStyle w:val="27"/>
        <w:jc w:val="center"/>
        <w:rPr>
          <w:rFonts w:ascii="宋体" w:hAnsi="宋体" w:cs="宋体"/>
          <w:sz w:val="32"/>
          <w:szCs w:val="32"/>
        </w:rPr>
      </w:pPr>
      <w:r>
        <w:rPr>
          <w:rFonts w:hint="eastAsia" w:ascii="宋体" w:hAnsi="宋体" w:cs="宋体"/>
          <w:sz w:val="32"/>
          <w:szCs w:val="32"/>
        </w:rPr>
        <w:t>财务报告或财务报表、缴纳税收和社会保障资金证明材料</w:t>
      </w:r>
    </w:p>
    <w:p>
      <w:pPr>
        <w:spacing w:before="60" w:line="320" w:lineRule="exact"/>
        <w:rPr>
          <w:rFonts w:ascii="宋体" w:cs="Arial"/>
          <w:b/>
          <w:szCs w:val="24"/>
        </w:rPr>
      </w:pPr>
    </w:p>
    <w:p>
      <w:pPr>
        <w:spacing w:before="60" w:line="320" w:lineRule="exact"/>
        <w:rPr>
          <w:rFonts w:ascii="宋体" w:cs="Arial"/>
          <w:b/>
          <w:szCs w:val="24"/>
        </w:rPr>
      </w:pPr>
    </w:p>
    <w:p>
      <w:pPr>
        <w:spacing w:before="60" w:line="320" w:lineRule="exact"/>
        <w:rPr>
          <w:rFonts w:ascii="宋体" w:cs="Arial"/>
          <w:b/>
          <w:szCs w:val="24"/>
        </w:rPr>
      </w:pPr>
    </w:p>
    <w:p>
      <w:pPr>
        <w:spacing w:before="60" w:line="320" w:lineRule="exact"/>
        <w:rPr>
          <w:rFonts w:ascii="宋体" w:cs="Arial"/>
          <w:b/>
          <w:szCs w:val="24"/>
        </w:rPr>
      </w:pPr>
    </w:p>
    <w:p>
      <w:pPr>
        <w:spacing w:line="480" w:lineRule="exact"/>
        <w:rPr>
          <w:b/>
          <w:szCs w:val="24"/>
        </w:rPr>
      </w:pPr>
      <w:r>
        <w:br w:type="page"/>
      </w:r>
    </w:p>
    <w:p>
      <w:pPr>
        <w:pStyle w:val="27"/>
        <w:jc w:val="both"/>
        <w:rPr>
          <w:rFonts w:ascii="宋体" w:cs="宋体"/>
          <w:sz w:val="24"/>
          <w:szCs w:val="24"/>
        </w:rPr>
      </w:pPr>
      <w:r>
        <w:rPr>
          <w:rFonts w:hint="eastAsia" w:ascii="宋体" w:hAnsi="宋体" w:cs="宋体"/>
          <w:sz w:val="24"/>
          <w:szCs w:val="24"/>
        </w:rPr>
        <w:t>格式</w:t>
      </w:r>
      <w:r>
        <w:rPr>
          <w:rFonts w:ascii="宋体" w:hAnsi="宋体" w:cs="宋体"/>
          <w:sz w:val="24"/>
          <w:szCs w:val="24"/>
        </w:rPr>
        <w:t>1</w:t>
      </w:r>
      <w:r>
        <w:rPr>
          <w:rFonts w:hint="eastAsia" w:ascii="宋体" w:hAnsi="宋体" w:cs="宋体"/>
          <w:sz w:val="24"/>
          <w:szCs w:val="24"/>
        </w:rPr>
        <w:t>5</w:t>
      </w:r>
    </w:p>
    <w:p>
      <w:pPr>
        <w:pStyle w:val="27"/>
        <w:jc w:val="center"/>
        <w:rPr>
          <w:rFonts w:ascii="宋体" w:cs="宋体"/>
          <w:sz w:val="36"/>
          <w:szCs w:val="36"/>
        </w:rPr>
      </w:pPr>
      <w:r>
        <w:rPr>
          <w:rFonts w:hint="eastAsia" w:ascii="宋体" w:hAnsi="宋体" w:cs="宋体"/>
          <w:sz w:val="36"/>
          <w:szCs w:val="36"/>
        </w:rPr>
        <w:t>具有履行合同所必需的设备和专业技术能力承诺书</w:t>
      </w:r>
    </w:p>
    <w:p>
      <w:pPr>
        <w:jc w:val="center"/>
      </w:pPr>
      <w:r>
        <w:rPr>
          <w:rFonts w:hint="eastAsia"/>
        </w:rPr>
        <w:t>内容</w:t>
      </w:r>
      <w:r>
        <w:rPr>
          <w:rFonts w:hint="eastAsia" w:ascii="宋体" w:hAnsi="宋体" w:cs="宋体"/>
          <w:szCs w:val="24"/>
        </w:rPr>
        <w:t>格式</w:t>
      </w:r>
      <w:r>
        <w:rPr>
          <w:rFonts w:hint="eastAsia"/>
        </w:rPr>
        <w:t>自定</w:t>
      </w:r>
    </w:p>
    <w:p>
      <w:pPr>
        <w:ind w:firstLine="480"/>
      </w:pPr>
    </w:p>
    <w:p>
      <w:pPr>
        <w:ind w:firstLine="480"/>
      </w:pPr>
    </w:p>
    <w:p>
      <w:pPr>
        <w:ind w:firstLine="480"/>
      </w:pPr>
    </w:p>
    <w:p>
      <w:pPr>
        <w:tabs>
          <w:tab w:val="left" w:pos="4881"/>
        </w:tabs>
        <w:spacing w:line="360" w:lineRule="auto"/>
        <w:ind w:right="4125" w:firstLine="476"/>
        <w:rPr>
          <w:rFonts w:cs="宋体"/>
          <w:szCs w:val="24"/>
          <w:u w:val="single"/>
        </w:rPr>
      </w:pPr>
      <w:r>
        <w:rPr>
          <w:rFonts w:hint="eastAsia" w:cs="宋体"/>
          <w:spacing w:val="-1"/>
          <w:szCs w:val="24"/>
        </w:rPr>
        <w:t>单位名称（盖章）</w:t>
      </w:r>
      <w:r>
        <w:rPr>
          <w:rFonts w:cs="宋体"/>
          <w:spacing w:val="-1"/>
          <w:szCs w:val="24"/>
        </w:rPr>
        <w:t>:</w:t>
      </w:r>
    </w:p>
    <w:p>
      <w:pPr>
        <w:tabs>
          <w:tab w:val="left" w:pos="4881"/>
        </w:tabs>
        <w:spacing w:line="360" w:lineRule="auto"/>
        <w:ind w:right="4125" w:firstLine="476"/>
        <w:rPr>
          <w:rFonts w:cs="宋体"/>
          <w:spacing w:val="25"/>
          <w:szCs w:val="24"/>
        </w:rPr>
      </w:pPr>
      <w:r>
        <w:rPr>
          <w:rFonts w:hint="eastAsia" w:cs="宋体"/>
          <w:spacing w:val="-1"/>
          <w:szCs w:val="24"/>
        </w:rPr>
        <w:t>法人代表或授权代表签字</w:t>
      </w:r>
      <w:r>
        <w:rPr>
          <w:rFonts w:cs="宋体"/>
          <w:spacing w:val="-1"/>
          <w:szCs w:val="24"/>
        </w:rPr>
        <w:t>:</w:t>
      </w:r>
      <w:r>
        <w:rPr>
          <w:rFonts w:cs="宋体"/>
          <w:szCs w:val="24"/>
          <w:u w:val="single"/>
        </w:rPr>
        <w:tab/>
      </w:r>
    </w:p>
    <w:p>
      <w:pPr>
        <w:tabs>
          <w:tab w:val="left" w:pos="4401"/>
        </w:tabs>
        <w:spacing w:line="360" w:lineRule="auto"/>
        <w:ind w:right="4125" w:firstLine="476"/>
        <w:rPr>
          <w:rFonts w:cs="宋体"/>
          <w:szCs w:val="24"/>
        </w:rPr>
      </w:pPr>
      <w:r>
        <w:rPr>
          <w:rFonts w:hint="eastAsia" w:cs="宋体"/>
          <w:spacing w:val="-1"/>
          <w:szCs w:val="24"/>
        </w:rPr>
        <w:t>日期</w:t>
      </w:r>
      <w:r>
        <w:rPr>
          <w:rFonts w:cs="宋体"/>
          <w:spacing w:val="-1"/>
          <w:szCs w:val="24"/>
        </w:rPr>
        <w:t>:</w:t>
      </w:r>
      <w:r>
        <w:rPr>
          <w:rFonts w:cs="宋体"/>
          <w:szCs w:val="24"/>
          <w:u w:val="single"/>
        </w:rPr>
        <w:tab/>
      </w:r>
    </w:p>
    <w:p>
      <w:pPr>
        <w:ind w:firstLine="480"/>
      </w:pPr>
    </w:p>
    <w:p>
      <w:pPr>
        <w:ind w:firstLine="480"/>
      </w:pPr>
    </w:p>
    <w:p>
      <w:pPr>
        <w:ind w:firstLine="480"/>
      </w:pPr>
    </w:p>
    <w:p>
      <w:pPr>
        <w:ind w:firstLine="480"/>
      </w:pPr>
    </w:p>
    <w:p>
      <w:pPr>
        <w:ind w:firstLine="480"/>
      </w:pPr>
      <w:r>
        <w:br w:type="page"/>
      </w:r>
    </w:p>
    <w:p>
      <w:pPr>
        <w:pStyle w:val="27"/>
        <w:jc w:val="both"/>
        <w:rPr>
          <w:rFonts w:ascii="宋体" w:cs="宋体"/>
          <w:sz w:val="24"/>
          <w:szCs w:val="24"/>
        </w:rPr>
      </w:pPr>
      <w:r>
        <w:rPr>
          <w:rFonts w:hint="eastAsia" w:ascii="宋体" w:hAnsi="宋体" w:cs="宋体"/>
          <w:sz w:val="24"/>
          <w:szCs w:val="24"/>
        </w:rPr>
        <w:t>格式</w:t>
      </w:r>
      <w:r>
        <w:rPr>
          <w:rFonts w:ascii="宋体" w:hAnsi="宋体" w:cs="宋体"/>
          <w:sz w:val="24"/>
          <w:szCs w:val="24"/>
        </w:rPr>
        <w:t>1</w:t>
      </w:r>
      <w:r>
        <w:rPr>
          <w:rFonts w:hint="eastAsia" w:ascii="宋体" w:hAnsi="宋体" w:cs="宋体"/>
          <w:sz w:val="24"/>
          <w:szCs w:val="24"/>
        </w:rPr>
        <w:t>6</w:t>
      </w:r>
    </w:p>
    <w:p>
      <w:pPr>
        <w:pStyle w:val="27"/>
        <w:jc w:val="center"/>
        <w:rPr>
          <w:rFonts w:ascii="宋体" w:cs="宋体"/>
          <w:sz w:val="36"/>
          <w:szCs w:val="36"/>
        </w:rPr>
      </w:pPr>
      <w:r>
        <w:rPr>
          <w:rFonts w:hint="eastAsia" w:ascii="宋体" w:hAnsi="宋体" w:cs="宋体"/>
          <w:sz w:val="36"/>
          <w:szCs w:val="36"/>
        </w:rPr>
        <w:t>供应商拟定的项目实施方案(技术方案)</w:t>
      </w:r>
    </w:p>
    <w:p>
      <w:pPr>
        <w:spacing w:line="362" w:lineRule="auto"/>
        <w:ind w:firstLine="460"/>
        <w:rPr>
          <w:rFonts w:cs="宋体"/>
        </w:rPr>
      </w:pPr>
    </w:p>
    <w:p>
      <w:pPr>
        <w:spacing w:line="360" w:lineRule="auto"/>
        <w:ind w:firstLine="480" w:firstLineChars="200"/>
        <w:rPr>
          <w:rFonts w:ascii="宋体" w:cs="宋体"/>
          <w:szCs w:val="24"/>
        </w:rPr>
      </w:pPr>
      <w:r>
        <w:rPr>
          <w:rFonts w:hint="eastAsia" w:ascii="宋体" w:hAnsi="宋体" w:cs="宋体"/>
          <w:szCs w:val="24"/>
        </w:rPr>
        <w:t>拟定的项目技术实施方案：内容格式供应商根据对采购文件的理解自行编制。要求方案完整详细，逻辑性强，具有真对性。</w:t>
      </w:r>
    </w:p>
    <w:p>
      <w:pPr>
        <w:spacing w:line="360" w:lineRule="auto"/>
        <w:rPr>
          <w:rFonts w:ascii="宋体" w:cs="宋体"/>
          <w:szCs w:val="24"/>
        </w:rPr>
      </w:pPr>
      <w:bookmarkStart w:id="221" w:name="_Toc448307982"/>
      <w:bookmarkEnd w:id="221"/>
      <w:r>
        <w:rPr>
          <w:rFonts w:hint="eastAsia" w:ascii="宋体" w:hAnsi="宋体" w:cs="宋体"/>
          <w:szCs w:val="24"/>
        </w:rPr>
        <w:t>。。。。。。。</w:t>
      </w:r>
    </w:p>
    <w:p>
      <w:pPr>
        <w:tabs>
          <w:tab w:val="left" w:pos="4881"/>
        </w:tabs>
        <w:spacing w:line="360" w:lineRule="auto"/>
        <w:ind w:right="4125"/>
        <w:rPr>
          <w:rFonts w:cs="宋体"/>
          <w:spacing w:val="-1"/>
          <w:szCs w:val="24"/>
        </w:rPr>
      </w:pPr>
    </w:p>
    <w:p>
      <w:pPr>
        <w:tabs>
          <w:tab w:val="left" w:pos="4881"/>
        </w:tabs>
        <w:spacing w:line="360" w:lineRule="auto"/>
        <w:ind w:right="4125" w:firstLine="476"/>
        <w:rPr>
          <w:rFonts w:cs="宋体"/>
          <w:szCs w:val="24"/>
          <w:u w:val="single"/>
        </w:rPr>
      </w:pPr>
      <w:r>
        <w:rPr>
          <w:rFonts w:hint="eastAsia" w:cs="宋体"/>
          <w:spacing w:val="-1"/>
          <w:szCs w:val="24"/>
        </w:rPr>
        <w:t>单位名称（盖章）</w:t>
      </w:r>
      <w:r>
        <w:rPr>
          <w:rFonts w:cs="宋体"/>
          <w:spacing w:val="-1"/>
          <w:szCs w:val="24"/>
        </w:rPr>
        <w:t>:</w:t>
      </w:r>
    </w:p>
    <w:p>
      <w:pPr>
        <w:tabs>
          <w:tab w:val="left" w:pos="4881"/>
        </w:tabs>
        <w:spacing w:line="360" w:lineRule="auto"/>
        <w:ind w:right="4125" w:firstLine="476"/>
        <w:rPr>
          <w:rFonts w:cs="宋体"/>
          <w:spacing w:val="25"/>
          <w:szCs w:val="24"/>
        </w:rPr>
      </w:pPr>
      <w:r>
        <w:rPr>
          <w:rFonts w:hint="eastAsia" w:cs="宋体"/>
          <w:spacing w:val="-1"/>
          <w:szCs w:val="24"/>
        </w:rPr>
        <w:t>法人代表或授权代表签字</w:t>
      </w:r>
      <w:r>
        <w:rPr>
          <w:rFonts w:cs="宋体"/>
          <w:spacing w:val="-1"/>
          <w:szCs w:val="24"/>
        </w:rPr>
        <w:t>:</w:t>
      </w:r>
      <w:r>
        <w:rPr>
          <w:rFonts w:cs="宋体"/>
          <w:szCs w:val="24"/>
          <w:u w:val="single"/>
        </w:rPr>
        <w:tab/>
      </w:r>
    </w:p>
    <w:p>
      <w:pPr>
        <w:tabs>
          <w:tab w:val="left" w:pos="4401"/>
        </w:tabs>
        <w:spacing w:line="360" w:lineRule="auto"/>
        <w:ind w:right="4125" w:firstLine="476"/>
        <w:rPr>
          <w:rFonts w:cs="宋体"/>
          <w:szCs w:val="24"/>
        </w:rPr>
      </w:pPr>
      <w:r>
        <w:rPr>
          <w:rFonts w:hint="eastAsia" w:cs="宋体"/>
          <w:spacing w:val="-1"/>
          <w:szCs w:val="24"/>
        </w:rPr>
        <w:t>日期</w:t>
      </w:r>
      <w:r>
        <w:rPr>
          <w:rFonts w:cs="宋体"/>
          <w:spacing w:val="-1"/>
          <w:szCs w:val="24"/>
        </w:rPr>
        <w:t>:</w:t>
      </w:r>
      <w:r>
        <w:rPr>
          <w:rFonts w:cs="宋体"/>
          <w:szCs w:val="24"/>
          <w:u w:val="single"/>
        </w:rPr>
        <w:tab/>
      </w:r>
    </w:p>
    <w:p>
      <w:pPr>
        <w:spacing w:before="60" w:line="320" w:lineRule="exact"/>
        <w:rPr>
          <w:rFonts w:ascii="宋体" w:cs="Arial"/>
          <w:b/>
          <w:szCs w:val="24"/>
        </w:rPr>
      </w:pPr>
    </w:p>
    <w:p>
      <w:pPr>
        <w:rPr>
          <w:rFonts w:ascii="宋体" w:cs="宋体"/>
          <w:szCs w:val="28"/>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r>
        <w:rPr>
          <w:rFonts w:hint="eastAsia" w:ascii="宋体" w:hAnsi="宋体"/>
          <w:b/>
          <w:szCs w:val="24"/>
        </w:rPr>
        <w:t>另附</w:t>
      </w:r>
      <w:r>
        <w:rPr>
          <w:rFonts w:ascii="宋体" w:hAnsi="宋体"/>
          <w:b/>
          <w:szCs w:val="24"/>
        </w:rPr>
        <w:t>1</w:t>
      </w:r>
    </w:p>
    <w:p>
      <w:pPr>
        <w:spacing w:line="480" w:lineRule="exact"/>
        <w:jc w:val="center"/>
        <w:rPr>
          <w:rFonts w:ascii="宋体"/>
          <w:b/>
          <w:bCs/>
          <w:sz w:val="36"/>
          <w:szCs w:val="36"/>
        </w:rPr>
      </w:pPr>
      <w:r>
        <w:rPr>
          <w:rFonts w:hint="eastAsia" w:ascii="宋体" w:hAnsi="宋体"/>
          <w:b/>
          <w:bCs/>
          <w:sz w:val="36"/>
          <w:szCs w:val="36"/>
        </w:rPr>
        <w:t>供应商证明文件原件明细表</w:t>
      </w:r>
    </w:p>
    <w:p>
      <w:pPr>
        <w:spacing w:line="480" w:lineRule="exact"/>
        <w:ind w:left="1200" w:hanging="1200"/>
      </w:pPr>
    </w:p>
    <w:tbl>
      <w:tblPr>
        <w:tblStyle w:val="31"/>
        <w:tblW w:w="9315" w:type="dxa"/>
        <w:tblInd w:w="106" w:type="dxa"/>
        <w:tblLayout w:type="fixed"/>
        <w:tblCellMar>
          <w:top w:w="0" w:type="dxa"/>
          <w:left w:w="10" w:type="dxa"/>
          <w:bottom w:w="0" w:type="dxa"/>
          <w:right w:w="10" w:type="dxa"/>
        </w:tblCellMar>
      </w:tblPr>
      <w:tblGrid>
        <w:gridCol w:w="710"/>
        <w:gridCol w:w="5500"/>
        <w:gridCol w:w="1517"/>
        <w:gridCol w:w="1588"/>
      </w:tblGrid>
      <w:tr>
        <w:tblPrEx>
          <w:tblLayout w:type="fixed"/>
          <w:tblCellMar>
            <w:top w:w="0" w:type="dxa"/>
            <w:left w:w="10" w:type="dxa"/>
            <w:bottom w:w="0" w:type="dxa"/>
            <w:right w:w="10" w:type="dxa"/>
          </w:tblCellMar>
        </w:tblPrEx>
        <w:trPr>
          <w:trHeight w:val="579" w:hRule="atLeast"/>
        </w:trPr>
        <w:tc>
          <w:tcPr>
            <w:tcW w:w="710" w:type="dxa"/>
            <w:tcBorders>
              <w:top w:val="double" w:color="000000" w:sz="4"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r>
              <w:rPr>
                <w:rFonts w:hint="eastAsia" w:ascii="宋体" w:hAnsi="宋体"/>
                <w:szCs w:val="24"/>
              </w:rPr>
              <w:t>序号</w:t>
            </w:r>
          </w:p>
        </w:tc>
        <w:tc>
          <w:tcPr>
            <w:tcW w:w="5500" w:type="dxa"/>
            <w:tcBorders>
              <w:top w:val="doub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r>
              <w:rPr>
                <w:rFonts w:hint="eastAsia" w:ascii="宋体" w:hAnsi="宋体"/>
                <w:szCs w:val="24"/>
              </w:rPr>
              <w:t>证明文件原件名称</w:t>
            </w:r>
          </w:p>
        </w:tc>
        <w:tc>
          <w:tcPr>
            <w:tcW w:w="1517" w:type="dxa"/>
            <w:tcBorders>
              <w:top w:val="doub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r>
              <w:rPr>
                <w:rFonts w:hint="eastAsia" w:ascii="宋体" w:hAnsi="宋体"/>
                <w:szCs w:val="24"/>
              </w:rPr>
              <w:t>份数</w:t>
            </w:r>
          </w:p>
        </w:tc>
        <w:tc>
          <w:tcPr>
            <w:tcW w:w="1588" w:type="dxa"/>
            <w:tcBorders>
              <w:top w:val="double" w:color="000000" w:sz="4" w:space="0"/>
              <w:left w:val="single" w:color="000000" w:sz="6" w:space="0"/>
              <w:bottom w:val="single" w:color="000000" w:sz="6" w:space="0"/>
              <w:right w:val="double" w:color="000000" w:sz="4" w:space="0"/>
            </w:tcBorders>
            <w:tcMar>
              <w:top w:w="0" w:type="dxa"/>
              <w:left w:w="108" w:type="dxa"/>
              <w:bottom w:w="0" w:type="dxa"/>
              <w:right w:w="108" w:type="dxa"/>
            </w:tcMar>
            <w:vAlign w:val="center"/>
          </w:tcPr>
          <w:p>
            <w:pPr>
              <w:rPr>
                <w:rFonts w:ascii="宋体"/>
                <w:szCs w:val="24"/>
              </w:rPr>
            </w:pPr>
            <w:r>
              <w:rPr>
                <w:rFonts w:hint="eastAsia" w:ascii="宋体" w:hAnsi="宋体"/>
                <w:szCs w:val="24"/>
              </w:rPr>
              <w:t>每份页数</w:t>
            </w:r>
          </w:p>
        </w:tc>
      </w:tr>
      <w:tr>
        <w:tblPrEx>
          <w:tblLayout w:type="fixed"/>
          <w:tblCellMar>
            <w:top w:w="0" w:type="dxa"/>
            <w:left w:w="10" w:type="dxa"/>
            <w:bottom w:w="0" w:type="dxa"/>
            <w:right w:w="10" w:type="dxa"/>
          </w:tblCellMar>
        </w:tblPrEx>
        <w:trPr>
          <w:trHeight w:val="579" w:hRule="atLeast"/>
        </w:trPr>
        <w:tc>
          <w:tcPr>
            <w:tcW w:w="710"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r>
              <w:rPr>
                <w:rFonts w:ascii="宋体" w:hAnsi="宋体"/>
                <w:szCs w:val="24"/>
              </w:rPr>
              <w:t>1</w:t>
            </w:r>
          </w:p>
        </w:tc>
        <w:tc>
          <w:tcPr>
            <w:tcW w:w="55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1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88"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pPr>
              <w:rPr>
                <w:rFonts w:ascii="宋体"/>
                <w:szCs w:val="24"/>
              </w:rPr>
            </w:pPr>
          </w:p>
        </w:tc>
      </w:tr>
      <w:tr>
        <w:tblPrEx>
          <w:tblLayout w:type="fixed"/>
          <w:tblCellMar>
            <w:top w:w="0" w:type="dxa"/>
            <w:left w:w="10" w:type="dxa"/>
            <w:bottom w:w="0" w:type="dxa"/>
            <w:right w:w="10" w:type="dxa"/>
          </w:tblCellMar>
        </w:tblPrEx>
        <w:trPr>
          <w:trHeight w:val="579" w:hRule="atLeast"/>
        </w:trPr>
        <w:tc>
          <w:tcPr>
            <w:tcW w:w="710"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r>
              <w:rPr>
                <w:rFonts w:ascii="宋体" w:hAnsi="宋体"/>
                <w:szCs w:val="24"/>
              </w:rPr>
              <w:t>2</w:t>
            </w:r>
          </w:p>
        </w:tc>
        <w:tc>
          <w:tcPr>
            <w:tcW w:w="55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1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88"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pPr>
              <w:rPr>
                <w:rFonts w:ascii="宋体"/>
                <w:szCs w:val="24"/>
              </w:rPr>
            </w:pPr>
          </w:p>
        </w:tc>
      </w:tr>
      <w:tr>
        <w:tblPrEx>
          <w:tblLayout w:type="fixed"/>
          <w:tblCellMar>
            <w:top w:w="0" w:type="dxa"/>
            <w:left w:w="10" w:type="dxa"/>
            <w:bottom w:w="0" w:type="dxa"/>
            <w:right w:w="10" w:type="dxa"/>
          </w:tblCellMar>
        </w:tblPrEx>
        <w:trPr>
          <w:trHeight w:val="579" w:hRule="atLeast"/>
        </w:trPr>
        <w:tc>
          <w:tcPr>
            <w:tcW w:w="710"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r>
              <w:rPr>
                <w:rFonts w:ascii="宋体" w:hAnsi="宋体"/>
                <w:szCs w:val="24"/>
              </w:rPr>
              <w:t>3</w:t>
            </w:r>
          </w:p>
        </w:tc>
        <w:tc>
          <w:tcPr>
            <w:tcW w:w="55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1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88"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pPr>
              <w:rPr>
                <w:rFonts w:ascii="宋体"/>
                <w:szCs w:val="24"/>
              </w:rPr>
            </w:pPr>
          </w:p>
        </w:tc>
      </w:tr>
      <w:tr>
        <w:tblPrEx>
          <w:tblLayout w:type="fixed"/>
          <w:tblCellMar>
            <w:top w:w="0" w:type="dxa"/>
            <w:left w:w="10" w:type="dxa"/>
            <w:bottom w:w="0" w:type="dxa"/>
            <w:right w:w="10" w:type="dxa"/>
          </w:tblCellMar>
        </w:tblPrEx>
        <w:trPr>
          <w:trHeight w:val="579" w:hRule="atLeast"/>
        </w:trPr>
        <w:tc>
          <w:tcPr>
            <w:tcW w:w="710"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r>
              <w:rPr>
                <w:rFonts w:ascii="宋体" w:hAnsi="宋体"/>
                <w:szCs w:val="24"/>
              </w:rPr>
              <w:t>4</w:t>
            </w:r>
          </w:p>
        </w:tc>
        <w:tc>
          <w:tcPr>
            <w:tcW w:w="55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1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88"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pPr>
              <w:rPr>
                <w:rFonts w:ascii="宋体"/>
                <w:szCs w:val="24"/>
              </w:rPr>
            </w:pPr>
          </w:p>
        </w:tc>
      </w:tr>
      <w:tr>
        <w:tblPrEx>
          <w:tblLayout w:type="fixed"/>
          <w:tblCellMar>
            <w:top w:w="0" w:type="dxa"/>
            <w:left w:w="10" w:type="dxa"/>
            <w:bottom w:w="0" w:type="dxa"/>
            <w:right w:w="10" w:type="dxa"/>
          </w:tblCellMar>
        </w:tblPrEx>
        <w:trPr>
          <w:trHeight w:val="579" w:hRule="atLeast"/>
        </w:trPr>
        <w:tc>
          <w:tcPr>
            <w:tcW w:w="710"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r>
              <w:rPr>
                <w:rFonts w:ascii="宋体" w:hAnsi="宋体"/>
                <w:szCs w:val="24"/>
              </w:rPr>
              <w:t>5</w:t>
            </w:r>
          </w:p>
        </w:tc>
        <w:tc>
          <w:tcPr>
            <w:tcW w:w="55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1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88"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pPr>
              <w:rPr>
                <w:rFonts w:ascii="宋体"/>
                <w:szCs w:val="24"/>
              </w:rPr>
            </w:pPr>
          </w:p>
        </w:tc>
      </w:tr>
      <w:tr>
        <w:tblPrEx>
          <w:tblLayout w:type="fixed"/>
          <w:tblCellMar>
            <w:top w:w="0" w:type="dxa"/>
            <w:left w:w="10" w:type="dxa"/>
            <w:bottom w:w="0" w:type="dxa"/>
            <w:right w:w="10" w:type="dxa"/>
          </w:tblCellMar>
        </w:tblPrEx>
        <w:trPr>
          <w:trHeight w:val="579" w:hRule="atLeast"/>
        </w:trPr>
        <w:tc>
          <w:tcPr>
            <w:tcW w:w="710"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r>
              <w:rPr>
                <w:rFonts w:ascii="宋体" w:hAnsi="宋体"/>
                <w:szCs w:val="24"/>
              </w:rPr>
              <w:t>6</w:t>
            </w:r>
          </w:p>
        </w:tc>
        <w:tc>
          <w:tcPr>
            <w:tcW w:w="55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1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88"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pPr>
              <w:rPr>
                <w:rFonts w:ascii="宋体"/>
                <w:szCs w:val="24"/>
              </w:rPr>
            </w:pPr>
          </w:p>
        </w:tc>
      </w:tr>
      <w:tr>
        <w:tblPrEx>
          <w:tblLayout w:type="fixed"/>
          <w:tblCellMar>
            <w:top w:w="0" w:type="dxa"/>
            <w:left w:w="10" w:type="dxa"/>
            <w:bottom w:w="0" w:type="dxa"/>
            <w:right w:w="10" w:type="dxa"/>
          </w:tblCellMar>
        </w:tblPrEx>
        <w:trPr>
          <w:trHeight w:val="579" w:hRule="atLeast"/>
        </w:trPr>
        <w:tc>
          <w:tcPr>
            <w:tcW w:w="710"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r>
              <w:rPr>
                <w:rFonts w:ascii="宋体" w:hAnsi="宋体"/>
                <w:szCs w:val="24"/>
              </w:rPr>
              <w:t>7</w:t>
            </w:r>
          </w:p>
        </w:tc>
        <w:tc>
          <w:tcPr>
            <w:tcW w:w="55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1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88"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pPr>
              <w:rPr>
                <w:rFonts w:ascii="宋体"/>
                <w:szCs w:val="24"/>
              </w:rPr>
            </w:pPr>
          </w:p>
        </w:tc>
      </w:tr>
      <w:tr>
        <w:tblPrEx>
          <w:tblLayout w:type="fixed"/>
          <w:tblCellMar>
            <w:top w:w="0" w:type="dxa"/>
            <w:left w:w="10" w:type="dxa"/>
            <w:bottom w:w="0" w:type="dxa"/>
            <w:right w:w="10" w:type="dxa"/>
          </w:tblCellMar>
        </w:tblPrEx>
        <w:trPr>
          <w:trHeight w:val="579" w:hRule="atLeast"/>
        </w:trPr>
        <w:tc>
          <w:tcPr>
            <w:tcW w:w="710"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r>
              <w:rPr>
                <w:rFonts w:ascii="宋体" w:hAnsi="宋体"/>
                <w:szCs w:val="24"/>
              </w:rPr>
              <w:t>8</w:t>
            </w:r>
          </w:p>
        </w:tc>
        <w:tc>
          <w:tcPr>
            <w:tcW w:w="55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1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88"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pPr>
              <w:rPr>
                <w:rFonts w:ascii="宋体"/>
                <w:szCs w:val="24"/>
              </w:rPr>
            </w:pPr>
          </w:p>
        </w:tc>
      </w:tr>
      <w:tr>
        <w:tblPrEx>
          <w:tblLayout w:type="fixed"/>
          <w:tblCellMar>
            <w:top w:w="0" w:type="dxa"/>
            <w:left w:w="10" w:type="dxa"/>
            <w:bottom w:w="0" w:type="dxa"/>
            <w:right w:w="10" w:type="dxa"/>
          </w:tblCellMar>
        </w:tblPrEx>
        <w:trPr>
          <w:trHeight w:val="579" w:hRule="atLeast"/>
        </w:trPr>
        <w:tc>
          <w:tcPr>
            <w:tcW w:w="710"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r>
              <w:rPr>
                <w:rFonts w:ascii="宋体" w:hAnsi="宋体"/>
                <w:szCs w:val="24"/>
              </w:rPr>
              <w:t>9</w:t>
            </w:r>
          </w:p>
        </w:tc>
        <w:tc>
          <w:tcPr>
            <w:tcW w:w="55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1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88"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pPr>
              <w:rPr>
                <w:rFonts w:ascii="宋体"/>
                <w:szCs w:val="24"/>
              </w:rPr>
            </w:pPr>
          </w:p>
        </w:tc>
      </w:tr>
      <w:tr>
        <w:tblPrEx>
          <w:tblLayout w:type="fixed"/>
          <w:tblCellMar>
            <w:top w:w="0" w:type="dxa"/>
            <w:left w:w="10" w:type="dxa"/>
            <w:bottom w:w="0" w:type="dxa"/>
            <w:right w:w="10" w:type="dxa"/>
          </w:tblCellMar>
        </w:tblPrEx>
        <w:trPr>
          <w:trHeight w:val="579" w:hRule="atLeast"/>
        </w:trPr>
        <w:tc>
          <w:tcPr>
            <w:tcW w:w="710"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r>
              <w:rPr>
                <w:rFonts w:ascii="宋体" w:hAnsi="宋体"/>
                <w:szCs w:val="24"/>
              </w:rPr>
              <w:t>10</w:t>
            </w:r>
          </w:p>
        </w:tc>
        <w:tc>
          <w:tcPr>
            <w:tcW w:w="55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1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88"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pPr>
              <w:rPr>
                <w:rFonts w:ascii="宋体"/>
                <w:szCs w:val="24"/>
              </w:rPr>
            </w:pPr>
          </w:p>
        </w:tc>
      </w:tr>
      <w:tr>
        <w:tblPrEx>
          <w:tblLayout w:type="fixed"/>
          <w:tblCellMar>
            <w:top w:w="0" w:type="dxa"/>
            <w:left w:w="10" w:type="dxa"/>
            <w:bottom w:w="0" w:type="dxa"/>
            <w:right w:w="10" w:type="dxa"/>
          </w:tblCellMar>
        </w:tblPrEx>
        <w:trPr>
          <w:trHeight w:val="579" w:hRule="atLeast"/>
        </w:trPr>
        <w:tc>
          <w:tcPr>
            <w:tcW w:w="710"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r>
              <w:rPr>
                <w:rFonts w:ascii="宋体" w:hAnsi="宋体"/>
                <w:szCs w:val="24"/>
              </w:rPr>
              <w:t>11</w:t>
            </w:r>
          </w:p>
        </w:tc>
        <w:tc>
          <w:tcPr>
            <w:tcW w:w="55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1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88"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pPr>
              <w:rPr>
                <w:rFonts w:ascii="宋体"/>
                <w:szCs w:val="24"/>
              </w:rPr>
            </w:pPr>
          </w:p>
        </w:tc>
      </w:tr>
      <w:tr>
        <w:tblPrEx>
          <w:tblLayout w:type="fixed"/>
          <w:tblCellMar>
            <w:top w:w="0" w:type="dxa"/>
            <w:left w:w="10" w:type="dxa"/>
            <w:bottom w:w="0" w:type="dxa"/>
            <w:right w:w="10" w:type="dxa"/>
          </w:tblCellMar>
        </w:tblPrEx>
        <w:trPr>
          <w:trHeight w:val="579" w:hRule="atLeast"/>
        </w:trPr>
        <w:tc>
          <w:tcPr>
            <w:tcW w:w="710" w:type="dxa"/>
            <w:tcBorders>
              <w:top w:val="single" w:color="000000" w:sz="6" w:space="0"/>
              <w:left w:val="double" w:color="000000" w:sz="4" w:space="0"/>
              <w:bottom w:val="double" w:color="000000" w:sz="4" w:space="0"/>
              <w:right w:val="single" w:color="000000" w:sz="6" w:space="0"/>
            </w:tcBorders>
            <w:tcMar>
              <w:top w:w="0" w:type="dxa"/>
              <w:left w:w="108" w:type="dxa"/>
              <w:bottom w:w="0" w:type="dxa"/>
              <w:right w:w="108" w:type="dxa"/>
            </w:tcMar>
            <w:vAlign w:val="center"/>
          </w:tcPr>
          <w:p>
            <w:pPr>
              <w:rPr>
                <w:rFonts w:ascii="宋体"/>
                <w:szCs w:val="24"/>
              </w:rPr>
            </w:pPr>
            <w:r>
              <w:rPr>
                <w:rFonts w:hint="eastAsia" w:ascii="宋体" w:hAnsi="宋体"/>
                <w:szCs w:val="24"/>
              </w:rPr>
              <w:t>…</w:t>
            </w:r>
          </w:p>
        </w:tc>
        <w:tc>
          <w:tcPr>
            <w:tcW w:w="5500" w:type="dxa"/>
            <w:tcBorders>
              <w:top w:val="single" w:color="000000" w:sz="6" w:space="0"/>
              <w:left w:val="single" w:color="000000" w:sz="6" w:space="0"/>
              <w:bottom w:val="double" w:color="000000" w:sz="4" w:space="0"/>
              <w:right w:val="single" w:color="000000" w:sz="6" w:space="0"/>
            </w:tcBorders>
            <w:tcMar>
              <w:top w:w="0" w:type="dxa"/>
              <w:left w:w="108" w:type="dxa"/>
              <w:bottom w:w="0" w:type="dxa"/>
              <w:right w:w="108" w:type="dxa"/>
            </w:tcMar>
            <w:vAlign w:val="center"/>
          </w:tcPr>
          <w:p>
            <w:pPr>
              <w:rPr>
                <w:rFonts w:ascii="宋体"/>
                <w:szCs w:val="24"/>
              </w:rPr>
            </w:pPr>
          </w:p>
        </w:tc>
        <w:tc>
          <w:tcPr>
            <w:tcW w:w="1517" w:type="dxa"/>
            <w:tcBorders>
              <w:top w:val="single" w:color="000000" w:sz="6" w:space="0"/>
              <w:left w:val="single" w:color="000000" w:sz="6" w:space="0"/>
              <w:bottom w:val="double" w:color="000000" w:sz="4" w:space="0"/>
              <w:right w:val="single" w:color="000000" w:sz="6" w:space="0"/>
            </w:tcBorders>
            <w:tcMar>
              <w:top w:w="0" w:type="dxa"/>
              <w:left w:w="108" w:type="dxa"/>
              <w:bottom w:w="0" w:type="dxa"/>
              <w:right w:w="108" w:type="dxa"/>
            </w:tcMar>
            <w:vAlign w:val="center"/>
          </w:tcPr>
          <w:p>
            <w:pPr>
              <w:rPr>
                <w:rFonts w:ascii="宋体"/>
                <w:szCs w:val="24"/>
              </w:rPr>
            </w:pPr>
          </w:p>
        </w:tc>
        <w:tc>
          <w:tcPr>
            <w:tcW w:w="1588" w:type="dxa"/>
            <w:tcBorders>
              <w:top w:val="single" w:color="000000" w:sz="6" w:space="0"/>
              <w:left w:val="single" w:color="000000" w:sz="6" w:space="0"/>
              <w:bottom w:val="double" w:color="000000" w:sz="4" w:space="0"/>
              <w:right w:val="double" w:color="000000" w:sz="4" w:space="0"/>
            </w:tcBorders>
            <w:tcMar>
              <w:top w:w="0" w:type="dxa"/>
              <w:left w:w="108" w:type="dxa"/>
              <w:bottom w:w="0" w:type="dxa"/>
              <w:right w:w="108" w:type="dxa"/>
            </w:tcMar>
            <w:vAlign w:val="center"/>
          </w:tcPr>
          <w:p>
            <w:pPr>
              <w:rPr>
                <w:rFonts w:ascii="宋体"/>
                <w:szCs w:val="24"/>
              </w:rPr>
            </w:pPr>
          </w:p>
        </w:tc>
      </w:tr>
    </w:tbl>
    <w:p>
      <w:pPr>
        <w:spacing w:line="320" w:lineRule="exact"/>
        <w:rPr>
          <w:rFonts w:ascii="宋体" w:cs="Arial"/>
          <w:szCs w:val="24"/>
        </w:rPr>
      </w:pPr>
    </w:p>
    <w:p>
      <w:pPr>
        <w:spacing w:line="320" w:lineRule="exact"/>
        <w:rPr>
          <w:rFonts w:ascii="宋体" w:cs="Arial"/>
          <w:szCs w:val="24"/>
        </w:rPr>
      </w:pPr>
    </w:p>
    <w:p>
      <w:pPr>
        <w:spacing w:line="320" w:lineRule="exact"/>
        <w:ind w:firstLine="600"/>
        <w:rPr>
          <w:rFonts w:ascii="宋体" w:cs="Arial"/>
          <w:szCs w:val="24"/>
          <w:u w:val="single"/>
        </w:rPr>
      </w:pPr>
      <w:r>
        <w:rPr>
          <w:rFonts w:hint="eastAsia" w:ascii="宋体" w:hAnsi="宋体" w:cs="Arial"/>
          <w:szCs w:val="24"/>
        </w:rPr>
        <w:t>单位名称（并加盖公章）：</w:t>
      </w:r>
    </w:p>
    <w:p>
      <w:pPr>
        <w:pStyle w:val="54"/>
        <w:spacing w:line="320" w:lineRule="exact"/>
        <w:ind w:firstLine="660"/>
        <w:jc w:val="both"/>
        <w:rPr>
          <w:rFonts w:ascii="Arial" w:hAnsi="Arial" w:cs="Arial"/>
        </w:rPr>
      </w:pPr>
      <w:r>
        <w:rPr>
          <w:rFonts w:hint="eastAsia"/>
        </w:rPr>
        <w:t>签署日期：年月日</w:t>
      </w:r>
    </w:p>
    <w:p>
      <w:pPr>
        <w:spacing w:line="480" w:lineRule="exact"/>
        <w:ind w:firstLine="472"/>
        <w:rPr>
          <w:rFonts w:ascii="宋体"/>
          <w:b/>
          <w:szCs w:val="24"/>
        </w:rPr>
      </w:pPr>
      <w:r>
        <w:rPr>
          <w:rFonts w:hint="eastAsia"/>
          <w:b/>
          <w:szCs w:val="24"/>
        </w:rPr>
        <w:t>使用说明：请将此表仅粘贴于证明文件原件包装外。</w:t>
      </w:r>
      <w:r>
        <w:br w:type="page"/>
      </w:r>
      <w:r>
        <w:rPr>
          <w:rFonts w:hint="eastAsia" w:ascii="宋体" w:hAnsi="宋体"/>
          <w:b/>
          <w:szCs w:val="24"/>
        </w:rPr>
        <w:t>另附</w:t>
      </w:r>
      <w:r>
        <w:rPr>
          <w:rFonts w:ascii="宋体" w:hAnsi="宋体"/>
          <w:b/>
          <w:szCs w:val="24"/>
        </w:rPr>
        <w:t>2</w:t>
      </w:r>
    </w:p>
    <w:p>
      <w:pPr>
        <w:spacing w:line="480" w:lineRule="exact"/>
        <w:jc w:val="center"/>
        <w:rPr>
          <w:rFonts w:ascii="宋体" w:hAnsi="宋体"/>
          <w:b/>
          <w:bCs/>
          <w:sz w:val="36"/>
          <w:szCs w:val="36"/>
        </w:rPr>
      </w:pPr>
      <w:r>
        <w:rPr>
          <w:rFonts w:hint="eastAsia" w:ascii="宋体" w:hAnsi="宋体"/>
          <w:b/>
          <w:bCs/>
          <w:sz w:val="36"/>
          <w:szCs w:val="36"/>
        </w:rPr>
        <w:t>供应商最后报价表</w:t>
      </w:r>
    </w:p>
    <w:p>
      <w:pPr>
        <w:pStyle w:val="2"/>
        <w:ind w:firstLine="240"/>
        <w:jc w:val="right"/>
      </w:pPr>
      <w:r>
        <w:rPr>
          <w:rFonts w:cs="Arial"/>
          <w:color w:val="000000"/>
          <w:szCs w:val="24"/>
        </w:rPr>
        <w:t>单</w:t>
      </w:r>
      <w:r>
        <w:rPr>
          <w:rFonts w:hint="eastAsia" w:cs="Arial"/>
          <w:color w:val="000000"/>
          <w:szCs w:val="24"/>
        </w:rPr>
        <w:t>位：元（人民</w:t>
      </w:r>
      <w:r>
        <w:rPr>
          <w:rFonts w:cs="Arial"/>
          <w:color w:val="000000"/>
          <w:szCs w:val="24"/>
        </w:rPr>
        <w:t>币</w:t>
      </w:r>
      <w:r>
        <w:rPr>
          <w:rFonts w:hint="eastAsia" w:cs="Arial"/>
          <w:color w:val="000000"/>
          <w:szCs w:val="24"/>
        </w:rPr>
        <w:t>）</w:t>
      </w:r>
    </w:p>
    <w:tbl>
      <w:tblPr>
        <w:tblStyle w:val="31"/>
        <w:tblpPr w:leftFromText="180" w:rightFromText="180" w:vertAnchor="text" w:horzAnchor="margin" w:tblpX="160" w:tblpY="149"/>
        <w:tblW w:w="92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2520"/>
        <w:gridCol w:w="1575"/>
        <w:gridCol w:w="2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2518" w:type="dxa"/>
            <w:tcBorders>
              <w:top w:val="single" w:color="auto" w:sz="4" w:space="0"/>
              <w:left w:val="single" w:color="auto" w:sz="4" w:space="0"/>
              <w:right w:val="single" w:color="auto" w:sz="4" w:space="0"/>
            </w:tcBorders>
            <w:vAlign w:val="center"/>
          </w:tcPr>
          <w:p>
            <w:pPr>
              <w:autoSpaceDE w:val="0"/>
              <w:autoSpaceDN w:val="0"/>
              <w:adjustRightInd w:val="0"/>
              <w:jc w:val="center"/>
              <w:rPr>
                <w:rFonts w:ascii="宋体" w:hAnsi="宋体"/>
                <w:bCs/>
                <w:color w:val="000000"/>
                <w:szCs w:val="24"/>
              </w:rPr>
            </w:pPr>
            <w:r>
              <w:rPr>
                <w:rFonts w:hint="eastAsia" w:ascii="宋体" w:hAnsi="宋体"/>
                <w:bCs/>
                <w:color w:val="000000"/>
                <w:szCs w:val="24"/>
              </w:rPr>
              <w:t>项目名称</w:t>
            </w:r>
          </w:p>
        </w:tc>
        <w:tc>
          <w:tcPr>
            <w:tcW w:w="2520" w:type="dxa"/>
            <w:tcBorders>
              <w:top w:val="single" w:color="auto" w:sz="4" w:space="0"/>
              <w:left w:val="single" w:color="auto" w:sz="4" w:space="0"/>
              <w:right w:val="single" w:color="auto" w:sz="4" w:space="0"/>
            </w:tcBorders>
            <w:vAlign w:val="center"/>
          </w:tcPr>
          <w:p>
            <w:pPr>
              <w:autoSpaceDE w:val="0"/>
              <w:autoSpaceDN w:val="0"/>
              <w:adjustRightInd w:val="0"/>
              <w:rPr>
                <w:rFonts w:ascii="宋体" w:hAnsi="宋体"/>
                <w:bCs/>
                <w:color w:val="000000"/>
                <w:szCs w:val="24"/>
              </w:rPr>
            </w:pPr>
          </w:p>
        </w:tc>
        <w:tc>
          <w:tcPr>
            <w:tcW w:w="1575" w:type="dxa"/>
            <w:tcBorders>
              <w:top w:val="single" w:color="auto" w:sz="4" w:space="0"/>
              <w:left w:val="single" w:color="auto" w:sz="4" w:space="0"/>
              <w:right w:val="single" w:color="auto" w:sz="4" w:space="0"/>
            </w:tcBorders>
            <w:vAlign w:val="center"/>
          </w:tcPr>
          <w:p>
            <w:pPr>
              <w:autoSpaceDE w:val="0"/>
              <w:autoSpaceDN w:val="0"/>
              <w:adjustRightInd w:val="0"/>
              <w:rPr>
                <w:rFonts w:ascii="宋体" w:hAnsi="宋体"/>
                <w:bCs/>
                <w:color w:val="000000"/>
                <w:szCs w:val="24"/>
              </w:rPr>
            </w:pPr>
            <w:r>
              <w:rPr>
                <w:rFonts w:hint="eastAsia" w:ascii="宋体" w:hAnsi="宋体"/>
                <w:bCs/>
                <w:color w:val="000000"/>
                <w:szCs w:val="24"/>
              </w:rPr>
              <w:t>项目编号</w:t>
            </w:r>
          </w:p>
        </w:tc>
        <w:tc>
          <w:tcPr>
            <w:tcW w:w="2657" w:type="dxa"/>
            <w:tcBorders>
              <w:top w:val="single" w:color="auto" w:sz="4" w:space="0"/>
              <w:left w:val="single" w:color="auto" w:sz="4" w:space="0"/>
              <w:right w:val="single" w:color="auto" w:sz="4" w:space="0"/>
            </w:tcBorders>
            <w:vAlign w:val="center"/>
          </w:tcPr>
          <w:p>
            <w:pPr>
              <w:autoSpaceDE w:val="0"/>
              <w:autoSpaceDN w:val="0"/>
              <w:adjustRightInd w:val="0"/>
              <w:rPr>
                <w:rFonts w:ascii="宋体" w:hAnsi="宋体"/>
                <w:bCs/>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7" w:hRule="atLeast"/>
        </w:trPr>
        <w:tc>
          <w:tcPr>
            <w:tcW w:w="2518" w:type="dxa"/>
            <w:tcBorders>
              <w:left w:val="single" w:color="auto" w:sz="4" w:space="0"/>
              <w:right w:val="single" w:color="auto" w:sz="4" w:space="0"/>
            </w:tcBorders>
            <w:vAlign w:val="center"/>
          </w:tcPr>
          <w:p>
            <w:pPr>
              <w:autoSpaceDE w:val="0"/>
              <w:autoSpaceDN w:val="0"/>
              <w:adjustRightInd w:val="0"/>
              <w:jc w:val="center"/>
              <w:rPr>
                <w:szCs w:val="24"/>
              </w:rPr>
            </w:pPr>
            <w:r>
              <w:rPr>
                <w:rFonts w:hint="eastAsia" w:ascii="宋体" w:hAnsi="宋体" w:cs="宋体"/>
                <w:b/>
                <w:szCs w:val="21"/>
              </w:rPr>
              <w:t>报价</w:t>
            </w:r>
          </w:p>
        </w:tc>
        <w:tc>
          <w:tcPr>
            <w:tcW w:w="6752" w:type="dxa"/>
            <w:gridSpan w:val="3"/>
            <w:tcBorders>
              <w:left w:val="single" w:color="auto" w:sz="4" w:space="0"/>
              <w:right w:val="single" w:color="auto" w:sz="4" w:space="0"/>
            </w:tcBorders>
            <w:vAlign w:val="center"/>
          </w:tcPr>
          <w:p>
            <w:pPr>
              <w:pStyle w:val="2"/>
              <w:ind w:firstLine="0"/>
              <w:rPr>
                <w:szCs w:val="21"/>
              </w:rPr>
            </w:pPr>
            <w:r>
              <w:rPr>
                <w:szCs w:val="21"/>
              </w:rPr>
              <w:t>大写：</w:t>
            </w:r>
            <w:r>
              <w:rPr>
                <w:szCs w:val="21"/>
                <w:u w:val="single"/>
              </w:rPr>
              <w:t xml:space="preserve">           </w:t>
            </w:r>
            <w:r>
              <w:rPr>
                <w:rFonts w:hint="eastAsia"/>
                <w:szCs w:val="21"/>
                <w:u w:val="single"/>
              </w:rPr>
              <w:t xml:space="preserve">            </w:t>
            </w:r>
            <w:r>
              <w:rPr>
                <w:szCs w:val="21"/>
                <w:u w:val="single"/>
              </w:rPr>
              <w:t xml:space="preserve">          </w:t>
            </w:r>
            <w:r>
              <w:rPr>
                <w:szCs w:val="21"/>
              </w:rPr>
              <w:t xml:space="preserve"> </w:t>
            </w:r>
          </w:p>
          <w:p>
            <w:pPr>
              <w:pStyle w:val="2"/>
              <w:ind w:firstLine="0"/>
              <w:rPr>
                <w:szCs w:val="21"/>
              </w:rPr>
            </w:pPr>
          </w:p>
          <w:p>
            <w:pPr>
              <w:pStyle w:val="2"/>
              <w:ind w:firstLine="0"/>
              <w:rPr>
                <w:szCs w:val="21"/>
              </w:rPr>
            </w:pPr>
            <w:r>
              <w:rPr>
                <w:szCs w:val="21"/>
              </w:rPr>
              <w:t>小写：</w:t>
            </w:r>
            <w:r>
              <w:rPr>
                <w:szCs w:val="21"/>
                <w:u w:val="single"/>
              </w:rPr>
              <w:t xml:space="preserve">  </w:t>
            </w:r>
            <w:r>
              <w:rPr>
                <w:rFonts w:hint="eastAsia"/>
                <w:szCs w:val="21"/>
                <w:u w:val="single"/>
              </w:rPr>
              <w:t xml:space="preserve">                        </w:t>
            </w:r>
            <w:r>
              <w:rPr>
                <w:szCs w:val="21"/>
                <w:u w:val="single"/>
              </w:rPr>
              <w:t xml:space="preserve">         </w:t>
            </w:r>
            <w:r>
              <w:rPr>
                <w:szCs w:val="24"/>
                <w:u w:val="single"/>
              </w:rPr>
              <w:t xml:space="preserve"> </w:t>
            </w:r>
            <w:r>
              <w:rPr>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trPr>
        <w:tc>
          <w:tcPr>
            <w:tcW w:w="9270" w:type="dxa"/>
            <w:gridSpan w:val="4"/>
            <w:tcBorders>
              <w:left w:val="single" w:color="auto" w:sz="4" w:space="0"/>
              <w:right w:val="single" w:color="auto" w:sz="4" w:space="0"/>
            </w:tcBorders>
            <w:vAlign w:val="center"/>
          </w:tcPr>
          <w:p>
            <w:pPr>
              <w:pStyle w:val="2"/>
              <w:ind w:firstLine="240"/>
              <w:rPr>
                <w:szCs w:val="24"/>
              </w:rPr>
            </w:pPr>
          </w:p>
          <w:p>
            <w:pPr>
              <w:pStyle w:val="2"/>
              <w:ind w:firstLine="240"/>
              <w:rPr>
                <w:szCs w:val="24"/>
              </w:rPr>
            </w:pPr>
            <w:r>
              <w:rPr>
                <w:rFonts w:hint="eastAsia"/>
                <w:szCs w:val="24"/>
              </w:rPr>
              <w:t>交货期：</w:t>
            </w:r>
          </w:p>
          <w:p>
            <w:pPr>
              <w:pStyle w:val="2"/>
              <w:ind w:firstLine="240"/>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trPr>
        <w:tc>
          <w:tcPr>
            <w:tcW w:w="9270" w:type="dxa"/>
            <w:gridSpan w:val="4"/>
            <w:tcBorders>
              <w:left w:val="single" w:color="auto" w:sz="4" w:space="0"/>
              <w:right w:val="single" w:color="auto" w:sz="4" w:space="0"/>
            </w:tcBorders>
            <w:vAlign w:val="center"/>
          </w:tcPr>
          <w:p>
            <w:pPr>
              <w:pStyle w:val="2"/>
              <w:ind w:firstLine="240"/>
              <w:rPr>
                <w:szCs w:val="24"/>
              </w:rPr>
            </w:pPr>
            <w:r>
              <w:rPr>
                <w:rFonts w:hint="eastAsia"/>
                <w:szCs w:val="24"/>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8" w:hRule="atLeast"/>
        </w:trPr>
        <w:tc>
          <w:tcPr>
            <w:tcW w:w="9270" w:type="dxa"/>
            <w:gridSpan w:val="4"/>
            <w:tcBorders>
              <w:left w:val="single" w:color="auto" w:sz="4" w:space="0"/>
              <w:right w:val="single" w:color="auto" w:sz="4" w:space="0"/>
            </w:tcBorders>
            <w:vAlign w:val="center"/>
          </w:tcPr>
          <w:p>
            <w:pPr>
              <w:pStyle w:val="2"/>
              <w:ind w:firstLine="240"/>
              <w:rPr>
                <w:szCs w:val="24"/>
              </w:rPr>
            </w:pPr>
            <w:r>
              <w:rPr>
                <w:rFonts w:hint="eastAsia"/>
                <w:szCs w:val="24"/>
              </w:rPr>
              <w:t>其它优惠补充：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trPr>
        <w:tc>
          <w:tcPr>
            <w:tcW w:w="9270" w:type="dxa"/>
            <w:gridSpan w:val="4"/>
            <w:tcBorders>
              <w:left w:val="single" w:color="auto" w:sz="4" w:space="0"/>
              <w:bottom w:val="single" w:color="auto" w:sz="4" w:space="0"/>
              <w:right w:val="single" w:color="auto" w:sz="4" w:space="0"/>
            </w:tcBorders>
            <w:vAlign w:val="center"/>
          </w:tcPr>
          <w:p>
            <w:pPr>
              <w:pStyle w:val="2"/>
              <w:ind w:firstLine="240"/>
              <w:rPr>
                <w:szCs w:val="24"/>
              </w:rPr>
            </w:pPr>
            <w:r>
              <w:rPr>
                <w:rFonts w:hint="eastAsia"/>
                <w:szCs w:val="24"/>
              </w:rPr>
              <w:t>报价供应商：</w:t>
            </w:r>
          </w:p>
          <w:p>
            <w:pPr>
              <w:pStyle w:val="2"/>
              <w:ind w:firstLine="240"/>
              <w:rPr>
                <w:szCs w:val="24"/>
              </w:rPr>
            </w:pPr>
          </w:p>
          <w:p>
            <w:pPr>
              <w:pStyle w:val="2"/>
              <w:ind w:firstLine="240"/>
              <w:rPr>
                <w:bCs/>
                <w:color w:val="000000"/>
                <w:szCs w:val="24"/>
              </w:rPr>
            </w:pPr>
            <w:r>
              <w:rPr>
                <w:rFonts w:hint="eastAsia"/>
                <w:bCs/>
                <w:color w:val="000000"/>
                <w:szCs w:val="24"/>
              </w:rPr>
              <w:t>被授权人或法人代表（签字）</w:t>
            </w:r>
          </w:p>
          <w:p>
            <w:pPr>
              <w:pStyle w:val="2"/>
              <w:ind w:firstLine="240"/>
              <w:rPr>
                <w:bCs/>
                <w:color w:val="000000"/>
                <w:szCs w:val="24"/>
              </w:rPr>
            </w:pPr>
            <w:r>
              <w:rPr>
                <w:rFonts w:hint="eastAsia"/>
                <w:bCs/>
                <w:color w:val="000000"/>
                <w:szCs w:val="24"/>
              </w:rPr>
              <w:t xml:space="preserve">                                                                                        时间：    年   月   日</w:t>
            </w:r>
          </w:p>
        </w:tc>
      </w:tr>
    </w:tbl>
    <w:p>
      <w:pPr>
        <w:pStyle w:val="13"/>
        <w:adjustRightInd w:val="0"/>
        <w:snapToGrid w:val="0"/>
        <w:spacing w:after="120" w:afterLines="50" w:line="320" w:lineRule="exact"/>
        <w:jc w:val="left"/>
        <w:rPr>
          <w:snapToGrid w:val="0"/>
          <w:kern w:val="0"/>
          <w:szCs w:val="24"/>
        </w:rPr>
      </w:pPr>
      <w:r>
        <w:rPr>
          <w:rFonts w:hint="eastAsia"/>
          <w:snapToGrid w:val="0"/>
          <w:kern w:val="0"/>
          <w:szCs w:val="24"/>
        </w:rPr>
        <w:t>注：</w:t>
      </w:r>
    </w:p>
    <w:p>
      <w:pPr>
        <w:pStyle w:val="13"/>
        <w:numPr>
          <w:ilvl w:val="0"/>
          <w:numId w:val="7"/>
        </w:numPr>
        <w:adjustRightInd w:val="0"/>
        <w:snapToGrid w:val="0"/>
        <w:spacing w:after="120" w:afterLines="50" w:line="320" w:lineRule="exact"/>
        <w:jc w:val="left"/>
        <w:rPr>
          <w:snapToGrid w:val="0"/>
          <w:kern w:val="0"/>
          <w:szCs w:val="24"/>
        </w:rPr>
      </w:pPr>
      <w:r>
        <w:rPr>
          <w:rFonts w:hint="eastAsia"/>
          <w:snapToGrid w:val="0"/>
          <w:kern w:val="0"/>
          <w:szCs w:val="24"/>
        </w:rPr>
        <w:t>本表格为供应商最后报价使用，供应商在参加谈判时自备本表格。</w:t>
      </w:r>
    </w:p>
    <w:p>
      <w:pPr>
        <w:pStyle w:val="13"/>
        <w:adjustRightInd w:val="0"/>
        <w:snapToGrid w:val="0"/>
        <w:spacing w:after="120" w:afterLines="50" w:line="320" w:lineRule="exact"/>
        <w:jc w:val="left"/>
        <w:rPr>
          <w:b/>
          <w:kern w:val="12"/>
          <w:szCs w:val="24"/>
        </w:rPr>
      </w:pPr>
      <w:r>
        <w:rPr>
          <w:rFonts w:hint="eastAsia"/>
          <w:snapToGrid w:val="0"/>
          <w:kern w:val="0"/>
          <w:szCs w:val="24"/>
        </w:rPr>
        <w:t>2.分</w:t>
      </w:r>
      <w:r>
        <w:rPr>
          <w:snapToGrid w:val="0"/>
          <w:kern w:val="0"/>
          <w:szCs w:val="24"/>
        </w:rPr>
        <w:t>项报价不需要再报</w:t>
      </w:r>
      <w:r>
        <w:rPr>
          <w:rFonts w:hint="eastAsia"/>
          <w:snapToGrid w:val="0"/>
          <w:kern w:val="0"/>
          <w:szCs w:val="24"/>
        </w:rPr>
        <w:t>,</w:t>
      </w:r>
      <w:r>
        <w:rPr>
          <w:snapToGrid w:val="0"/>
          <w:kern w:val="0"/>
          <w:szCs w:val="24"/>
        </w:rPr>
        <w:t>成交后按照初次</w:t>
      </w:r>
      <w:r>
        <w:rPr>
          <w:rFonts w:hint="eastAsia"/>
          <w:snapToGrid w:val="0"/>
          <w:kern w:val="0"/>
          <w:szCs w:val="24"/>
        </w:rPr>
        <w:t>总</w:t>
      </w:r>
      <w:r>
        <w:rPr>
          <w:snapToGrid w:val="0"/>
          <w:kern w:val="0"/>
          <w:szCs w:val="24"/>
        </w:rPr>
        <w:t>报价和</w:t>
      </w:r>
      <w:r>
        <w:rPr>
          <w:rFonts w:hint="eastAsia"/>
          <w:snapToGrid w:val="0"/>
          <w:kern w:val="0"/>
          <w:szCs w:val="24"/>
        </w:rPr>
        <w:t>成交总</w:t>
      </w:r>
      <w:r>
        <w:rPr>
          <w:snapToGrid w:val="0"/>
          <w:kern w:val="0"/>
          <w:szCs w:val="24"/>
        </w:rPr>
        <w:t>报价</w:t>
      </w:r>
      <w:r>
        <w:rPr>
          <w:rFonts w:hint="eastAsia"/>
          <w:snapToGrid w:val="0"/>
          <w:kern w:val="0"/>
          <w:szCs w:val="24"/>
        </w:rPr>
        <w:t>比例计算。</w:t>
      </w:r>
    </w:p>
    <w:p>
      <w:pPr>
        <w:pStyle w:val="13"/>
        <w:adjustRightInd w:val="0"/>
        <w:snapToGrid w:val="0"/>
        <w:spacing w:after="120" w:afterLines="50" w:line="320" w:lineRule="exact"/>
        <w:ind w:firstLine="0"/>
        <w:jc w:val="left"/>
        <w:rPr>
          <w:snapToGrid w:val="0"/>
          <w:kern w:val="0"/>
          <w:szCs w:val="24"/>
        </w:rPr>
      </w:pPr>
    </w:p>
    <w:p>
      <w:pPr>
        <w:pStyle w:val="13"/>
        <w:adjustRightInd w:val="0"/>
        <w:snapToGrid w:val="0"/>
        <w:spacing w:after="120" w:afterLines="50" w:line="320" w:lineRule="exact"/>
        <w:jc w:val="left"/>
        <w:rPr>
          <w:snapToGrid w:val="0"/>
          <w:kern w:val="0"/>
          <w:szCs w:val="24"/>
        </w:rPr>
      </w:pPr>
    </w:p>
    <w:p>
      <w:pPr>
        <w:spacing w:line="320" w:lineRule="exact"/>
        <w:rPr>
          <w:rFonts w:ascii="宋体" w:hAnsi="宋体"/>
          <w:szCs w:val="24"/>
        </w:rPr>
      </w:pPr>
    </w:p>
    <w:p>
      <w:pPr>
        <w:spacing w:line="320" w:lineRule="exact"/>
        <w:rPr>
          <w:rFonts w:ascii="宋体" w:hAnsi="宋体"/>
          <w:szCs w:val="24"/>
        </w:rPr>
      </w:pPr>
    </w:p>
    <w:p>
      <w:pPr>
        <w:spacing w:line="320" w:lineRule="exact"/>
        <w:rPr>
          <w:szCs w:val="24"/>
        </w:rPr>
      </w:pPr>
    </w:p>
    <w:sectPr>
      <w:footerReference r:id="rId3" w:type="default"/>
      <w:endnotePr>
        <w:numFmt w:val="decimal"/>
      </w:endnotePr>
      <w:pgSz w:w="11906" w:h="16838"/>
      <w:pgMar w:top="1440" w:right="1080" w:bottom="1440" w:left="1080" w:header="720"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fldChar w:fldCharType="begin"/>
    </w:r>
    <w:r>
      <w:instrText xml:space="preserve"> PAGE \* Arabic </w:instrText>
    </w:r>
    <w:r>
      <w:fldChar w:fldCharType="separate"/>
    </w:r>
    <w:r>
      <w:t>1</w:t>
    </w:r>
    <w:r>
      <w:fldChar w:fldCharType="end"/>
    </w:r>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9F598"/>
    <w:multiLevelType w:val="singleLevel"/>
    <w:tmpl w:val="26E9F598"/>
    <w:lvl w:ilvl="0" w:tentative="0">
      <w:start w:val="6"/>
      <w:numFmt w:val="chineseCounting"/>
      <w:suff w:val="space"/>
      <w:lvlText w:val="第%1章"/>
      <w:lvlJc w:val="left"/>
      <w:rPr>
        <w:rFonts w:hint="eastAsia"/>
      </w:rPr>
    </w:lvl>
  </w:abstractNum>
  <w:abstractNum w:abstractNumId="1">
    <w:nsid w:val="2B6634BE"/>
    <w:multiLevelType w:val="singleLevel"/>
    <w:tmpl w:val="2B6634BE"/>
    <w:lvl w:ilvl="0" w:tentative="0">
      <w:start w:val="1"/>
      <w:numFmt w:val="decimal"/>
      <w:suff w:val="nothing"/>
      <w:lvlText w:val="（%1）"/>
      <w:lvlJc w:val="left"/>
      <w:rPr>
        <w:rFonts w:cs="Times New Roman"/>
      </w:rPr>
    </w:lvl>
  </w:abstractNum>
  <w:abstractNum w:abstractNumId="2">
    <w:nsid w:val="36BB973D"/>
    <w:multiLevelType w:val="singleLevel"/>
    <w:tmpl w:val="36BB973D"/>
    <w:lvl w:ilvl="0" w:tentative="0">
      <w:start w:val="1"/>
      <w:numFmt w:val="decimal"/>
      <w:lvlText w:val="%1."/>
      <w:lvlJc w:val="left"/>
      <w:pPr>
        <w:tabs>
          <w:tab w:val="left" w:pos="312"/>
        </w:tabs>
      </w:pPr>
    </w:lvl>
  </w:abstractNum>
  <w:abstractNum w:abstractNumId="3">
    <w:nsid w:val="4F1654FD"/>
    <w:multiLevelType w:val="singleLevel"/>
    <w:tmpl w:val="4F1654FD"/>
    <w:lvl w:ilvl="0" w:tentative="0">
      <w:start w:val="6"/>
      <w:numFmt w:val="decimal"/>
      <w:suff w:val="nothing"/>
      <w:lvlText w:val="%1."/>
      <w:lvlJc w:val="left"/>
      <w:rPr>
        <w:rFonts w:cs="Times New Roman"/>
      </w:rPr>
    </w:lvl>
  </w:abstractNum>
  <w:abstractNum w:abstractNumId="4">
    <w:nsid w:val="59DB3F6B"/>
    <w:multiLevelType w:val="singleLevel"/>
    <w:tmpl w:val="59DB3F6B"/>
    <w:lvl w:ilvl="0" w:tentative="0">
      <w:start w:val="1"/>
      <w:numFmt w:val="decimal"/>
      <w:suff w:val="space"/>
      <w:lvlText w:val="%1."/>
      <w:lvlJc w:val="left"/>
    </w:lvl>
  </w:abstractNum>
  <w:abstractNum w:abstractNumId="5">
    <w:nsid w:val="69CE571E"/>
    <w:multiLevelType w:val="singleLevel"/>
    <w:tmpl w:val="69CE571E"/>
    <w:lvl w:ilvl="0" w:tentative="0">
      <w:start w:val="1"/>
      <w:numFmt w:val="decimal"/>
      <w:suff w:val="nothing"/>
      <w:lvlText w:val="%1、"/>
      <w:lvlJc w:val="left"/>
    </w:lvl>
  </w:abstractNum>
  <w:abstractNum w:abstractNumId="6">
    <w:nsid w:val="71A776EA"/>
    <w:multiLevelType w:val="singleLevel"/>
    <w:tmpl w:val="71A776EA"/>
    <w:lvl w:ilvl="0" w:tentative="0">
      <w:start w:val="1"/>
      <w:numFmt w:val="decimal"/>
      <w:suff w:val="nothing"/>
      <w:lvlText w:val="（%1）"/>
      <w:lvlJc w:val="left"/>
      <w:rPr>
        <w:rFonts w:cs="Times New Roman"/>
      </w:rPr>
    </w:lvl>
  </w:abstractNum>
  <w:num w:numId="1">
    <w:abstractNumId w:val="0"/>
  </w:num>
  <w:num w:numId="2">
    <w:abstractNumId w:val="3"/>
  </w:num>
  <w:num w:numId="3">
    <w:abstractNumId w:val="6"/>
  </w:num>
  <w:num w:numId="4">
    <w:abstractNumId w:val="1"/>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1"/>
  <w:bordersDoNotSurroundFooter w:val="1"/>
  <w:documentProtection w:enforcement="0"/>
  <w:defaultTabStop w:val="420"/>
  <w:drawingGridHorizontalSpacing w:val="120"/>
  <w:drawingGridVerticalSpacing w:val="163"/>
  <w:characterSpacingControl w:val="doNotCompress"/>
  <w:noLineBreaksAfter w:lang="zh-CN" w:val="$([{£¥·‘“〈《「『【〔〖〝﹙﹛﹝＄（．［｛￡￥"/>
  <w:noLineBreaksBefore w:lang="zh-CN" w:val="!%),.:;&gt;?]}¢¨°·ˇˉ―‖’”…‰′″›℃∶、。〃〉》」』】〕〗〞︶︺︾﹀﹄﹚﹜﹞！＂％＇），．：；？］｀｜｝～￠"/>
  <w:endnotePr>
    <w:numFmt w:val="decimal"/>
  </w:endnotePr>
  <w:compat>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DDD"/>
    <w:rsid w:val="00002A68"/>
    <w:rsid w:val="00005726"/>
    <w:rsid w:val="000333ED"/>
    <w:rsid w:val="00033FCE"/>
    <w:rsid w:val="00035921"/>
    <w:rsid w:val="00050DDD"/>
    <w:rsid w:val="00084C88"/>
    <w:rsid w:val="00092B78"/>
    <w:rsid w:val="00093037"/>
    <w:rsid w:val="00094CB8"/>
    <w:rsid w:val="000B5E4E"/>
    <w:rsid w:val="000D1833"/>
    <w:rsid w:val="000D1F58"/>
    <w:rsid w:val="000D3946"/>
    <w:rsid w:val="000E6806"/>
    <w:rsid w:val="001006B6"/>
    <w:rsid w:val="00117A7E"/>
    <w:rsid w:val="00143F7F"/>
    <w:rsid w:val="00156DD2"/>
    <w:rsid w:val="00171E12"/>
    <w:rsid w:val="00184864"/>
    <w:rsid w:val="001B7928"/>
    <w:rsid w:val="001C35FC"/>
    <w:rsid w:val="001C7DB3"/>
    <w:rsid w:val="001E1099"/>
    <w:rsid w:val="001E723A"/>
    <w:rsid w:val="001F4AFE"/>
    <w:rsid w:val="002115D1"/>
    <w:rsid w:val="0021797C"/>
    <w:rsid w:val="00233FF4"/>
    <w:rsid w:val="00234360"/>
    <w:rsid w:val="00245ABD"/>
    <w:rsid w:val="00250E60"/>
    <w:rsid w:val="002700B1"/>
    <w:rsid w:val="00283069"/>
    <w:rsid w:val="00284056"/>
    <w:rsid w:val="00291471"/>
    <w:rsid w:val="0029150D"/>
    <w:rsid w:val="0029249C"/>
    <w:rsid w:val="002C7FEA"/>
    <w:rsid w:val="002E128D"/>
    <w:rsid w:val="00300066"/>
    <w:rsid w:val="0031132A"/>
    <w:rsid w:val="00340C43"/>
    <w:rsid w:val="00344F85"/>
    <w:rsid w:val="00347E4C"/>
    <w:rsid w:val="0036171B"/>
    <w:rsid w:val="00361F86"/>
    <w:rsid w:val="00366E56"/>
    <w:rsid w:val="00375062"/>
    <w:rsid w:val="00376E86"/>
    <w:rsid w:val="003832BB"/>
    <w:rsid w:val="003841AC"/>
    <w:rsid w:val="0039145E"/>
    <w:rsid w:val="00393CE7"/>
    <w:rsid w:val="003A62C0"/>
    <w:rsid w:val="003B0A8A"/>
    <w:rsid w:val="003B4D4C"/>
    <w:rsid w:val="003B6B82"/>
    <w:rsid w:val="003B7538"/>
    <w:rsid w:val="003C18AE"/>
    <w:rsid w:val="003C304B"/>
    <w:rsid w:val="003D1FA0"/>
    <w:rsid w:val="003D40A8"/>
    <w:rsid w:val="00417678"/>
    <w:rsid w:val="00417845"/>
    <w:rsid w:val="00423421"/>
    <w:rsid w:val="00447D0C"/>
    <w:rsid w:val="00447DD3"/>
    <w:rsid w:val="004721AA"/>
    <w:rsid w:val="004D0095"/>
    <w:rsid w:val="004E1569"/>
    <w:rsid w:val="004E364D"/>
    <w:rsid w:val="004F3054"/>
    <w:rsid w:val="00552405"/>
    <w:rsid w:val="00561C0C"/>
    <w:rsid w:val="00562B8B"/>
    <w:rsid w:val="005968EE"/>
    <w:rsid w:val="005A22BC"/>
    <w:rsid w:val="005B2381"/>
    <w:rsid w:val="005B7792"/>
    <w:rsid w:val="005C7E50"/>
    <w:rsid w:val="005F149F"/>
    <w:rsid w:val="00611390"/>
    <w:rsid w:val="00613500"/>
    <w:rsid w:val="00624793"/>
    <w:rsid w:val="00641B82"/>
    <w:rsid w:val="00642283"/>
    <w:rsid w:val="0064277F"/>
    <w:rsid w:val="00657E86"/>
    <w:rsid w:val="00662267"/>
    <w:rsid w:val="0066727F"/>
    <w:rsid w:val="00674ACF"/>
    <w:rsid w:val="00682C41"/>
    <w:rsid w:val="00690D46"/>
    <w:rsid w:val="006B68F1"/>
    <w:rsid w:val="006C3912"/>
    <w:rsid w:val="006D13B9"/>
    <w:rsid w:val="006D7410"/>
    <w:rsid w:val="006E3E67"/>
    <w:rsid w:val="006E6735"/>
    <w:rsid w:val="006F2996"/>
    <w:rsid w:val="006F33AB"/>
    <w:rsid w:val="006F61E9"/>
    <w:rsid w:val="006F733B"/>
    <w:rsid w:val="00722E7F"/>
    <w:rsid w:val="0072689F"/>
    <w:rsid w:val="00740715"/>
    <w:rsid w:val="00750D53"/>
    <w:rsid w:val="007B27CD"/>
    <w:rsid w:val="007D1987"/>
    <w:rsid w:val="007D31BD"/>
    <w:rsid w:val="007D582C"/>
    <w:rsid w:val="00801253"/>
    <w:rsid w:val="00802215"/>
    <w:rsid w:val="00821345"/>
    <w:rsid w:val="008214C2"/>
    <w:rsid w:val="008415C6"/>
    <w:rsid w:val="00865B26"/>
    <w:rsid w:val="008663F2"/>
    <w:rsid w:val="008748BE"/>
    <w:rsid w:val="00881342"/>
    <w:rsid w:val="00881833"/>
    <w:rsid w:val="00895C48"/>
    <w:rsid w:val="008A470B"/>
    <w:rsid w:val="008B3853"/>
    <w:rsid w:val="008C0FD6"/>
    <w:rsid w:val="008D154F"/>
    <w:rsid w:val="008E5576"/>
    <w:rsid w:val="00912F23"/>
    <w:rsid w:val="00914AA7"/>
    <w:rsid w:val="00920D5F"/>
    <w:rsid w:val="0094553E"/>
    <w:rsid w:val="00945D8F"/>
    <w:rsid w:val="009517C3"/>
    <w:rsid w:val="00981D39"/>
    <w:rsid w:val="0098360C"/>
    <w:rsid w:val="00983EE3"/>
    <w:rsid w:val="009D3F53"/>
    <w:rsid w:val="009D4D88"/>
    <w:rsid w:val="009E1E7D"/>
    <w:rsid w:val="009E3EBB"/>
    <w:rsid w:val="009F0FE3"/>
    <w:rsid w:val="009F4FAB"/>
    <w:rsid w:val="00A00AC5"/>
    <w:rsid w:val="00A05E28"/>
    <w:rsid w:val="00A0688E"/>
    <w:rsid w:val="00A17ACB"/>
    <w:rsid w:val="00A20AA4"/>
    <w:rsid w:val="00A27276"/>
    <w:rsid w:val="00A80DAA"/>
    <w:rsid w:val="00A82B00"/>
    <w:rsid w:val="00AB05DB"/>
    <w:rsid w:val="00AB466E"/>
    <w:rsid w:val="00AC39B3"/>
    <w:rsid w:val="00AD2CB0"/>
    <w:rsid w:val="00AF7369"/>
    <w:rsid w:val="00B05C14"/>
    <w:rsid w:val="00B10CB9"/>
    <w:rsid w:val="00B234A2"/>
    <w:rsid w:val="00B2751A"/>
    <w:rsid w:val="00B30490"/>
    <w:rsid w:val="00B555C3"/>
    <w:rsid w:val="00B57F40"/>
    <w:rsid w:val="00B6172C"/>
    <w:rsid w:val="00B80D22"/>
    <w:rsid w:val="00B8442E"/>
    <w:rsid w:val="00BA5C8F"/>
    <w:rsid w:val="00BA772B"/>
    <w:rsid w:val="00BB27CC"/>
    <w:rsid w:val="00BD2383"/>
    <w:rsid w:val="00BE2EA6"/>
    <w:rsid w:val="00BF0995"/>
    <w:rsid w:val="00C05BE2"/>
    <w:rsid w:val="00C269FB"/>
    <w:rsid w:val="00C65BD6"/>
    <w:rsid w:val="00CB3A28"/>
    <w:rsid w:val="00CD6FDF"/>
    <w:rsid w:val="00CF2689"/>
    <w:rsid w:val="00CF4015"/>
    <w:rsid w:val="00D26A75"/>
    <w:rsid w:val="00D54D1A"/>
    <w:rsid w:val="00D6696B"/>
    <w:rsid w:val="00D70783"/>
    <w:rsid w:val="00D847B3"/>
    <w:rsid w:val="00DA2EBF"/>
    <w:rsid w:val="00DA56E4"/>
    <w:rsid w:val="00DE0481"/>
    <w:rsid w:val="00DE6FBD"/>
    <w:rsid w:val="00E07350"/>
    <w:rsid w:val="00E2059F"/>
    <w:rsid w:val="00E2091B"/>
    <w:rsid w:val="00E23563"/>
    <w:rsid w:val="00E51DBE"/>
    <w:rsid w:val="00E52C8D"/>
    <w:rsid w:val="00E802AA"/>
    <w:rsid w:val="00E8096C"/>
    <w:rsid w:val="00E845AD"/>
    <w:rsid w:val="00E961CF"/>
    <w:rsid w:val="00EB0258"/>
    <w:rsid w:val="00ED0E91"/>
    <w:rsid w:val="00F30B67"/>
    <w:rsid w:val="00F3558B"/>
    <w:rsid w:val="00F36428"/>
    <w:rsid w:val="00F61FA7"/>
    <w:rsid w:val="00F9317E"/>
    <w:rsid w:val="00FA210A"/>
    <w:rsid w:val="00FC7614"/>
    <w:rsid w:val="00FE43F5"/>
    <w:rsid w:val="00FE5723"/>
    <w:rsid w:val="00FF2A82"/>
    <w:rsid w:val="01A1779F"/>
    <w:rsid w:val="020A0E29"/>
    <w:rsid w:val="029D653E"/>
    <w:rsid w:val="050448CA"/>
    <w:rsid w:val="052A5F51"/>
    <w:rsid w:val="05883C9D"/>
    <w:rsid w:val="07976E36"/>
    <w:rsid w:val="08146925"/>
    <w:rsid w:val="08BB08DE"/>
    <w:rsid w:val="0A370247"/>
    <w:rsid w:val="0AB30578"/>
    <w:rsid w:val="0BF23A9B"/>
    <w:rsid w:val="0DA300A3"/>
    <w:rsid w:val="0DE10C28"/>
    <w:rsid w:val="0EC609A0"/>
    <w:rsid w:val="10044B4B"/>
    <w:rsid w:val="121D7633"/>
    <w:rsid w:val="122E5261"/>
    <w:rsid w:val="127229E8"/>
    <w:rsid w:val="129512D0"/>
    <w:rsid w:val="1493351D"/>
    <w:rsid w:val="16777A63"/>
    <w:rsid w:val="168F661E"/>
    <w:rsid w:val="16C4548D"/>
    <w:rsid w:val="16DC7B69"/>
    <w:rsid w:val="16EC0701"/>
    <w:rsid w:val="18D5368D"/>
    <w:rsid w:val="19F009EC"/>
    <w:rsid w:val="1AB02AEE"/>
    <w:rsid w:val="1AD37DD9"/>
    <w:rsid w:val="1BD715C3"/>
    <w:rsid w:val="1C265BE4"/>
    <w:rsid w:val="1F186416"/>
    <w:rsid w:val="1FA3776C"/>
    <w:rsid w:val="1FA642E4"/>
    <w:rsid w:val="23CC64FC"/>
    <w:rsid w:val="243F70D5"/>
    <w:rsid w:val="25090D68"/>
    <w:rsid w:val="26070036"/>
    <w:rsid w:val="264C5779"/>
    <w:rsid w:val="27A44EB0"/>
    <w:rsid w:val="27B61C46"/>
    <w:rsid w:val="298F42FD"/>
    <w:rsid w:val="29C80A1F"/>
    <w:rsid w:val="2A2B0DC8"/>
    <w:rsid w:val="2A7C6B0D"/>
    <w:rsid w:val="2B1307F0"/>
    <w:rsid w:val="2B28210F"/>
    <w:rsid w:val="2B58072B"/>
    <w:rsid w:val="2CA27E1E"/>
    <w:rsid w:val="2D036241"/>
    <w:rsid w:val="2F2B4A80"/>
    <w:rsid w:val="30250EBD"/>
    <w:rsid w:val="30AB03E7"/>
    <w:rsid w:val="317C7618"/>
    <w:rsid w:val="32CA482D"/>
    <w:rsid w:val="32D15DA5"/>
    <w:rsid w:val="33A27B33"/>
    <w:rsid w:val="347324DA"/>
    <w:rsid w:val="35EF7EB7"/>
    <w:rsid w:val="367C3CED"/>
    <w:rsid w:val="36F12705"/>
    <w:rsid w:val="37A51FB4"/>
    <w:rsid w:val="37D041CE"/>
    <w:rsid w:val="38077E7F"/>
    <w:rsid w:val="392115EE"/>
    <w:rsid w:val="3AA47A2A"/>
    <w:rsid w:val="3B7D75DC"/>
    <w:rsid w:val="3C254983"/>
    <w:rsid w:val="3F59244A"/>
    <w:rsid w:val="3F716F2D"/>
    <w:rsid w:val="3FA0443B"/>
    <w:rsid w:val="40C30EF5"/>
    <w:rsid w:val="40CC54B5"/>
    <w:rsid w:val="417D39F5"/>
    <w:rsid w:val="43346FA5"/>
    <w:rsid w:val="44916D42"/>
    <w:rsid w:val="46D167FC"/>
    <w:rsid w:val="46FD0BF6"/>
    <w:rsid w:val="491962A2"/>
    <w:rsid w:val="4B5D264A"/>
    <w:rsid w:val="507739D9"/>
    <w:rsid w:val="52335162"/>
    <w:rsid w:val="542058F9"/>
    <w:rsid w:val="558161AC"/>
    <w:rsid w:val="560431F7"/>
    <w:rsid w:val="5A584865"/>
    <w:rsid w:val="5B445295"/>
    <w:rsid w:val="5BA95F9E"/>
    <w:rsid w:val="5C230A81"/>
    <w:rsid w:val="5C656F0A"/>
    <w:rsid w:val="5D7375B2"/>
    <w:rsid w:val="5EB21E09"/>
    <w:rsid w:val="6077656D"/>
    <w:rsid w:val="62440CD6"/>
    <w:rsid w:val="62E87380"/>
    <w:rsid w:val="67770027"/>
    <w:rsid w:val="68721BD6"/>
    <w:rsid w:val="6A144651"/>
    <w:rsid w:val="6BD03DA5"/>
    <w:rsid w:val="6CD94B57"/>
    <w:rsid w:val="6D0D5B4A"/>
    <w:rsid w:val="6EE9246C"/>
    <w:rsid w:val="702678BA"/>
    <w:rsid w:val="706E6052"/>
    <w:rsid w:val="715B41BB"/>
    <w:rsid w:val="725E1D29"/>
    <w:rsid w:val="73AB75FF"/>
    <w:rsid w:val="73D30883"/>
    <w:rsid w:val="77164693"/>
    <w:rsid w:val="78A0133E"/>
    <w:rsid w:val="78A33C96"/>
    <w:rsid w:val="7AB30C49"/>
    <w:rsid w:val="7B1E612D"/>
    <w:rsid w:val="7B5F5918"/>
    <w:rsid w:val="7BAA6B87"/>
    <w:rsid w:val="7BEC6B16"/>
    <w:rsid w:val="7D7F723B"/>
    <w:rsid w:val="7EA80AB1"/>
    <w:rsid w:val="7ED07CC8"/>
    <w:rsid w:val="7F44177C"/>
    <w:rsid w:val="7FC83EE6"/>
    <w:rsid w:val="7FCD12E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qFormat="1"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qFormat="1" w:unhideWhenUsed="0"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1"/>
      <w:sz w:val="24"/>
      <w:szCs w:val="22"/>
      <w:lang w:val="en-US" w:eastAsia="zh-CN" w:bidi="ar-SA"/>
    </w:rPr>
  </w:style>
  <w:style w:type="paragraph" w:styleId="4">
    <w:name w:val="heading 1"/>
    <w:basedOn w:val="1"/>
    <w:next w:val="1"/>
    <w:link w:val="35"/>
    <w:qFormat/>
    <w:uiPriority w:val="99"/>
    <w:pPr>
      <w:keepNext/>
      <w:keepLines/>
      <w:spacing w:before="340" w:after="330" w:line="578" w:lineRule="auto"/>
      <w:jc w:val="center"/>
      <w:outlineLvl w:val="0"/>
    </w:pPr>
    <w:rPr>
      <w:b/>
      <w:bCs/>
      <w:sz w:val="72"/>
      <w:szCs w:val="44"/>
    </w:rPr>
  </w:style>
  <w:style w:type="paragraph" w:styleId="5">
    <w:name w:val="heading 2"/>
    <w:basedOn w:val="1"/>
    <w:next w:val="1"/>
    <w:link w:val="36"/>
    <w:qFormat/>
    <w:uiPriority w:val="99"/>
    <w:pPr>
      <w:keepNext/>
      <w:keepLines/>
      <w:spacing w:before="20" w:after="20" w:line="415" w:lineRule="auto"/>
      <w:jc w:val="center"/>
      <w:outlineLvl w:val="1"/>
    </w:pPr>
    <w:rPr>
      <w:rFonts w:ascii="Cambria" w:hAnsi="Cambria"/>
      <w:b/>
      <w:bCs/>
      <w:sz w:val="30"/>
      <w:szCs w:val="32"/>
    </w:rPr>
  </w:style>
  <w:style w:type="paragraph" w:styleId="6">
    <w:name w:val="heading 3"/>
    <w:basedOn w:val="1"/>
    <w:next w:val="1"/>
    <w:link w:val="37"/>
    <w:qFormat/>
    <w:uiPriority w:val="99"/>
    <w:pPr>
      <w:keepNext/>
      <w:keepLines/>
      <w:spacing w:line="415" w:lineRule="auto"/>
      <w:jc w:val="left"/>
      <w:outlineLvl w:val="2"/>
    </w:pPr>
    <w:rPr>
      <w:b/>
      <w:bCs/>
      <w:sz w:val="28"/>
      <w:szCs w:val="32"/>
    </w:rPr>
  </w:style>
  <w:style w:type="character" w:default="1" w:styleId="32">
    <w:name w:val="Default Paragraph Font"/>
    <w:semiHidden/>
    <w:unhideWhenUsed/>
    <w:qFormat/>
    <w:uiPriority w:val="1"/>
  </w:style>
  <w:style w:type="table" w:default="1" w:styleId="3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41"/>
    <w:qFormat/>
    <w:uiPriority w:val="99"/>
    <w:pPr>
      <w:spacing w:line="360" w:lineRule="auto"/>
      <w:ind w:left="0" w:firstLine="200"/>
      <w:jc w:val="both"/>
    </w:pPr>
    <w:rPr>
      <w:rFonts w:ascii="Calibri" w:hAnsi="Calibri" w:cs="黑体"/>
      <w:sz w:val="24"/>
      <w:szCs w:val="22"/>
    </w:rPr>
  </w:style>
  <w:style w:type="paragraph" w:styleId="3">
    <w:name w:val="Body Text"/>
    <w:basedOn w:val="1"/>
    <w:link w:val="40"/>
    <w:qFormat/>
    <w:uiPriority w:val="99"/>
    <w:pPr>
      <w:ind w:left="730"/>
      <w:jc w:val="left"/>
    </w:pPr>
    <w:rPr>
      <w:rFonts w:ascii="宋体" w:hAnsi="宋体" w:cs="Times New Roman"/>
      <w:sz w:val="23"/>
      <w:szCs w:val="23"/>
    </w:rPr>
  </w:style>
  <w:style w:type="paragraph" w:styleId="7">
    <w:name w:val="toc 7"/>
    <w:basedOn w:val="1"/>
    <w:next w:val="1"/>
    <w:qFormat/>
    <w:uiPriority w:val="99"/>
    <w:pPr>
      <w:ind w:left="1050"/>
      <w:jc w:val="left"/>
    </w:pPr>
    <w:rPr>
      <w:rFonts w:cs="Calibri"/>
      <w:sz w:val="20"/>
      <w:szCs w:val="20"/>
    </w:rPr>
  </w:style>
  <w:style w:type="paragraph" w:styleId="8">
    <w:name w:val="Normal Indent"/>
    <w:basedOn w:val="1"/>
    <w:qFormat/>
    <w:uiPriority w:val="99"/>
    <w:pPr>
      <w:spacing w:line="360" w:lineRule="atLeast"/>
      <w:ind w:firstLine="420"/>
      <w:jc w:val="left"/>
    </w:pPr>
    <w:rPr>
      <w:rFonts w:ascii="Times New Roman" w:hAnsi="Times New Roman"/>
      <w:szCs w:val="20"/>
    </w:rPr>
  </w:style>
  <w:style w:type="paragraph" w:styleId="9">
    <w:name w:val="caption"/>
    <w:basedOn w:val="1"/>
    <w:next w:val="1"/>
    <w:qFormat/>
    <w:locked/>
    <w:uiPriority w:val="0"/>
    <w:rPr>
      <w:rFonts w:ascii="Arial" w:hAnsi="Arial" w:eastAsia="黑体" w:cs="Arial"/>
      <w:sz w:val="20"/>
      <w:szCs w:val="20"/>
    </w:rPr>
  </w:style>
  <w:style w:type="paragraph" w:styleId="10">
    <w:name w:val="Document Map"/>
    <w:basedOn w:val="1"/>
    <w:link w:val="42"/>
    <w:qFormat/>
    <w:uiPriority w:val="99"/>
    <w:pPr>
      <w:pBdr>
        <w:top w:val="none" w:color="000000" w:sz="0" w:space="3"/>
        <w:left w:val="none" w:color="000000" w:sz="0" w:space="3"/>
        <w:bottom w:val="none" w:color="000000" w:sz="0" w:space="3"/>
        <w:right w:val="none" w:color="000000" w:sz="0" w:space="3"/>
        <w:between w:val="none" w:color="000000" w:sz="0" w:space="0"/>
      </w:pBdr>
      <w:shd w:val="clear" w:color="000000" w:fill="000080"/>
    </w:pPr>
  </w:style>
  <w:style w:type="paragraph" w:styleId="11">
    <w:name w:val="annotation text"/>
    <w:basedOn w:val="1"/>
    <w:link w:val="58"/>
    <w:qFormat/>
    <w:uiPriority w:val="99"/>
    <w:rPr>
      <w:sz w:val="20"/>
      <w:szCs w:val="20"/>
    </w:rPr>
  </w:style>
  <w:style w:type="paragraph" w:styleId="12">
    <w:name w:val="Body Text 3"/>
    <w:basedOn w:val="1"/>
    <w:link w:val="89"/>
    <w:semiHidden/>
    <w:unhideWhenUsed/>
    <w:qFormat/>
    <w:uiPriority w:val="99"/>
    <w:pPr>
      <w:spacing w:after="120"/>
    </w:pPr>
    <w:rPr>
      <w:kern w:val="2"/>
      <w:sz w:val="16"/>
      <w:szCs w:val="16"/>
    </w:rPr>
  </w:style>
  <w:style w:type="paragraph" w:styleId="13">
    <w:name w:val="Body Text Indent"/>
    <w:basedOn w:val="1"/>
    <w:link w:val="43"/>
    <w:qFormat/>
    <w:uiPriority w:val="99"/>
    <w:pPr>
      <w:spacing w:line="360" w:lineRule="auto"/>
      <w:ind w:firstLine="480"/>
    </w:pPr>
    <w:rPr>
      <w:rFonts w:ascii="宋体" w:hAnsi="宋体"/>
      <w:szCs w:val="20"/>
    </w:rPr>
  </w:style>
  <w:style w:type="paragraph" w:styleId="14">
    <w:name w:val="toc 5"/>
    <w:basedOn w:val="1"/>
    <w:next w:val="1"/>
    <w:qFormat/>
    <w:uiPriority w:val="99"/>
    <w:pPr>
      <w:ind w:left="630"/>
      <w:jc w:val="left"/>
    </w:pPr>
    <w:rPr>
      <w:rFonts w:cs="Calibri"/>
      <w:sz w:val="20"/>
      <w:szCs w:val="20"/>
    </w:rPr>
  </w:style>
  <w:style w:type="paragraph" w:styleId="15">
    <w:name w:val="toc 3"/>
    <w:basedOn w:val="1"/>
    <w:next w:val="1"/>
    <w:qFormat/>
    <w:uiPriority w:val="99"/>
    <w:pPr>
      <w:ind w:left="210"/>
      <w:jc w:val="left"/>
    </w:pPr>
    <w:rPr>
      <w:rFonts w:cs="Calibri"/>
      <w:sz w:val="20"/>
      <w:szCs w:val="20"/>
    </w:rPr>
  </w:style>
  <w:style w:type="paragraph" w:styleId="16">
    <w:name w:val="Plain Text"/>
    <w:basedOn w:val="1"/>
    <w:link w:val="44"/>
    <w:qFormat/>
    <w:uiPriority w:val="99"/>
    <w:rPr>
      <w:rFonts w:ascii="宋体" w:hAnsi="宋体" w:cs="Times New Roman"/>
      <w:sz w:val="20"/>
      <w:szCs w:val="21"/>
    </w:rPr>
  </w:style>
  <w:style w:type="paragraph" w:styleId="17">
    <w:name w:val="toc 8"/>
    <w:basedOn w:val="1"/>
    <w:next w:val="1"/>
    <w:qFormat/>
    <w:uiPriority w:val="99"/>
    <w:pPr>
      <w:ind w:left="1260"/>
      <w:jc w:val="left"/>
    </w:pPr>
    <w:rPr>
      <w:rFonts w:cs="Calibri"/>
      <w:sz w:val="20"/>
      <w:szCs w:val="20"/>
    </w:rPr>
  </w:style>
  <w:style w:type="paragraph" w:styleId="18">
    <w:name w:val="Date"/>
    <w:basedOn w:val="1"/>
    <w:next w:val="1"/>
    <w:link w:val="45"/>
    <w:qFormat/>
    <w:uiPriority w:val="99"/>
    <w:rPr>
      <w:szCs w:val="20"/>
    </w:rPr>
  </w:style>
  <w:style w:type="paragraph" w:styleId="19">
    <w:name w:val="Body Text Indent 2"/>
    <w:basedOn w:val="1"/>
    <w:link w:val="46"/>
    <w:qFormat/>
    <w:uiPriority w:val="99"/>
    <w:pPr>
      <w:spacing w:after="120" w:line="480" w:lineRule="auto"/>
      <w:ind w:left="420"/>
    </w:pPr>
  </w:style>
  <w:style w:type="paragraph" w:styleId="20">
    <w:name w:val="Balloon Text"/>
    <w:basedOn w:val="1"/>
    <w:link w:val="47"/>
    <w:qFormat/>
    <w:uiPriority w:val="99"/>
    <w:rPr>
      <w:sz w:val="18"/>
      <w:szCs w:val="18"/>
    </w:rPr>
  </w:style>
  <w:style w:type="paragraph" w:styleId="21">
    <w:name w:val="footer"/>
    <w:basedOn w:val="1"/>
    <w:link w:val="48"/>
    <w:qFormat/>
    <w:uiPriority w:val="99"/>
    <w:pPr>
      <w:jc w:val="left"/>
    </w:pPr>
    <w:rPr>
      <w:sz w:val="18"/>
      <w:szCs w:val="18"/>
    </w:rPr>
  </w:style>
  <w:style w:type="paragraph" w:styleId="22">
    <w:name w:val="header"/>
    <w:basedOn w:val="1"/>
    <w:link w:val="49"/>
    <w:qFormat/>
    <w:uiPriority w:val="99"/>
    <w:pPr>
      <w:pBdr>
        <w:top w:val="none" w:color="000000" w:sz="0" w:space="3"/>
        <w:left w:val="none" w:color="000000" w:sz="0" w:space="3"/>
        <w:bottom w:val="single" w:color="000000" w:sz="6" w:space="1"/>
        <w:right w:val="none" w:color="000000" w:sz="0" w:space="3"/>
        <w:between w:val="none" w:color="000000" w:sz="0" w:space="0"/>
      </w:pBdr>
      <w:shd w:val="solid" w:color="000000" w:fill="FFFFFF"/>
      <w:jc w:val="center"/>
    </w:pPr>
    <w:rPr>
      <w:sz w:val="18"/>
      <w:szCs w:val="18"/>
    </w:rPr>
  </w:style>
  <w:style w:type="paragraph" w:styleId="23">
    <w:name w:val="toc 1"/>
    <w:basedOn w:val="1"/>
    <w:next w:val="1"/>
    <w:qFormat/>
    <w:uiPriority w:val="99"/>
    <w:pPr>
      <w:spacing w:before="360"/>
      <w:jc w:val="left"/>
    </w:pPr>
    <w:rPr>
      <w:rFonts w:ascii="Cambria" w:hAnsi="Cambria"/>
      <w:b/>
      <w:bCs/>
      <w:caps/>
      <w:szCs w:val="24"/>
    </w:rPr>
  </w:style>
  <w:style w:type="paragraph" w:styleId="24">
    <w:name w:val="toc 4"/>
    <w:basedOn w:val="1"/>
    <w:next w:val="1"/>
    <w:qFormat/>
    <w:uiPriority w:val="99"/>
    <w:pPr>
      <w:ind w:left="420"/>
      <w:jc w:val="left"/>
    </w:pPr>
    <w:rPr>
      <w:rFonts w:cs="Calibri"/>
      <w:sz w:val="20"/>
      <w:szCs w:val="20"/>
    </w:rPr>
  </w:style>
  <w:style w:type="paragraph" w:styleId="25">
    <w:name w:val="List"/>
    <w:basedOn w:val="1"/>
    <w:qFormat/>
    <w:uiPriority w:val="99"/>
    <w:pPr>
      <w:ind w:left="200" w:hanging="200"/>
    </w:pPr>
    <w:rPr>
      <w:rFonts w:cs="Times New Roman"/>
      <w:sz w:val="21"/>
      <w:szCs w:val="24"/>
    </w:rPr>
  </w:style>
  <w:style w:type="paragraph" w:styleId="26">
    <w:name w:val="toc 6"/>
    <w:basedOn w:val="1"/>
    <w:next w:val="1"/>
    <w:qFormat/>
    <w:uiPriority w:val="99"/>
    <w:pPr>
      <w:ind w:left="840"/>
      <w:jc w:val="left"/>
    </w:pPr>
    <w:rPr>
      <w:rFonts w:cs="Calibri"/>
      <w:sz w:val="20"/>
      <w:szCs w:val="20"/>
    </w:rPr>
  </w:style>
  <w:style w:type="paragraph" w:styleId="27">
    <w:name w:val="toc 2"/>
    <w:basedOn w:val="1"/>
    <w:next w:val="1"/>
    <w:qFormat/>
    <w:uiPriority w:val="99"/>
    <w:pPr>
      <w:spacing w:before="240"/>
      <w:jc w:val="left"/>
    </w:pPr>
    <w:rPr>
      <w:rFonts w:cs="Calibri"/>
      <w:b/>
      <w:bCs/>
      <w:sz w:val="20"/>
      <w:szCs w:val="20"/>
    </w:rPr>
  </w:style>
  <w:style w:type="paragraph" w:styleId="28">
    <w:name w:val="toc 9"/>
    <w:basedOn w:val="1"/>
    <w:next w:val="1"/>
    <w:qFormat/>
    <w:uiPriority w:val="99"/>
    <w:pPr>
      <w:ind w:left="1470"/>
      <w:jc w:val="left"/>
    </w:pPr>
    <w:rPr>
      <w:rFonts w:cs="Calibri"/>
      <w:sz w:val="20"/>
      <w:szCs w:val="20"/>
    </w:rPr>
  </w:style>
  <w:style w:type="paragraph" w:styleId="29">
    <w:name w:val="Normal (Web)"/>
    <w:basedOn w:val="1"/>
    <w:qFormat/>
    <w:uiPriority w:val="0"/>
    <w:pPr>
      <w:spacing w:beforeAutospacing="1" w:afterAutospacing="1"/>
      <w:jc w:val="left"/>
    </w:pPr>
    <w:rPr>
      <w:rFonts w:cs="Times New Roman"/>
    </w:rPr>
  </w:style>
  <w:style w:type="paragraph" w:styleId="30">
    <w:name w:val="annotation subject"/>
    <w:basedOn w:val="11"/>
    <w:next w:val="11"/>
    <w:link w:val="59"/>
    <w:qFormat/>
    <w:uiPriority w:val="99"/>
    <w:rPr>
      <w:b/>
      <w:bCs/>
      <w:sz w:val="24"/>
      <w:szCs w:val="22"/>
    </w:rPr>
  </w:style>
  <w:style w:type="character" w:styleId="33">
    <w:name w:val="Hyperlink"/>
    <w:basedOn w:val="32"/>
    <w:qFormat/>
    <w:uiPriority w:val="99"/>
    <w:rPr>
      <w:rFonts w:cs="Times New Roman"/>
      <w:color w:val="0000FF"/>
      <w:kern w:val="0"/>
      <w:sz w:val="20"/>
      <w:u w:val="single"/>
    </w:rPr>
  </w:style>
  <w:style w:type="character" w:styleId="34">
    <w:name w:val="annotation reference"/>
    <w:basedOn w:val="32"/>
    <w:semiHidden/>
    <w:qFormat/>
    <w:uiPriority w:val="99"/>
    <w:rPr>
      <w:rFonts w:cs="Times New Roman"/>
      <w:sz w:val="21"/>
      <w:szCs w:val="21"/>
    </w:rPr>
  </w:style>
  <w:style w:type="character" w:customStyle="1" w:styleId="35">
    <w:name w:val="标题 1 Char2"/>
    <w:basedOn w:val="32"/>
    <w:link w:val="4"/>
    <w:qFormat/>
    <w:locked/>
    <w:uiPriority w:val="99"/>
    <w:rPr>
      <w:rFonts w:cs="Times New Roman"/>
      <w:b/>
      <w:bCs/>
      <w:kern w:val="44"/>
      <w:sz w:val="44"/>
      <w:szCs w:val="44"/>
    </w:rPr>
  </w:style>
  <w:style w:type="character" w:customStyle="1" w:styleId="36">
    <w:name w:val="标题 2 Char2"/>
    <w:basedOn w:val="32"/>
    <w:link w:val="5"/>
    <w:semiHidden/>
    <w:qFormat/>
    <w:locked/>
    <w:uiPriority w:val="99"/>
    <w:rPr>
      <w:rFonts w:ascii="Cambria" w:hAnsi="Cambria" w:eastAsia="宋体" w:cs="Times New Roman"/>
      <w:b/>
      <w:bCs/>
      <w:kern w:val="1"/>
      <w:sz w:val="32"/>
      <w:szCs w:val="32"/>
    </w:rPr>
  </w:style>
  <w:style w:type="character" w:customStyle="1" w:styleId="37">
    <w:name w:val="标题 3 Char2"/>
    <w:basedOn w:val="32"/>
    <w:link w:val="6"/>
    <w:semiHidden/>
    <w:qFormat/>
    <w:locked/>
    <w:uiPriority w:val="99"/>
    <w:rPr>
      <w:rFonts w:cs="Times New Roman"/>
      <w:b/>
      <w:bCs/>
      <w:kern w:val="1"/>
      <w:sz w:val="32"/>
      <w:szCs w:val="32"/>
    </w:rPr>
  </w:style>
  <w:style w:type="paragraph" w:customStyle="1" w:styleId="38">
    <w:name w:val="Comment Text1"/>
    <w:qFormat/>
    <w:uiPriority w:val="99"/>
    <w:pPr>
      <w:widowControl w:val="0"/>
    </w:pPr>
    <w:rPr>
      <w:rFonts w:ascii="Calibri" w:hAnsi="Calibri" w:eastAsia="宋体" w:cs="黑体"/>
      <w:kern w:val="1"/>
      <w:sz w:val="24"/>
      <w:szCs w:val="22"/>
      <w:lang w:val="en-US" w:eastAsia="zh-CN" w:bidi="ar-SA"/>
    </w:rPr>
  </w:style>
  <w:style w:type="paragraph" w:customStyle="1" w:styleId="39">
    <w:name w:val="Comment Subject1"/>
    <w:basedOn w:val="38"/>
    <w:next w:val="38"/>
    <w:qFormat/>
    <w:uiPriority w:val="99"/>
    <w:rPr>
      <w:b/>
      <w:bCs/>
    </w:rPr>
  </w:style>
  <w:style w:type="character" w:customStyle="1" w:styleId="40">
    <w:name w:val="正文文本 Char2"/>
    <w:basedOn w:val="32"/>
    <w:link w:val="3"/>
    <w:semiHidden/>
    <w:qFormat/>
    <w:locked/>
    <w:uiPriority w:val="99"/>
    <w:rPr>
      <w:rFonts w:cs="Times New Roman"/>
      <w:kern w:val="1"/>
      <w:sz w:val="24"/>
    </w:rPr>
  </w:style>
  <w:style w:type="character" w:customStyle="1" w:styleId="41">
    <w:name w:val="正文首行缩进 Char1"/>
    <w:basedOn w:val="40"/>
    <w:link w:val="2"/>
    <w:semiHidden/>
    <w:qFormat/>
    <w:locked/>
    <w:uiPriority w:val="99"/>
    <w:rPr>
      <w:rFonts w:cs="Times New Roman"/>
      <w:kern w:val="1"/>
      <w:sz w:val="24"/>
    </w:rPr>
  </w:style>
  <w:style w:type="character" w:customStyle="1" w:styleId="42">
    <w:name w:val="文档结构图 Char1"/>
    <w:basedOn w:val="32"/>
    <w:link w:val="10"/>
    <w:semiHidden/>
    <w:qFormat/>
    <w:locked/>
    <w:uiPriority w:val="99"/>
    <w:rPr>
      <w:rFonts w:ascii="Times New Roman" w:hAnsi="Times New Roman" w:cs="Times New Roman"/>
      <w:kern w:val="1"/>
      <w:sz w:val="2"/>
    </w:rPr>
  </w:style>
  <w:style w:type="character" w:customStyle="1" w:styleId="43">
    <w:name w:val="正文文本缩进 Char1"/>
    <w:basedOn w:val="32"/>
    <w:link w:val="13"/>
    <w:semiHidden/>
    <w:qFormat/>
    <w:locked/>
    <w:uiPriority w:val="99"/>
    <w:rPr>
      <w:rFonts w:cs="Times New Roman"/>
      <w:kern w:val="1"/>
      <w:sz w:val="24"/>
    </w:rPr>
  </w:style>
  <w:style w:type="character" w:customStyle="1" w:styleId="44">
    <w:name w:val="纯文本 Char2"/>
    <w:basedOn w:val="32"/>
    <w:link w:val="16"/>
    <w:semiHidden/>
    <w:qFormat/>
    <w:locked/>
    <w:uiPriority w:val="99"/>
    <w:rPr>
      <w:rFonts w:ascii="宋体" w:hAnsi="Courier New" w:cs="Courier New"/>
      <w:kern w:val="1"/>
      <w:sz w:val="21"/>
      <w:szCs w:val="21"/>
    </w:rPr>
  </w:style>
  <w:style w:type="character" w:customStyle="1" w:styleId="45">
    <w:name w:val="日期 Char1"/>
    <w:basedOn w:val="32"/>
    <w:link w:val="18"/>
    <w:semiHidden/>
    <w:qFormat/>
    <w:locked/>
    <w:uiPriority w:val="99"/>
    <w:rPr>
      <w:rFonts w:cs="Times New Roman"/>
      <w:kern w:val="1"/>
      <w:sz w:val="24"/>
    </w:rPr>
  </w:style>
  <w:style w:type="character" w:customStyle="1" w:styleId="46">
    <w:name w:val="正文文本缩进 2 Char2"/>
    <w:basedOn w:val="32"/>
    <w:link w:val="19"/>
    <w:semiHidden/>
    <w:qFormat/>
    <w:locked/>
    <w:uiPriority w:val="99"/>
    <w:rPr>
      <w:rFonts w:cs="Times New Roman"/>
      <w:kern w:val="1"/>
      <w:sz w:val="24"/>
    </w:rPr>
  </w:style>
  <w:style w:type="character" w:customStyle="1" w:styleId="47">
    <w:name w:val="批注框文本 Char2"/>
    <w:basedOn w:val="32"/>
    <w:link w:val="20"/>
    <w:semiHidden/>
    <w:qFormat/>
    <w:locked/>
    <w:uiPriority w:val="99"/>
    <w:rPr>
      <w:rFonts w:cs="Times New Roman"/>
      <w:kern w:val="1"/>
      <w:sz w:val="2"/>
    </w:rPr>
  </w:style>
  <w:style w:type="character" w:customStyle="1" w:styleId="48">
    <w:name w:val="页脚 Char2"/>
    <w:basedOn w:val="32"/>
    <w:link w:val="21"/>
    <w:semiHidden/>
    <w:qFormat/>
    <w:locked/>
    <w:uiPriority w:val="99"/>
    <w:rPr>
      <w:rFonts w:cs="Times New Roman"/>
      <w:kern w:val="1"/>
      <w:sz w:val="18"/>
      <w:szCs w:val="18"/>
    </w:rPr>
  </w:style>
  <w:style w:type="character" w:customStyle="1" w:styleId="49">
    <w:name w:val="页眉 Char2"/>
    <w:basedOn w:val="32"/>
    <w:link w:val="22"/>
    <w:semiHidden/>
    <w:qFormat/>
    <w:locked/>
    <w:uiPriority w:val="99"/>
    <w:rPr>
      <w:rFonts w:cs="Times New Roman"/>
      <w:kern w:val="1"/>
      <w:sz w:val="18"/>
      <w:szCs w:val="18"/>
    </w:rPr>
  </w:style>
  <w:style w:type="paragraph" w:customStyle="1" w:styleId="50">
    <w:name w:val="TOC 标题1"/>
    <w:basedOn w:val="23"/>
    <w:qFormat/>
    <w:uiPriority w:val="99"/>
    <w:pPr>
      <w:widowControl/>
      <w:spacing w:before="480" w:line="276" w:lineRule="auto"/>
    </w:pPr>
    <w:rPr>
      <w:color w:val="365F90"/>
      <w:sz w:val="28"/>
      <w:szCs w:val="28"/>
    </w:rPr>
  </w:style>
  <w:style w:type="paragraph" w:customStyle="1" w:styleId="51">
    <w:name w:val="列出段落1"/>
    <w:qFormat/>
    <w:uiPriority w:val="99"/>
    <w:pPr>
      <w:widowControl w:val="0"/>
      <w:ind w:firstLine="420"/>
      <w:jc w:val="both"/>
    </w:pPr>
    <w:rPr>
      <w:rFonts w:ascii="Calibri" w:hAnsi="Calibri" w:eastAsia="宋体" w:cs="黑体"/>
      <w:kern w:val="1"/>
      <w:sz w:val="24"/>
      <w:szCs w:val="22"/>
      <w:lang w:val="en-US" w:eastAsia="zh-CN" w:bidi="ar-SA"/>
    </w:rPr>
  </w:style>
  <w:style w:type="paragraph" w:customStyle="1" w:styleId="52">
    <w:name w:val="无间隔1"/>
    <w:qFormat/>
    <w:uiPriority w:val="99"/>
    <w:pPr>
      <w:widowControl w:val="0"/>
      <w:jc w:val="both"/>
    </w:pPr>
    <w:rPr>
      <w:rFonts w:ascii="Calibri" w:hAnsi="Calibri" w:eastAsia="宋体" w:cs="黑体"/>
      <w:kern w:val="1"/>
      <w:sz w:val="21"/>
      <w:szCs w:val="22"/>
      <w:lang w:val="en-US" w:eastAsia="zh-CN" w:bidi="ar-SA"/>
    </w:rPr>
  </w:style>
  <w:style w:type="paragraph" w:customStyle="1" w:styleId="53">
    <w:name w:val="正文 + 宋体"/>
    <w:qFormat/>
    <w:uiPriority w:val="99"/>
    <w:pPr>
      <w:ind w:left="360" w:hanging="360"/>
    </w:pPr>
    <w:rPr>
      <w:rFonts w:ascii="宋体" w:hAnsi="宋体" w:eastAsia="宋体" w:cs="宋体"/>
      <w:b/>
      <w:bCs/>
      <w:kern w:val="1"/>
      <w:sz w:val="18"/>
      <w:szCs w:val="18"/>
      <w:lang w:val="en-US" w:eastAsia="zh-CN" w:bidi="ar-SA"/>
    </w:rPr>
  </w:style>
  <w:style w:type="paragraph" w:customStyle="1" w:styleId="54">
    <w:name w:val="正文缩进1"/>
    <w:qFormat/>
    <w:uiPriority w:val="99"/>
    <w:pPr>
      <w:widowControl w:val="0"/>
      <w:spacing w:line="360" w:lineRule="atLeast"/>
      <w:ind w:firstLine="420"/>
    </w:pPr>
    <w:rPr>
      <w:rFonts w:ascii="Times New Roman" w:hAnsi="Times New Roman" w:eastAsia="宋体" w:cs="Times New Roman"/>
      <w:kern w:val="1"/>
      <w:sz w:val="24"/>
      <w:lang w:val="en-US" w:eastAsia="zh-CN" w:bidi="ar-SA"/>
    </w:rPr>
  </w:style>
  <w:style w:type="paragraph" w:customStyle="1" w:styleId="55">
    <w:name w:val="样式 首行缩进:  2 字符"/>
    <w:qFormat/>
    <w:uiPriority w:val="99"/>
    <w:pPr>
      <w:widowControl w:val="0"/>
      <w:spacing w:line="400" w:lineRule="exact"/>
      <w:ind w:firstLine="200"/>
      <w:jc w:val="both"/>
    </w:pPr>
    <w:rPr>
      <w:rFonts w:ascii="Times New Roman" w:hAnsi="Times New Roman" w:eastAsia="宋体" w:cs="Times New Roman"/>
      <w:kern w:val="1"/>
      <w:sz w:val="24"/>
      <w:szCs w:val="22"/>
      <w:lang w:val="en-US" w:eastAsia="zh-CN" w:bidi="ar-SA"/>
    </w:rPr>
  </w:style>
  <w:style w:type="paragraph" w:customStyle="1" w:styleId="56">
    <w:name w:val="Default"/>
    <w:qFormat/>
    <w:uiPriority w:val="99"/>
    <w:pPr>
      <w:widowControl w:val="0"/>
    </w:pPr>
    <w:rPr>
      <w:rFonts w:ascii="宋体" w:hAnsi="宋体" w:eastAsia="宋体" w:cs="宋体"/>
      <w:kern w:val="1"/>
      <w:sz w:val="24"/>
      <w:szCs w:val="24"/>
      <w:lang w:val="en-US" w:eastAsia="zh-CN" w:bidi="ar-SA"/>
    </w:rPr>
  </w:style>
  <w:style w:type="paragraph" w:styleId="57">
    <w:name w:val="List Paragraph"/>
    <w:basedOn w:val="1"/>
    <w:qFormat/>
    <w:uiPriority w:val="99"/>
    <w:pPr>
      <w:ind w:firstLine="420"/>
    </w:pPr>
  </w:style>
  <w:style w:type="character" w:customStyle="1" w:styleId="58">
    <w:name w:val="批注文字 Char1"/>
    <w:basedOn w:val="32"/>
    <w:link w:val="11"/>
    <w:semiHidden/>
    <w:qFormat/>
    <w:locked/>
    <w:uiPriority w:val="99"/>
    <w:rPr>
      <w:rFonts w:cs="Times New Roman"/>
      <w:kern w:val="1"/>
      <w:sz w:val="24"/>
    </w:rPr>
  </w:style>
  <w:style w:type="character" w:customStyle="1" w:styleId="59">
    <w:name w:val="批注主题 Char1"/>
    <w:basedOn w:val="58"/>
    <w:link w:val="30"/>
    <w:semiHidden/>
    <w:qFormat/>
    <w:locked/>
    <w:uiPriority w:val="99"/>
    <w:rPr>
      <w:rFonts w:cs="Times New Roman"/>
      <w:b/>
      <w:bCs/>
      <w:kern w:val="1"/>
      <w:sz w:val="24"/>
    </w:rPr>
  </w:style>
  <w:style w:type="character" w:customStyle="1" w:styleId="60">
    <w:name w:val="Comment Reference1"/>
    <w:qFormat/>
    <w:uiPriority w:val="99"/>
    <w:rPr>
      <w:sz w:val="21"/>
    </w:rPr>
  </w:style>
  <w:style w:type="character" w:customStyle="1" w:styleId="61">
    <w:name w:val="标题 1 Char1"/>
    <w:qFormat/>
    <w:uiPriority w:val="99"/>
    <w:rPr>
      <w:b/>
      <w:sz w:val="44"/>
    </w:rPr>
  </w:style>
  <w:style w:type="character" w:customStyle="1" w:styleId="62">
    <w:name w:val="标题 2 Char1"/>
    <w:qFormat/>
    <w:uiPriority w:val="99"/>
    <w:rPr>
      <w:rFonts w:ascii="Cambria" w:hAnsi="Cambria"/>
      <w:b/>
      <w:sz w:val="32"/>
    </w:rPr>
  </w:style>
  <w:style w:type="character" w:customStyle="1" w:styleId="63">
    <w:name w:val="标题 3 Char1"/>
    <w:qFormat/>
    <w:uiPriority w:val="99"/>
    <w:rPr>
      <w:b/>
      <w:sz w:val="32"/>
    </w:rPr>
  </w:style>
  <w:style w:type="character" w:customStyle="1" w:styleId="64">
    <w:name w:val="正文文本 Char1"/>
    <w:qFormat/>
    <w:uiPriority w:val="99"/>
    <w:rPr>
      <w:sz w:val="20"/>
    </w:rPr>
  </w:style>
  <w:style w:type="character" w:customStyle="1" w:styleId="65">
    <w:name w:val="正文首行缩进 Char"/>
    <w:basedOn w:val="64"/>
    <w:qFormat/>
    <w:uiPriority w:val="99"/>
    <w:rPr>
      <w:rFonts w:cs="Times New Roman"/>
      <w:kern w:val="1"/>
      <w:sz w:val="20"/>
      <w:szCs w:val="20"/>
    </w:rPr>
  </w:style>
  <w:style w:type="character" w:customStyle="1" w:styleId="66">
    <w:name w:val="文档结构图 Char"/>
    <w:qFormat/>
    <w:uiPriority w:val="99"/>
    <w:rPr>
      <w:rFonts w:ascii="Times New Roman" w:hAnsi="Times New Roman"/>
      <w:kern w:val="0"/>
      <w:sz w:val="21"/>
    </w:rPr>
  </w:style>
  <w:style w:type="character" w:customStyle="1" w:styleId="67">
    <w:name w:val="正文文本缩进 Char"/>
    <w:qFormat/>
    <w:uiPriority w:val="99"/>
    <w:rPr>
      <w:sz w:val="20"/>
    </w:rPr>
  </w:style>
  <w:style w:type="character" w:customStyle="1" w:styleId="68">
    <w:name w:val="纯文本 Char1"/>
    <w:qFormat/>
    <w:uiPriority w:val="99"/>
    <w:rPr>
      <w:rFonts w:ascii="宋体" w:hAnsi="宋体" w:eastAsia="宋体"/>
      <w:kern w:val="0"/>
      <w:sz w:val="21"/>
    </w:rPr>
  </w:style>
  <w:style w:type="character" w:customStyle="1" w:styleId="69">
    <w:name w:val="日期 Char"/>
    <w:qFormat/>
    <w:uiPriority w:val="99"/>
    <w:rPr>
      <w:sz w:val="20"/>
    </w:rPr>
  </w:style>
  <w:style w:type="character" w:customStyle="1" w:styleId="70">
    <w:name w:val="正文文本缩进 2 Char1"/>
    <w:qFormat/>
    <w:uiPriority w:val="99"/>
    <w:rPr>
      <w:sz w:val="20"/>
    </w:rPr>
  </w:style>
  <w:style w:type="character" w:customStyle="1" w:styleId="71">
    <w:name w:val="批注框文本 Char1"/>
    <w:qFormat/>
    <w:uiPriority w:val="99"/>
    <w:rPr>
      <w:kern w:val="0"/>
      <w:sz w:val="21"/>
    </w:rPr>
  </w:style>
  <w:style w:type="character" w:customStyle="1" w:styleId="72">
    <w:name w:val="页脚 Char1"/>
    <w:qFormat/>
    <w:uiPriority w:val="99"/>
    <w:rPr>
      <w:sz w:val="18"/>
    </w:rPr>
  </w:style>
  <w:style w:type="character" w:customStyle="1" w:styleId="73">
    <w:name w:val="页眉 Char1"/>
    <w:qFormat/>
    <w:uiPriority w:val="99"/>
    <w:rPr>
      <w:sz w:val="18"/>
    </w:rPr>
  </w:style>
  <w:style w:type="character" w:customStyle="1" w:styleId="74">
    <w:name w:val="标题 1 Char"/>
    <w:qFormat/>
    <w:uiPriority w:val="99"/>
    <w:rPr>
      <w:rFonts w:eastAsia="微软雅黑"/>
      <w:b/>
      <w:kern w:val="0"/>
      <w:sz w:val="20"/>
    </w:rPr>
  </w:style>
  <w:style w:type="character" w:customStyle="1" w:styleId="75">
    <w:name w:val="批注框文本 Char"/>
    <w:qFormat/>
    <w:uiPriority w:val="99"/>
    <w:rPr>
      <w:rFonts w:eastAsia="微软雅黑"/>
      <w:kern w:val="0"/>
      <w:sz w:val="20"/>
    </w:rPr>
  </w:style>
  <w:style w:type="character" w:customStyle="1" w:styleId="76">
    <w:name w:val="页眉 Char"/>
    <w:qFormat/>
    <w:uiPriority w:val="99"/>
    <w:rPr>
      <w:rFonts w:eastAsia="微软雅黑"/>
      <w:kern w:val="0"/>
      <w:sz w:val="20"/>
    </w:rPr>
  </w:style>
  <w:style w:type="character" w:customStyle="1" w:styleId="77">
    <w:name w:val="页脚 Char"/>
    <w:qFormat/>
    <w:uiPriority w:val="99"/>
    <w:rPr>
      <w:rFonts w:eastAsia="微软雅黑"/>
      <w:kern w:val="0"/>
      <w:sz w:val="20"/>
    </w:rPr>
  </w:style>
  <w:style w:type="character" w:customStyle="1" w:styleId="78">
    <w:name w:val="标题 2 Char"/>
    <w:qFormat/>
    <w:uiPriority w:val="99"/>
    <w:rPr>
      <w:rFonts w:ascii="Cambria" w:hAnsi="Cambria" w:eastAsia="微软雅黑"/>
      <w:b/>
      <w:kern w:val="0"/>
      <w:sz w:val="20"/>
    </w:rPr>
  </w:style>
  <w:style w:type="character" w:customStyle="1" w:styleId="79">
    <w:name w:val="正文文本 Char Char"/>
    <w:qFormat/>
    <w:uiPriority w:val="99"/>
    <w:rPr>
      <w:rFonts w:ascii="宋体" w:eastAsia="宋体"/>
      <w:kern w:val="0"/>
      <w:sz w:val="20"/>
    </w:rPr>
  </w:style>
  <w:style w:type="character" w:customStyle="1" w:styleId="80">
    <w:name w:val="正文文本 Char"/>
    <w:qFormat/>
    <w:uiPriority w:val="99"/>
    <w:rPr>
      <w:rFonts w:eastAsia="微软雅黑"/>
      <w:kern w:val="0"/>
      <w:sz w:val="20"/>
    </w:rPr>
  </w:style>
  <w:style w:type="character" w:customStyle="1" w:styleId="81">
    <w:name w:val="标题 3 Char"/>
    <w:qFormat/>
    <w:uiPriority w:val="99"/>
    <w:rPr>
      <w:rFonts w:eastAsia="微软雅黑"/>
      <w:b/>
      <w:kern w:val="0"/>
      <w:sz w:val="20"/>
    </w:rPr>
  </w:style>
  <w:style w:type="character" w:customStyle="1" w:styleId="82">
    <w:name w:val="正文文本缩进 2 Char"/>
    <w:qFormat/>
    <w:uiPriority w:val="99"/>
    <w:rPr>
      <w:rFonts w:eastAsia="微软雅黑"/>
      <w:kern w:val="0"/>
      <w:sz w:val="20"/>
    </w:rPr>
  </w:style>
  <w:style w:type="character" w:customStyle="1" w:styleId="83">
    <w:name w:val="纯文本 Char"/>
    <w:qFormat/>
    <w:uiPriority w:val="99"/>
    <w:rPr>
      <w:rFonts w:ascii="宋体" w:eastAsia="宋体"/>
      <w:kern w:val="0"/>
      <w:sz w:val="20"/>
    </w:rPr>
  </w:style>
  <w:style w:type="character" w:styleId="84">
    <w:name w:val="Placeholder Text"/>
    <w:basedOn w:val="32"/>
    <w:qFormat/>
    <w:uiPriority w:val="99"/>
    <w:rPr>
      <w:rFonts w:cs="Times New Roman"/>
      <w:color w:val="808080"/>
    </w:rPr>
  </w:style>
  <w:style w:type="character" w:customStyle="1" w:styleId="85">
    <w:name w:val="批注文字 Char"/>
    <w:qFormat/>
    <w:uiPriority w:val="99"/>
    <w:rPr>
      <w:kern w:val="1"/>
      <w:sz w:val="22"/>
    </w:rPr>
  </w:style>
  <w:style w:type="character" w:customStyle="1" w:styleId="86">
    <w:name w:val="批注主题 Char"/>
    <w:basedOn w:val="85"/>
    <w:qFormat/>
    <w:uiPriority w:val="99"/>
    <w:rPr>
      <w:rFonts w:cs="Times New Roman"/>
      <w:b/>
      <w:bCs/>
      <w:kern w:val="1"/>
      <w:sz w:val="22"/>
      <w:szCs w:val="22"/>
    </w:rPr>
  </w:style>
  <w:style w:type="paragraph" w:customStyle="1" w:styleId="87">
    <w:name w:val="p0"/>
    <w:basedOn w:val="1"/>
    <w:qFormat/>
    <w:uiPriority w:val="0"/>
    <w:pPr>
      <w:widowControl/>
      <w:spacing w:before="100" w:beforeAutospacing="1" w:after="100" w:afterAutospacing="1"/>
    </w:pPr>
    <w:rPr>
      <w:rFonts w:ascii="宋体" w:hAnsi="宋体" w:cs="宋体"/>
      <w:kern w:val="0"/>
      <w:szCs w:val="24"/>
    </w:rPr>
  </w:style>
  <w:style w:type="paragraph" w:customStyle="1" w:styleId="88">
    <w:name w:val="Table Paragraph"/>
    <w:basedOn w:val="1"/>
    <w:qFormat/>
    <w:uiPriority w:val="1"/>
    <w:pPr>
      <w:jc w:val="left"/>
    </w:pPr>
    <w:rPr>
      <w:rFonts w:eastAsia="Calibri" w:cs="Times New Roman"/>
      <w:kern w:val="0"/>
      <w:sz w:val="22"/>
      <w:lang w:eastAsia="en-US"/>
    </w:rPr>
  </w:style>
  <w:style w:type="character" w:customStyle="1" w:styleId="89">
    <w:name w:val="正文文本 3 Char"/>
    <w:basedOn w:val="32"/>
    <w:link w:val="12"/>
    <w:semiHidden/>
    <w:qFormat/>
    <w:uiPriority w:val="99"/>
    <w:rPr>
      <w:sz w:val="16"/>
      <w:szCs w:val="16"/>
    </w:rPr>
  </w:style>
  <w:style w:type="paragraph" w:customStyle="1" w:styleId="90">
    <w:name w:val="列表段落"/>
    <w:basedOn w:val="1"/>
    <w:qFormat/>
    <w:uiPriority w:val="0"/>
    <w:pPr>
      <w:ind w:firstLine="420" w:firstLineChars="200"/>
    </w:pPr>
    <w:rPr>
      <w:sz w:val="21"/>
    </w:rPr>
  </w:style>
  <w:style w:type="paragraph" w:customStyle="1" w:styleId="91">
    <w:name w:val="正文文本缩进1"/>
    <w:basedOn w:val="1"/>
    <w:qFormat/>
    <w:uiPriority w:val="0"/>
    <w:pPr>
      <w:spacing w:line="360" w:lineRule="auto"/>
      <w:ind w:firstLine="480" w:firstLineChars="200"/>
    </w:pPr>
    <w:rPr>
      <w:rFonts w:ascii="宋体"/>
    </w:rPr>
  </w:style>
  <w:style w:type="paragraph" w:customStyle="1" w:styleId="92">
    <w:name w:val="日期1"/>
    <w:basedOn w:val="1"/>
    <w:next w:val="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55</Pages>
  <Words>4764</Words>
  <Characters>27159</Characters>
  <Lines>226</Lines>
  <Paragraphs>63</Paragraphs>
  <TotalTime>14</TotalTime>
  <ScaleCrop>false</ScaleCrop>
  <LinksUpToDate>false</LinksUpToDate>
  <CharactersWithSpaces>31860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2018-05-12T02:05:00Z</dcterms:created>
  <dc:creator>Administrator</dc:creator>
  <cp:lastModifiedBy>1370416991</cp:lastModifiedBy>
  <cp:lastPrinted>2019-05-05T13:21:00Z</cp:lastPrinted>
  <dcterms:modified xsi:type="dcterms:W3CDTF">2019-05-06T07:59:08Z</dcterms:modified>
  <dc:title>长葛市政府采购项目</dc:title>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