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Ansi="宋体"/>
          <w:b/>
          <w:bCs/>
          <w:sz w:val="68"/>
          <w:szCs w:val="68"/>
        </w:rPr>
      </w:pPr>
      <w:r>
        <w:rPr>
          <w:rFonts w:hint="eastAsia" w:hAnsi="宋体"/>
          <w:b/>
          <w:bCs/>
          <w:sz w:val="68"/>
          <w:szCs w:val="68"/>
        </w:rPr>
        <w:t>曹魏古城北城门及两侧地块</w:t>
      </w:r>
    </w:p>
    <w:p>
      <w:pPr>
        <w:tabs>
          <w:tab w:val="left" w:pos="6919"/>
        </w:tabs>
        <w:jc w:val="center"/>
        <w:rPr>
          <w:rFonts w:ascii="黑体" w:hAnsi="黑体" w:eastAsia="黑体" w:cs="黑体"/>
          <w:b/>
          <w:sz w:val="52"/>
          <w:szCs w:val="52"/>
        </w:rPr>
      </w:pPr>
      <w:r>
        <w:rPr>
          <w:rFonts w:hint="eastAsia" w:hAnsi="宋体"/>
          <w:b/>
          <w:bCs/>
          <w:sz w:val="68"/>
          <w:szCs w:val="68"/>
        </w:rPr>
        <w:t>供配电工程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jc w:val="center"/>
        <w:rPr>
          <w:rFonts w:hAnsi="宋体" w:cs="宋体"/>
          <w:b/>
          <w:sz w:val="30"/>
          <w:szCs w:val="30"/>
        </w:rPr>
      </w:pPr>
    </w:p>
    <w:p>
      <w:pPr>
        <w:pStyle w:val="2"/>
        <w:ind w:firstLine="3360" w:firstLineChars="1200"/>
        <w:rPr>
          <w:b/>
          <w:bCs/>
          <w:sz w:val="28"/>
          <w:szCs w:val="28"/>
        </w:rPr>
      </w:pPr>
      <w:r>
        <w:rPr>
          <w:rFonts w:hint="eastAsia"/>
          <w:b/>
          <w:bCs/>
          <w:sz w:val="28"/>
          <w:szCs w:val="28"/>
        </w:rPr>
        <w:t>项目编号：XCGC-F2019</w:t>
      </w:r>
      <w:r>
        <w:rPr>
          <w:rFonts w:hint="eastAsia"/>
          <w:b/>
          <w:bCs/>
          <w:sz w:val="28"/>
          <w:szCs w:val="28"/>
          <w:lang w:val="en-US" w:eastAsia="zh-CN"/>
        </w:rPr>
        <w:t>110</w:t>
      </w:r>
      <w:r>
        <w:rPr>
          <w:rFonts w:hint="eastAsia"/>
          <w:b/>
          <w:bCs/>
          <w:sz w:val="28"/>
          <w:szCs w:val="28"/>
        </w:rPr>
        <w:t xml:space="preserve">   </w:t>
      </w: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spacing w:line="360" w:lineRule="auto"/>
        <w:ind w:firstLine="1600" w:firstLineChars="500"/>
        <w:rPr>
          <w:b/>
          <w:bCs/>
          <w:kern w:val="2"/>
          <w:sz w:val="32"/>
          <w:szCs w:val="32"/>
        </w:rPr>
      </w:pPr>
      <w:r>
        <w:rPr>
          <w:rFonts w:hint="eastAsia"/>
          <w:b/>
          <w:bCs/>
          <w:kern w:val="2"/>
          <w:sz w:val="32"/>
          <w:szCs w:val="32"/>
        </w:rPr>
        <w:t>招标单位：许昌市曹魏古城开发建设有限公司　</w:t>
      </w:r>
    </w:p>
    <w:p>
      <w:pPr>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pStyle w:val="2"/>
        <w:rPr>
          <w:rFonts w:hAnsi="宋体" w:cs="宋体"/>
          <w:b/>
          <w:sz w:val="44"/>
        </w:rPr>
      </w:pPr>
    </w:p>
    <w:p>
      <w:pPr>
        <w:rPr>
          <w:rFonts w:hAnsi="宋体" w:cs="宋体"/>
          <w:b/>
          <w:sz w:val="44"/>
        </w:rPr>
      </w:pPr>
    </w:p>
    <w:p>
      <w:pPr>
        <w:ind w:firstLine="3960" w:firstLineChars="900"/>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firstLine="280" w:firstLineChars="100"/>
        <w:jc w:val="center"/>
        <w:rPr>
          <w:b/>
          <w:sz w:val="28"/>
          <w:szCs w:val="28"/>
        </w:rPr>
      </w:pPr>
      <w:r>
        <w:rPr>
          <w:rFonts w:hint="eastAsia"/>
          <w:b/>
          <w:sz w:val="28"/>
          <w:szCs w:val="28"/>
        </w:rPr>
        <w:t>XCGC-F2019</w:t>
      </w:r>
      <w:r>
        <w:rPr>
          <w:rFonts w:hint="eastAsia"/>
          <w:b/>
          <w:sz w:val="28"/>
          <w:szCs w:val="28"/>
          <w:lang w:val="en-US" w:eastAsia="zh-CN"/>
        </w:rPr>
        <w:t>110</w:t>
      </w:r>
      <w:r>
        <w:rPr>
          <w:rFonts w:hint="eastAsia"/>
          <w:b/>
          <w:sz w:val="28"/>
          <w:szCs w:val="28"/>
        </w:rPr>
        <w:t>许昌市曹魏古城开发建设有限公司“曹魏古城北城门及两侧地块供配电工程”招标公告</w:t>
      </w:r>
    </w:p>
    <w:p>
      <w:pPr>
        <w:tabs>
          <w:tab w:val="left" w:pos="4420"/>
        </w:tabs>
        <w:spacing w:line="520" w:lineRule="exact"/>
        <w:outlineLvl w:val="0"/>
        <w:rPr>
          <w:rFonts w:hAnsi="宋体" w:cs="宋体"/>
          <w:b/>
          <w:sz w:val="24"/>
          <w:szCs w:val="24"/>
        </w:rPr>
      </w:pPr>
      <w:r>
        <w:rPr>
          <w:rFonts w:hint="eastAsia" w:hAnsi="宋体" w:cs="宋体"/>
          <w:b/>
          <w:sz w:val="24"/>
          <w:szCs w:val="24"/>
        </w:rPr>
        <w:t>1.招标条件</w:t>
      </w:r>
    </w:p>
    <w:p>
      <w:pPr>
        <w:spacing w:line="520" w:lineRule="exact"/>
        <w:ind w:firstLine="720" w:firstLineChars="300"/>
        <w:jc w:val="left"/>
        <w:rPr>
          <w:rFonts w:hAnsi="宋体" w:cs="宋体"/>
          <w:sz w:val="24"/>
          <w:szCs w:val="24"/>
        </w:rPr>
      </w:pPr>
      <w:r>
        <w:rPr>
          <w:rFonts w:hint="eastAsia" w:hAnsi="宋体" w:cs="宋体"/>
          <w:sz w:val="24"/>
          <w:szCs w:val="24"/>
        </w:rPr>
        <w:t>曹魏古城北城门及两侧地块供配电工程，已由</w:t>
      </w:r>
      <w:r>
        <w:rPr>
          <w:rFonts w:hint="eastAsia" w:hAnsi="宋体"/>
          <w:sz w:val="24"/>
        </w:rPr>
        <w:t>许昌市魏都区发展和改革委员会以</w:t>
      </w:r>
      <w:r>
        <w:rPr>
          <w:rFonts w:hint="eastAsia" w:hAnsi="宋体" w:eastAsia="宋体" w:cs="宋体"/>
          <w:sz w:val="24"/>
        </w:rPr>
        <w:t>许区发改[2016]32号</w:t>
      </w:r>
      <w:r>
        <w:rPr>
          <w:rFonts w:hint="eastAsia" w:hAnsi="宋体" w:cs="宋体"/>
          <w:sz w:val="24"/>
        </w:rPr>
        <w:t>、许魏发改</w:t>
      </w:r>
      <w:r>
        <w:rPr>
          <w:rFonts w:hint="eastAsia" w:hAnsi="宋体" w:eastAsia="宋体" w:cs="宋体"/>
          <w:sz w:val="24"/>
        </w:rPr>
        <w:t>[20</w:t>
      </w:r>
      <w:r>
        <w:rPr>
          <w:rFonts w:hint="eastAsia" w:hAnsi="宋体" w:cs="宋体"/>
          <w:sz w:val="24"/>
        </w:rPr>
        <w:t>18</w:t>
      </w:r>
      <w:r>
        <w:rPr>
          <w:rFonts w:hint="eastAsia" w:hAnsi="宋体" w:eastAsia="宋体" w:cs="宋体"/>
          <w:sz w:val="24"/>
        </w:rPr>
        <w:t>]</w:t>
      </w:r>
      <w:r>
        <w:rPr>
          <w:rFonts w:hint="eastAsia" w:hAnsi="宋体" w:cs="宋体"/>
          <w:sz w:val="24"/>
        </w:rPr>
        <w:t>61</w:t>
      </w:r>
      <w:r>
        <w:rPr>
          <w:rFonts w:hint="eastAsia" w:hAnsi="宋体" w:eastAsia="宋体" w:cs="宋体"/>
          <w:sz w:val="24"/>
        </w:rPr>
        <w:t>号文批准建设</w:t>
      </w:r>
      <w:r>
        <w:rPr>
          <w:rFonts w:hint="eastAsia" w:hAnsi="宋体" w:cs="宋体"/>
          <w:sz w:val="24"/>
          <w:szCs w:val="24"/>
        </w:rPr>
        <w:t xml:space="preserve">，招标人为许昌市曹魏古城开发建设有限公司，建设资金为财政资金,项目出资比例为100%。项目已具备招标条件，现对该项目的施工进行公开招标。  </w:t>
      </w:r>
    </w:p>
    <w:p>
      <w:pPr>
        <w:tabs>
          <w:tab w:val="left" w:pos="4420"/>
        </w:tabs>
        <w:spacing w:line="52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20" w:lineRule="exact"/>
        <w:ind w:firstLine="480" w:firstLineChars="200"/>
        <w:outlineLvl w:val="0"/>
        <w:rPr>
          <w:rFonts w:hint="default" w:hAnsi="宋体" w:cs="宋体" w:eastAsiaTheme="minorEastAsia"/>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110</w:t>
      </w:r>
    </w:p>
    <w:p>
      <w:pPr>
        <w:spacing w:line="520" w:lineRule="exact"/>
        <w:ind w:firstLine="480" w:firstLineChars="200"/>
        <w:jc w:val="left"/>
        <w:rPr>
          <w:rFonts w:hAnsi="宋体" w:cs="宋体"/>
          <w:sz w:val="24"/>
          <w:szCs w:val="24"/>
        </w:rPr>
      </w:pPr>
      <w:r>
        <w:rPr>
          <w:rFonts w:hint="eastAsia" w:hAnsi="宋体" w:cs="宋体"/>
          <w:sz w:val="24"/>
          <w:szCs w:val="24"/>
        </w:rPr>
        <w:t>2.2项目概况：建设地点位于</w:t>
      </w:r>
      <w:r>
        <w:rPr>
          <w:rFonts w:hint="eastAsia" w:hAnsi="宋体"/>
          <w:sz w:val="24"/>
          <w:szCs w:val="24"/>
        </w:rPr>
        <w:t>许昌市魏都区北大街两侧，北邻北顺河街，南邻北城墙街</w:t>
      </w:r>
      <w:r>
        <w:rPr>
          <w:rFonts w:hint="eastAsia" w:hAnsi="宋体" w:cs="宋体"/>
          <w:sz w:val="24"/>
          <w:szCs w:val="24"/>
        </w:rPr>
        <w:t>，主要建设内容为高低压配电室内高低压配电柜及电缆、地下室高压桥架、10KV线路敷设、环网柜安装、高低压配电室至各楼电缆敷设等</w:t>
      </w:r>
      <w:r>
        <w:rPr>
          <w:rFonts w:hint="eastAsia"/>
          <w:sz w:val="24"/>
          <w:szCs w:val="24"/>
        </w:rPr>
        <w:t>。</w:t>
      </w:r>
    </w:p>
    <w:p>
      <w:pPr>
        <w:spacing w:line="520" w:lineRule="exact"/>
        <w:ind w:firstLine="480" w:firstLineChars="200"/>
        <w:jc w:val="left"/>
        <w:rPr>
          <w:rFonts w:hAnsi="宋体" w:cs="宋体"/>
          <w:sz w:val="24"/>
          <w:szCs w:val="24"/>
        </w:rPr>
      </w:pPr>
      <w:r>
        <w:rPr>
          <w:rFonts w:hint="eastAsia" w:hAnsi="宋体" w:cs="宋体"/>
          <w:sz w:val="24"/>
          <w:szCs w:val="24"/>
        </w:rPr>
        <w:t>2.3招标控制价为：</w:t>
      </w:r>
      <w:r>
        <w:rPr>
          <w:rFonts w:hint="eastAsia"/>
          <w:sz w:val="24"/>
          <w:szCs w:val="24"/>
        </w:rPr>
        <w:t>3260192.17</w:t>
      </w:r>
      <w:r>
        <w:rPr>
          <w:rFonts w:hint="eastAsia" w:hAnsi="宋体" w:cs="宋体"/>
          <w:sz w:val="24"/>
          <w:szCs w:val="24"/>
        </w:rPr>
        <w:t>元。</w:t>
      </w:r>
    </w:p>
    <w:p>
      <w:pPr>
        <w:spacing w:line="520" w:lineRule="exact"/>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520" w:lineRule="exact"/>
        <w:ind w:firstLine="480" w:firstLineChars="200"/>
        <w:rPr>
          <w:rFonts w:hAnsi="宋体" w:cs="宋体"/>
          <w:sz w:val="24"/>
          <w:szCs w:val="24"/>
        </w:rPr>
      </w:pPr>
      <w:r>
        <w:rPr>
          <w:rFonts w:hint="eastAsia" w:hAnsi="宋体" w:cs="宋体"/>
          <w:sz w:val="24"/>
          <w:szCs w:val="24"/>
        </w:rPr>
        <w:t>2.5标段划分：共一个标段。</w:t>
      </w:r>
    </w:p>
    <w:p>
      <w:pPr>
        <w:spacing w:line="520" w:lineRule="exact"/>
        <w:ind w:firstLine="480" w:firstLineChars="200"/>
        <w:rPr>
          <w:rFonts w:hint="eastAsia" w:hAnsi="宋体" w:cs="宋体" w:eastAsiaTheme="minorEastAsia"/>
          <w:sz w:val="24"/>
          <w:szCs w:val="24"/>
          <w:lang w:eastAsia="zh-CN"/>
        </w:rPr>
      </w:pPr>
      <w:r>
        <w:rPr>
          <w:rFonts w:hint="eastAsia" w:hAnsi="宋体" w:cs="宋体"/>
          <w:sz w:val="24"/>
          <w:szCs w:val="24"/>
        </w:rPr>
        <w:t xml:space="preserve">2.6计划工期: 100日历天(接甲方通知进场之日起) </w:t>
      </w:r>
      <w:r>
        <w:rPr>
          <w:rFonts w:hint="eastAsia" w:hAnsi="宋体" w:cs="宋体"/>
          <w:sz w:val="24"/>
          <w:szCs w:val="24"/>
          <w:lang w:eastAsia="zh-CN"/>
        </w:rPr>
        <w:t>。</w:t>
      </w:r>
    </w:p>
    <w:p>
      <w:pPr>
        <w:spacing w:line="520" w:lineRule="exact"/>
        <w:ind w:firstLine="480" w:firstLineChars="200"/>
        <w:rPr>
          <w:rFonts w:hAnsi="宋体" w:eastAsia="宋体" w:cs="宋体"/>
          <w:sz w:val="24"/>
          <w:szCs w:val="24"/>
        </w:rPr>
      </w:pPr>
      <w:r>
        <w:rPr>
          <w:rFonts w:hint="eastAsia" w:hAnsi="宋体" w:cs="宋体"/>
          <w:sz w:val="24"/>
          <w:szCs w:val="24"/>
        </w:rPr>
        <w:t>2.7质量要求：</w:t>
      </w:r>
      <w:r>
        <w:rPr>
          <w:rFonts w:hint="eastAsia" w:hAnsi="宋体" w:eastAsia="宋体" w:cs="宋体"/>
          <w:sz w:val="24"/>
        </w:rPr>
        <w:t>合格（符合国家现行的验收规范和标准）。</w:t>
      </w:r>
    </w:p>
    <w:p>
      <w:pPr>
        <w:spacing w:line="520" w:lineRule="exact"/>
        <w:outlineLvl w:val="0"/>
        <w:rPr>
          <w:rFonts w:hAnsi="宋体" w:cs="宋体"/>
          <w:b/>
          <w:sz w:val="24"/>
          <w:szCs w:val="24"/>
        </w:rPr>
      </w:pPr>
      <w:r>
        <w:rPr>
          <w:rFonts w:hint="eastAsia" w:hAnsi="宋体" w:cs="宋体"/>
          <w:b/>
          <w:sz w:val="24"/>
          <w:szCs w:val="24"/>
        </w:rPr>
        <w:t>3.投标人资格要求</w:t>
      </w:r>
    </w:p>
    <w:p>
      <w:pPr>
        <w:spacing w:line="520" w:lineRule="exact"/>
        <w:ind w:firstLine="480" w:firstLineChars="200"/>
        <w:rPr>
          <w:rFonts w:hAnsi="宋体" w:cs="宋体"/>
          <w:sz w:val="24"/>
          <w:szCs w:val="24"/>
        </w:rPr>
      </w:pPr>
      <w:r>
        <w:rPr>
          <w:rFonts w:hint="eastAsia" w:hAnsi="宋体" w:cs="宋体"/>
          <w:sz w:val="24"/>
          <w:szCs w:val="24"/>
        </w:rPr>
        <w:t>3.1投标人须具有建设行政主管部门颁发的电力工程施工总承包三级及以上资质且同时具备承装（修、试）五级及以上资质，并具有有效的安全生产许可证；拟派项目负责人具有机电工程专业贰级及以上注册建造师证,有效的安全生产考核合格证或安全生产和职业健康培训合格证书，且未担任其它在施建设工程的项目负责人。</w:t>
      </w:r>
    </w:p>
    <w:p>
      <w:pPr>
        <w:spacing w:line="520" w:lineRule="exact"/>
        <w:ind w:firstLine="480" w:firstLineChars="200"/>
        <w:rPr>
          <w:rFonts w:hAnsi="宋体" w:cs="宋体"/>
          <w:sz w:val="24"/>
          <w:szCs w:val="24"/>
        </w:rPr>
      </w:pPr>
      <w:r>
        <w:rPr>
          <w:rFonts w:hint="eastAsia" w:hAnsi="宋体" w:cs="宋体"/>
          <w:sz w:val="24"/>
          <w:szCs w:val="24"/>
        </w:rPr>
        <w:t>3.2未被列入“信用中国”网站(</w:t>
      </w:r>
      <w:r>
        <w:fldChar w:fldCharType="begin"/>
      </w:r>
      <w:r>
        <w:instrText xml:space="preserve"> HYPERLINK "http://www.creditchina.gov.cn/" </w:instrText>
      </w:r>
      <w:r>
        <w:fldChar w:fldCharType="separate"/>
      </w:r>
      <w:r>
        <w:rPr>
          <w:rFonts w:hint="eastAsia" w:hAnsi="宋体" w:cs="宋体"/>
          <w:sz w:val="24"/>
          <w:szCs w:val="24"/>
        </w:rPr>
        <w:t>www.creditchina.gov.cn</w:t>
      </w:r>
      <w:r>
        <w:rPr>
          <w:rFonts w:hint="eastAsia" w:hAnsi="宋体" w:cs="宋体"/>
          <w:sz w:val="24"/>
          <w:szCs w:val="24"/>
        </w:rPr>
        <w:fldChar w:fldCharType="end"/>
      </w:r>
      <w:r>
        <w:rPr>
          <w:rFonts w:hint="eastAsia" w:hAnsi="宋体" w:cs="宋体"/>
          <w:sz w:val="24"/>
          <w:szCs w:val="24"/>
        </w:rPr>
        <w:t>)失信被执行人名单及未被列入“国家企业信用公示系统”网站（</w:t>
      </w:r>
      <w:r>
        <w:fldChar w:fldCharType="begin"/>
      </w:r>
      <w:r>
        <w:instrText xml:space="preserve"> HYPERLINK "http://www.gsxt.gov.cn/" </w:instrText>
      </w:r>
      <w:r>
        <w:fldChar w:fldCharType="separate"/>
      </w:r>
      <w:r>
        <w:rPr>
          <w:rFonts w:hint="eastAsia" w:hAnsi="宋体" w:cs="宋体"/>
          <w:sz w:val="24"/>
          <w:szCs w:val="24"/>
        </w:rPr>
        <w:t>www.gsxt.gov.cn</w:t>
      </w:r>
      <w:r>
        <w:rPr>
          <w:rFonts w:hint="eastAsia" w:hAnsi="宋体" w:cs="宋体"/>
          <w:sz w:val="24"/>
          <w:szCs w:val="24"/>
        </w:rPr>
        <w:fldChar w:fldCharType="end"/>
      </w:r>
      <w:r>
        <w:rPr>
          <w:rFonts w:hint="eastAsia" w:hAnsi="宋体" w:cs="宋体"/>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20" w:lineRule="exact"/>
        <w:ind w:firstLine="480" w:firstLineChars="200"/>
        <w:outlineLvl w:val="0"/>
        <w:rPr>
          <w:rFonts w:hAnsi="宋体" w:cs="宋体"/>
          <w:sz w:val="24"/>
          <w:szCs w:val="24"/>
        </w:rPr>
      </w:pPr>
      <w:r>
        <w:rPr>
          <w:rFonts w:hint="eastAsia" w:hAnsi="宋体" w:cs="宋体"/>
          <w:sz w:val="24"/>
          <w:szCs w:val="24"/>
        </w:rPr>
        <w:t>3.3本次招标不接受联合体投标。</w:t>
      </w:r>
    </w:p>
    <w:p>
      <w:pPr>
        <w:spacing w:line="480" w:lineRule="exact"/>
        <w:ind w:firstLine="480" w:firstLineChars="200"/>
        <w:outlineLvl w:val="0"/>
        <w:rPr>
          <w:rFonts w:hAnsi="宋体" w:cs="宋体"/>
          <w:sz w:val="24"/>
          <w:szCs w:val="24"/>
        </w:rPr>
      </w:pPr>
      <w:r>
        <w:rPr>
          <w:rFonts w:hint="eastAsia" w:hAnsi="宋体" w:cs="宋体"/>
          <w:sz w:val="24"/>
          <w:szCs w:val="24"/>
        </w:rPr>
        <w:t>3.4本次招标实行资格后审，资格审查的具体要求见招标文件。</w:t>
      </w:r>
    </w:p>
    <w:p>
      <w:pPr>
        <w:spacing w:line="48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480" w:lineRule="exact"/>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48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480" w:lineRule="exact"/>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autoSpaceDE w:val="0"/>
        <w:autoSpaceDN w:val="0"/>
        <w:adjustRightInd w:val="0"/>
        <w:spacing w:line="480" w:lineRule="exact"/>
        <w:jc w:val="left"/>
        <w:rPr>
          <w:rFonts w:hAnsi="宋体" w:cs="宋体"/>
          <w:b/>
          <w:bCs/>
          <w:sz w:val="24"/>
        </w:rPr>
      </w:pPr>
      <w:r>
        <w:rPr>
          <w:rFonts w:hint="eastAsia" w:hAnsi="宋体" w:cs="宋体"/>
          <w:b/>
          <w:bCs/>
          <w:sz w:val="24"/>
        </w:rPr>
        <w:t>6.投标文件的提交</w:t>
      </w:r>
    </w:p>
    <w:p>
      <w:pPr>
        <w:spacing w:line="480" w:lineRule="exact"/>
        <w:ind w:firstLine="465"/>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电子投标文件1份</w:t>
      </w:r>
      <w:r>
        <w:rPr>
          <w:rFonts w:hint="eastAsia" w:hAnsi="宋体" w:cs="宋体"/>
          <w:sz w:val="24"/>
          <w:szCs w:val="24"/>
        </w:rPr>
        <w:t>。</w:t>
      </w:r>
    </w:p>
    <w:p>
      <w:pPr>
        <w:spacing w:line="480" w:lineRule="exact"/>
        <w:ind w:firstLine="465"/>
        <w:rPr>
          <w:rFonts w:hAnsi="宋体" w:cs="宋体"/>
          <w:color w:val="FF0000"/>
          <w:sz w:val="24"/>
          <w:szCs w:val="24"/>
        </w:rPr>
      </w:pPr>
      <w:r>
        <w:rPr>
          <w:rFonts w:hint="eastAsia" w:hAnsi="宋体" w:cs="宋体"/>
          <w:sz w:val="24"/>
          <w:szCs w:val="24"/>
        </w:rPr>
        <w:t>6.2 投标文件提交的截止时间及开标时间：2019年 5 月 21 日09时30分。</w:t>
      </w:r>
    </w:p>
    <w:p>
      <w:pPr>
        <w:spacing w:line="48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公共资源交易系统，同时提交1份</w:t>
      </w:r>
      <w:r>
        <w:rPr>
          <w:rFonts w:hint="eastAsia" w:hAnsi="宋体" w:cs="宋体"/>
          <w:sz w:val="24"/>
        </w:rPr>
        <w:t>使用电子介质存储的备份文件。</w:t>
      </w:r>
    </w:p>
    <w:p>
      <w:pPr>
        <w:spacing w:line="48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地点：许昌市公共资源交易中心（许昌市龙兴路竹林路交汇处公共资源大厦三楼）开标二室。</w:t>
      </w:r>
    </w:p>
    <w:p>
      <w:pPr>
        <w:spacing w:line="48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480" w:lineRule="exact"/>
        <w:outlineLvl w:val="0"/>
        <w:rPr>
          <w:rFonts w:hAnsi="宋体" w:cs="宋体"/>
          <w:b/>
          <w:sz w:val="24"/>
          <w:szCs w:val="24"/>
        </w:rPr>
      </w:pPr>
      <w:r>
        <w:rPr>
          <w:rFonts w:hint="eastAsia" w:hAnsi="宋体" w:cs="宋体"/>
          <w:b/>
          <w:sz w:val="24"/>
          <w:szCs w:val="24"/>
        </w:rPr>
        <w:t>7.发布公告的媒介</w:t>
      </w:r>
    </w:p>
    <w:p>
      <w:pPr>
        <w:spacing w:line="48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spacing w:line="480" w:lineRule="exact"/>
        <w:rPr>
          <w:rFonts w:hAnsi="宋体" w:cs="宋体"/>
          <w:sz w:val="24"/>
          <w:szCs w:val="22"/>
        </w:rPr>
      </w:pPr>
      <w:r>
        <w:rPr>
          <w:rFonts w:hint="eastAsia" w:hAnsi="宋体" w:cs="宋体"/>
          <w:sz w:val="24"/>
          <w:szCs w:val="22"/>
        </w:rPr>
        <w:t>8.联系方式</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招 标 人：许昌市曹魏古城开发建设有限公司</w:t>
      </w:r>
    </w:p>
    <w:p>
      <w:pPr>
        <w:tabs>
          <w:tab w:val="left" w:pos="4140"/>
          <w:tab w:val="left" w:pos="4260"/>
        </w:tabs>
        <w:spacing w:line="480" w:lineRule="exact"/>
        <w:ind w:right="-578" w:rightChars="-170" w:firstLine="240" w:firstLineChars="100"/>
        <w:rPr>
          <w:rFonts w:hAnsi="宋体" w:cs="宋体"/>
          <w:sz w:val="24"/>
          <w:szCs w:val="24"/>
        </w:rPr>
      </w:pPr>
      <w:r>
        <w:rPr>
          <w:rFonts w:hint="eastAsia" w:hAnsi="宋体" w:cs="宋体"/>
          <w:sz w:val="24"/>
          <w:szCs w:val="24"/>
        </w:rPr>
        <w:t xml:space="preserve">  地    址：许昌市劳动路中段</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 xml:space="preserve">联 系 人：李女士  </w:t>
      </w:r>
    </w:p>
    <w:p>
      <w:pPr>
        <w:spacing w:line="480" w:lineRule="exact"/>
        <w:ind w:firstLine="465"/>
        <w:rPr>
          <w:rFonts w:hAnsi="宋体" w:cs="宋体"/>
          <w:sz w:val="24"/>
          <w:szCs w:val="24"/>
        </w:rPr>
      </w:pPr>
      <w:r>
        <w:rPr>
          <w:rFonts w:hint="eastAsia" w:hAnsi="宋体" w:cs="宋体"/>
          <w:sz w:val="24"/>
          <w:szCs w:val="24"/>
        </w:rPr>
        <w:t>联系方式：0374-6060626</w:t>
      </w:r>
    </w:p>
    <w:p>
      <w:pPr>
        <w:spacing w:line="480" w:lineRule="exact"/>
        <w:ind w:firstLine="465"/>
        <w:rPr>
          <w:rFonts w:hAnsi="宋体" w:cs="宋体"/>
          <w:sz w:val="24"/>
        </w:rPr>
      </w:pPr>
      <w:r>
        <w:rPr>
          <w:rFonts w:hint="eastAsia" w:hAnsi="宋体" w:cs="宋体"/>
          <w:sz w:val="24"/>
        </w:rPr>
        <w:t>代理机构：</w:t>
      </w:r>
      <w:r>
        <w:rPr>
          <w:rFonts w:hint="eastAsia" w:hAnsi="宋体" w:cs="Times New Roman"/>
          <w:sz w:val="24"/>
          <w:szCs w:val="24"/>
        </w:rPr>
        <w:t>许昌宏业工程招标代理有限公</w:t>
      </w:r>
      <w:r>
        <w:rPr>
          <w:rFonts w:hint="eastAsia" w:hAnsi="宋体" w:cs="宋体"/>
          <w:sz w:val="24"/>
        </w:rPr>
        <w:t>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联 系 人：辛女士</w:t>
      </w:r>
    </w:p>
    <w:p>
      <w:pPr>
        <w:spacing w:line="530" w:lineRule="exact"/>
        <w:ind w:firstLine="465"/>
        <w:rPr>
          <w:rFonts w:hAnsi="宋体"/>
          <w:sz w:val="24"/>
        </w:rPr>
      </w:pPr>
      <w:r>
        <w:rPr>
          <w:rFonts w:hint="eastAsia" w:hAnsi="宋体" w:cs="宋体"/>
          <w:sz w:val="24"/>
        </w:rPr>
        <w:t>联系电话：13598978466</w:t>
      </w: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pStyle w:val="2"/>
      </w:pPr>
    </w:p>
    <w:p>
      <w:pPr>
        <w:tabs>
          <w:tab w:val="left" w:pos="4140"/>
          <w:tab w:val="left" w:pos="4260"/>
        </w:tabs>
        <w:spacing w:line="360" w:lineRule="auto"/>
        <w:ind w:right="-578" w:rightChars="-170" w:firstLine="2520" w:firstLineChars="7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招标人</w:t>
            </w:r>
          </w:p>
        </w:tc>
        <w:tc>
          <w:tcPr>
            <w:tcW w:w="6274" w:type="dxa"/>
            <w:gridSpan w:val="2"/>
            <w:vAlign w:val="center"/>
          </w:tcPr>
          <w:p>
            <w:pPr>
              <w:tabs>
                <w:tab w:val="left" w:pos="4140"/>
                <w:tab w:val="left" w:pos="4260"/>
              </w:tabs>
              <w:spacing w:line="480" w:lineRule="exact"/>
              <w:ind w:right="-578" w:rightChars="-170"/>
              <w:rPr>
                <w:rFonts w:hAnsi="宋体" w:cs="宋体"/>
                <w:sz w:val="24"/>
                <w:szCs w:val="24"/>
              </w:rPr>
            </w:pPr>
            <w:r>
              <w:rPr>
                <w:rFonts w:hint="eastAsia" w:hAnsi="宋体" w:cs="宋体"/>
                <w:sz w:val="24"/>
                <w:szCs w:val="24"/>
              </w:rPr>
              <w:t>招 标 人：许昌市曹魏古城开发建设有限公司</w:t>
            </w:r>
          </w:p>
          <w:p>
            <w:pPr>
              <w:tabs>
                <w:tab w:val="left" w:pos="4140"/>
                <w:tab w:val="left" w:pos="4260"/>
              </w:tabs>
              <w:spacing w:line="480" w:lineRule="exact"/>
              <w:ind w:right="-578" w:rightChars="-170"/>
              <w:rPr>
                <w:rFonts w:hAnsi="宋体" w:cs="宋体"/>
                <w:sz w:val="24"/>
                <w:szCs w:val="24"/>
              </w:rPr>
            </w:pPr>
            <w:r>
              <w:rPr>
                <w:rFonts w:hint="eastAsia" w:hAnsi="宋体" w:cs="宋体"/>
                <w:sz w:val="24"/>
                <w:szCs w:val="24"/>
              </w:rPr>
              <w:t xml:space="preserve">地    址：许昌市劳动路中段 </w:t>
            </w:r>
          </w:p>
          <w:p>
            <w:pPr>
              <w:tabs>
                <w:tab w:val="left" w:pos="4140"/>
                <w:tab w:val="left" w:pos="4260"/>
              </w:tabs>
              <w:spacing w:line="480" w:lineRule="exact"/>
              <w:ind w:right="-578" w:rightChars="-170"/>
              <w:rPr>
                <w:rFonts w:hAnsi="宋体" w:cs="宋体"/>
                <w:sz w:val="24"/>
                <w:szCs w:val="24"/>
              </w:rPr>
            </w:pPr>
            <w:r>
              <w:rPr>
                <w:rFonts w:hint="eastAsia" w:hAnsi="宋体" w:cs="宋体"/>
                <w:sz w:val="24"/>
                <w:szCs w:val="24"/>
              </w:rPr>
              <w:t>联 系 人：李女士</w:t>
            </w:r>
          </w:p>
          <w:p>
            <w:pPr>
              <w:spacing w:line="480" w:lineRule="exact"/>
              <w:rPr>
                <w:rFonts w:hAnsi="宋体" w:eastAsia="宋体" w:cs="宋体"/>
                <w:sz w:val="24"/>
              </w:rPr>
            </w:pPr>
            <w:r>
              <w:rPr>
                <w:rFonts w:hint="eastAsia" w:hAnsi="宋体" w:cs="宋体"/>
                <w:sz w:val="24"/>
                <w:szCs w:val="24"/>
              </w:rPr>
              <w:t>联系方式：0374-6060626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代理机构：许昌宏业工程招标代理有限公司</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 xml:space="preserve">地    址：许昌市东城区创业服务中心 </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联 系 人：辛女士</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360" w:lineRule="auto"/>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pStyle w:val="2"/>
            </w:pPr>
            <w:r>
              <w:rPr>
                <w:rFonts w:hint="eastAsia" w:hAnsi="宋体" w:cs="宋体"/>
                <w:sz w:val="24"/>
                <w:szCs w:val="24"/>
              </w:rPr>
              <w:t>曹魏古城北城门及两侧地块供配电工程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pStyle w:val="2"/>
            </w:pPr>
            <w:r>
              <w:rPr>
                <w:rFonts w:hint="eastAsia" w:hAnsi="宋体"/>
                <w:sz w:val="24"/>
                <w:szCs w:val="24"/>
              </w:rPr>
              <w:t>许昌市魏都区北大街两侧，北邻北顺河街，南邻北城墙街。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360" w:lineRule="auto"/>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sz w:val="24"/>
                <w:szCs w:val="24"/>
              </w:rPr>
              <w:t xml:space="preserve"> 100日历天(接甲方通知进场之日起)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资质条件：</w:t>
            </w:r>
          </w:p>
          <w:p>
            <w:pPr>
              <w:autoSpaceDE w:val="0"/>
              <w:autoSpaceDN w:val="0"/>
              <w:adjustRightInd w:val="0"/>
              <w:spacing w:line="360" w:lineRule="auto"/>
              <w:ind w:firstLine="480" w:firstLineChars="200"/>
              <w:jc w:val="left"/>
              <w:rPr>
                <w:rFonts w:hAnsi="宋体" w:eastAsia="宋体" w:cs="宋体"/>
                <w:color w:val="000000"/>
                <w:sz w:val="24"/>
                <w:szCs w:val="24"/>
                <w:shd w:val="clear" w:color="auto" w:fill="FFFFFF"/>
              </w:rPr>
            </w:pPr>
            <w:r>
              <w:rPr>
                <w:rFonts w:hint="eastAsia" w:hAnsi="宋体" w:eastAsia="宋体" w:cs="宋体"/>
                <w:color w:val="000000"/>
                <w:sz w:val="24"/>
                <w:szCs w:val="24"/>
                <w:shd w:val="clear" w:color="auto" w:fill="FFFFFF"/>
              </w:rPr>
              <w:t>投标人须具有建设行政主管部门颁发的电力工程施工总承包三级及以上资质且同时具备承装（修、试）五级及以上资质，并具有有效的安全生产许可证；</w:t>
            </w:r>
            <w:r>
              <w:rPr>
                <w:rFonts w:hint="eastAsia" w:hAnsi="宋体" w:cs="宋体"/>
                <w:sz w:val="24"/>
                <w:szCs w:val="24"/>
              </w:rPr>
              <w:t>拟派项目负责人具有机电工程专业贰级及以上注册建造师证,有效的安全生产考核合格证或安全生产和职业健康培训合格证书，</w:t>
            </w:r>
            <w:r>
              <w:rPr>
                <w:rFonts w:hint="eastAsia" w:hAnsi="宋体" w:eastAsia="宋体" w:cs="宋体"/>
                <w:color w:val="000000"/>
                <w:sz w:val="24"/>
                <w:szCs w:val="24"/>
                <w:shd w:val="clear" w:color="auto" w:fill="FFFFFF"/>
              </w:rPr>
              <w:t>且未担任其它在施建设工程的项目负责人。</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未被列入“信用中国”网站(</w:t>
            </w:r>
            <w:r>
              <w:fldChar w:fldCharType="begin"/>
            </w:r>
            <w:r>
              <w:instrText xml:space="preserve"> HYPERLINK "http://www.creditchina.gov.cn/" </w:instrText>
            </w:r>
            <w:r>
              <w:fldChar w:fldCharType="separate"/>
            </w:r>
            <w:r>
              <w:rPr>
                <w:rFonts w:hint="eastAsia" w:hAnsi="宋体" w:cs="宋体"/>
                <w:sz w:val="24"/>
                <w:szCs w:val="24"/>
              </w:rPr>
              <w:t>www.creditchina.gov.cn</w:t>
            </w:r>
            <w:r>
              <w:rPr>
                <w:rFonts w:hint="eastAsia" w:hAnsi="宋体" w:cs="宋体"/>
                <w:sz w:val="24"/>
                <w:szCs w:val="24"/>
              </w:rPr>
              <w:fldChar w:fldCharType="end"/>
            </w:r>
            <w:r>
              <w:rPr>
                <w:rFonts w:hint="eastAsia" w:hAnsi="宋体" w:cs="宋体"/>
                <w:sz w:val="24"/>
                <w:szCs w:val="24"/>
              </w:rPr>
              <w:t>)失信被执行人名单及未被列入“国家企业信用公示系统”网站（</w:t>
            </w:r>
            <w:r>
              <w:fldChar w:fldCharType="begin"/>
            </w:r>
            <w:r>
              <w:instrText xml:space="preserve"> HYPERLINK "http://www.gsxt.gov.cn/" </w:instrText>
            </w:r>
            <w:r>
              <w:fldChar w:fldCharType="separate"/>
            </w:r>
            <w:r>
              <w:rPr>
                <w:rFonts w:hint="eastAsia" w:hAnsi="宋体" w:cs="宋体"/>
                <w:sz w:val="24"/>
                <w:szCs w:val="24"/>
              </w:rPr>
              <w:t>www.gsxt.gov.cn</w:t>
            </w:r>
            <w:r>
              <w:rPr>
                <w:rFonts w:hint="eastAsia" w:hAnsi="宋体" w:cs="宋体"/>
                <w:sz w:val="24"/>
                <w:szCs w:val="24"/>
              </w:rPr>
              <w:fldChar w:fldCharType="end"/>
            </w:r>
            <w:r>
              <w:rPr>
                <w:rFonts w:hint="eastAsia" w:hAnsi="宋体" w:cs="宋体"/>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ind w:firstLine="480" w:firstLineChars="200"/>
              <w:jc w:val="left"/>
              <w:rPr>
                <w:rFonts w:hAnsi="宋体" w:eastAsia="宋体" w:cs="宋体"/>
                <w:sz w:val="24"/>
              </w:rPr>
            </w:pP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auto"/>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eastAsia="宋体" w:cs="宋体"/>
                <w:sz w:val="24"/>
              </w:rPr>
            </w:pPr>
            <w:r>
              <w:rPr>
                <w:rFonts w:hint="eastAsia" w:hAnsi="宋体" w:eastAsia="宋体" w:cs="宋体"/>
                <w:sz w:val="24"/>
              </w:rPr>
              <w:t>1.10.3</w:t>
            </w:r>
          </w:p>
        </w:tc>
        <w:tc>
          <w:tcPr>
            <w:tcW w:w="2590" w:type="dxa"/>
            <w:gridSpan w:val="3"/>
            <w:vAlign w:val="center"/>
          </w:tcPr>
          <w:p>
            <w:pPr>
              <w:spacing w:line="360" w:lineRule="auto"/>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60" w:lineRule="auto"/>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60" w:lineRule="auto"/>
              <w:jc w:val="left"/>
              <w:rPr>
                <w:rFonts w:eastAsia="宋体"/>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2019 年 5 月 21 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p>
          <w:p>
            <w:pPr>
              <w:autoSpaceDE w:val="0"/>
              <w:autoSpaceDN w:val="0"/>
              <w:adjustRightInd w:val="0"/>
              <w:spacing w:line="360" w:lineRule="auto"/>
              <w:rPr>
                <w:rFonts w:hAnsi="宋体" w:eastAsia="宋体" w:cs="宋体"/>
                <w:b/>
                <w:bCs/>
                <w:sz w:val="24"/>
              </w:rPr>
            </w:pPr>
            <w:r>
              <w:rPr>
                <w:rFonts w:hint="eastAsia" w:hAnsi="宋体" w:eastAsia="宋体" w:cs="宋体"/>
                <w:b/>
                <w:bCs/>
                <w:sz w:val="24"/>
              </w:rPr>
              <w:t>金额：陆万伍仟元整（￥65000.00元）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Ansi="宋体" w:eastAsia="宋体" w:cs="宋体"/>
                <w:b/>
                <w:szCs w:val="21"/>
              </w:rPr>
            </w:pPr>
            <w:r>
              <w:rPr>
                <w:rFonts w:hint="eastAsia" w:cs="TimesNewRomanPSMT"/>
                <w:sz w:val="24"/>
              </w:rPr>
              <w:t>近年，指2015、2016、2017年度(不足年份按成立年份起)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spacing w:line="360" w:lineRule="auto"/>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无诉讼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color w:val="5B9BD5"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sz w:val="24"/>
                <w:szCs w:val="24"/>
              </w:rPr>
            </w:pPr>
            <w:r>
              <w:rPr>
                <w:rFonts w:hint="eastAsia" w:hAnsi="宋体" w:eastAsia="宋体"/>
                <w:sz w:val="24"/>
                <w:szCs w:val="24"/>
              </w:rPr>
              <w:t>电子介质存储的投标文件应密封包装，</w:t>
            </w:r>
            <w:r>
              <w:rPr>
                <w:rFonts w:hint="eastAsia" w:hAnsi="宋体" w:cs="宋体"/>
                <w:color w:val="000000" w:themeColor="text1"/>
                <w:sz w:val="24"/>
              </w:rPr>
              <w:t>并加盖单位公章，法定代表人或委托代理人签名。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360" w:lineRule="auto"/>
              <w:jc w:val="left"/>
              <w:rPr>
                <w:rFonts w:hint="eastAsia" w:hAnsi="宋体" w:eastAsia="宋体" w:cs="宋体"/>
                <w:sz w:val="24"/>
                <w:lang w:val="en-US" w:eastAsia="zh-CN"/>
              </w:rPr>
            </w:pPr>
            <w:r>
              <w:rPr>
                <w:rFonts w:hint="eastAsia" w:hAnsi="宋体" w:eastAsia="宋体" w:cs="宋体"/>
                <w:sz w:val="24"/>
                <w:u w:val="single"/>
              </w:rPr>
              <w:t xml:space="preserve">         （工程名称）     </w:t>
            </w:r>
            <w:r>
              <w:rPr>
                <w:rFonts w:hint="eastAsia" w:hAnsi="宋体" w:eastAsia="宋体" w:cs="宋体"/>
                <w:sz w:val="24"/>
              </w:rPr>
              <w:t>投标文件在2019年</w:t>
            </w: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日</w:t>
            </w:r>
            <w:r>
              <w:rPr>
                <w:rFonts w:hint="eastAsia" w:hAnsi="宋体" w:eastAsia="宋体" w:cs="宋体"/>
                <w:sz w:val="24"/>
                <w:lang w:val="en-US" w:eastAsia="zh-CN"/>
              </w:rPr>
              <w:t xml:space="preserve"> </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 xml:space="preserve">  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Ansi="宋体" w:eastAsia="宋体" w:cs="宋体"/>
                <w:sz w:val="24"/>
                <w:u w:val="single"/>
              </w:rPr>
            </w:pPr>
            <w:r>
              <w:rPr>
                <w:rFonts w:hint="eastAsia" w:hAnsi="宋体" w:eastAsia="宋体" w:cs="宋体"/>
                <w:sz w:val="24"/>
                <w:u w:val="single"/>
              </w:rPr>
              <w:t>许昌市公共资源交易中心开标二室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10.1.1</w:t>
            </w:r>
          </w:p>
        </w:tc>
        <w:tc>
          <w:tcPr>
            <w:tcW w:w="1571" w:type="dxa"/>
            <w:shd w:val="clear" w:color="auto" w:fill="auto"/>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类似项目</w:t>
            </w:r>
          </w:p>
        </w:tc>
        <w:tc>
          <w:tcPr>
            <w:tcW w:w="7219" w:type="dxa"/>
            <w:gridSpan w:val="3"/>
            <w:shd w:val="clear" w:color="auto" w:fill="auto"/>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szCs w:val="24"/>
              </w:rPr>
              <w:t>指电力工程项目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autoSpaceDE w:val="0"/>
              <w:autoSpaceDN w:val="0"/>
              <w:adjustRightInd w:val="0"/>
              <w:spacing w:line="360" w:lineRule="auto"/>
              <w:jc w:val="left"/>
              <w:rPr>
                <w:rFonts w:hAnsi="宋体" w:eastAsia="宋体" w:cs="宋体"/>
                <w:b/>
                <w:sz w:val="24"/>
              </w:rPr>
            </w:pPr>
            <w:r>
              <w:rPr>
                <w:rFonts w:hint="eastAsia" w:hAnsi="宋体" w:eastAsia="宋体" w:cs="宋体"/>
                <w:b/>
                <w:bCs/>
                <w:sz w:val="24"/>
              </w:rPr>
              <w:t>大写：叁佰贰拾陆万零壹佰玖拾贰元壹角柒分</w:t>
            </w:r>
          </w:p>
          <w:p>
            <w:pPr>
              <w:autoSpaceDE w:val="0"/>
              <w:autoSpaceDN w:val="0"/>
              <w:adjustRightInd w:val="0"/>
              <w:spacing w:line="360" w:lineRule="auto"/>
              <w:jc w:val="left"/>
              <w:rPr>
                <w:rFonts w:hAnsi="宋体" w:eastAsia="宋体" w:cs="宋体"/>
                <w:b/>
                <w:sz w:val="24"/>
              </w:rPr>
            </w:pPr>
            <w:r>
              <w:rPr>
                <w:rFonts w:hint="eastAsia" w:hAnsi="宋体" w:eastAsia="宋体" w:cs="宋体"/>
                <w:b/>
                <w:sz w:val="24"/>
              </w:rPr>
              <w:t>小写：3260192.17元</w:t>
            </w:r>
          </w:p>
          <w:p>
            <w:pPr>
              <w:autoSpaceDE w:val="0"/>
              <w:autoSpaceDN w:val="0"/>
              <w:adjustRightInd w:val="0"/>
              <w:spacing w:line="360" w:lineRule="auto"/>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Ansi="宋体" w:eastAsia="宋体" w:cs="宋体"/>
                <w:sz w:val="24"/>
              </w:rPr>
            </w:pPr>
          </w:p>
        </w:tc>
        <w:tc>
          <w:tcPr>
            <w:tcW w:w="3037" w:type="dxa"/>
            <w:gridSpan w:val="3"/>
            <w:vAlign w:val="center"/>
          </w:tcPr>
          <w:p>
            <w:pPr>
              <w:spacing w:line="360" w:lineRule="auto"/>
              <w:jc w:val="center"/>
              <w:rPr>
                <w:rFonts w:hAnsi="宋体" w:eastAsia="宋体" w:cs="宋体"/>
                <w:sz w:val="24"/>
              </w:rPr>
            </w:pPr>
            <w:r>
              <w:rPr>
                <w:rFonts w:hint="eastAsia" w:hAnsi="宋体" w:eastAsia="宋体" w:cs="宋体"/>
                <w:sz w:val="24"/>
              </w:rPr>
              <w:t>技术标是否采用“暗标”</w:t>
            </w:r>
          </w:p>
          <w:p>
            <w:pPr>
              <w:spacing w:line="360" w:lineRule="auto"/>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eastAsia="宋体"/>
              </w:rPr>
            </w:pPr>
            <w:r>
              <w:rPr>
                <w:rFonts w:hint="eastAsia" w:hAnsi="宋体" w:eastAsia="宋体" w:cs="宋体"/>
                <w:b/>
                <w:sz w:val="24"/>
              </w:rPr>
              <w:t>1、开标时各投标人的法定代表人或授权委托人持身份证及授权委托书原件，到开标现场签到，缺席或逾期不到者视为放弃。各投标单位参加会议人数不得多于二人。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1、逾期送达的或者未送达指定地点的电子介质存储投标文件；</w:t>
            </w:r>
          </w:p>
          <w:p>
            <w:pPr>
              <w:spacing w:line="360" w:lineRule="auto"/>
              <w:rPr>
                <w:rFonts w:hAnsi="宋体" w:eastAsia="宋体" w:cs="宋体"/>
                <w:sz w:val="24"/>
              </w:rPr>
            </w:pPr>
            <w:r>
              <w:rPr>
                <w:rFonts w:hint="eastAsia" w:hAnsi="宋体" w:eastAsia="宋体" w:cs="宋体"/>
                <w:sz w:val="24"/>
              </w:rPr>
              <w:t>2、电子介质存储的投标文件未按招标文件要求密封的；</w:t>
            </w:r>
          </w:p>
          <w:p>
            <w:pPr>
              <w:spacing w:line="360" w:lineRule="auto"/>
              <w:rPr>
                <w:rFonts w:hAnsi="宋体" w:eastAsia="宋体" w:cs="宋体"/>
                <w:sz w:val="24"/>
              </w:rPr>
            </w:pPr>
            <w:r>
              <w:rPr>
                <w:rFonts w:hint="eastAsia" w:hAnsi="宋体" w:eastAsia="宋体" w:cs="宋体"/>
                <w:sz w:val="24"/>
              </w:rPr>
              <w:t>3、未按招标文件要求缴纳投标保证金的；</w:t>
            </w:r>
          </w:p>
          <w:p>
            <w:pPr>
              <w:spacing w:line="360" w:lineRule="auto"/>
            </w:pPr>
            <w:r>
              <w:rPr>
                <w:rFonts w:hint="eastAsia" w:hAnsi="宋体" w:eastAsia="宋体" w:cs="宋体"/>
                <w:sz w:val="24"/>
              </w:rPr>
              <w:t>4、开标时法人或授权委托人（持有效的授权委托书原件）未携带本人身份证原件到开标现场并签到的。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hAnsi="宋体" w:cs="宋体"/>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pStyle w:val="2"/>
              <w:rPr>
                <w:rFonts w:ascii="黑体" w:hAnsi="黑体" w:eastAsia="黑体" w:cs="黑体"/>
                <w:b/>
                <w:sz w:val="24"/>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pStyle w:val="2"/>
              <w:rPr>
                <w:color w:val="FF0000"/>
              </w:rPr>
            </w:pPr>
            <w:r>
              <w:rPr>
                <w:rFonts w:hint="eastAsia" w:ascii="黑体" w:hAnsi="黑体" w:eastAsia="黑体" w:cs="黑体"/>
                <w:b w:val="0"/>
                <w:bCs/>
                <w:sz w:val="24"/>
              </w:rPr>
              <w:t>10</w:t>
            </w:r>
            <w:r>
              <w:rPr>
                <w:rFonts w:hint="eastAsia" w:ascii="黑体" w:hAnsi="黑体" w:eastAsia="黑体" w:cs="黑体"/>
                <w:b w:val="0"/>
                <w:bCs/>
                <w:color w:val="auto"/>
                <w:sz w:val="24"/>
              </w:rPr>
              <w:t>、</w:t>
            </w:r>
            <w:r>
              <w:rPr>
                <w:rFonts w:hint="eastAsia"/>
                <w:b w:val="0"/>
                <w:bCs/>
                <w:color w:val="auto"/>
                <w:sz w:val="24"/>
                <w:szCs w:val="24"/>
              </w:rPr>
              <w:t>投标人报价中应包含但不限于完成图纸对应工程总量及合同约定的施工内容并经电力主管部门验收合格后正式供电的所有费用,</w:t>
            </w:r>
            <w:r>
              <w:rPr>
                <w:rFonts w:hint="eastAsia" w:hAnsi="宋体" w:cs="宋体"/>
                <w:b w:val="0"/>
                <w:bCs/>
                <w:color w:val="auto"/>
                <w:sz w:val="24"/>
                <w:szCs w:val="24"/>
              </w:rPr>
              <w:t>且有与当地电力部门负责供用电方面的协调能力。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r>
              <w:rPr>
                <w:rFonts w:hint="eastAsia"/>
                <w:sz w:val="24"/>
              </w:rPr>
              <w:t>10.13</w:t>
            </w:r>
          </w:p>
        </w:tc>
        <w:tc>
          <w:tcPr>
            <w:tcW w:w="8790" w:type="dxa"/>
            <w:gridSpan w:val="4"/>
            <w:vAlign w:val="center"/>
          </w:tcPr>
          <w:p>
            <w:pPr>
              <w:autoSpaceDE w:val="0"/>
              <w:autoSpaceDN w:val="0"/>
              <w:adjustRightInd w:val="0"/>
              <w:snapToGrid w:val="0"/>
              <w:spacing w:line="420" w:lineRule="exact"/>
              <w:jc w:val="left"/>
              <w:rPr>
                <w:rFonts w:ascii="黑体" w:hAnsi="黑体" w:eastAsia="黑体" w:cs="黑体"/>
                <w:b/>
                <w:color w:val="000000"/>
                <w:sz w:val="24"/>
              </w:rPr>
            </w:pPr>
            <w:r>
              <w:rPr>
                <w:rFonts w:hint="eastAsia" w:hAnsi="宋体" w:cs="宋体"/>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bookmarkStart w:id="7" w:name="_Toc283559947"/>
          </w:p>
        </w:tc>
        <w:tc>
          <w:tcPr>
            <w:tcW w:w="8790" w:type="dxa"/>
            <w:gridSpan w:val="4"/>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中标单位在签订合同前需向甲方（业主）足额缴纳履约保证金。</w:t>
            </w:r>
          </w:p>
          <w:p>
            <w:pPr>
              <w:autoSpaceDE w:val="0"/>
              <w:autoSpaceDN w:val="0"/>
              <w:adjustRightInd w:val="0"/>
              <w:snapToGrid w:val="0"/>
              <w:spacing w:line="420" w:lineRule="exact"/>
              <w:jc w:val="left"/>
              <w:rPr>
                <w:rFonts w:hAnsi="宋体" w:cs="宋体"/>
                <w:sz w:val="24"/>
              </w:rPr>
            </w:pPr>
            <w:r>
              <w:rPr>
                <w:rFonts w:hint="eastAsia" w:hAnsi="宋体" w:cs="宋体"/>
                <w:sz w:val="24"/>
              </w:rPr>
              <w:t>（1）缴纳金额：按中标价的3%收取履约保证金；</w:t>
            </w:r>
          </w:p>
          <w:p>
            <w:pPr>
              <w:autoSpaceDE w:val="0"/>
              <w:autoSpaceDN w:val="0"/>
              <w:adjustRightInd w:val="0"/>
              <w:snapToGrid w:val="0"/>
              <w:spacing w:line="420" w:lineRule="exact"/>
              <w:jc w:val="left"/>
              <w:rPr>
                <w:sz w:val="24"/>
                <w:szCs w:val="24"/>
              </w:rPr>
            </w:pPr>
            <w:r>
              <w:rPr>
                <w:rFonts w:hint="eastAsia"/>
                <w:sz w:val="24"/>
                <w:szCs w:val="24"/>
              </w:rPr>
              <w:t>（2）缴纳方式：银行保函或银行转账；</w:t>
            </w:r>
          </w:p>
          <w:p>
            <w:pPr>
              <w:autoSpaceDE w:val="0"/>
              <w:autoSpaceDN w:val="0"/>
              <w:adjustRightInd w:val="0"/>
              <w:snapToGrid w:val="0"/>
              <w:spacing w:line="420" w:lineRule="exact"/>
              <w:jc w:val="left"/>
              <w:rPr>
                <w:rFonts w:ascii="黑体" w:hAnsi="黑体" w:eastAsia="黑体" w:cs="黑体"/>
                <w:b/>
                <w:color w:val="000000"/>
                <w:sz w:val="24"/>
              </w:rPr>
            </w:pPr>
            <w:r>
              <w:rPr>
                <w:rFonts w:hint="eastAsia" w:hAnsi="宋体" w:cs="宋体"/>
                <w:color w:val="auto"/>
                <w:sz w:val="24"/>
                <w:szCs w:val="24"/>
              </w:rPr>
              <w:t>（3）</w:t>
            </w:r>
            <w:r>
              <w:rPr>
                <w:rFonts w:hint="eastAsia"/>
                <w:color w:val="auto"/>
                <w:sz w:val="24"/>
                <w:szCs w:val="24"/>
              </w:rPr>
              <w:t>银行保函期限：合同工期。</w:t>
            </w:r>
          </w:p>
        </w:tc>
      </w:tr>
    </w:tbl>
    <w:p>
      <w:pPr>
        <w:autoSpaceDE w:val="0"/>
        <w:autoSpaceDN w:val="0"/>
        <w:spacing w:line="360" w:lineRule="auto"/>
        <w:jc w:val="left"/>
        <w:outlineLvl w:val="0"/>
        <w:rPr>
          <w:rFonts w:hAnsi="宋体" w:cs="宋体"/>
          <w:sz w:val="24"/>
        </w:rPr>
      </w:pPr>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52045538"/>
      <w:bookmarkStart w:id="21" w:name="_Toc179632555"/>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报表附注）的原件扫描件，具体年份要求见投标人须知前附表（新成立不足三年的企业提供自成立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合同和中标通知书</w:t>
      </w:r>
      <w:r>
        <w:rPr>
          <w:rFonts w:hint="eastAsia" w:hAnsi="宋体" w:cs="宋体"/>
          <w:sz w:val="24"/>
        </w:rPr>
        <w:t>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5553"/>
      <w:bookmarkStart w:id="42" w:name="_Toc152042329"/>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电子介质存储的投标文件应单独密封，封套上写明“招标人地址、招标人名称、项目名称，在年月日时分前不得开启”，并加盖单位公章，法定代表人或委托代理人签名，在投标截止时间前递交。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1"/>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240" w:firstLineChars="100"/>
        <w:rPr>
          <w:rFonts w:hAnsi="宋体" w:cs="宋体"/>
          <w:b/>
          <w:bCs/>
          <w:sz w:val="24"/>
          <w:szCs w:val="24"/>
        </w:rPr>
      </w:pPr>
      <w:r>
        <w:rPr>
          <w:rFonts w:hint="eastAsia" w:hAnsi="宋体" w:cs="宋体"/>
          <w:b/>
          <w:bCs/>
          <w:sz w:val="24"/>
          <w:szCs w:val="24"/>
        </w:rPr>
        <w:t>（四）综合（信用）标（20分）</w:t>
      </w:r>
    </w:p>
    <w:p>
      <w:pPr>
        <w:snapToGrid w:val="0"/>
        <w:spacing w:line="360" w:lineRule="auto"/>
        <w:ind w:firstLine="240" w:firstLineChars="100"/>
        <w:rPr>
          <w:rFonts w:hAnsi="宋体" w:cs="宋体"/>
          <w:b/>
          <w:bCs/>
          <w:sz w:val="24"/>
          <w:szCs w:val="24"/>
        </w:rPr>
      </w:pPr>
      <w:bookmarkStart w:id="70" w:name="_Toc270931534"/>
      <w:bookmarkStart w:id="71" w:name="_Toc295572535"/>
      <w:bookmarkStart w:id="72" w:name="_Toc273546398"/>
      <w:bookmarkStart w:id="73" w:name="_Toc272833453"/>
      <w:r>
        <w:rPr>
          <w:rFonts w:hint="eastAsia" w:hAnsi="宋体" w:cs="宋体"/>
          <w:b/>
          <w:bCs/>
          <w:sz w:val="24"/>
          <w:szCs w:val="24"/>
        </w:rPr>
        <w:t xml:space="preserve">  1、项目班子配备（0-4分）</w:t>
      </w:r>
    </w:p>
    <w:p>
      <w:pPr>
        <w:snapToGrid w:val="0"/>
        <w:spacing w:line="360" w:lineRule="auto"/>
        <w:ind w:firstLine="481"/>
        <w:rPr>
          <w:rFonts w:hAnsi="宋体" w:cs="宋体"/>
          <w:sz w:val="24"/>
          <w:szCs w:val="24"/>
        </w:rPr>
      </w:pPr>
      <w:r>
        <w:rPr>
          <w:rFonts w:hint="eastAsia" w:hAnsi="宋体" w:cs="宋体"/>
          <w:sz w:val="24"/>
          <w:szCs w:val="24"/>
        </w:rPr>
        <w:t>1.1拟派项目技术负责人为中级职称者得1分，高级职称</w:t>
      </w:r>
      <w:r>
        <w:rPr>
          <w:rFonts w:hint="eastAsia" w:hAnsi="宋体" w:cs="宋体"/>
          <w:sz w:val="24"/>
          <w:szCs w:val="24"/>
          <w:lang w:eastAsia="zh-CN"/>
        </w:rPr>
        <w:t>者</w:t>
      </w:r>
      <w:r>
        <w:rPr>
          <w:rFonts w:hint="eastAsia" w:hAnsi="宋体" w:cs="宋体"/>
          <w:sz w:val="24"/>
          <w:szCs w:val="24"/>
        </w:rPr>
        <w:t>得2分，本项最高得2分。</w:t>
      </w:r>
    </w:p>
    <w:p>
      <w:pPr>
        <w:snapToGrid w:val="0"/>
        <w:spacing w:line="360" w:lineRule="auto"/>
        <w:ind w:firstLine="481"/>
        <w:rPr>
          <w:rFonts w:hAnsi="宋体" w:cs="宋体"/>
          <w:sz w:val="24"/>
          <w:szCs w:val="24"/>
        </w:rPr>
      </w:pPr>
      <w:r>
        <w:rPr>
          <w:rFonts w:hint="eastAsia" w:hAnsi="宋体" w:cs="宋体"/>
          <w:sz w:val="24"/>
          <w:szCs w:val="24"/>
        </w:rPr>
        <w:t>1.2拟派项目班子中施工员、质检员、质量员、资料员证件齐全者得2分，每缺一个证件扣0.5分，扣完为止。（以证书为准）</w:t>
      </w:r>
    </w:p>
    <w:p>
      <w:pPr>
        <w:snapToGrid w:val="0"/>
        <w:spacing w:line="360" w:lineRule="auto"/>
        <w:ind w:firstLine="481"/>
        <w:rPr>
          <w:rFonts w:hAnsi="宋体" w:cs="宋体"/>
          <w:b/>
          <w:bCs/>
          <w:sz w:val="24"/>
          <w:szCs w:val="24"/>
        </w:rPr>
      </w:pPr>
      <w:r>
        <w:rPr>
          <w:rFonts w:hint="eastAsia" w:hAnsi="宋体" w:cs="宋体"/>
          <w:b/>
          <w:bCs/>
          <w:sz w:val="24"/>
          <w:szCs w:val="24"/>
        </w:rPr>
        <w:t>2、企业综合信用（0-6分）</w:t>
      </w:r>
    </w:p>
    <w:p>
      <w:pPr>
        <w:snapToGrid w:val="0"/>
        <w:spacing w:line="360" w:lineRule="auto"/>
        <w:ind w:firstLine="481"/>
        <w:rPr>
          <w:rFonts w:hAnsi="宋体" w:cs="宋体"/>
          <w:sz w:val="24"/>
          <w:szCs w:val="24"/>
        </w:rPr>
      </w:pPr>
      <w:r>
        <w:rPr>
          <w:rFonts w:hint="eastAsia" w:hAnsi="宋体" w:cs="宋体"/>
          <w:sz w:val="24"/>
          <w:szCs w:val="24"/>
        </w:rPr>
        <w:t>2.1企业近年来承建过类似项目每项得3分，本项最高得6分（须提供合同和中标通知书</w:t>
      </w:r>
      <w:r>
        <w:rPr>
          <w:rFonts w:hint="eastAsia" w:hAnsi="宋体" w:cs="宋体"/>
          <w:sz w:val="24"/>
          <w:szCs w:val="24"/>
          <w:lang w:eastAsia="zh-CN"/>
        </w:rPr>
        <w:t>，以合同签订日期为准</w:t>
      </w:r>
      <w:r>
        <w:rPr>
          <w:rFonts w:hint="eastAsia" w:hAnsi="宋体" w:cs="宋体"/>
          <w:sz w:val="24"/>
          <w:szCs w:val="24"/>
        </w:rPr>
        <w:t>）。</w:t>
      </w:r>
    </w:p>
    <w:p>
      <w:pPr>
        <w:snapToGrid w:val="0"/>
        <w:spacing w:line="360" w:lineRule="auto"/>
        <w:ind w:firstLine="481"/>
        <w:rPr>
          <w:rFonts w:hAnsi="宋体" w:cs="宋体"/>
          <w:b/>
          <w:bCs/>
          <w:sz w:val="24"/>
          <w:szCs w:val="24"/>
        </w:rPr>
      </w:pPr>
      <w:r>
        <w:rPr>
          <w:rFonts w:hint="eastAsia" w:hAnsi="宋体" w:cs="宋体"/>
          <w:b/>
          <w:bCs/>
          <w:sz w:val="24"/>
          <w:szCs w:val="24"/>
        </w:rPr>
        <w:t>3、项目负责人业绩及信用(0-3分)</w:t>
      </w:r>
    </w:p>
    <w:p>
      <w:pPr>
        <w:snapToGrid w:val="0"/>
        <w:spacing w:line="360" w:lineRule="auto"/>
        <w:ind w:firstLine="240" w:firstLineChars="100"/>
        <w:rPr>
          <w:rFonts w:hAnsi="宋体" w:cs="宋体"/>
          <w:sz w:val="24"/>
          <w:szCs w:val="24"/>
        </w:rPr>
      </w:pPr>
      <w:r>
        <w:rPr>
          <w:rFonts w:hint="eastAsia" w:hAnsi="宋体" w:cs="宋体"/>
          <w:sz w:val="24"/>
          <w:szCs w:val="24"/>
        </w:rPr>
        <w:t>3.1 近年来拟派项目负责人承建过类似项目每项得3分，本项最高得3分（须提供合同和中标通知书，若上述资料不显示项目负责人姓名，还须同时提供建设单位出具的相关证明文件</w:t>
      </w:r>
      <w:r>
        <w:rPr>
          <w:rFonts w:hint="eastAsia" w:hAnsi="宋体" w:cs="宋体"/>
          <w:sz w:val="24"/>
          <w:szCs w:val="24"/>
          <w:lang w:eastAsia="zh-CN"/>
        </w:rPr>
        <w:t>，以合同签订日期为准</w:t>
      </w:r>
      <w:r>
        <w:rPr>
          <w:rFonts w:hint="eastAsia" w:hAnsi="宋体" w:cs="宋体"/>
          <w:sz w:val="24"/>
          <w:szCs w:val="24"/>
        </w:rPr>
        <w:t>）。</w:t>
      </w:r>
    </w:p>
    <w:p>
      <w:pPr>
        <w:snapToGrid w:val="0"/>
        <w:spacing w:line="360" w:lineRule="auto"/>
        <w:ind w:firstLine="240" w:firstLineChars="100"/>
        <w:rPr>
          <w:rFonts w:hAnsi="宋体" w:cs="宋体"/>
          <w:sz w:val="24"/>
          <w:szCs w:val="24"/>
        </w:rPr>
      </w:pPr>
      <w:r>
        <w:rPr>
          <w:rFonts w:hint="eastAsia" w:hAnsi="宋体" w:cs="宋体"/>
          <w:b/>
          <w:bCs/>
          <w:sz w:val="24"/>
          <w:szCs w:val="24"/>
        </w:rPr>
        <w:t xml:space="preserve">  4、服务承诺（含不拖欠农民工工资承诺、扬尘治理、</w:t>
      </w:r>
      <w:r>
        <w:rPr>
          <w:rFonts w:hint="eastAsia" w:hAnsi="宋体" w:cs="宋体"/>
          <w:b/>
          <w:bCs/>
          <w:color w:val="auto"/>
          <w:sz w:val="24"/>
          <w:szCs w:val="24"/>
        </w:rPr>
        <w:t>供电部门及时送电</w:t>
      </w:r>
      <w:r>
        <w:rPr>
          <w:rFonts w:hint="eastAsia" w:hAnsi="宋体" w:cs="宋体"/>
          <w:b/>
          <w:bCs/>
          <w:sz w:val="24"/>
          <w:szCs w:val="24"/>
        </w:rPr>
        <w:t>等内容）(0-7分)</w:t>
      </w:r>
    </w:p>
    <w:p>
      <w:pPr>
        <w:snapToGrid w:val="0"/>
        <w:spacing w:line="360" w:lineRule="auto"/>
        <w:ind w:firstLine="481"/>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338" w:firstLineChars="141"/>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pPr>
      <w:r>
        <w:rPr>
          <w:rFonts w:hint="eastAsia" w:hAnsi="宋体" w:cs="宋体"/>
          <w:sz w:val="24"/>
          <w:szCs w:val="24"/>
        </w:rPr>
        <w:t>投标人综合得分＝技术标得分＋商务标得分＋综合（信用）标得分 。</w:t>
      </w:r>
    </w:p>
    <w:p>
      <w:pPr>
        <w:snapToGrid w:val="0"/>
        <w:spacing w:line="360" w:lineRule="auto"/>
        <w:rPr>
          <w:rFonts w:hAnsi="宋体" w:cs="宋体"/>
          <w:b/>
          <w:bCs/>
          <w:sz w:val="24"/>
          <w:szCs w:val="24"/>
        </w:rPr>
      </w:pPr>
      <w:r>
        <w:rPr>
          <w:rFonts w:hint="eastAsia" w:hAnsi="宋体" w:cs="宋体"/>
          <w:b/>
          <w:bCs/>
          <w:sz w:val="24"/>
          <w:szCs w:val="24"/>
        </w:rPr>
        <w:t xml:space="preserve">（六）投标人的最终得分及中标候选人排序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b/>
          <w:bCs/>
          <w:sz w:val="24"/>
          <w:u w:val="single"/>
        </w:rPr>
      </w:pPr>
      <w:r>
        <w:rPr>
          <w:rFonts w:hint="eastAsia" w:hAnsi="宋体" w:cs="宋体"/>
          <w:sz w:val="24"/>
        </w:rPr>
        <w:t>3.4其他补充说明：</w:t>
      </w:r>
      <w:r>
        <w:rPr>
          <w:rFonts w:hint="eastAsia" w:hAnsi="宋体" w:cs="宋体"/>
          <w:b/>
          <w:bCs/>
          <w:sz w:val="24"/>
          <w:szCs w:val="24"/>
          <w:u w:val="single"/>
        </w:rPr>
        <w:t>招标图纸中存在的错误、遗漏、瑕疵、与相应（强制性）规范不一致、图纸与现场不一致等、招标清单存在的错、漏、量少等问题，投标人在投标前答疑时必须向招标人提出，由招标人给予回答，否则，视为投标人的投标默认和给予投标优惠，中标后不予调整。</w:t>
      </w:r>
      <w:r>
        <w:rPr>
          <w:rFonts w:hint="eastAsia" w:hAnsi="宋体" w:cs="宋体"/>
          <w:b/>
          <w:bCs/>
          <w:sz w:val="24"/>
          <w:u w:val="single"/>
        </w:rPr>
        <w:t>；</w:t>
      </w:r>
    </w:p>
    <w:p>
      <w:pPr>
        <w:spacing w:line="440" w:lineRule="exact"/>
        <w:rPr>
          <w:rFonts w:hAnsi="宋体" w:cs="宋体"/>
          <w:b/>
          <w:sz w:val="24"/>
        </w:rPr>
      </w:pPr>
      <w:r>
        <w:rPr>
          <w:rFonts w:hint="eastAsia" w:hAnsi="宋体" w:cs="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rPr>
          <w:rFonts w:hAnsi="宋体" w:cs="宋体"/>
          <w:sz w:val="32"/>
          <w:szCs w:val="32"/>
        </w:rPr>
      </w:pPr>
    </w:p>
    <w:p>
      <w:pPr>
        <w:pStyle w:val="2"/>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int="eastAsia"/>
          <w:lang w:val="en-US" w:eastAsia="zh-CN"/>
        </w:rPr>
      </w:pPr>
    </w:p>
    <w:p>
      <w:pPr>
        <w:pStyle w:val="2"/>
        <w:rPr>
          <w:rFonts w:hint="eastAsia"/>
          <w:lang w:val="en-US" w:eastAsia="zh-CN"/>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2880" w:firstLineChars="9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lang w:val="en-US" w:eastAsia="zh-CN"/>
        </w:rPr>
        <w:t xml:space="preserve">    </w:t>
      </w: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u w:val="single"/>
                <w:lang w:val="en-US" w:eastAsia="zh-CN"/>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both"/>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rPr>
          <w:rFonts w:hAnsi="宋体" w:cs="宋体"/>
          <w:sz w:val="28"/>
          <w:szCs w:val="28"/>
        </w:rPr>
      </w:pPr>
      <w:r>
        <w:rPr>
          <w:rFonts w:hint="eastAsia" w:hAnsi="宋体" w:cs="宋体"/>
          <w:sz w:val="28"/>
          <w:szCs w:val="28"/>
        </w:rPr>
        <w:br w:type="page"/>
      </w:r>
    </w:p>
    <w:p>
      <w:pPr>
        <w:spacing w:line="360" w:lineRule="auto"/>
        <w:ind w:firstLine="1600" w:firstLineChars="500"/>
        <w:rPr>
          <w:rFonts w:ascii="黑体" w:hAnsi="新宋体" w:eastAsia="黑体" w:cs="黑体"/>
          <w:sz w:val="32"/>
          <w:szCs w:val="32"/>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w:t>
      </w:r>
    </w:p>
    <w:p>
      <w:pPr>
        <w:spacing w:line="360" w:lineRule="auto"/>
        <w:ind w:firstLine="3520" w:firstLineChars="1100"/>
        <w:rPr>
          <w:rFonts w:ascii="黑体" w:hAnsi="新宋体" w:eastAsia="黑体" w:cs="黑体"/>
          <w:sz w:val="32"/>
          <w:szCs w:val="32"/>
        </w:rPr>
      </w:pPr>
      <w:bookmarkStart w:id="79" w:name="_Toc271787731"/>
    </w:p>
    <w:p>
      <w:pPr>
        <w:spacing w:line="360" w:lineRule="auto"/>
        <w:jc w:val="center"/>
        <w:rPr>
          <w:rFonts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int="eastAsia" w:hAnsi="宋体" w:cs="仿宋_GB2312"/>
          <w:sz w:val="24"/>
          <w:lang w:val="en-US" w:eastAsia="zh-CN"/>
        </w:rPr>
        <w:t xml:space="preserve">   </w:t>
      </w:r>
      <w:r>
        <w:rPr>
          <w:rFonts w:hint="eastAsia" w:hAnsi="宋体" w:cs="仿宋_GB2312"/>
          <w:sz w:val="24"/>
        </w:rPr>
        <w:t>性别：</w:t>
      </w:r>
      <w:r>
        <w:rPr>
          <w:rFonts w:hint="eastAsia" w:hAnsi="宋体" w:cs="仿宋_GB2312"/>
          <w:sz w:val="24"/>
          <w:lang w:val="en-US" w:eastAsia="zh-CN"/>
        </w:rPr>
        <w:t xml:space="preserve">   </w:t>
      </w:r>
      <w:r>
        <w:rPr>
          <w:rFonts w:hint="eastAsia" w:hAnsi="宋体" w:cs="仿宋_GB2312"/>
          <w:sz w:val="24"/>
        </w:rPr>
        <w:t>年龄：</w:t>
      </w:r>
      <w:r>
        <w:rPr>
          <w:rFonts w:hint="eastAsia" w:hAnsi="宋体" w:cs="仿宋_GB2312"/>
          <w:sz w:val="24"/>
          <w:lang w:val="en-US" w:eastAsia="zh-CN"/>
        </w:rPr>
        <w:t xml:space="preserve">     </w:t>
      </w:r>
      <w:r>
        <w:rPr>
          <w:rFonts w:hint="eastAsia" w:hAnsi="宋体" w:cs="仿宋_GB2312"/>
          <w:sz w:val="24"/>
        </w:rPr>
        <w:t>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w:t>
      </w: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4900" w:firstLineChars="2042"/>
        <w:jc w:val="lef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bookmarkStart w:id="81" w:name="_GoBack"/>
      <w:bookmarkEnd w:id="81"/>
    </w:p>
    <w:p>
      <w:pPr>
        <w:pStyle w:val="2"/>
        <w:rPr>
          <w:rFonts w:ascii="黑体" w:hAnsi="新宋体" w:eastAsia="黑体" w:cs="黑体"/>
          <w:sz w:val="28"/>
          <w:szCs w:val="28"/>
        </w:rPr>
      </w:pPr>
    </w:p>
    <w:p>
      <w:pPr>
        <w:pStyle w:val="2"/>
        <w:rPr>
          <w:rFonts w:ascii="黑体" w:hAnsi="新宋体" w:eastAsia="黑体" w:cs="黑体"/>
          <w:sz w:val="28"/>
          <w:szCs w:val="28"/>
        </w:rPr>
      </w:pPr>
    </w:p>
    <w:p>
      <w:pPr>
        <w:pStyle w:val="2"/>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pStyle w:val="2"/>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1362"/>
        <w:gridCol w:w="1196"/>
        <w:gridCol w:w="174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1362"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119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174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1362" w:type="dxa"/>
          </w:tcPr>
          <w:p>
            <w:pPr>
              <w:autoSpaceDE w:val="0"/>
              <w:autoSpaceDN w:val="0"/>
              <w:adjustRightInd w:val="0"/>
              <w:spacing w:line="360" w:lineRule="auto"/>
              <w:ind w:right="215"/>
              <w:jc w:val="center"/>
              <w:rPr>
                <w:rFonts w:hAnsi="宋体" w:eastAsia="宋体" w:cs="宋体"/>
                <w:sz w:val="24"/>
              </w:rPr>
            </w:pPr>
          </w:p>
        </w:tc>
        <w:tc>
          <w:tcPr>
            <w:tcW w:w="1196" w:type="dxa"/>
          </w:tcPr>
          <w:p>
            <w:pPr>
              <w:autoSpaceDE w:val="0"/>
              <w:autoSpaceDN w:val="0"/>
              <w:adjustRightInd w:val="0"/>
              <w:spacing w:line="360" w:lineRule="auto"/>
              <w:ind w:right="215"/>
              <w:jc w:val="center"/>
              <w:rPr>
                <w:rFonts w:hAnsi="宋体" w:eastAsia="宋体" w:cs="宋体"/>
                <w:sz w:val="24"/>
              </w:rPr>
            </w:pPr>
          </w:p>
        </w:tc>
        <w:tc>
          <w:tcPr>
            <w:tcW w:w="174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1362" w:type="dxa"/>
          </w:tcPr>
          <w:p>
            <w:pPr>
              <w:autoSpaceDE w:val="0"/>
              <w:autoSpaceDN w:val="0"/>
              <w:adjustRightInd w:val="0"/>
              <w:spacing w:line="360" w:lineRule="auto"/>
              <w:ind w:right="215"/>
              <w:jc w:val="center"/>
              <w:rPr>
                <w:rFonts w:hAnsi="宋体" w:eastAsia="宋体" w:cs="宋体"/>
                <w:sz w:val="24"/>
              </w:rPr>
            </w:pPr>
          </w:p>
        </w:tc>
        <w:tc>
          <w:tcPr>
            <w:tcW w:w="1196" w:type="dxa"/>
          </w:tcPr>
          <w:p>
            <w:pPr>
              <w:autoSpaceDE w:val="0"/>
              <w:autoSpaceDN w:val="0"/>
              <w:adjustRightInd w:val="0"/>
              <w:spacing w:line="360" w:lineRule="auto"/>
              <w:ind w:right="215"/>
              <w:jc w:val="center"/>
              <w:rPr>
                <w:rFonts w:hAnsi="宋体" w:eastAsia="宋体" w:cs="宋体"/>
                <w:sz w:val="24"/>
              </w:rPr>
            </w:pPr>
          </w:p>
        </w:tc>
        <w:tc>
          <w:tcPr>
            <w:tcW w:w="174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1362" w:type="dxa"/>
          </w:tcPr>
          <w:p>
            <w:pPr>
              <w:autoSpaceDE w:val="0"/>
              <w:autoSpaceDN w:val="0"/>
              <w:adjustRightInd w:val="0"/>
              <w:spacing w:line="360" w:lineRule="auto"/>
              <w:ind w:right="215"/>
              <w:jc w:val="center"/>
              <w:rPr>
                <w:rFonts w:hAnsi="宋体" w:eastAsia="宋体" w:cs="宋体"/>
                <w:sz w:val="24"/>
              </w:rPr>
            </w:pPr>
          </w:p>
        </w:tc>
        <w:tc>
          <w:tcPr>
            <w:tcW w:w="1196" w:type="dxa"/>
          </w:tcPr>
          <w:p>
            <w:pPr>
              <w:autoSpaceDE w:val="0"/>
              <w:autoSpaceDN w:val="0"/>
              <w:adjustRightInd w:val="0"/>
              <w:spacing w:line="360" w:lineRule="auto"/>
              <w:ind w:right="215"/>
              <w:jc w:val="center"/>
              <w:rPr>
                <w:rFonts w:hAnsi="宋体" w:eastAsia="宋体" w:cs="宋体"/>
                <w:sz w:val="24"/>
              </w:rPr>
            </w:pPr>
          </w:p>
        </w:tc>
        <w:tc>
          <w:tcPr>
            <w:tcW w:w="174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1362" w:type="dxa"/>
          </w:tcPr>
          <w:p>
            <w:pPr>
              <w:autoSpaceDE w:val="0"/>
              <w:autoSpaceDN w:val="0"/>
              <w:adjustRightInd w:val="0"/>
              <w:spacing w:line="360" w:lineRule="auto"/>
              <w:ind w:right="215"/>
              <w:jc w:val="center"/>
              <w:rPr>
                <w:rFonts w:hAnsi="宋体" w:eastAsia="宋体" w:cs="宋体"/>
                <w:sz w:val="24"/>
              </w:rPr>
            </w:pPr>
          </w:p>
        </w:tc>
        <w:tc>
          <w:tcPr>
            <w:tcW w:w="1196" w:type="dxa"/>
          </w:tcPr>
          <w:p>
            <w:pPr>
              <w:autoSpaceDE w:val="0"/>
              <w:autoSpaceDN w:val="0"/>
              <w:adjustRightInd w:val="0"/>
              <w:spacing w:line="360" w:lineRule="auto"/>
              <w:ind w:right="215"/>
              <w:jc w:val="center"/>
              <w:rPr>
                <w:rFonts w:hAnsi="宋体" w:eastAsia="宋体" w:cs="宋体"/>
                <w:sz w:val="24"/>
              </w:rPr>
            </w:pPr>
          </w:p>
        </w:tc>
        <w:tc>
          <w:tcPr>
            <w:tcW w:w="174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或安全生产和职业健康培训合格证书、身份证、职称证、劳动合同或养老保险原件扫描件（或图片）及未担任其他在施建设工程项目项目负责人的承诺书，管理过的项目业绩须附合同和中标通知书原件扫描件（或图片）。类似项目限于以项目负责人身份参与的项目。</w:t>
      </w:r>
    </w:p>
    <w:p>
      <w:pPr>
        <w:spacing w:line="420" w:lineRule="exact"/>
        <w:rPr>
          <w:rFonts w:hAnsi="宋体" w:cs="宋体"/>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与岗位相关的注册资格证书、职称证、岗位证书、身份证、劳动合同或养老保险原件扫描件（或图片），专职安全生产管理人员应附安全生产考核合格证书或安全生产和职业健康培训合格证书，主要业绩须附合同协议书。根据各投标单位岗位设置情况，有则提供，无则不提供。</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center"/>
        <w:rPr>
          <w:rFonts w:hAnsi="宋体" w:cs="宋体"/>
          <w:sz w:val="24"/>
        </w:rPr>
      </w:pPr>
      <w:r>
        <w:rPr>
          <w:rFonts w:hint="eastAsia" w:hAnsi="宋体" w:cs="宋体"/>
          <w:sz w:val="24"/>
        </w:rPr>
        <w:t>投标人：（盖单位章）</w:t>
      </w:r>
    </w:p>
    <w:p>
      <w:pPr>
        <w:spacing w:line="440" w:lineRule="exact"/>
        <w:ind w:right="315"/>
        <w:jc w:val="center"/>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olor w:val="000000"/>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153802"/>
    <w:rsid w:val="001C11D1"/>
    <w:rsid w:val="00326AB8"/>
    <w:rsid w:val="004B74A5"/>
    <w:rsid w:val="00587EA7"/>
    <w:rsid w:val="00632422"/>
    <w:rsid w:val="006D348B"/>
    <w:rsid w:val="007806DF"/>
    <w:rsid w:val="00B54EAA"/>
    <w:rsid w:val="00CF5996"/>
    <w:rsid w:val="00CF7086"/>
    <w:rsid w:val="00D67691"/>
    <w:rsid w:val="014C7561"/>
    <w:rsid w:val="015E6BD0"/>
    <w:rsid w:val="016B20BB"/>
    <w:rsid w:val="01B13E90"/>
    <w:rsid w:val="01F24D16"/>
    <w:rsid w:val="023B2FDC"/>
    <w:rsid w:val="023F7AE3"/>
    <w:rsid w:val="024423BC"/>
    <w:rsid w:val="025E0FD6"/>
    <w:rsid w:val="0276587A"/>
    <w:rsid w:val="03381BD0"/>
    <w:rsid w:val="03B92AE7"/>
    <w:rsid w:val="03E22E64"/>
    <w:rsid w:val="04DD7B95"/>
    <w:rsid w:val="05A5206D"/>
    <w:rsid w:val="05B347DC"/>
    <w:rsid w:val="063C53A5"/>
    <w:rsid w:val="06E835F7"/>
    <w:rsid w:val="06EC7351"/>
    <w:rsid w:val="07E778CA"/>
    <w:rsid w:val="08430062"/>
    <w:rsid w:val="08D23093"/>
    <w:rsid w:val="08F1501C"/>
    <w:rsid w:val="08F576CB"/>
    <w:rsid w:val="094D0EFF"/>
    <w:rsid w:val="0968204A"/>
    <w:rsid w:val="09AE113D"/>
    <w:rsid w:val="0A321F01"/>
    <w:rsid w:val="0A63213D"/>
    <w:rsid w:val="0A6465DB"/>
    <w:rsid w:val="0A754929"/>
    <w:rsid w:val="0A910FCE"/>
    <w:rsid w:val="0ACC6331"/>
    <w:rsid w:val="0AD40658"/>
    <w:rsid w:val="0B0010DA"/>
    <w:rsid w:val="0B1A70CD"/>
    <w:rsid w:val="0B7D23CF"/>
    <w:rsid w:val="0BAC120B"/>
    <w:rsid w:val="0BAC7BCA"/>
    <w:rsid w:val="0BF841C6"/>
    <w:rsid w:val="0BFB66C8"/>
    <w:rsid w:val="0C226B12"/>
    <w:rsid w:val="0C867D6A"/>
    <w:rsid w:val="0CAD02C8"/>
    <w:rsid w:val="0D5E5846"/>
    <w:rsid w:val="0DC426DE"/>
    <w:rsid w:val="0E274A96"/>
    <w:rsid w:val="0E2B7167"/>
    <w:rsid w:val="0EA45D8F"/>
    <w:rsid w:val="0F5A1286"/>
    <w:rsid w:val="0F620A71"/>
    <w:rsid w:val="0FE557E4"/>
    <w:rsid w:val="10155F90"/>
    <w:rsid w:val="10472998"/>
    <w:rsid w:val="107F5B31"/>
    <w:rsid w:val="10CD4607"/>
    <w:rsid w:val="11D82D9E"/>
    <w:rsid w:val="12097CFA"/>
    <w:rsid w:val="122009AF"/>
    <w:rsid w:val="12D05C90"/>
    <w:rsid w:val="132372F7"/>
    <w:rsid w:val="138138F0"/>
    <w:rsid w:val="13BE04E9"/>
    <w:rsid w:val="13CC49C6"/>
    <w:rsid w:val="140D182C"/>
    <w:rsid w:val="143C1A89"/>
    <w:rsid w:val="144C71C8"/>
    <w:rsid w:val="145206F6"/>
    <w:rsid w:val="1480018B"/>
    <w:rsid w:val="14A34FAB"/>
    <w:rsid w:val="14C73CCF"/>
    <w:rsid w:val="14D972B5"/>
    <w:rsid w:val="14EC08FF"/>
    <w:rsid w:val="15161AEE"/>
    <w:rsid w:val="152A2A53"/>
    <w:rsid w:val="15B30B9F"/>
    <w:rsid w:val="16204F82"/>
    <w:rsid w:val="1697770B"/>
    <w:rsid w:val="17006B78"/>
    <w:rsid w:val="17D074FA"/>
    <w:rsid w:val="18102759"/>
    <w:rsid w:val="18736F90"/>
    <w:rsid w:val="18D64535"/>
    <w:rsid w:val="18FD6E08"/>
    <w:rsid w:val="1904096F"/>
    <w:rsid w:val="19A15F42"/>
    <w:rsid w:val="1A3B5657"/>
    <w:rsid w:val="1A533491"/>
    <w:rsid w:val="1A74526A"/>
    <w:rsid w:val="1A8C3E4C"/>
    <w:rsid w:val="1AC14286"/>
    <w:rsid w:val="1ADF2996"/>
    <w:rsid w:val="1B2861A9"/>
    <w:rsid w:val="1B8C3321"/>
    <w:rsid w:val="1BBE22DF"/>
    <w:rsid w:val="1BBF4439"/>
    <w:rsid w:val="1C026EDA"/>
    <w:rsid w:val="1C063260"/>
    <w:rsid w:val="1C143B41"/>
    <w:rsid w:val="1C2D3734"/>
    <w:rsid w:val="1CBD3279"/>
    <w:rsid w:val="1CCA1A24"/>
    <w:rsid w:val="1CE276BD"/>
    <w:rsid w:val="1D004958"/>
    <w:rsid w:val="1D4C016F"/>
    <w:rsid w:val="1D603EB6"/>
    <w:rsid w:val="1DBA37F0"/>
    <w:rsid w:val="1DDA6F4A"/>
    <w:rsid w:val="1DEB15DA"/>
    <w:rsid w:val="1E3513EB"/>
    <w:rsid w:val="1EE22098"/>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21546BE"/>
    <w:rsid w:val="23425EB1"/>
    <w:rsid w:val="23FC47FC"/>
    <w:rsid w:val="24024B11"/>
    <w:rsid w:val="243E28DC"/>
    <w:rsid w:val="249C7C04"/>
    <w:rsid w:val="25126669"/>
    <w:rsid w:val="255543BD"/>
    <w:rsid w:val="255734C0"/>
    <w:rsid w:val="255F277B"/>
    <w:rsid w:val="25D03CD9"/>
    <w:rsid w:val="260D6FA7"/>
    <w:rsid w:val="26170F8A"/>
    <w:rsid w:val="261B1249"/>
    <w:rsid w:val="28054EBB"/>
    <w:rsid w:val="285D09B3"/>
    <w:rsid w:val="290F278D"/>
    <w:rsid w:val="29587271"/>
    <w:rsid w:val="2987773D"/>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0570F2"/>
    <w:rsid w:val="2D136470"/>
    <w:rsid w:val="2D48676B"/>
    <w:rsid w:val="2DED62C3"/>
    <w:rsid w:val="2E15634D"/>
    <w:rsid w:val="2E3509A0"/>
    <w:rsid w:val="2E717790"/>
    <w:rsid w:val="2EA775CD"/>
    <w:rsid w:val="2EFC4F09"/>
    <w:rsid w:val="2F1A449A"/>
    <w:rsid w:val="2F3A012D"/>
    <w:rsid w:val="2F4802DD"/>
    <w:rsid w:val="2F490AAE"/>
    <w:rsid w:val="2FBB160D"/>
    <w:rsid w:val="2FBE5A84"/>
    <w:rsid w:val="2FE013A8"/>
    <w:rsid w:val="2FE77642"/>
    <w:rsid w:val="2FFD3C00"/>
    <w:rsid w:val="30BC0457"/>
    <w:rsid w:val="30E64908"/>
    <w:rsid w:val="30F03510"/>
    <w:rsid w:val="310265F8"/>
    <w:rsid w:val="31030C88"/>
    <w:rsid w:val="312F3C82"/>
    <w:rsid w:val="31624128"/>
    <w:rsid w:val="31E56D3A"/>
    <w:rsid w:val="321E07D3"/>
    <w:rsid w:val="32602853"/>
    <w:rsid w:val="336F6391"/>
    <w:rsid w:val="33733740"/>
    <w:rsid w:val="33A87D35"/>
    <w:rsid w:val="34031A1B"/>
    <w:rsid w:val="3427237C"/>
    <w:rsid w:val="344779D8"/>
    <w:rsid w:val="34A1637B"/>
    <w:rsid w:val="34E646CC"/>
    <w:rsid w:val="35144B50"/>
    <w:rsid w:val="35254EA4"/>
    <w:rsid w:val="358E19EB"/>
    <w:rsid w:val="35CB1CE5"/>
    <w:rsid w:val="35DC23A2"/>
    <w:rsid w:val="35E655E9"/>
    <w:rsid w:val="3616159C"/>
    <w:rsid w:val="36192F8F"/>
    <w:rsid w:val="369F457B"/>
    <w:rsid w:val="36BD1E55"/>
    <w:rsid w:val="36E1762B"/>
    <w:rsid w:val="36F10AC4"/>
    <w:rsid w:val="374F63CC"/>
    <w:rsid w:val="37721E5D"/>
    <w:rsid w:val="37A35BBF"/>
    <w:rsid w:val="382D0334"/>
    <w:rsid w:val="3840318E"/>
    <w:rsid w:val="3880422A"/>
    <w:rsid w:val="38FE1350"/>
    <w:rsid w:val="3945175B"/>
    <w:rsid w:val="39914459"/>
    <w:rsid w:val="39AE29E8"/>
    <w:rsid w:val="39C82575"/>
    <w:rsid w:val="3A0535F4"/>
    <w:rsid w:val="3A4820C8"/>
    <w:rsid w:val="3A78681E"/>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3E14A16"/>
    <w:rsid w:val="44465B16"/>
    <w:rsid w:val="449337E5"/>
    <w:rsid w:val="45370A31"/>
    <w:rsid w:val="45992ECA"/>
    <w:rsid w:val="45C149C9"/>
    <w:rsid w:val="46170712"/>
    <w:rsid w:val="46636378"/>
    <w:rsid w:val="467C1AEA"/>
    <w:rsid w:val="46AA7D45"/>
    <w:rsid w:val="46C97F82"/>
    <w:rsid w:val="472612C7"/>
    <w:rsid w:val="476A20C4"/>
    <w:rsid w:val="479A4D81"/>
    <w:rsid w:val="47C23855"/>
    <w:rsid w:val="47C42F61"/>
    <w:rsid w:val="482132F8"/>
    <w:rsid w:val="48E7019A"/>
    <w:rsid w:val="491C56B3"/>
    <w:rsid w:val="49B470E0"/>
    <w:rsid w:val="49F96D97"/>
    <w:rsid w:val="4A0018C8"/>
    <w:rsid w:val="4A347256"/>
    <w:rsid w:val="4A7E5D5D"/>
    <w:rsid w:val="4A8126F9"/>
    <w:rsid w:val="4A934BED"/>
    <w:rsid w:val="4AA25ED8"/>
    <w:rsid w:val="4AB029FD"/>
    <w:rsid w:val="4AB900BE"/>
    <w:rsid w:val="4AD82752"/>
    <w:rsid w:val="4B1C7A3D"/>
    <w:rsid w:val="4B5D3CFD"/>
    <w:rsid w:val="4B9479C1"/>
    <w:rsid w:val="4BAF04A5"/>
    <w:rsid w:val="4C2E4217"/>
    <w:rsid w:val="4C3D1DDD"/>
    <w:rsid w:val="4C4C57EA"/>
    <w:rsid w:val="4C536B94"/>
    <w:rsid w:val="4C6E4ED1"/>
    <w:rsid w:val="4CE80B51"/>
    <w:rsid w:val="4CFD0F83"/>
    <w:rsid w:val="4D1C7A6F"/>
    <w:rsid w:val="4DCC5166"/>
    <w:rsid w:val="4E15253C"/>
    <w:rsid w:val="4F59189C"/>
    <w:rsid w:val="4F5C51FE"/>
    <w:rsid w:val="4F8B2831"/>
    <w:rsid w:val="4FA9095A"/>
    <w:rsid w:val="500A6922"/>
    <w:rsid w:val="501D5034"/>
    <w:rsid w:val="50527F62"/>
    <w:rsid w:val="514660BF"/>
    <w:rsid w:val="514706EC"/>
    <w:rsid w:val="51750DEA"/>
    <w:rsid w:val="51BD01C8"/>
    <w:rsid w:val="525C2B2E"/>
    <w:rsid w:val="53306445"/>
    <w:rsid w:val="5341241E"/>
    <w:rsid w:val="534910EB"/>
    <w:rsid w:val="53F6702B"/>
    <w:rsid w:val="54976FB4"/>
    <w:rsid w:val="54A1376D"/>
    <w:rsid w:val="54E96179"/>
    <w:rsid w:val="553E3999"/>
    <w:rsid w:val="55897A65"/>
    <w:rsid w:val="55C84640"/>
    <w:rsid w:val="561F1C2E"/>
    <w:rsid w:val="562D6736"/>
    <w:rsid w:val="56541F97"/>
    <w:rsid w:val="567761CE"/>
    <w:rsid w:val="56B306F2"/>
    <w:rsid w:val="57145FEB"/>
    <w:rsid w:val="5714632A"/>
    <w:rsid w:val="57C26D0A"/>
    <w:rsid w:val="58135020"/>
    <w:rsid w:val="581F4935"/>
    <w:rsid w:val="588245A3"/>
    <w:rsid w:val="58982912"/>
    <w:rsid w:val="58C36A6C"/>
    <w:rsid w:val="58DA3A9C"/>
    <w:rsid w:val="58E813C9"/>
    <w:rsid w:val="591D3BA7"/>
    <w:rsid w:val="591E5B51"/>
    <w:rsid w:val="599F06FF"/>
    <w:rsid w:val="59A40681"/>
    <w:rsid w:val="5A366FED"/>
    <w:rsid w:val="5AA9798C"/>
    <w:rsid w:val="5AD56DE8"/>
    <w:rsid w:val="5AEB0B0D"/>
    <w:rsid w:val="5B621989"/>
    <w:rsid w:val="5B74382F"/>
    <w:rsid w:val="5BD64775"/>
    <w:rsid w:val="5C691376"/>
    <w:rsid w:val="5C7134DE"/>
    <w:rsid w:val="5CAF735A"/>
    <w:rsid w:val="5D08077A"/>
    <w:rsid w:val="5D8C677C"/>
    <w:rsid w:val="5E352002"/>
    <w:rsid w:val="5E5870B5"/>
    <w:rsid w:val="5E9F6C53"/>
    <w:rsid w:val="5EEF6C81"/>
    <w:rsid w:val="5F803600"/>
    <w:rsid w:val="5F90413A"/>
    <w:rsid w:val="5F9047EA"/>
    <w:rsid w:val="5FC744A5"/>
    <w:rsid w:val="60165B91"/>
    <w:rsid w:val="60290E7D"/>
    <w:rsid w:val="602A351C"/>
    <w:rsid w:val="6039302A"/>
    <w:rsid w:val="605469F5"/>
    <w:rsid w:val="60B75F7B"/>
    <w:rsid w:val="60F86FD4"/>
    <w:rsid w:val="611F6F00"/>
    <w:rsid w:val="613934B7"/>
    <w:rsid w:val="616E4CF3"/>
    <w:rsid w:val="621133BE"/>
    <w:rsid w:val="623C708B"/>
    <w:rsid w:val="633B3EAB"/>
    <w:rsid w:val="647916AF"/>
    <w:rsid w:val="64B31810"/>
    <w:rsid w:val="64F7047E"/>
    <w:rsid w:val="653C496A"/>
    <w:rsid w:val="65A475B7"/>
    <w:rsid w:val="6642520A"/>
    <w:rsid w:val="66882038"/>
    <w:rsid w:val="67236075"/>
    <w:rsid w:val="677012F1"/>
    <w:rsid w:val="67775816"/>
    <w:rsid w:val="67807E5D"/>
    <w:rsid w:val="67870A25"/>
    <w:rsid w:val="67EF26F6"/>
    <w:rsid w:val="683A4362"/>
    <w:rsid w:val="68463024"/>
    <w:rsid w:val="692E6DA3"/>
    <w:rsid w:val="698B33A6"/>
    <w:rsid w:val="69D1403C"/>
    <w:rsid w:val="69FA48EF"/>
    <w:rsid w:val="6A08753C"/>
    <w:rsid w:val="6A34772B"/>
    <w:rsid w:val="6A400EEF"/>
    <w:rsid w:val="6A614CEE"/>
    <w:rsid w:val="6AA517B9"/>
    <w:rsid w:val="6B4B2A28"/>
    <w:rsid w:val="6BCD3A72"/>
    <w:rsid w:val="6BE53F63"/>
    <w:rsid w:val="6BF70F35"/>
    <w:rsid w:val="6BFE5C9C"/>
    <w:rsid w:val="6C684983"/>
    <w:rsid w:val="6DB319DD"/>
    <w:rsid w:val="6E0B1F9A"/>
    <w:rsid w:val="6E6220A6"/>
    <w:rsid w:val="6E815459"/>
    <w:rsid w:val="6E92350A"/>
    <w:rsid w:val="6ED50744"/>
    <w:rsid w:val="6EEE1ED2"/>
    <w:rsid w:val="6F220B14"/>
    <w:rsid w:val="6F277812"/>
    <w:rsid w:val="6FAE20C7"/>
    <w:rsid w:val="7017720D"/>
    <w:rsid w:val="70D429B5"/>
    <w:rsid w:val="710A1700"/>
    <w:rsid w:val="71144207"/>
    <w:rsid w:val="71183680"/>
    <w:rsid w:val="712E28F6"/>
    <w:rsid w:val="713E42F9"/>
    <w:rsid w:val="718A5BD4"/>
    <w:rsid w:val="71EB3F0D"/>
    <w:rsid w:val="71FA3A32"/>
    <w:rsid w:val="72226FB1"/>
    <w:rsid w:val="72473491"/>
    <w:rsid w:val="7277068B"/>
    <w:rsid w:val="72E11EF4"/>
    <w:rsid w:val="72F15351"/>
    <w:rsid w:val="730E209C"/>
    <w:rsid w:val="73572036"/>
    <w:rsid w:val="74393382"/>
    <w:rsid w:val="74B95612"/>
    <w:rsid w:val="74C60544"/>
    <w:rsid w:val="74E77D5A"/>
    <w:rsid w:val="759F0D55"/>
    <w:rsid w:val="75BB4A7E"/>
    <w:rsid w:val="75C87825"/>
    <w:rsid w:val="76C810AC"/>
    <w:rsid w:val="77414076"/>
    <w:rsid w:val="77460FF9"/>
    <w:rsid w:val="77655EA5"/>
    <w:rsid w:val="77CA4249"/>
    <w:rsid w:val="77CB1420"/>
    <w:rsid w:val="77E41E71"/>
    <w:rsid w:val="78412583"/>
    <w:rsid w:val="784F4702"/>
    <w:rsid w:val="78550688"/>
    <w:rsid w:val="78805D6B"/>
    <w:rsid w:val="78BD07CF"/>
    <w:rsid w:val="792F1F8D"/>
    <w:rsid w:val="795234C2"/>
    <w:rsid w:val="798D143A"/>
    <w:rsid w:val="79A5544F"/>
    <w:rsid w:val="79C6269C"/>
    <w:rsid w:val="79D661F4"/>
    <w:rsid w:val="7A7671F4"/>
    <w:rsid w:val="7ABD0011"/>
    <w:rsid w:val="7AF74FC5"/>
    <w:rsid w:val="7B521D5B"/>
    <w:rsid w:val="7B5A74E2"/>
    <w:rsid w:val="7B6D1EB3"/>
    <w:rsid w:val="7B824516"/>
    <w:rsid w:val="7C5D11EE"/>
    <w:rsid w:val="7C5E37E6"/>
    <w:rsid w:val="7C794CA9"/>
    <w:rsid w:val="7D1223B2"/>
    <w:rsid w:val="7D786674"/>
    <w:rsid w:val="7DB50F78"/>
    <w:rsid w:val="7DFC2ED0"/>
    <w:rsid w:val="7E7C4071"/>
    <w:rsid w:val="7EC50245"/>
    <w:rsid w:val="7EFA3314"/>
    <w:rsid w:val="7F037ED7"/>
    <w:rsid w:val="7F042261"/>
    <w:rsid w:val="7F0707C4"/>
    <w:rsid w:val="7F1268F2"/>
    <w:rsid w:val="7F3A568F"/>
    <w:rsid w:val="7F693FDC"/>
    <w:rsid w:val="7F697854"/>
    <w:rsid w:val="7F78421F"/>
    <w:rsid w:val="7F974D8C"/>
    <w:rsid w:val="7FB00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Hyperlink"/>
    <w:basedOn w:val="11"/>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62</Pages>
  <Words>5139</Words>
  <Characters>29297</Characters>
  <Lines>244</Lines>
  <Paragraphs>68</Paragraphs>
  <TotalTime>35</TotalTime>
  <ScaleCrop>false</ScaleCrop>
  <LinksUpToDate>false</LinksUpToDate>
  <CharactersWithSpaces>34368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2019-04-28T03:28:00Z</cp:lastPrinted>
  <dcterms:modified xsi:type="dcterms:W3CDTF">2019-04-29T08:53:13Z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