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许昌市东兴开发建设投资有限公司“新东桂苑室外高低压配电设计”项目</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 JZFCG-G2019022-1</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采购单位：许昌市东兴开发建设投资有限公司</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bookmarkStart w:id="0" w:name="OLE_LINK2"/>
      <w:r>
        <w:rPr>
          <w:rFonts w:hint="eastAsia" w:asciiTheme="majorEastAsia" w:hAnsiTheme="majorEastAsia" w:eastAsiaTheme="majorEastAsia" w:cstheme="majorEastAsia"/>
          <w:b/>
          <w:bCs/>
          <w:sz w:val="36"/>
          <w:szCs w:val="36"/>
        </w:rPr>
        <w:t>河南兴建建设管理有限公司</w:t>
      </w:r>
      <w:bookmarkEnd w:id="0"/>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二〇一九年三月</w:t>
      </w:r>
    </w:p>
    <w:p>
      <w:pPr>
        <w:rPr>
          <w:rFonts w:asciiTheme="majorEastAsia" w:hAnsiTheme="majorEastAsia" w:eastAsiaTheme="majorEastAsia" w:cstheme="majorEastAsia"/>
          <w:b/>
          <w:bCs/>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8"/>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投标邀请</w:t>
      </w:r>
    </w:p>
    <w:p>
      <w:pPr>
        <w:pStyle w:val="18"/>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18"/>
        <w:widowControl/>
        <w:shd w:val="clear" w:color="auto" w:fill="FFFFFF"/>
        <w:spacing w:line="360" w:lineRule="auto"/>
        <w:contextualSpacing/>
        <w:jc w:val="left"/>
        <w:rPr>
          <w:rFonts w:cs="黑体" w:asciiTheme="minorEastAsia" w:hAnsiTheme="minorEastAsia" w:eastAsiaTheme="minorEastAsia"/>
          <w:b/>
          <w:bCs/>
        </w:rPr>
      </w:pPr>
      <w:r>
        <w:rPr>
          <w:rFonts w:hint="eastAsia" w:cs="黑体" w:asciiTheme="minorEastAsia" w:hAnsiTheme="minorEastAsia" w:eastAsiaTheme="minorEastAsia"/>
          <w:b/>
          <w:bCs/>
          <w:shd w:val="clear" w:color="auto" w:fill="FFFFFF"/>
        </w:rPr>
        <w:t>一、项目基本情况</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（一）项目名称：新东桂苑室外高低压配电设计</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（二）项目编号： JZFCG-G2019022-1</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（三）采购方式：公开招标</w:t>
      </w:r>
    </w:p>
    <w:p>
      <w:pPr>
        <w:pStyle w:val="18"/>
        <w:widowControl/>
        <w:shd w:val="clear" w:color="auto" w:fill="FFFFFF"/>
        <w:spacing w:line="360" w:lineRule="auto"/>
        <w:ind w:firstLine="420"/>
        <w:contextualSpacing/>
        <w:jc w:val="left"/>
      </w:pPr>
      <w:r>
        <w:rPr>
          <w:rFonts w:hint="eastAsia" w:cs="仿宋_GB2312" w:asciiTheme="minorEastAsia" w:hAnsiTheme="minorEastAsia" w:eastAsiaTheme="minorEastAsia"/>
          <w:shd w:val="clear" w:color="auto" w:fill="FFFFFF"/>
        </w:rPr>
        <w:t>（四）采购需求：本次招标内容包括</w:t>
      </w:r>
      <w:r>
        <w:rPr>
          <w:rFonts w:hint="eastAsia"/>
        </w:rPr>
        <w:t>工程初步设计、施工图设计和配合现场施工直到竣工验收。</w:t>
      </w:r>
    </w:p>
    <w:p>
      <w:pPr>
        <w:pStyle w:val="18"/>
        <w:widowControl/>
        <w:shd w:val="clear" w:color="auto" w:fill="FFFFFF"/>
        <w:spacing w:line="360" w:lineRule="auto"/>
        <w:ind w:firstLine="420"/>
        <w:contextualSpacing/>
        <w:jc w:val="left"/>
      </w:pPr>
      <w:r>
        <w:rPr>
          <w:rFonts w:hint="eastAsia"/>
        </w:rPr>
        <w:t>电气部分：根据供电公司出具的供电方案，居民用电部分从10千伏电源点至居民用户表箱（含电缆桥架），专用负荷部分至低压配电柜出线电缆（不含桥架）。</w:t>
      </w:r>
    </w:p>
    <w:p>
      <w:pPr>
        <w:pStyle w:val="18"/>
        <w:widowControl/>
        <w:shd w:val="clear" w:color="auto" w:fill="FFFFFF"/>
        <w:spacing w:line="360" w:lineRule="auto"/>
        <w:ind w:firstLine="420"/>
        <w:contextualSpacing/>
        <w:jc w:val="left"/>
      </w:pPr>
      <w:r>
        <w:rPr>
          <w:rFonts w:hint="eastAsia"/>
        </w:rPr>
        <w:t>土建部分：相应设备基础，开闭所、配电室土建，安装施工图及电缆沟，以及防汛设计方案。</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（五）预算金额（最高限价）：877176元；</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FFFFFF" w:fill="D9D9D9"/>
        </w:rPr>
      </w:pPr>
      <w:r>
        <w:rPr>
          <w:rFonts w:hint="eastAsia" w:cs="仿宋_GB2312" w:asciiTheme="minorEastAsia" w:hAnsiTheme="minorEastAsia" w:eastAsiaTheme="minorEastAsia"/>
          <w:shd w:val="clear" w:color="auto" w:fill="FFFFFF"/>
        </w:rPr>
        <w:t>（六）交付时间 ：</w:t>
      </w:r>
      <w:r>
        <w:rPr>
          <w:rFonts w:hint="eastAsia" w:cs="仿宋_GB2312" w:asciiTheme="minorEastAsia" w:hAnsiTheme="minorEastAsia" w:eastAsiaTheme="minorEastAsia"/>
          <w:color w:val="000000" w:themeColor="text1"/>
          <w14:textFill>
            <w14:solidFill>
              <w14:schemeClr w14:val="tx1"/>
            </w14:solidFill>
          </w14:textFill>
        </w:rPr>
        <w:t>自签订合同后2个月内</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（七）交付（服务、完工）地点：东城区新东桂苑小区</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（八）进口产品：不允许。</w:t>
      </w:r>
    </w:p>
    <w:p>
      <w:pPr>
        <w:pStyle w:val="18"/>
        <w:widowControl/>
        <w:shd w:val="clear" w:color="auto" w:fill="FFFFFF"/>
        <w:spacing w:line="360" w:lineRule="auto"/>
        <w:ind w:firstLine="420"/>
        <w:contextualSpacing/>
        <w:jc w:val="left"/>
        <w:rPr>
          <w:rFonts w:cs="仿宋_GB2312" w:asciiTheme="minorEastAsia" w:hAnsiTheme="minorEastAsia"/>
          <w:shd w:val="clear" w:color="auto" w:fill="FFFFFF"/>
        </w:rPr>
      </w:pPr>
      <w:r>
        <w:rPr>
          <w:rFonts w:hint="eastAsia" w:cs="仿宋_GB2312" w:asciiTheme="minorEastAsia" w:hAnsiTheme="minorEastAsia"/>
          <w:shd w:val="clear" w:color="auto" w:fill="FFFFFF"/>
        </w:rPr>
        <w:t>（九）分包：不允许。</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本项目落实</w:t>
      </w:r>
      <w:r>
        <w:rPr>
          <w:rFonts w:hint="eastAsia" w:cs="仿宋_GB2312" w:asciiTheme="minorEastAsia" w:hAnsiTheme="minorEastAsia" w:eastAsiaTheme="minorEastAsia"/>
          <w:u w:val="single"/>
          <w:shd w:val="clear" w:color="auto" w:fill="FFFFFF"/>
        </w:rPr>
        <w:t>节能环保</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中小微型企业</w:t>
      </w:r>
      <w:r>
        <w:rPr>
          <w:rFonts w:hint="eastAsia" w:cs="仿宋_GB2312" w:asciiTheme="minorEastAsia" w:hAnsiTheme="minorEastAsia" w:eastAsiaTheme="minorEastAsia"/>
          <w:shd w:val="clear" w:color="auto" w:fill="FFFFFF"/>
        </w:rPr>
        <w:t>、支持</w:t>
      </w:r>
      <w:r>
        <w:rPr>
          <w:rFonts w:hint="eastAsia" w:cs="仿宋_GB2312" w:asciiTheme="minorEastAsia" w:hAnsiTheme="minorEastAsia" w:eastAsiaTheme="minorEastAsia"/>
          <w:u w:val="single"/>
          <w:shd w:val="clear" w:color="auto" w:fill="FFFFFF"/>
        </w:rPr>
        <w:t>监狱企业</w:t>
      </w:r>
      <w:r>
        <w:rPr>
          <w:rFonts w:hint="eastAsia" w:cs="仿宋_GB2312" w:asciiTheme="minorEastAsia" w:hAnsiTheme="minorEastAsia" w:eastAsiaTheme="minorEastAsia"/>
          <w:shd w:val="clear" w:color="auto" w:fill="FFFFFF"/>
        </w:rPr>
        <w:t>、</w:t>
      </w:r>
      <w:r>
        <w:rPr>
          <w:rFonts w:hint="eastAsia" w:cs="仿宋_GB2312" w:asciiTheme="minorEastAsia" w:hAnsiTheme="minorEastAsia" w:eastAsiaTheme="minorEastAsia"/>
          <w:u w:val="single"/>
          <w:shd w:val="clear" w:color="auto" w:fill="FFFFFF"/>
        </w:rPr>
        <w:t>残疾人福利性单位</w:t>
      </w:r>
      <w:r>
        <w:rPr>
          <w:rFonts w:hint="eastAsia" w:cs="仿宋_GB2312" w:asciiTheme="minorEastAsia" w:hAnsiTheme="minorEastAsia" w:eastAsiaTheme="minorEastAsia"/>
          <w:shd w:val="clear" w:color="auto" w:fill="FFFFFF"/>
        </w:rPr>
        <w:t>扶持等相关政府采购政策。</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18"/>
        <w:widowControl/>
        <w:shd w:val="clear" w:color="auto" w:fill="FFFFFF"/>
        <w:spacing w:line="360" w:lineRule="auto"/>
        <w:ind w:firstLine="420"/>
        <w:contextualSpacing/>
        <w:jc w:val="left"/>
        <w:rPr>
          <w:rFonts w:cs="宋体" w:asciiTheme="minorEastAsia" w:hAnsiTheme="minorEastAsia"/>
          <w:kern w:val="0"/>
        </w:rPr>
      </w:pPr>
      <w:r>
        <w:rPr>
          <w:rFonts w:hint="eastAsia" w:cs="宋体" w:asciiTheme="minorEastAsia" w:hAnsiTheme="minorEastAsia"/>
          <w:kern w:val="0"/>
          <w:lang w:val="zh-CN"/>
        </w:rPr>
        <w:t>（一）具备《政府采购法》第二十二条第一款规定条件并提供相关材料。</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宋体" w:asciiTheme="minorEastAsia" w:hAnsiTheme="minorEastAsia"/>
          <w:kern w:val="0"/>
        </w:rPr>
        <w:t>（</w:t>
      </w:r>
      <w:r>
        <w:rPr>
          <w:rFonts w:hint="eastAsia" w:cs="宋体" w:asciiTheme="minorEastAsia" w:hAnsiTheme="minorEastAsia"/>
          <w:kern w:val="0"/>
          <w:lang w:val="zh-CN"/>
        </w:rPr>
        <w:t>二</w:t>
      </w:r>
      <w:r>
        <w:rPr>
          <w:rFonts w:hint="eastAsia" w:cs="宋体" w:asciiTheme="minorEastAsia" w:hAnsiTheme="minorEastAsia"/>
          <w:kern w:val="0"/>
        </w:rPr>
        <w:t>）</w:t>
      </w:r>
      <w:r>
        <w:rPr>
          <w:rFonts w:hint="eastAsia" w:cs="仿宋_GB2312" w:asciiTheme="minorEastAsia" w:hAnsiTheme="minorEastAsia" w:eastAsiaTheme="minorEastAsia"/>
          <w:shd w:val="clear" w:color="auto" w:fill="FFFFFF"/>
        </w:rPr>
        <w:t>未被列入“信用中国”网站</w:t>
      </w:r>
      <w:r>
        <w:rPr>
          <w:rFonts w:cs="仿宋_GB2312" w:asciiTheme="minorEastAsia" w:hAnsiTheme="minorEastAsia" w:eastAsiaTheme="minorEastAsia"/>
          <w:shd w:val="clear" w:color="auto" w:fill="FFFFFF"/>
        </w:rPr>
        <w:t>(www.creditchina.gov.cn)</w:t>
      </w:r>
      <w:r>
        <w:rPr>
          <w:rFonts w:hint="eastAsia" w:cs="仿宋_GB2312" w:asciiTheme="minorEastAsia" w:hAnsiTheme="minorEastAsia" w:eastAsiaTheme="minorEastAsia"/>
          <w:shd w:val="clear" w:color="auto" w:fill="FFFFFF"/>
        </w:rPr>
        <w:t>失信被执行人、重大税收违法案件当事人名单、政府采购严重违法失信名单的投标人；“中国政府采购网”</w:t>
      </w:r>
      <w:r>
        <w:rPr>
          <w:rFonts w:cs="仿宋_GB2312" w:asciiTheme="minorEastAsia" w:hAnsiTheme="minorEastAsia" w:eastAsiaTheme="minorEastAsia"/>
          <w:shd w:val="clear" w:color="auto" w:fill="FFFFFF"/>
        </w:rPr>
        <w:t xml:space="preserve"> (www.ccgp.gov.cn)</w:t>
      </w:r>
      <w:r>
        <w:rPr>
          <w:rFonts w:hint="eastAsia" w:cs="仿宋_GB2312" w:asciiTheme="minorEastAsia" w:hAnsiTheme="minorEastAsia" w:eastAsiaTheme="minorEastAsia"/>
          <w:shd w:val="clear" w:color="auto" w:fill="FFFFFF"/>
        </w:rPr>
        <w:t>政府采购严重违法失信行为记录名单的投标人；“国家企业信用公示系统”网站（</w:t>
      </w:r>
      <w:r>
        <w:rPr>
          <w:rFonts w:cs="仿宋_GB2312" w:asciiTheme="minorEastAsia" w:hAnsiTheme="minorEastAsia" w:eastAsiaTheme="minorEastAsia"/>
          <w:shd w:val="clear" w:color="auto" w:fill="FFFFFF"/>
        </w:rPr>
        <w:t>www.gsxt.gov.cn</w:t>
      </w:r>
      <w:r>
        <w:rPr>
          <w:rFonts w:hint="eastAsia" w:cs="仿宋_GB2312" w:asciiTheme="minorEastAsia" w:hAnsiTheme="minorEastAsia" w:eastAsiaTheme="minorEastAsia"/>
          <w:shd w:val="clear" w:color="auto" w:fill="FFFFFF"/>
        </w:rPr>
        <w:t>）严重违法失信企业名单（黑名单）的投标人；</w:t>
      </w:r>
    </w:p>
    <w:p>
      <w:pPr>
        <w:widowControl/>
        <w:spacing w:line="600" w:lineRule="exact"/>
        <w:ind w:firstLine="566"/>
        <w:rPr>
          <w:rFonts w:eastAsia="宋体" w:cs="宋体" w:asciiTheme="minorEastAsia" w:hAnsiTheme="minorEastAsia"/>
          <w:color w:val="000000" w:themeColor="text1"/>
          <w:kern w:val="0"/>
          <w:sz w:val="24"/>
          <w:szCs w:val="24"/>
          <w14:textFill>
            <w14:solidFill>
              <w14:schemeClr w14:val="tx1"/>
            </w14:solidFill>
          </w14:textFill>
        </w:rPr>
      </w:pPr>
      <w:r>
        <w:rPr>
          <w:rFonts w:hint="eastAsia" w:eastAsia="宋体" w:cs="宋体" w:asciiTheme="minorEastAsia" w:hAnsiTheme="minorEastAsia"/>
          <w:color w:val="000000" w:themeColor="text1"/>
          <w:kern w:val="0"/>
          <w:sz w:val="24"/>
          <w:szCs w:val="24"/>
          <w:lang w:val="zh-CN"/>
          <w14:textFill>
            <w14:solidFill>
              <w14:schemeClr w14:val="tx1"/>
            </w14:solidFill>
          </w14:textFill>
        </w:rPr>
        <w:t>（三）具有河南省建设厅颁发的工程勘察专业类乙级及以上资质</w:t>
      </w:r>
      <w:r>
        <w:rPr>
          <w:rFonts w:hint="eastAsia" w:eastAsia="宋体" w:cs="宋体" w:asciiTheme="minorEastAsia" w:hAnsiTheme="minorEastAsia"/>
          <w:color w:val="000000" w:themeColor="text1"/>
          <w:kern w:val="0"/>
          <w:sz w:val="24"/>
          <w:szCs w:val="24"/>
          <w14:textFill>
            <w14:solidFill>
              <w14:schemeClr w14:val="tx1"/>
            </w14:solidFill>
          </w14:textFill>
        </w:rPr>
        <w:t xml:space="preserve">; </w:t>
      </w:r>
    </w:p>
    <w:p>
      <w:pPr>
        <w:widowControl/>
        <w:spacing w:line="600" w:lineRule="exact"/>
        <w:ind w:firstLine="566"/>
        <w:rPr>
          <w:rFonts w:eastAsia="宋体" w:cs="宋体" w:asciiTheme="minorEastAsia" w:hAnsiTheme="minorEastAsia"/>
          <w:color w:val="000000" w:themeColor="text1"/>
          <w:kern w:val="0"/>
          <w:sz w:val="24"/>
          <w:szCs w:val="24"/>
          <w14:textFill>
            <w14:solidFill>
              <w14:schemeClr w14:val="tx1"/>
            </w14:solidFill>
          </w14:textFill>
        </w:rPr>
      </w:pPr>
      <w:r>
        <w:rPr>
          <w:rFonts w:hint="eastAsia" w:eastAsia="宋体" w:cs="宋体" w:asciiTheme="minorEastAsia" w:hAnsiTheme="minorEastAsia"/>
          <w:color w:val="000000" w:themeColor="text1"/>
          <w:kern w:val="0"/>
          <w:sz w:val="24"/>
          <w:szCs w:val="24"/>
          <w:lang w:val="zh-CN"/>
          <w14:textFill>
            <w14:solidFill>
              <w14:schemeClr w14:val="tx1"/>
            </w14:solidFill>
          </w14:textFill>
        </w:rPr>
        <w:t>（四）具有河南省建设厅颁发的工程设计电力行业专业乙级及以上资质</w:t>
      </w:r>
      <w:r>
        <w:rPr>
          <w:rFonts w:hint="eastAsia" w:eastAsia="宋体" w:cs="宋体" w:asciiTheme="minorEastAsia" w:hAnsiTheme="minorEastAsia"/>
          <w:color w:val="000000" w:themeColor="text1"/>
          <w:kern w:val="0"/>
          <w:sz w:val="24"/>
          <w:szCs w:val="24"/>
          <w14:textFill>
            <w14:solidFill>
              <w14:schemeClr w14:val="tx1"/>
            </w14:solidFill>
          </w14:textFill>
        </w:rPr>
        <w:t xml:space="preserve">; </w:t>
      </w:r>
    </w:p>
    <w:p>
      <w:pPr>
        <w:widowControl/>
        <w:spacing w:line="600" w:lineRule="exact"/>
        <w:ind w:firstLine="566"/>
        <w:rPr>
          <w:rFonts w:eastAsia="宋体" w:cs="宋体" w:asciiTheme="minorEastAsia" w:hAnsiTheme="minorEastAsia"/>
          <w:color w:val="000000" w:themeColor="text1"/>
          <w:kern w:val="0"/>
          <w:sz w:val="24"/>
          <w:szCs w:val="24"/>
          <w:lang w:val="zh-CN"/>
          <w14:textFill>
            <w14:solidFill>
              <w14:schemeClr w14:val="tx1"/>
            </w14:solidFill>
          </w14:textFill>
        </w:rPr>
      </w:pPr>
      <w:r>
        <w:rPr>
          <w:rFonts w:hint="eastAsia" w:eastAsia="宋体" w:cs="宋体" w:asciiTheme="minorEastAsia" w:hAnsiTheme="minorEastAsia"/>
          <w:color w:val="000000" w:themeColor="text1"/>
          <w:kern w:val="0"/>
          <w:sz w:val="24"/>
          <w:szCs w:val="24"/>
          <w:lang w:val="zh-CN"/>
          <w14:textFill>
            <w14:solidFill>
              <w14:schemeClr w14:val="tx1"/>
            </w14:solidFill>
          </w14:textFill>
        </w:rPr>
        <w:t>（五）本次招标不接受联合体投标。</w:t>
      </w:r>
    </w:p>
    <w:p>
      <w:pPr>
        <w:widowControl/>
        <w:spacing w:line="600" w:lineRule="exact"/>
        <w:ind w:firstLine="566"/>
        <w:rPr>
          <w:rFonts w:eastAsia="宋体" w:cs="宋体" w:asciiTheme="minorEastAsia" w:hAnsiTheme="minorEastAsia"/>
          <w:b/>
          <w:color w:val="000000" w:themeColor="text1"/>
          <w:kern w:val="0"/>
          <w:sz w:val="24"/>
          <w:szCs w:val="24"/>
          <w:lang w:val="zh-CN"/>
          <w14:textFill>
            <w14:solidFill>
              <w14:schemeClr w14:val="tx1"/>
            </w14:solidFill>
          </w14:textFill>
        </w:rPr>
      </w:pPr>
      <w:r>
        <w:rPr>
          <w:rFonts w:hint="eastAsia" w:eastAsia="宋体" w:cs="宋体" w:asciiTheme="minorEastAsia" w:hAnsiTheme="minorEastAsia"/>
          <w:b/>
          <w:color w:val="000000" w:themeColor="text1"/>
          <w:kern w:val="0"/>
          <w:sz w:val="24"/>
          <w:szCs w:val="24"/>
          <w:lang w:val="zh-CN"/>
          <w14:textFill>
            <w14:solidFill>
              <w14:schemeClr w14:val="tx1"/>
            </w14:solidFill>
          </w14:textFill>
        </w:rPr>
        <w:t>四、招标文件的获取</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（一）网上下载招标文件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w:t>
      </w:r>
      <w:r>
        <w:rPr>
          <w:rFonts w:hint="eastAsia" w:cs="仿宋_GB2312" w:asciiTheme="minorEastAsia" w:hAnsiTheme="minorEastAsia" w:eastAsiaTheme="minorEastAsia"/>
          <w:color w:val="000000" w:themeColor="text1"/>
          <w14:textFill>
            <w14:solidFill>
              <w14:schemeClr w14:val="tx1"/>
            </w14:solidFill>
          </w14:textFill>
        </w:rPr>
        <w:t>2019年4 月 28 日9  时30 分</w:t>
      </w:r>
      <w:r>
        <w:rPr>
          <w:rFonts w:hint="eastAsia" w:cs="仿宋_GB2312" w:asciiTheme="minorEastAsia" w:hAnsiTheme="minorEastAsia" w:eastAsiaTheme="minorEastAsia"/>
        </w:rPr>
        <w:t>（北京时间），逾期提交或不符合规定的投标文件不予接受。</w:t>
      </w:r>
    </w:p>
    <w:p>
      <w:pPr>
        <w:pStyle w:val="18"/>
        <w:widowControl/>
        <w:shd w:val="clear" w:color="auto" w:fill="FFFFFF"/>
        <w:spacing w:line="360" w:lineRule="auto"/>
        <w:ind w:firstLine="420"/>
        <w:contextualSpacing/>
        <w:jc w:val="left"/>
        <w:rPr>
          <w:rFonts w:cs="仿宋_GB2312"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rPr>
        <w:t>（二）开标地点：</w:t>
      </w:r>
      <w:r>
        <w:rPr>
          <w:rFonts w:hint="eastAsia" w:cs="仿宋_GB2312" w:asciiTheme="minorEastAsia" w:hAnsiTheme="minorEastAsia" w:eastAsiaTheme="minorEastAsia"/>
          <w:color w:val="000000" w:themeColor="text1"/>
          <w14:textFill>
            <w14:solidFill>
              <w14:schemeClr w14:val="tx1"/>
            </w14:solidFill>
          </w14:textFill>
        </w:rPr>
        <w:t>许昌市公共资源交易中心（</w:t>
      </w:r>
      <w:r>
        <w:rPr>
          <w:rFonts w:cs="Arial" w:asciiTheme="minorEastAsia" w:hAnsiTheme="minorEastAsia" w:eastAsiaTheme="minorEastAsia"/>
          <w:color w:val="000000" w:themeColor="text1"/>
          <w14:textFill>
            <w14:solidFill>
              <w14:schemeClr w14:val="tx1"/>
            </w14:solidFill>
          </w14:textFill>
        </w:rPr>
        <w:t>龙兴路与竹林路交汇处</w:t>
      </w:r>
      <w:r>
        <w:rPr>
          <w:rFonts w:hint="eastAsia" w:cs="仿宋_GB2312" w:asciiTheme="minorEastAsia" w:hAnsiTheme="minorEastAsia" w:eastAsiaTheme="minorEastAsia"/>
          <w:color w:val="000000" w:themeColor="text1"/>
          <w14:textFill>
            <w14:solidFill>
              <w14:schemeClr w14:val="tx1"/>
            </w14:solidFill>
          </w14:textFill>
        </w:rPr>
        <w:t>公共资源大厦）三楼开标三室。</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18"/>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2、纸质投标文件（正本1份、副本1份）和备份文件1份</w:t>
      </w:r>
      <w:r>
        <w:rPr>
          <w:rFonts w:hint="eastAsia" w:hAnsi="宋体"/>
        </w:rPr>
        <w:t>（使用电子介质存储）</w:t>
      </w:r>
      <w:r>
        <w:rPr>
          <w:rFonts w:hint="eastAsia" w:cs="仿宋_GB2312" w:asciiTheme="minorEastAsia" w:hAnsiTheme="minorEastAsia" w:eastAsiaTheme="minorEastAsia"/>
        </w:rPr>
        <w:t>在投标截止时间（开标时间）前递交至本项目开标地点。</w:t>
      </w:r>
    </w:p>
    <w:p>
      <w:pPr>
        <w:pStyle w:val="4"/>
        <w:shd w:val="clear" w:color="auto" w:fill="FFFFFF"/>
        <w:spacing w:after="156"/>
        <w:ind w:left="-6" w:firstLine="482" w:firstLineChars="200"/>
        <w:jc w:val="both"/>
        <w:rPr>
          <w:rFonts w:cs="黑体" w:asciiTheme="minorEastAsia" w:hAnsiTheme="minorEastAsia" w:eastAsiaTheme="minorEastAsia"/>
          <w:b w:val="0"/>
          <w:bCs/>
          <w:color w:val="auto"/>
          <w:shd w:val="clear" w:color="auto" w:fill="FFFFFF"/>
        </w:rPr>
      </w:pPr>
      <w:r>
        <w:rPr>
          <w:rFonts w:hint="eastAsia" w:cs="黑体" w:asciiTheme="minorEastAsia" w:hAnsiTheme="minorEastAsia" w:eastAsiaTheme="minorEastAsia"/>
          <w:bCs/>
          <w:color w:val="auto"/>
          <w:shd w:val="clear" w:color="auto" w:fill="FFFFFF"/>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eastAsiaTheme="minorEastAsia"/>
          <w:bCs/>
          <w:color w:val="auto"/>
          <w:shd w:val="clear" w:color="auto" w:fill="FFFFFF"/>
        </w:rPr>
        <w:t>中国·许昌许昌市政府网</w:t>
      </w:r>
      <w:r>
        <w:rPr>
          <w:rFonts w:cs="黑体" w:asciiTheme="minorEastAsia" w:hAnsiTheme="minorEastAsia" w:eastAsiaTheme="minorEastAsia"/>
          <w:bCs/>
          <w:color w:val="auto"/>
          <w:shd w:val="clear" w:color="auto" w:fill="FFFFFF"/>
        </w:rPr>
        <w:fldChar w:fldCharType="end"/>
      </w:r>
      <w:r>
        <w:rPr>
          <w:rFonts w:hint="eastAsia" w:cs="黑体" w:asciiTheme="minorEastAsia" w:hAnsiTheme="minorEastAsia" w:eastAsiaTheme="minorEastAsia"/>
          <w:bCs/>
          <w:color w:val="auto"/>
          <w:shd w:val="clear" w:color="auto" w:fill="FFFFFF"/>
        </w:rPr>
        <w:t>》、《全国公共资源交易平台（河南省·许昌市）》发布。</w:t>
      </w:r>
    </w:p>
    <w:p>
      <w:pPr>
        <w:pStyle w:val="18"/>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自本公告发布之日起</w:t>
      </w:r>
      <w:r>
        <w:rPr>
          <w:rFonts w:cs="仿宋_GB2312" w:asciiTheme="minorEastAsia" w:hAnsiTheme="minorEastAsia" w:eastAsiaTheme="minorEastAsia"/>
        </w:rPr>
        <w:t>5</w:t>
      </w:r>
      <w:r>
        <w:rPr>
          <w:rFonts w:hint="eastAsia" w:cs="仿宋_GB2312" w:asciiTheme="minorEastAsia" w:hAnsiTheme="minorEastAsia" w:eastAsiaTheme="minorEastAsia"/>
        </w:rPr>
        <w:t>个工作日。</w:t>
      </w:r>
    </w:p>
    <w:p>
      <w:pPr>
        <w:pStyle w:val="18"/>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采购人：许昌市东兴开发建设投资有限公司</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址：东城区管委会附属楼</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联系人：苏先生     联系电话：18864607772</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代理机构：河南兴建建设管理有限公司</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址：许昌市许都路永丰国际</w:t>
      </w:r>
    </w:p>
    <w:p>
      <w:pPr>
        <w:pStyle w:val="18"/>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color w:val="000000"/>
        </w:rPr>
        <w:t>梁先生</w:t>
      </w:r>
      <w:r>
        <w:rPr>
          <w:rFonts w:hint="eastAsia" w:cs="仿宋_GB2312" w:asciiTheme="minorEastAsia" w:hAnsiTheme="minorEastAsia" w:eastAsiaTheme="minorEastAsia"/>
        </w:rPr>
        <w:t xml:space="preserve">              联系电话：15936380473</w:t>
      </w:r>
    </w:p>
    <w:p>
      <w:pPr>
        <w:rPr>
          <w:rFonts w:cs="仿宋_GB2312" w:asciiTheme="minorEastAsia" w:hAnsiTheme="minorEastAsia"/>
          <w:sz w:val="24"/>
          <w:szCs w:val="24"/>
        </w:rPr>
      </w:pPr>
    </w:p>
    <w:p>
      <w:pPr>
        <w:rPr>
          <w:rFonts w:cs="仿宋_GB2312" w:asciiTheme="minorEastAsia" w:hAnsiTheme="minorEastAsia"/>
          <w:sz w:val="24"/>
          <w:szCs w:val="24"/>
        </w:rPr>
      </w:pPr>
    </w:p>
    <w:p>
      <w:pPr>
        <w:wordWrap w:val="0"/>
        <w:autoSpaceDE w:val="0"/>
        <w:autoSpaceDN w:val="0"/>
        <w:adjustRightInd w:val="0"/>
        <w:spacing w:line="700" w:lineRule="exact"/>
        <w:ind w:firstLine="560"/>
        <w:jc w:val="right"/>
        <w:rPr>
          <w:rFonts w:cs="仿宋_GB2312" w:asciiTheme="minorEastAsia" w:hAnsiTheme="minorEastAsia"/>
          <w:sz w:val="24"/>
          <w:szCs w:val="24"/>
        </w:rPr>
      </w:pPr>
      <w:r>
        <w:rPr>
          <w:rFonts w:hint="eastAsia" w:cs="仿宋_GB2312" w:asciiTheme="minorEastAsia" w:hAnsiTheme="minorEastAsia"/>
          <w:sz w:val="24"/>
          <w:szCs w:val="24"/>
        </w:rPr>
        <w:t xml:space="preserve">许昌市东兴开发建设投资有限公司      </w:t>
      </w:r>
    </w:p>
    <w:p>
      <w:pPr>
        <w:autoSpaceDE w:val="0"/>
        <w:autoSpaceDN w:val="0"/>
        <w:adjustRightInd w:val="0"/>
        <w:spacing w:line="700" w:lineRule="exact"/>
        <w:ind w:firstLine="560"/>
        <w:rPr>
          <w:rFonts w:cs="仿宋_GB2312" w:asciiTheme="minorEastAsia" w:hAnsiTheme="minorEastAsia"/>
          <w:sz w:val="24"/>
          <w:szCs w:val="24"/>
        </w:rPr>
      </w:pPr>
      <w:r>
        <w:rPr>
          <w:rFonts w:hint="eastAsia" w:cs="仿宋_GB2312" w:asciiTheme="minorEastAsia" w:hAnsiTheme="minorEastAsia"/>
          <w:sz w:val="24"/>
          <w:szCs w:val="24"/>
        </w:rPr>
        <w:t xml:space="preserve">                                              二〇一九年三月</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19"/>
        <w:ind w:firstLine="321"/>
        <w:rPr>
          <w:rFonts w:ascii="仿宋_GB2312" w:eastAsia="仿宋_GB2312"/>
          <w:b/>
          <w:sz w:val="32"/>
          <w:szCs w:val="32"/>
        </w:rPr>
      </w:pP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黑体" w:asciiTheme="minorEastAsia" w:hAnsiTheme="minorEastAsia"/>
          <w:bCs/>
          <w:sz w:val="24"/>
          <w:szCs w:val="24"/>
          <w:shd w:val="clear" w:color="auto" w:fill="FFFFFF"/>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kern w:val="0"/>
          <w:sz w:val="28"/>
          <w:szCs w:val="28"/>
          <w:lang w:val="zh-CN"/>
        </w:rPr>
      </w:pPr>
      <w:r>
        <w:rPr>
          <w:rFonts w:hint="eastAsia" w:cs="黑体" w:asciiTheme="minorEastAsia" w:hAnsiTheme="minorEastAsia"/>
          <w:b/>
          <w:bCs/>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cs="黑体" w:asciiTheme="minorEastAsia" w:hAnsiTheme="minorEastAsia"/>
          <w:bCs/>
          <w:sz w:val="24"/>
          <w:szCs w:val="24"/>
          <w:shd w:val="clear" w:color="auto" w:fill="FFFFFF"/>
        </w:rPr>
      </w:pPr>
      <w:r>
        <w:rPr>
          <w:rFonts w:hint="eastAsia" w:cs="黑体" w:asciiTheme="minorEastAsia" w:hAnsiTheme="minorEastAsia"/>
          <w:bCs/>
          <w:sz w:val="24"/>
          <w:szCs w:val="24"/>
          <w:shd w:val="clear" w:color="auto" w:fill="FFFFFF"/>
        </w:rPr>
        <w:t>为了确保拆迁群众早日住上质量过硬、干净舒适、功能齐全的安置房</w:t>
      </w:r>
    </w:p>
    <w:p>
      <w:pPr>
        <w:widowControl/>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二、采购清单</w:t>
      </w:r>
    </w:p>
    <w:p>
      <w:pPr>
        <w:pStyle w:val="18"/>
        <w:widowControl/>
        <w:shd w:val="clear" w:color="auto" w:fill="FFFFFF"/>
        <w:spacing w:line="360" w:lineRule="auto"/>
        <w:ind w:firstLine="420"/>
        <w:contextualSpacing/>
        <w:jc w:val="left"/>
      </w:pPr>
      <w:r>
        <w:rPr>
          <w:rFonts w:hint="eastAsia" w:cs="仿宋_GB2312" w:asciiTheme="minorEastAsia" w:hAnsiTheme="minorEastAsia" w:eastAsiaTheme="minorEastAsia"/>
          <w:shd w:val="clear" w:color="auto" w:fill="FFFFFF"/>
        </w:rPr>
        <w:t>本次招标内容包括</w:t>
      </w:r>
      <w:r>
        <w:rPr>
          <w:rFonts w:hint="eastAsia"/>
        </w:rPr>
        <w:t>工程初步设计、施工图设计和配合现场施工直到竣工验收。</w:t>
      </w:r>
    </w:p>
    <w:p>
      <w:pPr>
        <w:pStyle w:val="18"/>
        <w:widowControl/>
        <w:shd w:val="clear" w:color="auto" w:fill="FFFFFF"/>
        <w:spacing w:line="360" w:lineRule="auto"/>
        <w:ind w:firstLine="420"/>
        <w:contextualSpacing/>
        <w:jc w:val="left"/>
      </w:pPr>
      <w:r>
        <w:rPr>
          <w:rFonts w:hint="eastAsia"/>
          <w:b/>
          <w:bCs/>
        </w:rPr>
        <w:t>电气部分</w:t>
      </w:r>
      <w:r>
        <w:rPr>
          <w:rFonts w:hint="eastAsia"/>
        </w:rPr>
        <w:t>：根据供电公司出具的供电方案，居民用电部分从10千伏电源点至居民用户表箱（含电缆桥架），专用负荷部分至低压配电柜出线电缆（不含桥架）。</w:t>
      </w:r>
    </w:p>
    <w:p>
      <w:pPr>
        <w:pStyle w:val="18"/>
        <w:widowControl/>
        <w:shd w:val="clear" w:color="auto" w:fill="FFFFFF"/>
        <w:spacing w:line="360" w:lineRule="auto"/>
        <w:ind w:firstLine="420"/>
        <w:contextualSpacing/>
        <w:jc w:val="left"/>
      </w:pPr>
      <w:r>
        <w:rPr>
          <w:rFonts w:hint="eastAsia"/>
          <w:b/>
          <w:bCs/>
        </w:rPr>
        <w:t>土建部分</w:t>
      </w:r>
      <w:r>
        <w:rPr>
          <w:rFonts w:hint="eastAsia"/>
        </w:rPr>
        <w:t>：相应设备基础，开闭所、配电室土建，安装施工图及电缆沟，以及防汛设计方案。</w:t>
      </w:r>
    </w:p>
    <w:p>
      <w:pPr>
        <w:spacing w:line="360" w:lineRule="auto"/>
        <w:ind w:firstLine="482" w:firstLineChars="200"/>
        <w:contextualSpacing/>
        <w:rPr>
          <w:rFonts w:ascii="楷体" w:hAnsi="楷体" w:eastAsia="楷体" w:cs="宋体"/>
          <w:kern w:val="0"/>
          <w:sz w:val="28"/>
          <w:szCs w:val="28"/>
          <w:lang w:val="zh-CN"/>
        </w:rPr>
      </w:pP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ascii="Times New Roman" w:hAnsi="Times New Roman" w:eastAsia="仿宋_GB2312" w:cs="Times New Roman"/>
          <w:i/>
          <w:kern w:val="0"/>
          <w:sz w:val="24"/>
          <w:szCs w:val="24"/>
        </w:rPr>
      </w:pPr>
      <w:r>
        <w:rPr>
          <w:rFonts w:hint="eastAsia" w:cs="宋体" w:asciiTheme="minorEastAsia" w:hAnsiTheme="minorEastAsia"/>
          <w:kern w:val="0"/>
          <w:sz w:val="24"/>
          <w:szCs w:val="24"/>
        </w:rPr>
        <w:t>1、</w:t>
      </w:r>
      <w:r>
        <w:rPr>
          <w:rFonts w:hint="eastAsia" w:ascii="宋体" w:hAnsi="宋体" w:eastAsia="宋体" w:cs="宋体"/>
          <w:iCs/>
          <w:kern w:val="0"/>
          <w:sz w:val="24"/>
          <w:szCs w:val="24"/>
        </w:rPr>
        <w:t>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投标人所投产品如被列入</w:t>
      </w:r>
      <w:r>
        <w:rPr>
          <w:rFonts w:cs="仿宋_GB2312" w:asciiTheme="minorEastAsia" w:hAnsiTheme="minorEastAsia"/>
          <w:sz w:val="24"/>
          <w:szCs w:val="24"/>
          <w:lang w:val="zh-CN"/>
        </w:rPr>
        <w:t>《信息安全产品强制性认证目录》，</w:t>
      </w:r>
      <w:r>
        <w:rPr>
          <w:rFonts w:hint="eastAsia" w:cs="仿宋_GB2312" w:asciiTheme="minorEastAsia" w:hAnsiTheme="minorEastAsia"/>
          <w:sz w:val="24"/>
          <w:szCs w:val="24"/>
          <w:lang w:val="zh-CN"/>
        </w:rPr>
        <w:t>应在投标文件中提供“所投产品符合</w:t>
      </w:r>
      <w:r>
        <w:rPr>
          <w:rFonts w:cs="仿宋_GB2312" w:asciiTheme="minorEastAsia" w:hAnsiTheme="minorEastAsia"/>
          <w:sz w:val="24"/>
          <w:szCs w:val="24"/>
          <w:lang w:val="zh-CN"/>
        </w:rPr>
        <w:t>信息安全产品强制性</w:t>
      </w:r>
      <w:r>
        <w:rPr>
          <w:rFonts w:hint="eastAsia" w:cs="仿宋_GB2312" w:asciiTheme="minorEastAsia" w:hAnsiTheme="minorEastAsia"/>
          <w:sz w:val="24"/>
          <w:szCs w:val="24"/>
          <w:lang w:val="zh-CN"/>
        </w:rPr>
        <w:t>认证要求承诺函”并加盖投标人公章，否则将承担其投标被视为非实质性响应投标的风险。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四、验收标准</w:t>
      </w:r>
    </w:p>
    <w:p>
      <w:pPr>
        <w:widowControl/>
        <w:spacing w:line="360" w:lineRule="atLeast"/>
        <w:ind w:firstLine="566"/>
        <w:rPr>
          <w:rFonts w:cs="仿宋_GB2312" w:asciiTheme="minorEastAsia" w:hAnsiTheme="minorEastAsia"/>
          <w:sz w:val="24"/>
          <w:szCs w:val="24"/>
          <w:lang w:val="zh-CN"/>
        </w:rPr>
      </w:pPr>
      <w:r>
        <w:rPr>
          <w:rFonts w:hint="eastAsia" w:cs="仿宋_GB2312" w:asciiTheme="minorEastAsia" w:hAnsiTheme="minor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pacing w:line="360" w:lineRule="atLeast"/>
        <w:ind w:firstLine="566"/>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1、按照国家相关标准、行业标准、地方标准或者其他标准、规范验收；</w:t>
      </w:r>
    </w:p>
    <w:p>
      <w:pPr>
        <w:widowControl/>
        <w:spacing w:line="360" w:lineRule="atLeast"/>
        <w:ind w:firstLine="566"/>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2、按照招标文件要求、投标文件响应和承诺验收。</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五、资金支付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1、支付方式：银行转账</w:t>
      </w:r>
    </w:p>
    <w:p>
      <w:pPr>
        <w:widowControl/>
        <w:spacing w:line="360" w:lineRule="atLeast"/>
        <w:ind w:firstLine="566"/>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2、支付时间及条件：合同签订后支付合同价款的30%，勘察设计等成果通过验收评审后支付合同价款的55%，剩余部分工程完工验收后支付。</w:t>
      </w:r>
    </w:p>
    <w:p>
      <w:pPr>
        <w:adjustRightInd w:val="0"/>
        <w:snapToGrid w:val="0"/>
        <w:spacing w:line="360" w:lineRule="auto"/>
        <w:ind w:firstLine="482" w:firstLineChars="200"/>
        <w:jc w:val="left"/>
        <w:rPr>
          <w:rFonts w:cs="宋体" w:asciiTheme="minorEastAsia" w:hAnsiTheme="minorEastAsia"/>
          <w:kern w:val="0"/>
          <w:sz w:val="24"/>
          <w:szCs w:val="24"/>
          <w:lang w:val="zh-CN"/>
        </w:rPr>
      </w:pPr>
      <w:r>
        <w:rPr>
          <w:rFonts w:hint="eastAsia" w:cs="宋体" w:asciiTheme="minorEastAsia" w:hAnsiTheme="minorEastAsia"/>
          <w:b/>
          <w:kern w:val="0"/>
          <w:sz w:val="24"/>
          <w:szCs w:val="24"/>
          <w:lang w:val="zh-CN"/>
        </w:rPr>
        <w:t>六、其他要求</w:t>
      </w:r>
    </w:p>
    <w:p>
      <w:pPr>
        <w:wordWrap w:val="0"/>
        <w:topLinePunct/>
        <w:spacing w:line="360" w:lineRule="auto"/>
        <w:ind w:firstLine="480" w:firstLineChars="200"/>
        <w:rPr>
          <w:rFonts w:ascii="宋体" w:cs="宋体"/>
          <w:b/>
          <w:sz w:val="24"/>
          <w:lang w:val="zh-CN"/>
        </w:rPr>
      </w:pPr>
      <w:r>
        <w:rPr>
          <w:rFonts w:hint="eastAsia" w:ascii="宋体" w:cs="宋体"/>
          <w:sz w:val="24"/>
          <w:lang w:val="zh-CN"/>
        </w:rPr>
        <w:t>1、投标人应就该项目（每包或者标段）完整投标，</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zh-CN"/>
        </w:rPr>
        <w:t>2、本项目为交钥匙工程。</w:t>
      </w:r>
    </w:p>
    <w:p>
      <w:pPr>
        <w:wordWrap w:val="0"/>
        <w:topLinePunct/>
        <w:snapToGrid w:val="0"/>
        <w:spacing w:line="360" w:lineRule="auto"/>
        <w:ind w:firstLine="482" w:firstLineChars="200"/>
        <w:rPr>
          <w:rFonts w:ascii="宋体" w:cs="宋体"/>
          <w:b/>
          <w:sz w:val="24"/>
          <w:lang w:val="zh-CN"/>
        </w:rPr>
      </w:pPr>
      <w:r>
        <w:rPr>
          <w:rFonts w:hint="eastAsia" w:ascii="宋体" w:cs="宋体"/>
          <w:b/>
          <w:sz w:val="24"/>
          <w:lang w:val="zh-CN"/>
        </w:rPr>
        <w:t>3、本项目招标文件中加</w:t>
      </w:r>
      <w:r>
        <w:rPr>
          <w:rFonts w:hint="eastAsia" w:cs="微软雅黑" w:asciiTheme="minorEastAsia" w:hAnsiTheme="minorEastAsia"/>
          <w:b/>
          <w:sz w:val="24"/>
          <w:szCs w:val="24"/>
        </w:rPr>
        <w:t>★</w:t>
      </w:r>
      <w:r>
        <w:rPr>
          <w:rFonts w:hint="eastAsia" w:ascii="宋体" w:cs="宋体"/>
          <w:b/>
          <w:sz w:val="24"/>
          <w:lang w:val="zh-CN"/>
        </w:rPr>
        <w:t>项为不允许偏离的实质性要求和条件，无加</w:t>
      </w:r>
      <w:r>
        <w:rPr>
          <w:rFonts w:hint="eastAsia" w:cs="微软雅黑" w:asciiTheme="minorEastAsia" w:hAnsiTheme="minorEastAsia"/>
          <w:b/>
          <w:sz w:val="24"/>
          <w:szCs w:val="24"/>
        </w:rPr>
        <w:t>★</w:t>
      </w:r>
      <w:r>
        <w:rPr>
          <w:rFonts w:hint="eastAsia" w:ascii="宋体" w:cs="宋体"/>
          <w:b/>
          <w:sz w:val="24"/>
          <w:lang w:val="zh-CN"/>
        </w:rPr>
        <w:t>的视为不允许负偏离。（如果有的话）</w:t>
      </w:r>
    </w:p>
    <w:p>
      <w:pPr>
        <w:autoSpaceDE w:val="0"/>
        <w:autoSpaceDN w:val="0"/>
        <w:adjustRightInd w:val="0"/>
        <w:spacing w:line="360" w:lineRule="auto"/>
        <w:ind w:firstLine="480" w:firstLineChars="200"/>
        <w:rPr>
          <w:rFonts w:ascii="宋体" w:cs="宋体"/>
          <w:sz w:val="24"/>
          <w:lang w:val="zh-CN"/>
        </w:rPr>
      </w:pPr>
      <w:r>
        <w:rPr>
          <w:rFonts w:hint="eastAsia" w:ascii="宋体" w:cs="宋体"/>
          <w:sz w:val="24"/>
          <w:lang w:val="zh-CN"/>
        </w:rPr>
        <w:t>4、投标文件中须有详细的实施（技术）方案，否则为无效投标。</w:t>
      </w: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项目名称：新东桂苑室外高低压配电设计</w:t>
            </w:r>
          </w:p>
          <w:p>
            <w:pPr>
              <w:autoSpaceDE w:val="0"/>
              <w:autoSpaceDN w:val="0"/>
              <w:adjustRightInd w:val="0"/>
              <w:spacing w:line="360" w:lineRule="auto"/>
              <w:jc w:val="left"/>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sz w:val="24"/>
                <w:szCs w:val="24"/>
              </w:rPr>
              <w:t>项目编号：</w:t>
            </w:r>
            <w:r>
              <w:rPr>
                <w:rFonts w:hint="eastAsia" w:cs="仿宋_GB2312" w:asciiTheme="minorEastAsia" w:hAnsiTheme="minorEastAsia"/>
                <w:color w:val="000000" w:themeColor="text1"/>
                <w:sz w:val="24"/>
                <w:szCs w:val="24"/>
                <w14:textFill>
                  <w14:solidFill>
                    <w14:schemeClr w14:val="tx1"/>
                  </w14:solidFill>
                </w14:textFill>
              </w:rPr>
              <w:t xml:space="preserve"> JZFCG-G2019022-1</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项目内容：本次招标内容包括工程初步设计、施工图设计和配合现场施工直到竣工验收。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电气部分：根据供电公司出具的供电方案，居民用电部分从10千伏电源点至居民用户表箱（含电缆桥架），专用负荷部分至低压配电柜出线电缆（不含桥架）。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土建部分：相应设备基础，开闭所、配电室土建，安装施工图及电缆沟，以及防汛设计方案。</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项目地址：新东桂苑小区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名称：许昌市东兴开发建设投资有限公司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地址：东城区管委会附属楼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联系人：苏先生     电话：18864607772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名称：河南兴建建设管理有限公司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地址：许昌市许都路永丰国际</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联系人：梁先生                电话：15936380473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u w:val="single"/>
              </w:rPr>
              <w:t>、</w:t>
            </w:r>
            <w:r>
              <w:rPr>
                <w:rFonts w:hint="eastAsia" w:cs="仿宋_GB2312" w:asciiTheme="minorEastAsia" w:hAnsiTheme="minorEastAsia"/>
                <w:color w:val="000000" w:themeColor="text1"/>
                <w:sz w:val="24"/>
                <w:szCs w:val="24"/>
                <w:u w:val="single"/>
                <w14:textFill>
                  <w14:solidFill>
                    <w14:schemeClr w14:val="tx1"/>
                  </w14:solidFill>
                </w14:textFill>
              </w:rPr>
              <w:t>2017</w:t>
            </w:r>
            <w:r>
              <w:rPr>
                <w:rFonts w:hint="eastAsia" w:cs="宋体" w:asciiTheme="minorEastAsia" w:hAnsiTheme="minorEastAsia"/>
                <w:bCs/>
                <w:color w:val="000000" w:themeColor="text1"/>
                <w:sz w:val="24"/>
                <w:szCs w:val="24"/>
                <w:u w:val="single"/>
                <w:lang w:val="zh-CN"/>
                <w14:textFill>
                  <w14:solidFill>
                    <w14:schemeClr w14:val="tx1"/>
                  </w14:solidFill>
                </w14:textFill>
              </w:rPr>
              <w:t>年度</w:t>
            </w:r>
            <w:r>
              <w:rPr>
                <w:rFonts w:hint="eastAsia" w:cs="宋体" w:asciiTheme="minorEastAsia" w:hAnsiTheme="minorEastAsia"/>
                <w:bCs/>
                <w:sz w:val="24"/>
                <w:szCs w:val="24"/>
                <w:lang w:val="zh-CN"/>
              </w:rPr>
              <w:t>的财务</w:t>
            </w:r>
            <w:r>
              <w:rPr>
                <w:rFonts w:hint="eastAsia" w:cs="宋体" w:asciiTheme="minorEastAsia" w:hAnsiTheme="minorEastAsia"/>
                <w:bCs/>
                <w:color w:val="000000" w:themeColor="text1"/>
                <w:sz w:val="24"/>
                <w:szCs w:val="24"/>
                <w:lang w:val="zh-CN"/>
                <w14:textFill>
                  <w14:solidFill>
                    <w14:schemeClr w14:val="tx1"/>
                  </w14:solidFill>
                </w14:textFill>
              </w:rPr>
              <w:t>审计</w:t>
            </w:r>
            <w:r>
              <w:rPr>
                <w:rFonts w:hint="eastAsia" w:cs="宋体" w:asciiTheme="minorEastAsia" w:hAnsiTheme="minorEastAsia"/>
                <w:bCs/>
                <w:sz w:val="24"/>
                <w:szCs w:val="24"/>
                <w:lang w:val="zh-CN"/>
              </w:rPr>
              <w:t>报告及利润表、现金流量表、资产负债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w:t>
            </w:r>
            <w:r>
              <w:rPr>
                <w:rFonts w:hint="eastAsia" w:cs="宋体" w:asciiTheme="minorEastAsia" w:hAnsiTheme="minorEastAsia"/>
                <w:bCs/>
                <w:color w:val="000000" w:themeColor="text1"/>
                <w:sz w:val="24"/>
                <w:szCs w:val="24"/>
                <w:u w:val="single"/>
                <w:lang w:val="zh-CN"/>
                <w14:textFill>
                  <w14:solidFill>
                    <w14:schemeClr w14:val="tx1"/>
                  </w14:solidFill>
                </w14:textFill>
              </w:rPr>
              <w:t>三个月内</w:t>
            </w:r>
            <w:r>
              <w:rPr>
                <w:rFonts w:hint="eastAsia" w:cs="宋体" w:asciiTheme="minorEastAsia" w:hAnsiTheme="minorEastAsia"/>
                <w:bCs/>
                <w:sz w:val="24"/>
                <w:szCs w:val="24"/>
                <w:u w:val="single"/>
                <w:lang w:val="zh-CN"/>
              </w:rPr>
              <w:t>任意一</w:t>
            </w:r>
            <w:r>
              <w:rPr>
                <w:rFonts w:hint="eastAsia" w:cs="宋体" w:asciiTheme="minorEastAsia" w:hAnsiTheme="minorEastAsia"/>
                <w:bCs/>
                <w:sz w:val="24"/>
                <w:szCs w:val="24"/>
                <w:lang w:val="zh-CN"/>
              </w:rPr>
              <w:t>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w:t>
            </w:r>
            <w:r>
              <w:rPr>
                <w:rFonts w:hint="eastAsia" w:cs="宋体" w:asciiTheme="minorEastAsia" w:hAnsiTheme="minorEastAsia"/>
                <w:bCs/>
                <w:sz w:val="24"/>
                <w:szCs w:val="24"/>
                <w:u w:val="single"/>
                <w:lang w:val="zh-CN"/>
              </w:rPr>
              <w:t>间</w:t>
            </w:r>
            <w:r>
              <w:rPr>
                <w:rFonts w:hint="eastAsia" w:cs="宋体" w:asciiTheme="minorEastAsia" w:hAnsiTheme="minorEastAsia"/>
                <w:bCs/>
                <w:color w:val="000000" w:themeColor="text1"/>
                <w:sz w:val="24"/>
                <w:szCs w:val="24"/>
                <w:u w:val="single"/>
                <w:lang w:val="zh-CN"/>
                <w14:textFill>
                  <w14:solidFill>
                    <w14:schemeClr w14:val="tx1"/>
                  </w14:solidFill>
                </w14:textFill>
              </w:rPr>
              <w:t>前三个月</w:t>
            </w:r>
            <w:r>
              <w:rPr>
                <w:rFonts w:hint="eastAsia" w:cs="宋体" w:asciiTheme="minorEastAsia" w:hAnsiTheme="minorEastAsia"/>
                <w:bCs/>
                <w:sz w:val="24"/>
                <w:szCs w:val="24"/>
                <w:u w:val="single"/>
                <w:lang w:val="zh-CN"/>
              </w:rPr>
              <w:t>缴纳</w:t>
            </w:r>
            <w:r>
              <w:rPr>
                <w:rFonts w:hint="eastAsia" w:cs="宋体" w:asciiTheme="minorEastAsia" w:hAnsiTheme="minorEastAsia"/>
                <w:bCs/>
                <w:sz w:val="24"/>
                <w:szCs w:val="24"/>
                <w:lang w:val="zh-CN"/>
              </w:rPr>
              <w:t>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widowControl/>
              <w:spacing w:line="600" w:lineRule="exact"/>
              <w:rPr>
                <w:rFonts w:eastAsia="宋体" w:cs="宋体" w:asciiTheme="minorEastAsia" w:hAnsiTheme="minorEastAsia"/>
                <w:kern w:val="0"/>
                <w:sz w:val="24"/>
                <w:szCs w:val="24"/>
              </w:rPr>
            </w:pPr>
            <w:r>
              <w:rPr>
                <w:rFonts w:hint="eastAsia" w:eastAsia="宋体" w:cs="宋体" w:asciiTheme="minorEastAsia" w:hAnsiTheme="minorEastAsia"/>
                <w:kern w:val="0"/>
                <w:sz w:val="24"/>
                <w:szCs w:val="24"/>
                <w:lang w:val="zh-CN"/>
              </w:rPr>
              <w:t>七、具有河南省建设厅颁发的工程勘察专业类乙级及以上资质</w:t>
            </w:r>
            <w:r>
              <w:rPr>
                <w:rFonts w:hint="eastAsia" w:eastAsia="宋体" w:cs="宋体" w:asciiTheme="minorEastAsia" w:hAnsiTheme="minorEastAsia"/>
                <w:kern w:val="0"/>
                <w:sz w:val="24"/>
                <w:szCs w:val="24"/>
              </w:rPr>
              <w:t xml:space="preserve">; </w:t>
            </w:r>
          </w:p>
          <w:p>
            <w:pPr>
              <w:widowControl/>
              <w:spacing w:line="600" w:lineRule="exact"/>
              <w:rPr>
                <w:rFonts w:eastAsia="宋体" w:cs="宋体" w:asciiTheme="minorEastAsia" w:hAnsiTheme="minorEastAsia"/>
                <w:kern w:val="0"/>
                <w:sz w:val="24"/>
                <w:szCs w:val="24"/>
              </w:rPr>
            </w:pPr>
            <w:r>
              <w:rPr>
                <w:rFonts w:hint="eastAsia" w:eastAsia="宋体" w:cs="宋体" w:asciiTheme="minorEastAsia" w:hAnsiTheme="minorEastAsia"/>
                <w:kern w:val="0"/>
                <w:sz w:val="24"/>
                <w:szCs w:val="24"/>
                <w:lang w:val="zh-CN"/>
              </w:rPr>
              <w:t>八、具有河南省建设厅颁发的工程设计电力行业专业乙级及以上资质</w:t>
            </w:r>
            <w:r>
              <w:rPr>
                <w:rFonts w:hint="eastAsia" w:eastAsia="宋体" w:cs="宋体" w:asciiTheme="minorEastAsia" w:hAnsiTheme="minorEastAsia"/>
                <w:kern w:val="0"/>
                <w:sz w:val="24"/>
                <w:szCs w:val="24"/>
              </w:rPr>
              <w:t xml:space="preserve">; </w:t>
            </w:r>
          </w:p>
          <w:p>
            <w:pPr>
              <w:widowControl/>
              <w:spacing w:line="600" w:lineRule="exact"/>
              <w:rPr>
                <w:rFonts w:eastAsia="宋体" w:cs="宋体" w:asciiTheme="minorEastAsia" w:hAnsiTheme="minorEastAsia"/>
                <w:kern w:val="0"/>
                <w:sz w:val="24"/>
                <w:szCs w:val="24"/>
              </w:rPr>
            </w:pPr>
            <w:r>
              <w:rPr>
                <w:rFonts w:hint="eastAsia" w:eastAsia="宋体" w:cs="宋体" w:asciiTheme="minorEastAsia" w:hAnsiTheme="minorEastAsia"/>
                <w:kern w:val="0"/>
                <w:sz w:val="24"/>
                <w:szCs w:val="24"/>
                <w:lang w:val="zh-CN"/>
              </w:rPr>
              <w:t>九、项目负责人应具有注册电气工程师或电力工程技术专业高级工程师职称;并提供本人</w:t>
            </w:r>
            <w:r>
              <w:rPr>
                <w:rFonts w:hint="eastAsia" w:eastAsia="宋体" w:cs="宋体" w:asciiTheme="minorEastAsia" w:hAnsiTheme="minorEastAsia"/>
                <w:kern w:val="0"/>
                <w:sz w:val="24"/>
                <w:szCs w:val="24"/>
              </w:rPr>
              <w:t>2018年度缴纳社会养老保障证明；</w:t>
            </w:r>
          </w:p>
          <w:p>
            <w:pPr>
              <w:autoSpaceDE w:val="0"/>
              <w:autoSpaceDN w:val="0"/>
              <w:adjustRightInd w:val="0"/>
              <w:spacing w:line="360" w:lineRule="auto"/>
              <w:ind w:right="-11"/>
              <w:rPr>
                <w:rFonts w:cs="宋体" w:asciiTheme="minorEastAsia" w:hAnsiTheme="minorEastAsia"/>
                <w:b/>
                <w:kern w:val="0"/>
                <w:sz w:val="24"/>
                <w:szCs w:val="24"/>
              </w:rPr>
            </w:pPr>
            <w:r>
              <w:rPr>
                <w:rFonts w:hint="eastAsia" w:cs="宋体" w:asciiTheme="minorEastAsia" w:hAnsiTheme="minorEastAsia"/>
                <w:b/>
                <w:kern w:val="0"/>
                <w:sz w:val="24"/>
                <w:szCs w:val="24"/>
                <w:lang w:val="zh-CN"/>
              </w:rPr>
              <w:t>十、未被列入</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信用中国</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网站</w:t>
            </w:r>
            <w:r>
              <w:rPr>
                <w:rFonts w:cs="宋体" w:asciiTheme="minorEastAsia" w:hAnsiTheme="minorEastAsia"/>
                <w:b/>
                <w:kern w:val="0"/>
                <w:sz w:val="24"/>
                <w:szCs w:val="24"/>
              </w:rPr>
              <w:t>(www.creditchina.gov.cn)</w:t>
            </w:r>
            <w:r>
              <w:rPr>
                <w:rFonts w:hint="eastAsia" w:cs="宋体" w:asciiTheme="minorEastAsia" w:hAnsiTheme="minorEastAsia"/>
                <w:b/>
                <w:kern w:val="0"/>
                <w:sz w:val="24"/>
                <w:szCs w:val="24"/>
                <w:lang w:val="zh-CN"/>
              </w:rPr>
              <w:t>失信被执行人、重大税收违法案件当事人名单、政府采购严重违法失信名单的投标人</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中国政府采购网</w:t>
            </w:r>
            <w:r>
              <w:rPr>
                <w:rFonts w:hint="eastAsia" w:cs="宋体" w:asciiTheme="minorEastAsia" w:hAnsiTheme="minorEastAsia"/>
                <w:b/>
                <w:kern w:val="0"/>
                <w:sz w:val="24"/>
                <w:szCs w:val="24"/>
              </w:rPr>
              <w:t>”</w:t>
            </w:r>
            <w:r>
              <w:rPr>
                <w:rFonts w:cs="宋体" w:asciiTheme="minorEastAsia" w:hAnsiTheme="minorEastAsia"/>
                <w:b/>
                <w:kern w:val="0"/>
                <w:sz w:val="24"/>
                <w:szCs w:val="24"/>
              </w:rPr>
              <w:t xml:space="preserve"> (www.ccgp.gov.cn)</w:t>
            </w:r>
            <w:r>
              <w:rPr>
                <w:rFonts w:hint="eastAsia" w:cs="宋体" w:asciiTheme="minorEastAsia" w:hAnsiTheme="minorEastAsia"/>
                <w:b/>
                <w:kern w:val="0"/>
                <w:sz w:val="24"/>
                <w:szCs w:val="24"/>
                <w:lang w:val="zh-CN"/>
              </w:rPr>
              <w:t>政府采购严重违法失信行为记录名单的投标人</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国家企业信用公示系统</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网站</w:t>
            </w:r>
            <w:r>
              <w:rPr>
                <w:rFonts w:hint="eastAsia" w:cs="宋体" w:asciiTheme="minorEastAsia" w:hAnsiTheme="minorEastAsia"/>
                <w:b/>
                <w:kern w:val="0"/>
                <w:sz w:val="24"/>
                <w:szCs w:val="24"/>
              </w:rPr>
              <w:t>（</w:t>
            </w:r>
            <w:r>
              <w:rPr>
                <w:rFonts w:cs="宋体" w:asciiTheme="minorEastAsia" w:hAnsiTheme="minorEastAsia"/>
                <w:b/>
                <w:kern w:val="0"/>
                <w:sz w:val="24"/>
                <w:szCs w:val="24"/>
              </w:rPr>
              <w:t>www.gsxt.gov.cn</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严重违法失信企业名单</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黑名单</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的投标人</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联合体形式投标的</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联合体成员存在不良信用记录</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视同联合体存在不良信用记录</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本项目投标截止时间前三年内供应商信用记录情况</w:t>
            </w:r>
            <w:r>
              <w:rPr>
                <w:rFonts w:hint="eastAsia" w:cs="宋体" w:asciiTheme="minorEastAsia" w:hAnsiTheme="minorEastAsia"/>
                <w:b/>
                <w:kern w:val="0"/>
                <w:sz w:val="24"/>
                <w:szCs w:val="24"/>
              </w:rPr>
              <w:t>)</w:t>
            </w:r>
            <w:r>
              <w:rPr>
                <w:rFonts w:hint="eastAsia" w:cs="宋体" w:asciiTheme="minorEastAsia" w:hAnsiTheme="minorEastAsia"/>
                <w:b/>
                <w:kern w:val="0"/>
                <w:sz w:val="24"/>
                <w:szCs w:val="24"/>
                <w:lang w:val="zh-CN"/>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）；“国家企业信用公示系统”网站（</w:t>
            </w:r>
            <w:r>
              <w:rPr>
                <w:rFonts w:cs="宋体" w:asciiTheme="minorEastAsia" w:hAnsiTheme="minorEastAsia"/>
                <w:kern w:val="0"/>
                <w:sz w:val="24"/>
                <w:szCs w:val="24"/>
              </w:rPr>
              <w:t>www.gsxt.gov.cn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color w:val="FF000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rPr>
              <w:t>877176</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2019年</w:t>
            </w:r>
            <w:r>
              <w:rPr>
                <w:rFonts w:hint="eastAsia" w:cs="宋体" w:asciiTheme="minorEastAsia" w:hAnsiTheme="minorEastAsia"/>
                <w:bCs/>
                <w:sz w:val="24"/>
                <w:szCs w:val="24"/>
              </w:rPr>
              <w:t xml:space="preserve">  4</w:t>
            </w:r>
            <w:r>
              <w:rPr>
                <w:rFonts w:hint="eastAsia" w:cs="宋体" w:asciiTheme="minorEastAsia" w:hAnsiTheme="minorEastAsia"/>
                <w:bCs/>
                <w:sz w:val="24"/>
                <w:szCs w:val="24"/>
                <w:lang w:val="zh-CN"/>
              </w:rPr>
              <w:t>月</w:t>
            </w:r>
            <w:r>
              <w:rPr>
                <w:rFonts w:hint="eastAsia" w:cs="宋体" w:asciiTheme="minorEastAsia" w:hAnsiTheme="minorEastAsia"/>
                <w:bCs/>
                <w:sz w:val="24"/>
                <w:szCs w:val="24"/>
              </w:rPr>
              <w:t xml:space="preserve">28  </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 xml:space="preserve">9  </w:t>
            </w:r>
            <w:r>
              <w:rPr>
                <w:rFonts w:hint="eastAsia" w:cs="宋体" w:asciiTheme="minorEastAsia" w:hAnsiTheme="minorEastAsia"/>
                <w:bCs/>
                <w:sz w:val="24"/>
                <w:szCs w:val="24"/>
                <w:lang w:val="zh-CN"/>
              </w:rPr>
              <w:t>时</w:t>
            </w:r>
            <w:r>
              <w:rPr>
                <w:rFonts w:hint="eastAsia" w:cs="宋体" w:asciiTheme="minorEastAsia" w:hAnsiTheme="minorEastAsia"/>
                <w:bCs/>
                <w:sz w:val="24"/>
                <w:szCs w:val="24"/>
              </w:rPr>
              <w:t xml:space="preserve"> 30 </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许昌市公共资源交易中心三楼开标三室（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金额：壹万柒仟元整（¥</w:t>
            </w:r>
            <w:r>
              <w:rPr>
                <w:rFonts w:hint="eastAsia" w:cs="仿宋_GB2312" w:asciiTheme="minorEastAsia" w:hAnsiTheme="minorEastAsia"/>
                <w:sz w:val="24"/>
                <w:szCs w:val="24"/>
              </w:rPr>
              <w:t>17</w:t>
            </w:r>
            <w:r>
              <w:rPr>
                <w:rFonts w:hint="eastAsia" w:cs="仿宋_GB2312" w:asciiTheme="minorEastAsia" w:hAnsiTheme="minorEastAsia"/>
                <w:sz w:val="24"/>
                <w:szCs w:val="24"/>
                <w:lang w:val="zh-CN"/>
              </w:rPr>
              <w:t>000.00元）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sz w:val="24"/>
                <w:szCs w:val="24"/>
              </w:rPr>
              <w:t>中国·许昌许昌市政府网</w:t>
            </w:r>
            <w:r>
              <w:rPr>
                <w:rFonts w:cs="宋体" w:asciiTheme="minorEastAsia" w:hAnsiTheme="minorEastAsia"/>
                <w:sz w:val="24"/>
                <w:szCs w:val="24"/>
              </w:rPr>
              <w:fldChar w:fldCharType="end"/>
            </w:r>
            <w:r>
              <w:rPr>
                <w:rFonts w:hint="eastAsia" w:cs="宋体" w:asciiTheme="minorEastAsia" w:hAnsiTheme="minorEastAsia"/>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16"/>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zh-CN"/>
              </w:rPr>
              <w:t>□收取采购人。</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4"/>
                <w:szCs w:val="24"/>
                <w:lang w:val="zh-CN"/>
              </w:rPr>
              <w:t>收取标准: 参照《招标代理服务收费管理暂行办法》(计价格（2002）1980号文）和《国家发展改革委员关于降低部分建设项目收费标准规范收费行为等有关问题的通知》(发改价格[2011]534号)标准计取。</w:t>
            </w:r>
            <w:r>
              <w:rPr>
                <w:rFonts w:hint="eastAsia" w:cs="宋体" w:asciiTheme="minorEastAsia" w:hAnsiTheme="minorEastAsia"/>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wordWrap w:val="0"/>
              <w:topLinePunct/>
              <w:snapToGrid w:val="0"/>
              <w:spacing w:line="360" w:lineRule="auto"/>
              <w:rPr>
                <w:rFonts w:ascii="宋体"/>
                <w:sz w:val="24"/>
                <w:szCs w:val="24"/>
              </w:rPr>
            </w:pPr>
            <w:r>
              <w:rPr>
                <w:rFonts w:hint="eastAsia" w:cs="宋体" w:asciiTheme="minorEastAsia" w:hAnsiTheme="minorEastAsia"/>
                <w:bCs/>
                <w:sz w:val="24"/>
                <w:szCs w:val="24"/>
                <w:lang w:val="zh-CN"/>
              </w:rPr>
              <w:t>1、</w:t>
            </w:r>
            <w:r>
              <w:rPr>
                <w:rFonts w:hint="eastAsia" w:ascii="宋体" w:hAnsi="宋体"/>
                <w:kern w:val="0"/>
                <w:sz w:val="24"/>
                <w:szCs w:val="24"/>
              </w:rPr>
              <w:t>中标人在向采购单位领取中标通知书时，须向采购单位提供</w:t>
            </w:r>
            <w:r>
              <w:rPr>
                <w:rFonts w:hint="eastAsia" w:ascii="宋体" w:hAnsi="宋体"/>
                <w:sz w:val="24"/>
                <w:szCs w:val="24"/>
              </w:rPr>
              <w:t>法人营业执照、税务登记证副本及投标条件中要求的相关证件原件和招标文件</w:t>
            </w:r>
            <w:r>
              <w:rPr>
                <w:rFonts w:hint="eastAsia" w:ascii="宋体"/>
                <w:sz w:val="24"/>
                <w:szCs w:val="24"/>
              </w:rPr>
              <w:t xml:space="preserve"> “其它要求”中要求的相关材料（如果本招标文件要求的话），</w:t>
            </w:r>
            <w:r>
              <w:rPr>
                <w:rFonts w:hint="eastAsia" w:ascii="宋体"/>
                <w:b/>
                <w:sz w:val="24"/>
                <w:szCs w:val="24"/>
              </w:rPr>
              <w:t>否则取消其中标资格。</w:t>
            </w:r>
          </w:p>
          <w:p>
            <w:pPr>
              <w:autoSpaceDE w:val="0"/>
              <w:autoSpaceDN w:val="0"/>
              <w:adjustRightInd w:val="0"/>
              <w:spacing w:line="360" w:lineRule="auto"/>
              <w:rPr>
                <w:rFonts w:cs="宋体" w:asciiTheme="minorEastAsia" w:hAnsiTheme="minorEastAsia"/>
                <w:bCs/>
                <w:sz w:val="24"/>
                <w:szCs w:val="24"/>
              </w:rPr>
            </w:pPr>
            <w:r>
              <w:rPr>
                <w:rFonts w:hint="eastAsia" w:cs="宋体" w:asciiTheme="minorEastAsia" w:hAnsiTheme="minorEastAsia"/>
                <w:bCs/>
                <w:sz w:val="24"/>
                <w:szCs w:val="24"/>
              </w:rPr>
              <w:t>2</w:t>
            </w:r>
            <w:r>
              <w:rPr>
                <w:rFonts w:hint="eastAsia" w:cs="宋体" w:asciiTheme="minorEastAsia" w:hAnsiTheme="minorEastAsia"/>
                <w:bCs/>
                <w:sz w:val="24"/>
                <w:szCs w:val="24"/>
                <w:lang w:val="zh-CN"/>
              </w:rPr>
              <w:t>、中标人在接到中标通知时</w:t>
            </w:r>
            <w:r>
              <w:rPr>
                <w:rFonts w:hint="eastAsia" w:cs="宋体" w:asciiTheme="minorEastAsia" w:hAnsiTheme="minorEastAsia"/>
                <w:bCs/>
                <w:sz w:val="24"/>
                <w:szCs w:val="24"/>
              </w:rPr>
              <w:t>，</w:t>
            </w:r>
            <w:r>
              <w:rPr>
                <w:rFonts w:hint="eastAsia" w:cs="宋体" w:asciiTheme="minorEastAsia" w:hAnsiTheme="minorEastAsia"/>
                <w:bCs/>
                <w:sz w:val="24"/>
                <w:szCs w:val="24"/>
                <w:lang w:val="zh-CN"/>
              </w:rPr>
              <w:t>须向代理机构发送投标报价及分项报价一览表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包含主要中标标的的名称、规格型号、数量、单价、服务要求等</w:t>
            </w:r>
            <w:r>
              <w:rPr>
                <w:rFonts w:hint="eastAsia" w:cs="宋体" w:asciiTheme="minorEastAsia" w:hAnsiTheme="minorEastAsia"/>
                <w:bCs/>
                <w:sz w:val="24"/>
                <w:szCs w:val="24"/>
              </w:rPr>
              <w:t>）</w:t>
            </w:r>
            <w:r>
              <w:rPr>
                <w:rFonts w:hint="eastAsia" w:cs="宋体" w:asciiTheme="minorEastAsia" w:hAnsiTheme="minorEastAsia"/>
                <w:bCs/>
                <w:sz w:val="24"/>
                <w:szCs w:val="24"/>
                <w:lang w:val="zh-CN"/>
              </w:rPr>
              <w:t>电子文档</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并同时通知交易见证部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联系电话</w:t>
            </w:r>
            <w:r>
              <w:rPr>
                <w:rFonts w:hint="eastAsia" w:cs="宋体" w:asciiTheme="minorEastAsia" w:hAnsiTheme="minorEastAsia"/>
                <w:bCs/>
                <w:sz w:val="24"/>
                <w:szCs w:val="24"/>
              </w:rPr>
              <w:t>：0374-2968027，</w:t>
            </w:r>
            <w:r>
              <w:rPr>
                <w:rFonts w:hint="eastAsia" w:cs="宋体" w:asciiTheme="minorEastAsia" w:hAnsiTheme="minorEastAsia"/>
                <w:bCs/>
                <w:sz w:val="24"/>
                <w:szCs w:val="24"/>
                <w:lang w:val="zh-CN"/>
              </w:rPr>
              <w:t>邮箱</w:t>
            </w:r>
            <w:r>
              <w:rPr>
                <w:rFonts w:hint="eastAsia" w:cs="宋体" w:asciiTheme="minorEastAsia" w:hAnsiTheme="minorEastAsia"/>
                <w:bCs/>
                <w:sz w:val="24"/>
                <w:szCs w:val="24"/>
              </w:rPr>
              <w:t>：jzb2968027@163.com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投标人投标时须提供加密电子投标文件、备份文件（使用电子介质存储）、纸质投标文件。评标标准中相关证明资料原件开标现场不再提供（招标文件有要求提供原件的除外）。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kern w:val="0"/>
        </w:rPr>
      </w:pPr>
      <w:r>
        <w:rPr>
          <w:rFonts w:cs="宋体" w:asciiTheme="minorEastAsia" w:hAnsiTheme="minorEastAsia"/>
          <w:kern w:val="0"/>
        </w:rPr>
        <w:t>3.</w:t>
      </w:r>
      <w:r>
        <w:rPr>
          <w:rFonts w:hint="eastAsia" w:cs="宋体" w:asciiTheme="minorEastAsia" w:hAnsiTheme="minorEastAsia"/>
          <w:kern w:val="0"/>
        </w:rPr>
        <w:t>3政府采购活动中查询及使用投标人信用记录的具体要求为：投标人未被列入失信被执行人、重大税收违法案件当事人名单、</w:t>
      </w:r>
      <w:r>
        <w:rPr>
          <w:rFonts w:cs="仿宋_GB2312" w:asciiTheme="minorEastAsia" w:hAnsiTheme="minorEastAsia"/>
          <w:shd w:val="clear" w:color="auto" w:fill="FFFFFF"/>
        </w:rPr>
        <w:t>政府采购严重违法失信名单</w:t>
      </w:r>
      <w:r>
        <w:rPr>
          <w:rFonts w:hint="eastAsia" w:cs="仿宋_GB2312" w:asciiTheme="minorEastAsia" w:hAnsiTheme="minorEastAsia"/>
          <w:shd w:val="clear" w:color="auto" w:fill="FFFFFF"/>
        </w:rPr>
        <w:t>、</w:t>
      </w:r>
      <w:r>
        <w:rPr>
          <w:rFonts w:hint="eastAsia" w:cs="宋体" w:asciiTheme="minorEastAsia" w:hAnsiTheme="minorEastAsia"/>
          <w:kern w:val="0"/>
        </w:rPr>
        <w:t>政府采购严重违法失信行为记录名单、</w:t>
      </w:r>
      <w:r>
        <w:rPr>
          <w:rFonts w:hint="eastAsia" w:ascii="宋体" w:hAnsi="宋体" w:cs="仿宋_GB2312"/>
          <w:b/>
          <w:shd w:val="clear" w:color="auto" w:fill="FFFFFF"/>
        </w:rPr>
        <w:t>严重违法失信企业名单（黑名单）</w:t>
      </w:r>
      <w:r>
        <w:rPr>
          <w:rFonts w:hint="eastAsia" w:cs="宋体" w:asciiTheme="minorEastAsia" w:hAnsiTheme="minorEastAsia"/>
          <w:kern w:val="0"/>
        </w:rPr>
        <w:t>（联合体形式投标的，联合体成员存在不良信用记录，视同联合体存在不良信用记录）。</w:t>
      </w:r>
      <w:r>
        <w:rPr>
          <w:rFonts w:hint="eastAsia" w:cs="宋体" w:asciiTheme="minorEastAsia" w:hAnsiTheme="minorEastAsia"/>
          <w:b/>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kern w:val="0"/>
          <w:sz w:val="24"/>
          <w:szCs w:val="24"/>
        </w:rPr>
        <w:t>“</w:t>
      </w:r>
      <w:r>
        <w:rPr>
          <w:rFonts w:hint="eastAsia" w:ascii="宋体" w:hAnsi="宋体" w:cs="宋体"/>
          <w:kern w:val="0"/>
          <w:sz w:val="24"/>
          <w:szCs w:val="24"/>
          <w:lang w:val="zh-CN"/>
        </w:rPr>
        <w:t>国家企业信用公示系统</w:t>
      </w:r>
      <w:r>
        <w:rPr>
          <w:rFonts w:hint="eastAsia" w:ascii="宋体" w:hAnsi="宋体" w:cs="宋体"/>
          <w:kern w:val="0"/>
          <w:sz w:val="24"/>
          <w:szCs w:val="24"/>
        </w:rPr>
        <w:t>”</w:t>
      </w:r>
      <w:r>
        <w:rPr>
          <w:rFonts w:hint="eastAsia" w:ascii="宋体" w:hAnsi="宋体" w:cs="宋体"/>
          <w:kern w:val="0"/>
          <w:sz w:val="24"/>
          <w:szCs w:val="24"/>
          <w:lang w:val="zh-CN"/>
        </w:rPr>
        <w:t>网站</w:t>
      </w:r>
      <w:r>
        <w:rPr>
          <w:rFonts w:hint="eastAsia" w:ascii="宋体" w:hAnsi="宋体" w:cs="宋体"/>
          <w:kern w:val="0"/>
          <w:sz w:val="24"/>
          <w:szCs w:val="24"/>
        </w:rPr>
        <w:t>（</w:t>
      </w:r>
      <w:r>
        <w:rPr>
          <w:rFonts w:ascii="宋体" w:hAnsi="宋体" w:cs="宋体"/>
          <w:kern w:val="0"/>
          <w:sz w:val="24"/>
          <w:szCs w:val="24"/>
        </w:rPr>
        <w:t>www.gsxt.gov.cn</w:t>
      </w:r>
      <w:r>
        <w:rPr>
          <w:rFonts w:hint="eastAsia" w:ascii="宋体" w:hAnsi="宋体" w:cs="宋体"/>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sz w:val="24"/>
          <w:szCs w:val="24"/>
        </w:rPr>
        <w:t>《中国政府采购网》、《河南省政府采购网》、《许昌市政府采购网》、</w:t>
      </w:r>
      <w:r>
        <w:rPr>
          <w:rFonts w:hint="eastAsia" w:cs="宋体" w:asciiTheme="minorEastAsia" w:hAnsiTheme="minorEastAsia"/>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kern w:val="0"/>
          <w:sz w:val="24"/>
          <w:szCs w:val="24"/>
        </w:rPr>
        <w:t>中国·许昌许昌市政府网</w:t>
      </w:r>
      <w:r>
        <w:rPr>
          <w:rFonts w:cs="宋体" w:asciiTheme="minorEastAsia" w:hAnsiTheme="minorEastAsia"/>
          <w:kern w:val="0"/>
          <w:sz w:val="24"/>
          <w:szCs w:val="24"/>
        </w:rPr>
        <w:fldChar w:fldCharType="end"/>
      </w:r>
      <w:r>
        <w:rPr>
          <w:rFonts w:hint="eastAsia" w:cs="黑体" w:asciiTheme="minorEastAsia" w:hAnsiTheme="minorEastAsia"/>
          <w:bCs/>
          <w:shd w:val="clear" w:color="auto" w:fill="FFFFFF"/>
        </w:rPr>
        <w:t>》</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收取标准:按照中标合同金额的比例收取。详见投标人须知前附表。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收取方式：一次性以银行划账、电汇、汇票或支票的形式支付。</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V1.0”，按招标文件要求</w:t>
      </w:r>
      <w:r>
        <w:rPr>
          <w:rFonts w:hint="eastAsia" w:hAnsi="宋体"/>
          <w:sz w:val="24"/>
          <w:szCs w:val="24"/>
        </w:rPr>
        <w:t>根据所投标段</w:t>
      </w:r>
      <w:r>
        <w:rPr>
          <w:rFonts w:hint="eastAsia" w:ascii="Calibri" w:hAnsi="宋体" w:eastAsia="宋体" w:cs="Times New Roman"/>
          <w:sz w:val="24"/>
          <w:szCs w:val="24"/>
        </w:rPr>
        <w:t>制作电子投标文件。</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个工作日内退还未中标人的投标保证金。（交易见证部电话：0374-2968027）</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sz w:val="24"/>
          <w:szCs w:val="24"/>
          <w:lang w:val="zh-CN"/>
        </w:rPr>
        <w:t>（交易见证部电话：0374-2968027）</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szCs w:val="24"/>
        </w:rPr>
      </w:pPr>
      <w:r>
        <w:rPr>
          <w:rFonts w:hint="eastAsia" w:cs="仿宋_GB2312" w:asciiTheme="minorEastAsia" w:hAnsiTheme="minorEastAsia"/>
          <w:szCs w:val="24"/>
          <w:lang w:val="zh-CN"/>
        </w:rPr>
        <w:t>30.3</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szCs w:val="24"/>
        </w:rPr>
      </w:pPr>
      <w:r>
        <w:rPr>
          <w:rFonts w:hint="eastAsia" w:ascii="宋体" w:hAnsi="宋体" w:cs="宋体"/>
          <w:szCs w:val="24"/>
        </w:rPr>
        <w:t>（一）提供虚假材料谋取中标、成交的；</w:t>
      </w:r>
    </w:p>
    <w:p>
      <w:pPr>
        <w:pStyle w:val="12"/>
        <w:spacing w:line="360" w:lineRule="auto"/>
        <w:rPr>
          <w:rFonts w:ascii="宋体" w:hAnsi="宋体" w:cs="宋体"/>
          <w:szCs w:val="24"/>
        </w:rPr>
      </w:pPr>
      <w:r>
        <w:rPr>
          <w:rFonts w:hint="eastAsia" w:ascii="宋体" w:hAnsi="宋体" w:cs="宋体"/>
          <w:szCs w:val="24"/>
        </w:rPr>
        <w:t>（二）采取不正当手段诋毁、排挤其他供应商的；</w:t>
      </w:r>
    </w:p>
    <w:p>
      <w:pPr>
        <w:pStyle w:val="12"/>
        <w:spacing w:line="360" w:lineRule="auto"/>
        <w:rPr>
          <w:rFonts w:ascii="宋体" w:hAnsi="宋体" w:cs="宋体"/>
          <w:szCs w:val="24"/>
        </w:rPr>
      </w:pPr>
      <w:r>
        <w:rPr>
          <w:rFonts w:hint="eastAsia" w:ascii="宋体" w:hAnsi="宋体" w:cs="宋体"/>
          <w:szCs w:val="24"/>
        </w:rPr>
        <w:t>（三）与采购人、其他供应商或者采购代理机构恶意串通的；</w:t>
      </w:r>
    </w:p>
    <w:p>
      <w:pPr>
        <w:pStyle w:val="12"/>
        <w:spacing w:line="360" w:lineRule="auto"/>
        <w:rPr>
          <w:rFonts w:ascii="宋体" w:hAnsi="宋体" w:cs="宋体"/>
          <w:szCs w:val="24"/>
        </w:rPr>
      </w:pPr>
      <w:r>
        <w:rPr>
          <w:rFonts w:hint="eastAsia" w:ascii="宋体" w:hAnsi="宋体" w:cs="宋体"/>
          <w:szCs w:val="24"/>
        </w:rPr>
        <w:t>（四）向采购人、采购代理机构行贿或者提供其他不正当利益的；</w:t>
      </w:r>
    </w:p>
    <w:p>
      <w:pPr>
        <w:pStyle w:val="12"/>
        <w:spacing w:line="360" w:lineRule="auto"/>
        <w:rPr>
          <w:rFonts w:ascii="宋体" w:hAnsi="宋体" w:cs="宋体"/>
          <w:szCs w:val="24"/>
        </w:rPr>
      </w:pPr>
      <w:r>
        <w:rPr>
          <w:rFonts w:hint="eastAsia" w:ascii="宋体" w:hAnsi="宋体" w:cs="宋体"/>
          <w:szCs w:val="24"/>
        </w:rPr>
        <w:t>（五）在招标采购过程中与采购人进行协商谈判的；</w:t>
      </w:r>
    </w:p>
    <w:p>
      <w:pPr>
        <w:pStyle w:val="12"/>
        <w:spacing w:line="360" w:lineRule="auto"/>
        <w:rPr>
          <w:rFonts w:ascii="宋体" w:hAnsi="宋体" w:cs="宋体"/>
          <w:szCs w:val="24"/>
        </w:rPr>
      </w:pPr>
      <w:r>
        <w:rPr>
          <w:rFonts w:hint="eastAsia" w:ascii="宋体" w:hAnsi="宋体" w:cs="宋体"/>
          <w:szCs w:val="24"/>
        </w:rPr>
        <w:t>（六）拒绝有关部门监督检查或者提供虚假情况的。</w:t>
      </w:r>
    </w:p>
    <w:p>
      <w:pPr>
        <w:pStyle w:val="12"/>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r>
        <w:rPr>
          <w:rFonts w:hint="eastAsia" w:cs="仿宋_GB2312" w:asciiTheme="minorEastAsia" w:hAnsiTheme="minorEastAsia"/>
          <w:b/>
          <w:sz w:val="24"/>
          <w:szCs w:val="24"/>
        </w:rPr>
        <w:t>42. 其他</w:t>
      </w:r>
    </w:p>
    <w:p>
      <w:pPr>
        <w:tabs>
          <w:tab w:val="left" w:pos="1260"/>
        </w:tabs>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sz w:val="24"/>
          <w:szCs w:val="24"/>
          <w:lang w:val="zh-CN"/>
        </w:rPr>
        <w:t>财库[2014]68号</w:t>
      </w:r>
      <w:bookmarkEnd w:id="1"/>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u w:val="single"/>
              </w:rPr>
              <w:t>）2017年度</w:t>
            </w:r>
            <w:r>
              <w:rPr>
                <w:rFonts w:hint="eastAsia" w:asciiTheme="minorEastAsia" w:hAnsiTheme="minorEastAsia"/>
                <w:bCs/>
                <w:sz w:val="24"/>
                <w:szCs w:val="24"/>
              </w:rPr>
              <w:t>的财务审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投标截止时</w:t>
            </w:r>
            <w:r>
              <w:rPr>
                <w:rFonts w:hint="eastAsia" w:asciiTheme="minorEastAsia" w:hAnsiTheme="minorEastAsia"/>
                <w:bCs/>
                <w:sz w:val="24"/>
                <w:szCs w:val="24"/>
                <w:u w:val="single"/>
              </w:rPr>
              <w:t>间前三个月</w:t>
            </w:r>
            <w:r>
              <w:rPr>
                <w:rFonts w:hint="eastAsia" w:asciiTheme="minorEastAsia" w:hAnsiTheme="minorEastAsia"/>
                <w:bCs/>
                <w:sz w:val="24"/>
                <w:szCs w:val="24"/>
              </w:rPr>
              <w:t>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w:t>
            </w:r>
            <w:r>
              <w:rPr>
                <w:rFonts w:hint="eastAsia" w:asciiTheme="minorEastAsia" w:hAnsiTheme="minorEastAsia"/>
                <w:bCs/>
                <w:sz w:val="24"/>
                <w:szCs w:val="24"/>
                <w:u w:val="single"/>
              </w:rPr>
              <w:t>前三个月</w:t>
            </w:r>
            <w:r>
              <w:rPr>
                <w:rFonts w:hint="eastAsia" w:asciiTheme="minorEastAsia" w:hAnsiTheme="minorEastAsia"/>
                <w:bCs/>
                <w:sz w:val="24"/>
                <w:szCs w:val="24"/>
              </w:rPr>
              <w:t>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widowControl/>
              <w:spacing w:line="600" w:lineRule="exact"/>
              <w:rPr>
                <w:rFonts w:eastAsia="宋体" w:cs="宋体" w:asciiTheme="minorEastAsia" w:hAnsiTheme="minorEastAsia"/>
                <w:kern w:val="0"/>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r>
              <w:rPr>
                <w:rFonts w:hint="eastAsia" w:eastAsia="宋体" w:cs="宋体" w:asciiTheme="minorEastAsia" w:hAnsiTheme="minorEastAsia"/>
                <w:kern w:val="0"/>
                <w:sz w:val="24"/>
                <w:szCs w:val="24"/>
                <w:lang w:val="zh-CN"/>
              </w:rPr>
              <w:t>七、具有河南省建设厅颁发的工程勘察专业类乙级及以上资质</w:t>
            </w:r>
            <w:r>
              <w:rPr>
                <w:rFonts w:hint="eastAsia" w:eastAsia="宋体" w:cs="宋体" w:asciiTheme="minorEastAsia" w:hAnsiTheme="minorEastAsia"/>
                <w:kern w:val="0"/>
                <w:sz w:val="24"/>
                <w:szCs w:val="24"/>
              </w:rPr>
              <w:t xml:space="preserve">; </w:t>
            </w:r>
            <w:r>
              <w:rPr>
                <w:rFonts w:hint="eastAsia" w:eastAsia="宋体" w:cs="宋体" w:asciiTheme="minorEastAsia" w:hAnsiTheme="minorEastAsia"/>
                <w:kern w:val="0"/>
                <w:sz w:val="24"/>
                <w:szCs w:val="24"/>
                <w:lang w:val="zh-CN"/>
              </w:rPr>
              <w:t>具有河南省建设厅颁发的工程设计电力行业专业乙级及以上资质</w:t>
            </w:r>
            <w:r>
              <w:rPr>
                <w:rFonts w:hint="eastAsia" w:eastAsia="宋体" w:cs="宋体" w:asciiTheme="minorEastAsia" w:hAnsiTheme="minorEastAsia"/>
                <w:kern w:val="0"/>
                <w:sz w:val="24"/>
                <w:szCs w:val="24"/>
              </w:rPr>
              <w:t xml:space="preserve">; </w:t>
            </w:r>
          </w:p>
          <w:p>
            <w:pPr>
              <w:widowControl/>
              <w:spacing w:line="600" w:lineRule="exact"/>
              <w:rPr>
                <w:rFonts w:eastAsia="宋体" w:cs="宋体" w:asciiTheme="minorEastAsia" w:hAnsiTheme="minorEastAsia"/>
                <w:kern w:val="0"/>
                <w:sz w:val="24"/>
                <w:szCs w:val="24"/>
              </w:rPr>
            </w:pPr>
            <w:r>
              <w:rPr>
                <w:rFonts w:hint="eastAsia" w:eastAsia="宋体" w:cs="宋体" w:asciiTheme="minorEastAsia" w:hAnsiTheme="minorEastAsia"/>
                <w:kern w:val="0"/>
                <w:sz w:val="24"/>
                <w:szCs w:val="24"/>
                <w:lang w:val="zh-CN"/>
              </w:rPr>
              <w:t>项目负责人应具有注册电气工程师或电力工程技术专业高级工程师职称;并提供本人</w:t>
            </w:r>
            <w:r>
              <w:rPr>
                <w:rFonts w:hint="eastAsia" w:eastAsia="宋体" w:cs="宋体" w:asciiTheme="minorEastAsia" w:hAnsiTheme="minorEastAsia"/>
                <w:kern w:val="0"/>
                <w:sz w:val="24"/>
                <w:szCs w:val="24"/>
              </w:rPr>
              <w:t>2018年度缴纳社会养老保障证明；</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kern w:val="0"/>
                <w:sz w:val="24"/>
                <w:szCs w:val="24"/>
              </w:rPr>
              <w:t>“</w:t>
            </w:r>
            <w:r>
              <w:rPr>
                <w:rFonts w:hint="eastAsia" w:ascii="宋体" w:hAnsi="宋体" w:cs="宋体"/>
                <w:kern w:val="0"/>
                <w:sz w:val="24"/>
                <w:szCs w:val="24"/>
                <w:lang w:val="zh-CN"/>
              </w:rPr>
              <w:t>国家企业信用公示系统</w:t>
            </w:r>
            <w:r>
              <w:rPr>
                <w:rFonts w:hint="eastAsia" w:ascii="宋体" w:hAnsi="宋体" w:cs="宋体"/>
                <w:kern w:val="0"/>
                <w:sz w:val="24"/>
                <w:szCs w:val="24"/>
              </w:rPr>
              <w:t>”</w:t>
            </w:r>
            <w:r>
              <w:rPr>
                <w:rFonts w:hint="eastAsia" w:ascii="宋体" w:hAnsi="宋体" w:cs="宋体"/>
                <w:kern w:val="0"/>
                <w:sz w:val="24"/>
                <w:szCs w:val="24"/>
                <w:lang w:val="zh-CN"/>
              </w:rPr>
              <w:t>网站</w:t>
            </w:r>
            <w:r>
              <w:rPr>
                <w:rFonts w:hint="eastAsia" w:ascii="宋体" w:hAnsi="宋体" w:cs="宋体"/>
                <w:kern w:val="0"/>
                <w:sz w:val="24"/>
                <w:szCs w:val="24"/>
              </w:rPr>
              <w:t>（</w:t>
            </w:r>
            <w:r>
              <w:rPr>
                <w:rFonts w:ascii="宋体" w:hAnsi="宋体" w:cs="宋体"/>
                <w:kern w:val="0"/>
                <w:sz w:val="24"/>
                <w:szCs w:val="24"/>
              </w:rPr>
              <w:t>www.gsxt.gov.cn</w:t>
            </w:r>
            <w:r>
              <w:rPr>
                <w:rFonts w:hint="eastAsia" w:ascii="宋体" w:hAnsi="宋体" w:cs="宋体"/>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w:t>
            </w:r>
            <w:r>
              <w:rPr>
                <w:rFonts w:hint="eastAsia" w:cs="宋体" w:asciiTheme="minorEastAsia" w:hAnsiTheme="minorEastAsia"/>
                <w:kern w:val="0"/>
                <w:sz w:val="24"/>
                <w:szCs w:val="24"/>
              </w:rPr>
              <w:t>、严重违法失信企业名单（黑名单）的投标人，</w:t>
            </w:r>
            <w:r>
              <w:rPr>
                <w:rFonts w:hint="eastAsia" w:asciiTheme="minorEastAsia" w:hAnsiTheme="minorEastAsia"/>
                <w:bCs/>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ind w:firstLine="482" w:firstLineChars="200"/>
        <w:contextualSpacing/>
        <w:rPr>
          <w:rFonts w:cs="仿宋_GB2312" w:asciiTheme="minorEastAsia" w:hAnsiTheme="minorEastAsia" w:eastAsiaTheme="minorEastAsia"/>
          <w:b/>
          <w:szCs w:val="24"/>
          <w:lang w:val="zh-CN"/>
        </w:rPr>
      </w:pPr>
      <w:bookmarkStart w:id="10" w:name="_GoBack"/>
      <w:bookmarkEnd w:id="10"/>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（6）评标标准</w:t>
      </w:r>
    </w:p>
    <w:tbl>
      <w:tblPr>
        <w:tblStyle w:val="20"/>
        <w:tblW w:w="8732" w:type="dxa"/>
        <w:tblInd w:w="0" w:type="dxa"/>
        <w:tblLayout w:type="fixed"/>
        <w:tblCellMar>
          <w:top w:w="0" w:type="dxa"/>
          <w:left w:w="0" w:type="dxa"/>
          <w:bottom w:w="0" w:type="dxa"/>
          <w:right w:w="0" w:type="dxa"/>
        </w:tblCellMar>
      </w:tblPr>
      <w:tblGrid>
        <w:gridCol w:w="1417"/>
        <w:gridCol w:w="20"/>
        <w:gridCol w:w="20"/>
        <w:gridCol w:w="5025"/>
        <w:gridCol w:w="2250"/>
      </w:tblGrid>
      <w:tr>
        <w:tblPrEx>
          <w:tblLayout w:type="fixed"/>
          <w:tblCellMar>
            <w:top w:w="0" w:type="dxa"/>
            <w:left w:w="0" w:type="dxa"/>
            <w:bottom w:w="0" w:type="dxa"/>
            <w:right w:w="0" w:type="dxa"/>
          </w:tblCellMar>
        </w:tblPrEx>
        <w:trPr>
          <w:trHeight w:val="1107" w:hRule="atLeast"/>
        </w:trPr>
        <w:tc>
          <w:tcPr>
            <w:tcW w:w="141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30" w:lineRule="atLeast"/>
              <w:jc w:val="center"/>
              <w:rPr>
                <w:rFonts w:ascii="仿宋" w:hAnsi="仿宋" w:eastAsia="仿宋" w:cs="仿宋"/>
                <w:kern w:val="0"/>
                <w:sz w:val="24"/>
              </w:rPr>
            </w:pPr>
            <w:r>
              <w:rPr>
                <w:rFonts w:hint="eastAsia" w:ascii="宋体" w:hAnsi="宋体" w:eastAsia="宋体" w:cs="宋体"/>
                <w:b/>
                <w:kern w:val="0"/>
                <w:sz w:val="24"/>
                <w:szCs w:val="24"/>
              </w:rPr>
              <w:t>分值构成</w:t>
            </w:r>
          </w:p>
        </w:tc>
        <w:tc>
          <w:tcPr>
            <w:tcW w:w="7315" w:type="dxa"/>
            <w:gridSpan w:val="4"/>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宋体" w:hAnsi="宋体" w:cs="宋体"/>
                <w:b/>
                <w:kern w:val="0"/>
                <w:sz w:val="24"/>
              </w:rPr>
            </w:pPr>
            <w:r>
              <w:rPr>
                <w:rFonts w:hint="eastAsia" w:ascii="宋体" w:hAnsi="宋体" w:eastAsia="宋体" w:cs="宋体"/>
                <w:b/>
                <w:kern w:val="0"/>
                <w:sz w:val="24"/>
                <w:szCs w:val="24"/>
              </w:rPr>
              <w:t xml:space="preserve">价格分值：  </w:t>
            </w:r>
            <w:r>
              <w:rPr>
                <w:rFonts w:hint="eastAsia" w:ascii="宋体" w:hAnsi="宋体" w:cs="宋体"/>
                <w:b/>
                <w:kern w:val="0"/>
                <w:sz w:val="24"/>
                <w:szCs w:val="24"/>
              </w:rPr>
              <w:t>10</w:t>
            </w:r>
            <w:r>
              <w:rPr>
                <w:rFonts w:hint="eastAsia" w:ascii="宋体" w:hAnsi="宋体" w:eastAsia="宋体" w:cs="宋体"/>
                <w:b/>
                <w:kern w:val="0"/>
                <w:sz w:val="24"/>
                <w:szCs w:val="24"/>
              </w:rPr>
              <w:t xml:space="preserve"> 分</w:t>
            </w:r>
          </w:p>
          <w:p>
            <w:pPr>
              <w:widowControl/>
              <w:spacing w:line="330" w:lineRule="atLeast"/>
              <w:jc w:val="center"/>
              <w:rPr>
                <w:rFonts w:ascii="宋体" w:hAnsi="宋体" w:cs="宋体"/>
                <w:b/>
                <w:kern w:val="0"/>
                <w:sz w:val="24"/>
              </w:rPr>
            </w:pPr>
            <w:r>
              <w:rPr>
                <w:rFonts w:hint="eastAsia" w:ascii="宋体" w:hAnsi="宋体" w:eastAsia="宋体" w:cs="宋体"/>
                <w:b/>
                <w:kern w:val="0"/>
                <w:sz w:val="24"/>
                <w:szCs w:val="24"/>
              </w:rPr>
              <w:t xml:space="preserve">商务部分：  </w:t>
            </w:r>
            <w:r>
              <w:rPr>
                <w:rFonts w:hint="eastAsia" w:ascii="宋体" w:hAnsi="宋体" w:cs="宋体"/>
                <w:b/>
                <w:kern w:val="0"/>
                <w:sz w:val="24"/>
                <w:szCs w:val="24"/>
              </w:rPr>
              <w:t>55</w:t>
            </w:r>
            <w:r>
              <w:rPr>
                <w:rFonts w:hint="eastAsia" w:ascii="宋体" w:hAnsi="宋体" w:eastAsia="宋体" w:cs="宋体"/>
                <w:b/>
                <w:kern w:val="0"/>
                <w:sz w:val="24"/>
                <w:szCs w:val="24"/>
              </w:rPr>
              <w:t>分</w:t>
            </w:r>
          </w:p>
          <w:p>
            <w:pPr>
              <w:widowControl/>
              <w:spacing w:line="330" w:lineRule="atLeast"/>
              <w:jc w:val="center"/>
              <w:rPr>
                <w:rFonts w:ascii="仿宋" w:hAnsi="仿宋" w:eastAsia="仿宋" w:cs="仿宋"/>
                <w:kern w:val="0"/>
                <w:sz w:val="24"/>
              </w:rPr>
            </w:pPr>
            <w:r>
              <w:rPr>
                <w:rFonts w:hint="eastAsia" w:ascii="宋体" w:hAnsi="宋体" w:eastAsia="宋体" w:cs="宋体"/>
                <w:b/>
                <w:kern w:val="0"/>
                <w:sz w:val="24"/>
                <w:szCs w:val="24"/>
              </w:rPr>
              <w:t>技术部分：  3</w:t>
            </w:r>
            <w:r>
              <w:rPr>
                <w:rFonts w:hint="eastAsia" w:ascii="宋体" w:hAnsi="宋体" w:cs="宋体"/>
                <w:b/>
                <w:kern w:val="0"/>
                <w:sz w:val="24"/>
                <w:szCs w:val="24"/>
              </w:rPr>
              <w:t>5</w:t>
            </w:r>
            <w:r>
              <w:rPr>
                <w:rFonts w:hint="eastAsia" w:ascii="宋体" w:hAnsi="宋体" w:eastAsia="宋体" w:cs="宋体"/>
                <w:b/>
                <w:kern w:val="0"/>
                <w:sz w:val="24"/>
                <w:szCs w:val="24"/>
              </w:rPr>
              <w:t>分</w:t>
            </w:r>
          </w:p>
        </w:tc>
      </w:tr>
      <w:tr>
        <w:tblPrEx>
          <w:tblLayout w:type="fixed"/>
          <w:tblCellMar>
            <w:top w:w="0" w:type="dxa"/>
            <w:left w:w="0" w:type="dxa"/>
            <w:bottom w:w="0" w:type="dxa"/>
            <w:right w:w="0" w:type="dxa"/>
          </w:tblCellMar>
        </w:tblPrEx>
        <w:trPr>
          <w:trHeight w:val="591" w:hRule="atLeast"/>
        </w:trPr>
        <w:tc>
          <w:tcPr>
            <w:tcW w:w="8732" w:type="dxa"/>
            <w:gridSpan w:val="5"/>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30" w:lineRule="atLeast"/>
              <w:jc w:val="center"/>
            </w:pPr>
            <w:r>
              <w:rPr>
                <w:rFonts w:hint="eastAsia" w:ascii="宋体" w:hAnsi="宋体" w:eastAsia="宋体" w:cs="宋体"/>
                <w:b/>
                <w:kern w:val="0"/>
                <w:sz w:val="24"/>
                <w:szCs w:val="24"/>
              </w:rPr>
              <w:t>一、价格部分（满分</w:t>
            </w:r>
            <w:r>
              <w:rPr>
                <w:rFonts w:hint="eastAsia" w:ascii="宋体" w:hAnsi="宋体" w:cs="宋体"/>
                <w:b/>
                <w:kern w:val="0"/>
                <w:sz w:val="24"/>
                <w:szCs w:val="24"/>
              </w:rPr>
              <w:t>15</w:t>
            </w:r>
            <w:r>
              <w:rPr>
                <w:rFonts w:hint="eastAsia" w:ascii="宋体" w:hAnsi="宋体" w:eastAsia="宋体" w:cs="宋体"/>
                <w:b/>
                <w:kern w:val="0"/>
                <w:sz w:val="24"/>
                <w:szCs w:val="24"/>
              </w:rPr>
              <w:t>分）</w:t>
            </w:r>
          </w:p>
        </w:tc>
      </w:tr>
      <w:tr>
        <w:tblPrEx>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30" w:lineRule="atLeast"/>
              <w:jc w:val="center"/>
            </w:pPr>
            <w:r>
              <w:rPr>
                <w:rFonts w:hint="eastAsia" w:ascii="宋体" w:hAnsi="宋体" w:eastAsia="宋体" w:cs="宋体"/>
                <w:b/>
                <w:kern w:val="0"/>
                <w:sz w:val="24"/>
                <w:szCs w:val="24"/>
              </w:rPr>
              <w:t>评分因素</w:t>
            </w:r>
          </w:p>
        </w:tc>
        <w:tc>
          <w:tcPr>
            <w:tcW w:w="5045" w:type="dxa"/>
            <w:gridSpan w:val="2"/>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pPr>
            <w:r>
              <w:rPr>
                <w:rFonts w:hint="eastAsia" w:ascii="宋体" w:hAnsi="宋体" w:eastAsia="宋体" w:cs="宋体"/>
                <w:b/>
                <w:kern w:val="0"/>
                <w:sz w:val="24"/>
                <w:szCs w:val="24"/>
              </w:rPr>
              <w:t>评分标准</w:t>
            </w:r>
          </w:p>
        </w:tc>
        <w:tc>
          <w:tcPr>
            <w:tcW w:w="2250"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pPr>
            <w:r>
              <w:rPr>
                <w:rFonts w:hint="eastAsia" w:ascii="宋体" w:hAnsi="宋体" w:eastAsia="宋体" w:cs="宋体"/>
                <w:b/>
                <w:kern w:val="0"/>
                <w:sz w:val="24"/>
                <w:szCs w:val="24"/>
              </w:rPr>
              <w:t>分值</w:t>
            </w:r>
          </w:p>
        </w:tc>
      </w:tr>
      <w:tr>
        <w:tblPrEx>
          <w:tblLayout w:type="fixed"/>
          <w:tblCellMar>
            <w:top w:w="0" w:type="dxa"/>
            <w:left w:w="0" w:type="dxa"/>
            <w:bottom w:w="0" w:type="dxa"/>
            <w:right w:w="0" w:type="dxa"/>
          </w:tblCellMar>
        </w:tblPrEx>
        <w:trPr>
          <w:trHeight w:val="1385" w:hRule="atLeast"/>
        </w:trPr>
        <w:tc>
          <w:tcPr>
            <w:tcW w:w="1437" w:type="dxa"/>
            <w:gridSpan w:val="2"/>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40" w:lineRule="exact"/>
              <w:jc w:val="left"/>
              <w:rPr>
                <w:rFonts w:ascii="仿宋" w:hAnsi="仿宋" w:eastAsia="仿宋" w:cs="仿宋"/>
                <w:kern w:val="0"/>
                <w:sz w:val="24"/>
              </w:rPr>
            </w:pPr>
            <w:r>
              <w:rPr>
                <w:rFonts w:hint="eastAsia" w:ascii="仿宋" w:hAnsi="仿宋" w:eastAsia="仿宋" w:cs="仿宋"/>
                <w:kern w:val="0"/>
                <w:sz w:val="24"/>
                <w:szCs w:val="24"/>
              </w:rPr>
              <w:t>投标报价</w:t>
            </w:r>
          </w:p>
          <w:p>
            <w:pPr>
              <w:widowControl/>
              <w:spacing w:line="440" w:lineRule="exact"/>
              <w:jc w:val="left"/>
              <w:rPr>
                <w:rFonts w:ascii="仿宋" w:hAnsi="仿宋" w:eastAsia="仿宋" w:cs="仿宋"/>
              </w:rPr>
            </w:pPr>
            <w:r>
              <w:rPr>
                <w:rFonts w:hint="eastAsia" w:ascii="仿宋" w:hAnsi="仿宋" w:eastAsia="仿宋" w:cs="仿宋"/>
                <w:kern w:val="0"/>
                <w:sz w:val="24"/>
                <w:szCs w:val="24"/>
              </w:rPr>
              <w:t>评分标准</w:t>
            </w:r>
          </w:p>
        </w:tc>
        <w:tc>
          <w:tcPr>
            <w:tcW w:w="5045" w:type="dxa"/>
            <w:gridSpan w:val="2"/>
            <w:tcBorders>
              <w:top w:val="nil"/>
              <w:left w:val="nil"/>
              <w:bottom w:val="single" w:color="auto" w:sz="8" w:space="0"/>
              <w:right w:val="single" w:color="auto" w:sz="8" w:space="0"/>
            </w:tcBorders>
            <w:tcMar>
              <w:left w:w="108" w:type="dxa"/>
              <w:right w:w="108" w:type="dxa"/>
            </w:tcMar>
            <w:vAlign w:val="center"/>
          </w:tcPr>
          <w:p>
            <w:pPr>
              <w:widowControl/>
              <w:spacing w:line="440" w:lineRule="exact"/>
              <w:jc w:val="left"/>
              <w:rPr>
                <w:rFonts w:ascii="仿宋" w:hAnsi="仿宋" w:eastAsia="仿宋" w:cs="仿宋"/>
                <w:lang w:val="zh-CN"/>
              </w:rPr>
            </w:pPr>
            <w:r>
              <w:rPr>
                <w:rFonts w:hint="eastAsia" w:ascii="仿宋" w:hAnsi="仿宋" w:eastAsia="仿宋" w:cs="仿宋"/>
                <w:lang w:val="zh-CN"/>
              </w:rPr>
              <w:t>评标基准价：满足招标文件要求的有效投标报价中（单价总金额），最低的投标报价（单价总金额）为评标基准价。</w:t>
            </w:r>
          </w:p>
          <w:p>
            <w:pPr>
              <w:widowControl/>
              <w:spacing w:line="440" w:lineRule="exact"/>
              <w:jc w:val="left"/>
              <w:rPr>
                <w:rFonts w:ascii="仿宋" w:hAnsi="仿宋" w:eastAsia="仿宋" w:cs="仿宋"/>
              </w:rPr>
            </w:pPr>
            <w:r>
              <w:rPr>
                <w:rFonts w:hint="eastAsia" w:ascii="仿宋" w:hAnsi="仿宋" w:eastAsia="仿宋" w:cs="仿宋"/>
                <w:lang w:val="zh-CN"/>
              </w:rPr>
              <w:t>投标报价得分=（评标基准价/投标报价）×</w:t>
            </w:r>
            <w:r>
              <w:rPr>
                <w:rFonts w:hint="eastAsia" w:ascii="仿宋" w:hAnsi="仿宋" w:eastAsia="仿宋" w:cs="仿宋"/>
              </w:rPr>
              <w:t>10</w:t>
            </w:r>
          </w:p>
        </w:tc>
        <w:tc>
          <w:tcPr>
            <w:tcW w:w="2250" w:type="dxa"/>
            <w:tcBorders>
              <w:top w:val="nil"/>
              <w:left w:val="nil"/>
              <w:bottom w:val="single" w:color="auto" w:sz="8" w:space="0"/>
              <w:right w:val="single" w:color="auto" w:sz="8" w:space="0"/>
            </w:tcBorders>
            <w:tcMar>
              <w:left w:w="108" w:type="dxa"/>
              <w:right w:w="108" w:type="dxa"/>
            </w:tcMar>
            <w:vAlign w:val="center"/>
          </w:tcPr>
          <w:p>
            <w:pPr>
              <w:widowControl/>
              <w:spacing w:line="240" w:lineRule="atLeast"/>
              <w:jc w:val="center"/>
              <w:rPr>
                <w:rFonts w:ascii="仿宋" w:hAnsi="仿宋" w:eastAsia="仿宋" w:cs="仿宋"/>
              </w:rPr>
            </w:pPr>
            <w:r>
              <w:rPr>
                <w:rFonts w:hint="eastAsia" w:ascii="仿宋" w:hAnsi="仿宋" w:eastAsia="仿宋" w:cs="仿宋"/>
                <w:b/>
                <w:kern w:val="0"/>
                <w:sz w:val="24"/>
                <w:szCs w:val="24"/>
              </w:rPr>
              <w:t>10分</w:t>
            </w:r>
          </w:p>
        </w:tc>
      </w:tr>
      <w:tr>
        <w:tblPrEx>
          <w:tblLayout w:type="fixed"/>
          <w:tblCellMar>
            <w:top w:w="0" w:type="dxa"/>
            <w:left w:w="0" w:type="dxa"/>
            <w:bottom w:w="0" w:type="dxa"/>
            <w:right w:w="0" w:type="dxa"/>
          </w:tblCellMar>
        </w:tblPrEx>
        <w:trPr>
          <w:trHeight w:val="591" w:hRule="atLeast"/>
        </w:trPr>
        <w:tc>
          <w:tcPr>
            <w:tcW w:w="8732" w:type="dxa"/>
            <w:gridSpan w:val="5"/>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30" w:lineRule="atLeast"/>
              <w:jc w:val="center"/>
            </w:pPr>
            <w:r>
              <w:rPr>
                <w:rFonts w:hint="eastAsia" w:ascii="宋体" w:hAnsi="宋体" w:eastAsia="宋体" w:cs="宋体"/>
                <w:b/>
                <w:kern w:val="0"/>
                <w:sz w:val="24"/>
                <w:szCs w:val="24"/>
              </w:rPr>
              <w:t>二、商务部分（满分</w:t>
            </w:r>
            <w:r>
              <w:rPr>
                <w:rFonts w:hint="eastAsia" w:ascii="宋体" w:hAnsi="宋体" w:cs="宋体"/>
                <w:b/>
                <w:kern w:val="0"/>
                <w:sz w:val="24"/>
                <w:szCs w:val="24"/>
              </w:rPr>
              <w:t>55</w:t>
            </w:r>
            <w:r>
              <w:rPr>
                <w:rFonts w:hint="eastAsia" w:ascii="宋体" w:hAnsi="宋体" w:eastAsia="宋体" w:cs="宋体"/>
                <w:b/>
                <w:kern w:val="0"/>
                <w:sz w:val="24"/>
                <w:szCs w:val="24"/>
              </w:rPr>
              <w:t>分）</w:t>
            </w:r>
          </w:p>
        </w:tc>
      </w:tr>
      <w:tr>
        <w:tblPrEx>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30" w:lineRule="atLeast"/>
              <w:jc w:val="center"/>
            </w:pPr>
            <w:r>
              <w:rPr>
                <w:rFonts w:hint="eastAsia" w:ascii="宋体" w:hAnsi="宋体" w:eastAsia="宋体" w:cs="宋体"/>
                <w:b/>
                <w:kern w:val="0"/>
                <w:sz w:val="24"/>
                <w:szCs w:val="24"/>
              </w:rPr>
              <w:t>评分因素</w:t>
            </w:r>
          </w:p>
        </w:tc>
        <w:tc>
          <w:tcPr>
            <w:tcW w:w="5045" w:type="dxa"/>
            <w:gridSpan w:val="2"/>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pPr>
            <w:r>
              <w:rPr>
                <w:rFonts w:hint="eastAsia" w:ascii="宋体" w:hAnsi="宋体" w:eastAsia="宋体" w:cs="宋体"/>
                <w:b/>
                <w:kern w:val="0"/>
                <w:sz w:val="24"/>
                <w:szCs w:val="24"/>
              </w:rPr>
              <w:t>评分标准</w:t>
            </w:r>
          </w:p>
        </w:tc>
        <w:tc>
          <w:tcPr>
            <w:tcW w:w="2250"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pPr>
            <w:r>
              <w:rPr>
                <w:rFonts w:hint="eastAsia" w:ascii="宋体" w:hAnsi="宋体" w:eastAsia="宋体" w:cs="宋体"/>
                <w:b/>
                <w:kern w:val="0"/>
                <w:sz w:val="24"/>
                <w:szCs w:val="24"/>
              </w:rPr>
              <w:t>分值</w:t>
            </w:r>
          </w:p>
        </w:tc>
      </w:tr>
      <w:tr>
        <w:tblPrEx>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30" w:lineRule="atLeast"/>
              <w:jc w:val="center"/>
              <w:rPr>
                <w:rFonts w:ascii="仿宋" w:hAnsi="仿宋" w:eastAsia="仿宋" w:cs="仿宋"/>
                <w:kern w:val="0"/>
                <w:sz w:val="24"/>
              </w:rPr>
            </w:pPr>
            <w:r>
              <w:rPr>
                <w:rFonts w:hint="eastAsia" w:ascii="仿宋" w:hAnsi="仿宋" w:eastAsia="仿宋" w:cs="仿宋"/>
                <w:kern w:val="0"/>
                <w:sz w:val="24"/>
                <w:szCs w:val="24"/>
              </w:rPr>
              <w:t>投标人业绩</w:t>
            </w:r>
          </w:p>
        </w:tc>
        <w:tc>
          <w:tcPr>
            <w:tcW w:w="5045" w:type="dxa"/>
            <w:gridSpan w:val="2"/>
            <w:tcBorders>
              <w:top w:val="nil"/>
              <w:left w:val="nil"/>
              <w:bottom w:val="single" w:color="auto" w:sz="8" w:space="0"/>
              <w:right w:val="single" w:color="auto" w:sz="8" w:space="0"/>
            </w:tcBorders>
            <w:tcMar>
              <w:left w:w="108" w:type="dxa"/>
              <w:right w:w="108" w:type="dxa"/>
            </w:tcMar>
            <w:vAlign w:val="center"/>
          </w:tcPr>
          <w:p>
            <w:pPr>
              <w:widowControl/>
              <w:spacing w:line="440" w:lineRule="exact"/>
              <w:jc w:val="left"/>
              <w:rPr>
                <w:rFonts w:ascii="仿宋" w:hAnsi="仿宋" w:eastAsia="仿宋" w:cs="仿宋"/>
                <w:kern w:val="0"/>
                <w:sz w:val="24"/>
              </w:rPr>
            </w:pPr>
            <w:r>
              <w:rPr>
                <w:rFonts w:hint="eastAsia" w:ascii="仿宋" w:hAnsi="仿宋" w:eastAsia="仿宋" w:cs="仿宋"/>
                <w:kern w:val="0"/>
                <w:sz w:val="24"/>
              </w:rPr>
              <w:t>2017年1月1日以来，（1）每提供1项类似项目勘察设计业绩得2分，本项满分10分(须提供业绩证明:合同协议书</w:t>
            </w:r>
          </w:p>
          <w:p>
            <w:pPr>
              <w:widowControl/>
              <w:spacing w:line="440" w:lineRule="exact"/>
              <w:jc w:val="left"/>
              <w:rPr>
                <w:rFonts w:ascii="仿宋" w:hAnsi="仿宋" w:eastAsia="仿宋" w:cs="仿宋"/>
                <w:kern w:val="0"/>
                <w:sz w:val="24"/>
              </w:rPr>
            </w:pPr>
            <w:r>
              <w:rPr>
                <w:rFonts w:hint="eastAsia" w:ascii="仿宋" w:hAnsi="仿宋" w:eastAsia="仿宋" w:cs="仿宋"/>
                <w:kern w:val="0"/>
                <w:sz w:val="24"/>
              </w:rPr>
              <w:t>（2） 每提供1项由供电部门对投标人出具的业绩验收合格证明得2分；本项满分6分。</w:t>
            </w:r>
          </w:p>
          <w:p>
            <w:pPr>
              <w:widowControl/>
              <w:spacing w:line="440" w:lineRule="exact"/>
              <w:jc w:val="left"/>
              <w:rPr>
                <w:rFonts w:ascii="仿宋" w:hAnsi="仿宋" w:eastAsia="仿宋" w:cs="仿宋"/>
                <w:kern w:val="0"/>
                <w:sz w:val="24"/>
              </w:rPr>
            </w:pPr>
            <w:r>
              <w:rPr>
                <w:rFonts w:hint="eastAsia" w:ascii="仿宋" w:hAnsi="仿宋" w:eastAsia="仿宋" w:cs="仿宋"/>
                <w:kern w:val="0"/>
                <w:sz w:val="24"/>
              </w:rPr>
              <w:t>类似项目：指住宅小区配电工程或10千伏配电项目</w:t>
            </w:r>
          </w:p>
          <w:p>
            <w:pPr>
              <w:widowControl/>
              <w:spacing w:line="440" w:lineRule="exact"/>
              <w:jc w:val="left"/>
              <w:rPr>
                <w:rFonts w:ascii="仿宋" w:hAnsi="仿宋" w:eastAsia="仿宋" w:cs="仿宋"/>
                <w:kern w:val="0"/>
                <w:sz w:val="24"/>
              </w:rPr>
            </w:pPr>
            <w:r>
              <w:rPr>
                <w:rFonts w:hint="eastAsia" w:ascii="仿宋" w:hAnsi="仿宋" w:eastAsia="仿宋" w:cs="仿宋"/>
                <w:kern w:val="0"/>
                <w:sz w:val="24"/>
              </w:rPr>
              <w:t>以上材料须提供原件复印件复印件并加盖公章</w:t>
            </w:r>
          </w:p>
        </w:tc>
        <w:tc>
          <w:tcPr>
            <w:tcW w:w="2250"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仿宋" w:hAnsi="仿宋" w:eastAsia="仿宋" w:cs="仿宋"/>
                <w:b/>
                <w:kern w:val="0"/>
                <w:sz w:val="24"/>
              </w:rPr>
            </w:pPr>
            <w:r>
              <w:rPr>
                <w:rFonts w:hint="eastAsia" w:ascii="仿宋" w:hAnsi="仿宋" w:eastAsia="仿宋" w:cs="仿宋"/>
                <w:b/>
                <w:kern w:val="0"/>
                <w:sz w:val="24"/>
                <w:szCs w:val="24"/>
              </w:rPr>
              <w:t>16分</w:t>
            </w:r>
          </w:p>
        </w:tc>
      </w:tr>
      <w:tr>
        <w:tblPrEx>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40" w:lineRule="exact"/>
              <w:jc w:val="center"/>
              <w:rPr>
                <w:rFonts w:ascii="仿宋" w:hAnsi="仿宋" w:eastAsia="仿宋" w:cs="仿宋"/>
                <w:kern w:val="0"/>
                <w:sz w:val="24"/>
              </w:rPr>
            </w:pPr>
            <w:r>
              <w:rPr>
                <w:rFonts w:hint="eastAsia" w:ascii="仿宋" w:hAnsi="仿宋" w:eastAsia="仿宋" w:cs="仿宋"/>
                <w:kern w:val="0"/>
                <w:sz w:val="24"/>
              </w:rPr>
              <w:t>投标人</w:t>
            </w:r>
          </w:p>
          <w:p>
            <w:pPr>
              <w:widowControl/>
              <w:spacing w:line="440" w:lineRule="exact"/>
              <w:jc w:val="center"/>
              <w:rPr>
                <w:rFonts w:ascii="仿宋" w:hAnsi="仿宋" w:eastAsia="仿宋" w:cs="仿宋"/>
                <w:kern w:val="0"/>
                <w:sz w:val="24"/>
              </w:rPr>
            </w:pPr>
            <w:r>
              <w:rPr>
                <w:rFonts w:hint="eastAsia" w:ascii="仿宋" w:hAnsi="仿宋" w:eastAsia="仿宋" w:cs="仿宋"/>
                <w:kern w:val="0"/>
                <w:sz w:val="24"/>
              </w:rPr>
              <w:t>获奖情</w:t>
            </w:r>
            <w:r>
              <w:rPr>
                <w:rFonts w:hint="eastAsia" w:ascii="仿宋" w:hAnsi="仿宋" w:eastAsia="仿宋" w:cs="仿宋"/>
                <w:kern w:val="0"/>
                <w:sz w:val="24"/>
                <w:szCs w:val="24"/>
              </w:rPr>
              <w:t>况</w:t>
            </w:r>
          </w:p>
        </w:tc>
        <w:tc>
          <w:tcPr>
            <w:tcW w:w="5045" w:type="dxa"/>
            <w:gridSpan w:val="2"/>
            <w:tcBorders>
              <w:top w:val="nil"/>
              <w:left w:val="nil"/>
              <w:bottom w:val="single" w:color="auto" w:sz="8" w:space="0"/>
              <w:right w:val="single" w:color="auto" w:sz="8" w:space="0"/>
            </w:tcBorders>
            <w:tcMar>
              <w:left w:w="108" w:type="dxa"/>
              <w:right w:w="108" w:type="dxa"/>
            </w:tcMar>
            <w:vAlign w:val="center"/>
          </w:tcPr>
          <w:p>
            <w:pPr>
              <w:widowControl/>
              <w:spacing w:line="440" w:lineRule="exact"/>
              <w:rPr>
                <w:rFonts w:ascii="仿宋" w:hAnsi="仿宋" w:eastAsia="仿宋" w:cs="仿宋"/>
                <w:kern w:val="0"/>
                <w:sz w:val="24"/>
              </w:rPr>
            </w:pPr>
            <w:r>
              <w:rPr>
                <w:rFonts w:hint="eastAsia" w:ascii="仿宋" w:hAnsi="仿宋" w:eastAsia="仿宋" w:cs="仿宋"/>
                <w:kern w:val="0"/>
                <w:sz w:val="24"/>
              </w:rPr>
              <w:t>（1）近五年以来被行政主管部门或行业主管部门授予优秀工程勘察设计奖者省级每项得3分，国家级每项得5分。本项满分10分。</w:t>
            </w:r>
          </w:p>
          <w:p>
            <w:pPr>
              <w:widowControl/>
              <w:spacing w:line="440" w:lineRule="exact"/>
              <w:jc w:val="left"/>
              <w:rPr>
                <w:rFonts w:ascii="仿宋" w:hAnsi="仿宋" w:eastAsia="仿宋" w:cs="仿宋"/>
                <w:kern w:val="0"/>
                <w:sz w:val="24"/>
              </w:rPr>
            </w:pPr>
            <w:r>
              <w:rPr>
                <w:rFonts w:hint="eastAsia" w:ascii="仿宋" w:hAnsi="仿宋" w:eastAsia="仿宋" w:cs="仿宋"/>
                <w:kern w:val="0"/>
                <w:sz w:val="24"/>
              </w:rPr>
              <w:t>（2）近五年以来获得行政主管部门先进工程勘察设计企业表彰的，省级每项得2分，国家级每项得3分，本项满分6分。</w:t>
            </w:r>
          </w:p>
          <w:p>
            <w:pPr>
              <w:widowControl/>
              <w:spacing w:line="440" w:lineRule="exact"/>
              <w:jc w:val="left"/>
              <w:rPr>
                <w:rFonts w:ascii="仿宋" w:hAnsi="仿宋" w:eastAsia="仿宋" w:cs="仿宋"/>
                <w:kern w:val="0"/>
                <w:sz w:val="24"/>
              </w:rPr>
            </w:pPr>
            <w:r>
              <w:rPr>
                <w:rFonts w:hint="eastAsia" w:ascii="仿宋" w:hAnsi="仿宋" w:eastAsia="仿宋" w:cs="仿宋"/>
                <w:kern w:val="0"/>
                <w:sz w:val="24"/>
              </w:rPr>
              <w:t>（注：同一工程以获得最高等级奖计算得分，不累计计分）</w:t>
            </w:r>
          </w:p>
          <w:p>
            <w:pPr>
              <w:widowControl/>
              <w:spacing w:line="440" w:lineRule="exact"/>
              <w:jc w:val="left"/>
              <w:rPr>
                <w:rFonts w:ascii="仿宋" w:hAnsi="仿宋" w:eastAsia="仿宋" w:cs="仿宋"/>
                <w:kern w:val="0"/>
                <w:sz w:val="24"/>
              </w:rPr>
            </w:pPr>
            <w:r>
              <w:rPr>
                <w:rFonts w:hint="eastAsia" w:ascii="仿宋" w:hAnsi="仿宋" w:eastAsia="仿宋" w:cs="仿宋"/>
                <w:kern w:val="0"/>
                <w:sz w:val="24"/>
              </w:rPr>
              <w:t>以上材料须提供原件复印件并加盖公章</w:t>
            </w:r>
          </w:p>
        </w:tc>
        <w:tc>
          <w:tcPr>
            <w:tcW w:w="2250"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仿宋" w:hAnsi="仿宋" w:eastAsia="仿宋" w:cs="仿宋"/>
                <w:b/>
                <w:kern w:val="0"/>
                <w:sz w:val="24"/>
              </w:rPr>
            </w:pPr>
            <w:r>
              <w:rPr>
                <w:rFonts w:hint="eastAsia" w:ascii="仿宋" w:hAnsi="仿宋" w:eastAsia="仿宋" w:cs="仿宋"/>
                <w:b/>
                <w:kern w:val="0"/>
                <w:sz w:val="24"/>
                <w:szCs w:val="24"/>
              </w:rPr>
              <w:t>16分</w:t>
            </w:r>
          </w:p>
        </w:tc>
      </w:tr>
      <w:tr>
        <w:tblPrEx>
          <w:tblLayout w:type="fixed"/>
          <w:tblCellMar>
            <w:top w:w="0" w:type="dxa"/>
            <w:left w:w="0" w:type="dxa"/>
            <w:bottom w:w="0" w:type="dxa"/>
            <w:right w:w="0" w:type="dxa"/>
          </w:tblCellMar>
        </w:tblPrEx>
        <w:trPr>
          <w:trHeight w:val="90" w:hRule="atLeast"/>
        </w:trPr>
        <w:tc>
          <w:tcPr>
            <w:tcW w:w="1437" w:type="dxa"/>
            <w:gridSpan w:val="2"/>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30" w:lineRule="atLeast"/>
              <w:jc w:val="center"/>
              <w:rPr>
                <w:rFonts w:ascii="仿宋" w:hAnsi="仿宋" w:eastAsia="仿宋" w:cs="仿宋"/>
                <w:kern w:val="0"/>
                <w:sz w:val="24"/>
              </w:rPr>
            </w:pPr>
            <w:r>
              <w:rPr>
                <w:rFonts w:hint="eastAsia" w:ascii="仿宋" w:hAnsi="仿宋" w:eastAsia="仿宋" w:cs="仿宋"/>
                <w:kern w:val="0"/>
                <w:sz w:val="24"/>
              </w:rPr>
              <w:t>项目负责人</w:t>
            </w:r>
          </w:p>
        </w:tc>
        <w:tc>
          <w:tcPr>
            <w:tcW w:w="5045" w:type="dxa"/>
            <w:gridSpan w:val="2"/>
            <w:tcBorders>
              <w:top w:val="nil"/>
              <w:left w:val="nil"/>
              <w:bottom w:val="single" w:color="auto" w:sz="8" w:space="0"/>
              <w:right w:val="single" w:color="auto" w:sz="8" w:space="0"/>
            </w:tcBorders>
            <w:tcMar>
              <w:left w:w="108" w:type="dxa"/>
              <w:right w:w="108" w:type="dxa"/>
            </w:tcMar>
            <w:vAlign w:val="center"/>
          </w:tcPr>
          <w:p>
            <w:pPr>
              <w:numPr>
                <w:ilvl w:val="0"/>
                <w:numId w:val="5"/>
              </w:numPr>
              <w:spacing w:line="400" w:lineRule="exact"/>
              <w:rPr>
                <w:rFonts w:ascii="仿宋" w:hAnsi="仿宋" w:eastAsia="仿宋" w:cs="仿宋"/>
                <w:sz w:val="24"/>
              </w:rPr>
            </w:pPr>
            <w:r>
              <w:rPr>
                <w:rFonts w:hint="eastAsia" w:ascii="仿宋" w:hAnsi="仿宋" w:eastAsia="仿宋" w:cs="仿宋"/>
                <w:sz w:val="24"/>
                <w:szCs w:val="24"/>
              </w:rPr>
              <w:t xml:space="preserve">具有注册电气工程师执业资格证书者得3分，高级工程师1分，本项满分3分。  </w:t>
            </w:r>
          </w:p>
          <w:p>
            <w:pPr>
              <w:widowControl/>
              <w:spacing w:line="440" w:lineRule="exact"/>
              <w:jc w:val="left"/>
              <w:rPr>
                <w:rFonts w:ascii="仿宋" w:hAnsi="仿宋" w:eastAsia="仿宋" w:cs="仿宋"/>
                <w:kern w:val="0"/>
                <w:sz w:val="24"/>
              </w:rPr>
            </w:pPr>
            <w:r>
              <w:rPr>
                <w:rFonts w:hint="eastAsia" w:ascii="仿宋" w:hAnsi="仿宋" w:eastAsia="仿宋" w:cs="仿宋"/>
                <w:sz w:val="24"/>
                <w:szCs w:val="24"/>
              </w:rPr>
              <w:t>业绩：2017年1月1日以来，担任过类似项目勘察、设计项目负责人的，1项得2分；参与过类似项目的，1项得1分，最高得4分；本项满分8分</w:t>
            </w:r>
          </w:p>
          <w:p>
            <w:pPr>
              <w:numPr>
                <w:ilvl w:val="0"/>
                <w:numId w:val="5"/>
              </w:numPr>
              <w:spacing w:line="400" w:lineRule="exact"/>
              <w:rPr>
                <w:rFonts w:ascii="仿宋" w:hAnsi="仿宋" w:eastAsia="仿宋" w:cs="仿宋"/>
                <w:kern w:val="0"/>
                <w:sz w:val="24"/>
              </w:rPr>
            </w:pPr>
            <w:r>
              <w:rPr>
                <w:rFonts w:hint="eastAsia" w:ascii="仿宋" w:hAnsi="仿宋" w:eastAsia="仿宋" w:cs="仿宋"/>
                <w:sz w:val="24"/>
                <w:szCs w:val="24"/>
              </w:rPr>
              <w:t>类似项目业绩：</w:t>
            </w:r>
            <w:r>
              <w:rPr>
                <w:rFonts w:hint="eastAsia" w:ascii="仿宋" w:hAnsi="仿宋" w:eastAsia="仿宋" w:cs="仿宋"/>
                <w:kern w:val="0"/>
                <w:sz w:val="24"/>
              </w:rPr>
              <w:t>指住宅小区配电工程或10千伏配电项目。</w:t>
            </w:r>
          </w:p>
          <w:p>
            <w:pPr>
              <w:spacing w:line="400" w:lineRule="exact"/>
              <w:rPr>
                <w:rFonts w:ascii="仿宋" w:hAnsi="仿宋" w:eastAsia="仿宋" w:cs="仿宋"/>
                <w:kern w:val="0"/>
                <w:sz w:val="24"/>
              </w:rPr>
            </w:pPr>
            <w:r>
              <w:rPr>
                <w:rFonts w:hint="eastAsia" w:ascii="仿宋" w:hAnsi="仿宋" w:eastAsia="仿宋" w:cs="仿宋"/>
                <w:kern w:val="0"/>
                <w:sz w:val="24"/>
              </w:rPr>
              <w:t>以上材料须提供原件复印件并加盖公章</w:t>
            </w:r>
          </w:p>
        </w:tc>
        <w:tc>
          <w:tcPr>
            <w:tcW w:w="2250"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仿宋" w:hAnsi="仿宋" w:eastAsia="仿宋" w:cs="仿宋"/>
                <w:b/>
                <w:kern w:val="0"/>
                <w:sz w:val="24"/>
              </w:rPr>
            </w:pPr>
            <w:r>
              <w:rPr>
                <w:rFonts w:hint="eastAsia" w:ascii="仿宋" w:hAnsi="仿宋" w:eastAsia="仿宋" w:cs="仿宋"/>
                <w:b/>
                <w:kern w:val="0"/>
                <w:sz w:val="24"/>
                <w:szCs w:val="24"/>
              </w:rPr>
              <w:t>11分</w:t>
            </w:r>
          </w:p>
        </w:tc>
      </w:tr>
      <w:tr>
        <w:tblPrEx>
          <w:tblLayout w:type="fixed"/>
          <w:tblCellMar>
            <w:top w:w="0" w:type="dxa"/>
            <w:left w:w="0" w:type="dxa"/>
            <w:bottom w:w="0" w:type="dxa"/>
            <w:right w:w="0" w:type="dxa"/>
          </w:tblCellMar>
        </w:tblPrEx>
        <w:trPr>
          <w:trHeight w:val="2150" w:hRule="atLeast"/>
        </w:trPr>
        <w:tc>
          <w:tcPr>
            <w:tcW w:w="1437" w:type="dxa"/>
            <w:gridSpan w:val="2"/>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sz w:val="24"/>
                <w:szCs w:val="24"/>
              </w:rPr>
              <w:t>专业人员</w:t>
            </w:r>
          </w:p>
          <w:p>
            <w:pPr>
              <w:widowControl/>
              <w:spacing w:line="330" w:lineRule="atLeast"/>
              <w:jc w:val="center"/>
              <w:rPr>
                <w:rFonts w:ascii="仿宋" w:hAnsi="仿宋" w:eastAsia="仿宋" w:cs="仿宋"/>
                <w:kern w:val="0"/>
                <w:sz w:val="24"/>
              </w:rPr>
            </w:pPr>
            <w:r>
              <w:rPr>
                <w:rFonts w:hint="eastAsia" w:ascii="仿宋" w:hAnsi="仿宋" w:eastAsia="仿宋" w:cs="仿宋"/>
                <w:sz w:val="24"/>
                <w:szCs w:val="24"/>
              </w:rPr>
              <w:t>配备</w:t>
            </w:r>
          </w:p>
        </w:tc>
        <w:tc>
          <w:tcPr>
            <w:tcW w:w="5045" w:type="dxa"/>
            <w:gridSpan w:val="2"/>
            <w:tcBorders>
              <w:top w:val="nil"/>
              <w:left w:val="nil"/>
              <w:bottom w:val="single" w:color="auto" w:sz="8" w:space="0"/>
              <w:right w:val="single" w:color="auto" w:sz="8" w:space="0"/>
            </w:tcBorders>
            <w:tcMar>
              <w:left w:w="108" w:type="dxa"/>
              <w:right w:w="108" w:type="dxa"/>
            </w:tcMar>
            <w:vAlign w:val="center"/>
          </w:tcPr>
          <w:p>
            <w:pPr>
              <w:spacing w:line="400" w:lineRule="exact"/>
              <w:rPr>
                <w:rFonts w:ascii="仿宋" w:hAnsi="仿宋" w:eastAsia="仿宋" w:cs="仿宋"/>
                <w:sz w:val="24"/>
              </w:rPr>
            </w:pPr>
            <w:r>
              <w:rPr>
                <w:rFonts w:hint="eastAsia" w:ascii="仿宋" w:hAnsi="仿宋" w:eastAsia="仿宋" w:cs="仿宋"/>
                <w:sz w:val="24"/>
                <w:szCs w:val="24"/>
              </w:rPr>
              <w:t>（1）专业人员配备：专业指电气一次、电气二次、结构、建筑、通信保护、线路、工程造价，每配备1个专业得1分，本项满分7分。</w:t>
            </w:r>
          </w:p>
          <w:p>
            <w:pPr>
              <w:spacing w:line="400" w:lineRule="exact"/>
              <w:rPr>
                <w:rFonts w:ascii="仿宋" w:hAnsi="仿宋" w:eastAsia="仿宋" w:cs="仿宋"/>
                <w:sz w:val="24"/>
                <w:szCs w:val="24"/>
              </w:rPr>
            </w:pPr>
            <w:r>
              <w:rPr>
                <w:rFonts w:hint="eastAsia" w:ascii="仿宋" w:hAnsi="仿宋" w:eastAsia="仿宋" w:cs="仿宋"/>
                <w:sz w:val="24"/>
                <w:szCs w:val="24"/>
              </w:rPr>
              <w:t>（2）专业人员中每包括1个高级工程师得1分，本项满分2分，</w:t>
            </w:r>
            <w:r>
              <w:rPr>
                <w:rFonts w:hint="eastAsia" w:ascii="仿宋" w:hAnsi="仿宋" w:eastAsia="仿宋" w:cs="仿宋"/>
                <w:kern w:val="0"/>
                <w:sz w:val="24"/>
              </w:rPr>
              <w:t>须提供证书原件复印件并加盖公章</w:t>
            </w:r>
            <w:r>
              <w:rPr>
                <w:rFonts w:hint="eastAsia" w:ascii="仿宋" w:hAnsi="仿宋" w:eastAsia="仿宋" w:cs="仿宋"/>
                <w:sz w:val="24"/>
                <w:szCs w:val="24"/>
              </w:rPr>
              <w:t>。</w:t>
            </w:r>
          </w:p>
        </w:tc>
        <w:tc>
          <w:tcPr>
            <w:tcW w:w="2250"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仿宋" w:hAnsi="仿宋" w:eastAsia="仿宋" w:cs="仿宋"/>
                <w:b/>
                <w:kern w:val="0"/>
                <w:sz w:val="24"/>
              </w:rPr>
            </w:pPr>
            <w:r>
              <w:rPr>
                <w:rFonts w:hint="eastAsia" w:ascii="仿宋" w:hAnsi="仿宋" w:eastAsia="仿宋" w:cs="仿宋"/>
                <w:b/>
                <w:kern w:val="0"/>
                <w:sz w:val="24"/>
                <w:szCs w:val="24"/>
              </w:rPr>
              <w:t>9分</w:t>
            </w:r>
          </w:p>
        </w:tc>
      </w:tr>
      <w:tr>
        <w:tblPrEx>
          <w:tblLayout w:type="fixed"/>
          <w:tblCellMar>
            <w:top w:w="0" w:type="dxa"/>
            <w:left w:w="0" w:type="dxa"/>
            <w:bottom w:w="0" w:type="dxa"/>
            <w:right w:w="0" w:type="dxa"/>
          </w:tblCellMar>
        </w:tblPrEx>
        <w:trPr>
          <w:trHeight w:val="1290" w:hRule="atLeast"/>
        </w:trPr>
        <w:tc>
          <w:tcPr>
            <w:tcW w:w="1437" w:type="dxa"/>
            <w:gridSpan w:val="2"/>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30" w:lineRule="atLeast"/>
              <w:jc w:val="center"/>
              <w:rPr>
                <w:rFonts w:ascii="仿宋" w:hAnsi="仿宋" w:eastAsia="仿宋" w:cs="仿宋"/>
                <w:sz w:val="24"/>
              </w:rPr>
            </w:pPr>
            <w:r>
              <w:rPr>
                <w:rFonts w:hint="eastAsia" w:ascii="仿宋" w:hAnsi="仿宋" w:eastAsia="仿宋" w:cs="仿宋"/>
                <w:sz w:val="24"/>
                <w:szCs w:val="24"/>
              </w:rPr>
              <w:t>认证体系</w:t>
            </w:r>
          </w:p>
        </w:tc>
        <w:tc>
          <w:tcPr>
            <w:tcW w:w="5045" w:type="dxa"/>
            <w:gridSpan w:val="2"/>
            <w:tcBorders>
              <w:top w:val="nil"/>
              <w:left w:val="nil"/>
              <w:bottom w:val="single" w:color="auto" w:sz="8" w:space="0"/>
              <w:right w:val="single" w:color="auto" w:sz="8" w:space="0"/>
            </w:tcBorders>
            <w:tcMar>
              <w:left w:w="108" w:type="dxa"/>
              <w:right w:w="108" w:type="dxa"/>
            </w:tcMar>
            <w:vAlign w:val="center"/>
          </w:tcPr>
          <w:p>
            <w:pPr>
              <w:spacing w:line="400" w:lineRule="exact"/>
              <w:rPr>
                <w:rFonts w:ascii="仿宋" w:hAnsi="仿宋" w:eastAsia="仿宋" w:cs="仿宋"/>
                <w:sz w:val="24"/>
                <w:szCs w:val="24"/>
              </w:rPr>
            </w:pPr>
            <w:r>
              <w:rPr>
                <w:rFonts w:hint="eastAsia" w:ascii="仿宋" w:hAnsi="仿宋" w:eastAsia="仿宋" w:cs="仿宋"/>
                <w:sz w:val="24"/>
                <w:szCs w:val="24"/>
              </w:rPr>
              <w:t>通过质量、环境管理、职业健康安全管理体系认证的，每项得1分；满分3分。</w:t>
            </w:r>
          </w:p>
          <w:p>
            <w:pPr>
              <w:spacing w:line="400" w:lineRule="exact"/>
              <w:rPr>
                <w:rFonts w:ascii="仿宋" w:hAnsi="仿宋" w:eastAsia="仿宋" w:cs="仿宋"/>
                <w:sz w:val="24"/>
              </w:rPr>
            </w:pPr>
            <w:r>
              <w:rPr>
                <w:rFonts w:hint="eastAsia" w:ascii="仿宋" w:hAnsi="仿宋" w:eastAsia="仿宋" w:cs="仿宋"/>
                <w:kern w:val="0"/>
                <w:sz w:val="24"/>
              </w:rPr>
              <w:t>以上材料须提供原件复印件并加盖公章</w:t>
            </w:r>
          </w:p>
        </w:tc>
        <w:tc>
          <w:tcPr>
            <w:tcW w:w="2250" w:type="dxa"/>
            <w:tcBorders>
              <w:top w:val="nil"/>
              <w:left w:val="nil"/>
              <w:bottom w:val="single" w:color="auto" w:sz="8" w:space="0"/>
              <w:right w:val="single" w:color="auto" w:sz="8" w:space="0"/>
            </w:tcBorders>
            <w:tcMar>
              <w:left w:w="108" w:type="dxa"/>
              <w:right w:w="108" w:type="dxa"/>
            </w:tcMar>
            <w:vAlign w:val="center"/>
          </w:tcPr>
          <w:p>
            <w:pPr>
              <w:spacing w:line="400" w:lineRule="exact"/>
              <w:jc w:val="center"/>
              <w:rPr>
                <w:rFonts w:ascii="仿宋" w:hAnsi="仿宋" w:eastAsia="仿宋" w:cs="仿宋"/>
                <w:b/>
                <w:kern w:val="0"/>
                <w:sz w:val="24"/>
              </w:rPr>
            </w:pPr>
            <w:r>
              <w:rPr>
                <w:rFonts w:hint="eastAsia" w:ascii="仿宋" w:hAnsi="仿宋" w:eastAsia="仿宋" w:cs="仿宋"/>
                <w:b/>
                <w:kern w:val="0"/>
                <w:sz w:val="24"/>
                <w:szCs w:val="24"/>
              </w:rPr>
              <w:t>3分</w:t>
            </w:r>
          </w:p>
        </w:tc>
      </w:tr>
      <w:tr>
        <w:tblPrEx>
          <w:tblLayout w:type="fixed"/>
          <w:tblCellMar>
            <w:top w:w="0" w:type="dxa"/>
            <w:left w:w="0" w:type="dxa"/>
            <w:bottom w:w="0" w:type="dxa"/>
            <w:right w:w="0" w:type="dxa"/>
          </w:tblCellMar>
        </w:tblPrEx>
        <w:trPr>
          <w:trHeight w:val="623" w:hRule="atLeast"/>
        </w:trPr>
        <w:tc>
          <w:tcPr>
            <w:tcW w:w="8732" w:type="dxa"/>
            <w:gridSpan w:val="5"/>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30" w:lineRule="atLeast"/>
              <w:jc w:val="center"/>
            </w:pPr>
            <w:r>
              <w:rPr>
                <w:rFonts w:hint="eastAsia" w:ascii="宋体" w:hAnsi="宋体" w:eastAsia="宋体" w:cs="宋体"/>
                <w:b/>
                <w:kern w:val="0"/>
                <w:sz w:val="24"/>
                <w:szCs w:val="24"/>
              </w:rPr>
              <w:t>三、技术部分（满分3</w:t>
            </w:r>
            <w:r>
              <w:rPr>
                <w:rFonts w:hint="eastAsia" w:ascii="宋体" w:hAnsi="宋体" w:cs="宋体"/>
                <w:b/>
                <w:kern w:val="0"/>
                <w:sz w:val="24"/>
                <w:szCs w:val="24"/>
              </w:rPr>
              <w:t>5</w:t>
            </w:r>
            <w:r>
              <w:rPr>
                <w:rFonts w:hint="eastAsia" w:ascii="宋体" w:hAnsi="宋体" w:eastAsia="宋体" w:cs="宋体"/>
                <w:b/>
                <w:kern w:val="0"/>
                <w:sz w:val="24"/>
                <w:szCs w:val="24"/>
              </w:rPr>
              <w:t>分）</w:t>
            </w:r>
          </w:p>
        </w:tc>
      </w:tr>
      <w:tr>
        <w:tblPrEx>
          <w:tblLayout w:type="fixed"/>
          <w:tblCellMar>
            <w:top w:w="0" w:type="dxa"/>
            <w:left w:w="0" w:type="dxa"/>
            <w:bottom w:w="0" w:type="dxa"/>
            <w:right w:w="0" w:type="dxa"/>
          </w:tblCellMar>
        </w:tblPrEx>
        <w:trPr>
          <w:trHeight w:val="555" w:hRule="atLeast"/>
        </w:trPr>
        <w:tc>
          <w:tcPr>
            <w:tcW w:w="1457"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30" w:lineRule="atLeast"/>
              <w:jc w:val="center"/>
            </w:pPr>
            <w:r>
              <w:rPr>
                <w:rFonts w:hint="eastAsia" w:ascii="宋体" w:hAnsi="宋体" w:eastAsia="宋体" w:cs="宋体"/>
                <w:b/>
                <w:kern w:val="0"/>
                <w:sz w:val="24"/>
                <w:szCs w:val="24"/>
              </w:rPr>
              <w:t>评分因素</w:t>
            </w:r>
          </w:p>
        </w:tc>
        <w:tc>
          <w:tcPr>
            <w:tcW w:w="5025"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pPr>
            <w:r>
              <w:rPr>
                <w:rFonts w:hint="eastAsia" w:ascii="宋体" w:hAnsi="宋体" w:eastAsia="宋体" w:cs="宋体"/>
                <w:b/>
                <w:kern w:val="0"/>
                <w:sz w:val="24"/>
                <w:szCs w:val="24"/>
              </w:rPr>
              <w:t>评分标准</w:t>
            </w:r>
          </w:p>
        </w:tc>
        <w:tc>
          <w:tcPr>
            <w:tcW w:w="2250"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pPr>
            <w:r>
              <w:rPr>
                <w:rFonts w:hint="eastAsia" w:ascii="宋体" w:hAnsi="宋体" w:eastAsia="宋体" w:cs="宋体"/>
                <w:b/>
                <w:kern w:val="0"/>
                <w:sz w:val="24"/>
                <w:szCs w:val="24"/>
              </w:rPr>
              <w:t>分值</w:t>
            </w:r>
          </w:p>
        </w:tc>
      </w:tr>
      <w:tr>
        <w:tblPrEx>
          <w:tblLayout w:type="fixed"/>
          <w:tblCellMar>
            <w:top w:w="0" w:type="dxa"/>
            <w:left w:w="0" w:type="dxa"/>
            <w:bottom w:w="0" w:type="dxa"/>
            <w:right w:w="0" w:type="dxa"/>
          </w:tblCellMar>
        </w:tblPrEx>
        <w:trPr>
          <w:trHeight w:val="555" w:hRule="atLeast"/>
        </w:trPr>
        <w:tc>
          <w:tcPr>
            <w:tcW w:w="1457"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30" w:lineRule="atLeast"/>
              <w:jc w:val="center"/>
              <w:rPr>
                <w:rFonts w:ascii="宋体" w:hAnsi="宋体" w:eastAsia="宋体" w:cs="宋体"/>
                <w:b/>
                <w:kern w:val="0"/>
                <w:sz w:val="24"/>
                <w:szCs w:val="24"/>
              </w:rPr>
            </w:pPr>
            <w:r>
              <w:rPr>
                <w:rFonts w:hint="eastAsia" w:ascii="仿宋" w:hAnsi="仿宋" w:eastAsia="仿宋" w:cs="仿宋"/>
                <w:sz w:val="24"/>
                <w:szCs w:val="24"/>
              </w:rPr>
              <w:t>质量及进度控制措施</w:t>
            </w:r>
          </w:p>
          <w:p>
            <w:pPr>
              <w:widowControl/>
              <w:spacing w:line="330" w:lineRule="atLeast"/>
              <w:jc w:val="center"/>
              <w:rPr>
                <w:rFonts w:ascii="宋体" w:hAnsi="宋体" w:eastAsia="宋体" w:cs="宋体"/>
                <w:b/>
                <w:kern w:val="0"/>
                <w:sz w:val="24"/>
                <w:szCs w:val="24"/>
              </w:rPr>
            </w:pPr>
          </w:p>
        </w:tc>
        <w:tc>
          <w:tcPr>
            <w:tcW w:w="5025" w:type="dxa"/>
            <w:tcBorders>
              <w:top w:val="nil"/>
              <w:left w:val="nil"/>
              <w:bottom w:val="single" w:color="auto" w:sz="8" w:space="0"/>
              <w:right w:val="single" w:color="auto" w:sz="8" w:space="0"/>
            </w:tcBorders>
            <w:tcMar>
              <w:left w:w="108" w:type="dxa"/>
              <w:right w:w="108" w:type="dxa"/>
            </w:tcMar>
            <w:vAlign w:val="center"/>
          </w:tcPr>
          <w:p>
            <w:pPr>
              <w:widowControl/>
              <w:numPr>
                <w:ilvl w:val="0"/>
                <w:numId w:val="6"/>
              </w:numPr>
              <w:spacing w:line="440" w:lineRule="exact"/>
              <w:rPr>
                <w:rFonts w:ascii="仿宋" w:hAnsi="仿宋" w:eastAsia="仿宋" w:cs="仿宋"/>
                <w:sz w:val="24"/>
              </w:rPr>
            </w:pPr>
            <w:r>
              <w:rPr>
                <w:rFonts w:hint="eastAsia" w:ascii="仿宋" w:hAnsi="仿宋" w:eastAsia="仿宋" w:cs="仿宋"/>
                <w:sz w:val="24"/>
                <w:szCs w:val="24"/>
              </w:rPr>
              <w:t>总体工作方案的内容完整，包含招标范围内所有工作内容得4分，缺少不得分；</w:t>
            </w:r>
          </w:p>
          <w:p>
            <w:pPr>
              <w:widowControl/>
              <w:numPr>
                <w:ilvl w:val="0"/>
                <w:numId w:val="6"/>
              </w:numPr>
              <w:spacing w:line="440" w:lineRule="exact"/>
              <w:rPr>
                <w:rFonts w:ascii="仿宋" w:hAnsi="仿宋" w:eastAsia="仿宋" w:cs="仿宋"/>
                <w:sz w:val="24"/>
              </w:rPr>
            </w:pPr>
            <w:r>
              <w:rPr>
                <w:rFonts w:hint="eastAsia" w:ascii="仿宋" w:hAnsi="仿宋" w:eastAsia="仿宋" w:cs="仿宋"/>
                <w:kern w:val="0"/>
                <w:sz w:val="24"/>
              </w:rPr>
              <w:t>质量控制：①针对本项目质量要求，制定出实现质量目标的具体保证措施(至少应包含组织措施、制度措施）得</w:t>
            </w:r>
            <w:r>
              <w:rPr>
                <w:rFonts w:hint="eastAsia" w:ascii="仿宋" w:hAnsi="仿宋" w:eastAsia="仿宋" w:cs="仿宋"/>
                <w:sz w:val="24"/>
                <w:szCs w:val="24"/>
              </w:rPr>
              <w:t>5分，缺少不得分；</w:t>
            </w:r>
          </w:p>
          <w:p>
            <w:pPr>
              <w:widowControl/>
              <w:spacing w:line="440" w:lineRule="exact"/>
              <w:rPr>
                <w:rFonts w:ascii="仿宋" w:hAnsi="仿宋" w:eastAsia="仿宋" w:cs="仿宋"/>
                <w:sz w:val="24"/>
              </w:rPr>
            </w:pPr>
            <w:r>
              <w:rPr>
                <w:rFonts w:hint="eastAsia" w:ascii="仿宋" w:hAnsi="仿宋" w:eastAsia="仿宋" w:cs="仿宋"/>
                <w:kern w:val="0"/>
                <w:sz w:val="24"/>
              </w:rPr>
              <w:t>②根据工作内容，对工程重点和难点，进行分析并制定出相应的处理方法得5分</w:t>
            </w:r>
            <w:r>
              <w:rPr>
                <w:rFonts w:hint="eastAsia" w:ascii="仿宋" w:hAnsi="仿宋" w:eastAsia="仿宋" w:cs="仿宋"/>
                <w:sz w:val="24"/>
                <w:szCs w:val="24"/>
              </w:rPr>
              <w:t>，缺少不得分；</w:t>
            </w:r>
          </w:p>
          <w:p>
            <w:pPr>
              <w:widowControl/>
              <w:numPr>
                <w:ilvl w:val="0"/>
                <w:numId w:val="6"/>
              </w:numPr>
              <w:spacing w:line="440" w:lineRule="exact"/>
              <w:rPr>
                <w:rFonts w:ascii="宋体" w:hAnsi="宋体" w:eastAsia="宋体" w:cs="宋体"/>
                <w:b/>
                <w:kern w:val="0"/>
                <w:sz w:val="24"/>
                <w:szCs w:val="24"/>
              </w:rPr>
            </w:pPr>
            <w:r>
              <w:rPr>
                <w:rFonts w:hint="eastAsia" w:ascii="仿宋" w:hAnsi="仿宋" w:eastAsia="仿宋" w:cs="仿宋"/>
                <w:sz w:val="24"/>
                <w:szCs w:val="24"/>
              </w:rPr>
              <w:t>进度控制：根据项目工期要求，制定出工作进度计划、编制工作流程方案、时间进度管理措施、人员分工安排计划、设备仪器投入计划的每项得1分，最高得6分，缺少不得分；</w:t>
            </w:r>
          </w:p>
        </w:tc>
        <w:tc>
          <w:tcPr>
            <w:tcW w:w="2250" w:type="dxa"/>
            <w:tcBorders>
              <w:top w:val="nil"/>
              <w:left w:val="nil"/>
              <w:bottom w:val="single" w:color="auto" w:sz="8" w:space="0"/>
              <w:right w:val="single" w:color="auto" w:sz="8" w:space="0"/>
            </w:tcBorders>
            <w:tcMar>
              <w:left w:w="108" w:type="dxa"/>
              <w:right w:w="108" w:type="dxa"/>
            </w:tcMar>
            <w:vAlign w:val="center"/>
          </w:tcPr>
          <w:p>
            <w:pPr>
              <w:widowControl/>
              <w:spacing w:line="330" w:lineRule="atLeast"/>
              <w:jc w:val="center"/>
              <w:rPr>
                <w:rFonts w:ascii="宋体" w:hAnsi="宋体" w:eastAsia="宋体" w:cs="宋体"/>
                <w:b/>
                <w:kern w:val="0"/>
                <w:sz w:val="24"/>
                <w:szCs w:val="24"/>
              </w:rPr>
            </w:pPr>
            <w:r>
              <w:rPr>
                <w:rFonts w:hint="eastAsia" w:ascii="仿宋" w:hAnsi="仿宋" w:eastAsia="仿宋" w:cs="仿宋"/>
                <w:b/>
                <w:kern w:val="0"/>
                <w:sz w:val="24"/>
                <w:szCs w:val="24"/>
              </w:rPr>
              <w:t>20分</w:t>
            </w:r>
          </w:p>
        </w:tc>
      </w:tr>
      <w:tr>
        <w:tblPrEx>
          <w:tblLayout w:type="fixed"/>
          <w:tblCellMar>
            <w:top w:w="0" w:type="dxa"/>
            <w:left w:w="0" w:type="dxa"/>
            <w:bottom w:w="0" w:type="dxa"/>
            <w:right w:w="0" w:type="dxa"/>
          </w:tblCellMar>
        </w:tblPrEx>
        <w:trPr>
          <w:trHeight w:val="5010" w:hRule="atLeast"/>
        </w:trPr>
        <w:tc>
          <w:tcPr>
            <w:tcW w:w="1457"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00" w:lineRule="exact"/>
              <w:jc w:val="center"/>
              <w:rPr>
                <w:rFonts w:ascii="仿宋" w:hAnsi="仿宋" w:eastAsia="仿宋" w:cs="仿宋"/>
                <w:sz w:val="24"/>
                <w:lang w:val="zh-CN"/>
              </w:rPr>
            </w:pPr>
            <w:r>
              <w:rPr>
                <w:rFonts w:hint="eastAsia" w:ascii="仿宋" w:hAnsi="仿宋" w:eastAsia="仿宋" w:cs="仿宋"/>
                <w:sz w:val="24"/>
                <w:szCs w:val="24"/>
                <w:lang w:val="zh-CN"/>
              </w:rPr>
              <w:t>服务措施</w:t>
            </w:r>
          </w:p>
          <w:p>
            <w:pPr>
              <w:spacing w:line="400" w:lineRule="exact"/>
              <w:jc w:val="center"/>
              <w:rPr>
                <w:rFonts w:ascii="仿宋" w:hAnsi="仿宋" w:eastAsia="仿宋" w:cs="仿宋"/>
                <w:sz w:val="24"/>
              </w:rPr>
            </w:pPr>
            <w:r>
              <w:rPr>
                <w:rFonts w:hint="eastAsia" w:ascii="仿宋" w:hAnsi="仿宋" w:eastAsia="仿宋" w:cs="仿宋"/>
                <w:sz w:val="24"/>
                <w:szCs w:val="24"/>
                <w:lang w:val="zh-CN"/>
              </w:rPr>
              <w:t>及承诺</w:t>
            </w:r>
          </w:p>
        </w:tc>
        <w:tc>
          <w:tcPr>
            <w:tcW w:w="50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40" w:lineRule="exact"/>
              <w:rPr>
                <w:rFonts w:ascii="仿宋" w:hAnsi="仿宋" w:eastAsia="仿宋" w:cs="仿宋"/>
                <w:sz w:val="24"/>
              </w:rPr>
            </w:pPr>
            <w:r>
              <w:rPr>
                <w:rFonts w:hint="eastAsia" w:ascii="仿宋" w:hAnsi="仿宋" w:eastAsia="仿宋" w:cs="仿宋"/>
                <w:kern w:val="0"/>
                <w:sz w:val="24"/>
              </w:rPr>
              <w:t>（1）投标人有各项服务及内外部工作协调方案的得7分，</w:t>
            </w:r>
            <w:r>
              <w:rPr>
                <w:rFonts w:hint="eastAsia" w:ascii="仿宋" w:hAnsi="仿宋" w:eastAsia="仿宋" w:cs="仿宋"/>
                <w:sz w:val="24"/>
                <w:szCs w:val="24"/>
              </w:rPr>
              <w:t>缺少不得分；</w:t>
            </w:r>
          </w:p>
          <w:p>
            <w:pPr>
              <w:widowControl/>
              <w:spacing w:line="440" w:lineRule="exact"/>
              <w:rPr>
                <w:rFonts w:ascii="仿宋" w:hAnsi="仿宋" w:eastAsia="仿宋" w:cs="仿宋"/>
                <w:sz w:val="24"/>
              </w:rPr>
            </w:pPr>
            <w:r>
              <w:rPr>
                <w:rFonts w:hint="eastAsia" w:ascii="仿宋" w:hAnsi="仿宋" w:eastAsia="仿宋" w:cs="仿宋"/>
                <w:kern w:val="0"/>
                <w:sz w:val="24"/>
              </w:rPr>
              <w:t>（2）投标人在后续工程建设期间能提供优质服务，承诺随时提供技术支持并在需要时6小时内到达现场、承诺工程范围出现变动时无条件提供服务的得4分，</w:t>
            </w:r>
            <w:r>
              <w:rPr>
                <w:rFonts w:hint="eastAsia" w:ascii="仿宋" w:hAnsi="仿宋" w:eastAsia="仿宋" w:cs="仿宋"/>
                <w:sz w:val="24"/>
                <w:szCs w:val="24"/>
              </w:rPr>
              <w:t>不提供不得分；</w:t>
            </w:r>
          </w:p>
          <w:p>
            <w:pPr>
              <w:widowControl/>
              <w:spacing w:line="440" w:lineRule="exact"/>
              <w:rPr>
                <w:rFonts w:ascii="仿宋" w:hAnsi="仿宋" w:eastAsia="仿宋" w:cs="仿宋"/>
                <w:sz w:val="24"/>
              </w:rPr>
            </w:pPr>
            <w:r>
              <w:rPr>
                <w:rFonts w:hint="eastAsia" w:ascii="仿宋" w:hAnsi="仿宋" w:eastAsia="仿宋" w:cs="仿宋"/>
                <w:sz w:val="24"/>
                <w:szCs w:val="24"/>
              </w:rPr>
              <w:t>(3)投标人提供其它优化服务方案、咨询服务、违约责任、经济赔偿方案的得4分，不提供不得分。</w:t>
            </w:r>
          </w:p>
        </w:tc>
        <w:tc>
          <w:tcPr>
            <w:tcW w:w="22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00" w:lineRule="exact"/>
              <w:jc w:val="center"/>
              <w:rPr>
                <w:rFonts w:ascii="仿宋" w:hAnsi="仿宋" w:eastAsia="仿宋" w:cs="仿宋"/>
                <w:sz w:val="24"/>
              </w:rPr>
            </w:pPr>
            <w:r>
              <w:rPr>
                <w:rFonts w:hint="eastAsia" w:ascii="仿宋" w:hAnsi="仿宋" w:eastAsia="仿宋" w:cs="仿宋"/>
                <w:b/>
                <w:kern w:val="0"/>
                <w:sz w:val="24"/>
                <w:szCs w:val="24"/>
              </w:rPr>
              <w:t>15分</w:t>
            </w:r>
          </w:p>
        </w:tc>
      </w:tr>
    </w:tbl>
    <w:p>
      <w:pPr>
        <w:pStyle w:val="12"/>
        <w:spacing w:line="360" w:lineRule="auto"/>
        <w:ind w:firstLine="482" w:firstLineChars="200"/>
        <w:contextualSpacing/>
        <w:rPr>
          <w:rFonts w:ascii="宋体" w:hAnsi="宋体" w:cs="仿宋_GB2312"/>
          <w:b/>
          <w:color w:val="FF0000"/>
          <w:szCs w:val="24"/>
          <w:lang w:val="zh-CN"/>
        </w:rPr>
      </w:pP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非联合体投标人</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vAlign w:val="center"/>
          </w:tcPr>
          <w:p>
            <w:pPr>
              <w:jc w:val="center"/>
              <w:rPr>
                <w:rFonts w:ascii="宋体" w:hAnsi="宋体"/>
                <w:sz w:val="24"/>
                <w:szCs w:val="24"/>
                <w:u w:val="single"/>
              </w:rPr>
            </w:pPr>
            <w:r>
              <w:rPr>
                <w:rFonts w:hint="eastAsia" w:ascii="宋体" w:hAnsi="宋体"/>
                <w:sz w:val="24"/>
                <w:szCs w:val="24"/>
                <w:lang w:val="en-GB"/>
              </w:rPr>
              <w:t>评标价格＝投标报价×</w:t>
            </w:r>
            <w:r>
              <w:rPr>
                <w:rFonts w:hint="eastAsia" w:ascii="宋体" w:hAnsi="宋体"/>
                <w:sz w:val="24"/>
                <w:szCs w:val="24"/>
              </w:rPr>
              <w:t>(1-</w:t>
            </w:r>
            <w:r>
              <w:rPr>
                <w:rFonts w:ascii="宋体" w:hAnsi="宋体"/>
                <w:sz w:val="24"/>
                <w:szCs w:val="24"/>
                <w:u w:val="single"/>
              </w:rPr>
              <w:t>2</w:t>
            </w:r>
            <w:r>
              <w:rPr>
                <w:rFonts w:hint="eastAsia" w:ascii="宋体" w:hAnsi="宋体"/>
                <w:sz w:val="24"/>
                <w:szCs w:val="24"/>
                <w:u w:val="single"/>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hAnsi="宋体" w:cs="仿宋_GB2312"/>
                <w:sz w:val="24"/>
                <w:szCs w:val="24"/>
                <w:lang w:val="zh-CN"/>
              </w:rPr>
            </w:pPr>
            <w:r>
              <w:rPr>
                <w:rFonts w:hint="eastAsia" w:ascii="宋体" w:hAnsi="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zh-CN"/>
              </w:rPr>
              <w:t>经评标委员会</w:t>
            </w:r>
            <w:r>
              <w:rPr>
                <w:rFonts w:hint="eastAsia" w:ascii="宋体" w:hAnsi="宋体" w:cs="仿宋_GB2312"/>
                <w:sz w:val="24"/>
                <w:szCs w:val="24"/>
                <w:lang w:val="zh-CN"/>
              </w:rPr>
              <w:t>审查、评价</w:t>
            </w:r>
            <w:r>
              <w:rPr>
                <w:rFonts w:ascii="宋体" w:hAnsi="宋体" w:cs="仿宋_GB2312"/>
                <w:sz w:val="24"/>
                <w:szCs w:val="24"/>
                <w:lang w:val="zh-CN"/>
              </w:rPr>
              <w:t>，</w:t>
            </w:r>
            <w:r>
              <w:rPr>
                <w:rFonts w:hint="eastAsia" w:ascii="宋体" w:hAnsi="宋体" w:cs="仿宋_GB2312"/>
                <w:sz w:val="24"/>
                <w:szCs w:val="24"/>
                <w:lang w:val="zh-CN"/>
              </w:rPr>
              <w:t>投标文件符合</w:t>
            </w:r>
            <w:r>
              <w:rPr>
                <w:rFonts w:ascii="宋体" w:hAnsi="宋体" w:cs="仿宋_GB2312"/>
                <w:sz w:val="24"/>
                <w:szCs w:val="24"/>
                <w:lang w:val="zh-CN"/>
              </w:rPr>
              <w:t>招标文件</w:t>
            </w:r>
            <w:r>
              <w:rPr>
                <w:rFonts w:hint="eastAsia" w:ascii="宋体" w:hAnsi="宋体" w:cs="仿宋_GB2312"/>
                <w:sz w:val="24"/>
                <w:szCs w:val="24"/>
                <w:lang w:val="zh-CN"/>
              </w:rPr>
              <w:t>实质性</w:t>
            </w:r>
            <w:r>
              <w:rPr>
                <w:rFonts w:ascii="宋体" w:hAnsi="宋体" w:cs="仿宋_GB2312"/>
                <w:sz w:val="24"/>
                <w:szCs w:val="24"/>
                <w:lang w:val="zh-CN"/>
              </w:rPr>
              <w:t>要求且</w:t>
            </w:r>
            <w:r>
              <w:rPr>
                <w:rFonts w:hint="eastAsia" w:ascii="宋体" w:hAnsi="宋体" w:cs="仿宋_GB2312"/>
                <w:sz w:val="24"/>
                <w:szCs w:val="24"/>
                <w:lang w:val="zh-CN"/>
              </w:rPr>
              <w:t>进行了政策性价格扣除后，</w:t>
            </w:r>
            <w:r>
              <w:rPr>
                <w:rFonts w:ascii="宋体" w:hAnsi="宋体" w:cs="仿宋_GB2312"/>
                <w:sz w:val="24"/>
                <w:szCs w:val="24"/>
                <w:lang w:val="zh-CN"/>
              </w:rPr>
              <w:t>以</w:t>
            </w:r>
            <w:r>
              <w:rPr>
                <w:rFonts w:hint="eastAsia" w:ascii="宋体" w:hAnsi="宋体" w:cs="仿宋_GB2312"/>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hint="eastAsia" w:ascii="宋体" w:hAnsi="宋体" w:cs="仿宋_GB2312"/>
                <w:sz w:val="24"/>
                <w:szCs w:val="24"/>
                <w:lang w:val="zh-CN"/>
              </w:rPr>
              <w:t>计算</w:t>
            </w:r>
            <w:r>
              <w:rPr>
                <w:rFonts w:ascii="宋体" w:hAnsi="宋体" w:cs="仿宋_GB2312"/>
                <w:sz w:val="24"/>
                <w:szCs w:val="24"/>
                <w:lang w:val="zh-CN"/>
              </w:rPr>
              <w:t>。即：</w:t>
            </w:r>
          </w:p>
          <w:p>
            <w:pPr>
              <w:widowControl/>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评标基准价</w:t>
            </w:r>
            <w:r>
              <w:rPr>
                <w:rFonts w:hint="eastAsia" w:ascii="宋体" w:hAnsi="宋体" w:cs="仿宋_GB2312"/>
                <w:sz w:val="24"/>
                <w:szCs w:val="24"/>
                <w:lang w:val="zh-CN"/>
              </w:rPr>
              <w:t>=评标价格的最低价</w:t>
            </w:r>
          </w:p>
          <w:p>
            <w:pPr>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其他投标报价得分</w:t>
            </w:r>
            <w:r>
              <w:rPr>
                <w:rFonts w:hint="eastAsia" w:ascii="宋体" w:hAnsi="宋体" w:cs="仿宋_GB2312"/>
                <w:sz w:val="24"/>
                <w:szCs w:val="24"/>
                <w:lang w:val="zh-CN"/>
              </w:rPr>
              <w:t>=（</w:t>
            </w:r>
            <w:r>
              <w:rPr>
                <w:rFonts w:ascii="宋体" w:hAnsi="宋体" w:cs="仿宋_GB2312"/>
                <w:sz w:val="24"/>
                <w:szCs w:val="24"/>
                <w:lang w:val="zh-CN"/>
              </w:rPr>
              <w:t>评标基准价</w:t>
            </w:r>
            <w:r>
              <w:rPr>
                <w:rFonts w:hint="eastAsia" w:ascii="宋体" w:hAnsi="宋体" w:cs="仿宋_GB2312"/>
                <w:sz w:val="24"/>
                <w:szCs w:val="24"/>
                <w:lang w:val="zh-CN"/>
              </w:rPr>
              <w:t>/评标价格）</w:t>
            </w:r>
            <w:r>
              <w:rPr>
                <w:rFonts w:ascii="宋体" w:hAnsi="宋体" w:cs="仿宋_GB2312"/>
                <w:sz w:val="24"/>
                <w:szCs w:val="24"/>
                <w:lang w:val="zh-CN"/>
              </w:rPr>
              <w:t>×</w:t>
            </w:r>
            <w:r>
              <w:rPr>
                <w:rFonts w:hint="eastAsia" w:ascii="宋体" w:hAnsi="宋体" w:cs="仿宋_GB2312"/>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jc w:val="right"/>
        <w:rPr>
          <w:rFonts w:ascii="宋体" w:hAnsi="宋体" w:eastAsia="黑体" w:cs="Times New Roman"/>
          <w:b/>
          <w:sz w:val="32"/>
          <w:szCs w:val="32"/>
          <w:lang w:bidi="ar"/>
        </w:rPr>
      </w:pPr>
    </w:p>
    <w:p>
      <w:pPr>
        <w:jc w:val="right"/>
        <w:rPr>
          <w:rFonts w:ascii="宋体" w:hAnsi="宋体" w:eastAsia="黑体" w:cs="Times New Roman"/>
          <w:sz w:val="32"/>
          <w:szCs w:val="32"/>
        </w:rPr>
      </w:pPr>
      <w:r>
        <w:rPr>
          <w:rFonts w:hint="eastAsia" w:ascii="宋体" w:hAnsi="宋体" w:eastAsia="黑体" w:cs="Times New Roman"/>
          <w:b/>
          <w:sz w:val="32"/>
          <w:szCs w:val="32"/>
          <w:lang w:bidi="ar"/>
        </w:rPr>
        <w:t>正本/副本</w:t>
      </w:r>
    </w:p>
    <w:p>
      <w:pPr>
        <w:jc w:val="left"/>
        <w:rPr>
          <w:rFonts w:ascii="宋体" w:hAnsi="宋体" w:eastAsia="黑体" w:cs="Times New Roman"/>
          <w:sz w:val="32"/>
          <w:szCs w:val="32"/>
        </w:rPr>
      </w:pPr>
    </w:p>
    <w:p>
      <w:pPr>
        <w:rPr>
          <w:rFonts w:ascii="宋体" w:hAnsi="宋体" w:eastAsia="宋体" w:cs="微软雅黑"/>
          <w:sz w:val="28"/>
          <w:szCs w:val="28"/>
          <w:u w:val="single"/>
        </w:rPr>
      </w:pPr>
    </w:p>
    <w:p>
      <w:pPr>
        <w:spacing w:line="276" w:lineRule="auto"/>
        <w:jc w:val="center"/>
        <w:rPr>
          <w:rFonts w:ascii="宋体" w:hAnsi="宋体" w:eastAsia="宋体" w:cs="宋体"/>
          <w:b/>
          <w:sz w:val="40"/>
          <w:szCs w:val="40"/>
          <w:u w:val="single"/>
        </w:rPr>
      </w:pPr>
      <w:r>
        <w:rPr>
          <w:rFonts w:hint="eastAsia" w:ascii="宋体" w:hAnsi="宋体" w:eastAsia="宋体" w:cs="宋体"/>
          <w:b/>
          <w:sz w:val="40"/>
          <w:szCs w:val="40"/>
          <w:u w:val="single"/>
          <w:lang w:bidi="ar"/>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lang w:bidi="ar"/>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lang w:bidi="ar"/>
        </w:rPr>
        <w:t>项目编号：</w:t>
      </w:r>
    </w:p>
    <w:p>
      <w:pPr>
        <w:rPr>
          <w:rFonts w:ascii="宋体" w:hAnsi="宋体" w:eastAsia="宋体" w:cs="微软雅黑"/>
          <w:sz w:val="28"/>
          <w:szCs w:val="28"/>
        </w:rPr>
      </w:pPr>
    </w:p>
    <w:p>
      <w:pPr>
        <w:rPr>
          <w:rFonts w:ascii="宋体" w:hAnsi="宋体" w:eastAsia="宋体" w:cs="微软雅黑"/>
          <w:sz w:val="28"/>
          <w:szCs w:val="28"/>
        </w:rPr>
      </w:pPr>
    </w:p>
    <w:p>
      <w:pPr>
        <w:pStyle w:val="18"/>
        <w:spacing w:after="120"/>
        <w:ind w:firstLine="240" w:firstLineChars="100"/>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lang w:bidi="ar"/>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lang w:bidi="ar"/>
        </w:rPr>
        <w:t>法定代表人或其委托代理人：（签字或盖章）</w:t>
      </w:r>
    </w:p>
    <w:p>
      <w:pPr>
        <w:ind w:firstLine="3360" w:firstLineChars="1200"/>
        <w:rPr>
          <w:rFonts w:ascii="宋体" w:hAnsi="宋体" w:eastAsia="宋体" w:cs="微软雅黑"/>
          <w:sz w:val="28"/>
          <w:szCs w:val="28"/>
        </w:rPr>
      </w:pPr>
      <w:r>
        <w:rPr>
          <w:rFonts w:hint="eastAsia" w:ascii="宋体" w:hAnsi="宋体" w:eastAsia="宋体" w:cs="微软雅黑"/>
          <w:sz w:val="28"/>
          <w:szCs w:val="28"/>
          <w:lang w:bidi="ar"/>
        </w:rPr>
        <w:t>年    月    日</w:t>
      </w:r>
    </w:p>
    <w:p>
      <w:pPr>
        <w:widowControl/>
        <w:jc w:val="left"/>
        <w:rPr>
          <w:rFonts w:cs="黑体" w:asciiTheme="minorEastAsia" w:hAnsiTheme="minorEastAsia"/>
          <w:sz w:val="36"/>
          <w:szCs w:val="36"/>
          <w:lang w:val="zh-CN"/>
        </w:rPr>
      </w:pPr>
      <w:bookmarkStart w:id="2" w:name="_Toc174185203"/>
      <w:bookmarkStart w:id="3" w:name="_Toc186274126"/>
      <w:bookmarkStart w:id="4" w:name="_Toc184023138"/>
      <w:r>
        <w:rPr>
          <w:rFonts w:hint="eastAsia" w:cs="黑体" w:asciiTheme="minorEastAsia" w:hAnsiTheme="minorEastAsia"/>
          <w:sz w:val="36"/>
          <w:szCs w:val="36"/>
          <w:lang w:val="zh-CN"/>
        </w:rPr>
        <w:t>一、投标人应答索引表</w:t>
      </w:r>
      <w:bookmarkEnd w:id="2"/>
      <w:bookmarkEnd w:id="3"/>
      <w:bookmarkEnd w:id="4"/>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（采购人或采购代理机构）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sz w:val="24"/>
          <w:szCs w:val="24"/>
        </w:rPr>
      </w:pPr>
      <w:r>
        <w:rPr>
          <w:rFonts w:hint="eastAsia" w:ascii="宋体" w:hAnsi="宋体" w:cs="Courier New"/>
          <w:sz w:val="24"/>
          <w:szCs w:val="24"/>
        </w:rPr>
        <w:t>七、我方在此保证所提交的所有文件和全部说明是真实的和正确的</w:t>
      </w:r>
      <w:r>
        <w:rPr>
          <w:rFonts w:ascii="宋体" w:cs="Courier New"/>
          <w:sz w:val="24"/>
          <w:szCs w:val="24"/>
        </w:rPr>
        <w:t>,</w:t>
      </w:r>
      <w:r>
        <w:rPr>
          <w:rFonts w:hint="eastAsia" w:ascii="宋体" w:hAnsi="宋体" w:cs="Courier New"/>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（2）我方已依法缴纳了各项税费及社会保险费用，如有需要，可随时向采购人提供近四个月内的相关缴费证明，以便核查。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sz w:val="36"/>
          <w:szCs w:val="36"/>
        </w:rPr>
      </w:pP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9"/>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39"/>
        <w:spacing w:line="480" w:lineRule="auto"/>
        <w:ind w:firstLine="540" w:firstLineChars="225"/>
        <w:jc w:val="left"/>
        <w:rPr>
          <w:rFonts w:asciiTheme="minorEastAsia" w:hAnsiTheme="minorEastAsia"/>
          <w:szCs w:val="24"/>
        </w:rPr>
      </w:pPr>
    </w:p>
    <w:p>
      <w:pPr>
        <w:pStyle w:val="39"/>
        <w:spacing w:line="480" w:lineRule="auto"/>
        <w:ind w:firstLine="540" w:firstLineChars="225"/>
        <w:jc w:val="left"/>
        <w:rPr>
          <w:rFonts w:asciiTheme="minorEastAsia" w:hAnsiTheme="minorEastAsia"/>
          <w:szCs w:val="24"/>
        </w:rPr>
      </w:pPr>
    </w:p>
    <w:p>
      <w:pPr>
        <w:pStyle w:val="39"/>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39"/>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2"/>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1"/>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5" w:name="_资格证明文件"/>
            <w:bookmarkEnd w:id="5"/>
            <w:bookmarkStart w:id="6" w:name="_Toc364329026"/>
            <w:r>
              <w:rPr>
                <w:rFonts w:hint="eastAsia" w:asciiTheme="minorEastAsia" w:hAnsiTheme="minorEastAsia"/>
                <w:sz w:val="24"/>
                <w:szCs w:val="24"/>
              </w:rPr>
              <w:t>法定代表人授权代表身份证（正面）</w:t>
            </w:r>
            <w:bookmarkEnd w:id="6"/>
          </w:p>
        </w:tc>
        <w:tc>
          <w:tcPr>
            <w:tcW w:w="4492" w:type="dxa"/>
            <w:gridSpan w:val="2"/>
            <w:vAlign w:val="center"/>
          </w:tcPr>
          <w:p>
            <w:pPr>
              <w:jc w:val="center"/>
              <w:rPr>
                <w:rFonts w:asciiTheme="minorEastAsia" w:hAnsiTheme="minorEastAsia"/>
                <w:sz w:val="24"/>
                <w:szCs w:val="24"/>
              </w:rPr>
            </w:pPr>
            <w:bookmarkStart w:id="7" w:name="_Toc364329027"/>
            <w:r>
              <w:rPr>
                <w:rFonts w:hint="eastAsia" w:asciiTheme="minorEastAsia" w:hAnsiTheme="minorEastAsia"/>
                <w:sz w:val="24"/>
                <w:szCs w:val="24"/>
              </w:rPr>
              <w:t>法定代表人授权代表身份证（反面）</w:t>
            </w:r>
            <w:bookmarkEnd w:id="7"/>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156" w:beforeLines="50" w:after="156" w:afterLines="50"/>
        <w:jc w:val="center"/>
        <w:rPr>
          <w:rFonts w:ascii="宋体" w:hAnsi="宋体" w:cs="Arial"/>
          <w:kern w:val="0"/>
          <w:sz w:val="36"/>
          <w:szCs w:val="36"/>
        </w:rPr>
      </w:pPr>
      <w:r>
        <w:rPr>
          <w:rFonts w:hint="eastAsia" w:ascii="宋体" w:hAnsi="宋体" w:cs="Arial"/>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 w:val="24"/>
                <w:szCs w:val="24"/>
                <w:lang w:val="zh-CN"/>
              </w:rPr>
            </w:pPr>
            <w:r>
              <w:rPr>
                <w:rFonts w:hint="eastAsia" w:cs="宋体" w:asciiTheme="minorEastAsia" w:hAnsiTheme="minorEastAsia"/>
                <w:b/>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sz w:val="36"/>
          <w:szCs w:val="36"/>
        </w:rPr>
      </w:pPr>
      <w:r>
        <w:rPr>
          <w:rFonts w:hint="eastAsia" w:ascii="宋体" w:hAnsi="宋体"/>
          <w:b/>
          <w:bCs/>
          <w:sz w:val="36"/>
          <w:szCs w:val="36"/>
        </w:rPr>
        <w:t>4.6“节能产品政府采购清单”强制节能产品情况</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4.7 “节能产品政府采购清单”优先采购产品情况</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4.8 “环境标志产品政府采购清单”优先采购产品情况</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4.9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8" w:name="OLE_LINK14"/>
      <w:bookmarkStart w:id="9" w:name="OLE_LINK13"/>
      <w:r>
        <w:rPr>
          <w:rFonts w:hint="eastAsia" w:ascii="宋体" w:hAnsi="宋体"/>
          <w:b/>
          <w:bCs/>
          <w:sz w:val="36"/>
          <w:szCs w:val="36"/>
        </w:rPr>
        <w:t>4.10 残疾人福利性单位声明函</w:t>
      </w:r>
    </w:p>
    <w:bookmarkEnd w:id="8"/>
    <w:bookmarkEnd w:id="9"/>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4.11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宋体"/>
    <w:panose1 w:val="00000000000000000000"/>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4"/>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9705F6C"/>
    <w:multiLevelType w:val="singleLevel"/>
    <w:tmpl w:val="29705F6C"/>
    <w:lvl w:ilvl="0" w:tentative="0">
      <w:start w:val="1"/>
      <w:numFmt w:val="decimal"/>
      <w:suff w:val="nothing"/>
      <w:lvlText w:val="（%1）"/>
      <w:lvlJc w:val="left"/>
    </w:lvl>
  </w:abstractNum>
  <w:abstractNum w:abstractNumId="4">
    <w:nsid w:val="59F817C2"/>
    <w:multiLevelType w:val="singleLevel"/>
    <w:tmpl w:val="59F817C2"/>
    <w:lvl w:ilvl="0" w:tentative="0">
      <w:start w:val="2"/>
      <w:numFmt w:val="chineseCounting"/>
      <w:suff w:val="space"/>
      <w:lvlText w:val="第%1章"/>
      <w:lvlJc w:val="left"/>
    </w:lvl>
  </w:abstractNum>
  <w:abstractNum w:abstractNumId="5">
    <w:nsid w:val="59F817E8"/>
    <w:multiLevelType w:val="singleLevel"/>
    <w:tmpl w:val="59F817E8"/>
    <w:lvl w:ilvl="0" w:tentative="0">
      <w:start w:val="1"/>
      <w:numFmt w:val="chineseCounting"/>
      <w:pStyle w:val="48"/>
      <w:suff w:val="nothing"/>
      <w:lvlText w:val="%1、"/>
      <w:lvlJc w:val="left"/>
    </w:lvl>
  </w:abstractNum>
  <w:abstractNum w:abstractNumId="6">
    <w:nsid w:val="5C235F82"/>
    <w:multiLevelType w:val="singleLevel"/>
    <w:tmpl w:val="5C235F82"/>
    <w:lvl w:ilvl="0" w:tentative="0">
      <w:start w:val="1"/>
      <w:numFmt w:val="decimal"/>
      <w:suff w:val="nothing"/>
      <w:lvlText w:val="（%1）"/>
      <w:lvlJc w:val="left"/>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52CA2"/>
    <w:rsid w:val="00163CBE"/>
    <w:rsid w:val="001645B9"/>
    <w:rsid w:val="00165060"/>
    <w:rsid w:val="00177750"/>
    <w:rsid w:val="001829C2"/>
    <w:rsid w:val="00183EF7"/>
    <w:rsid w:val="00185ECD"/>
    <w:rsid w:val="0018761C"/>
    <w:rsid w:val="001948F5"/>
    <w:rsid w:val="00195D1B"/>
    <w:rsid w:val="001977EA"/>
    <w:rsid w:val="00197DD1"/>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A73"/>
    <w:rsid w:val="00264FDB"/>
    <w:rsid w:val="00266A53"/>
    <w:rsid w:val="00266F38"/>
    <w:rsid w:val="00267FB5"/>
    <w:rsid w:val="002704F0"/>
    <w:rsid w:val="0027430F"/>
    <w:rsid w:val="0027728C"/>
    <w:rsid w:val="00281155"/>
    <w:rsid w:val="00296074"/>
    <w:rsid w:val="002969B1"/>
    <w:rsid w:val="002A00B7"/>
    <w:rsid w:val="002A0347"/>
    <w:rsid w:val="002A18E5"/>
    <w:rsid w:val="002A5CCE"/>
    <w:rsid w:val="002B2BE8"/>
    <w:rsid w:val="002B659C"/>
    <w:rsid w:val="002C08BF"/>
    <w:rsid w:val="002D0D13"/>
    <w:rsid w:val="002E3055"/>
    <w:rsid w:val="002E60F6"/>
    <w:rsid w:val="002E744B"/>
    <w:rsid w:val="002F225D"/>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2210"/>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2400D"/>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33F0"/>
    <w:rsid w:val="006C575E"/>
    <w:rsid w:val="006D24FE"/>
    <w:rsid w:val="006D541B"/>
    <w:rsid w:val="006D7995"/>
    <w:rsid w:val="006E0953"/>
    <w:rsid w:val="006E09B9"/>
    <w:rsid w:val="006E1073"/>
    <w:rsid w:val="006E2C2C"/>
    <w:rsid w:val="006E5294"/>
    <w:rsid w:val="006E69A9"/>
    <w:rsid w:val="006E7D75"/>
    <w:rsid w:val="006F42BD"/>
    <w:rsid w:val="006F4C1F"/>
    <w:rsid w:val="006F6735"/>
    <w:rsid w:val="00703498"/>
    <w:rsid w:val="00707517"/>
    <w:rsid w:val="00713341"/>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57231"/>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49C"/>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4BBC"/>
    <w:rsid w:val="008A532F"/>
    <w:rsid w:val="008A735D"/>
    <w:rsid w:val="008B1EBC"/>
    <w:rsid w:val="008B3760"/>
    <w:rsid w:val="008B4CCA"/>
    <w:rsid w:val="008B62B1"/>
    <w:rsid w:val="008B6376"/>
    <w:rsid w:val="008C0905"/>
    <w:rsid w:val="008C380D"/>
    <w:rsid w:val="008D3220"/>
    <w:rsid w:val="008E0022"/>
    <w:rsid w:val="008E36C2"/>
    <w:rsid w:val="008E7034"/>
    <w:rsid w:val="008F6568"/>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1710"/>
    <w:rsid w:val="00992F1F"/>
    <w:rsid w:val="0099354B"/>
    <w:rsid w:val="00994A8A"/>
    <w:rsid w:val="009A0AC7"/>
    <w:rsid w:val="009A296B"/>
    <w:rsid w:val="009A2BC5"/>
    <w:rsid w:val="009A47E3"/>
    <w:rsid w:val="009A6F91"/>
    <w:rsid w:val="009B3ABA"/>
    <w:rsid w:val="009C12AB"/>
    <w:rsid w:val="009C35AA"/>
    <w:rsid w:val="009C5225"/>
    <w:rsid w:val="009D0D89"/>
    <w:rsid w:val="009D16C3"/>
    <w:rsid w:val="009D24B7"/>
    <w:rsid w:val="009D5EE9"/>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7784A"/>
    <w:rsid w:val="00A9002A"/>
    <w:rsid w:val="00A91872"/>
    <w:rsid w:val="00A97F1A"/>
    <w:rsid w:val="00AA0FE4"/>
    <w:rsid w:val="00AA16B6"/>
    <w:rsid w:val="00AA265E"/>
    <w:rsid w:val="00AA352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C13"/>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50DB"/>
    <w:rsid w:val="00BC629E"/>
    <w:rsid w:val="00BD0FE7"/>
    <w:rsid w:val="00BD3AFF"/>
    <w:rsid w:val="00BF1DA5"/>
    <w:rsid w:val="00BF21E1"/>
    <w:rsid w:val="00C00538"/>
    <w:rsid w:val="00C06F9E"/>
    <w:rsid w:val="00C1514A"/>
    <w:rsid w:val="00C23622"/>
    <w:rsid w:val="00C36189"/>
    <w:rsid w:val="00C414AD"/>
    <w:rsid w:val="00C430C9"/>
    <w:rsid w:val="00C4568B"/>
    <w:rsid w:val="00C45EEC"/>
    <w:rsid w:val="00C51319"/>
    <w:rsid w:val="00C638EC"/>
    <w:rsid w:val="00C701F8"/>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B563A"/>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02B1"/>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1B0F"/>
    <w:rsid w:val="00D95770"/>
    <w:rsid w:val="00DA3386"/>
    <w:rsid w:val="00DA70EB"/>
    <w:rsid w:val="00DB4C7C"/>
    <w:rsid w:val="00DB748A"/>
    <w:rsid w:val="00DC5A3D"/>
    <w:rsid w:val="00DD116A"/>
    <w:rsid w:val="00DD1648"/>
    <w:rsid w:val="00DD61B1"/>
    <w:rsid w:val="00DE5E53"/>
    <w:rsid w:val="00E05333"/>
    <w:rsid w:val="00E155B5"/>
    <w:rsid w:val="00E16A95"/>
    <w:rsid w:val="00E203D7"/>
    <w:rsid w:val="00E23736"/>
    <w:rsid w:val="00E23924"/>
    <w:rsid w:val="00E2434C"/>
    <w:rsid w:val="00E24944"/>
    <w:rsid w:val="00E32D01"/>
    <w:rsid w:val="00E3418E"/>
    <w:rsid w:val="00E3769C"/>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1DAC"/>
    <w:rsid w:val="00E94F3E"/>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1572"/>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4BD3"/>
    <w:rsid w:val="00FD62FF"/>
    <w:rsid w:val="00FE2F78"/>
    <w:rsid w:val="00FE4663"/>
    <w:rsid w:val="00FE61C6"/>
    <w:rsid w:val="00FF124B"/>
    <w:rsid w:val="00FF4EA4"/>
    <w:rsid w:val="01923DE2"/>
    <w:rsid w:val="0D5B0C8E"/>
    <w:rsid w:val="0E435E35"/>
    <w:rsid w:val="13A72FCE"/>
    <w:rsid w:val="13DF0F37"/>
    <w:rsid w:val="14E67CE5"/>
    <w:rsid w:val="16592E56"/>
    <w:rsid w:val="173022EB"/>
    <w:rsid w:val="192B0A70"/>
    <w:rsid w:val="226F16BB"/>
    <w:rsid w:val="228F3E6A"/>
    <w:rsid w:val="2A306CA5"/>
    <w:rsid w:val="2B254E09"/>
    <w:rsid w:val="32640F55"/>
    <w:rsid w:val="33622122"/>
    <w:rsid w:val="34BF7A00"/>
    <w:rsid w:val="3DFD0701"/>
    <w:rsid w:val="41151C6B"/>
    <w:rsid w:val="430248D4"/>
    <w:rsid w:val="4338252F"/>
    <w:rsid w:val="48827B1F"/>
    <w:rsid w:val="534C482E"/>
    <w:rsid w:val="537A4A77"/>
    <w:rsid w:val="548775E7"/>
    <w:rsid w:val="60AD6767"/>
    <w:rsid w:val="65320C47"/>
    <w:rsid w:val="673E64B1"/>
    <w:rsid w:val="717E0DFD"/>
    <w:rsid w:val="73246953"/>
    <w:rsid w:val="7AD626EB"/>
    <w:rsid w:val="7FA47D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0"/>
    <w:qFormat/>
    <w:uiPriority w:val="0"/>
    <w:rPr>
      <w:rFonts w:eastAsia="宋体"/>
      <w:sz w:val="24"/>
    </w:rPr>
  </w:style>
  <w:style w:type="paragraph" w:styleId="13">
    <w:name w:val="Date"/>
    <w:basedOn w:val="1"/>
    <w:next w:val="1"/>
    <w:link w:val="31"/>
    <w:unhideWhenUsed/>
    <w:qFormat/>
    <w:uiPriority w:val="99"/>
    <w:pPr>
      <w:ind w:left="100" w:leftChars="2500"/>
    </w:p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14:textFill>
        <w14:solidFill>
          <w14:schemeClr w14:val="folHlink"/>
        </w14:solidFill>
      </w14:textFill>
    </w:rPr>
  </w:style>
  <w:style w:type="character" w:styleId="24">
    <w:name w:val="Emphasis"/>
    <w:basedOn w:val="21"/>
    <w:qFormat/>
    <w:uiPriority w:val="20"/>
    <w:rPr>
      <w:i/>
      <w:iCs/>
    </w:rPr>
  </w:style>
  <w:style w:type="character" w:styleId="25">
    <w:name w:val="Hyperlink"/>
    <w:basedOn w:val="21"/>
    <w:unhideWhenUsed/>
    <w:qFormat/>
    <w:uiPriority w:val="99"/>
    <w:rPr>
      <w:color w:val="0000FF"/>
      <w:u w:val="single"/>
    </w:rPr>
  </w:style>
  <w:style w:type="character" w:customStyle="1" w:styleId="26">
    <w:name w:val="标题 1 Char"/>
    <w:basedOn w:val="21"/>
    <w:link w:val="2"/>
    <w:qFormat/>
    <w:uiPriority w:val="0"/>
    <w:rPr>
      <w:rFonts w:ascii="Calibri" w:hAnsi="Calibri" w:eastAsia="宋体" w:cs="Times New Roman"/>
      <w:b/>
      <w:bCs/>
      <w:kern w:val="44"/>
      <w:sz w:val="44"/>
      <w:szCs w:val="44"/>
    </w:rPr>
  </w:style>
  <w:style w:type="character" w:customStyle="1" w:styleId="27">
    <w:name w:val="标题 2 Char"/>
    <w:basedOn w:val="21"/>
    <w:link w:val="3"/>
    <w:qFormat/>
    <w:uiPriority w:val="0"/>
    <w:rPr>
      <w:rFonts w:ascii="Arial" w:hAnsi="Arial" w:eastAsia="黑体" w:cs="Times New Roman"/>
      <w:b/>
      <w:bCs/>
      <w:kern w:val="0"/>
      <w:sz w:val="32"/>
      <w:szCs w:val="32"/>
    </w:rPr>
  </w:style>
  <w:style w:type="character" w:customStyle="1" w:styleId="28">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5"/>
    <w:qFormat/>
    <w:uiPriority w:val="0"/>
    <w:rPr>
      <w:rFonts w:ascii="Arial" w:hAnsi="Arial" w:eastAsia="黑体" w:cs="Times New Roman"/>
      <w:b/>
      <w:bCs/>
      <w:kern w:val="0"/>
      <w:sz w:val="28"/>
      <w:szCs w:val="28"/>
    </w:rPr>
  </w:style>
  <w:style w:type="character" w:customStyle="1" w:styleId="30">
    <w:name w:val="纯文本 Char"/>
    <w:basedOn w:val="21"/>
    <w:link w:val="12"/>
    <w:qFormat/>
    <w:uiPriority w:val="0"/>
    <w:rPr>
      <w:rFonts w:eastAsia="宋体"/>
      <w:sz w:val="24"/>
    </w:rPr>
  </w:style>
  <w:style w:type="character" w:customStyle="1" w:styleId="31">
    <w:name w:val="日期 Char"/>
    <w:basedOn w:val="21"/>
    <w:link w:val="13"/>
    <w:qFormat/>
    <w:uiPriority w:val="99"/>
  </w:style>
  <w:style w:type="character" w:customStyle="1" w:styleId="32">
    <w:name w:val="页脚 Char"/>
    <w:basedOn w:val="21"/>
    <w:link w:val="14"/>
    <w:qFormat/>
    <w:uiPriority w:val="99"/>
    <w:rPr>
      <w:sz w:val="18"/>
      <w:szCs w:val="18"/>
    </w:rPr>
  </w:style>
  <w:style w:type="character" w:customStyle="1" w:styleId="33">
    <w:name w:val="页眉 Char"/>
    <w:basedOn w:val="21"/>
    <w:link w:val="15"/>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8"/>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9"/>
    <w:semiHidden/>
    <w:qFormat/>
    <w:uiPriority w:val="99"/>
  </w:style>
  <w:style w:type="character" w:customStyle="1" w:styleId="50">
    <w:name w:val="正文首行缩进 Char"/>
    <w:basedOn w:val="49"/>
    <w:link w:val="19"/>
    <w:qFormat/>
    <w:uiPriority w:val="0"/>
    <w:rPr>
      <w:rFonts w:ascii="宋体" w:hAnsi="Times New Roman" w:eastAsia="宋体" w:cs="Times New Roman"/>
      <w:kern w:val="0"/>
      <w:sz w:val="34"/>
      <w:szCs w:val="20"/>
    </w:rPr>
  </w:style>
  <w:style w:type="character" w:customStyle="1" w:styleId="51">
    <w:name w:val="HTML 预设格式 Char"/>
    <w:basedOn w:val="21"/>
    <w:link w:val="17"/>
    <w:semiHidden/>
    <w:qFormat/>
    <w:uiPriority w:val="99"/>
    <w:rPr>
      <w:rFonts w:ascii="宋体" w:hAnsi="宋体" w:eastAsia="宋体" w:cs="宋体"/>
      <w:kern w:val="0"/>
      <w:sz w:val="24"/>
      <w:szCs w:val="24"/>
    </w:rPr>
  </w:style>
  <w:style w:type="character" w:customStyle="1" w:styleId="52">
    <w:name w:val="gb-jt"/>
    <w:basedOn w:val="21"/>
    <w:qFormat/>
    <w:uiPriority w:val="0"/>
  </w:style>
  <w:style w:type="paragraph" w:customStyle="1" w:styleId="53">
    <w:name w:val="正文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F794EA-295B-412A-99C6-82275C9FC2F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73</Pages>
  <Words>5977</Words>
  <Characters>34070</Characters>
  <Lines>283</Lines>
  <Paragraphs>79</Paragraphs>
  <TotalTime>4</TotalTime>
  <ScaleCrop>false</ScaleCrop>
  <LinksUpToDate>false</LinksUpToDate>
  <CharactersWithSpaces>39968</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李少华</cp:lastModifiedBy>
  <cp:lastPrinted>2019-04-29T11:24:11Z</cp:lastPrinted>
  <dcterms:modified xsi:type="dcterms:W3CDTF">2019-04-29T11:25:19Z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