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000000"/>
          <w:sz w:val="44"/>
          <w:szCs w:val="44"/>
          <w:lang w:eastAsia="zh-CN"/>
        </w:rPr>
      </w:pPr>
      <w:bookmarkStart w:id="0" w:name="_Hlk517774989"/>
      <w:r>
        <w:rPr>
          <w:rFonts w:hint="eastAsia" w:asciiTheme="majorEastAsia" w:hAnsiTheme="majorEastAsia" w:eastAsiaTheme="majorEastAsia" w:cstheme="majorEastAsia"/>
          <w:b/>
          <w:bCs/>
          <w:color w:val="000000"/>
          <w:sz w:val="44"/>
          <w:szCs w:val="44"/>
          <w:lang w:eastAsia="zh-CN"/>
        </w:rPr>
        <w:t>YLZB-G2019</w:t>
      </w:r>
      <w:r>
        <w:rPr>
          <w:rFonts w:hint="eastAsia" w:asciiTheme="majorEastAsia" w:hAnsiTheme="majorEastAsia" w:eastAsiaTheme="majorEastAsia" w:cstheme="majorEastAsia"/>
          <w:b/>
          <w:bCs/>
          <w:color w:val="000000"/>
          <w:sz w:val="44"/>
          <w:szCs w:val="44"/>
          <w:lang w:val="en-US" w:eastAsia="zh-CN"/>
        </w:rPr>
        <w:t>016</w:t>
      </w:r>
      <w:r>
        <w:rPr>
          <w:rFonts w:hint="eastAsia" w:asciiTheme="majorEastAsia" w:hAnsiTheme="majorEastAsia" w:eastAsiaTheme="majorEastAsia" w:cstheme="majorEastAsia"/>
          <w:b/>
          <w:bCs/>
          <w:color w:val="000000"/>
          <w:sz w:val="44"/>
          <w:szCs w:val="44"/>
          <w:lang w:eastAsia="zh-CN"/>
        </w:rPr>
        <w:t>号长葛市人民医院“生物刺激反馈仪（进口）等医疗设备采购项目”</w:t>
      </w:r>
    </w:p>
    <w:bookmarkEnd w:id="0"/>
    <w:p>
      <w:pPr>
        <w:rPr>
          <w:rFonts w:ascii="微软简隶书" w:eastAsia="微软简隶书"/>
          <w:color w:val="000000"/>
          <w:u w:val="single"/>
        </w:rPr>
      </w:pPr>
    </w:p>
    <w:p>
      <w:pPr>
        <w:rPr>
          <w:rFonts w:ascii="微软简隶书" w:eastAsia="微软简隶书"/>
          <w:color w:val="000000"/>
        </w:rPr>
      </w:pPr>
    </w:p>
    <w:p>
      <w:pPr>
        <w:pStyle w:val="2"/>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pStyle w:val="2"/>
        <w:rPr>
          <w:rFonts w:ascii="微软简隶书" w:eastAsia="微软简隶书"/>
          <w:color w:val="000000"/>
        </w:rPr>
      </w:pPr>
    </w:p>
    <w:p>
      <w:pPr>
        <w:pStyle w:val="2"/>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eastAsia" w:asciiTheme="majorEastAsia" w:hAnsiTheme="majorEastAsia" w:eastAsiaTheme="majorEastAsia" w:cstheme="majorEastAsia"/>
          <w:b/>
          <w:bCs/>
          <w:color w:val="000000"/>
          <w:sz w:val="36"/>
          <w:szCs w:val="36"/>
          <w:lang w:eastAsia="zh-CN"/>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w:t>
      </w:r>
      <w:r>
        <w:rPr>
          <w:rFonts w:hint="eastAsia" w:asciiTheme="majorEastAsia" w:hAnsiTheme="majorEastAsia" w:eastAsiaTheme="majorEastAsia" w:cstheme="majorEastAsia"/>
          <w:b/>
          <w:bCs/>
          <w:color w:val="000000"/>
          <w:sz w:val="36"/>
          <w:szCs w:val="36"/>
          <w:lang w:eastAsia="zh-CN"/>
        </w:rPr>
        <w:t>YLZB-G2019</w:t>
      </w:r>
      <w:r>
        <w:rPr>
          <w:rFonts w:hint="eastAsia" w:asciiTheme="majorEastAsia" w:hAnsiTheme="majorEastAsia" w:eastAsiaTheme="majorEastAsia" w:cstheme="majorEastAsia"/>
          <w:b/>
          <w:bCs/>
          <w:color w:val="000000"/>
          <w:sz w:val="36"/>
          <w:szCs w:val="36"/>
          <w:lang w:val="en-US" w:eastAsia="zh-CN"/>
        </w:rPr>
        <w:t>016</w:t>
      </w:r>
      <w:r>
        <w:rPr>
          <w:rFonts w:hint="eastAsia" w:asciiTheme="majorEastAsia" w:hAnsiTheme="majorEastAsia" w:eastAsiaTheme="majorEastAsia" w:cstheme="majorEastAsia"/>
          <w:b/>
          <w:bCs/>
          <w:color w:val="000000"/>
          <w:sz w:val="36"/>
          <w:szCs w:val="36"/>
          <w:lang w:eastAsia="zh-CN"/>
        </w:rPr>
        <w:t>号</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eastAsia="zh-CN"/>
        </w:rPr>
        <w:t>长葛市人民医院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河南华采工程管理有限公司</w:t>
      </w:r>
    </w:p>
    <w:p>
      <w:pPr>
        <w:jc w:val="center"/>
        <w:rPr>
          <w:rFonts w:hint="eastAsia"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w:t>
      </w:r>
      <w:r>
        <w:rPr>
          <w:rFonts w:hint="eastAsia" w:asciiTheme="majorEastAsia" w:hAnsiTheme="majorEastAsia" w:eastAsiaTheme="majorEastAsia" w:cstheme="majorEastAsia"/>
          <w:b/>
          <w:bCs/>
          <w:color w:val="000000"/>
          <w:sz w:val="36"/>
          <w:szCs w:val="36"/>
          <w:lang w:eastAsia="zh-CN"/>
        </w:rPr>
        <w:t>九</w:t>
      </w:r>
      <w:r>
        <w:rPr>
          <w:rFonts w:hint="eastAsia" w:asciiTheme="majorEastAsia" w:hAnsiTheme="majorEastAsia" w:eastAsiaTheme="majorEastAsia" w:cstheme="majorEastAsia"/>
          <w:b/>
          <w:bCs/>
          <w:color w:val="000000"/>
          <w:sz w:val="36"/>
          <w:szCs w:val="36"/>
        </w:rPr>
        <w:t>年</w:t>
      </w:r>
      <w:r>
        <w:rPr>
          <w:rFonts w:hint="eastAsia" w:asciiTheme="majorEastAsia" w:hAnsiTheme="majorEastAsia" w:eastAsiaTheme="majorEastAsia" w:cstheme="majorEastAsia"/>
          <w:b/>
          <w:bCs/>
          <w:color w:val="000000"/>
          <w:sz w:val="36"/>
          <w:szCs w:val="36"/>
          <w:lang w:val="en-US" w:eastAsia="zh-CN"/>
        </w:rPr>
        <w:t>四</w:t>
      </w:r>
      <w:r>
        <w:rPr>
          <w:rFonts w:hint="eastAsia" w:asciiTheme="majorEastAsia" w:hAnsiTheme="majorEastAsia" w:eastAsiaTheme="majorEastAsia" w:cstheme="majorEastAsia"/>
          <w:b/>
          <w:bCs/>
          <w:color w:val="000000"/>
          <w:sz w:val="36"/>
          <w:szCs w:val="36"/>
        </w:rPr>
        <w:t>月</w:t>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20"/>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20"/>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20"/>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（一）项目名称：</w:t>
      </w:r>
      <w:r>
        <w:rPr>
          <w:rFonts w:hint="eastAsia" w:cs="仿宋_GB2312" w:asciiTheme="minorEastAsia" w:hAnsiTheme="minorEastAsia" w:eastAsiaTheme="minorEastAsia"/>
          <w:color w:val="000000"/>
          <w:shd w:val="clear" w:color="auto" w:fill="FFFFFF"/>
          <w:lang w:eastAsia="zh-CN"/>
        </w:rPr>
        <w:t>长葛市人民医院“生物刺激反馈仪（进口）等医疗设备采购项目”</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（二）项目编号：</w:t>
      </w:r>
      <w:r>
        <w:rPr>
          <w:rFonts w:hint="eastAsia" w:cs="仿宋_GB2312" w:asciiTheme="minorEastAsia" w:hAnsiTheme="minorEastAsia" w:eastAsiaTheme="minorEastAsia"/>
          <w:color w:val="000000"/>
          <w:shd w:val="clear" w:color="auto" w:fill="FFFFFF"/>
          <w:lang w:eastAsia="zh-CN"/>
        </w:rPr>
        <w:t>YLZB-G2019</w:t>
      </w:r>
      <w:r>
        <w:rPr>
          <w:rFonts w:hint="eastAsia" w:cs="仿宋_GB2312" w:asciiTheme="minorEastAsia" w:hAnsiTheme="minorEastAsia" w:eastAsiaTheme="minorEastAsia"/>
          <w:color w:val="000000"/>
          <w:shd w:val="clear" w:color="auto" w:fill="FFFFFF"/>
          <w:lang w:val="en-US" w:eastAsia="zh-CN"/>
        </w:rPr>
        <w:t>016</w:t>
      </w:r>
      <w:r>
        <w:rPr>
          <w:rFonts w:hint="eastAsia" w:cs="仿宋_GB2312" w:asciiTheme="minorEastAsia" w:hAnsiTheme="minorEastAsia" w:eastAsiaTheme="minorEastAsia"/>
          <w:color w:val="000000"/>
          <w:shd w:val="clear" w:color="auto" w:fill="FFFFFF"/>
          <w:lang w:eastAsia="zh-CN"/>
        </w:rPr>
        <w:t>号</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（三）采购方式：公开招标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w:t>
      </w:r>
      <w:r>
        <w:rPr>
          <w:rFonts w:hint="eastAsia" w:cs="仿宋_GB2312" w:asciiTheme="minorEastAsia" w:hAnsiTheme="minorEastAsia" w:eastAsiaTheme="minorEastAsia"/>
          <w:color w:val="auto"/>
          <w:shd w:val="clear" w:color="auto" w:fill="FFFFFF"/>
        </w:rPr>
        <w:t>求：</w:t>
      </w:r>
      <w:r>
        <w:rPr>
          <w:rFonts w:hint="eastAsia" w:cs="仿宋_GB2312" w:asciiTheme="minorEastAsia" w:hAnsiTheme="minorEastAsia" w:eastAsiaTheme="minorEastAsia"/>
          <w:color w:val="auto"/>
          <w:shd w:val="clear" w:color="auto" w:fill="FFFFFF"/>
          <w:lang w:val="zh-CN" w:eastAsia="zh-CN"/>
        </w:rPr>
        <w:t>生物刺激反馈仪（评估板）（进口）1台；生物刺激反馈仪（治疗版）（进口）2台；盆底磁刺激治疗仪（国产）1台；生物刺激反馈仪（高端产康）（国产）4台</w:t>
      </w:r>
      <w:r>
        <w:rPr>
          <w:rFonts w:hint="eastAsia" w:cs="仿宋_GB2312" w:asciiTheme="minorEastAsia" w:hAnsiTheme="minorEastAsia" w:eastAsiaTheme="minorEastAsia"/>
          <w:color w:val="auto"/>
          <w:shd w:val="clear" w:color="auto" w:fill="FFFFFF"/>
        </w:rPr>
        <w:t>。</w:t>
      </w:r>
    </w:p>
    <w:p>
      <w:pPr>
        <w:pStyle w:val="20"/>
        <w:widowControl/>
        <w:numPr>
          <w:ilvl w:val="0"/>
          <w:numId w:val="4"/>
        </w:numPr>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shd w:val="clear" w:color="auto" w:fill="FFFFFF"/>
        </w:rPr>
        <w:t>标包划分：本项目共设</w:t>
      </w:r>
      <w:r>
        <w:rPr>
          <w:rFonts w:hint="eastAsia" w:cs="仿宋_GB2312" w:asciiTheme="minorEastAsia" w:hAnsiTheme="minorEastAsia" w:eastAsiaTheme="minorEastAsia"/>
          <w:shd w:val="clear" w:color="auto" w:fill="FFFFFF"/>
          <w:lang w:eastAsia="zh-CN"/>
        </w:rPr>
        <w:t>一</w:t>
      </w:r>
      <w:r>
        <w:rPr>
          <w:rFonts w:hint="eastAsia" w:cs="仿宋_GB2312" w:asciiTheme="minorEastAsia" w:hAnsiTheme="minorEastAsia" w:eastAsiaTheme="minorEastAsia"/>
          <w:shd w:val="clear" w:color="auto" w:fill="FFFFFF"/>
        </w:rPr>
        <w:t>个包</w:t>
      </w:r>
      <w:r>
        <w:rPr>
          <w:rFonts w:hint="eastAsia" w:cs="仿宋_GB2312" w:asciiTheme="minorEastAsia" w:hAnsiTheme="minorEastAsia" w:eastAsiaTheme="minorEastAsia"/>
          <w:shd w:val="clear" w:color="auto" w:fill="FFFFFF"/>
          <w:lang w:eastAsia="zh-CN"/>
        </w:rPr>
        <w:t>。</w:t>
      </w:r>
    </w:p>
    <w:p>
      <w:pPr>
        <w:pStyle w:val="20"/>
        <w:widowControl/>
        <w:numPr>
          <w:ilvl w:val="0"/>
          <w:numId w:val="4"/>
        </w:numPr>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预算金额</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val="en-US" w:eastAsia="zh-CN"/>
        </w:rPr>
        <w:t>98</w:t>
      </w:r>
      <w:r>
        <w:rPr>
          <w:rFonts w:hint="eastAsia" w:cs="仿宋_GB2312" w:asciiTheme="minorEastAsia" w:hAnsiTheme="minorEastAsia" w:eastAsiaTheme="minorEastAsia"/>
          <w:color w:val="auto"/>
          <w:shd w:val="clear" w:color="auto" w:fill="FFFFFF"/>
          <w:lang w:val="zh-CN"/>
        </w:rPr>
        <w:t>万元，最高限价：</w:t>
      </w:r>
      <w:r>
        <w:rPr>
          <w:rFonts w:hint="eastAsia" w:cs="仿宋_GB2312" w:asciiTheme="minorEastAsia" w:hAnsiTheme="minorEastAsia" w:eastAsiaTheme="minorEastAsia"/>
          <w:color w:val="auto"/>
          <w:shd w:val="clear" w:color="auto" w:fill="FFFFFF"/>
          <w:lang w:val="en-US" w:eastAsia="zh-CN"/>
        </w:rPr>
        <w:t>98</w:t>
      </w:r>
      <w:r>
        <w:rPr>
          <w:rFonts w:hint="eastAsia" w:cs="仿宋_GB2312" w:asciiTheme="minorEastAsia" w:hAnsiTheme="minorEastAsia" w:eastAsiaTheme="minorEastAsia"/>
          <w:color w:val="auto"/>
          <w:shd w:val="clear" w:color="auto" w:fill="FFFFFF"/>
          <w:lang w:val="zh-CN"/>
        </w:rPr>
        <w:t>万元</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七</w:t>
      </w:r>
      <w:r>
        <w:rPr>
          <w:rFonts w:hint="eastAsia" w:cs="仿宋_GB2312" w:asciiTheme="minorEastAsia" w:hAnsiTheme="minorEastAsia" w:eastAsiaTheme="minorEastAsia"/>
          <w:color w:val="000000"/>
          <w:shd w:val="clear" w:color="auto" w:fill="FFFFFF"/>
        </w:rPr>
        <w:t>）交付时间 ：合同签订后30天内</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八</w:t>
      </w:r>
      <w:r>
        <w:rPr>
          <w:rFonts w:hint="eastAsia" w:cs="仿宋_GB2312" w:asciiTheme="minorEastAsia" w:hAnsiTheme="minorEastAsia" w:eastAsiaTheme="minorEastAsia"/>
          <w:color w:val="000000"/>
          <w:shd w:val="clear" w:color="auto" w:fill="FFFFFF"/>
        </w:rPr>
        <w:t>）交付地点：</w:t>
      </w:r>
      <w:r>
        <w:rPr>
          <w:rFonts w:hint="eastAsia" w:cs="仿宋_GB2312" w:asciiTheme="minorEastAsia" w:hAnsiTheme="minorEastAsia" w:eastAsiaTheme="minorEastAsia"/>
          <w:color w:val="000000"/>
          <w:shd w:val="clear" w:color="auto" w:fill="FFFFFF"/>
          <w:lang w:eastAsia="zh-CN"/>
        </w:rPr>
        <w:t>长葛市人民医院</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val="zh-CN"/>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九</w:t>
      </w:r>
      <w:r>
        <w:rPr>
          <w:rFonts w:hint="eastAsia" w:cs="仿宋_GB2312" w:asciiTheme="minorEastAsia" w:hAnsiTheme="minorEastAsia" w:eastAsiaTheme="minorEastAsia"/>
          <w:color w:val="000000"/>
          <w:shd w:val="clear" w:color="auto" w:fill="FFFFFF"/>
        </w:rPr>
        <w:t>）进口产品：</w:t>
      </w:r>
      <w:r>
        <w:rPr>
          <w:rFonts w:hint="eastAsia" w:cs="仿宋_GB2312" w:asciiTheme="minorEastAsia" w:hAnsiTheme="minorEastAsia" w:eastAsiaTheme="minorEastAsia"/>
          <w:color w:val="000000"/>
          <w:shd w:val="clear" w:color="auto" w:fill="FFFFFF"/>
          <w:lang w:val="zh-CN"/>
        </w:rPr>
        <w:t>允许</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十</w:t>
      </w:r>
      <w:r>
        <w:rPr>
          <w:rFonts w:hint="eastAsia" w:cs="仿宋_GB2312" w:asciiTheme="minorEastAsia" w:hAnsiTheme="minorEastAsia" w:eastAsiaTheme="minorEastAsia"/>
          <w:color w:val="000000"/>
          <w:shd w:val="clear" w:color="auto" w:fill="FFFFFF"/>
        </w:rPr>
        <w:t>）分包：不允许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p>
      <w:pPr>
        <w:pStyle w:val="20"/>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w:t>
      </w:r>
      <w:r>
        <w:rPr>
          <w:rFonts w:cs="仿宋_GB2312" w:asciiTheme="minorEastAsia" w:hAnsiTheme="minorEastAsia"/>
          <w:color w:val="000000"/>
          <w:shd w:val="clear" w:color="auto" w:fill="FFFFFF"/>
        </w:rPr>
        <w:t xml:space="preserve"> 未被列入“信用中国”网站</w:t>
      </w:r>
      <w:r>
        <w:rPr>
          <w:rFonts w:hint="eastAsia" w:cs="仿宋_GB2312" w:asciiTheme="minorEastAsia" w:hAnsiTheme="minorEastAsia"/>
          <w:color w:val="000000"/>
          <w:shd w:val="clear" w:color="auto" w:fill="FFFFFF"/>
          <w:lang w:val="en-US"/>
        </w:rPr>
        <w:t>(www.creditchina.gov.cn)</w:t>
      </w:r>
      <w:r>
        <w:rPr>
          <w:rFonts w:hint="eastAsia" w:cs="仿宋_GB2312" w:asciiTheme="minorEastAsia" w:hAnsiTheme="minorEastAsia"/>
          <w:color w:val="000000"/>
          <w:shd w:val="clear" w:color="auto" w:fill="FFFFFF"/>
        </w:rPr>
        <w:t>失信被执行人、重大税收违法案件当事人名单、政府采购严重违法失信名单、“中国政府采购网”</w:t>
      </w:r>
      <w:r>
        <w:rPr>
          <w:rFonts w:hint="eastAsia" w:cs="仿宋_GB2312" w:asciiTheme="minorEastAsia" w:hAnsiTheme="minorEastAsia"/>
          <w:color w:val="000000"/>
          <w:shd w:val="clear" w:color="auto" w:fill="FFFFFF"/>
          <w:lang w:val="en-US"/>
        </w:rPr>
        <w:t xml:space="preserve"> (www.ccgp.gov.cn)</w:t>
      </w:r>
      <w:r>
        <w:rPr>
          <w:rFonts w:hint="eastAsia" w:cs="仿宋_GB2312" w:asciiTheme="minorEastAsia" w:hAnsiTheme="minorEastAsia"/>
          <w:color w:val="000000"/>
          <w:shd w:val="clear" w:color="auto" w:fill="FFFFFF"/>
        </w:rPr>
        <w:t>政府采购严重违法失信行为记录名单、“国家企业信用公示系统”网站（</w:t>
      </w:r>
      <w:r>
        <w:rPr>
          <w:rFonts w:hint="eastAsia" w:cs="仿宋_GB2312" w:asciiTheme="minorEastAsia" w:hAnsiTheme="minorEastAsia"/>
          <w:color w:val="000000"/>
          <w:shd w:val="clear" w:color="auto" w:fill="FFFFFF"/>
          <w:lang w:val="en-US"/>
        </w:rPr>
        <w:t>www.gsxt.gov.cn</w:t>
      </w:r>
      <w:r>
        <w:rPr>
          <w:rFonts w:hint="eastAsia" w:cs="仿宋_GB2312" w:asciiTheme="minorEastAsia" w:hAnsiTheme="minorEastAsia"/>
          <w:color w:val="000000"/>
          <w:shd w:val="clear" w:color="auto" w:fill="FFFFFF"/>
        </w:rPr>
        <w:t>）严重违法失信企业名单（黑名单）的投标人</w:t>
      </w:r>
      <w:r>
        <w:rPr>
          <w:rFonts w:hint="eastAsia" w:cs="仿宋_GB2312" w:asciiTheme="minorEastAsia" w:hAnsiTheme="minorEastAsia" w:eastAsiaTheme="minorEastAsia"/>
          <w:color w:val="000000"/>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300</w:t>
      </w:r>
      <w:r>
        <w:rPr>
          <w:rFonts w:hint="eastAsia" w:cs="仿宋_GB2312" w:asciiTheme="minorEastAsia" w:hAnsiTheme="minorEastAsia" w:eastAsiaTheme="minorEastAsia"/>
          <w:color w:val="000000"/>
          <w:shd w:val="clear" w:color="auto" w:fill="FFFFFF"/>
        </w:rPr>
        <w:t>元/套，投标人在递交投标文件时向采购代理机构交纳采购文件费用，售后不退。</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000000"/>
        </w:rPr>
        <w:t>（一）</w:t>
      </w:r>
      <w:r>
        <w:rPr>
          <w:rFonts w:hint="eastAsia" w:cs="仿宋_GB2312" w:asciiTheme="minorEastAsia" w:hAnsiTheme="minorEastAsia" w:eastAsiaTheme="minorEastAsia"/>
        </w:rPr>
        <w:t>投标截止及开标时间：</w:t>
      </w:r>
      <w:r>
        <w:rPr>
          <w:rFonts w:hint="eastAsia" w:cs="仿宋_GB2312" w:asciiTheme="minorEastAsia" w:hAnsiTheme="minorEastAsia" w:eastAsiaTheme="minorEastAsia"/>
          <w:color w:val="auto"/>
          <w:lang w:eastAsia="zh-CN"/>
        </w:rPr>
        <w:t>2019年4月28日9时30分</w:t>
      </w:r>
      <w:r>
        <w:rPr>
          <w:rFonts w:hint="eastAsia" w:cs="仿宋_GB2312" w:asciiTheme="minorEastAsia" w:hAnsiTheme="minorEastAsia" w:eastAsiaTheme="minorEastAsia"/>
          <w:color w:val="auto"/>
        </w:rPr>
        <w:t>（北京时间），逾期提交或不符合规定的投标文件不予接受。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u w:val="single"/>
          <w:lang w:val="en-US" w:eastAsia="zh-CN"/>
        </w:rPr>
        <w:t>四</w:t>
      </w:r>
      <w:r>
        <w:rPr>
          <w:rFonts w:hint="eastAsia" w:cs="仿宋_GB2312" w:asciiTheme="minorEastAsia" w:hAnsiTheme="minorEastAsia" w:eastAsiaTheme="minorEastAsia"/>
          <w:color w:val="auto"/>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2、纸质投标文件（正本、副本各1份）和备份文件1份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lang w:eastAsia="zh-CN"/>
        </w:rPr>
      </w:pPr>
      <w:r>
        <w:rPr>
          <w:rFonts w:hint="eastAsia" w:cs="仿宋_GB2312" w:asciiTheme="minorEastAsia" w:hAnsiTheme="minorEastAsia" w:eastAsiaTheme="minorEastAsia"/>
          <w:color w:val="000000"/>
        </w:rPr>
        <w:t>采购人：</w:t>
      </w:r>
      <w:r>
        <w:rPr>
          <w:rFonts w:hint="eastAsia" w:cs="仿宋_GB2312" w:asciiTheme="minorEastAsia" w:hAnsiTheme="minorEastAsia" w:eastAsiaTheme="minorEastAsia"/>
          <w:color w:val="000000"/>
          <w:lang w:eastAsia="zh-CN"/>
        </w:rPr>
        <w:t>长葛市人民医院</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址：长葛市长社路52号</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lang w:eastAsia="zh-CN"/>
        </w:rPr>
      </w:pPr>
      <w:r>
        <w:rPr>
          <w:rFonts w:hint="eastAsia" w:cs="仿宋_GB2312" w:asciiTheme="minorEastAsia" w:hAnsiTheme="minorEastAsia" w:eastAsiaTheme="minorEastAsia"/>
          <w:color w:val="000000"/>
        </w:rPr>
        <w:t>联系人：赵永鑫             联系电话：</w:t>
      </w:r>
      <w:r>
        <w:rPr>
          <w:rFonts w:hint="eastAsia" w:cs="仿宋_GB2312" w:asciiTheme="minorEastAsia" w:hAnsiTheme="minorEastAsia" w:eastAsiaTheme="minorEastAsia"/>
          <w:color w:val="000000"/>
          <w:lang w:eastAsia="zh-CN"/>
        </w:rPr>
        <w:t>0374-6113090</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lang w:eastAsia="zh-CN"/>
        </w:rPr>
      </w:pPr>
      <w:r>
        <w:rPr>
          <w:rFonts w:hint="eastAsia" w:cs="仿宋_GB2312" w:asciiTheme="minorEastAsia" w:hAnsiTheme="minorEastAsia" w:eastAsiaTheme="minorEastAsia"/>
          <w:color w:val="000000"/>
        </w:rPr>
        <w:t>代理机构：</w:t>
      </w:r>
      <w:r>
        <w:rPr>
          <w:rFonts w:hint="eastAsia" w:cs="仿宋_GB2312" w:asciiTheme="minorEastAsia" w:hAnsiTheme="minorEastAsia" w:eastAsiaTheme="minorEastAsia"/>
          <w:color w:val="000000"/>
          <w:lang w:eastAsia="zh-CN"/>
        </w:rPr>
        <w:t>河南华采工程管理有限公司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w:t>
      </w:r>
      <w:r>
        <w:rPr>
          <w:rFonts w:hint="eastAsia" w:cs="仿宋_GB2312" w:asciiTheme="minorEastAsia" w:hAnsiTheme="minorEastAsia" w:eastAsiaTheme="minorEastAsia"/>
          <w:color w:val="000000"/>
          <w:lang w:eastAsia="zh-CN"/>
        </w:rPr>
        <w:t>许昌市新许路中段</w:t>
      </w:r>
      <w:r>
        <w:rPr>
          <w:rFonts w:hint="eastAsia" w:cs="仿宋_GB2312" w:asciiTheme="minorEastAsia" w:hAnsiTheme="minorEastAsia" w:eastAsiaTheme="minorEastAsia"/>
          <w:color w:val="000000"/>
        </w:rPr>
        <w:t xml:space="preserve">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lang w:eastAsia="zh-CN"/>
        </w:rPr>
      </w:pPr>
      <w:r>
        <w:rPr>
          <w:rFonts w:hint="eastAsia" w:cs="仿宋_GB2312" w:asciiTheme="minorEastAsia" w:hAnsiTheme="minorEastAsia" w:eastAsiaTheme="minorEastAsia"/>
          <w:color w:val="000000"/>
        </w:rPr>
        <w:t>联系人：</w:t>
      </w:r>
      <w:r>
        <w:rPr>
          <w:rFonts w:hint="eastAsia" w:cs="仿宋_GB2312" w:asciiTheme="minorEastAsia" w:hAnsiTheme="minorEastAsia" w:eastAsiaTheme="minorEastAsia"/>
          <w:color w:val="000000"/>
          <w:lang w:eastAsia="zh-CN"/>
        </w:rPr>
        <w:t>王老师</w:t>
      </w:r>
      <w:r>
        <w:rPr>
          <w:rFonts w:hint="eastAsia" w:cs="仿宋_GB2312" w:asciiTheme="minorEastAsia" w:hAnsiTheme="minorEastAsia" w:eastAsiaTheme="minorEastAsia"/>
          <w:color w:val="000000"/>
        </w:rPr>
        <w:t xml:space="preserve">               联系电话：</w:t>
      </w:r>
      <w:r>
        <w:rPr>
          <w:rFonts w:hint="eastAsia" w:cs="仿宋_GB2312" w:asciiTheme="minorEastAsia" w:hAnsiTheme="minorEastAsia" w:eastAsiaTheme="minorEastAsia"/>
          <w:color w:val="000000"/>
          <w:lang w:eastAsia="zh-CN"/>
        </w:rPr>
        <w:t>13703747866</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autoSpaceDE w:val="0"/>
        <w:autoSpaceDN w:val="0"/>
        <w:adjustRightInd w:val="0"/>
        <w:spacing w:line="700" w:lineRule="exact"/>
        <w:ind w:firstLine="560"/>
        <w:rPr>
          <w:rFonts w:cs="仿宋_GB2312" w:asciiTheme="minorEastAsia" w:hAnsiTheme="minorEastAsia"/>
          <w:color w:val="000000"/>
          <w:sz w:val="24"/>
          <w:szCs w:val="24"/>
        </w:rPr>
      </w:pP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rPr>
        <w:t xml:space="preserve">                </w:t>
      </w:r>
      <w:r>
        <w:rPr>
          <w:rFonts w:hint="eastAsia" w:asciiTheme="minorEastAsia" w:hAnsiTheme="minorEastAsia" w:cstheme="majorEastAsia"/>
          <w:sz w:val="24"/>
          <w:szCs w:val="24"/>
          <w:lang w:val="zh-CN"/>
        </w:rPr>
        <w:t xml:space="preserve">  长葛市人民医院</w:t>
      </w:r>
    </w:p>
    <w:p>
      <w:pPr>
        <w:autoSpaceDE w:val="0"/>
        <w:autoSpaceDN w:val="0"/>
        <w:adjustRightInd w:val="0"/>
        <w:spacing w:line="700" w:lineRule="exact"/>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                                               201</w:t>
      </w:r>
      <w:r>
        <w:rPr>
          <w:rFonts w:hint="eastAsia" w:cs="仿宋_GB2312" w:asciiTheme="minorEastAsia" w:hAnsiTheme="minorEastAsia"/>
          <w:color w:val="000000"/>
          <w:sz w:val="24"/>
          <w:szCs w:val="24"/>
          <w:lang w:val="en-US" w:eastAsia="zh-CN"/>
        </w:rPr>
        <w:t>9</w:t>
      </w:r>
      <w:r>
        <w:rPr>
          <w:rFonts w:hint="eastAsia" w:cs="仿宋_GB2312" w:asciiTheme="minorEastAsia" w:hAnsiTheme="minorEastAsia"/>
          <w:color w:val="000000"/>
          <w:sz w:val="24"/>
          <w:szCs w:val="24"/>
        </w:rPr>
        <w:t>年</w:t>
      </w:r>
      <w:r>
        <w:rPr>
          <w:rFonts w:hint="eastAsia" w:cs="仿宋_GB2312" w:asciiTheme="minorEastAsia" w:hAnsiTheme="minorEastAsia"/>
          <w:color w:val="000000"/>
          <w:sz w:val="24"/>
          <w:szCs w:val="24"/>
          <w:lang w:val="en-US" w:eastAsia="zh-CN"/>
        </w:rPr>
        <w:t>4</w:t>
      </w:r>
      <w:r>
        <w:rPr>
          <w:rFonts w:hint="eastAsia" w:cs="仿宋_GB2312" w:asciiTheme="minorEastAsia" w:hAnsiTheme="minorEastAsia"/>
          <w:color w:val="000000"/>
          <w:sz w:val="24"/>
          <w:szCs w:val="24"/>
        </w:rPr>
        <w:t>月</w:t>
      </w:r>
      <w:r>
        <w:rPr>
          <w:rFonts w:hint="eastAsia" w:cs="仿宋_GB2312" w:asciiTheme="minorEastAsia" w:hAnsiTheme="minorEastAsia"/>
          <w:color w:val="000000"/>
          <w:sz w:val="24"/>
          <w:szCs w:val="24"/>
          <w:lang w:val="en-US" w:eastAsia="zh-CN"/>
        </w:rPr>
        <w:t>2</w:t>
      </w:r>
      <w:r>
        <w:rPr>
          <w:rFonts w:hint="eastAsia" w:cs="仿宋_GB2312" w:asciiTheme="minorEastAsia" w:hAnsiTheme="minorEastAsia"/>
          <w:color w:val="000000"/>
          <w:sz w:val="24"/>
          <w:szCs w:val="24"/>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pP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widowControl/>
        <w:numPr>
          <w:ilvl w:val="0"/>
          <w:numId w:val="6"/>
        </w:numPr>
        <w:shd w:val="clear" w:color="auto" w:fill="FFFFFF"/>
        <w:spacing w:line="360" w:lineRule="auto"/>
        <w:ind w:firstLine="482" w:firstLineChars="200"/>
        <w:contextualSpacing/>
        <w:jc w:val="left"/>
        <w:rPr>
          <w:rFonts w:hint="eastAsia" w:cs="黑体" w:asciiTheme="minorEastAsia" w:hAnsiTheme="minorEastAsia"/>
          <w:b/>
          <w:bCs/>
          <w:color w:val="auto"/>
          <w:sz w:val="24"/>
          <w:szCs w:val="24"/>
          <w:shd w:val="clear" w:color="auto" w:fill="FFFFFF"/>
          <w:lang w:eastAsia="zh-CN"/>
        </w:rPr>
      </w:pPr>
      <w:r>
        <w:rPr>
          <w:rFonts w:hint="eastAsia" w:cs="黑体" w:asciiTheme="minorEastAsia" w:hAnsiTheme="minorEastAsia"/>
          <w:b/>
          <w:bCs/>
          <w:color w:val="auto"/>
          <w:sz w:val="24"/>
          <w:szCs w:val="24"/>
          <w:shd w:val="clear" w:color="auto" w:fill="FFFFFF"/>
        </w:rPr>
        <w:t>采购清单</w:t>
      </w:r>
      <w:r>
        <w:rPr>
          <w:rFonts w:hint="eastAsia" w:cs="黑体" w:asciiTheme="minorEastAsia" w:hAnsiTheme="minorEastAsia"/>
          <w:b/>
          <w:bCs/>
          <w:color w:val="auto"/>
          <w:sz w:val="24"/>
          <w:szCs w:val="24"/>
          <w:shd w:val="clear" w:color="auto" w:fill="FFFFFF"/>
          <w:lang w:eastAsia="zh-CN"/>
        </w:rPr>
        <w:t>：</w:t>
      </w:r>
      <w:r>
        <w:rPr>
          <w:rFonts w:hint="eastAsia" w:cs="黑体" w:asciiTheme="minorEastAsia" w:hAnsiTheme="minorEastAsia"/>
          <w:b/>
          <w:bCs/>
          <w:color w:val="auto"/>
          <w:sz w:val="24"/>
          <w:szCs w:val="24"/>
          <w:shd w:val="clear" w:color="auto" w:fill="FFFFFF"/>
          <w:lang w:val="zh-CN" w:eastAsia="zh-CN"/>
        </w:rPr>
        <w:t>生物刺激反馈仪（评估板）（进口）1台；生物刺激反馈仪（治疗版）（进口）2台；盆底磁刺激治疗仪（国产）1台；生物刺激反馈仪（高端产康）（国产）4台。</w:t>
      </w:r>
    </w:p>
    <w:p>
      <w:pPr>
        <w:widowControl/>
        <w:numPr>
          <w:ilvl w:val="0"/>
          <w:numId w:val="6"/>
        </w:numPr>
        <w:shd w:val="clear" w:color="auto" w:fill="FFFFFF"/>
        <w:spacing w:line="360" w:lineRule="auto"/>
        <w:ind w:firstLine="482" w:firstLineChars="200"/>
        <w:contextualSpacing/>
        <w:jc w:val="left"/>
        <w:rPr>
          <w:rFonts w:hint="eastAsia" w:eastAsia="宋体"/>
          <w:color w:val="auto"/>
          <w:lang w:val="en-US" w:eastAsia="zh-CN"/>
        </w:rPr>
      </w:pPr>
      <w:r>
        <w:rPr>
          <w:rFonts w:hint="eastAsia" w:cs="黑体" w:asciiTheme="minorEastAsia" w:hAnsiTheme="minorEastAsia"/>
          <w:b/>
          <w:bCs/>
          <w:color w:val="auto"/>
          <w:sz w:val="24"/>
          <w:szCs w:val="24"/>
          <w:shd w:val="clear" w:color="auto" w:fill="FFFFFF"/>
          <w:lang w:val="zh-CN" w:eastAsia="zh-CN"/>
        </w:rPr>
        <w:t>技术参数</w:t>
      </w:r>
    </w:p>
    <w:tbl>
      <w:tblPr>
        <w:tblStyle w:val="22"/>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7"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tabs>
                <w:tab w:val="left" w:pos="1714"/>
                <w:tab w:val="center" w:pos="3321"/>
              </w:tabs>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827"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生物刺激反馈仪（评估版）（进口）</w:t>
            </w:r>
          </w:p>
        </w:tc>
        <w:tc>
          <w:tcPr>
            <w:tcW w:w="6737" w:type="dxa"/>
            <w:vAlign w:val="center"/>
          </w:tcPr>
          <w:p>
            <w:pPr>
              <w:numPr>
                <w:ilvl w:val="0"/>
                <w:numId w:val="7"/>
              </w:numPr>
              <w:spacing w:line="360" w:lineRule="auto"/>
              <w:ind w:firstLine="6"/>
              <w:rPr>
                <w:szCs w:val="21"/>
              </w:rPr>
            </w:pPr>
            <w:r>
              <w:rPr>
                <w:rFonts w:hint="eastAsia" w:ascii="宋体" w:hAnsi="宋体" w:cs="宋体"/>
                <w:b/>
                <w:szCs w:val="21"/>
              </w:rPr>
              <w:t>主机：</w:t>
            </w:r>
            <w:r>
              <w:rPr>
                <w:rFonts w:hint="eastAsia" w:ascii="宋体" w:hAnsi="宋体" w:cs="宋体"/>
                <w:szCs w:val="21"/>
              </w:rPr>
              <w:t>包括主机（含嵌入式软件）、上位机软件、电源适配器、USB数据传输线、阴道电极、直肠电极、贴片电极等</w:t>
            </w:r>
            <w:r>
              <w:rPr>
                <w:rFonts w:hint="eastAsia"/>
                <w:szCs w:val="21"/>
              </w:rPr>
              <w:t>治疗软件全中文软件操作系统</w:t>
            </w:r>
          </w:p>
          <w:p>
            <w:pPr>
              <w:numPr>
                <w:ilvl w:val="0"/>
                <w:numId w:val="7"/>
              </w:numPr>
              <w:spacing w:line="360" w:lineRule="auto"/>
              <w:ind w:firstLine="6"/>
              <w:rPr>
                <w:szCs w:val="21"/>
              </w:rPr>
            </w:pPr>
            <w:r>
              <w:rPr>
                <w:rFonts w:hint="eastAsia"/>
                <w:b/>
                <w:szCs w:val="21"/>
              </w:rPr>
              <w:t>产品适用范围：</w:t>
            </w:r>
            <w:r>
              <w:rPr>
                <w:rFonts w:hint="eastAsia"/>
                <w:szCs w:val="21"/>
              </w:rPr>
              <w:t>对患者的体表肌电信号进行采集、分析和反馈训练，可对患者的肌肉施加电刺激来帮助恢复患者的肌肉功能障碍。同时必须有阴道电极的独立注册证，要求是生物反馈类仪器。</w:t>
            </w:r>
          </w:p>
          <w:p>
            <w:pPr>
              <w:numPr>
                <w:ilvl w:val="0"/>
                <w:numId w:val="7"/>
              </w:numPr>
              <w:spacing w:line="360" w:lineRule="auto"/>
              <w:ind w:firstLine="6"/>
              <w:rPr>
                <w:szCs w:val="21"/>
              </w:rPr>
            </w:pPr>
            <w:r>
              <w:rPr>
                <w:rFonts w:hint="eastAsia"/>
                <w:szCs w:val="21"/>
              </w:rPr>
              <w:t>既可采集两通道的盆底表面肌电（</w:t>
            </w:r>
            <w:r>
              <w:rPr>
                <w:szCs w:val="21"/>
              </w:rPr>
              <w:t>SEMG</w:t>
            </w:r>
            <w:r>
              <w:rPr>
                <w:rFonts w:hint="eastAsia"/>
                <w:szCs w:val="21"/>
              </w:rPr>
              <w:t>），也可同时两通道电刺激（</w:t>
            </w:r>
            <w:r>
              <w:rPr>
                <w:szCs w:val="21"/>
              </w:rPr>
              <w:t>Stim</w:t>
            </w:r>
            <w:r>
              <w:rPr>
                <w:rFonts w:hint="eastAsia"/>
                <w:szCs w:val="21"/>
              </w:rPr>
              <w:t>），还可进行两通道的肌电触发电刺激（</w:t>
            </w:r>
            <w:r>
              <w:rPr>
                <w:szCs w:val="21"/>
              </w:rPr>
              <w:t>EMG Trigger Stim</w:t>
            </w:r>
            <w:r>
              <w:rPr>
                <w:rFonts w:hint="eastAsia"/>
                <w:szCs w:val="21"/>
              </w:rPr>
              <w:t>）</w:t>
            </w:r>
          </w:p>
          <w:p>
            <w:pPr>
              <w:numPr>
                <w:ilvl w:val="0"/>
                <w:numId w:val="7"/>
              </w:numPr>
              <w:spacing w:line="360" w:lineRule="auto"/>
              <w:ind w:firstLine="6"/>
              <w:rPr>
                <w:szCs w:val="21"/>
              </w:rPr>
            </w:pPr>
            <w:r>
              <w:rPr>
                <w:rFonts w:hint="eastAsia"/>
                <w:szCs w:val="21"/>
              </w:rPr>
              <w:t>具有动态存储功能，内置</w:t>
            </w:r>
            <w:r>
              <w:rPr>
                <w:szCs w:val="21"/>
              </w:rPr>
              <w:t>CF</w:t>
            </w:r>
            <w:r>
              <w:rPr>
                <w:rFonts w:hint="eastAsia"/>
                <w:szCs w:val="21"/>
              </w:rPr>
              <w:t>卡，支持数据的动态存储</w:t>
            </w:r>
            <w:r>
              <w:rPr>
                <w:szCs w:val="21"/>
              </w:rPr>
              <w:t xml:space="preserve">, </w:t>
            </w:r>
            <w:r>
              <w:rPr>
                <w:rFonts w:hint="eastAsia"/>
                <w:szCs w:val="21"/>
              </w:rPr>
              <w:t>并能通过电脑软件进行数据分析</w:t>
            </w:r>
          </w:p>
          <w:p>
            <w:pPr>
              <w:numPr>
                <w:ilvl w:val="0"/>
                <w:numId w:val="7"/>
              </w:numPr>
              <w:spacing w:line="360" w:lineRule="auto"/>
              <w:ind w:firstLine="6"/>
              <w:rPr>
                <w:szCs w:val="21"/>
              </w:rPr>
            </w:pPr>
            <w:r>
              <w:rPr>
                <w:rFonts w:hint="eastAsia"/>
                <w:szCs w:val="21"/>
              </w:rPr>
              <w:t>主机内置嵌入式软件，采用触摸屏操作方便快捷，并可直接在刺激器中编辑治疗方案</w:t>
            </w:r>
          </w:p>
          <w:p>
            <w:pPr>
              <w:numPr>
                <w:ilvl w:val="0"/>
                <w:numId w:val="7"/>
              </w:numPr>
              <w:spacing w:line="360" w:lineRule="auto"/>
              <w:ind w:firstLine="6"/>
              <w:rPr>
                <w:szCs w:val="21"/>
              </w:rPr>
            </w:pPr>
            <w:r>
              <w:rPr>
                <w:rFonts w:hint="eastAsia"/>
                <w:szCs w:val="21"/>
              </w:rPr>
              <w:t>接触不良时有自动断电的保护功能。</w:t>
            </w:r>
          </w:p>
          <w:p>
            <w:pPr>
              <w:numPr>
                <w:ilvl w:val="0"/>
                <w:numId w:val="7"/>
              </w:numPr>
              <w:spacing w:line="360" w:lineRule="auto"/>
              <w:ind w:firstLine="6"/>
              <w:rPr>
                <w:szCs w:val="21"/>
              </w:rPr>
            </w:pPr>
            <w:r>
              <w:rPr>
                <w:rFonts w:hint="eastAsia" w:hAnsi="宋体"/>
                <w:szCs w:val="21"/>
              </w:rPr>
              <w:t>内置放大器带宽：</w:t>
            </w:r>
            <w:r>
              <w:rPr>
                <w:szCs w:val="21"/>
              </w:rPr>
              <w:t>30-450 Hz</w:t>
            </w:r>
          </w:p>
          <w:p>
            <w:pPr>
              <w:numPr>
                <w:ilvl w:val="0"/>
                <w:numId w:val="7"/>
              </w:numPr>
              <w:spacing w:line="360" w:lineRule="auto"/>
              <w:ind w:firstLine="6"/>
              <w:rPr>
                <w:szCs w:val="21"/>
              </w:rPr>
            </w:pPr>
            <w:r>
              <w:rPr>
                <w:rFonts w:hint="eastAsia"/>
                <w:szCs w:val="21"/>
              </w:rPr>
              <w:t>表面肌电灵敏度：</w:t>
            </w:r>
            <w:r>
              <w:rPr>
                <w:szCs w:val="21"/>
              </w:rPr>
              <w:t>0.2uV</w:t>
            </w:r>
          </w:p>
          <w:p>
            <w:pPr>
              <w:numPr>
                <w:ilvl w:val="0"/>
                <w:numId w:val="8"/>
              </w:numPr>
              <w:spacing w:line="360" w:lineRule="auto"/>
              <w:rPr>
                <w:szCs w:val="21"/>
              </w:rPr>
            </w:pPr>
            <w:r>
              <w:rPr>
                <w:rFonts w:hint="eastAsia"/>
                <w:szCs w:val="21"/>
              </w:rPr>
              <w:t>输出电流：</w:t>
            </w:r>
            <w:r>
              <w:rPr>
                <w:szCs w:val="21"/>
              </w:rPr>
              <w:t>0-100 mA</w:t>
            </w:r>
          </w:p>
          <w:p>
            <w:pPr>
              <w:numPr>
                <w:ilvl w:val="0"/>
                <w:numId w:val="8"/>
              </w:numPr>
              <w:spacing w:line="360" w:lineRule="auto"/>
              <w:rPr>
                <w:szCs w:val="21"/>
              </w:rPr>
            </w:pPr>
            <w:r>
              <w:rPr>
                <w:rFonts w:hint="eastAsia"/>
                <w:szCs w:val="21"/>
              </w:rPr>
              <w:t>刺激频率：≤</w:t>
            </w:r>
            <w:r>
              <w:rPr>
                <w:szCs w:val="21"/>
              </w:rPr>
              <w:t xml:space="preserve">100Hz  2-100Hz </w:t>
            </w:r>
            <w:r>
              <w:rPr>
                <w:rFonts w:hint="eastAsia"/>
                <w:szCs w:val="21"/>
              </w:rPr>
              <w:t>可调整</w:t>
            </w:r>
          </w:p>
          <w:p>
            <w:pPr>
              <w:numPr>
                <w:ilvl w:val="0"/>
                <w:numId w:val="8"/>
              </w:numPr>
              <w:spacing w:line="360" w:lineRule="auto"/>
              <w:rPr>
                <w:szCs w:val="21"/>
              </w:rPr>
            </w:pPr>
            <w:r>
              <w:rPr>
                <w:rFonts w:hint="eastAsia"/>
                <w:szCs w:val="21"/>
              </w:rPr>
              <w:t>刺激波宽：≤</w:t>
            </w:r>
            <w:r>
              <w:rPr>
                <w:szCs w:val="21"/>
              </w:rPr>
              <w:t>400</w:t>
            </w:r>
            <w:r>
              <w:rPr>
                <w:rFonts w:hint="eastAsia"/>
                <w:szCs w:val="21"/>
              </w:rPr>
              <w:t>μ</w:t>
            </w:r>
            <w:r>
              <w:rPr>
                <w:szCs w:val="21"/>
              </w:rPr>
              <w:t>s  50-400</w:t>
            </w:r>
            <w:r>
              <w:rPr>
                <w:rFonts w:hint="eastAsia"/>
                <w:szCs w:val="21"/>
              </w:rPr>
              <w:t>μ</w:t>
            </w:r>
            <w:r>
              <w:rPr>
                <w:szCs w:val="21"/>
              </w:rPr>
              <w:t xml:space="preserve">s  </w:t>
            </w:r>
            <w:r>
              <w:rPr>
                <w:rFonts w:hint="eastAsia"/>
                <w:szCs w:val="21"/>
              </w:rPr>
              <w:t>可调整</w:t>
            </w:r>
          </w:p>
          <w:p>
            <w:pPr>
              <w:numPr>
                <w:ilvl w:val="0"/>
                <w:numId w:val="8"/>
              </w:numPr>
              <w:spacing w:line="360" w:lineRule="auto"/>
              <w:rPr>
                <w:szCs w:val="21"/>
              </w:rPr>
            </w:pPr>
            <w:r>
              <w:rPr>
                <w:rFonts w:hint="eastAsia"/>
                <w:szCs w:val="21"/>
              </w:rPr>
              <w:t>刺激波形：平衡生理波，相同的刺激电流强度疼痛感更小</w:t>
            </w:r>
          </w:p>
          <w:p>
            <w:pPr>
              <w:tabs>
                <w:tab w:val="left" w:pos="540"/>
              </w:tabs>
              <w:autoSpaceDE w:val="0"/>
              <w:autoSpaceDN w:val="0"/>
              <w:adjustRightInd w:val="0"/>
              <w:spacing w:line="400" w:lineRule="exact"/>
              <w:rPr>
                <w:rFonts w:hint="eastAsia" w:eastAsiaTheme="minorEastAsia"/>
                <w:color w:val="0000FF"/>
                <w:szCs w:val="21"/>
                <w:lang w:eastAsia="zh-CN"/>
              </w:rPr>
            </w:pPr>
            <w:r>
              <w:rPr>
                <w:sz w:val="24"/>
              </w:rPr>
              <w:t xml:space="preserve">   14.</w:t>
            </w:r>
            <w:r>
              <w:rPr>
                <w:rFonts w:hint="eastAsia"/>
                <w:szCs w:val="21"/>
              </w:rPr>
              <w:t>具有专用的盆底表面肌电采集、分析、评估功能</w:t>
            </w:r>
            <w:r>
              <w:rPr>
                <w:rFonts w:hint="eastAsia"/>
                <w:szCs w:val="21"/>
                <w:lang w:eastAsia="zh-CN"/>
              </w:rPr>
              <w:t>。</w:t>
            </w:r>
          </w:p>
          <w:p>
            <w:pPr>
              <w:numPr>
                <w:ilvl w:val="0"/>
                <w:numId w:val="9"/>
              </w:numPr>
              <w:tabs>
                <w:tab w:val="left" w:pos="540"/>
              </w:tabs>
              <w:autoSpaceDE w:val="0"/>
              <w:autoSpaceDN w:val="0"/>
              <w:adjustRightInd w:val="0"/>
              <w:spacing w:line="400" w:lineRule="exact"/>
              <w:rPr>
                <w:szCs w:val="21"/>
              </w:rPr>
            </w:pPr>
            <w:r>
              <w:rPr>
                <w:rFonts w:hint="eastAsia"/>
                <w:szCs w:val="21"/>
              </w:rPr>
              <w:t>具有标准的盆底表面肌电评估软件功能，表面肌电图的分析应包括原始表面肌电墨迹图（</w:t>
            </w:r>
            <w:r>
              <w:rPr>
                <w:szCs w:val="21"/>
              </w:rPr>
              <w:t>Raw EMG</w:t>
            </w:r>
            <w:r>
              <w:rPr>
                <w:rFonts w:hint="eastAsia"/>
                <w:szCs w:val="21"/>
              </w:rPr>
              <w:t>）、平均曲线图分析、</w:t>
            </w:r>
            <w:r>
              <w:rPr>
                <w:szCs w:val="21"/>
              </w:rPr>
              <w:t>RMS</w:t>
            </w:r>
            <w:r>
              <w:rPr>
                <w:rFonts w:hint="eastAsia"/>
                <w:szCs w:val="21"/>
              </w:rPr>
              <w:t>分析、统计学分析（最大值、最小值、平均值、标准差、变异性等分析）等多种分析模式</w:t>
            </w:r>
          </w:p>
          <w:p>
            <w:pPr>
              <w:numPr>
                <w:ilvl w:val="0"/>
                <w:numId w:val="9"/>
              </w:numPr>
              <w:tabs>
                <w:tab w:val="left" w:pos="540"/>
              </w:tabs>
              <w:autoSpaceDE w:val="0"/>
              <w:autoSpaceDN w:val="0"/>
              <w:adjustRightInd w:val="0"/>
              <w:spacing w:line="400" w:lineRule="exact"/>
              <w:rPr>
                <w:szCs w:val="21"/>
              </w:rPr>
            </w:pPr>
            <w:r>
              <w:rPr>
                <w:rFonts w:hint="eastAsia"/>
                <w:szCs w:val="21"/>
              </w:rPr>
              <w:t>具有肌电触发—神经肌肉刺激模式（</w:t>
            </w:r>
            <w:r>
              <w:rPr>
                <w:szCs w:val="21"/>
              </w:rPr>
              <w:t>EMG Trigger Stim</w:t>
            </w:r>
            <w:r>
              <w:rPr>
                <w:rFonts w:hint="eastAsia"/>
                <w:szCs w:val="21"/>
              </w:rPr>
              <w:t>），来帮助患者提高主动运动的表现，在盆底肌肉障碍中帮助患者进行主动和被动相结合的治疗，重建中枢对盆底肌肉的控制。</w:t>
            </w:r>
          </w:p>
          <w:p>
            <w:pPr>
              <w:numPr>
                <w:ilvl w:val="0"/>
                <w:numId w:val="9"/>
              </w:numPr>
              <w:tabs>
                <w:tab w:val="left" w:pos="540"/>
              </w:tabs>
              <w:autoSpaceDE w:val="0"/>
              <w:autoSpaceDN w:val="0"/>
              <w:adjustRightInd w:val="0"/>
              <w:spacing w:line="400" w:lineRule="exact"/>
              <w:rPr>
                <w:szCs w:val="21"/>
              </w:rPr>
            </w:pPr>
            <w:r>
              <w:rPr>
                <w:rFonts w:hint="eastAsia"/>
                <w:szCs w:val="21"/>
              </w:rPr>
              <w:t>至少具有针对盆底肌肉功能的</w:t>
            </w:r>
            <w:r>
              <w:rPr>
                <w:szCs w:val="21"/>
              </w:rPr>
              <w:t>KEGEL</w:t>
            </w:r>
            <w:r>
              <w:rPr>
                <w:rFonts w:hint="eastAsia"/>
                <w:szCs w:val="21"/>
              </w:rPr>
              <w:t>训练模板</w:t>
            </w:r>
            <w:r>
              <w:rPr>
                <w:szCs w:val="21"/>
              </w:rPr>
              <w:t>36</w:t>
            </w:r>
            <w:r>
              <w:rPr>
                <w:rFonts w:hint="eastAsia"/>
                <w:szCs w:val="21"/>
              </w:rPr>
              <w:t>个，包括一般模板</w:t>
            </w:r>
            <w:r>
              <w:rPr>
                <w:szCs w:val="21"/>
              </w:rPr>
              <w:t>15</w:t>
            </w:r>
            <w:r>
              <w:rPr>
                <w:rFonts w:hint="eastAsia"/>
                <w:szCs w:val="21"/>
              </w:rPr>
              <w:t>个和高阶模板</w:t>
            </w:r>
            <w:r>
              <w:rPr>
                <w:szCs w:val="21"/>
              </w:rPr>
              <w:t>5</w:t>
            </w:r>
            <w:r>
              <w:rPr>
                <w:rFonts w:hint="eastAsia"/>
                <w:szCs w:val="21"/>
              </w:rPr>
              <w:t>个，控尿反射模板</w:t>
            </w:r>
            <w:r>
              <w:rPr>
                <w:szCs w:val="21"/>
              </w:rPr>
              <w:t>16</w:t>
            </w:r>
            <w:r>
              <w:rPr>
                <w:rFonts w:hint="eastAsia"/>
                <w:szCs w:val="21"/>
              </w:rPr>
              <w:t>个。</w:t>
            </w:r>
            <w:r>
              <w:rPr>
                <w:szCs w:val="21"/>
              </w:rPr>
              <w:t xml:space="preserve"> </w:t>
            </w:r>
          </w:p>
          <w:p>
            <w:pPr>
              <w:numPr>
                <w:ilvl w:val="0"/>
                <w:numId w:val="10"/>
              </w:numPr>
              <w:spacing w:line="360" w:lineRule="auto"/>
              <w:rPr>
                <w:szCs w:val="21"/>
              </w:rPr>
            </w:pPr>
            <w:r>
              <w:rPr>
                <w:rFonts w:hint="eastAsia"/>
                <w:szCs w:val="21"/>
              </w:rPr>
              <w:t>生物反馈训练分为固定刻度和灵活刻度两类。具有信号自动校准功能，防止基线过高影响正常训练。</w:t>
            </w:r>
          </w:p>
          <w:p>
            <w:pPr>
              <w:numPr>
                <w:ilvl w:val="0"/>
                <w:numId w:val="10"/>
              </w:numPr>
              <w:spacing w:line="360" w:lineRule="auto"/>
              <w:rPr>
                <w:szCs w:val="21"/>
              </w:rPr>
            </w:pPr>
            <w:r>
              <w:rPr>
                <w:rFonts w:hint="eastAsia"/>
                <w:szCs w:val="21"/>
              </w:rPr>
              <w:t>具备多媒体肌电生物反馈训练，至少有治疗动画</w:t>
            </w:r>
            <w:r>
              <w:rPr>
                <w:szCs w:val="21"/>
              </w:rPr>
              <w:t>15</w:t>
            </w:r>
            <w:r>
              <w:rPr>
                <w:rFonts w:hint="eastAsia"/>
                <w:szCs w:val="21"/>
              </w:rPr>
              <w:t>个以上：可进行音乐反馈和动画反馈，支持</w:t>
            </w:r>
            <w:r>
              <w:rPr>
                <w:szCs w:val="21"/>
              </w:rPr>
              <w:t>AVI</w:t>
            </w:r>
            <w:r>
              <w:rPr>
                <w:rFonts w:hint="eastAsia"/>
                <w:szCs w:val="21"/>
              </w:rPr>
              <w:t>、</w:t>
            </w:r>
            <w:r>
              <w:rPr>
                <w:szCs w:val="21"/>
              </w:rPr>
              <w:t>FLASH</w:t>
            </w:r>
            <w:r>
              <w:rPr>
                <w:rFonts w:hint="eastAsia"/>
                <w:szCs w:val="21"/>
              </w:rPr>
              <w:t>、</w:t>
            </w:r>
            <w:r>
              <w:rPr>
                <w:szCs w:val="21"/>
              </w:rPr>
              <w:t>MP3</w:t>
            </w:r>
            <w:r>
              <w:rPr>
                <w:rFonts w:hint="eastAsia"/>
                <w:szCs w:val="21"/>
              </w:rPr>
              <w:t>、</w:t>
            </w:r>
            <w:r>
              <w:rPr>
                <w:szCs w:val="21"/>
              </w:rPr>
              <w:t>WAV</w:t>
            </w:r>
            <w:r>
              <w:rPr>
                <w:rFonts w:hint="eastAsia"/>
                <w:szCs w:val="21"/>
              </w:rPr>
              <w:t>、</w:t>
            </w:r>
            <w:r>
              <w:rPr>
                <w:szCs w:val="21"/>
              </w:rPr>
              <w:t>WMA</w:t>
            </w:r>
            <w:r>
              <w:rPr>
                <w:rFonts w:hint="eastAsia"/>
                <w:szCs w:val="21"/>
              </w:rPr>
              <w:t>、</w:t>
            </w:r>
            <w:r>
              <w:rPr>
                <w:szCs w:val="21"/>
              </w:rPr>
              <w:t>MID</w:t>
            </w:r>
            <w:r>
              <w:rPr>
                <w:rFonts w:hint="eastAsia"/>
                <w:szCs w:val="21"/>
              </w:rPr>
              <w:t>反馈等格式。</w:t>
            </w:r>
          </w:p>
          <w:p>
            <w:pPr>
              <w:numPr>
                <w:ilvl w:val="0"/>
                <w:numId w:val="11"/>
              </w:numPr>
              <w:spacing w:line="360" w:lineRule="auto"/>
              <w:rPr>
                <w:szCs w:val="21"/>
              </w:rPr>
            </w:pPr>
            <w:r>
              <w:rPr>
                <w:rFonts w:hint="eastAsia"/>
                <w:szCs w:val="21"/>
              </w:rPr>
              <w:t>具有患者和产妇专用焦虑抑郁心里治疗</w:t>
            </w:r>
            <w:r>
              <w:rPr>
                <w:szCs w:val="21"/>
              </w:rPr>
              <w:t>EMG</w:t>
            </w:r>
            <w:r>
              <w:rPr>
                <w:rFonts w:hint="eastAsia"/>
                <w:szCs w:val="21"/>
              </w:rPr>
              <w:t>头带，</w:t>
            </w:r>
            <w:r>
              <w:rPr>
                <w:szCs w:val="21"/>
              </w:rPr>
              <w:t>EMG</w:t>
            </w:r>
            <w:r>
              <w:rPr>
                <w:rFonts w:hint="eastAsia"/>
                <w:szCs w:val="21"/>
              </w:rPr>
              <w:t>头带实时采集额前肌电信号，反映患者及产妇精神心理紧张及放松程度，采集灵敏度小于</w:t>
            </w:r>
            <w:r>
              <w:rPr>
                <w:szCs w:val="21"/>
              </w:rPr>
              <w:t>0.2uV</w:t>
            </w:r>
          </w:p>
          <w:p>
            <w:pPr>
              <w:numPr>
                <w:ilvl w:val="0"/>
                <w:numId w:val="11"/>
              </w:numPr>
              <w:spacing w:line="360" w:lineRule="auto"/>
              <w:rPr>
                <w:szCs w:val="21"/>
              </w:rPr>
            </w:pPr>
            <w:r>
              <w:rPr>
                <w:rFonts w:hint="eastAsia"/>
                <w:szCs w:val="21"/>
              </w:rPr>
              <w:t>具有产后便秘、产后子宫复旧、产后尿潴留、产后肌肉酸痛治疗专用治疗电极和专业治疗方案，且治疗方案可以在主机上直接编辑</w:t>
            </w:r>
          </w:p>
          <w:p>
            <w:pPr>
              <w:numPr>
                <w:ilvl w:val="0"/>
                <w:numId w:val="11"/>
              </w:numPr>
              <w:spacing w:line="360" w:lineRule="auto"/>
              <w:rPr>
                <w:szCs w:val="21"/>
              </w:rPr>
            </w:pPr>
            <w:r>
              <w:rPr>
                <w:rFonts w:hint="eastAsia"/>
                <w:szCs w:val="21"/>
              </w:rPr>
              <w:t>电刺激时可以不贴腹肌电极，治疗更方便</w:t>
            </w:r>
          </w:p>
          <w:p>
            <w:pPr>
              <w:numPr>
                <w:ilvl w:val="0"/>
                <w:numId w:val="11"/>
              </w:numPr>
              <w:spacing w:line="360" w:lineRule="auto"/>
              <w:rPr>
                <w:szCs w:val="21"/>
              </w:rPr>
            </w:pPr>
            <w:r>
              <w:rPr>
                <w:rFonts w:hint="eastAsia"/>
                <w:szCs w:val="21"/>
              </w:rPr>
              <w:t>单机也可进行生物反馈训练，以声音提示反馈给患者直观的训练信息</w:t>
            </w:r>
          </w:p>
          <w:p>
            <w:pPr>
              <w:numPr>
                <w:ilvl w:val="0"/>
                <w:numId w:val="11"/>
              </w:numPr>
              <w:spacing w:line="360" w:lineRule="auto"/>
              <w:rPr>
                <w:szCs w:val="21"/>
              </w:rPr>
            </w:pPr>
            <w:r>
              <w:rPr>
                <w:rFonts w:hint="eastAsia"/>
                <w:szCs w:val="21"/>
              </w:rPr>
              <w:t>强大的数据统计功能，包括医生工作量统计和患者治疗数据统计。</w:t>
            </w:r>
          </w:p>
          <w:p>
            <w:pPr>
              <w:numPr>
                <w:ilvl w:val="0"/>
                <w:numId w:val="11"/>
              </w:numPr>
              <w:spacing w:line="360" w:lineRule="auto"/>
              <w:rPr>
                <w:szCs w:val="21"/>
              </w:rPr>
            </w:pPr>
            <w:r>
              <w:rPr>
                <w:rFonts w:hint="eastAsia"/>
                <w:szCs w:val="21"/>
              </w:rPr>
              <w:t>盆底教育和盆底肌学习模块，帮助患者正确认识盆底疾病，掌握正确的盆底肌训练方法。</w:t>
            </w:r>
          </w:p>
          <w:p>
            <w:pPr>
              <w:numPr>
                <w:ilvl w:val="0"/>
                <w:numId w:val="11"/>
              </w:numPr>
              <w:spacing w:line="360" w:lineRule="auto"/>
              <w:rPr>
                <w:rFonts w:hint="eastAsia" w:ascii="宋体" w:hAnsi="宋体" w:eastAsia="宋体" w:cs="宋体"/>
                <w:color w:val="auto"/>
                <w:sz w:val="21"/>
                <w:szCs w:val="21"/>
              </w:rPr>
            </w:pPr>
            <w:r>
              <w:rPr>
                <w:rFonts w:hint="eastAsia"/>
                <w:szCs w:val="21"/>
              </w:rPr>
              <w:t>具有编辑软件功能：可自定义动画、可自行更换音乐、可自行设计治疗模板</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2</w:t>
            </w:r>
          </w:p>
        </w:tc>
        <w:tc>
          <w:tcPr>
            <w:tcW w:w="827"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b w:val="0"/>
                <w:bCs w:val="0"/>
                <w:color w:val="auto"/>
                <w:sz w:val="21"/>
                <w:szCs w:val="21"/>
              </w:rPr>
              <w:t>生物刺激反馈仪（治疗版）</w:t>
            </w:r>
            <w:r>
              <w:rPr>
                <w:rFonts w:hint="eastAsia" w:ascii="宋体" w:hAnsi="宋体" w:eastAsia="宋体" w:cs="宋体"/>
                <w:b w:val="0"/>
                <w:bCs w:val="0"/>
                <w:color w:val="auto"/>
                <w:sz w:val="21"/>
                <w:szCs w:val="21"/>
                <w:lang w:eastAsia="zh-CN"/>
              </w:rPr>
              <w:t>（进口）</w:t>
            </w:r>
          </w:p>
        </w:tc>
        <w:tc>
          <w:tcPr>
            <w:tcW w:w="6737" w:type="dxa"/>
            <w:vAlign w:val="center"/>
          </w:tcPr>
          <w:p>
            <w:pPr>
              <w:numPr>
                <w:ilvl w:val="0"/>
                <w:numId w:val="12"/>
              </w:numPr>
              <w:spacing w:line="360" w:lineRule="auto"/>
              <w:ind w:firstLine="6"/>
              <w:rPr>
                <w:rFonts w:ascii="Times New Roman" w:hAnsi="Times New Roman"/>
                <w:szCs w:val="21"/>
              </w:rPr>
            </w:pPr>
            <w:r>
              <w:rPr>
                <w:rFonts w:hint="eastAsia" w:ascii="Times New Roman" w:hAnsi="Times New Roman"/>
                <w:szCs w:val="21"/>
              </w:rPr>
              <w:t>治疗软件全中文软件操作系统</w:t>
            </w:r>
            <w:r>
              <w:rPr>
                <w:rFonts w:hint="eastAsia" w:ascii="Times New Roman" w:hAnsi="Times New Roman"/>
                <w:szCs w:val="21"/>
                <w:lang w:val="en-US" w:eastAsia="zh-CN"/>
              </w:rPr>
              <w:t xml:space="preserve"> </w:t>
            </w:r>
          </w:p>
          <w:p>
            <w:pPr>
              <w:numPr>
                <w:ilvl w:val="0"/>
                <w:numId w:val="12"/>
              </w:numPr>
              <w:spacing w:line="360" w:lineRule="auto"/>
              <w:ind w:firstLine="6"/>
              <w:rPr>
                <w:rFonts w:ascii="Times New Roman" w:hAnsi="Times New Roman"/>
                <w:szCs w:val="21"/>
              </w:rPr>
            </w:pPr>
            <w:r>
              <w:rPr>
                <w:rFonts w:hint="eastAsia" w:ascii="Times New Roman" w:hAnsi="Times New Roman"/>
                <w:szCs w:val="21"/>
              </w:rPr>
              <w:t>双通道信号采集及刺激器，既可采集两通道的盆底表面肌电（</w:t>
            </w:r>
            <w:r>
              <w:rPr>
                <w:rFonts w:ascii="Times New Roman" w:hAnsi="Times New Roman"/>
                <w:szCs w:val="21"/>
              </w:rPr>
              <w:t>SEMG</w:t>
            </w:r>
            <w:r>
              <w:rPr>
                <w:rFonts w:hint="eastAsia" w:ascii="Times New Roman" w:hAnsi="Times New Roman"/>
                <w:szCs w:val="21"/>
              </w:rPr>
              <w:t>），也可同时两通道电刺激（</w:t>
            </w:r>
            <w:r>
              <w:rPr>
                <w:rFonts w:ascii="Times New Roman" w:hAnsi="Times New Roman"/>
                <w:szCs w:val="21"/>
              </w:rPr>
              <w:t>Stim</w:t>
            </w:r>
            <w:r>
              <w:rPr>
                <w:rFonts w:hint="eastAsia" w:ascii="Times New Roman" w:hAnsi="Times New Roman"/>
                <w:szCs w:val="21"/>
              </w:rPr>
              <w:t>），还可进行两通道的肌电触发电刺激（</w:t>
            </w:r>
            <w:r>
              <w:rPr>
                <w:rFonts w:ascii="Times New Roman" w:hAnsi="Times New Roman"/>
                <w:szCs w:val="21"/>
              </w:rPr>
              <w:t>EMG Trigger Stim</w:t>
            </w:r>
            <w:r>
              <w:rPr>
                <w:rFonts w:hint="eastAsia" w:ascii="Times New Roman" w:hAnsi="Times New Roman"/>
                <w:szCs w:val="21"/>
              </w:rPr>
              <w:t>）</w:t>
            </w:r>
          </w:p>
          <w:p>
            <w:pPr>
              <w:numPr>
                <w:ilvl w:val="0"/>
                <w:numId w:val="12"/>
              </w:numPr>
              <w:spacing w:line="360" w:lineRule="auto"/>
              <w:ind w:firstLine="6"/>
              <w:rPr>
                <w:rFonts w:ascii="Times New Roman" w:hAnsi="Times New Roman"/>
                <w:szCs w:val="21"/>
              </w:rPr>
            </w:pPr>
            <w:r>
              <w:rPr>
                <w:rFonts w:hint="eastAsia" w:ascii="Times New Roman" w:hAnsi="Times New Roman"/>
                <w:szCs w:val="21"/>
              </w:rPr>
              <w:t>具有动态存储功能，内置</w:t>
            </w:r>
            <w:r>
              <w:rPr>
                <w:rFonts w:ascii="Times New Roman" w:hAnsi="Times New Roman"/>
                <w:szCs w:val="21"/>
              </w:rPr>
              <w:t>CF</w:t>
            </w:r>
            <w:r>
              <w:rPr>
                <w:rFonts w:hint="eastAsia" w:ascii="Times New Roman" w:hAnsi="Times New Roman"/>
                <w:szCs w:val="21"/>
              </w:rPr>
              <w:t>卡，支持数据的动态存储</w:t>
            </w:r>
            <w:r>
              <w:rPr>
                <w:rFonts w:ascii="Times New Roman" w:hAnsi="Times New Roman"/>
                <w:szCs w:val="21"/>
              </w:rPr>
              <w:t xml:space="preserve">, </w:t>
            </w:r>
            <w:r>
              <w:rPr>
                <w:rFonts w:hint="eastAsia" w:ascii="Times New Roman" w:hAnsi="Times New Roman"/>
                <w:szCs w:val="21"/>
              </w:rPr>
              <w:t>并能通过电脑软件进行数据分析</w:t>
            </w:r>
          </w:p>
          <w:p>
            <w:pPr>
              <w:numPr>
                <w:ilvl w:val="0"/>
                <w:numId w:val="12"/>
              </w:numPr>
              <w:spacing w:line="360" w:lineRule="auto"/>
              <w:ind w:firstLine="6"/>
              <w:rPr>
                <w:rFonts w:ascii="Times New Roman" w:hAnsi="Times New Roman"/>
                <w:szCs w:val="21"/>
              </w:rPr>
            </w:pPr>
            <w:r>
              <w:rPr>
                <w:rFonts w:hint="eastAsia" w:ascii="Times New Roman" w:hAnsi="Times New Roman"/>
                <w:szCs w:val="21"/>
              </w:rPr>
              <w:t>主机内置嵌入式软件，采用触摸屏操作方便快捷，并可直接在刺激器中编辑治疗方案</w:t>
            </w:r>
          </w:p>
          <w:p>
            <w:pPr>
              <w:numPr>
                <w:ilvl w:val="0"/>
                <w:numId w:val="12"/>
              </w:numPr>
              <w:spacing w:line="360" w:lineRule="auto"/>
              <w:ind w:firstLine="6"/>
              <w:rPr>
                <w:rFonts w:ascii="Times New Roman" w:hAnsi="Times New Roman"/>
                <w:szCs w:val="21"/>
              </w:rPr>
            </w:pPr>
            <w:r>
              <w:rPr>
                <w:rFonts w:hint="eastAsia" w:ascii="Times New Roman" w:hAnsi="Times New Roman"/>
                <w:szCs w:val="21"/>
              </w:rPr>
              <w:t>接触不良时有自动断电的保护功能。</w:t>
            </w:r>
          </w:p>
          <w:p>
            <w:pPr>
              <w:numPr>
                <w:ilvl w:val="0"/>
                <w:numId w:val="12"/>
              </w:numPr>
              <w:spacing w:line="360" w:lineRule="auto"/>
              <w:ind w:firstLine="6"/>
              <w:rPr>
                <w:rFonts w:ascii="Times New Roman" w:hAnsi="Times New Roman"/>
                <w:szCs w:val="21"/>
              </w:rPr>
            </w:pPr>
            <w:r>
              <w:rPr>
                <w:rFonts w:hint="eastAsia" w:ascii="Times New Roman" w:hAnsi="宋体"/>
                <w:szCs w:val="21"/>
              </w:rPr>
              <w:t>采样率：</w:t>
            </w:r>
            <w:r>
              <w:rPr>
                <w:rFonts w:ascii="Times New Roman" w:hAnsi="Times New Roman"/>
                <w:szCs w:val="21"/>
              </w:rPr>
              <w:t>2048 Hz</w:t>
            </w:r>
          </w:p>
          <w:p>
            <w:pPr>
              <w:numPr>
                <w:ilvl w:val="0"/>
                <w:numId w:val="12"/>
              </w:numPr>
              <w:spacing w:line="360" w:lineRule="auto"/>
              <w:ind w:firstLine="6"/>
              <w:rPr>
                <w:rFonts w:ascii="Times New Roman" w:hAnsi="Times New Roman"/>
                <w:szCs w:val="21"/>
              </w:rPr>
            </w:pPr>
            <w:r>
              <w:rPr>
                <w:rFonts w:hint="eastAsia" w:ascii="Times New Roman" w:hAnsi="宋体"/>
                <w:szCs w:val="21"/>
              </w:rPr>
              <w:t>内置放大器带宽：</w:t>
            </w:r>
            <w:r>
              <w:rPr>
                <w:rFonts w:ascii="Times New Roman" w:hAnsi="Times New Roman"/>
                <w:szCs w:val="21"/>
              </w:rPr>
              <w:t xml:space="preserve">30-450 Hz </w:t>
            </w:r>
            <w:r>
              <w:rPr>
                <w:rFonts w:hint="eastAsia" w:ascii="宋体" w:hAnsi="Times New Roman"/>
                <w:sz w:val="24"/>
                <w:szCs w:val="24"/>
              </w:rPr>
              <w:t>≤450Hz</w:t>
            </w:r>
          </w:p>
          <w:p>
            <w:pPr>
              <w:numPr>
                <w:ilvl w:val="0"/>
                <w:numId w:val="12"/>
              </w:numPr>
              <w:spacing w:line="360" w:lineRule="auto"/>
              <w:ind w:firstLine="6"/>
              <w:rPr>
                <w:rFonts w:ascii="Times New Roman" w:hAnsi="Times New Roman"/>
                <w:szCs w:val="21"/>
              </w:rPr>
            </w:pPr>
            <w:r>
              <w:rPr>
                <w:rFonts w:hint="eastAsia" w:ascii="Times New Roman" w:hAnsi="Times New Roman"/>
                <w:szCs w:val="21"/>
              </w:rPr>
              <w:t>表面肌电灵敏度：</w:t>
            </w:r>
            <w:r>
              <w:rPr>
                <w:rFonts w:ascii="Times New Roman" w:hAnsi="Times New Roman"/>
                <w:szCs w:val="21"/>
              </w:rPr>
              <w:t>0.2uV</w:t>
            </w:r>
          </w:p>
          <w:p>
            <w:pPr>
              <w:numPr>
                <w:ilvl w:val="0"/>
                <w:numId w:val="13"/>
              </w:numPr>
              <w:spacing w:line="360" w:lineRule="auto"/>
              <w:rPr>
                <w:rFonts w:ascii="Times New Roman" w:hAnsi="Times New Roman"/>
                <w:szCs w:val="21"/>
              </w:rPr>
            </w:pPr>
            <w:r>
              <w:rPr>
                <w:rFonts w:hint="eastAsia" w:ascii="Times New Roman" w:hAnsi="Times New Roman"/>
                <w:szCs w:val="21"/>
              </w:rPr>
              <w:t>输出电流：≤</w:t>
            </w:r>
            <w:r>
              <w:rPr>
                <w:rFonts w:hint="eastAsia" w:ascii="宋体" w:hAnsi="宋体"/>
                <w:sz w:val="24"/>
                <w:szCs w:val="24"/>
              </w:rPr>
              <w:t>100 mA</w:t>
            </w:r>
          </w:p>
          <w:p>
            <w:pPr>
              <w:numPr>
                <w:ilvl w:val="0"/>
                <w:numId w:val="13"/>
              </w:numPr>
              <w:spacing w:line="360" w:lineRule="auto"/>
              <w:rPr>
                <w:rFonts w:ascii="Times New Roman" w:hAnsi="Times New Roman"/>
                <w:szCs w:val="21"/>
              </w:rPr>
            </w:pPr>
            <w:r>
              <w:rPr>
                <w:rFonts w:hint="eastAsia" w:ascii="Times New Roman" w:hAnsi="Times New Roman"/>
                <w:szCs w:val="21"/>
              </w:rPr>
              <w:t>刺激频率：</w:t>
            </w:r>
            <w:r>
              <w:rPr>
                <w:rFonts w:ascii="Times New Roman" w:hAnsi="Times New Roman"/>
                <w:szCs w:val="21"/>
              </w:rPr>
              <w:t>2-100Hz</w:t>
            </w:r>
          </w:p>
          <w:p>
            <w:pPr>
              <w:numPr>
                <w:ilvl w:val="0"/>
                <w:numId w:val="13"/>
              </w:numPr>
              <w:spacing w:line="360" w:lineRule="auto"/>
              <w:rPr>
                <w:rFonts w:ascii="Times New Roman" w:hAnsi="Times New Roman"/>
                <w:szCs w:val="21"/>
              </w:rPr>
            </w:pPr>
            <w:r>
              <w:rPr>
                <w:rFonts w:hint="eastAsia" w:ascii="Times New Roman" w:hAnsi="Times New Roman"/>
                <w:szCs w:val="21"/>
              </w:rPr>
              <w:t>刺激波宽：</w:t>
            </w:r>
            <w:r>
              <w:rPr>
                <w:rFonts w:ascii="Times New Roman" w:hAnsi="Times New Roman"/>
                <w:szCs w:val="21"/>
              </w:rPr>
              <w:t xml:space="preserve">50-400μs </w:t>
            </w:r>
          </w:p>
          <w:p>
            <w:pPr>
              <w:numPr>
                <w:ilvl w:val="0"/>
                <w:numId w:val="13"/>
              </w:numPr>
              <w:spacing w:line="360" w:lineRule="auto"/>
              <w:rPr>
                <w:rFonts w:ascii="Times New Roman" w:hAnsi="Times New Roman"/>
                <w:szCs w:val="21"/>
              </w:rPr>
            </w:pPr>
            <w:r>
              <w:rPr>
                <w:rFonts w:hint="eastAsia" w:ascii="Times New Roman" w:hAnsi="Times New Roman"/>
                <w:szCs w:val="21"/>
              </w:rPr>
              <w:t>刺激波形：双相平衡波</w:t>
            </w:r>
          </w:p>
          <w:p>
            <w:pPr>
              <w:numPr>
                <w:ilvl w:val="0"/>
                <w:numId w:val="13"/>
              </w:numPr>
              <w:spacing w:line="360" w:lineRule="auto"/>
              <w:rPr>
                <w:rFonts w:ascii="Times New Roman" w:hAnsi="Times New Roman"/>
                <w:szCs w:val="21"/>
              </w:rPr>
            </w:pPr>
            <w:r>
              <w:rPr>
                <w:rFonts w:hint="eastAsia" w:ascii="Times New Roman" w:hAnsi="Times New Roman"/>
                <w:szCs w:val="21"/>
              </w:rPr>
              <w:t>具有盆底表面肌电描记功能，对盆底肌电信号进行采集、记录和分析</w:t>
            </w:r>
          </w:p>
          <w:p>
            <w:pPr>
              <w:numPr>
                <w:ilvl w:val="0"/>
                <w:numId w:val="13"/>
              </w:numPr>
              <w:spacing w:line="360" w:lineRule="auto"/>
              <w:rPr>
                <w:rFonts w:ascii="Times New Roman" w:hAnsi="Times New Roman"/>
                <w:szCs w:val="21"/>
              </w:rPr>
            </w:pPr>
            <w:r>
              <w:rPr>
                <w:rFonts w:hint="eastAsia" w:ascii="Times New Roman" w:hAnsi="Times New Roman"/>
                <w:szCs w:val="21"/>
              </w:rPr>
              <w:t>肌电触发电刺激的模式要求：（</w:t>
            </w:r>
            <w:r>
              <w:rPr>
                <w:rFonts w:ascii="Times New Roman" w:hAnsi="Times New Roman"/>
                <w:szCs w:val="21"/>
              </w:rPr>
              <w:t>3</w:t>
            </w:r>
            <w:r>
              <w:rPr>
                <w:rFonts w:hint="eastAsia" w:ascii="Times New Roman" w:hAnsi="Times New Roman"/>
                <w:szCs w:val="21"/>
              </w:rPr>
              <w:t>种模式）</w:t>
            </w:r>
          </w:p>
          <w:p>
            <w:pPr>
              <w:spacing w:line="360" w:lineRule="auto"/>
              <w:ind w:firstLine="735" w:firstLineChars="350"/>
              <w:rPr>
                <w:rFonts w:ascii="Times New Roman" w:hAnsi="Times New Roman"/>
                <w:szCs w:val="21"/>
              </w:rPr>
            </w:pPr>
            <w:r>
              <w:rPr>
                <w:rFonts w:hint="eastAsia" w:ascii="Times New Roman" w:hAnsi="Times New Roman"/>
                <w:szCs w:val="21"/>
              </w:rPr>
              <w:t>可进行阈值上刺激也可进行阈值下刺激的参数设置</w:t>
            </w:r>
          </w:p>
          <w:p>
            <w:pPr>
              <w:numPr>
                <w:ilvl w:val="0"/>
                <w:numId w:val="14"/>
              </w:numPr>
              <w:spacing w:line="360" w:lineRule="auto"/>
              <w:rPr>
                <w:rFonts w:ascii="Times New Roman" w:hAnsi="Times New Roman"/>
                <w:szCs w:val="21"/>
              </w:rPr>
            </w:pPr>
            <w:r>
              <w:rPr>
                <w:rFonts w:hint="eastAsia" w:ascii="Times New Roman" w:hAnsi="Times New Roman"/>
                <w:szCs w:val="21"/>
              </w:rPr>
              <w:t>手动模式：可自主设定阈值，可随时在治疗过程中进行阈值的调整</w:t>
            </w:r>
          </w:p>
          <w:p>
            <w:pPr>
              <w:spacing w:line="360" w:lineRule="auto"/>
              <w:ind w:left="735"/>
              <w:rPr>
                <w:rFonts w:ascii="Times New Roman" w:hAnsi="Times New Roman"/>
                <w:szCs w:val="21"/>
              </w:rPr>
            </w:pPr>
            <w:r>
              <w:rPr>
                <w:rFonts w:ascii="Times New Roman" w:hAnsi="Times New Roman"/>
                <w:szCs w:val="21"/>
              </w:rPr>
              <w:t>B</w:t>
            </w:r>
            <w:r>
              <w:rPr>
                <w:rFonts w:hint="eastAsia" w:ascii="Times New Roman" w:hAnsi="Times New Roman"/>
                <w:szCs w:val="21"/>
              </w:rPr>
              <w:t>、自动模式：阈值在机器检测到表面肌电信号后，智能调整阈值，以适应患者的训练要求</w:t>
            </w:r>
          </w:p>
          <w:p>
            <w:pPr>
              <w:numPr>
                <w:ilvl w:val="0"/>
                <w:numId w:val="15"/>
              </w:numPr>
              <w:spacing w:line="360" w:lineRule="auto"/>
              <w:rPr>
                <w:rFonts w:ascii="Times New Roman" w:hAnsi="Times New Roman"/>
                <w:szCs w:val="21"/>
              </w:rPr>
            </w:pPr>
            <w:r>
              <w:rPr>
                <w:rFonts w:hint="eastAsia" w:ascii="Times New Roman" w:hAnsi="Times New Roman"/>
                <w:szCs w:val="21"/>
              </w:rPr>
              <w:t>学习模式：主动表面肌电反馈训练结合电刺激，二者循环交替</w:t>
            </w:r>
          </w:p>
          <w:p>
            <w:pPr>
              <w:numPr>
                <w:ilvl w:val="0"/>
                <w:numId w:val="16"/>
              </w:numPr>
              <w:spacing w:line="360" w:lineRule="auto"/>
              <w:rPr>
                <w:rFonts w:ascii="Times New Roman" w:hAnsi="Times New Roman"/>
                <w:szCs w:val="21"/>
              </w:rPr>
            </w:pPr>
            <w:r>
              <w:rPr>
                <w:rFonts w:hint="eastAsia" w:ascii="Times New Roman" w:hAnsi="Times New Roman"/>
                <w:szCs w:val="21"/>
              </w:rPr>
              <w:t>至少具有针对盆底肌肉功能的</w:t>
            </w:r>
            <w:r>
              <w:rPr>
                <w:rFonts w:ascii="Times New Roman" w:hAnsi="Times New Roman"/>
                <w:szCs w:val="21"/>
              </w:rPr>
              <w:t>KEGEL</w:t>
            </w:r>
            <w:r>
              <w:rPr>
                <w:rFonts w:hint="eastAsia" w:ascii="Times New Roman" w:hAnsi="Times New Roman"/>
                <w:szCs w:val="21"/>
              </w:rPr>
              <w:t>训练模板</w:t>
            </w:r>
            <w:r>
              <w:rPr>
                <w:rFonts w:ascii="Times New Roman" w:hAnsi="Times New Roman"/>
                <w:szCs w:val="21"/>
              </w:rPr>
              <w:t>36</w:t>
            </w:r>
            <w:r>
              <w:rPr>
                <w:rFonts w:hint="eastAsia" w:ascii="Times New Roman" w:hAnsi="Times New Roman"/>
                <w:szCs w:val="21"/>
              </w:rPr>
              <w:t>个，包括一般模板</w:t>
            </w:r>
            <w:r>
              <w:rPr>
                <w:rFonts w:ascii="Times New Roman" w:hAnsi="Times New Roman"/>
                <w:szCs w:val="21"/>
              </w:rPr>
              <w:t>15</w:t>
            </w:r>
            <w:r>
              <w:rPr>
                <w:rFonts w:hint="eastAsia" w:ascii="Times New Roman" w:hAnsi="Times New Roman"/>
                <w:szCs w:val="21"/>
              </w:rPr>
              <w:t>个和高阶模板</w:t>
            </w:r>
            <w:r>
              <w:rPr>
                <w:rFonts w:ascii="Times New Roman" w:hAnsi="Times New Roman"/>
                <w:szCs w:val="21"/>
              </w:rPr>
              <w:t>5</w:t>
            </w:r>
            <w:r>
              <w:rPr>
                <w:rFonts w:hint="eastAsia" w:ascii="Times New Roman" w:hAnsi="Times New Roman"/>
                <w:szCs w:val="21"/>
              </w:rPr>
              <w:t>个，控尿反射模板</w:t>
            </w:r>
            <w:r>
              <w:rPr>
                <w:rFonts w:ascii="Times New Roman" w:hAnsi="Times New Roman"/>
                <w:szCs w:val="21"/>
              </w:rPr>
              <w:t>16</w:t>
            </w:r>
            <w:r>
              <w:rPr>
                <w:rFonts w:hint="eastAsia" w:ascii="Times New Roman" w:hAnsi="Times New Roman"/>
                <w:szCs w:val="21"/>
              </w:rPr>
              <w:t>个。</w:t>
            </w:r>
            <w:r>
              <w:rPr>
                <w:rFonts w:ascii="Times New Roman" w:hAnsi="Times New Roman"/>
                <w:szCs w:val="21"/>
              </w:rPr>
              <w:t xml:space="preserve"> </w:t>
            </w:r>
          </w:p>
          <w:p>
            <w:pPr>
              <w:spacing w:line="360" w:lineRule="auto"/>
              <w:ind w:left="735"/>
              <w:rPr>
                <w:rFonts w:ascii="Times New Roman" w:hAnsi="Times New Roman"/>
                <w:color w:val="FF0000"/>
                <w:szCs w:val="21"/>
              </w:rPr>
            </w:pPr>
            <w:r>
              <w:rPr>
                <w:rFonts w:ascii="Times New Roman" w:hAnsi="Times New Roman"/>
                <w:szCs w:val="21"/>
              </w:rPr>
              <w:t>17.</w:t>
            </w:r>
            <w:r>
              <w:rPr>
                <w:rFonts w:hint="eastAsia" w:ascii="Times New Roman" w:hAnsi="Times New Roman"/>
                <w:szCs w:val="21"/>
              </w:rPr>
              <w:t>生物反馈训练分为固定刻度和灵活刻度两类。具有信号自动校准功能，防止基线过高影响正常训练。</w:t>
            </w:r>
          </w:p>
          <w:p>
            <w:pPr>
              <w:spacing w:line="360" w:lineRule="auto"/>
              <w:ind w:left="735"/>
              <w:rPr>
                <w:rFonts w:ascii="Times New Roman" w:hAnsi="Times New Roman"/>
                <w:szCs w:val="21"/>
              </w:rPr>
            </w:pPr>
            <w:r>
              <w:rPr>
                <w:rFonts w:hint="eastAsia" w:ascii="宋体" w:hAnsi="宋体"/>
                <w:kern w:val="0"/>
                <w:szCs w:val="21"/>
              </w:rPr>
              <w:t>18.</w:t>
            </w:r>
            <w:r>
              <w:rPr>
                <w:rFonts w:hint="eastAsia" w:ascii="Times New Roman" w:hAnsi="Times New Roman"/>
                <w:szCs w:val="21"/>
              </w:rPr>
              <w:t>具备多媒体肌电生物反馈训练，至少有治疗动画</w:t>
            </w:r>
            <w:r>
              <w:rPr>
                <w:rFonts w:ascii="Times New Roman" w:hAnsi="Times New Roman"/>
                <w:szCs w:val="21"/>
              </w:rPr>
              <w:t>10</w:t>
            </w:r>
            <w:r>
              <w:rPr>
                <w:rFonts w:hint="eastAsia" w:ascii="Times New Roman" w:hAnsi="Times New Roman"/>
                <w:szCs w:val="21"/>
              </w:rPr>
              <w:t>个以上：可进行音乐反馈和动画反馈。其中：</w:t>
            </w:r>
          </w:p>
          <w:p>
            <w:pPr>
              <w:numPr>
                <w:ilvl w:val="0"/>
                <w:numId w:val="17"/>
              </w:numPr>
              <w:spacing w:line="360" w:lineRule="auto"/>
              <w:rPr>
                <w:rFonts w:ascii="Times New Roman" w:hAnsi="Times New Roman"/>
                <w:szCs w:val="21"/>
              </w:rPr>
            </w:pPr>
            <w:r>
              <w:rPr>
                <w:rFonts w:hint="eastAsia" w:ascii="Times New Roman" w:hAnsi="Times New Roman"/>
                <w:szCs w:val="21"/>
              </w:rPr>
              <w:t>放松训练：当患者肌电信号超过参考值，即给予放松多媒体训练，可用于盆腔疼痛综合征、阴道痛、阴道痉挛等疾病的治疗</w:t>
            </w:r>
          </w:p>
          <w:p>
            <w:pPr>
              <w:numPr>
                <w:ilvl w:val="0"/>
                <w:numId w:val="17"/>
              </w:numPr>
              <w:spacing w:line="360" w:lineRule="auto"/>
              <w:rPr>
                <w:rFonts w:ascii="Times New Roman" w:hAnsi="Times New Roman"/>
                <w:szCs w:val="21"/>
              </w:rPr>
            </w:pPr>
            <w:r>
              <w:rPr>
                <w:rFonts w:hint="eastAsia" w:ascii="Times New Roman" w:hAnsi="Times New Roman"/>
                <w:szCs w:val="21"/>
              </w:rPr>
              <w:t>肌力增强训练：当患者肌电信号低于参考值，即给予肌力增强多媒体训练</w:t>
            </w:r>
          </w:p>
          <w:p>
            <w:pPr>
              <w:numPr>
                <w:ilvl w:val="0"/>
                <w:numId w:val="17"/>
              </w:numPr>
              <w:spacing w:line="360" w:lineRule="auto"/>
              <w:rPr>
                <w:rFonts w:ascii="Times New Roman" w:hAnsi="Times New Roman"/>
                <w:szCs w:val="21"/>
              </w:rPr>
            </w:pPr>
            <w:r>
              <w:rPr>
                <w:rFonts w:hint="eastAsia" w:ascii="Times New Roman" w:hAnsi="Times New Roman"/>
                <w:szCs w:val="21"/>
              </w:rPr>
              <w:t>协调性训练：让患者学习腹肌与盆底肌的协调运动关系，当盆底肌收缩时，训练腹肌的放松</w:t>
            </w:r>
          </w:p>
          <w:p>
            <w:pPr>
              <w:numPr>
                <w:ilvl w:val="0"/>
                <w:numId w:val="17"/>
              </w:numPr>
              <w:spacing w:line="360" w:lineRule="auto"/>
              <w:rPr>
                <w:rFonts w:ascii="Times New Roman" w:hAnsi="Times New Roman"/>
                <w:szCs w:val="21"/>
              </w:rPr>
            </w:pPr>
            <w:r>
              <w:rPr>
                <w:rFonts w:hint="eastAsia" w:ascii="Times New Roman" w:hAnsi="Times New Roman"/>
                <w:szCs w:val="21"/>
              </w:rPr>
              <w:t>精准性训练：让盆底肌控制动画人物进行位置的精准移动，提高患者盆底肌的控制能力</w:t>
            </w:r>
          </w:p>
          <w:p>
            <w:pPr>
              <w:numPr>
                <w:ilvl w:val="0"/>
                <w:numId w:val="17"/>
              </w:numPr>
              <w:spacing w:line="360" w:lineRule="auto"/>
              <w:rPr>
                <w:rFonts w:ascii="Times New Roman" w:hAnsi="Times New Roman"/>
                <w:szCs w:val="21"/>
              </w:rPr>
            </w:pPr>
            <w:r>
              <w:rPr>
                <w:rFonts w:hint="eastAsia" w:ascii="Times New Roman" w:hAnsi="Times New Roman"/>
                <w:szCs w:val="21"/>
              </w:rPr>
              <w:t>耐力训练：当患者肌电信号小于表面肌电耐力参考值时，即给予耐力训练，用于压力型尿失禁、轻中度器官脱垂等疾病的治疗</w:t>
            </w:r>
          </w:p>
          <w:p>
            <w:pPr>
              <w:numPr>
                <w:ilvl w:val="0"/>
                <w:numId w:val="18"/>
              </w:numPr>
              <w:spacing w:line="360" w:lineRule="auto"/>
              <w:rPr>
                <w:rFonts w:ascii="Times New Roman" w:hAnsi="Times New Roman"/>
                <w:szCs w:val="21"/>
              </w:rPr>
            </w:pPr>
            <w:r>
              <w:rPr>
                <w:rFonts w:hint="eastAsia" w:ascii="Times New Roman" w:hAnsi="Times New Roman"/>
                <w:szCs w:val="21"/>
              </w:rPr>
              <w:t>具有患者专用焦虑抑郁心里治疗</w:t>
            </w:r>
            <w:r>
              <w:rPr>
                <w:rFonts w:ascii="Times New Roman" w:hAnsi="Times New Roman"/>
                <w:szCs w:val="21"/>
              </w:rPr>
              <w:t>EMG</w:t>
            </w:r>
            <w:r>
              <w:rPr>
                <w:rFonts w:hint="eastAsia" w:ascii="Times New Roman" w:hAnsi="Times New Roman"/>
                <w:szCs w:val="21"/>
              </w:rPr>
              <w:t>头带，</w:t>
            </w:r>
            <w:r>
              <w:rPr>
                <w:rFonts w:ascii="Times New Roman" w:hAnsi="Times New Roman"/>
                <w:szCs w:val="21"/>
              </w:rPr>
              <w:t>EMG</w:t>
            </w:r>
            <w:r>
              <w:rPr>
                <w:rFonts w:hint="eastAsia" w:ascii="Times New Roman" w:hAnsi="Times New Roman"/>
                <w:szCs w:val="21"/>
              </w:rPr>
              <w:t>头带实时采集额前肌电信号，反映患者及产妇精神心理紧张及放松程度，采集灵敏度小于</w:t>
            </w:r>
            <w:r>
              <w:rPr>
                <w:rFonts w:ascii="Times New Roman" w:hAnsi="Times New Roman"/>
                <w:szCs w:val="21"/>
              </w:rPr>
              <w:t>0.2uV</w:t>
            </w:r>
          </w:p>
          <w:p>
            <w:pPr>
              <w:numPr>
                <w:ilvl w:val="0"/>
                <w:numId w:val="18"/>
              </w:numPr>
              <w:spacing w:line="360" w:lineRule="auto"/>
              <w:rPr>
                <w:rFonts w:ascii="Times New Roman" w:hAnsi="Times New Roman"/>
                <w:szCs w:val="21"/>
              </w:rPr>
            </w:pPr>
            <w:r>
              <w:rPr>
                <w:rFonts w:hint="eastAsia" w:ascii="Times New Roman" w:hAnsi="Times New Roman"/>
                <w:szCs w:val="21"/>
              </w:rPr>
              <w:t>具有功能性便秘、尿失禁、粪失禁、肛门直肠痛、性功能障碍的治疗电极和专业治疗方案，且治疗方案可以在主机上直接编辑</w:t>
            </w:r>
          </w:p>
          <w:p>
            <w:pPr>
              <w:numPr>
                <w:ilvl w:val="0"/>
                <w:numId w:val="18"/>
              </w:numPr>
              <w:spacing w:line="360" w:lineRule="auto"/>
              <w:rPr>
                <w:rFonts w:ascii="Times New Roman" w:hAnsi="Times New Roman"/>
                <w:szCs w:val="21"/>
              </w:rPr>
            </w:pPr>
            <w:r>
              <w:rPr>
                <w:rFonts w:hint="eastAsia" w:ascii="Times New Roman" w:hAnsi="Times New Roman"/>
                <w:szCs w:val="21"/>
              </w:rPr>
              <w:t>单机也可进行生物反馈训练，以声音提示反馈给患者直观的训练信息</w:t>
            </w:r>
          </w:p>
          <w:p>
            <w:pPr>
              <w:numPr>
                <w:ilvl w:val="0"/>
                <w:numId w:val="18"/>
              </w:numPr>
              <w:spacing w:line="360" w:lineRule="auto"/>
              <w:rPr>
                <w:rFonts w:ascii="Times New Roman" w:hAnsi="Times New Roman"/>
                <w:szCs w:val="21"/>
              </w:rPr>
            </w:pPr>
            <w:r>
              <w:rPr>
                <w:rFonts w:hint="eastAsia" w:ascii="Times New Roman" w:hAnsi="Times New Roman"/>
                <w:szCs w:val="21"/>
              </w:rPr>
              <w:t>强大的数据统计功能，包括医生工作量统计和患者治疗数据统计。</w:t>
            </w:r>
          </w:p>
          <w:p>
            <w:pPr>
              <w:numPr>
                <w:ilvl w:val="0"/>
                <w:numId w:val="18"/>
              </w:numPr>
              <w:spacing w:line="360" w:lineRule="auto"/>
              <w:rPr>
                <w:rFonts w:ascii="Times New Roman" w:hAnsi="Times New Roman"/>
                <w:szCs w:val="21"/>
              </w:rPr>
            </w:pPr>
            <w:r>
              <w:rPr>
                <w:rFonts w:hint="eastAsia" w:ascii="Times New Roman" w:hAnsi="Times New Roman"/>
                <w:szCs w:val="21"/>
              </w:rPr>
              <w:t>盆底教育和盆底肌学习模块，帮助患者正确认识盆底疾病，掌握正确的盆底肌训练方法。</w:t>
            </w:r>
          </w:p>
          <w:p>
            <w:pPr>
              <w:numPr>
                <w:ilvl w:val="0"/>
                <w:numId w:val="18"/>
              </w:numPr>
              <w:spacing w:line="360" w:lineRule="auto"/>
              <w:rPr>
                <w:rFonts w:ascii="Times New Roman" w:hAnsi="Times New Roman"/>
                <w:szCs w:val="21"/>
              </w:rPr>
            </w:pPr>
            <w:r>
              <w:rPr>
                <w:rFonts w:hint="eastAsia" w:ascii="宋体" w:hAnsi="宋体" w:cs="Arial"/>
                <w:szCs w:val="21"/>
              </w:rPr>
              <w:t>售后服务：软件终身免费升级</w:t>
            </w:r>
          </w:p>
          <w:p>
            <w:pPr>
              <w:tabs>
                <w:tab w:val="left" w:pos="1714"/>
                <w:tab w:val="center" w:pos="3321"/>
              </w:tabs>
              <w:jc w:val="both"/>
              <w:rPr>
                <w:rFonts w:hint="eastAsia" w:ascii="宋体" w:hAnsi="宋体" w:eastAsia="宋体" w:cs="宋体"/>
                <w:color w:val="auto"/>
                <w:sz w:val="21"/>
                <w:szCs w:val="21"/>
              </w:rPr>
            </w:pP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b w:val="0"/>
                <w:bCs w:val="0"/>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2</w:t>
            </w:r>
          </w:p>
        </w:tc>
        <w:tc>
          <w:tcPr>
            <w:tcW w:w="663"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b w:val="0"/>
                <w:bCs w:val="0"/>
                <w:color w:val="auto"/>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p>
        </w:tc>
        <w:tc>
          <w:tcPr>
            <w:tcW w:w="827" w:type="dxa"/>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盆底磁刺激治疗仪（国产）</w:t>
            </w:r>
          </w:p>
        </w:tc>
        <w:tc>
          <w:tcPr>
            <w:tcW w:w="6737" w:type="dxa"/>
            <w:vAlign w:val="center"/>
          </w:tcPr>
          <w:p>
            <w:pPr>
              <w:keepNext/>
              <w:keepLines/>
              <w:spacing w:line="360" w:lineRule="auto"/>
              <w:jc w:val="left"/>
              <w:outlineLvl w:val="1"/>
              <w:rPr>
                <w:rFonts w:hint="eastAsia" w:ascii="宋体" w:hAnsi="宋体" w:eastAsia="宋体" w:cs="宋体"/>
                <w:b/>
                <w:bCs/>
                <w:sz w:val="21"/>
                <w:szCs w:val="21"/>
              </w:rPr>
            </w:pPr>
            <w:r>
              <w:rPr>
                <w:rFonts w:hint="eastAsia" w:ascii="宋体" w:hAnsi="宋体" w:eastAsia="宋体" w:cs="宋体"/>
                <w:b/>
                <w:bCs/>
                <w:sz w:val="21"/>
                <w:szCs w:val="21"/>
              </w:rPr>
              <w:t>硬件</w:t>
            </w:r>
          </w:p>
          <w:p>
            <w:pPr>
              <w:numPr>
                <w:ilvl w:val="0"/>
                <w:numId w:val="19"/>
              </w:num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整机通过YY/T 0994-2015 磁刺激设备 行业标准；</w:t>
            </w:r>
          </w:p>
          <w:p>
            <w:pPr>
              <w:numPr>
                <w:ilvl w:val="0"/>
                <w:numId w:val="19"/>
              </w:numPr>
              <w:spacing w:line="360" w:lineRule="auto"/>
              <w:jc w:val="left"/>
              <w:rPr>
                <w:rFonts w:hint="eastAsia" w:ascii="宋体" w:hAnsi="宋体" w:eastAsia="宋体" w:cs="宋体"/>
                <w:sz w:val="21"/>
                <w:szCs w:val="21"/>
              </w:rPr>
            </w:pPr>
            <w:r>
              <w:rPr>
                <w:rFonts w:hint="eastAsia" w:ascii="宋体" w:hAnsi="宋体" w:eastAsia="宋体" w:cs="宋体"/>
                <w:sz w:val="21"/>
                <w:szCs w:val="21"/>
              </w:rPr>
              <w:t>整机通过电磁兼容性EMC测试；</w:t>
            </w:r>
          </w:p>
          <w:p>
            <w:pPr>
              <w:numPr>
                <w:ilvl w:val="0"/>
                <w:numId w:val="19"/>
              </w:numPr>
              <w:spacing w:line="360" w:lineRule="auto"/>
              <w:jc w:val="left"/>
              <w:rPr>
                <w:rFonts w:hint="eastAsia" w:ascii="宋体" w:hAnsi="宋体" w:eastAsia="宋体" w:cs="宋体"/>
                <w:sz w:val="21"/>
                <w:szCs w:val="21"/>
              </w:rPr>
            </w:pPr>
            <w:r>
              <w:rPr>
                <w:rFonts w:hint="eastAsia" w:ascii="宋体" w:hAnsi="宋体" w:eastAsia="宋体" w:cs="宋体"/>
                <w:sz w:val="21"/>
                <w:szCs w:val="21"/>
              </w:rPr>
              <w:t>产品组成：磁刺激仪主机、刺激线圈、运动诱发电位监测模块、触屏一体机、刺激线圈支架、移动式推车等；</w:t>
            </w:r>
          </w:p>
          <w:p>
            <w:pPr>
              <w:numPr>
                <w:ilvl w:val="0"/>
                <w:numId w:val="19"/>
              </w:numPr>
              <w:spacing w:line="360" w:lineRule="auto"/>
              <w:jc w:val="left"/>
              <w:rPr>
                <w:rFonts w:hint="eastAsia" w:ascii="宋体" w:hAnsi="宋体" w:eastAsia="宋体" w:cs="宋体"/>
                <w:sz w:val="21"/>
                <w:szCs w:val="21"/>
              </w:rPr>
            </w:pPr>
            <w:r>
              <w:rPr>
                <w:rFonts w:hint="eastAsia" w:ascii="宋体" w:hAnsi="宋体" w:eastAsia="宋体" w:cs="宋体"/>
                <w:sz w:val="21"/>
                <w:szCs w:val="21"/>
              </w:rPr>
              <w:t>刺激线圈：标配盆底刺激专用线圈和骶神经刺激专用线圈；</w:t>
            </w:r>
          </w:p>
          <w:p>
            <w:pPr>
              <w:numPr>
                <w:ilvl w:val="0"/>
                <w:numId w:val="19"/>
              </w:numPr>
              <w:spacing w:line="360" w:lineRule="auto"/>
              <w:jc w:val="left"/>
              <w:rPr>
                <w:rFonts w:hint="eastAsia" w:ascii="宋体" w:hAnsi="宋体" w:eastAsia="宋体" w:cs="宋体"/>
                <w:sz w:val="21"/>
                <w:szCs w:val="21"/>
              </w:rPr>
            </w:pPr>
            <w:r>
              <w:rPr>
                <w:rFonts w:hint="eastAsia" w:ascii="宋体" w:hAnsi="宋体" w:eastAsia="宋体" w:cs="宋体"/>
                <w:sz w:val="21"/>
                <w:szCs w:val="21"/>
              </w:rPr>
              <w:t>冷却技术：采用智能风冷技术，安全、操作简单、无需后期额外维护；</w:t>
            </w:r>
          </w:p>
          <w:p>
            <w:pPr>
              <w:numPr>
                <w:ilvl w:val="0"/>
                <w:numId w:val="19"/>
              </w:numPr>
              <w:spacing w:line="360" w:lineRule="auto"/>
              <w:jc w:val="left"/>
              <w:rPr>
                <w:rFonts w:hint="eastAsia" w:ascii="宋体" w:hAnsi="宋体" w:eastAsia="宋体" w:cs="宋体"/>
                <w:sz w:val="21"/>
                <w:szCs w:val="21"/>
              </w:rPr>
            </w:pPr>
            <w:r>
              <w:rPr>
                <w:rFonts w:hint="eastAsia" w:ascii="宋体" w:hAnsi="宋体" w:eastAsia="宋体" w:cs="宋体"/>
                <w:sz w:val="21"/>
                <w:szCs w:val="21"/>
              </w:rPr>
              <w:t>运动诱发电位监测模块：标配MEP模块；双通道、无线式传输，减少束缚、降低外界干扰；</w:t>
            </w:r>
          </w:p>
          <w:p>
            <w:pPr>
              <w:numPr>
                <w:ilvl w:val="0"/>
                <w:numId w:val="19"/>
              </w:numPr>
              <w:spacing w:line="360" w:lineRule="auto"/>
              <w:jc w:val="left"/>
              <w:rPr>
                <w:rFonts w:hint="eastAsia" w:ascii="宋体" w:hAnsi="宋体" w:eastAsia="宋体" w:cs="宋体"/>
                <w:sz w:val="21"/>
                <w:szCs w:val="21"/>
              </w:rPr>
            </w:pPr>
            <w:r>
              <w:rPr>
                <w:rFonts w:hint="eastAsia" w:ascii="宋体" w:hAnsi="宋体" w:eastAsia="宋体" w:cs="宋体"/>
                <w:sz w:val="21"/>
                <w:szCs w:val="21"/>
              </w:rPr>
              <w:t>软件操作平台：多功能触控式一体机，500G硬盘实现海量患者信息存储；</w:t>
            </w:r>
          </w:p>
          <w:p>
            <w:pPr>
              <w:numPr>
                <w:ilvl w:val="0"/>
                <w:numId w:val="19"/>
              </w:numPr>
              <w:spacing w:line="360" w:lineRule="auto"/>
              <w:jc w:val="left"/>
              <w:rPr>
                <w:rFonts w:hint="eastAsia" w:ascii="宋体" w:hAnsi="宋体" w:eastAsia="宋体" w:cs="宋体"/>
                <w:sz w:val="21"/>
                <w:szCs w:val="21"/>
              </w:rPr>
            </w:pPr>
            <w:r>
              <w:rPr>
                <w:rFonts w:hint="eastAsia" w:ascii="宋体" w:hAnsi="宋体" w:eastAsia="宋体" w:cs="宋体"/>
                <w:sz w:val="21"/>
                <w:szCs w:val="21"/>
              </w:rPr>
              <w:t>分体式工作站：移动式推车、360°万向调节支架、90°-180°可调座椅，便于临床操作使用；</w:t>
            </w:r>
          </w:p>
          <w:p>
            <w:pPr>
              <w:numPr>
                <w:ilvl w:val="0"/>
                <w:numId w:val="19"/>
              </w:numPr>
              <w:spacing w:line="360" w:lineRule="auto"/>
              <w:jc w:val="left"/>
              <w:rPr>
                <w:rFonts w:hint="eastAsia" w:ascii="宋体" w:hAnsi="宋体" w:eastAsia="宋体" w:cs="宋体"/>
                <w:sz w:val="21"/>
                <w:szCs w:val="21"/>
              </w:rPr>
            </w:pPr>
            <w:r>
              <w:rPr>
                <w:rFonts w:hint="eastAsia" w:ascii="宋体" w:hAnsi="宋体" w:eastAsia="宋体" w:cs="宋体"/>
                <w:sz w:val="21"/>
                <w:szCs w:val="21"/>
              </w:rPr>
              <w:t>开放式设计平台，具备触发输入输出通用接口，可兼容肌电图等设备。</w:t>
            </w:r>
          </w:p>
          <w:p>
            <w:pPr>
              <w:keepNext/>
              <w:keepLines/>
              <w:spacing w:line="360" w:lineRule="auto"/>
              <w:jc w:val="left"/>
              <w:outlineLvl w:val="1"/>
              <w:rPr>
                <w:rFonts w:hint="eastAsia" w:ascii="宋体" w:hAnsi="宋体" w:eastAsia="宋体" w:cs="宋体"/>
                <w:b/>
                <w:bCs/>
                <w:sz w:val="21"/>
                <w:szCs w:val="21"/>
              </w:rPr>
            </w:pPr>
            <w:r>
              <w:rPr>
                <w:rFonts w:hint="eastAsia" w:ascii="宋体" w:hAnsi="宋体" w:eastAsia="宋体" w:cs="宋体"/>
                <w:b/>
                <w:bCs/>
                <w:sz w:val="21"/>
                <w:szCs w:val="21"/>
              </w:rPr>
              <w:t>主机技术指标</w:t>
            </w:r>
          </w:p>
          <w:p>
            <w:pPr>
              <w:numPr>
                <w:ilvl w:val="0"/>
                <w:numId w:val="20"/>
              </w:numPr>
              <w:spacing w:line="360" w:lineRule="auto"/>
              <w:jc w:val="left"/>
              <w:rPr>
                <w:rFonts w:hint="eastAsia" w:ascii="宋体" w:hAnsi="宋体" w:eastAsia="宋体" w:cs="宋体"/>
                <w:sz w:val="21"/>
                <w:szCs w:val="21"/>
              </w:rPr>
            </w:pPr>
            <w:r>
              <w:rPr>
                <w:rFonts w:hint="eastAsia" w:ascii="宋体" w:hAnsi="宋体" w:eastAsia="宋体" w:cs="宋体"/>
                <w:sz w:val="21"/>
                <w:szCs w:val="21"/>
              </w:rPr>
              <w:t>最大磁感应强度：6T，允差 ±20%；</w:t>
            </w:r>
          </w:p>
          <w:p>
            <w:pPr>
              <w:numPr>
                <w:ilvl w:val="0"/>
                <w:numId w:val="20"/>
              </w:numPr>
              <w:spacing w:line="360" w:lineRule="auto"/>
              <w:jc w:val="left"/>
              <w:rPr>
                <w:rFonts w:hint="eastAsia" w:ascii="宋体" w:hAnsi="宋体" w:eastAsia="宋体" w:cs="宋体"/>
                <w:sz w:val="21"/>
                <w:szCs w:val="21"/>
              </w:rPr>
            </w:pPr>
            <w:r>
              <w:rPr>
                <w:rFonts w:hint="eastAsia" w:ascii="宋体" w:hAnsi="宋体" w:eastAsia="宋体" w:cs="宋体"/>
                <w:sz w:val="21"/>
                <w:szCs w:val="21"/>
              </w:rPr>
              <w:t>输出脉冲重复频率：0. 01 Hz～60Hz可调，允差±5%；</w:t>
            </w:r>
          </w:p>
          <w:p>
            <w:pPr>
              <w:numPr>
                <w:ilvl w:val="0"/>
                <w:numId w:val="20"/>
              </w:numPr>
              <w:spacing w:line="360" w:lineRule="auto"/>
              <w:jc w:val="left"/>
              <w:rPr>
                <w:rFonts w:hint="eastAsia" w:ascii="宋体" w:hAnsi="宋体" w:eastAsia="宋体" w:cs="宋体"/>
                <w:sz w:val="21"/>
                <w:szCs w:val="21"/>
              </w:rPr>
            </w:pPr>
            <w:r>
              <w:rPr>
                <w:rFonts w:hint="eastAsia" w:ascii="宋体" w:hAnsi="宋体" w:eastAsia="宋体" w:cs="宋体"/>
                <w:sz w:val="21"/>
                <w:szCs w:val="21"/>
              </w:rPr>
              <w:t>脉冲上升时间：50μs ±10μs；</w:t>
            </w:r>
          </w:p>
          <w:p>
            <w:pPr>
              <w:numPr>
                <w:ilvl w:val="0"/>
                <w:numId w:val="20"/>
              </w:numPr>
              <w:spacing w:line="360" w:lineRule="auto"/>
              <w:jc w:val="left"/>
              <w:rPr>
                <w:rFonts w:hint="eastAsia" w:ascii="宋体" w:hAnsi="宋体" w:eastAsia="宋体" w:cs="宋体"/>
                <w:sz w:val="21"/>
                <w:szCs w:val="21"/>
              </w:rPr>
            </w:pPr>
            <w:r>
              <w:rPr>
                <w:rFonts w:hint="eastAsia" w:ascii="宋体" w:hAnsi="宋体" w:eastAsia="宋体" w:cs="宋体"/>
                <w:sz w:val="21"/>
                <w:szCs w:val="21"/>
              </w:rPr>
              <w:t>脉冲持续时间：340μs ±20μs；</w:t>
            </w:r>
          </w:p>
          <w:p>
            <w:pPr>
              <w:numPr>
                <w:ilvl w:val="0"/>
                <w:numId w:val="20"/>
              </w:numPr>
              <w:spacing w:line="360" w:lineRule="auto"/>
              <w:jc w:val="left"/>
              <w:rPr>
                <w:rFonts w:hint="eastAsia" w:ascii="宋体" w:hAnsi="宋体" w:eastAsia="宋体" w:cs="宋体"/>
                <w:sz w:val="21"/>
                <w:szCs w:val="21"/>
              </w:rPr>
            </w:pPr>
            <w:r>
              <w:rPr>
                <w:rFonts w:hint="eastAsia" w:ascii="宋体" w:hAnsi="宋体" w:eastAsia="宋体" w:cs="宋体"/>
                <w:sz w:val="21"/>
                <w:szCs w:val="21"/>
              </w:rPr>
              <w:t>磁感应强度最大变化率：40kT/s～80kT/s。</w:t>
            </w:r>
          </w:p>
          <w:p>
            <w:pPr>
              <w:keepNext/>
              <w:keepLines/>
              <w:spacing w:line="360" w:lineRule="auto"/>
              <w:jc w:val="left"/>
              <w:outlineLvl w:val="1"/>
              <w:rPr>
                <w:rFonts w:hint="eastAsia" w:ascii="宋体" w:hAnsi="宋体" w:eastAsia="宋体" w:cs="宋体"/>
                <w:b/>
                <w:bCs/>
                <w:sz w:val="21"/>
                <w:szCs w:val="21"/>
              </w:rPr>
            </w:pPr>
            <w:r>
              <w:rPr>
                <w:rFonts w:hint="eastAsia" w:ascii="宋体" w:hAnsi="宋体" w:eastAsia="宋体" w:cs="宋体"/>
                <w:b/>
                <w:bCs/>
                <w:sz w:val="21"/>
                <w:szCs w:val="21"/>
              </w:rPr>
              <w:t>运动诱发电位监测模块技术指标</w:t>
            </w:r>
          </w:p>
          <w:p>
            <w:pPr>
              <w:numPr>
                <w:ilvl w:val="0"/>
                <w:numId w:val="21"/>
              </w:numPr>
              <w:spacing w:line="360" w:lineRule="auto"/>
              <w:jc w:val="left"/>
              <w:rPr>
                <w:rFonts w:hint="eastAsia" w:ascii="宋体" w:hAnsi="宋体" w:eastAsia="宋体" w:cs="宋体"/>
                <w:sz w:val="21"/>
                <w:szCs w:val="21"/>
              </w:rPr>
            </w:pPr>
            <w:r>
              <w:rPr>
                <w:rFonts w:hint="eastAsia" w:ascii="宋体" w:hAnsi="宋体" w:eastAsia="宋体" w:cs="宋体"/>
                <w:sz w:val="21"/>
                <w:szCs w:val="21"/>
              </w:rPr>
              <w:t>通道数：2通道；</w:t>
            </w:r>
          </w:p>
          <w:p>
            <w:pPr>
              <w:numPr>
                <w:ilvl w:val="0"/>
                <w:numId w:val="21"/>
              </w:numPr>
              <w:spacing w:line="360" w:lineRule="auto"/>
              <w:jc w:val="left"/>
              <w:rPr>
                <w:rFonts w:hint="eastAsia" w:ascii="宋体" w:hAnsi="宋体" w:eastAsia="宋体" w:cs="宋体"/>
                <w:sz w:val="21"/>
                <w:szCs w:val="21"/>
              </w:rPr>
            </w:pPr>
            <w:r>
              <w:rPr>
                <w:rFonts w:hint="eastAsia" w:ascii="宋体" w:hAnsi="宋体" w:eastAsia="宋体" w:cs="宋体"/>
                <w:sz w:val="21"/>
                <w:szCs w:val="21"/>
              </w:rPr>
              <w:t>传输方式：WIFI；</w:t>
            </w:r>
          </w:p>
          <w:p>
            <w:pPr>
              <w:numPr>
                <w:ilvl w:val="0"/>
                <w:numId w:val="21"/>
              </w:numPr>
              <w:spacing w:line="360" w:lineRule="auto"/>
              <w:jc w:val="left"/>
              <w:rPr>
                <w:rFonts w:hint="eastAsia" w:ascii="宋体" w:hAnsi="宋体" w:eastAsia="宋体" w:cs="宋体"/>
                <w:sz w:val="21"/>
                <w:szCs w:val="21"/>
              </w:rPr>
            </w:pPr>
            <w:r>
              <w:rPr>
                <w:rFonts w:hint="eastAsia" w:ascii="宋体" w:hAnsi="宋体" w:eastAsia="宋体" w:cs="宋体"/>
                <w:sz w:val="21"/>
                <w:szCs w:val="21"/>
              </w:rPr>
              <w:t>采样率：2kHz；</w:t>
            </w:r>
          </w:p>
          <w:p>
            <w:pPr>
              <w:numPr>
                <w:ilvl w:val="0"/>
                <w:numId w:val="21"/>
              </w:numPr>
              <w:spacing w:line="360" w:lineRule="auto"/>
              <w:jc w:val="left"/>
              <w:rPr>
                <w:rFonts w:hint="eastAsia" w:ascii="宋体" w:hAnsi="宋体" w:eastAsia="宋体" w:cs="宋体"/>
                <w:sz w:val="21"/>
                <w:szCs w:val="21"/>
              </w:rPr>
            </w:pPr>
            <w:r>
              <w:rPr>
                <w:rFonts w:hint="eastAsia" w:ascii="宋体" w:hAnsi="宋体" w:eastAsia="宋体" w:cs="宋体"/>
                <w:sz w:val="21"/>
                <w:szCs w:val="21"/>
              </w:rPr>
              <w:t>测量范围：1</w:t>
            </w:r>
            <m:oMath>
              <m:r>
                <m:rPr>
                  <m:sty m:val="p"/>
                </m:rPr>
                <w:rPr>
                  <w:rFonts w:hint="eastAsia" w:ascii="Cambria Math" w:hAnsi="Cambria Math" w:eastAsia="宋体" w:cs="宋体"/>
                  <w:sz w:val="21"/>
                  <w:szCs w:val="21"/>
                </w:rPr>
                <m:t>μV</m:t>
              </m:r>
            </m:oMath>
            <w:r>
              <w:rPr>
                <w:rFonts w:hint="eastAsia" w:ascii="宋体" w:hAnsi="宋体" w:eastAsia="宋体" w:cs="宋体"/>
                <w:sz w:val="21"/>
                <w:szCs w:val="21"/>
              </w:rPr>
              <w:t>～1000</w:t>
            </w:r>
            <m:oMath>
              <m:r>
                <m:rPr>
                  <m:sty m:val="p"/>
                </m:rPr>
                <w:rPr>
                  <w:rFonts w:hint="eastAsia" w:ascii="Cambria Math" w:hAnsi="Cambria Math" w:eastAsia="宋体" w:cs="宋体"/>
                  <w:sz w:val="21"/>
                  <w:szCs w:val="21"/>
                </w:rPr>
                <m:t>μV</m:t>
              </m:r>
            </m:oMath>
            <w:r>
              <w:rPr>
                <w:rFonts w:hint="eastAsia" w:ascii="宋体" w:hAnsi="宋体" w:eastAsia="宋体" w:cs="宋体"/>
                <w:sz w:val="21"/>
                <w:szCs w:val="21"/>
              </w:rPr>
              <w:t>；</w:t>
            </w:r>
          </w:p>
          <w:p>
            <w:pPr>
              <w:numPr>
                <w:ilvl w:val="0"/>
                <w:numId w:val="21"/>
              </w:numPr>
              <w:spacing w:line="360" w:lineRule="auto"/>
              <w:jc w:val="left"/>
              <w:rPr>
                <w:rFonts w:hint="eastAsia" w:ascii="宋体" w:hAnsi="宋体" w:eastAsia="宋体" w:cs="宋体"/>
                <w:sz w:val="21"/>
                <w:szCs w:val="21"/>
              </w:rPr>
            </w:pPr>
            <w:r>
              <w:rPr>
                <w:rFonts w:hint="eastAsia" w:ascii="宋体" w:hAnsi="宋体" w:eastAsia="宋体" w:cs="宋体"/>
                <w:sz w:val="21"/>
                <w:szCs w:val="21"/>
              </w:rPr>
              <w:t>最小分辨率：不小于0.2</w:t>
            </w:r>
            <m:oMath>
              <m:r>
                <m:rPr>
                  <m:sty m:val="p"/>
                </m:rPr>
                <w:rPr>
                  <w:rFonts w:hint="eastAsia" w:ascii="Cambria Math" w:hAnsi="Cambria Math" w:eastAsia="宋体" w:cs="宋体"/>
                  <w:sz w:val="21"/>
                  <w:szCs w:val="21"/>
                </w:rPr>
                <m:t>μV</m:t>
              </m:r>
            </m:oMath>
            <w:r>
              <w:rPr>
                <w:rFonts w:hint="eastAsia" w:ascii="宋体" w:hAnsi="宋体" w:eastAsia="宋体" w:cs="宋体"/>
                <w:sz w:val="21"/>
                <w:szCs w:val="21"/>
              </w:rPr>
              <w:t>；</w:t>
            </w:r>
          </w:p>
          <w:p>
            <w:pPr>
              <w:numPr>
                <w:ilvl w:val="0"/>
                <w:numId w:val="21"/>
              </w:numPr>
              <w:spacing w:line="360" w:lineRule="auto"/>
              <w:jc w:val="left"/>
              <w:rPr>
                <w:rFonts w:hint="eastAsia" w:ascii="宋体" w:hAnsi="宋体" w:eastAsia="宋体" w:cs="宋体"/>
                <w:sz w:val="21"/>
                <w:szCs w:val="21"/>
              </w:rPr>
            </w:pPr>
            <w:r>
              <w:rPr>
                <w:rFonts w:hint="eastAsia" w:ascii="宋体" w:hAnsi="宋体" w:eastAsia="宋体" w:cs="宋体"/>
                <w:sz w:val="21"/>
                <w:szCs w:val="21"/>
              </w:rPr>
              <w:t>频率范围：20Hz～500Hz。</w:t>
            </w:r>
          </w:p>
          <w:p>
            <w:pPr>
              <w:keepNext/>
              <w:keepLines/>
              <w:spacing w:line="360" w:lineRule="auto"/>
              <w:jc w:val="left"/>
              <w:outlineLvl w:val="1"/>
              <w:rPr>
                <w:rFonts w:hint="eastAsia" w:ascii="宋体" w:hAnsi="宋体" w:eastAsia="宋体" w:cs="宋体"/>
                <w:b/>
                <w:bCs/>
                <w:sz w:val="21"/>
                <w:szCs w:val="21"/>
              </w:rPr>
            </w:pPr>
            <w:r>
              <w:rPr>
                <w:rFonts w:hint="eastAsia" w:ascii="宋体" w:hAnsi="宋体" w:eastAsia="宋体" w:cs="宋体"/>
                <w:b/>
                <w:bCs/>
                <w:sz w:val="21"/>
                <w:szCs w:val="21"/>
              </w:rPr>
              <w:t>软件</w:t>
            </w:r>
          </w:p>
          <w:p>
            <w:pPr>
              <w:numPr>
                <w:ilvl w:val="0"/>
                <w:numId w:val="22"/>
              </w:numPr>
              <w:spacing w:line="360" w:lineRule="auto"/>
              <w:jc w:val="left"/>
              <w:rPr>
                <w:rFonts w:hint="eastAsia" w:ascii="宋体" w:hAnsi="宋体" w:eastAsia="宋体" w:cs="宋体"/>
                <w:sz w:val="21"/>
                <w:szCs w:val="21"/>
              </w:rPr>
            </w:pPr>
            <w:r>
              <w:rPr>
                <w:rFonts w:hint="eastAsia" w:ascii="宋体" w:hAnsi="宋体" w:eastAsia="宋体" w:cs="宋体"/>
                <w:sz w:val="21"/>
                <w:szCs w:val="21"/>
              </w:rPr>
              <w:t>上位机软件通过GB/T 25000.51 软件工程 软件产品质量要求与评价；</w:t>
            </w:r>
          </w:p>
          <w:p>
            <w:pPr>
              <w:numPr>
                <w:ilvl w:val="0"/>
                <w:numId w:val="22"/>
              </w:numPr>
              <w:spacing w:line="360" w:lineRule="auto"/>
              <w:jc w:val="left"/>
              <w:rPr>
                <w:rFonts w:hint="eastAsia" w:ascii="宋体" w:hAnsi="宋体" w:eastAsia="宋体" w:cs="宋体"/>
                <w:sz w:val="21"/>
                <w:szCs w:val="21"/>
              </w:rPr>
            </w:pPr>
            <w:r>
              <w:rPr>
                <w:rFonts w:hint="eastAsia" w:ascii="宋体" w:hAnsi="宋体" w:eastAsia="宋体" w:cs="宋体"/>
                <w:sz w:val="21"/>
                <w:szCs w:val="21"/>
              </w:rPr>
              <w:t>人机交互软件：触屏式操作模式，三步开启治疗，符合用户习惯，减轻操作负担；</w:t>
            </w:r>
          </w:p>
          <w:p>
            <w:pPr>
              <w:numPr>
                <w:ilvl w:val="0"/>
                <w:numId w:val="22"/>
              </w:numPr>
              <w:spacing w:line="360" w:lineRule="auto"/>
              <w:jc w:val="left"/>
              <w:rPr>
                <w:rFonts w:hint="eastAsia" w:ascii="宋体" w:hAnsi="宋体" w:eastAsia="宋体" w:cs="宋体"/>
                <w:sz w:val="21"/>
                <w:szCs w:val="21"/>
              </w:rPr>
            </w:pPr>
            <w:r>
              <w:rPr>
                <w:rFonts w:hint="eastAsia" w:ascii="宋体" w:hAnsi="宋体" w:eastAsia="宋体" w:cs="宋体"/>
                <w:sz w:val="21"/>
                <w:szCs w:val="21"/>
              </w:rPr>
              <w:t>刺激模式可调：可实现单脉冲刺激、重复脉冲刺激和模式化刺激（含爆发式刺激TBS）多种可选诊疗模式；</w:t>
            </w:r>
          </w:p>
          <w:p>
            <w:pPr>
              <w:numPr>
                <w:ilvl w:val="0"/>
                <w:numId w:val="22"/>
              </w:numPr>
              <w:spacing w:line="360" w:lineRule="auto"/>
              <w:jc w:val="left"/>
              <w:rPr>
                <w:rFonts w:hint="eastAsia" w:ascii="宋体" w:hAnsi="宋体" w:eastAsia="宋体" w:cs="宋体"/>
                <w:sz w:val="21"/>
                <w:szCs w:val="21"/>
              </w:rPr>
            </w:pPr>
            <w:r>
              <w:rPr>
                <w:rFonts w:hint="eastAsia" w:ascii="宋体" w:hAnsi="宋体" w:eastAsia="宋体" w:cs="宋体"/>
                <w:sz w:val="21"/>
                <w:szCs w:val="21"/>
              </w:rPr>
              <w:t>治疗方案库：内置多种临床方案供医生选择；包含压力性尿失禁、急迫性尿失禁、尿频尿急、尿储留、便秘、大便失禁、盆底痛等多种临床治疗方案；</w:t>
            </w:r>
          </w:p>
          <w:p>
            <w:pPr>
              <w:numPr>
                <w:ilvl w:val="0"/>
                <w:numId w:val="22"/>
              </w:num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方案可编辑：刺激强度、频率、脉冲个数、间歇时间、串时间、串数等参数可调，供医生自定义方案；</w:t>
            </w:r>
          </w:p>
          <w:p>
            <w:pPr>
              <w:numPr>
                <w:ilvl w:val="0"/>
                <w:numId w:val="22"/>
              </w:numPr>
              <w:spacing w:line="360" w:lineRule="auto"/>
              <w:jc w:val="left"/>
              <w:rPr>
                <w:rFonts w:hint="eastAsia" w:ascii="宋体" w:hAnsi="宋体" w:eastAsia="宋体" w:cs="宋体"/>
                <w:sz w:val="21"/>
                <w:szCs w:val="21"/>
              </w:rPr>
            </w:pPr>
            <w:r>
              <w:rPr>
                <w:rFonts w:hint="eastAsia" w:ascii="宋体" w:hAnsi="宋体" w:eastAsia="宋体" w:cs="宋体"/>
                <w:sz w:val="21"/>
                <w:szCs w:val="21"/>
              </w:rPr>
              <w:t>刺激方案具有数字和图形两种展示方式，刺激线圈温度显示与控制保护；</w:t>
            </w:r>
          </w:p>
          <w:p>
            <w:pPr>
              <w:numPr>
                <w:ilvl w:val="0"/>
                <w:numId w:val="22"/>
              </w:numPr>
              <w:spacing w:line="360" w:lineRule="auto"/>
              <w:jc w:val="left"/>
              <w:rPr>
                <w:rFonts w:hint="eastAsia" w:ascii="宋体" w:hAnsi="宋体" w:eastAsia="宋体" w:cs="宋体"/>
                <w:sz w:val="21"/>
                <w:szCs w:val="21"/>
              </w:rPr>
            </w:pPr>
            <w:r>
              <w:rPr>
                <w:rFonts w:hint="eastAsia" w:ascii="宋体" w:hAnsi="宋体" w:eastAsia="宋体" w:cs="宋体"/>
                <w:sz w:val="21"/>
                <w:szCs w:val="21"/>
              </w:rPr>
              <w:t>报告输出方式：自动化报告生成与打印，也可根据需要自定义编辑；</w:t>
            </w:r>
          </w:p>
          <w:p>
            <w:pPr>
              <w:numPr>
                <w:ilvl w:val="0"/>
                <w:numId w:val="22"/>
              </w:numPr>
              <w:spacing w:line="360" w:lineRule="auto"/>
              <w:jc w:val="left"/>
              <w:rPr>
                <w:rFonts w:hint="eastAsia" w:ascii="宋体" w:hAnsi="宋体" w:eastAsia="宋体" w:cs="宋体"/>
                <w:sz w:val="21"/>
                <w:szCs w:val="21"/>
              </w:rPr>
            </w:pPr>
            <w:r>
              <w:rPr>
                <w:rFonts w:hint="eastAsia" w:ascii="宋体" w:hAnsi="宋体" w:eastAsia="宋体" w:cs="宋体"/>
                <w:sz w:val="21"/>
                <w:szCs w:val="21"/>
              </w:rPr>
              <w:t>信息管理功能：患者基本信息、临床方案、诊疗记录等信息海量存储，并可实时查询、编辑及导出数据备份保存；</w:t>
            </w:r>
          </w:p>
          <w:p>
            <w:pPr>
              <w:numPr>
                <w:ilvl w:val="0"/>
                <w:numId w:val="22"/>
              </w:numPr>
              <w:spacing w:line="360" w:lineRule="auto"/>
              <w:jc w:val="left"/>
              <w:rPr>
                <w:rFonts w:hint="eastAsia" w:ascii="宋体" w:hAnsi="宋体" w:eastAsia="宋体" w:cs="宋体"/>
                <w:sz w:val="21"/>
                <w:szCs w:val="21"/>
              </w:rPr>
            </w:pPr>
            <w:r>
              <w:rPr>
                <w:rFonts w:hint="eastAsia" w:ascii="宋体" w:hAnsi="宋体" w:eastAsia="宋体" w:cs="宋体"/>
                <w:sz w:val="21"/>
                <w:szCs w:val="21"/>
              </w:rPr>
              <w:t>含波形设置、权限设置等多种自设功能，满足用户多种临床及科研需求；</w:t>
            </w:r>
          </w:p>
          <w:p>
            <w:pPr>
              <w:numPr>
                <w:ilvl w:val="0"/>
                <w:numId w:val="22"/>
              </w:numPr>
              <w:spacing w:line="360" w:lineRule="auto"/>
              <w:jc w:val="left"/>
              <w:rPr>
                <w:rFonts w:hint="eastAsia" w:ascii="宋体" w:hAnsi="宋体" w:eastAsia="宋体" w:cs="宋体"/>
                <w:sz w:val="21"/>
                <w:szCs w:val="21"/>
              </w:rPr>
            </w:pPr>
            <w:r>
              <w:rPr>
                <w:rFonts w:hint="eastAsia" w:ascii="宋体" w:hAnsi="宋体" w:eastAsia="宋体" w:cs="宋体"/>
                <w:sz w:val="21"/>
                <w:szCs w:val="21"/>
              </w:rPr>
              <w:t>兼容思云电子病历系统，实现设备间的数据互联互通。</w:t>
            </w:r>
          </w:p>
          <w:p>
            <w:pPr>
              <w:tabs>
                <w:tab w:val="left" w:pos="1714"/>
                <w:tab w:val="center" w:pos="3321"/>
              </w:tabs>
              <w:jc w:val="both"/>
              <w:rPr>
                <w:rFonts w:hint="eastAsia" w:ascii="宋体" w:hAnsi="宋体" w:eastAsia="宋体" w:cs="宋体"/>
                <w:color w:val="auto"/>
                <w:sz w:val="21"/>
                <w:szCs w:val="21"/>
              </w:rPr>
            </w:pPr>
            <w:r>
              <w:rPr>
                <w:rFonts w:hint="eastAsia" w:ascii="宋体" w:hAnsi="宋体" w:eastAsia="宋体" w:cs="宋体"/>
                <w:sz w:val="21"/>
                <w:szCs w:val="21"/>
              </w:rPr>
              <w:t>软件版本免费升级。</w:t>
            </w:r>
          </w:p>
        </w:tc>
        <w:tc>
          <w:tcPr>
            <w:tcW w:w="552"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台</w:t>
            </w:r>
          </w:p>
        </w:tc>
        <w:tc>
          <w:tcPr>
            <w:tcW w:w="663"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663"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p>
        </w:tc>
        <w:tc>
          <w:tcPr>
            <w:tcW w:w="827" w:type="dxa"/>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生物刺激反馈仪（高端产康）（国产）</w:t>
            </w:r>
          </w:p>
        </w:tc>
        <w:tc>
          <w:tcPr>
            <w:tcW w:w="6737" w:type="dxa"/>
            <w:vAlign w:val="center"/>
          </w:tcPr>
          <w:p>
            <w:pPr>
              <w:tabs>
                <w:tab w:val="left" w:pos="360"/>
              </w:tabs>
              <w:spacing w:before="156" w:beforeLines="50" w:after="156" w:afterLines="50" w:line="400" w:lineRule="exact"/>
              <w:rPr>
                <w:rFonts w:ascii="宋体" w:hAnsi="宋体"/>
                <w:bCs/>
                <w:szCs w:val="24"/>
              </w:rPr>
            </w:pPr>
            <w:r>
              <w:rPr>
                <w:rFonts w:hint="eastAsia" w:ascii="宋体" w:hAnsi="宋体"/>
                <w:b/>
                <w:bCs/>
                <w:szCs w:val="24"/>
              </w:rPr>
              <w:t>适用范围：</w:t>
            </w:r>
            <w:r>
              <w:rPr>
                <w:rFonts w:hint="eastAsia" w:ascii="宋体" w:hAnsi="宋体"/>
                <w:bCs/>
                <w:szCs w:val="24"/>
              </w:rPr>
              <w:t>产后神经肌肉功能障碍的康复治疗，如子宫复旧、尿潴留、腰背痛、腹直肌分离等。</w:t>
            </w:r>
          </w:p>
          <w:p>
            <w:pPr>
              <w:tabs>
                <w:tab w:val="left" w:pos="360"/>
              </w:tabs>
              <w:spacing w:before="156" w:beforeLines="50" w:after="156" w:afterLines="50" w:line="400" w:lineRule="exact"/>
              <w:rPr>
                <w:rFonts w:ascii="宋体" w:hAnsi="宋体"/>
                <w:bCs/>
                <w:szCs w:val="24"/>
              </w:rPr>
            </w:pPr>
            <w:r>
              <w:rPr>
                <w:rFonts w:hint="eastAsia" w:ascii="宋体" w:hAnsi="宋体"/>
                <w:b/>
                <w:bCs/>
                <w:szCs w:val="24"/>
              </w:rPr>
              <w:t>硬件技术参数：</w:t>
            </w:r>
          </w:p>
          <w:p>
            <w:pPr>
              <w:numPr>
                <w:ilvl w:val="0"/>
                <w:numId w:val="23"/>
              </w:numPr>
              <w:tabs>
                <w:tab w:val="left" w:pos="360"/>
              </w:tabs>
              <w:spacing w:before="156" w:beforeLines="50" w:after="156" w:afterLines="50" w:line="400" w:lineRule="exact"/>
              <w:rPr>
                <w:rFonts w:ascii="宋体" w:hAnsi="宋体"/>
                <w:szCs w:val="21"/>
              </w:rPr>
            </w:pPr>
            <w:r>
              <w:rPr>
                <w:rFonts w:hint="eastAsia" w:ascii="宋体" w:hAnsi="宋体"/>
                <w:szCs w:val="21"/>
              </w:rPr>
              <w:t>内置彩色触摸屏，可在触摸屏上直接操作；</w:t>
            </w:r>
          </w:p>
          <w:p>
            <w:pPr>
              <w:numPr>
                <w:ilvl w:val="0"/>
                <w:numId w:val="23"/>
              </w:numPr>
              <w:tabs>
                <w:tab w:val="left" w:pos="360"/>
              </w:tabs>
              <w:spacing w:before="156" w:beforeLines="50" w:after="156" w:afterLines="50" w:line="400" w:lineRule="exact"/>
              <w:rPr>
                <w:rFonts w:ascii="宋体" w:hAnsi="宋体"/>
                <w:szCs w:val="24"/>
              </w:rPr>
            </w:pPr>
            <w:r>
              <w:rPr>
                <w:rFonts w:hint="eastAsia" w:ascii="宋体" w:hAnsi="宋体"/>
                <w:bCs/>
                <w:szCs w:val="24"/>
              </w:rPr>
              <w:t>电</w:t>
            </w:r>
            <w:r>
              <w:rPr>
                <w:rFonts w:hint="eastAsia" w:ascii="宋体" w:hAnsi="宋体"/>
                <w:szCs w:val="24"/>
              </w:rPr>
              <w:t>刺激波形：双向平衡波，刺激舒适，增强患者依从性；</w:t>
            </w:r>
          </w:p>
          <w:p>
            <w:pPr>
              <w:numPr>
                <w:ilvl w:val="0"/>
                <w:numId w:val="23"/>
              </w:numPr>
              <w:tabs>
                <w:tab w:val="left" w:pos="360"/>
              </w:tabs>
              <w:spacing w:before="156" w:beforeLines="50" w:after="156" w:afterLines="50" w:line="400" w:lineRule="exact"/>
              <w:rPr>
                <w:rFonts w:ascii="宋体" w:hAnsi="宋体"/>
                <w:szCs w:val="21"/>
              </w:rPr>
            </w:pPr>
            <w:r>
              <w:rPr>
                <w:rFonts w:hint="eastAsia" w:ascii="宋体" w:hAnsi="宋体"/>
                <w:szCs w:val="24"/>
              </w:rPr>
              <w:t>物理通道数：4独立通道，每个通道可以实现电刺激和生物反馈；</w:t>
            </w:r>
          </w:p>
          <w:p>
            <w:pPr>
              <w:numPr>
                <w:ilvl w:val="0"/>
                <w:numId w:val="23"/>
              </w:numPr>
              <w:tabs>
                <w:tab w:val="left" w:pos="360"/>
              </w:tabs>
              <w:spacing w:before="156" w:beforeLines="50" w:after="156" w:afterLines="50" w:line="400" w:lineRule="exact"/>
              <w:rPr>
                <w:rFonts w:ascii="宋体" w:hAnsi="宋体"/>
                <w:szCs w:val="21"/>
              </w:rPr>
            </w:pPr>
            <w:r>
              <w:rPr>
                <w:rFonts w:hint="eastAsia" w:ascii="宋体" w:hAnsi="宋体" w:cs="宋体"/>
                <w:szCs w:val="24"/>
              </w:rPr>
              <w:t>AD采样率：≥4096Hz；</w:t>
            </w:r>
          </w:p>
          <w:p>
            <w:pPr>
              <w:numPr>
                <w:ilvl w:val="0"/>
                <w:numId w:val="23"/>
              </w:numPr>
              <w:spacing w:before="156" w:beforeLines="50" w:after="156" w:afterLines="50" w:line="340" w:lineRule="exact"/>
              <w:rPr>
                <w:rFonts w:ascii="宋体" w:hAnsi="宋体" w:cs="宋体"/>
                <w:szCs w:val="24"/>
              </w:rPr>
            </w:pPr>
            <w:r>
              <w:rPr>
                <w:rFonts w:hint="eastAsia" w:ascii="宋体" w:hAnsi="宋体" w:cs="宋体"/>
                <w:szCs w:val="24"/>
              </w:rPr>
              <w:t>AD采样位：16位；</w:t>
            </w:r>
          </w:p>
          <w:p>
            <w:pPr>
              <w:numPr>
                <w:ilvl w:val="0"/>
                <w:numId w:val="23"/>
              </w:numPr>
              <w:spacing w:before="156" w:beforeLines="50" w:after="156" w:afterLines="50" w:line="340" w:lineRule="exact"/>
              <w:rPr>
                <w:rFonts w:ascii="宋体" w:hAnsi="宋体"/>
                <w:szCs w:val="24"/>
              </w:rPr>
            </w:pPr>
            <w:r>
              <w:rPr>
                <w:rFonts w:hint="eastAsia" w:ascii="宋体" w:hAnsi="宋体" w:cs="宋体"/>
                <w:szCs w:val="24"/>
              </w:rPr>
              <w:t>刺激强度：</w:t>
            </w:r>
            <w:r>
              <w:rPr>
                <w:rFonts w:hint="eastAsia" w:ascii="宋体" w:hAnsi="宋体"/>
                <w:szCs w:val="24"/>
              </w:rPr>
              <w:t>0mA～100mA；</w:t>
            </w:r>
          </w:p>
          <w:p>
            <w:pPr>
              <w:numPr>
                <w:ilvl w:val="0"/>
                <w:numId w:val="23"/>
              </w:numPr>
              <w:spacing w:before="156" w:beforeLines="50" w:after="156" w:afterLines="50" w:line="340" w:lineRule="exact"/>
              <w:rPr>
                <w:rFonts w:ascii="宋体" w:hAnsi="宋体"/>
                <w:szCs w:val="24"/>
              </w:rPr>
            </w:pPr>
            <w:r>
              <w:rPr>
                <w:rFonts w:hint="eastAsia" w:ascii="宋体" w:hAnsi="宋体" w:cs="宋体"/>
                <w:szCs w:val="24"/>
              </w:rPr>
              <w:t>刺激频率：</w:t>
            </w:r>
            <w:r>
              <w:rPr>
                <w:rFonts w:hint="eastAsia" w:ascii="宋体" w:hAnsi="宋体"/>
                <w:szCs w:val="24"/>
              </w:rPr>
              <w:t>2Hz～100Hz；</w:t>
            </w:r>
          </w:p>
          <w:p>
            <w:pPr>
              <w:numPr>
                <w:ilvl w:val="0"/>
                <w:numId w:val="23"/>
              </w:numPr>
              <w:spacing w:before="156" w:beforeLines="50" w:after="156" w:afterLines="50" w:line="340" w:lineRule="exact"/>
              <w:rPr>
                <w:rFonts w:ascii="宋体" w:hAnsi="宋体"/>
                <w:szCs w:val="24"/>
              </w:rPr>
            </w:pPr>
            <w:r>
              <w:rPr>
                <w:rFonts w:hint="eastAsia" w:ascii="宋体" w:hAnsi="宋体"/>
                <w:szCs w:val="24"/>
              </w:rPr>
              <w:t>脉冲宽度：50μs～400μs；</w:t>
            </w:r>
          </w:p>
          <w:p>
            <w:pPr>
              <w:numPr>
                <w:ilvl w:val="0"/>
                <w:numId w:val="23"/>
              </w:numPr>
              <w:spacing w:before="156" w:beforeLines="50" w:after="156" w:afterLines="50" w:line="340" w:lineRule="exact"/>
              <w:rPr>
                <w:rFonts w:ascii="宋体" w:hAnsi="宋体"/>
                <w:szCs w:val="24"/>
              </w:rPr>
            </w:pPr>
            <w:r>
              <w:rPr>
                <w:rFonts w:hint="eastAsia" w:ascii="宋体" w:hAnsi="宋体"/>
                <w:szCs w:val="24"/>
              </w:rPr>
              <w:t>肌电测量范围：1μV～999μV（r.m.s）</w:t>
            </w:r>
          </w:p>
          <w:p>
            <w:pPr>
              <w:numPr>
                <w:ilvl w:val="0"/>
                <w:numId w:val="23"/>
              </w:numPr>
              <w:spacing w:before="156" w:beforeLines="50" w:after="156" w:afterLines="50" w:line="340" w:lineRule="exact"/>
              <w:rPr>
                <w:rFonts w:ascii="宋体" w:hAnsi="宋体"/>
                <w:szCs w:val="24"/>
              </w:rPr>
            </w:pPr>
            <w:r>
              <w:rPr>
                <w:rFonts w:hint="eastAsia" w:ascii="宋体" w:hAnsi="宋体"/>
                <w:szCs w:val="24"/>
              </w:rPr>
              <w:t>最高分辨率：小于0.2μV（r.m.s）；</w:t>
            </w:r>
          </w:p>
          <w:p>
            <w:pPr>
              <w:numPr>
                <w:ilvl w:val="0"/>
                <w:numId w:val="23"/>
              </w:numPr>
              <w:spacing w:before="156" w:beforeLines="50" w:after="156" w:afterLines="50" w:line="340" w:lineRule="exact"/>
              <w:rPr>
                <w:rFonts w:ascii="宋体" w:hAnsi="宋体"/>
                <w:szCs w:val="24"/>
              </w:rPr>
            </w:pPr>
            <w:r>
              <w:rPr>
                <w:rFonts w:hint="eastAsia" w:ascii="宋体" w:hAnsi="宋体"/>
                <w:szCs w:val="24"/>
              </w:rPr>
              <w:t>输入噪声：小于1μV（r.m.s）；</w:t>
            </w:r>
          </w:p>
          <w:p>
            <w:pPr>
              <w:numPr>
                <w:ilvl w:val="0"/>
                <w:numId w:val="23"/>
              </w:numPr>
              <w:spacing w:before="156" w:beforeLines="50" w:after="156" w:afterLines="50" w:line="340" w:lineRule="exact"/>
              <w:rPr>
                <w:rFonts w:ascii="宋体" w:hAnsi="宋体"/>
                <w:szCs w:val="24"/>
              </w:rPr>
            </w:pPr>
            <w:r>
              <w:rPr>
                <w:rFonts w:hint="eastAsia" w:ascii="宋体" w:hAnsi="宋体"/>
                <w:szCs w:val="24"/>
              </w:rPr>
              <w:t>通频带：30Hz～450Hz;</w:t>
            </w:r>
          </w:p>
          <w:p>
            <w:pPr>
              <w:numPr>
                <w:ilvl w:val="0"/>
                <w:numId w:val="23"/>
              </w:numPr>
              <w:spacing w:before="156" w:beforeLines="50" w:after="156" w:afterLines="50" w:line="340" w:lineRule="exact"/>
              <w:rPr>
                <w:rFonts w:ascii="宋体" w:hAnsi="宋体"/>
                <w:szCs w:val="24"/>
              </w:rPr>
            </w:pPr>
            <w:r>
              <w:rPr>
                <w:rFonts w:hint="eastAsia" w:ascii="宋体" w:hAnsi="宋体"/>
                <w:szCs w:val="24"/>
              </w:rPr>
              <w:t>差模输入阻抗：大于5MΩ；</w:t>
            </w:r>
          </w:p>
          <w:p>
            <w:pPr>
              <w:numPr>
                <w:ilvl w:val="0"/>
                <w:numId w:val="23"/>
              </w:numPr>
              <w:spacing w:before="156" w:beforeLines="50" w:after="156" w:afterLines="50" w:line="340" w:lineRule="exact"/>
              <w:rPr>
                <w:rFonts w:ascii="宋体" w:hAnsi="宋体"/>
                <w:szCs w:val="24"/>
              </w:rPr>
            </w:pPr>
            <w:r>
              <w:rPr>
                <w:rFonts w:hint="eastAsia" w:ascii="宋体" w:hAnsi="宋体"/>
                <w:szCs w:val="24"/>
              </w:rPr>
              <w:t>共模抑制比：大于100dB；</w:t>
            </w:r>
          </w:p>
          <w:p>
            <w:pPr>
              <w:numPr>
                <w:ilvl w:val="0"/>
                <w:numId w:val="23"/>
              </w:numPr>
              <w:spacing w:before="156" w:beforeLines="50" w:after="156" w:afterLines="50" w:line="340" w:lineRule="exact"/>
              <w:rPr>
                <w:rFonts w:ascii="宋体" w:hAnsi="宋体"/>
                <w:szCs w:val="24"/>
              </w:rPr>
            </w:pPr>
            <w:r>
              <w:rPr>
                <w:rFonts w:hint="eastAsia" w:ascii="宋体" w:hAnsi="宋体"/>
                <w:szCs w:val="24"/>
              </w:rPr>
              <w:t>移动推车+手提箱的完美设计，满足床边和出诊的不同需求。</w:t>
            </w:r>
          </w:p>
          <w:p>
            <w:pPr>
              <w:numPr>
                <w:ilvl w:val="0"/>
                <w:numId w:val="23"/>
              </w:numPr>
              <w:spacing w:before="156" w:beforeLines="50" w:after="156" w:afterLines="50" w:line="340" w:lineRule="exact"/>
              <w:rPr>
                <w:rFonts w:ascii="宋体" w:hAnsi="宋体"/>
                <w:szCs w:val="24"/>
              </w:rPr>
            </w:pPr>
            <w:r>
              <w:rPr>
                <w:rFonts w:hint="eastAsia" w:ascii="宋体" w:hAnsi="宋体"/>
                <w:szCs w:val="24"/>
              </w:rPr>
              <w:t>内置电源+外接电源，双供电模式，满足不同临床应用场景。</w:t>
            </w:r>
          </w:p>
          <w:p>
            <w:pPr>
              <w:spacing w:before="156" w:beforeLines="50" w:after="156" w:afterLines="50" w:line="340" w:lineRule="exact"/>
              <w:rPr>
                <w:rFonts w:ascii="宋体" w:hAnsi="宋体"/>
                <w:b/>
                <w:szCs w:val="24"/>
              </w:rPr>
            </w:pPr>
            <w:r>
              <w:rPr>
                <w:rFonts w:hint="eastAsia" w:ascii="宋体" w:hAnsi="宋体"/>
                <w:b/>
                <w:szCs w:val="24"/>
              </w:rPr>
              <w:t>软件技术参数：</w:t>
            </w:r>
          </w:p>
          <w:p>
            <w:pPr>
              <w:spacing w:before="156" w:beforeLines="50" w:after="156" w:afterLines="50" w:line="340" w:lineRule="exact"/>
              <w:rPr>
                <w:rFonts w:ascii="宋体" w:hAnsi="宋体"/>
                <w:szCs w:val="24"/>
              </w:rPr>
            </w:pPr>
            <w:r>
              <w:rPr>
                <w:rFonts w:hint="eastAsia" w:ascii="宋体" w:hAnsi="宋体" w:cs="宋体"/>
                <w:szCs w:val="24"/>
              </w:rPr>
              <w:t>1、多种产康</w:t>
            </w:r>
            <w:r>
              <w:rPr>
                <w:rFonts w:hint="eastAsia" w:ascii="宋体" w:hAnsi="宋体"/>
                <w:szCs w:val="24"/>
              </w:rPr>
              <w:t>方案，满足产后常见症状的治疗，包括：子宫复旧、产后尿潴留、乳腺疏通、腹直肌分离、腰背痛、肌肉酸痛等。</w:t>
            </w:r>
          </w:p>
          <w:p>
            <w:pPr>
              <w:spacing w:before="156" w:beforeLines="50" w:after="156" w:afterLines="50" w:line="340" w:lineRule="exact"/>
              <w:rPr>
                <w:rFonts w:ascii="宋体" w:hAnsi="宋体" w:cs="宋体"/>
                <w:szCs w:val="24"/>
              </w:rPr>
            </w:pPr>
            <w:r>
              <w:rPr>
                <w:rFonts w:hint="eastAsia" w:ascii="宋体" w:hAnsi="宋体" w:cs="宋体"/>
                <w:szCs w:val="24"/>
              </w:rPr>
              <w:t>2、腰背痛评估，采用表面肌电方法评估腰背部肌肉是否出现过度紧张，并给出报告。</w:t>
            </w:r>
          </w:p>
          <w:p>
            <w:pPr>
              <w:spacing w:before="156" w:beforeLines="50" w:after="156" w:afterLines="50" w:line="340" w:lineRule="exact"/>
              <w:rPr>
                <w:rFonts w:ascii="宋体" w:hAnsi="宋体" w:cs="宋体"/>
                <w:szCs w:val="24"/>
              </w:rPr>
            </w:pPr>
            <w:r>
              <w:rPr>
                <w:rFonts w:hint="eastAsia" w:ascii="宋体" w:hAnsi="宋体" w:cs="宋体"/>
                <w:szCs w:val="24"/>
              </w:rPr>
              <w:t>3、生物反馈治疗，通过采集腰背部肌肉的肌电信号，反馈至患者，指导患者高效放松腰背部肌肉，改善疼痛症状。</w:t>
            </w:r>
          </w:p>
          <w:p>
            <w:pPr>
              <w:spacing w:before="156" w:beforeLines="50" w:after="156" w:afterLines="50" w:line="340" w:lineRule="exact"/>
              <w:rPr>
                <w:rFonts w:ascii="宋体" w:hAnsi="宋体" w:cs="宋体"/>
                <w:szCs w:val="24"/>
              </w:rPr>
            </w:pPr>
            <w:r>
              <w:rPr>
                <w:rFonts w:hint="eastAsia" w:ascii="宋体" w:hAnsi="宋体" w:cs="宋体"/>
                <w:szCs w:val="24"/>
              </w:rPr>
              <w:t>4、自定义方案，客户可以自行编辑电刺激参数，设置方案，满足个性化和多样化的治疗。</w:t>
            </w:r>
          </w:p>
          <w:p>
            <w:pPr>
              <w:spacing w:before="156" w:beforeLines="50" w:after="156" w:afterLines="50" w:line="340" w:lineRule="exact"/>
              <w:rPr>
                <w:rFonts w:ascii="宋体" w:hAnsi="宋体" w:cs="宋体"/>
                <w:szCs w:val="24"/>
              </w:rPr>
            </w:pPr>
            <w:r>
              <w:rPr>
                <w:rFonts w:hint="eastAsia" w:ascii="宋体" w:hAnsi="宋体" w:cs="宋体"/>
                <w:szCs w:val="24"/>
              </w:rPr>
              <w:t>5、采用肌电触发电刺激，结合运动疗法，有效改善腹直肌分离。</w:t>
            </w:r>
          </w:p>
          <w:p>
            <w:pPr>
              <w:spacing w:before="156" w:beforeLines="50" w:after="156" w:afterLines="50" w:line="340" w:lineRule="exact"/>
              <w:rPr>
                <w:rFonts w:ascii="宋体" w:hAnsi="宋体" w:cs="宋体"/>
                <w:szCs w:val="24"/>
              </w:rPr>
            </w:pPr>
            <w:r>
              <w:rPr>
                <w:rFonts w:hint="eastAsia" w:ascii="宋体" w:hAnsi="宋体" w:cs="宋体"/>
                <w:szCs w:val="24"/>
              </w:rPr>
              <w:t>6、采用IC卡存储治疗方案，支持一键式刷卡治疗，极大提高临床操作效率。</w:t>
            </w:r>
          </w:p>
          <w:p>
            <w:pPr>
              <w:spacing w:before="156" w:beforeLines="50" w:after="156" w:afterLines="50" w:line="340" w:lineRule="exact"/>
              <w:rPr>
                <w:rFonts w:ascii="宋体" w:hAnsi="宋体" w:cs="宋体"/>
                <w:szCs w:val="24"/>
              </w:rPr>
            </w:pPr>
            <w:r>
              <w:rPr>
                <w:rFonts w:hint="eastAsia" w:ascii="宋体" w:hAnsi="宋体" w:cs="宋体"/>
                <w:szCs w:val="24"/>
              </w:rPr>
              <w:t>7、对腰背痛评估数据进行数据管理，包括查看、修改、查找、报告预览和打印等。</w:t>
            </w:r>
          </w:p>
          <w:p>
            <w:pPr>
              <w:spacing w:before="156" w:beforeLines="50" w:after="156" w:afterLines="50" w:line="340" w:lineRule="exact"/>
              <w:rPr>
                <w:rFonts w:ascii="宋体" w:hAnsi="宋体" w:cs="宋体"/>
                <w:szCs w:val="24"/>
              </w:rPr>
            </w:pPr>
            <w:r>
              <w:rPr>
                <w:rFonts w:hint="eastAsia" w:ascii="宋体" w:hAnsi="宋体" w:cs="宋体"/>
                <w:szCs w:val="24"/>
              </w:rPr>
              <w:t>8、常用方案设有电极片的粘贴示意图，方便客户操作。</w:t>
            </w:r>
          </w:p>
          <w:p>
            <w:pPr>
              <w:rPr>
                <w:rFonts w:hint="eastAsia" w:ascii="宋体" w:hAnsi="宋体" w:eastAsia="宋体" w:cs="宋体"/>
                <w:color w:val="auto"/>
                <w:sz w:val="21"/>
                <w:szCs w:val="21"/>
              </w:rPr>
            </w:pPr>
          </w:p>
        </w:tc>
        <w:tc>
          <w:tcPr>
            <w:tcW w:w="552"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台</w:t>
            </w:r>
          </w:p>
        </w:tc>
        <w:tc>
          <w:tcPr>
            <w:tcW w:w="663"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p>
        </w:tc>
        <w:tc>
          <w:tcPr>
            <w:tcW w:w="663"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是</w:t>
            </w:r>
          </w:p>
        </w:tc>
      </w:tr>
    </w:tbl>
    <w:p>
      <w:pPr>
        <w:pStyle w:val="21"/>
        <w:ind w:firstLine="0" w:firstLineChars="0"/>
        <w:rPr>
          <w:rFonts w:cs="微软雅黑" w:asciiTheme="minorEastAsia" w:hAnsiTheme="minorEastAsia"/>
          <w:b/>
          <w:color w:val="FF0000"/>
          <w:sz w:val="24"/>
          <w:szCs w:val="24"/>
        </w:rPr>
      </w:pPr>
    </w:p>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color w:val="auto"/>
          <w:kern w:val="0"/>
          <w:sz w:val="24"/>
          <w:szCs w:val="24"/>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cs="仿宋_GB2312" w:asciiTheme="minorEastAsia" w:hAnsiTheme="minorEastAsia"/>
          <w:color w:val="auto"/>
          <w:sz w:val="24"/>
          <w:szCs w:val="24"/>
          <w:lang w:val="zh-CN"/>
        </w:rPr>
        <w:t>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hint="eastAsia" w:ascii="宋体" w:hAnsi="宋体" w:eastAsia="宋体" w:cs="宋体"/>
          <w:b/>
          <w:color w:val="auto"/>
          <w:kern w:val="0"/>
          <w:sz w:val="24"/>
          <w:szCs w:val="24"/>
          <w:lang w:val="zh-CN"/>
        </w:rPr>
      </w:pPr>
      <w:r>
        <w:rPr>
          <w:rFonts w:hint="eastAsia" w:ascii="宋体" w:hAnsi="宋体" w:eastAsia="宋体" w:cs="宋体"/>
          <w:b/>
          <w:color w:val="auto"/>
          <w:sz w:val="24"/>
          <w:szCs w:val="24"/>
        </w:rPr>
        <w:t>★</w:t>
      </w:r>
      <w:r>
        <w:rPr>
          <w:rFonts w:hint="eastAsia" w:ascii="宋体" w:hAnsi="宋体" w:eastAsia="宋体" w:cs="宋体"/>
          <w:b/>
          <w:color w:val="auto"/>
          <w:kern w:val="0"/>
          <w:sz w:val="24"/>
          <w:szCs w:val="24"/>
          <w:lang w:val="zh-CN"/>
        </w:rPr>
        <w:t>四、采购标的的其他技术、服务等要求</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en-US" w:eastAsia="zh-CN"/>
        </w:rPr>
        <w:t>3</w:t>
      </w:r>
      <w:r>
        <w:rPr>
          <w:rFonts w:hint="eastAsia" w:cs="宋体" w:asciiTheme="minorEastAsia" w:hAnsiTheme="minorEastAsia"/>
          <w:color w:val="auto"/>
          <w:kern w:val="0"/>
          <w:sz w:val="24"/>
          <w:szCs w:val="24"/>
          <w:lang w:val="zh-CN"/>
        </w:rPr>
        <w:t>、投标人应就该项目进行完整投标，否则为无效投标。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en-US" w:eastAsia="zh-CN"/>
        </w:rPr>
        <w:t>4</w:t>
      </w:r>
      <w:r>
        <w:rPr>
          <w:rFonts w:hint="eastAsia" w:cs="宋体" w:asciiTheme="minorEastAsia" w:hAnsiTheme="minorEastAsia"/>
          <w:color w:val="auto"/>
          <w:kern w:val="0"/>
          <w:sz w:val="24"/>
          <w:szCs w:val="24"/>
          <w:lang w:val="zh-CN"/>
        </w:rPr>
        <w:t>、本招标文件所列需求为最低要求，投标产品不得低于最低要求，否则为无效投标。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en-US" w:eastAsia="zh-CN"/>
        </w:rPr>
        <w:t>5</w:t>
      </w:r>
      <w:r>
        <w:rPr>
          <w:rFonts w:hint="eastAsia" w:cs="宋体" w:asciiTheme="minorEastAsia" w:hAnsiTheme="minorEastAsia"/>
          <w:color w:val="auto"/>
          <w:kern w:val="0"/>
          <w:sz w:val="24"/>
          <w:szCs w:val="24"/>
          <w:lang w:val="zh-CN"/>
        </w:rPr>
        <w:t xml:space="preserve">、专利权：投标人应保证用户在使用该货物或其任何一部分时不受第三方提出侵犯其专利权、商标权和工业设计权等的起诉。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en-US" w:eastAsia="zh-CN"/>
        </w:rPr>
        <w:t>6</w:t>
      </w:r>
      <w:r>
        <w:rPr>
          <w:rFonts w:hint="eastAsia" w:cs="宋体" w:asciiTheme="minorEastAsia" w:hAnsiTheme="minorEastAsia"/>
          <w:color w:val="auto"/>
          <w:kern w:val="0"/>
          <w:sz w:val="24"/>
          <w:szCs w:val="24"/>
          <w:lang w:val="zh-CN"/>
        </w:rPr>
        <w:t>、质量要求：合格。设备必须符合国家质量检测标准和本招标文件规定标准的全新正品现货，提供随货物《产品合格证》及其它相关质量、技术及技术证明文件。</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en-US" w:eastAsia="zh-CN"/>
        </w:rPr>
        <w:t>7</w:t>
      </w:r>
      <w:r>
        <w:rPr>
          <w:rFonts w:hint="eastAsia" w:cs="宋体" w:asciiTheme="minorEastAsia" w:hAnsiTheme="minorEastAsia"/>
          <w:color w:val="auto"/>
          <w:kern w:val="0"/>
          <w:sz w:val="24"/>
          <w:szCs w:val="24"/>
          <w:lang w:val="zh-CN"/>
        </w:rPr>
        <w:t>、维修响应时间：接到通知后12小时内工作人员应到达现场。</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en-US" w:eastAsia="zh-CN"/>
        </w:rPr>
        <w:t>8</w:t>
      </w:r>
      <w:r>
        <w:rPr>
          <w:rFonts w:hint="eastAsia" w:cs="宋体" w:asciiTheme="minorEastAsia" w:hAnsiTheme="minorEastAsia"/>
          <w:color w:val="auto"/>
          <w:kern w:val="0"/>
          <w:sz w:val="24"/>
          <w:szCs w:val="24"/>
          <w:lang w:val="zh-CN"/>
        </w:rPr>
        <w:t>、中标人提供免费培训操作及维修人员，现场技术培训，保证使用人员能够正确操作、使用设备的各种功能；免费负责设备的安装及调试，提供设备操作手册、设备的运行、安装、使用环境要求和维修指导说明书。</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en-US" w:eastAsia="zh-CN"/>
        </w:rPr>
        <w:t>9</w:t>
      </w:r>
      <w:r>
        <w:rPr>
          <w:rFonts w:hint="eastAsia" w:cs="宋体" w:asciiTheme="minorEastAsia" w:hAnsiTheme="minorEastAsia"/>
          <w:color w:val="auto"/>
          <w:kern w:val="0"/>
          <w:sz w:val="24"/>
          <w:szCs w:val="24"/>
          <w:lang w:val="zh-CN"/>
        </w:rPr>
        <w:t>、保修期：整机保修三年，软件终身免费升级，不响应的为无效投标。</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10、在货物到达使用单位后，卖方派工程技术人员到达现场，在买方技术人员在场的情况下开箱清点货物，组织安装、调试，设备交付正常使用前所发生的所有费用均由公司承担。</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11、设备安装后，医院按国际和国家标准及厂方标准进行质量验收。卖方应向买方提供详细的验收标准、验收手册。买方有权委托中国有资格的单位对上述仪器进行精度校核。</w:t>
      </w:r>
    </w:p>
    <w:p>
      <w:pPr>
        <w:widowControl/>
        <w:shd w:val="clear" w:color="auto" w:fill="FFFFFF"/>
        <w:spacing w:line="360" w:lineRule="auto"/>
        <w:ind w:firstLine="480" w:firstLineChars="200"/>
        <w:contextualSpacing/>
        <w:jc w:val="left"/>
        <w:rPr>
          <w:rFonts w:hint="eastAsia"/>
          <w:lang w:val="en-US" w:eastAsia="zh-CN"/>
        </w:rPr>
      </w:pPr>
      <w:r>
        <w:rPr>
          <w:rFonts w:hint="eastAsia" w:cs="宋体" w:asciiTheme="minorEastAsia" w:hAnsiTheme="minorEastAsia"/>
          <w:color w:val="auto"/>
          <w:kern w:val="0"/>
          <w:sz w:val="24"/>
          <w:szCs w:val="24"/>
          <w:lang w:val="en-US" w:eastAsia="zh-CN"/>
        </w:rPr>
        <w:t>12、设备交付正常使用前所发生的所有费用均由中标人承担。</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en-US" w:eastAsia="zh-CN"/>
        </w:rPr>
        <w:t>1、</w:t>
      </w:r>
      <w:r>
        <w:rPr>
          <w:rFonts w:hint="eastAsia" w:cs="宋体" w:asciiTheme="minorEastAsia" w:hAnsiTheme="minorEastAsia"/>
          <w:color w:val="auto"/>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en-US" w:eastAsia="zh-CN"/>
        </w:rPr>
        <w:t>2、</w:t>
      </w:r>
      <w:r>
        <w:rPr>
          <w:rFonts w:hint="eastAsia" w:cs="宋体" w:asciiTheme="minorEastAsia" w:hAnsiTheme="minorEastAsia"/>
          <w:color w:val="auto"/>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黑体" w:asciiTheme="minorEastAsia" w:hAnsiTheme="minorEastAsia" w:eastAsiaTheme="minorEastAsia"/>
          <w:b/>
          <w:bCs/>
          <w:color w:val="auto"/>
          <w:shd w:val="clear" w:color="auto" w:fill="FFFFFF"/>
        </w:rPr>
        <w:t>六、本项目预算金额：</w:t>
      </w:r>
      <w:r>
        <w:rPr>
          <w:rFonts w:hint="eastAsia" w:cs="黑体" w:asciiTheme="minorEastAsia" w:hAnsiTheme="minorEastAsia" w:eastAsiaTheme="minorEastAsia"/>
          <w:b/>
          <w:bCs/>
          <w:color w:val="auto"/>
          <w:shd w:val="clear" w:color="auto" w:fill="FFFFFF"/>
          <w:lang w:val="en-US" w:eastAsia="zh-CN"/>
        </w:rPr>
        <w:t>98</w:t>
      </w:r>
      <w:r>
        <w:rPr>
          <w:rFonts w:hint="eastAsia" w:cs="黑体" w:asciiTheme="minorEastAsia" w:hAnsiTheme="minorEastAsia" w:eastAsiaTheme="minorEastAsia"/>
          <w:b/>
          <w:bCs/>
          <w:color w:val="auto"/>
          <w:shd w:val="clear" w:color="auto" w:fill="FFFFFF"/>
          <w:lang w:val="zh-CN"/>
        </w:rPr>
        <w:t>万元，最高限价：</w:t>
      </w:r>
      <w:r>
        <w:rPr>
          <w:rFonts w:hint="eastAsia" w:cs="黑体" w:asciiTheme="minorEastAsia" w:hAnsiTheme="minorEastAsia" w:eastAsiaTheme="minorEastAsia"/>
          <w:b/>
          <w:bCs/>
          <w:color w:val="auto"/>
          <w:shd w:val="clear" w:color="auto" w:fill="FFFFFF"/>
          <w:lang w:val="en-US" w:eastAsia="zh-CN"/>
        </w:rPr>
        <w:t>98</w:t>
      </w:r>
      <w:r>
        <w:rPr>
          <w:rFonts w:hint="eastAsia" w:cs="黑体" w:asciiTheme="minorEastAsia" w:hAnsiTheme="minorEastAsia" w:eastAsiaTheme="minorEastAsia"/>
          <w:b/>
          <w:bCs/>
          <w:color w:val="auto"/>
          <w:shd w:val="clear" w:color="auto" w:fill="FFFFFF"/>
          <w:lang w:val="zh-CN"/>
        </w:rPr>
        <w:t>万元</w:t>
      </w:r>
      <w:r>
        <w:rPr>
          <w:rFonts w:hint="eastAsia" w:cs="黑体" w:asciiTheme="minorEastAsia" w:hAnsiTheme="minorEastAsia" w:eastAsiaTheme="minorEastAsia"/>
          <w:b/>
          <w:bCs/>
          <w:color w:val="auto"/>
          <w:shd w:val="clear" w:color="auto" w:fill="FFFFFF"/>
        </w:rPr>
        <w:t>。</w:t>
      </w:r>
      <w:r>
        <w:rPr>
          <w:rFonts w:hint="eastAsia" w:cs="宋体" w:asciiTheme="minorEastAsia" w:hAnsiTheme="minorEastAsia" w:eastAsiaTheme="minorEastAsia"/>
          <w:b/>
          <w:color w:val="auto"/>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七、资金支付</w:t>
      </w:r>
    </w:p>
    <w:p>
      <w:pPr>
        <w:widowControl/>
        <w:shd w:val="clear" w:color="auto" w:fill="FFFFFF"/>
        <w:spacing w:line="360" w:lineRule="auto"/>
        <w:ind w:firstLine="480" w:firstLineChars="200"/>
        <w:contextualSpacing/>
        <w:jc w:val="left"/>
        <w:rPr>
          <w:rFonts w:cs="黑体" w:asciiTheme="minorEastAsia" w:hAnsiTheme="minorEastAsia"/>
          <w:color w:val="0000FF"/>
          <w:kern w:val="0"/>
          <w:sz w:val="24"/>
          <w:szCs w:val="24"/>
          <w:lang w:val="zh-CN"/>
        </w:rPr>
      </w:pPr>
      <w:r>
        <w:rPr>
          <w:rFonts w:hint="eastAsia" w:cs="黑体" w:asciiTheme="minorEastAsia" w:hAnsiTheme="minorEastAsia"/>
          <w:color w:val="0000FF"/>
          <w:kern w:val="0"/>
          <w:sz w:val="24"/>
          <w:szCs w:val="24"/>
        </w:rPr>
        <w:t>1、</w:t>
      </w:r>
      <w:r>
        <w:rPr>
          <w:rFonts w:hint="eastAsia" w:cs="黑体" w:asciiTheme="minorEastAsia" w:hAnsiTheme="minorEastAsia"/>
          <w:color w:val="0000FF"/>
          <w:kern w:val="0"/>
          <w:sz w:val="24"/>
          <w:szCs w:val="24"/>
          <w:lang w:val="zh-CN"/>
        </w:rPr>
        <w:t>支付方式：银行转账</w:t>
      </w:r>
    </w:p>
    <w:p>
      <w:pPr>
        <w:widowControl/>
        <w:shd w:val="clear" w:color="auto" w:fill="FFFFFF"/>
        <w:spacing w:line="360" w:lineRule="auto"/>
        <w:ind w:firstLine="480" w:firstLineChars="200"/>
        <w:contextualSpacing/>
        <w:jc w:val="left"/>
        <w:rPr>
          <w:rFonts w:cs="黑体" w:asciiTheme="minorEastAsia" w:hAnsiTheme="minorEastAsia"/>
          <w:color w:val="0000FF"/>
          <w:kern w:val="0"/>
          <w:sz w:val="24"/>
          <w:szCs w:val="24"/>
          <w:lang w:val="zh-CN"/>
        </w:rPr>
      </w:pPr>
      <w:r>
        <w:rPr>
          <w:rFonts w:hint="eastAsia" w:cs="黑体" w:asciiTheme="minorEastAsia" w:hAnsiTheme="minorEastAsia"/>
          <w:color w:val="0000FF"/>
          <w:kern w:val="0"/>
          <w:sz w:val="24"/>
          <w:szCs w:val="24"/>
        </w:rPr>
        <w:t>2、</w:t>
      </w:r>
      <w:r>
        <w:rPr>
          <w:rFonts w:hint="eastAsia" w:cs="黑体" w:asciiTheme="minorEastAsia" w:hAnsiTheme="minorEastAsia"/>
          <w:color w:val="0000FF"/>
          <w:kern w:val="0"/>
          <w:sz w:val="24"/>
          <w:szCs w:val="24"/>
          <w:lang w:val="zh-CN"/>
        </w:rPr>
        <w:t>支付时间及条件：设备安装调试合格使用后付合同总价款的</w:t>
      </w:r>
      <w:r>
        <w:rPr>
          <w:rFonts w:hint="eastAsia" w:cs="黑体" w:asciiTheme="minorEastAsia" w:hAnsiTheme="minorEastAsia"/>
          <w:color w:val="0000FF"/>
          <w:kern w:val="0"/>
          <w:sz w:val="24"/>
          <w:szCs w:val="24"/>
          <w:lang w:val="en-US" w:eastAsia="zh-CN"/>
        </w:rPr>
        <w:t>90</w:t>
      </w:r>
      <w:r>
        <w:rPr>
          <w:rFonts w:hint="eastAsia" w:cs="黑体" w:asciiTheme="minorEastAsia" w:hAnsiTheme="minorEastAsia"/>
          <w:color w:val="0000FF"/>
          <w:kern w:val="0"/>
          <w:sz w:val="24"/>
          <w:szCs w:val="24"/>
          <w:lang w:val="zh-CN"/>
        </w:rPr>
        <w:t>%，满一年无质量问题付合同总价款的</w:t>
      </w:r>
      <w:r>
        <w:rPr>
          <w:rFonts w:hint="eastAsia" w:cs="黑体" w:asciiTheme="minorEastAsia" w:hAnsiTheme="minorEastAsia"/>
          <w:color w:val="0000FF"/>
          <w:kern w:val="0"/>
          <w:sz w:val="24"/>
          <w:szCs w:val="24"/>
          <w:lang w:val="en-US" w:eastAsia="zh-CN"/>
        </w:rPr>
        <w:t>10</w:t>
      </w:r>
      <w:r>
        <w:rPr>
          <w:rFonts w:hint="eastAsia" w:cs="黑体" w:asciiTheme="minorEastAsia" w:hAnsiTheme="minorEastAsia"/>
          <w:color w:val="0000FF"/>
          <w:kern w:val="0"/>
          <w:sz w:val="24"/>
          <w:szCs w:val="24"/>
          <w:lang w:val="zh-CN"/>
        </w:rPr>
        <w:t>%。</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r>
        <w:rPr>
          <w:rFonts w:hint="eastAsia" w:cs="宋体" w:asciiTheme="majorEastAsia" w:hAnsiTheme="majorEastAsia" w:eastAsiaTheme="majorEastAsia"/>
          <w:b/>
          <w:kern w:val="0"/>
          <w:sz w:val="36"/>
          <w:szCs w:val="36"/>
        </w:rPr>
        <w:t>第三章 投标人须知前附表</w:t>
      </w:r>
      <w:r>
        <w:rPr>
          <w:rFonts w:hint="eastAsia" w:cs="宋体" w:asciiTheme="majorEastAsia" w:hAnsiTheme="majorEastAsia" w:eastAsiaTheme="majorEastAsia"/>
          <w:b/>
          <w:kern w:val="0"/>
          <w:sz w:val="36"/>
          <w:szCs w:val="36"/>
          <w:lang w:val="en-US" w:eastAsia="zh-CN"/>
        </w:rPr>
        <w:t xml:space="preserve"> </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项目名称：</w:t>
            </w:r>
            <w:r>
              <w:rPr>
                <w:rFonts w:hint="eastAsia" w:cs="仿宋_GB2312" w:asciiTheme="minorEastAsia" w:hAnsiTheme="minorEastAsia"/>
                <w:color w:val="auto"/>
                <w:sz w:val="24"/>
                <w:szCs w:val="24"/>
                <w:lang w:eastAsia="zh-CN"/>
              </w:rPr>
              <w:t>长葛市人民医院“生物刺激反馈仪（进口）等医疗设备采购项目”</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项目编号：</w:t>
            </w:r>
            <w:r>
              <w:rPr>
                <w:rFonts w:hint="eastAsia" w:cs="仿宋_GB2312" w:asciiTheme="minorEastAsia" w:hAnsiTheme="minorEastAsia"/>
                <w:color w:val="auto"/>
                <w:sz w:val="24"/>
                <w:szCs w:val="24"/>
                <w:lang w:eastAsia="zh-CN"/>
              </w:rPr>
              <w:t>YLZB-G2019</w:t>
            </w:r>
            <w:r>
              <w:rPr>
                <w:rFonts w:hint="eastAsia" w:cs="仿宋_GB2312" w:asciiTheme="minorEastAsia" w:hAnsiTheme="minorEastAsia"/>
                <w:color w:val="auto"/>
                <w:sz w:val="24"/>
                <w:szCs w:val="24"/>
                <w:lang w:val="en-US" w:eastAsia="zh-CN"/>
              </w:rPr>
              <w:t>016</w:t>
            </w:r>
            <w:r>
              <w:rPr>
                <w:rFonts w:hint="eastAsia" w:cs="仿宋_GB2312" w:asciiTheme="minorEastAsia" w:hAnsiTheme="minorEastAsia"/>
                <w:color w:val="auto"/>
                <w:sz w:val="24"/>
                <w:szCs w:val="24"/>
                <w:lang w:eastAsia="zh-CN"/>
              </w:rPr>
              <w:t>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项目内容：</w:t>
            </w:r>
            <w:r>
              <w:rPr>
                <w:rFonts w:hint="eastAsia" w:cs="仿宋_GB2312" w:asciiTheme="minorEastAsia" w:hAnsiTheme="minorEastAsia"/>
                <w:color w:val="auto"/>
                <w:sz w:val="24"/>
                <w:szCs w:val="24"/>
                <w:lang w:val="zh-CN" w:eastAsia="zh-CN"/>
              </w:rPr>
              <w:t>生物刺激反馈仪（评估板）（原装进口）1台；生物刺激反馈仪（治疗版）（原装进口）2台；盆底磁刺激治疗仪（国产）1台；生物刺激反馈仪（高端产康）（国产）4台</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w:t>
            </w:r>
            <w:r>
              <w:rPr>
                <w:rFonts w:hint="eastAsia" w:cs="仿宋_GB2312" w:asciiTheme="minorEastAsia" w:hAnsiTheme="minorEastAsia"/>
                <w:color w:val="auto"/>
                <w:sz w:val="24"/>
                <w:szCs w:val="24"/>
                <w:lang w:eastAsia="zh-CN"/>
              </w:rPr>
              <w:t>长葛市人民医院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采购人：</w:t>
            </w:r>
            <w:r>
              <w:rPr>
                <w:rFonts w:hint="eastAsia" w:cs="仿宋_GB2312" w:asciiTheme="minorEastAsia" w:hAnsiTheme="minorEastAsia"/>
                <w:color w:val="auto"/>
                <w:sz w:val="24"/>
                <w:szCs w:val="24"/>
                <w:lang w:eastAsia="zh-CN"/>
              </w:rPr>
              <w:t>长葛市人民医院</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  址：长葛市长社路52号</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val="en-US" w:eastAsia="zh-CN"/>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赵永鑫</w:t>
            </w:r>
            <w:r>
              <w:rPr>
                <w:rFonts w:hint="eastAsia" w:cs="仿宋_GB2312" w:asciiTheme="minorEastAsia" w:hAnsiTheme="minorEastAsia"/>
                <w:color w:val="auto"/>
                <w:sz w:val="24"/>
                <w:szCs w:val="24"/>
              </w:rPr>
              <w:t xml:space="preserve">             联系电话：</w:t>
            </w:r>
            <w:r>
              <w:rPr>
                <w:rFonts w:hint="eastAsia" w:cs="仿宋_GB2312" w:asciiTheme="minorEastAsia" w:hAnsiTheme="minorEastAsia"/>
                <w:color w:val="auto"/>
                <w:sz w:val="24"/>
                <w:szCs w:val="24"/>
                <w:lang w:val="en-US" w:eastAsia="zh-CN"/>
              </w:rPr>
              <w:t>0374-6113090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名称：</w:t>
            </w:r>
            <w:r>
              <w:rPr>
                <w:rFonts w:hint="eastAsia" w:cs="仿宋_GB2312" w:asciiTheme="minorEastAsia" w:hAnsiTheme="minorEastAsia"/>
                <w:color w:val="auto"/>
                <w:sz w:val="24"/>
                <w:szCs w:val="24"/>
                <w:lang w:eastAsia="zh-CN"/>
              </w:rPr>
              <w:t>河南华采工程管理有限公司</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地址：新许路建设银行三楼</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王老师</w:t>
            </w:r>
            <w:r>
              <w:rPr>
                <w:rFonts w:hint="eastAsia" w:cs="仿宋_GB2312" w:asciiTheme="minorEastAsia" w:hAnsiTheme="minorEastAsia"/>
                <w:color w:val="auto"/>
                <w:sz w:val="24"/>
                <w:szCs w:val="24"/>
              </w:rPr>
              <w:t xml:space="preserve">              联系电话：</w:t>
            </w:r>
            <w:r>
              <w:rPr>
                <w:rFonts w:hint="eastAsia" w:cs="仿宋_GB2312" w:asciiTheme="minorEastAsia" w:hAnsiTheme="minorEastAsia"/>
                <w:color w:val="auto"/>
                <w:sz w:val="24"/>
                <w:szCs w:val="24"/>
                <w:lang w:eastAsia="zh-CN"/>
              </w:rPr>
              <w:t>13703747866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zh-CN"/>
              </w:rPr>
              <w:t>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color w:val="auto"/>
                <w:kern w:val="0"/>
                <w:sz w:val="24"/>
                <w:szCs w:val="24"/>
                <w:lang w:val="zh-CN"/>
              </w:rPr>
            </w:pPr>
            <w:r>
              <w:rPr>
                <w:rFonts w:hint="eastAsia" w:cs="宋体" w:asciiTheme="minorEastAsia" w:hAnsiTheme="minorEastAsia"/>
                <w:b/>
                <w:color w:val="auto"/>
                <w:kern w:val="0"/>
                <w:sz w:val="24"/>
                <w:szCs w:val="24"/>
                <w:lang w:val="zh-CN"/>
              </w:rPr>
              <w:t>七、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八、未被列入“信用中国”网站(www.creditchina.gov.cn)失信被执行人、重大税收违法案件当事人名单、政府采购严重违法失信名单、“中国政府采购网”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rPr>
              <w:t>“中国政府采购网”（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lang w:val="zh-CN"/>
              </w:rPr>
              <w:t>“国家企业信用公示系统”网站（www.gsxt.gov.cn）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en-US" w:eastAsia="zh-CN"/>
              </w:rPr>
              <w:t>98万元，</w:t>
            </w:r>
            <w:r>
              <w:rPr>
                <w:rFonts w:hint="eastAsia" w:cs="宋体" w:asciiTheme="minorEastAsia" w:hAnsiTheme="minorEastAsia"/>
                <w:bCs/>
                <w:color w:val="auto"/>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hint="default" w:cs="宋体" w:asciiTheme="minorEastAsia" w:hAnsiTheme="minorEastAsia" w:eastAsiaTheme="minorEastAsia"/>
                <w:bCs/>
                <w:color w:val="auto"/>
                <w:sz w:val="24"/>
                <w:szCs w:val="24"/>
                <w:lang w:val="en-US" w:eastAsia="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sym w:font="Wingdings 2" w:char="0052"/>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2019年4月28日9时30分（北京时间）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w:t>
            </w:r>
            <w:r>
              <w:rPr>
                <w:rFonts w:hint="eastAsia" w:cs="宋体" w:asciiTheme="minorEastAsia" w:hAnsiTheme="minorEastAsia"/>
                <w:bCs/>
                <w:color w:val="auto"/>
                <w:sz w:val="24"/>
                <w:szCs w:val="24"/>
                <w:u w:val="single"/>
                <w:lang w:val="en-US" w:eastAsia="zh-CN"/>
              </w:rPr>
              <w:t>四</w:t>
            </w:r>
            <w:bookmarkStart w:id="10" w:name="_GoBack"/>
            <w:bookmarkEnd w:id="10"/>
            <w:r>
              <w:rPr>
                <w:rFonts w:hint="eastAsia" w:cs="宋体" w:asciiTheme="minorEastAsia" w:hAnsiTheme="minorEastAsia"/>
                <w:bCs/>
                <w:color w:val="auto"/>
                <w:sz w:val="24"/>
                <w:szCs w:val="24"/>
                <w:lang w:val="zh-CN"/>
              </w:rPr>
              <w:t>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金额：壹万玖仟陆佰元整（¥</w:t>
            </w:r>
            <w:r>
              <w:rPr>
                <w:rFonts w:hint="eastAsia" w:cs="仿宋_GB2312" w:asciiTheme="minorEastAsia" w:hAnsiTheme="minorEastAsia"/>
                <w:color w:val="auto"/>
                <w:sz w:val="24"/>
                <w:szCs w:val="24"/>
                <w:lang w:val="en-US" w:eastAsia="zh-CN"/>
              </w:rPr>
              <w:t>19600</w:t>
            </w:r>
            <w:r>
              <w:rPr>
                <w:rFonts w:hint="eastAsia" w:cs="仿宋_GB2312" w:asciiTheme="minorEastAsia" w:hAnsiTheme="minorEastAsia"/>
                <w:color w:val="auto"/>
                <w:sz w:val="24"/>
                <w:szCs w:val="24"/>
              </w:rPr>
              <w:t>元</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rPr>
              <w:t>一</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1.5</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color w:val="auto"/>
                <w:sz w:val="24"/>
                <w:szCs w:val="24"/>
                <w:lang w:val="en-US" w:eastAsia="zh-CN"/>
              </w:rPr>
              <w:t>2978065302@qq.com</w:t>
            </w:r>
            <w:r>
              <w:rPr>
                <w:rFonts w:hint="eastAsia" w:cs="宋体" w:asciiTheme="minorEastAsia" w:hAnsiTheme="minorEastAsia"/>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numPr>
          <w:ilvl w:val="0"/>
          <w:numId w:val="25"/>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autoSpaceDE w:val="0"/>
        <w:autoSpaceDN w:val="0"/>
        <w:spacing w:line="360" w:lineRule="auto"/>
        <w:ind w:left="780"/>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numPr>
          <w:ilvl w:val="0"/>
          <w:numId w:val="25"/>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numPr>
          <w:ilvl w:val="1"/>
          <w:numId w:val="26"/>
        </w:numPr>
        <w:autoSpaceDE w:val="0"/>
        <w:autoSpaceDN w:val="0"/>
        <w:spacing w:line="360" w:lineRule="auto"/>
        <w:ind w:left="1327" w:hanging="907"/>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numPr>
          <w:ilvl w:val="1"/>
          <w:numId w:val="27"/>
        </w:numPr>
        <w:autoSpaceDE w:val="0"/>
        <w:autoSpaceDN w:val="0"/>
        <w:spacing w:line="360" w:lineRule="auto"/>
        <w:ind w:left="1327" w:hanging="907"/>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numPr>
          <w:ilvl w:val="0"/>
          <w:numId w:val="25"/>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numPr>
          <w:ilvl w:val="0"/>
          <w:numId w:val="25"/>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numPr>
          <w:ilvl w:val="0"/>
          <w:numId w:val="2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numPr>
          <w:ilvl w:val="0"/>
          <w:numId w:val="29"/>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numPr>
          <w:ilvl w:val="0"/>
          <w:numId w:val="29"/>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numPr>
          <w:ilvl w:val="0"/>
          <w:numId w:val="30"/>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numPr>
          <w:ilvl w:val="0"/>
          <w:numId w:val="31"/>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numPr>
          <w:ilvl w:val="0"/>
          <w:numId w:val="31"/>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numPr>
          <w:ilvl w:val="0"/>
          <w:numId w:val="31"/>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numPr>
          <w:ilvl w:val="0"/>
          <w:numId w:val="31"/>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numPr>
          <w:ilvl w:val="0"/>
          <w:numId w:val="31"/>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numPr>
          <w:ilvl w:val="0"/>
          <w:numId w:val="31"/>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numPr>
          <w:ilvl w:val="1"/>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numPr>
          <w:ilvl w:val="0"/>
          <w:numId w:val="31"/>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numPr>
          <w:ilvl w:val="0"/>
          <w:numId w:val="31"/>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numPr>
          <w:ilvl w:val="0"/>
          <w:numId w:val="31"/>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numPr>
          <w:ilvl w:val="0"/>
          <w:numId w:val="32"/>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numPr>
          <w:ilvl w:val="0"/>
          <w:numId w:val="33"/>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numPr>
          <w:ilvl w:val="0"/>
          <w:numId w:val="3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numPr>
          <w:ilvl w:val="0"/>
          <w:numId w:val="3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numPr>
          <w:ilvl w:val="0"/>
          <w:numId w:val="3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numPr>
          <w:ilvl w:val="0"/>
          <w:numId w:val="35"/>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24"/>
        </w:numPr>
        <w:autoSpaceDE w:val="0"/>
        <w:autoSpaceDN w:val="0"/>
        <w:spacing w:line="360" w:lineRule="auto"/>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numPr>
          <w:ilvl w:val="0"/>
          <w:numId w:val="35"/>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numPr>
          <w:ilvl w:val="0"/>
          <w:numId w:val="36"/>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numPr>
          <w:ilvl w:val="0"/>
          <w:numId w:val="36"/>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numPr>
          <w:ilvl w:val="0"/>
          <w:numId w:val="3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numPr>
          <w:ilvl w:val="0"/>
          <w:numId w:val="3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numPr>
          <w:ilvl w:val="0"/>
          <w:numId w:val="3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numPr>
          <w:ilvl w:val="0"/>
          <w:numId w:val="3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numPr>
          <w:ilvl w:val="1"/>
          <w:numId w:val="24"/>
        </w:numPr>
        <w:autoSpaceDE w:val="0"/>
        <w:autoSpaceDN w:val="0"/>
        <w:spacing w:line="360" w:lineRule="auto"/>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一、节能能源、保护环境</w:t>
      </w:r>
    </w:p>
    <w:p>
      <w:pPr>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szCs w:val="21"/>
        </w:rPr>
        <w:t>并加盖投标人公章的原件扫描件（或图片）</w:t>
      </w:r>
      <w:r>
        <w:rPr>
          <w:rFonts w:hint="eastAsia" w:cs="仿宋_GB2312" w:asciiTheme="minorEastAsia" w:hAnsiTheme="minorEastAsia"/>
          <w:szCs w:val="21"/>
          <w:lang w:val="zh-CN"/>
        </w:rPr>
        <w:t>。投标人所投其他产品若属于“节能产品政府采购清单”优先采购产品，在同等条件下，优先采购清单中的产品。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color w:val="000000"/>
          <w:szCs w:val="21"/>
        </w:rPr>
        <w:t>残疾人福利性单位属于小型、微型企业的，不重复享受政策。</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20" w:firstLineChars="200"/>
        <w:contextualSpacing/>
        <w:rPr>
          <w:rFonts w:cs="仿宋_GB2312" w:asciiTheme="minorEastAsia" w:hAnsiTheme="minorEastAsia"/>
          <w:sz w:val="24"/>
          <w:szCs w:val="24"/>
          <w:lang w:val="zh-CN"/>
        </w:rPr>
      </w:pPr>
      <w:r>
        <w:rPr>
          <w:rFonts w:hint="eastAsia" w:cs="仿宋_GB2312" w:asciiTheme="minorEastAsia" w:hAnsiTheme="minorEastAsia"/>
          <w:szCs w:val="21"/>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sz w:val="24"/>
                <w:szCs w:val="24"/>
              </w:rPr>
              <w:t>（1）</w:t>
            </w:r>
            <w:r>
              <w:rPr>
                <w:rFonts w:hint="eastAsia" w:asciiTheme="minorEastAsia" w:hAnsiTheme="minorEastAsia"/>
                <w:bCs/>
                <w:sz w:val="24"/>
                <w:szCs w:val="24"/>
                <w:lang w:eastAsia="zh-CN"/>
              </w:rPr>
              <w:t>上一</w:t>
            </w:r>
            <w:r>
              <w:rPr>
                <w:rFonts w:hint="eastAsia" w:asciiTheme="minorEastAsia" w:hAnsiTheme="minorEastAsia"/>
                <w:bCs/>
                <w:sz w:val="24"/>
                <w:szCs w:val="24"/>
              </w:rPr>
              <w:t>年度经审</w:t>
            </w:r>
            <w:r>
              <w:rPr>
                <w:rFonts w:hint="eastAsia" w:asciiTheme="minorEastAsia" w:hAnsiTheme="minorEastAsia"/>
                <w:bCs/>
                <w:color w:val="auto"/>
                <w:sz w:val="24"/>
                <w:szCs w:val="24"/>
              </w:rPr>
              <w:t>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color w:val="auto"/>
                <w:sz w:val="24"/>
                <w:szCs w:val="24"/>
              </w:rPr>
              <w:t>（2）银行出具的资信证明；或财</w:t>
            </w:r>
            <w:r>
              <w:rPr>
                <w:rFonts w:hint="eastAsia" w:asciiTheme="minorEastAsia" w:hAnsiTheme="minorEastAsia"/>
                <w:bCs/>
                <w:sz w:val="24"/>
                <w:szCs w:val="24"/>
              </w:rPr>
              <w:t>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w:t>
            </w:r>
            <w:r>
              <w:rPr>
                <w:rFonts w:hint="eastAsia" w:asciiTheme="minorEastAsia" w:hAnsiTheme="minorEastAsia"/>
                <w:bCs/>
                <w:color w:val="auto"/>
                <w:sz w:val="24"/>
                <w:szCs w:val="24"/>
              </w:rPr>
              <w:t>同等或者投标人</w:t>
            </w:r>
            <w:r>
              <w:rPr>
                <w:rFonts w:hint="eastAsia" w:asciiTheme="minorEastAsia" w:hAnsiTheme="minorEastAsia"/>
                <w:bCs/>
                <w:sz w:val="24"/>
                <w:szCs w:val="24"/>
              </w:rPr>
              <w:t>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8、未被列入“信用中国”网站</w:t>
            </w:r>
            <w:r>
              <w:rPr>
                <w:rFonts w:hint="eastAsia" w:asciiTheme="minorEastAsia" w:hAnsiTheme="minorEastAsia"/>
                <w:b/>
                <w:bCs/>
                <w:sz w:val="24"/>
                <w:szCs w:val="24"/>
                <w:lang w:val="en-US"/>
              </w:rPr>
              <w:t>(www.creditchina.gov.cn)</w:t>
            </w:r>
            <w:r>
              <w:rPr>
                <w:rFonts w:hint="eastAsia" w:asciiTheme="minorEastAsia" w:hAnsiTheme="minorEastAsia"/>
                <w:b/>
                <w:bCs/>
                <w:sz w:val="24"/>
                <w:szCs w:val="24"/>
              </w:rPr>
              <w:t>失信被执行人、重大税收违法案件当事人名单、政府采购严重违法失信名单、“中国政府采购网”</w:t>
            </w:r>
            <w:r>
              <w:rPr>
                <w:rFonts w:hint="eastAsia" w:asciiTheme="minorEastAsia" w:hAnsiTheme="minorEastAsia"/>
                <w:b/>
                <w:bCs/>
                <w:sz w:val="24"/>
                <w:szCs w:val="24"/>
                <w:lang w:val="en-US"/>
              </w:rPr>
              <w:t xml:space="preserve"> (www.ccgp.gov.cn)</w:t>
            </w:r>
            <w:r>
              <w:rPr>
                <w:rFonts w:hint="eastAsia" w:asciiTheme="minorEastAsia" w:hAnsiTheme="minorEastAsia"/>
                <w:b/>
                <w:bCs/>
                <w:sz w:val="24"/>
                <w:szCs w:val="24"/>
              </w:rPr>
              <w:t>政府采购严重违法失信行为记录名单、“国家企业信用公示系统”网站（</w:t>
            </w:r>
            <w:r>
              <w:rPr>
                <w:rFonts w:hint="eastAsia" w:asciiTheme="minorEastAsia" w:hAnsiTheme="minorEastAsia"/>
                <w:b/>
                <w:bCs/>
                <w:sz w:val="24"/>
                <w:szCs w:val="24"/>
                <w:lang w:val="en-US"/>
              </w:rPr>
              <w:t>www.gsxt.gov.cn</w:t>
            </w:r>
            <w:r>
              <w:rPr>
                <w:rFonts w:hint="eastAsia" w:asciiTheme="minorEastAsia" w:hAnsiTheme="minorEastAsia"/>
                <w:b/>
                <w:bCs/>
                <w:sz w:val="24"/>
                <w:szCs w:val="24"/>
              </w:rPr>
              <w:t>）严重违法失信企业名单（黑名单）的投标</w:t>
            </w:r>
            <w:r>
              <w:rPr>
                <w:rFonts w:hint="eastAsia" w:asciiTheme="minorEastAsia" w:hAnsiTheme="minorEastAsia"/>
                <w:b/>
                <w:bCs/>
                <w:sz w:val="24"/>
                <w:szCs w:val="24"/>
                <w:lang w:eastAsia="zh-CN"/>
              </w:rPr>
              <w:t>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w:t>
            </w:r>
            <w:r>
              <w:rPr>
                <w:rFonts w:hint="eastAsia" w:asciiTheme="minorEastAsia" w:hAnsiTheme="minorEastAsia"/>
                <w:bCs/>
                <w:sz w:val="24"/>
                <w:szCs w:val="24"/>
                <w:lang w:eastAsia="zh-CN"/>
              </w:rPr>
              <w:t>、</w:t>
            </w:r>
            <w:r>
              <w:rPr>
                <w:rFonts w:hint="eastAsia" w:asciiTheme="minorEastAsia" w:hAnsiTheme="minorEastAsia"/>
                <w:bCs/>
                <w:sz w:val="24"/>
                <w:szCs w:val="24"/>
              </w:rPr>
              <w:t>“中国政府采购网”（www.ccgp.gov.cn）</w:t>
            </w:r>
            <w:r>
              <w:rPr>
                <w:rFonts w:hint="eastAsia" w:asciiTheme="minorEastAsia" w:hAnsiTheme="minorEastAsia"/>
                <w:bCs/>
                <w:sz w:val="24"/>
                <w:szCs w:val="24"/>
                <w:lang w:eastAsia="zh-CN"/>
              </w:rPr>
              <w:t>、</w:t>
            </w:r>
            <w:r>
              <w:rPr>
                <w:rFonts w:hint="eastAsia" w:asciiTheme="minorEastAsia" w:hAnsiTheme="minorEastAsia"/>
                <w:bCs/>
                <w:sz w:val="24"/>
                <w:szCs w:val="24"/>
              </w:rPr>
              <w:t>“国家企业信用公示系统”网站（</w:t>
            </w:r>
            <w:r>
              <w:rPr>
                <w:rFonts w:hint="eastAsia" w:asciiTheme="minorEastAsia" w:hAnsiTheme="minorEastAsia"/>
                <w:bCs/>
                <w:sz w:val="24"/>
                <w:szCs w:val="24"/>
                <w:lang w:val="en-US"/>
              </w:rPr>
              <w:t>www.gsxt.gov.cn</w:t>
            </w:r>
            <w:r>
              <w:rPr>
                <w:rFonts w:hint="eastAsia" w:asciiTheme="minorEastAsia" w:hAnsiTheme="minorEastAsia"/>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sz w:val="24"/>
                <w:szCs w:val="24"/>
                <w:lang w:eastAsia="zh-CN"/>
              </w:rPr>
            </w:pPr>
            <w:r>
              <w:rPr>
                <w:rFonts w:hint="eastAsia" w:asciiTheme="minorEastAsia" w:hAnsiTheme="minorEastAsia"/>
                <w:b/>
                <w:sz w:val="24"/>
                <w:szCs w:val="24"/>
              </w:rPr>
              <w:t>13、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r>
              <w:rPr>
                <w:rFonts w:hint="eastAsia" w:asciiTheme="minorEastAsia" w:hAnsiTheme="minorEastAsia"/>
                <w:b/>
                <w:sz w:val="24"/>
                <w:szCs w:val="24"/>
                <w:lang w:eastAsia="zh-CN"/>
              </w:rPr>
              <w:t>；</w:t>
            </w: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4"/>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4"/>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4"/>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4"/>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4"/>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2"/>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分值构成</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价格分值：</w:t>
            </w:r>
            <w:r>
              <w:rPr>
                <w:rFonts w:hint="eastAsia" w:ascii="宋体" w:hAnsi="宋体" w:eastAsia="宋体" w:cs="宋体"/>
                <w:color w:val="000000"/>
                <w:kern w:val="2"/>
                <w:sz w:val="21"/>
                <w:szCs w:val="21"/>
                <w:u w:val="single"/>
                <w:lang w:val="en-US" w:eastAsia="zh-CN" w:bidi="ar"/>
              </w:rPr>
              <w:t>30</w:t>
            </w:r>
            <w:r>
              <w:rPr>
                <w:rFonts w:hint="eastAsia" w:ascii="宋体" w:hAnsi="宋体" w:eastAsia="宋体" w:cs="宋体"/>
                <w:color w:val="000000"/>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商务部分：</w:t>
            </w:r>
            <w:r>
              <w:rPr>
                <w:rFonts w:hint="eastAsia" w:ascii="宋体" w:hAnsi="宋体" w:eastAsia="宋体" w:cs="宋体"/>
                <w:color w:val="000000"/>
                <w:kern w:val="2"/>
                <w:sz w:val="21"/>
                <w:szCs w:val="21"/>
                <w:u w:val="single"/>
                <w:lang w:val="en-US" w:eastAsia="zh-CN" w:bidi="ar"/>
              </w:rPr>
              <w:t>25</w:t>
            </w:r>
            <w:r>
              <w:rPr>
                <w:rFonts w:hint="eastAsia" w:ascii="宋体" w:hAnsi="宋体" w:eastAsia="宋体" w:cs="宋体"/>
                <w:color w:val="000000"/>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lang w:val="en-US"/>
              </w:rPr>
            </w:pPr>
            <w:r>
              <w:rPr>
                <w:rFonts w:hint="eastAsia" w:ascii="宋体" w:hAnsi="宋体" w:eastAsia="宋体" w:cs="宋体"/>
                <w:color w:val="000000"/>
                <w:kern w:val="2"/>
                <w:sz w:val="21"/>
                <w:szCs w:val="21"/>
                <w:lang w:val="en-US" w:eastAsia="zh-CN" w:bidi="ar"/>
              </w:rPr>
              <w:t>技术部分：</w:t>
            </w:r>
            <w:r>
              <w:rPr>
                <w:rFonts w:hint="eastAsia" w:ascii="宋体" w:hAnsi="宋体" w:eastAsia="宋体" w:cs="宋体"/>
                <w:color w:val="000000"/>
                <w:kern w:val="2"/>
                <w:sz w:val="21"/>
                <w:szCs w:val="21"/>
                <w:u w:val="single"/>
                <w:lang w:val="en-US" w:eastAsia="zh-CN" w:bidi="ar"/>
              </w:rPr>
              <w:t>45</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价格部分（满分</w:t>
            </w:r>
            <w:r>
              <w:rPr>
                <w:rFonts w:hint="eastAsia" w:ascii="宋体" w:hAnsi="宋体" w:eastAsia="宋体" w:cs="宋体"/>
                <w:b/>
                <w:bCs w:val="0"/>
                <w:color w:val="000000"/>
                <w:kern w:val="2"/>
                <w:sz w:val="21"/>
                <w:szCs w:val="21"/>
                <w:u w:val="single"/>
                <w:lang w:val="en-US" w:eastAsia="zh-CN" w:bidi="ar"/>
              </w:rPr>
              <w:t>30</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投标报价</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评标基准价：满足招标文件要求的有效投标报价中，最低的投标报价为评标基准价。</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kern w:val="2"/>
                <w:sz w:val="21"/>
                <w:szCs w:val="21"/>
                <w:lang w:val="en-US" w:eastAsia="zh-CN" w:bidi="ar"/>
              </w:rPr>
              <w:t>投标报价得分=（评标基准价/投标报价）×</w:t>
            </w:r>
            <w:r>
              <w:rPr>
                <w:rFonts w:hint="eastAsia" w:ascii="宋体" w:hAnsi="宋体" w:eastAsia="宋体" w:cs="宋体"/>
                <w:kern w:val="2"/>
                <w:sz w:val="21"/>
                <w:szCs w:val="21"/>
                <w:u w:val="single"/>
                <w:lang w:val="en-US" w:eastAsia="zh-CN" w:bidi="ar"/>
              </w:rPr>
              <w:t>30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u w:val="single"/>
                <w:lang w:val="en-US" w:eastAsia="zh-CN" w:bidi="ar"/>
              </w:rPr>
              <w:t>30</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color w:val="000000"/>
                <w:kern w:val="2"/>
                <w:sz w:val="21"/>
                <w:szCs w:val="21"/>
                <w:lang w:val="en-US" w:eastAsia="zh-CN" w:bidi="ar"/>
              </w:rPr>
              <w:t>商务部分（满分</w:t>
            </w:r>
            <w:r>
              <w:rPr>
                <w:rFonts w:hint="eastAsia" w:ascii="宋体" w:hAnsi="宋体" w:eastAsia="宋体" w:cs="宋体"/>
                <w:b/>
                <w:bCs w:val="0"/>
                <w:color w:val="000000"/>
                <w:kern w:val="2"/>
                <w:sz w:val="21"/>
                <w:szCs w:val="21"/>
                <w:u w:val="single"/>
                <w:lang w:val="en-US" w:eastAsia="zh-CN" w:bidi="ar"/>
              </w:rPr>
              <w:t>25</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节约能源、保护环境政策加分</w:t>
            </w: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1、除政府强制采购的节能产品外，投标人所投其他产品属于“节能产品政府采购清单”优先采购产品，</w:t>
            </w:r>
            <w:r>
              <w:rPr>
                <w:rFonts w:hint="eastAsia" w:ascii="宋体" w:hAnsi="宋体" w:eastAsia="宋体" w:cs="宋体"/>
                <w:kern w:val="2"/>
                <w:sz w:val="21"/>
                <w:szCs w:val="21"/>
                <w:lang w:val="zh-CN" w:eastAsia="zh-CN" w:bidi="ar"/>
              </w:rPr>
              <w:t>投标文件中须提供最新一期《节能产品政府采购清单》中产品所在页复印件加盖投标人公章。</w:t>
            </w:r>
            <w:r>
              <w:rPr>
                <w:rFonts w:hint="eastAsia" w:ascii="宋体" w:hAnsi="宋体" w:eastAsia="宋体" w:cs="宋体"/>
                <w:color w:val="000000"/>
                <w:kern w:val="2"/>
                <w:sz w:val="21"/>
                <w:szCs w:val="21"/>
                <w:lang w:val="en-US" w:eastAsia="zh-CN" w:bidi="ar"/>
              </w:rPr>
              <w:t>每项0.5分，满分1分。</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2、投标人所投产品属于“环境标志产品政府采购清单”内产品，</w:t>
            </w:r>
            <w:r>
              <w:rPr>
                <w:rFonts w:hint="eastAsia" w:ascii="宋体" w:hAnsi="宋体" w:eastAsia="宋体" w:cs="宋体"/>
                <w:kern w:val="2"/>
                <w:sz w:val="21"/>
                <w:szCs w:val="21"/>
                <w:lang w:val="zh-CN" w:eastAsia="zh-CN" w:bidi="ar"/>
              </w:rPr>
              <w:t>投标文件中须提供最新一期《环保产品政府采购清单》中产品所在页复印件加盖投标人公章。</w:t>
            </w:r>
            <w:r>
              <w:rPr>
                <w:rFonts w:hint="eastAsia" w:ascii="宋体" w:hAnsi="宋体" w:eastAsia="宋体" w:cs="宋体"/>
                <w:color w:val="000000"/>
                <w:kern w:val="2"/>
                <w:sz w:val="21"/>
                <w:szCs w:val="21"/>
                <w:lang w:val="en-US" w:eastAsia="zh-CN" w:bidi="ar"/>
              </w:rPr>
              <w:t>每项0.5分，满分1分。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b/>
                <w:color w:val="000000"/>
                <w:kern w:val="2"/>
                <w:sz w:val="21"/>
                <w:szCs w:val="21"/>
                <w:lang w:val="en-US" w:eastAsia="zh-CN" w:bidi="ar"/>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30" w:lineRule="exact"/>
              <w:ind w:left="0" w:right="0" w:firstLine="422" w:firstLineChars="200"/>
              <w:jc w:val="both"/>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 xml:space="preserve"> 业绩</w:t>
            </w:r>
          </w:p>
          <w:p>
            <w:pPr>
              <w:keepNext w:val="0"/>
              <w:keepLines w:val="0"/>
              <w:widowControl w:val="0"/>
              <w:suppressLineNumbers w:val="0"/>
              <w:spacing w:before="0" w:beforeAutospacing="0" w:after="0" w:afterAutospacing="0" w:line="430" w:lineRule="exact"/>
              <w:ind w:left="0" w:leftChars="0" w:right="0" w:rightChars="0" w:firstLine="420" w:firstLineChars="200"/>
              <w:jc w:val="both"/>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30" w:lineRule="exact"/>
              <w:ind w:left="0" w:leftChars="0" w:right="0" w:rightChars="0"/>
              <w:jc w:val="both"/>
              <w:rPr>
                <w:rFonts w:hint="eastAsia" w:ascii="宋体" w:hAnsi="宋体" w:eastAsia="宋体" w:cs="宋体"/>
                <w:bCs/>
                <w:color w:val="000000"/>
                <w:sz w:val="21"/>
                <w:szCs w:val="21"/>
                <w:lang w:val="en-US"/>
              </w:rPr>
            </w:pPr>
            <w:r>
              <w:rPr>
                <w:rFonts w:hint="eastAsia" w:ascii="宋体" w:hAnsi="宋体" w:eastAsia="宋体" w:cs="宋体"/>
                <w:kern w:val="2"/>
                <w:sz w:val="21"/>
                <w:szCs w:val="21"/>
                <w:lang w:val="en-US" w:eastAsia="zh-CN" w:bidi="ar"/>
              </w:rPr>
              <w:t>投标人2016年1月1日以来，具有类似项目业绩，合同及验收报告齐全且合同金额不低于本项目最高限价的，每提供一份得2分，最多得4分，不提供者为0分。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u w:val="single"/>
                <w:lang w:val="en-US"/>
              </w:rPr>
            </w:pPr>
            <w:r>
              <w:rPr>
                <w:rFonts w:hint="eastAsia" w:ascii="宋体" w:hAnsi="宋体" w:eastAsia="宋体" w:cs="宋体"/>
                <w:color w:val="000000"/>
                <w:kern w:val="2"/>
                <w:sz w:val="21"/>
                <w:szCs w:val="21"/>
                <w:u w:val="single"/>
                <w:lang w:val="en-US" w:eastAsia="zh-CN" w:bidi="ar"/>
              </w:rPr>
              <w:t>4</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售后服务</w:t>
            </w:r>
          </w:p>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及培训</w:t>
            </w:r>
          </w:p>
          <w:p>
            <w:pPr>
              <w:keepNext w:val="0"/>
              <w:keepLines w:val="0"/>
              <w:widowControl w:val="0"/>
              <w:suppressLineNumbers w:val="0"/>
              <w:spacing w:before="0" w:beforeAutospacing="0" w:after="0" w:afterAutospacing="0" w:line="430" w:lineRule="exact"/>
              <w:ind w:left="0" w:leftChars="0" w:right="0" w:rightChars="0"/>
              <w:jc w:val="center"/>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1、投标人提供的售后服务及现场技术支持方案的完整、可行、响应处理机制合理的得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en-US"/>
              </w:rPr>
              <w:t>分，有相关描述的得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en-US"/>
              </w:rPr>
              <w:t>分，不提供不得分。</w:t>
            </w:r>
          </w:p>
          <w:p>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2、投标人就如何做好后续服务保障工作提供一套优秀服务方案的得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en-US"/>
              </w:rPr>
              <w:t>分，有相关描述的得1分，不提供不得分。</w:t>
            </w:r>
          </w:p>
          <w:p>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color w:val="000000"/>
                <w:sz w:val="21"/>
                <w:szCs w:val="21"/>
                <w:lang w:val="en-US"/>
              </w:rPr>
            </w:pPr>
            <w:r>
              <w:rPr>
                <w:rFonts w:hint="eastAsia" w:ascii="宋体" w:hAnsi="宋体" w:eastAsia="宋体" w:cs="宋体"/>
                <w:color w:val="auto"/>
                <w:sz w:val="21"/>
                <w:szCs w:val="21"/>
                <w:lang w:val="en-US"/>
              </w:rPr>
              <w:t>3、投标人在项目实施完成后所承诺的责任、服务内容合理完整的得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en-US"/>
              </w:rPr>
              <w:t>分，有相关描述的得1分，不提供不得分。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u w:val="single"/>
                <w:lang w:val="en-US" w:eastAsia="zh-CN" w:bidi="ar"/>
              </w:rPr>
              <w:t>20</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color w:val="000000"/>
                <w:kern w:val="2"/>
                <w:sz w:val="21"/>
                <w:szCs w:val="21"/>
                <w:lang w:val="en-US" w:eastAsia="zh-CN" w:bidi="ar"/>
              </w:rPr>
              <w:t>技术部分（满分</w:t>
            </w:r>
            <w:r>
              <w:rPr>
                <w:rFonts w:hint="eastAsia" w:ascii="宋体" w:hAnsi="宋体" w:eastAsia="宋体" w:cs="宋体"/>
                <w:b/>
                <w:bCs w:val="0"/>
                <w:color w:val="000000"/>
                <w:kern w:val="2"/>
                <w:sz w:val="21"/>
                <w:szCs w:val="21"/>
                <w:u w:val="single"/>
                <w:lang w:val="en-US" w:eastAsia="zh-CN" w:bidi="ar"/>
              </w:rPr>
              <w:t>45</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lang w:bidi="ar"/>
              </w:rPr>
              <w:t>投标文件的规范响应程度</w:t>
            </w:r>
          </w:p>
          <w:p>
            <w:pPr>
              <w:jc w:val="center"/>
              <w:rPr>
                <w:rFonts w:hint="eastAsia" w:ascii="宋体" w:hAnsi="宋体" w:eastAsia="宋体" w:cs="宋体"/>
                <w:b/>
                <w:bCs w:val="0"/>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val="0"/>
                <w:kern w:val="2"/>
                <w:sz w:val="21"/>
                <w:szCs w:val="21"/>
                <w:lang w:val="en-US" w:eastAsia="zh-CN" w:bidi="ar"/>
              </w:rPr>
            </w:pPr>
            <w:r>
              <w:rPr>
                <w:rFonts w:hint="eastAsia" w:ascii="宋体" w:hAnsi="宋体" w:eastAsia="宋体" w:cs="Courier New"/>
                <w:bCs/>
                <w:szCs w:val="21"/>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kern w:val="2"/>
                <w:sz w:val="21"/>
                <w:szCs w:val="21"/>
                <w:lang w:val="en-US" w:eastAsia="zh-CN" w:bidi="ar"/>
              </w:rPr>
            </w:pPr>
            <w:r>
              <w:rPr>
                <w:rFonts w:hint="eastAsia" w:ascii="宋体" w:hAnsi="宋体" w:eastAsia="宋体" w:cs="宋体"/>
                <w:szCs w:val="21"/>
                <w:u w:val="single"/>
              </w:rPr>
              <w:t>1</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b/>
                <w:bCs w:val="0"/>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eastAsia="宋体" w:cs="宋体"/>
                <w:b/>
                <w:bCs w:val="0"/>
                <w:kern w:val="2"/>
                <w:sz w:val="21"/>
                <w:szCs w:val="21"/>
                <w:lang w:val="en-US" w:eastAsia="zh-CN" w:bidi="ar"/>
              </w:rPr>
            </w:pPr>
            <w:r>
              <w:rPr>
                <w:rFonts w:hint="eastAsia" w:ascii="宋体" w:hAnsi="宋体" w:eastAsia="宋体" w:cs="Courier New"/>
                <w:bCs/>
                <w:szCs w:val="21"/>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kern w:val="2"/>
                <w:sz w:val="21"/>
                <w:szCs w:val="21"/>
                <w:lang w:val="en-US" w:eastAsia="zh-CN" w:bidi="ar"/>
              </w:rPr>
            </w:pPr>
            <w:r>
              <w:rPr>
                <w:rFonts w:hint="eastAsia" w:ascii="宋体" w:hAnsi="宋体" w:eastAsia="宋体" w:cs="宋体"/>
                <w:szCs w:val="21"/>
                <w:u w:val="single"/>
              </w:rPr>
              <w:t>1</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①未实质性响应招标文件要求的视为无效投标。</w:t>
            </w:r>
          </w:p>
          <w:p>
            <w:pPr>
              <w:spacing w:line="360" w:lineRule="exact"/>
              <w:rPr>
                <w:rFonts w:ascii="宋体" w:hAnsi="宋体" w:eastAsia="宋体" w:cs="宋体"/>
                <w:szCs w:val="21"/>
              </w:rPr>
            </w:pPr>
            <w:r>
              <w:rPr>
                <w:rFonts w:hint="eastAsia" w:ascii="宋体" w:hAnsi="宋体" w:eastAsia="宋体" w:cs="宋体"/>
                <w:szCs w:val="21"/>
              </w:rPr>
              <w:t>②根据投标人对所投产品配置的成熟性、稳定性、可维修性及产品性能与配置等情况，基本全部满足的得2</w:t>
            </w:r>
            <w:r>
              <w:rPr>
                <w:rFonts w:hint="eastAsia" w:ascii="宋体" w:hAnsi="宋体" w:eastAsia="宋体" w:cs="宋体"/>
                <w:szCs w:val="21"/>
                <w:lang w:val="en-US" w:eastAsia="zh-CN"/>
              </w:rPr>
              <w:t>7</w:t>
            </w:r>
            <w:r>
              <w:rPr>
                <w:rFonts w:hint="eastAsia" w:ascii="宋体" w:hAnsi="宋体" w:eastAsia="宋体" w:cs="宋体"/>
                <w:szCs w:val="21"/>
              </w:rPr>
              <w:t>分。</w:t>
            </w:r>
          </w:p>
          <w:p>
            <w:pPr>
              <w:spacing w:line="360" w:lineRule="exact"/>
              <w:rPr>
                <w:rFonts w:hint="eastAsia" w:ascii="宋体" w:hAnsi="宋体" w:eastAsia="宋体" w:cs="宋体"/>
                <w:b/>
                <w:bCs w:val="0"/>
                <w:kern w:val="2"/>
                <w:sz w:val="21"/>
                <w:szCs w:val="21"/>
                <w:lang w:val="en-US" w:eastAsia="zh-CN" w:bidi="ar"/>
              </w:rPr>
            </w:pPr>
            <w:r>
              <w:rPr>
                <w:rFonts w:hint="eastAsia" w:ascii="宋体" w:hAnsi="宋体" w:eastAsia="宋体" w:cs="宋体"/>
                <w:szCs w:val="21"/>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2分，最多加1</w:t>
            </w:r>
            <w:r>
              <w:rPr>
                <w:rFonts w:hint="eastAsia" w:ascii="宋体" w:hAnsi="宋体" w:eastAsia="宋体" w:cs="宋体"/>
                <w:szCs w:val="21"/>
                <w:lang w:val="en-US" w:eastAsia="zh-CN"/>
              </w:rPr>
              <w:t>6</w:t>
            </w:r>
            <w:r>
              <w:rPr>
                <w:rFonts w:hint="eastAsia" w:ascii="宋体" w:hAnsi="宋体" w:eastAsia="宋体" w:cs="宋体"/>
                <w:szCs w:val="21"/>
              </w:rPr>
              <w:t>分（仅进行了简单概况的或不能完整提供有效证明文件的不得分）。满分</w:t>
            </w:r>
            <w:r>
              <w:rPr>
                <w:rFonts w:hint="eastAsia" w:ascii="宋体" w:hAnsi="宋体" w:eastAsia="宋体" w:cs="宋体"/>
                <w:szCs w:val="21"/>
                <w:lang w:val="en-US" w:eastAsia="zh-CN"/>
              </w:rPr>
              <w:t>43</w:t>
            </w:r>
            <w:r>
              <w:rPr>
                <w:rFonts w:hint="eastAsia" w:ascii="宋体" w:hAnsi="宋体" w:eastAsia="宋体" w:cs="宋体"/>
                <w:szCs w:val="21"/>
              </w:rPr>
              <w:t>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kern w:val="2"/>
                <w:sz w:val="21"/>
                <w:szCs w:val="21"/>
                <w:lang w:val="en-US" w:eastAsia="zh-CN" w:bidi="ar"/>
              </w:rPr>
            </w:pPr>
            <w:r>
              <w:rPr>
                <w:rFonts w:hint="eastAsia" w:ascii="宋体" w:hAnsi="宋体" w:eastAsia="宋体" w:cs="宋体"/>
                <w:szCs w:val="21"/>
                <w:lang w:val="en-US" w:eastAsia="zh-CN"/>
              </w:rPr>
              <w:t>43</w:t>
            </w:r>
            <w:r>
              <w:rPr>
                <w:rFonts w:hint="eastAsia" w:ascii="宋体" w:hAnsi="宋体" w:eastAsia="宋体" w:cs="宋体"/>
                <w:szCs w:val="21"/>
              </w:rPr>
              <w:t>分</w:t>
            </w:r>
          </w:p>
        </w:tc>
      </w:tr>
    </w:tbl>
    <w:p>
      <w:pPr>
        <w:spacing w:line="360" w:lineRule="auto"/>
        <w:ind w:firstLine="482" w:firstLineChars="200"/>
        <w:rPr>
          <w:rFonts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4"/>
        <w:spacing w:line="360" w:lineRule="auto"/>
        <w:contextualSpacing/>
        <w:jc w:val="center"/>
        <w:rPr>
          <w:rFonts w:ascii="宋体" w:hAnsi="宋体" w:cs="宋体"/>
          <w:b/>
          <w:kern w:val="0"/>
          <w:sz w:val="36"/>
          <w:szCs w:val="36"/>
        </w:rPr>
      </w:pPr>
      <w:r>
        <w:rPr>
          <w:rFonts w:hint="eastAsia" w:cs="宋体" w:asciiTheme="majorEastAsia" w:hAnsiTheme="majorEastAsia" w:eastAsiaTheme="majorEastAsia"/>
          <w:b/>
          <w:kern w:val="0"/>
          <w:sz w:val="36"/>
          <w:szCs w:val="36"/>
        </w:rPr>
        <w:t>第七章合同条款及格式</w:t>
      </w:r>
      <w:r>
        <w:rPr>
          <w:rFonts w:hint="eastAsia" w:cs="宋体" w:asciiTheme="majorEastAsia" w:hAnsiTheme="majorEastAsia" w:eastAsiaTheme="majorEastAsia"/>
          <w:b/>
          <w:kern w:val="0"/>
          <w:sz w:val="36"/>
          <w:szCs w:val="36"/>
        </w:rPr>
        <w:br w:type="textWrapping"/>
      </w:r>
      <w:r>
        <w:rPr>
          <w:rFonts w:hint="eastAsia" w:ascii="宋体" w:hAnsi="宋体" w:cs="宋体"/>
          <w:b/>
          <w:kern w:val="0"/>
          <w:sz w:val="36"/>
          <w:szCs w:val="36"/>
        </w:rPr>
        <w:t>（一）合同一般条款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pStyle w:val="14"/>
        <w:spacing w:line="360" w:lineRule="auto"/>
        <w:contextualSpacing/>
        <w:rPr>
          <w:rFonts w:ascii="宋体" w:hAnsi="宋体" w:cs="宋体"/>
          <w:b/>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合同书 （参考样本）</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合同编号：</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2"/>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w:t>
      </w:r>
      <w:r>
        <w:rPr>
          <w:rFonts w:hint="eastAsia" w:ascii="宋体" w:hAnsi="宋体"/>
          <w:color w:val="000000"/>
          <w:sz w:val="24"/>
          <w:szCs w:val="24"/>
        </w:rPr>
        <w:t>设备安装完成</w:t>
      </w:r>
      <w:r>
        <w:rPr>
          <w:rFonts w:hint="eastAsia" w:ascii="宋体" w:hAnsi="宋体"/>
          <w:sz w:val="24"/>
          <w:szCs w:val="24"/>
        </w:rPr>
        <w:t>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jc w:val="center"/>
        <w:rPr>
          <w:rFonts w:ascii="宋体" w:hAnsi="宋体" w:cs="黑体"/>
          <w:b/>
          <w:bCs/>
          <w:sz w:val="44"/>
          <w:szCs w:val="44"/>
          <w:lang w:val="zh-CN"/>
        </w:rPr>
      </w:pPr>
      <w:r>
        <w:rPr>
          <w:rFonts w:hint="eastAsia" w:cs="宋体" w:asciiTheme="majorEastAsia" w:hAnsiTheme="majorEastAsia" w:eastAsiaTheme="majorEastAsia"/>
          <w:b/>
          <w:kern w:val="0"/>
          <w:sz w:val="36"/>
          <w:szCs w:val="36"/>
        </w:rPr>
        <w:t>第八章 投标文件有关格式</w:t>
      </w:r>
      <w:bookmarkStart w:id="2" w:name="_Toc184023138"/>
      <w:bookmarkStart w:id="3" w:name="_Toc174185203"/>
      <w:bookmarkStart w:id="4" w:name="_Toc186274126"/>
    </w:p>
    <w:p>
      <w:pPr>
        <w:pStyle w:val="50"/>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36"/>
          <w:szCs w:val="36"/>
          <w:lang w:val="zh-CN"/>
        </w:rPr>
      </w:pP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2"/>
      <w:bookmarkEnd w:id="3"/>
      <w:bookmarkEnd w:id="4"/>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4"/>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（采购人或采购代理机构）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Cs w:val="24"/>
        </w:rPr>
      </w:pPr>
    </w:p>
    <w:p>
      <w:pPr>
        <w:pStyle w:val="14"/>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1"/>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1"/>
        <w:spacing w:line="480" w:lineRule="auto"/>
        <w:ind w:firstLine="540" w:firstLineChars="225"/>
        <w:jc w:val="left"/>
        <w:rPr>
          <w:rFonts w:asciiTheme="minorEastAsia" w:hAnsiTheme="minorEastAsia"/>
          <w:color w:val="000000"/>
          <w:szCs w:val="24"/>
        </w:rPr>
      </w:pPr>
    </w:p>
    <w:p>
      <w:pPr>
        <w:pStyle w:val="41"/>
        <w:spacing w:line="480" w:lineRule="auto"/>
        <w:ind w:firstLine="540" w:firstLineChars="225"/>
        <w:jc w:val="left"/>
        <w:rPr>
          <w:rFonts w:asciiTheme="minorEastAsia" w:hAnsiTheme="minorEastAsia"/>
          <w:color w:val="000000"/>
          <w:szCs w:val="24"/>
        </w:rPr>
      </w:pPr>
    </w:p>
    <w:p>
      <w:pPr>
        <w:pStyle w:val="41"/>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1"/>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4"/>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3"/>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2"/>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7"/>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77"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23"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77" w:type="dxa"/>
            <w:vAlign w:val="center"/>
          </w:tcPr>
          <w:p>
            <w:pPr>
              <w:jc w:val="center"/>
              <w:rPr>
                <w:rFonts w:asciiTheme="minorEastAsia" w:hAnsiTheme="minorEastAsia"/>
                <w:sz w:val="24"/>
                <w:szCs w:val="24"/>
              </w:rPr>
            </w:pPr>
            <w:bookmarkStart w:id="5" w:name="_资格证明文件"/>
            <w:bookmarkEnd w:id="5"/>
            <w:bookmarkStart w:id="6" w:name="_Toc364329026"/>
            <w:r>
              <w:rPr>
                <w:rFonts w:hint="eastAsia" w:asciiTheme="minorEastAsia" w:hAnsiTheme="minorEastAsia"/>
                <w:sz w:val="24"/>
                <w:szCs w:val="24"/>
              </w:rPr>
              <w:t>法定代表人授权代表身份证（正面）</w:t>
            </w:r>
            <w:bookmarkEnd w:id="6"/>
          </w:p>
        </w:tc>
        <w:tc>
          <w:tcPr>
            <w:tcW w:w="4423" w:type="dxa"/>
            <w:vAlign w:val="center"/>
          </w:tcPr>
          <w:p>
            <w:pPr>
              <w:jc w:val="center"/>
              <w:rPr>
                <w:rFonts w:asciiTheme="minorEastAsia" w:hAnsiTheme="minorEastAsia"/>
                <w:sz w:val="24"/>
                <w:szCs w:val="24"/>
              </w:rPr>
            </w:pPr>
            <w:bookmarkStart w:id="7" w:name="_Toc364329027"/>
            <w:r>
              <w:rPr>
                <w:rFonts w:hint="eastAsia" w:asciiTheme="minorEastAsia" w:hAnsiTheme="minorEastAsia"/>
                <w:sz w:val="24"/>
                <w:szCs w:val="24"/>
              </w:rPr>
              <w:t>法定代表人授权代表身份证（反面）</w:t>
            </w:r>
            <w:bookmarkEnd w:id="7"/>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156" w:beforeLines="50" w:after="156"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2"/>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jc w:val="center"/>
        <w:rPr>
          <w:rFonts w:ascii="宋体" w:hAnsi="宋体"/>
          <w:b/>
          <w:bCs/>
          <w:color w:val="000000"/>
          <w:sz w:val="36"/>
          <w:szCs w:val="36"/>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br w:type="page"/>
      </w: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8" w:name="OLE_LINK13"/>
      <w:bookmarkStart w:id="9" w:name="OLE_LINK14"/>
      <w:r>
        <w:rPr>
          <w:rFonts w:hint="eastAsia" w:ascii="宋体" w:hAnsi="宋体"/>
          <w:b/>
          <w:bCs/>
          <w:color w:val="000000"/>
          <w:sz w:val="36"/>
          <w:szCs w:val="36"/>
        </w:rPr>
        <w:t>4.10 残疾人福利性单位声明函</w:t>
      </w:r>
    </w:p>
    <w:bookmarkEnd w:id="8"/>
    <w:bookmarkEnd w:id="9"/>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ambria Math">
    <w:panose1 w:val="02040503050406030204"/>
    <w:charset w:val="00"/>
    <w:family w:val="roman"/>
    <w:pitch w:val="default"/>
    <w:sig w:usb0="A00002EF" w:usb1="420020E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5CA198"/>
    <w:multiLevelType w:val="singleLevel"/>
    <w:tmpl w:val="C75CA198"/>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38779C8"/>
    <w:multiLevelType w:val="multilevel"/>
    <w:tmpl w:val="038779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DC32EA1"/>
    <w:multiLevelType w:val="multilevel"/>
    <w:tmpl w:val="0DC32EA1"/>
    <w:lvl w:ilvl="0" w:tentative="0">
      <w:start w:val="10"/>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5614E86"/>
    <w:multiLevelType w:val="multilevel"/>
    <w:tmpl w:val="15614E8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A014AC1"/>
    <w:multiLevelType w:val="multilevel"/>
    <w:tmpl w:val="1A014AC1"/>
    <w:lvl w:ilvl="0" w:tentative="0">
      <w:start w:val="1"/>
      <w:numFmt w:val="upperLetter"/>
      <w:lvlText w:val="%1、"/>
      <w:lvlJc w:val="left"/>
      <w:pPr>
        <w:ind w:left="1095" w:hanging="360"/>
      </w:p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10">
    <w:nsid w:val="1C51026E"/>
    <w:multiLevelType w:val="multilevel"/>
    <w:tmpl w:val="1C5102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F3E3430"/>
    <w:multiLevelType w:val="multilevel"/>
    <w:tmpl w:val="1F3E3430"/>
    <w:lvl w:ilvl="0" w:tentative="0">
      <w:start w:val="15"/>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28B26307"/>
    <w:multiLevelType w:val="multilevel"/>
    <w:tmpl w:val="28B263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EC569B4"/>
    <w:multiLevelType w:val="multilevel"/>
    <w:tmpl w:val="2EC569B4"/>
    <w:lvl w:ilvl="0" w:tentative="0">
      <w:start w:val="3"/>
      <w:numFmt w:val="upperLetter"/>
      <w:lvlText w:val="%1、"/>
      <w:lvlJc w:val="left"/>
      <w:pPr>
        <w:ind w:left="1095" w:hanging="360"/>
      </w:p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17">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16E4C2D"/>
    <w:multiLevelType w:val="multilevel"/>
    <w:tmpl w:val="416E4C2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485006EF"/>
    <w:multiLevelType w:val="singleLevel"/>
    <w:tmpl w:val="485006EF"/>
    <w:lvl w:ilvl="0" w:tentative="0">
      <w:start w:val="5"/>
      <w:numFmt w:val="chineseCounting"/>
      <w:suff w:val="nothing"/>
      <w:lvlText w:val="（%1）"/>
      <w:lvlJc w:val="left"/>
      <w:rPr>
        <w:rFonts w:hint="eastAsia"/>
      </w:rPr>
    </w:lvl>
  </w:abstractNum>
  <w:abstractNum w:abstractNumId="23">
    <w:nsid w:val="485A5581"/>
    <w:multiLevelType w:val="multilevel"/>
    <w:tmpl w:val="485A5581"/>
    <w:lvl w:ilvl="0" w:tentative="0">
      <w:start w:val="17"/>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4">
    <w:nsid w:val="48D715A7"/>
    <w:multiLevelType w:val="multilevel"/>
    <w:tmpl w:val="48D715A7"/>
    <w:lvl w:ilvl="0" w:tentative="0">
      <w:start w:val="1"/>
      <w:numFmt w:val="decimal"/>
      <w:lvlText w:val="%1、"/>
      <w:lvlJc w:val="left"/>
      <w:pPr>
        <w:ind w:left="420" w:hanging="420"/>
      </w:pPr>
      <w:rPr>
        <w:rFonts w:cs="Times New Roman"/>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AE506CC"/>
    <w:multiLevelType w:val="multilevel"/>
    <w:tmpl w:val="4AE506CC"/>
    <w:lvl w:ilvl="0" w:tentative="0">
      <w:start w:val="16"/>
      <w:numFmt w:val="decimal"/>
      <w:lvlText w:val="%1."/>
      <w:lvlJc w:val="left"/>
      <w:pPr>
        <w:ind w:left="1155"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9F817C2"/>
    <w:multiLevelType w:val="singleLevel"/>
    <w:tmpl w:val="59F817C2"/>
    <w:lvl w:ilvl="0" w:tentative="0">
      <w:start w:val="2"/>
      <w:numFmt w:val="chineseCounting"/>
      <w:suff w:val="space"/>
      <w:lvlText w:val="第%1章"/>
      <w:lvlJc w:val="left"/>
    </w:lvl>
  </w:abstractNum>
  <w:abstractNum w:abstractNumId="28">
    <w:nsid w:val="59F817E8"/>
    <w:multiLevelType w:val="singleLevel"/>
    <w:tmpl w:val="59F817E8"/>
    <w:lvl w:ilvl="0" w:tentative="0">
      <w:start w:val="1"/>
      <w:numFmt w:val="chineseCounting"/>
      <w:pStyle w:val="50"/>
      <w:suff w:val="nothing"/>
      <w:lvlText w:val="%1、"/>
      <w:lvlJc w:val="left"/>
    </w:lvl>
  </w:abstractNum>
  <w:abstractNum w:abstractNumId="29">
    <w:nsid w:val="678B11D0"/>
    <w:multiLevelType w:val="multilevel"/>
    <w:tmpl w:val="678B11D0"/>
    <w:lvl w:ilvl="0" w:tentative="0">
      <w:start w:val="1"/>
      <w:numFmt w:val="decimal"/>
      <w:lvlText w:val="%1）"/>
      <w:lvlJc w:val="left"/>
      <w:pPr>
        <w:ind w:left="1485" w:hanging="360"/>
      </w:pPr>
    </w:lvl>
    <w:lvl w:ilvl="1" w:tentative="0">
      <w:start w:val="1"/>
      <w:numFmt w:val="lowerLetter"/>
      <w:lvlText w:val="%2)"/>
      <w:lvlJc w:val="left"/>
      <w:pPr>
        <w:ind w:left="1965" w:hanging="420"/>
      </w:pPr>
    </w:lvl>
    <w:lvl w:ilvl="2" w:tentative="0">
      <w:start w:val="1"/>
      <w:numFmt w:val="lowerRoman"/>
      <w:lvlText w:val="%3."/>
      <w:lvlJc w:val="right"/>
      <w:pPr>
        <w:ind w:left="2385" w:hanging="420"/>
      </w:pPr>
    </w:lvl>
    <w:lvl w:ilvl="3" w:tentative="0">
      <w:start w:val="1"/>
      <w:numFmt w:val="decimal"/>
      <w:lvlText w:val="%4."/>
      <w:lvlJc w:val="left"/>
      <w:pPr>
        <w:ind w:left="2805" w:hanging="420"/>
      </w:pPr>
    </w:lvl>
    <w:lvl w:ilvl="4" w:tentative="0">
      <w:start w:val="1"/>
      <w:numFmt w:val="lowerLetter"/>
      <w:lvlText w:val="%5)"/>
      <w:lvlJc w:val="left"/>
      <w:pPr>
        <w:ind w:left="3225" w:hanging="420"/>
      </w:pPr>
    </w:lvl>
    <w:lvl w:ilvl="5" w:tentative="0">
      <w:start w:val="1"/>
      <w:numFmt w:val="lowerRoman"/>
      <w:lvlText w:val="%6."/>
      <w:lvlJc w:val="right"/>
      <w:pPr>
        <w:ind w:left="3645" w:hanging="420"/>
      </w:pPr>
    </w:lvl>
    <w:lvl w:ilvl="6" w:tentative="0">
      <w:start w:val="1"/>
      <w:numFmt w:val="decimal"/>
      <w:lvlText w:val="%7."/>
      <w:lvlJc w:val="left"/>
      <w:pPr>
        <w:ind w:left="4065" w:hanging="420"/>
      </w:pPr>
    </w:lvl>
    <w:lvl w:ilvl="7" w:tentative="0">
      <w:start w:val="1"/>
      <w:numFmt w:val="lowerLetter"/>
      <w:lvlText w:val="%8)"/>
      <w:lvlJc w:val="left"/>
      <w:pPr>
        <w:ind w:left="4485" w:hanging="420"/>
      </w:pPr>
    </w:lvl>
    <w:lvl w:ilvl="8" w:tentative="0">
      <w:start w:val="1"/>
      <w:numFmt w:val="lowerRoman"/>
      <w:lvlText w:val="%9."/>
      <w:lvlJc w:val="right"/>
      <w:pPr>
        <w:ind w:left="4905" w:hanging="420"/>
      </w:pPr>
    </w:lvl>
  </w:abstractNum>
  <w:abstractNum w:abstractNumId="3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8AA58AA"/>
    <w:multiLevelType w:val="multilevel"/>
    <w:tmpl w:val="78AA58AA"/>
    <w:lvl w:ilvl="0" w:tentative="0">
      <w:start w:val="19"/>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4">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28"/>
  </w:num>
  <w:num w:numId="4">
    <w:abstractNumId w:val="22"/>
  </w:num>
  <w:num w:numId="5">
    <w:abstractNumId w:val="27"/>
  </w:num>
  <w:num w:numId="6">
    <w:abstractNumId w:val="0"/>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0"/>
  </w:num>
  <w:num w:numId="26">
    <w:abstractNumId w:val="31"/>
  </w:num>
  <w:num w:numId="27">
    <w:abstractNumId w:val="21"/>
  </w:num>
  <w:num w:numId="28">
    <w:abstractNumId w:val="17"/>
  </w:num>
  <w:num w:numId="29">
    <w:abstractNumId w:val="8"/>
  </w:num>
  <w:num w:numId="30">
    <w:abstractNumId w:val="11"/>
  </w:num>
  <w:num w:numId="31">
    <w:abstractNumId w:val="34"/>
  </w:num>
  <w:num w:numId="32">
    <w:abstractNumId w:val="19"/>
  </w:num>
  <w:num w:numId="33">
    <w:abstractNumId w:val="32"/>
  </w:num>
  <w:num w:numId="34">
    <w:abstractNumId w:val="7"/>
  </w:num>
  <w:num w:numId="35">
    <w:abstractNumId w:val="12"/>
  </w:num>
  <w:num w:numId="36">
    <w:abstractNumId w:val="26"/>
  </w:num>
  <w:num w:numId="37">
    <w:abstractNumId w:val="18"/>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E678E"/>
    <w:rsid w:val="00002C4C"/>
    <w:rsid w:val="00013791"/>
    <w:rsid w:val="000954CE"/>
    <w:rsid w:val="000B201C"/>
    <w:rsid w:val="000F40BE"/>
    <w:rsid w:val="000F58D4"/>
    <w:rsid w:val="00137165"/>
    <w:rsid w:val="00160D27"/>
    <w:rsid w:val="001C3E6D"/>
    <w:rsid w:val="00201BCA"/>
    <w:rsid w:val="00215B36"/>
    <w:rsid w:val="0022279A"/>
    <w:rsid w:val="00227E3C"/>
    <w:rsid w:val="002A39A2"/>
    <w:rsid w:val="002A7EAE"/>
    <w:rsid w:val="002C1175"/>
    <w:rsid w:val="002F21EF"/>
    <w:rsid w:val="003337FB"/>
    <w:rsid w:val="00363726"/>
    <w:rsid w:val="00397A66"/>
    <w:rsid w:val="003C1CEA"/>
    <w:rsid w:val="00450C1D"/>
    <w:rsid w:val="00460A21"/>
    <w:rsid w:val="00496923"/>
    <w:rsid w:val="004D15DE"/>
    <w:rsid w:val="00505787"/>
    <w:rsid w:val="0051397E"/>
    <w:rsid w:val="00520714"/>
    <w:rsid w:val="0057038A"/>
    <w:rsid w:val="005E646F"/>
    <w:rsid w:val="00615C10"/>
    <w:rsid w:val="00636AAD"/>
    <w:rsid w:val="00685B99"/>
    <w:rsid w:val="00694DB2"/>
    <w:rsid w:val="006E678E"/>
    <w:rsid w:val="006F1C15"/>
    <w:rsid w:val="007054C2"/>
    <w:rsid w:val="00713175"/>
    <w:rsid w:val="00714BBF"/>
    <w:rsid w:val="0076324F"/>
    <w:rsid w:val="0078154E"/>
    <w:rsid w:val="007D329B"/>
    <w:rsid w:val="008570DB"/>
    <w:rsid w:val="00885877"/>
    <w:rsid w:val="008B3AF4"/>
    <w:rsid w:val="008D07A8"/>
    <w:rsid w:val="00933EBF"/>
    <w:rsid w:val="009434C1"/>
    <w:rsid w:val="00952BD1"/>
    <w:rsid w:val="0097065A"/>
    <w:rsid w:val="009C12AB"/>
    <w:rsid w:val="009D27F1"/>
    <w:rsid w:val="00A3752F"/>
    <w:rsid w:val="00A4670A"/>
    <w:rsid w:val="00A57254"/>
    <w:rsid w:val="00A90DA0"/>
    <w:rsid w:val="00AD60E2"/>
    <w:rsid w:val="00AF2871"/>
    <w:rsid w:val="00B07A0D"/>
    <w:rsid w:val="00BA0A5F"/>
    <w:rsid w:val="00BF7BB6"/>
    <w:rsid w:val="00C118B0"/>
    <w:rsid w:val="00CD277F"/>
    <w:rsid w:val="00CD3054"/>
    <w:rsid w:val="00CD47B7"/>
    <w:rsid w:val="00CE38EA"/>
    <w:rsid w:val="00D53665"/>
    <w:rsid w:val="00D81A59"/>
    <w:rsid w:val="00D86948"/>
    <w:rsid w:val="00DE647B"/>
    <w:rsid w:val="00E84EA0"/>
    <w:rsid w:val="00EA2836"/>
    <w:rsid w:val="00ED546F"/>
    <w:rsid w:val="00F71CA7"/>
    <w:rsid w:val="00FC40F1"/>
    <w:rsid w:val="01382ADE"/>
    <w:rsid w:val="04764B88"/>
    <w:rsid w:val="04A34EDE"/>
    <w:rsid w:val="04CA097E"/>
    <w:rsid w:val="05745E3F"/>
    <w:rsid w:val="05A66782"/>
    <w:rsid w:val="06032CF4"/>
    <w:rsid w:val="063A4E35"/>
    <w:rsid w:val="081D4674"/>
    <w:rsid w:val="081D506A"/>
    <w:rsid w:val="098C3919"/>
    <w:rsid w:val="09DB44D0"/>
    <w:rsid w:val="0A794825"/>
    <w:rsid w:val="0AD65B1E"/>
    <w:rsid w:val="0B6C7109"/>
    <w:rsid w:val="0B747927"/>
    <w:rsid w:val="0C1A44C4"/>
    <w:rsid w:val="0C1F0FFB"/>
    <w:rsid w:val="0C233BCF"/>
    <w:rsid w:val="0C3C2FE9"/>
    <w:rsid w:val="0C721350"/>
    <w:rsid w:val="0DA17243"/>
    <w:rsid w:val="0E9F4B6D"/>
    <w:rsid w:val="0EB40732"/>
    <w:rsid w:val="1007750D"/>
    <w:rsid w:val="101F07CA"/>
    <w:rsid w:val="11B47D57"/>
    <w:rsid w:val="13117F7C"/>
    <w:rsid w:val="14155AE3"/>
    <w:rsid w:val="16120009"/>
    <w:rsid w:val="161D74D5"/>
    <w:rsid w:val="17AE56A9"/>
    <w:rsid w:val="18274E5F"/>
    <w:rsid w:val="18645563"/>
    <w:rsid w:val="187E439D"/>
    <w:rsid w:val="18BA4550"/>
    <w:rsid w:val="18CF104A"/>
    <w:rsid w:val="18CF161D"/>
    <w:rsid w:val="19147629"/>
    <w:rsid w:val="19AE47E0"/>
    <w:rsid w:val="1A233159"/>
    <w:rsid w:val="1B5C7908"/>
    <w:rsid w:val="1BFB6B3F"/>
    <w:rsid w:val="1CBC0192"/>
    <w:rsid w:val="1E9847CA"/>
    <w:rsid w:val="1F2F31D5"/>
    <w:rsid w:val="1F40287E"/>
    <w:rsid w:val="20620D85"/>
    <w:rsid w:val="21EC543F"/>
    <w:rsid w:val="237819C9"/>
    <w:rsid w:val="23C30685"/>
    <w:rsid w:val="257B38B9"/>
    <w:rsid w:val="25B142AB"/>
    <w:rsid w:val="28F025A3"/>
    <w:rsid w:val="29827945"/>
    <w:rsid w:val="29D313C5"/>
    <w:rsid w:val="2A1D6C96"/>
    <w:rsid w:val="2AF32CDE"/>
    <w:rsid w:val="2B955B97"/>
    <w:rsid w:val="2C0C3C17"/>
    <w:rsid w:val="2C2B5EA5"/>
    <w:rsid w:val="2D164FCF"/>
    <w:rsid w:val="2DF00782"/>
    <w:rsid w:val="2E3D4FE3"/>
    <w:rsid w:val="2F1B757B"/>
    <w:rsid w:val="30B545E0"/>
    <w:rsid w:val="312C3F38"/>
    <w:rsid w:val="3241119D"/>
    <w:rsid w:val="329C7898"/>
    <w:rsid w:val="329D6CD6"/>
    <w:rsid w:val="32C361F8"/>
    <w:rsid w:val="33C24A64"/>
    <w:rsid w:val="340B28BB"/>
    <w:rsid w:val="341344E8"/>
    <w:rsid w:val="35BD5008"/>
    <w:rsid w:val="36977DC0"/>
    <w:rsid w:val="38D51A08"/>
    <w:rsid w:val="38FE07F1"/>
    <w:rsid w:val="39326998"/>
    <w:rsid w:val="39B65436"/>
    <w:rsid w:val="39C105B6"/>
    <w:rsid w:val="3BBC43AE"/>
    <w:rsid w:val="3CB35B1E"/>
    <w:rsid w:val="3DAC314F"/>
    <w:rsid w:val="3DDC7D28"/>
    <w:rsid w:val="3E0D40EE"/>
    <w:rsid w:val="400C3772"/>
    <w:rsid w:val="405A61DE"/>
    <w:rsid w:val="436D082F"/>
    <w:rsid w:val="43E834BD"/>
    <w:rsid w:val="44813CAF"/>
    <w:rsid w:val="450B2124"/>
    <w:rsid w:val="453316E6"/>
    <w:rsid w:val="45A8776E"/>
    <w:rsid w:val="468D6055"/>
    <w:rsid w:val="479F493E"/>
    <w:rsid w:val="48EA24EE"/>
    <w:rsid w:val="49233EC3"/>
    <w:rsid w:val="49810E90"/>
    <w:rsid w:val="4B570E56"/>
    <w:rsid w:val="4BE41359"/>
    <w:rsid w:val="4C272505"/>
    <w:rsid w:val="4F3B1AD7"/>
    <w:rsid w:val="505D42CC"/>
    <w:rsid w:val="52B3711D"/>
    <w:rsid w:val="532C4205"/>
    <w:rsid w:val="543864BA"/>
    <w:rsid w:val="54AD4E49"/>
    <w:rsid w:val="54F42526"/>
    <w:rsid w:val="555A4F1D"/>
    <w:rsid w:val="556632E1"/>
    <w:rsid w:val="567C1AC3"/>
    <w:rsid w:val="56AD14CC"/>
    <w:rsid w:val="57204064"/>
    <w:rsid w:val="57F57718"/>
    <w:rsid w:val="59301947"/>
    <w:rsid w:val="59546EEF"/>
    <w:rsid w:val="5A7648E5"/>
    <w:rsid w:val="5AAC5DA8"/>
    <w:rsid w:val="5BD21553"/>
    <w:rsid w:val="5D287C15"/>
    <w:rsid w:val="5D6C7D2C"/>
    <w:rsid w:val="5DA440F6"/>
    <w:rsid w:val="606F3CCF"/>
    <w:rsid w:val="60A41701"/>
    <w:rsid w:val="63C26805"/>
    <w:rsid w:val="640D360D"/>
    <w:rsid w:val="64214491"/>
    <w:rsid w:val="6428471C"/>
    <w:rsid w:val="6504685B"/>
    <w:rsid w:val="66A60F1F"/>
    <w:rsid w:val="66BA304E"/>
    <w:rsid w:val="67740EFF"/>
    <w:rsid w:val="67EF097B"/>
    <w:rsid w:val="681B1C02"/>
    <w:rsid w:val="69820879"/>
    <w:rsid w:val="6B16490F"/>
    <w:rsid w:val="6B203DC4"/>
    <w:rsid w:val="6B871FF9"/>
    <w:rsid w:val="6BBE0814"/>
    <w:rsid w:val="6BD579B3"/>
    <w:rsid w:val="6CCC42D4"/>
    <w:rsid w:val="6EF245BE"/>
    <w:rsid w:val="6F7C4544"/>
    <w:rsid w:val="6F9264BE"/>
    <w:rsid w:val="714047DC"/>
    <w:rsid w:val="719E0453"/>
    <w:rsid w:val="71C45568"/>
    <w:rsid w:val="71FF01CB"/>
    <w:rsid w:val="72424F1E"/>
    <w:rsid w:val="728D5BBC"/>
    <w:rsid w:val="7358043E"/>
    <w:rsid w:val="742A1197"/>
    <w:rsid w:val="748E2E4F"/>
    <w:rsid w:val="74BC2E67"/>
    <w:rsid w:val="75323C2B"/>
    <w:rsid w:val="79C068F7"/>
    <w:rsid w:val="7B3E2A22"/>
    <w:rsid w:val="7C2E56B5"/>
    <w:rsid w:val="7C4B5BB7"/>
    <w:rsid w:val="7DA26B4C"/>
    <w:rsid w:val="7DA66007"/>
    <w:rsid w:val="7E602B99"/>
    <w:rsid w:val="7E81237D"/>
    <w:rsid w:val="7EE4151F"/>
    <w:rsid w:val="7FE06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tabs>
        <w:tab w:val="left" w:pos="945"/>
        <w:tab w:val="left" w:pos="1155"/>
      </w:tabs>
      <w:spacing w:after="120"/>
      <w:ind w:left="420" w:leftChars="200" w:firstLine="420" w:firstLineChars="200"/>
    </w:pPr>
  </w:style>
  <w:style w:type="paragraph" w:styleId="3">
    <w:name w:val="Body Text Indent"/>
    <w:basedOn w:val="1"/>
    <w:qFormat/>
    <w:uiPriority w:val="99"/>
    <w:pPr>
      <w:tabs>
        <w:tab w:val="left" w:pos="945"/>
        <w:tab w:val="left" w:pos="1155"/>
      </w:tabs>
      <w:ind w:firstLine="435"/>
    </w:pPr>
    <w:rPr>
      <w:rFonts w:cs="Times New Roman"/>
      <w:kern w:val="0"/>
      <w:sz w:val="20"/>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Body Text"/>
    <w:basedOn w:val="1"/>
    <w:link w:val="51"/>
    <w:semiHidden/>
    <w:unhideWhenUsed/>
    <w:qFormat/>
    <w:uiPriority w:val="99"/>
    <w:pPr>
      <w:spacing w:after="120"/>
    </w:p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2"/>
    <w:qFormat/>
    <w:uiPriority w:val="0"/>
    <w:rPr>
      <w:rFonts w:eastAsia="宋体"/>
      <w:sz w:val="24"/>
    </w:rPr>
  </w:style>
  <w:style w:type="paragraph" w:styleId="15">
    <w:name w:val="Date"/>
    <w:basedOn w:val="1"/>
    <w:next w:val="1"/>
    <w:link w:val="33"/>
    <w:unhideWhenUsed/>
    <w:qFormat/>
    <w:uiPriority w:val="99"/>
    <w:pPr>
      <w:ind w:left="100" w:leftChars="2500"/>
    </w:p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1"/>
    <w:link w:val="52"/>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style>
  <w:style w:type="character" w:styleId="27">
    <w:name w:val="Hyperlink"/>
    <w:basedOn w:val="23"/>
    <w:unhideWhenUsed/>
    <w:qFormat/>
    <w:uiPriority w:val="99"/>
    <w:rPr>
      <w:color w:val="000000"/>
      <w:u w:val="none"/>
    </w:rPr>
  </w:style>
  <w:style w:type="character" w:customStyle="1" w:styleId="28">
    <w:name w:val="标题 1 字符"/>
    <w:basedOn w:val="23"/>
    <w:link w:val="4"/>
    <w:qFormat/>
    <w:uiPriority w:val="0"/>
    <w:rPr>
      <w:rFonts w:ascii="Calibri" w:hAnsi="Calibri" w:eastAsia="宋体" w:cs="Times New Roman"/>
      <w:b/>
      <w:bCs/>
      <w:kern w:val="44"/>
      <w:sz w:val="44"/>
      <w:szCs w:val="44"/>
    </w:rPr>
  </w:style>
  <w:style w:type="character" w:customStyle="1" w:styleId="29">
    <w:name w:val="标题 2 字符"/>
    <w:basedOn w:val="23"/>
    <w:link w:val="5"/>
    <w:qFormat/>
    <w:uiPriority w:val="0"/>
    <w:rPr>
      <w:rFonts w:ascii="Arial" w:hAnsi="Arial" w:eastAsia="黑体" w:cs="Times New Roman"/>
      <w:b/>
      <w:bCs/>
      <w:kern w:val="0"/>
      <w:sz w:val="32"/>
      <w:szCs w:val="32"/>
    </w:rPr>
  </w:style>
  <w:style w:type="character" w:customStyle="1" w:styleId="30">
    <w:name w:val="标题 3 字符"/>
    <w:basedOn w:val="23"/>
    <w:link w:val="6"/>
    <w:qFormat/>
    <w:uiPriority w:val="0"/>
    <w:rPr>
      <w:rFonts w:ascii="宋体" w:hAnsi="宋体" w:eastAsia="宋体" w:cs="Times New Roman"/>
      <w:b/>
      <w:color w:val="000000"/>
      <w:kern w:val="0"/>
      <w:sz w:val="24"/>
      <w:szCs w:val="20"/>
      <w:lang w:val="en-GB"/>
    </w:rPr>
  </w:style>
  <w:style w:type="character" w:customStyle="1" w:styleId="31">
    <w:name w:val="标题 4 字符"/>
    <w:basedOn w:val="23"/>
    <w:link w:val="7"/>
    <w:qFormat/>
    <w:uiPriority w:val="0"/>
    <w:rPr>
      <w:rFonts w:ascii="Arial" w:hAnsi="Arial" w:eastAsia="黑体" w:cs="Times New Roman"/>
      <w:b/>
      <w:bCs/>
      <w:kern w:val="0"/>
      <w:sz w:val="28"/>
      <w:szCs w:val="28"/>
    </w:rPr>
  </w:style>
  <w:style w:type="character" w:customStyle="1" w:styleId="32">
    <w:name w:val="纯文本 字符"/>
    <w:basedOn w:val="23"/>
    <w:link w:val="14"/>
    <w:qFormat/>
    <w:uiPriority w:val="0"/>
    <w:rPr>
      <w:rFonts w:eastAsia="宋体"/>
      <w:sz w:val="24"/>
    </w:rPr>
  </w:style>
  <w:style w:type="character" w:customStyle="1" w:styleId="33">
    <w:name w:val="日期 字符"/>
    <w:basedOn w:val="23"/>
    <w:link w:val="15"/>
    <w:qFormat/>
    <w:uiPriority w:val="99"/>
  </w:style>
  <w:style w:type="character" w:customStyle="1" w:styleId="34">
    <w:name w:val="页脚 字符"/>
    <w:basedOn w:val="23"/>
    <w:link w:val="16"/>
    <w:qFormat/>
    <w:uiPriority w:val="99"/>
    <w:rPr>
      <w:sz w:val="18"/>
      <w:szCs w:val="18"/>
    </w:rPr>
  </w:style>
  <w:style w:type="character" w:customStyle="1" w:styleId="35">
    <w:name w:val="页眉 字符"/>
    <w:basedOn w:val="23"/>
    <w:link w:val="17"/>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0"/>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字符"/>
    <w:basedOn w:val="23"/>
    <w:link w:val="10"/>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字符"/>
    <w:basedOn w:val="23"/>
    <w:link w:val="11"/>
    <w:semiHidden/>
    <w:qFormat/>
    <w:uiPriority w:val="99"/>
  </w:style>
  <w:style w:type="character" w:customStyle="1" w:styleId="52">
    <w:name w:val="正文文本首行缩进 字符"/>
    <w:basedOn w:val="51"/>
    <w:link w:val="21"/>
    <w:qFormat/>
    <w:uiPriority w:val="0"/>
    <w:rPr>
      <w:rFonts w:ascii="宋体" w:hAnsi="Times New Roman" w:eastAsia="宋体" w:cs="Times New Roman"/>
      <w:kern w:val="0"/>
      <w:sz w:val="34"/>
      <w:szCs w:val="20"/>
    </w:rPr>
  </w:style>
  <w:style w:type="character" w:customStyle="1" w:styleId="53">
    <w:name w:val="HTML 预设格式 字符"/>
    <w:basedOn w:val="23"/>
    <w:link w:val="19"/>
    <w:semiHidden/>
    <w:qFormat/>
    <w:uiPriority w:val="99"/>
    <w:rPr>
      <w:rFonts w:ascii="宋体" w:hAnsi="宋体" w:eastAsia="宋体" w:cs="宋体"/>
      <w:kern w:val="0"/>
      <w:sz w:val="24"/>
      <w:szCs w:val="24"/>
    </w:rPr>
  </w:style>
  <w:style w:type="character" w:customStyle="1" w:styleId="54">
    <w:name w:val="hover25"/>
    <w:basedOn w:val="23"/>
    <w:qFormat/>
    <w:uiPriority w:val="0"/>
  </w:style>
  <w:style w:type="character" w:customStyle="1" w:styleId="55">
    <w:name w:val="red"/>
    <w:basedOn w:val="23"/>
    <w:qFormat/>
    <w:uiPriority w:val="0"/>
    <w:rPr>
      <w:color w:val="FF0000"/>
      <w:sz w:val="18"/>
      <w:szCs w:val="18"/>
    </w:rPr>
  </w:style>
  <w:style w:type="character" w:customStyle="1" w:styleId="56">
    <w:name w:val="red1"/>
    <w:basedOn w:val="23"/>
    <w:qFormat/>
    <w:uiPriority w:val="0"/>
    <w:rPr>
      <w:color w:val="FF0000"/>
      <w:sz w:val="18"/>
      <w:szCs w:val="18"/>
    </w:rPr>
  </w:style>
  <w:style w:type="character" w:customStyle="1" w:styleId="57">
    <w:name w:val="red2"/>
    <w:basedOn w:val="23"/>
    <w:qFormat/>
    <w:uiPriority w:val="0"/>
    <w:rPr>
      <w:color w:val="CC0000"/>
    </w:rPr>
  </w:style>
  <w:style w:type="character" w:customStyle="1" w:styleId="58">
    <w:name w:val="red3"/>
    <w:basedOn w:val="23"/>
    <w:qFormat/>
    <w:uiPriority w:val="0"/>
    <w:rPr>
      <w:color w:val="FF0000"/>
    </w:rPr>
  </w:style>
  <w:style w:type="character" w:customStyle="1" w:styleId="59">
    <w:name w:val="green"/>
    <w:basedOn w:val="23"/>
    <w:qFormat/>
    <w:uiPriority w:val="0"/>
    <w:rPr>
      <w:color w:val="66AE00"/>
      <w:sz w:val="18"/>
      <w:szCs w:val="18"/>
    </w:rPr>
  </w:style>
  <w:style w:type="character" w:customStyle="1" w:styleId="60">
    <w:name w:val="green1"/>
    <w:basedOn w:val="23"/>
    <w:qFormat/>
    <w:uiPriority w:val="0"/>
    <w:rPr>
      <w:color w:val="66AE00"/>
      <w:sz w:val="18"/>
      <w:szCs w:val="18"/>
    </w:rPr>
  </w:style>
  <w:style w:type="character" w:customStyle="1" w:styleId="61">
    <w:name w:val="gb-jt"/>
    <w:basedOn w:val="23"/>
    <w:qFormat/>
    <w:uiPriority w:val="0"/>
  </w:style>
  <w:style w:type="character" w:customStyle="1" w:styleId="62">
    <w:name w:val="blue"/>
    <w:basedOn w:val="23"/>
    <w:qFormat/>
    <w:uiPriority w:val="0"/>
    <w:rPr>
      <w:color w:val="0371C6"/>
      <w:sz w:val="21"/>
      <w:szCs w:val="21"/>
    </w:rPr>
  </w:style>
  <w:style w:type="character" w:customStyle="1" w:styleId="63">
    <w:name w:val="right"/>
    <w:basedOn w:val="23"/>
    <w:qFormat/>
    <w:uiPriority w:val="0"/>
    <w:rPr>
      <w:color w:val="999999"/>
      <w:sz w:val="18"/>
      <w:szCs w:val="18"/>
    </w:rPr>
  </w:style>
  <w:style w:type="character" w:customStyle="1" w:styleId="64">
    <w:name w:val="hover"/>
    <w:basedOn w:val="2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7325</Words>
  <Characters>41759</Characters>
  <Lines>347</Lines>
  <Paragraphs>97</Paragraphs>
  <TotalTime>2</TotalTime>
  <ScaleCrop>false</ScaleCrop>
  <LinksUpToDate>false</LinksUpToDate>
  <CharactersWithSpaces>48987</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甛╚＞</cp:lastModifiedBy>
  <cp:lastPrinted>2018-07-25T00:31:00Z</cp:lastPrinted>
  <dcterms:modified xsi:type="dcterms:W3CDTF">2019-04-02T07:20:37Z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