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spacing w:line="600" w:lineRule="exac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禹州市环境卫生管理处环卫专用车辆采购项目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52"/>
          <w:szCs w:val="52"/>
        </w:rPr>
      </w:pPr>
      <w:r>
        <w:rPr>
          <w:rFonts w:hint="eastAsia" w:ascii="黑体" w:hAnsi="黑体" w:eastAsia="黑体" w:cs="黑体"/>
          <w:bCs/>
          <w:color w:val="000000"/>
          <w:w w:val="90"/>
          <w:sz w:val="52"/>
          <w:szCs w:val="5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采购单位：禹州市环境卫生管理处</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YZCG-G2019090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二〇一九年四月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ascii="仿宋" w:hAnsi="仿宋" w:eastAsia="仿宋" w:cs="仿宋"/>
          <w:b/>
          <w:bCs/>
          <w:color w:val="000000"/>
          <w:sz w:val="36"/>
          <w:szCs w:val="36"/>
        </w:rPr>
      </w:pPr>
      <w:r>
        <w:rPr>
          <w:rFonts w:hint="eastAsia" w:ascii="仿宋" w:hAnsi="仿宋" w:eastAsia="仿宋" w:cs="仿宋"/>
          <w:b/>
          <w:bCs/>
          <w:sz w:val="36"/>
          <w:szCs w:val="36"/>
        </w:rPr>
        <w:t xml:space="preserve">  </w:t>
      </w:r>
      <w:r>
        <w:rPr>
          <w:rFonts w:hint="eastAsia" w:ascii="仿宋" w:hAnsi="仿宋" w:eastAsia="仿宋" w:cs="仿宋"/>
          <w:b/>
          <w:bCs/>
          <w:color w:val="000000"/>
          <w:sz w:val="36"/>
          <w:szCs w:val="36"/>
        </w:rPr>
        <w:t>禹州市环境卫生管理处环卫专用车辆采购项目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autoSpaceDE w:val="0"/>
        <w:spacing w:line="400" w:lineRule="exact"/>
        <w:ind w:firstLine="960" w:firstLineChars="3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禹州市政府采购中心受禹州市环境卫生管理处的委托，就“禹州市环境卫生管理处环卫专用车辆采购项目”进行公开招标，欢迎合格的投标人前来投标。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采购人：禹州市环境卫生管理处</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项目名称：禹州市环境卫生管理处环卫专用车辆采购项目3、采购编号：</w:t>
      </w:r>
      <w:r>
        <w:rPr>
          <w:rFonts w:hint="eastAsia" w:ascii="仿宋" w:hAnsi="仿宋" w:eastAsia="仿宋" w:cs="仿宋_GB2312"/>
          <w:sz w:val="32"/>
          <w:szCs w:val="32"/>
          <w:shd w:val="clear" w:color="auto" w:fill="FFFFFF"/>
        </w:rPr>
        <w:t>YZCG-G2019090</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ascii="仿宋" w:hAnsi="仿宋" w:eastAsia="仿宋" w:cs="Arial"/>
          <w:color w:val="000000"/>
          <w:kern w:val="0"/>
          <w:sz w:val="32"/>
          <w:szCs w:val="32"/>
          <w:shd w:val="clear" w:color="auto" w:fill="FFFFFF"/>
        </w:rPr>
        <w:t xml:space="preserve"> </w:t>
      </w:r>
      <w:r>
        <w:rPr>
          <w:rFonts w:hint="eastAsia" w:ascii="仿宋" w:hAnsi="仿宋" w:eastAsia="仿宋" w:cs="Arial"/>
          <w:color w:val="000000"/>
          <w:kern w:val="0"/>
          <w:sz w:val="32"/>
          <w:szCs w:val="32"/>
          <w:shd w:val="clear" w:color="auto" w:fill="FFFFFF"/>
        </w:rPr>
        <w:t>A包专用车辆15台  B包专用车辆10台</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5、采购预算：A包414万元        B包484万元</w:t>
      </w:r>
      <w:r>
        <w:rPr>
          <w:rFonts w:ascii="仿宋" w:hAnsi="仿宋" w:eastAsia="仿宋" w:cs="仿宋_GB2312"/>
          <w:sz w:val="32"/>
          <w:szCs w:val="32"/>
          <w:shd w:val="clear" w:color="auto" w:fill="FFFFFF"/>
        </w:rPr>
        <w:t xml:space="preserve"> </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Arial"/>
          <w:color w:val="000000"/>
          <w:kern w:val="0"/>
          <w:sz w:val="32"/>
          <w:szCs w:val="32"/>
          <w:shd w:val="clear" w:color="auto" w:fill="FFFFFF"/>
        </w:rPr>
        <w:t xml:space="preserve">A包414万元        B包484万元 </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本项目落实节约能源、保护环境、扶持不发达地区和少数民族地区、促进中小企业、监狱企业发展等政府采购政策。（详见谈判文件）</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A包：</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1、符合《政府采购法》第二十二条之规定，具有独立法人资格的生产厂家或销售公司且有相应的经营范围（以营业执照为准）；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3、所投产品必须符合国家质量检测标准，并有国家发改委或工信部发布的《车辆生产企业及产品公告》，且符合相应的行业标准。</w:t>
      </w:r>
    </w:p>
    <w:p>
      <w:pPr>
        <w:spacing w:line="4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B包：</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1、符合《政府采购法》第二十二条之规定，具有独立法人资格的生产厂家且有相应的经营范围（以营业执照为准）；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3、所投产品必须符合国家质量检测标准，并有国家发改委或工信部发布的《车辆生产企业及产品公告》，且符合相应的行业标准。</w:t>
      </w:r>
    </w:p>
    <w:p>
      <w:pPr>
        <w:spacing w:line="400" w:lineRule="exact"/>
        <w:ind w:firstLine="480" w:firstLineChars="15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6"/>
          <w:rFonts w:hint="eastAsia" w:ascii="仿宋" w:hAnsi="仿宋" w:eastAsia="仿宋" w:cs="宋体"/>
          <w:sz w:val="32"/>
          <w:szCs w:val="32"/>
        </w:rPr>
        <w:t>http://221.14.6.70:8088/ggzy/eps/public/RegistAllJcxx.html</w:t>
      </w:r>
      <w:r>
        <w:rPr>
          <w:rStyle w:val="26"/>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6"/>
          <w:rFonts w:hint="eastAsia" w:ascii="仿宋" w:hAnsi="仿宋" w:eastAsia="仿宋" w:cs="宋体"/>
          <w:sz w:val="32"/>
          <w:szCs w:val="32"/>
        </w:rPr>
        <w:t>http://221.14.6.70:8088/ggzy/</w:t>
      </w:r>
      <w:r>
        <w:rPr>
          <w:rStyle w:val="26"/>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4、招标文件每份售价人民币500元，于递交投标文件时缴纳给采购代理机构，售后不退。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rPr>
        <w:t>2019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5</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17</w:t>
      </w:r>
      <w:r>
        <w:rPr>
          <w:rFonts w:hint="eastAsia" w:ascii="仿宋" w:hAnsi="仿宋" w:eastAsia="仿宋" w:cs="Arial"/>
          <w:color w:val="000000"/>
          <w:kern w:val="0"/>
          <w:sz w:val="32"/>
          <w:szCs w:val="32"/>
          <w:shd w:val="clear" w:color="auto" w:fill="FFFFFF"/>
        </w:rPr>
        <w:t>日9:00（北京时间），逾期送达或不符合规定的投标文件不予接受。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numPr>
          <w:ilvl w:val="0"/>
          <w:numId w:val="7"/>
        </w:numPr>
        <w:shd w:val="clear" w:color="auto" w:fill="FFFFFF"/>
        <w:spacing w:line="400" w:lineRule="exact"/>
        <w:ind w:left="481" w:firstLine="320" w:firstLineChars="1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采购单位：禹州市环境卫生管理处</w:t>
      </w:r>
      <w:r>
        <w:rPr>
          <w:rFonts w:hint="eastAsia" w:ascii="仿宋" w:hAnsi="仿宋" w:eastAsia="仿宋" w:cs="仿宋"/>
          <w:color w:val="000000"/>
          <w:kern w:val="0"/>
          <w:sz w:val="32"/>
          <w:szCs w:val="32"/>
          <w:lang w:val="en-US" w:eastAsia="zh-CN"/>
        </w:rPr>
        <w:t xml:space="preserve"> </w:t>
      </w:r>
    </w:p>
    <w:p>
      <w:pPr>
        <w:widowControl/>
        <w:numPr>
          <w:numId w:val="0"/>
        </w:numPr>
        <w:shd w:val="clear" w:color="auto" w:fill="FFFFFF"/>
        <w:spacing w:line="400" w:lineRule="exact"/>
        <w:ind w:leftChars="10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地址：禹州市东环路</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联系人：赵先生   联系电话：13782221972</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autoSpaceDE w:val="0"/>
        <w:spacing w:line="400" w:lineRule="exact"/>
        <w:ind w:firstLine="5440" w:firstLineChars="1700"/>
        <w:rPr>
          <w:rFonts w:hint="eastAsia" w:ascii="仿宋" w:hAnsi="仿宋" w:eastAsia="仿宋" w:cs="仿宋_GB2312"/>
          <w:sz w:val="32"/>
          <w:szCs w:val="32"/>
        </w:rPr>
      </w:pPr>
      <w:r>
        <w:rPr>
          <w:rFonts w:hint="eastAsia" w:ascii="仿宋" w:hAnsi="仿宋" w:eastAsia="仿宋" w:cs="仿宋_GB2312"/>
          <w:sz w:val="32"/>
          <w:szCs w:val="32"/>
        </w:rPr>
        <w:t xml:space="preserve"> </w:t>
      </w:r>
    </w:p>
    <w:p>
      <w:pPr>
        <w:autoSpaceDE w:val="0"/>
        <w:spacing w:line="400" w:lineRule="exact"/>
        <w:ind w:firstLine="5440" w:firstLineChars="1700"/>
        <w:rPr>
          <w:rFonts w:hint="eastAsia" w:ascii="仿宋" w:hAnsi="仿宋" w:eastAsia="仿宋" w:cs="仿宋_GB2312"/>
          <w:sz w:val="32"/>
          <w:szCs w:val="32"/>
        </w:rPr>
      </w:pPr>
      <w:r>
        <w:rPr>
          <w:rFonts w:hint="eastAsia" w:ascii="仿宋" w:hAnsi="仿宋" w:eastAsia="仿宋" w:cs="仿宋_GB2312"/>
          <w:sz w:val="32"/>
          <w:szCs w:val="32"/>
        </w:rPr>
        <w:t xml:space="preserve">   2019年4月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日</w:t>
      </w: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hint="eastAsia" w:ascii="仿宋" w:hAnsi="仿宋" w:eastAsia="仿宋" w:cs="仿宋_GB2312"/>
          <w:sz w:val="32"/>
          <w:szCs w:val="32"/>
        </w:rPr>
      </w:pPr>
    </w:p>
    <w:p>
      <w:pPr>
        <w:autoSpaceDE w:val="0"/>
        <w:spacing w:line="400" w:lineRule="exact"/>
        <w:ind w:firstLine="5440" w:firstLineChars="1700"/>
        <w:rPr>
          <w:rFonts w:ascii="仿宋" w:hAnsi="仿宋" w:eastAsia="仿宋" w:cs="仿宋_GB2312"/>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9"/>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b/>
          <w:bCs/>
          <w:sz w:val="28"/>
          <w:szCs w:val="28"/>
        </w:rPr>
        <w:t>A标段：</w:t>
      </w:r>
    </w:p>
    <w:p>
      <w:pPr>
        <w:spacing w:line="460" w:lineRule="exact"/>
        <w:ind w:left="14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1.全气动干式吸尘车（16吨）2台（含</w:t>
      </w:r>
      <w:r>
        <w:rPr>
          <w:rFonts w:hint="eastAsia" w:ascii="仿宋" w:hAnsi="仿宋" w:eastAsia="仿宋" w:cs="仿宋"/>
          <w:bCs/>
          <w:sz w:val="28"/>
          <w:szCs w:val="28"/>
        </w:rPr>
        <w:t>小扫盘总成一套、过滤袋一组</w:t>
      </w:r>
      <w:r>
        <w:rPr>
          <w:rFonts w:hint="eastAsia" w:ascii="仿宋_GB2312" w:hAnsi="仿宋_GB2312" w:eastAsia="仿宋_GB2312" w:cs="仿宋_GB2312"/>
          <w:sz w:val="28"/>
          <w:szCs w:val="28"/>
        </w:rPr>
        <w:t>）；</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2.小型路面清洗车6台；</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3.吸污车1台；</w:t>
      </w:r>
    </w:p>
    <w:p>
      <w:pPr>
        <w:spacing w:line="440" w:lineRule="exact"/>
        <w:ind w:left="142"/>
        <w:rPr>
          <w:rFonts w:ascii="仿宋_GB2312" w:hAnsi="仿宋_GB2312" w:eastAsia="仿宋_GB2312" w:cs="仿宋_GB2312"/>
          <w:sz w:val="28"/>
          <w:szCs w:val="28"/>
        </w:rPr>
      </w:pPr>
      <w:r>
        <w:rPr>
          <w:rFonts w:hint="eastAsia" w:ascii="仿宋_GB2312" w:hAnsi="仿宋_GB2312" w:eastAsia="仿宋_GB2312" w:cs="仿宋_GB2312"/>
          <w:sz w:val="28"/>
          <w:szCs w:val="28"/>
        </w:rPr>
        <w:t>4.自卸翻斗清运车2台；</w:t>
      </w:r>
    </w:p>
    <w:p>
      <w:pPr>
        <w:spacing w:line="440" w:lineRule="exact"/>
        <w:ind w:left="1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5.集装箱清运车4台；</w:t>
      </w:r>
    </w:p>
    <w:p>
      <w:pPr>
        <w:spacing w:line="440" w:lineRule="exact"/>
        <w:ind w:left="142"/>
        <w:rPr>
          <w:rFonts w:hint="eastAsia" w:ascii="仿宋_GB2312" w:hAnsi="仿宋_GB2312" w:eastAsia="仿宋_GB2312" w:cs="仿宋_GB2312"/>
          <w:sz w:val="28"/>
          <w:szCs w:val="28"/>
        </w:rPr>
      </w:pPr>
    </w:p>
    <w:p>
      <w:pPr>
        <w:spacing w:line="440" w:lineRule="exact"/>
        <w:jc w:val="center"/>
        <w:rPr>
          <w:rFonts w:ascii="方正小标宋简体" w:hAnsi="方正小标宋简体" w:eastAsia="方正小标宋简体" w:cs="方正小标宋简体"/>
          <w:sz w:val="28"/>
          <w:szCs w:val="28"/>
          <w:lang w:val="zh-TW"/>
        </w:rPr>
      </w:pPr>
      <w:r>
        <w:rPr>
          <w:rFonts w:hint="eastAsia" w:ascii="方正小标宋简体" w:hAnsi="方正小标宋简体" w:eastAsia="方正小标宋简体" w:cs="方正小标宋简体"/>
          <w:sz w:val="28"/>
          <w:szCs w:val="28"/>
          <w:lang w:val="zh-TW"/>
        </w:rPr>
        <w:t>全气动干式吸尘车</w:t>
      </w:r>
    </w:p>
    <w:p>
      <w:pPr>
        <w:pStyle w:val="19"/>
        <w:spacing w:line="440" w:lineRule="exact"/>
        <w:ind w:firstLine="340"/>
      </w:pPr>
    </w:p>
    <w:p>
      <w:pPr>
        <w:spacing w:line="440" w:lineRule="exact"/>
        <w:rPr>
          <w:rFonts w:ascii="仿宋" w:hAnsi="仿宋" w:eastAsia="仿宋" w:cs="仿宋"/>
          <w:sz w:val="28"/>
          <w:szCs w:val="28"/>
          <w:lang w:val="zh-TW"/>
        </w:rPr>
      </w:pPr>
      <w:r>
        <w:rPr>
          <w:rFonts w:hint="eastAsia" w:ascii="仿宋" w:hAnsi="仿宋" w:eastAsia="仿宋" w:cs="仿宋"/>
          <w:b/>
          <w:bCs/>
          <w:sz w:val="28"/>
          <w:szCs w:val="28"/>
        </w:rPr>
        <w:t>主要技术参数：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1.底盘：</w:t>
      </w:r>
      <w:r>
        <w:rPr>
          <w:rFonts w:hint="eastAsia" w:ascii="仿宋" w:hAnsi="仿宋" w:eastAsia="仿宋" w:cs="仿宋"/>
          <w:sz w:val="28"/>
          <w:szCs w:val="28"/>
          <w:lang w:val="zh-TW" w:eastAsia="zh-TW"/>
        </w:rPr>
        <w:t>东风、福田</w:t>
      </w:r>
      <w:r>
        <w:rPr>
          <w:rFonts w:hint="eastAsia" w:ascii="仿宋" w:hAnsi="仿宋" w:eastAsia="仿宋" w:cs="仿宋"/>
          <w:sz w:val="28"/>
          <w:szCs w:val="28"/>
          <w:lang w:val="zh-TW"/>
        </w:rPr>
        <w:t>、江铃等同或优于</w:t>
      </w:r>
      <w:r>
        <w:rPr>
          <w:rFonts w:hint="eastAsia" w:ascii="仿宋" w:hAnsi="仿宋" w:eastAsia="仿宋" w:cs="仿宋"/>
          <w:sz w:val="28"/>
          <w:szCs w:val="28"/>
          <w:lang w:val="zh-TW" w:eastAsia="zh-TW"/>
        </w:rPr>
        <w:t>（符合国五排放标准）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2.底盘发动机功率：≥130kw</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3.总质量：≥15000kg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4.整备质量：≥8000kg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5.额定载质量：≥7200kg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6.垃圾箱倾卸举升角：≥40°</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7.垃圾箱体有效容积：≥8㎥</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8.最大吸入颗粒度（当量直径值）：≥95mm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9.清扫宽度：≥3m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10.清扫速度：≥5km/h</w:t>
      </w:r>
    </w:p>
    <w:p>
      <w:pPr>
        <w:pStyle w:val="19"/>
        <w:ind w:firstLine="340"/>
      </w:pPr>
    </w:p>
    <w:p>
      <w:pPr>
        <w:spacing w:line="440" w:lineRule="exact"/>
        <w:rPr>
          <w:rFonts w:ascii="仿宋" w:hAnsi="仿宋" w:eastAsia="仿宋" w:cs="仿宋"/>
          <w:b/>
          <w:bCs/>
          <w:sz w:val="28"/>
          <w:szCs w:val="28"/>
          <w:lang w:val="zh-TW"/>
        </w:rPr>
      </w:pPr>
      <w:r>
        <w:rPr>
          <w:rFonts w:hint="eastAsia" w:ascii="仿宋" w:hAnsi="仿宋" w:eastAsia="仿宋" w:cs="仿宋"/>
          <w:b/>
          <w:bCs/>
          <w:sz w:val="28"/>
          <w:szCs w:val="28"/>
        </w:rPr>
        <w:t>主要性能要求：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1.集尘箱体无滤芯滤网设计、结构简单、磨损件少、操作便捷、有效降低后期使用维护成本。</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2.无喷水设施，可在结冰期作业，作业过程中吸口和排风口无二次扬尘现象。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3.积水路面可直接进行清扫作业，无需干湿功能切换，可有效提高作业效率。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4.采用干式除尘技术，同时具备吸入大块颗粒垃圾功能。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5.双侧带有边刷，可对路沿石死角垃圾粉尘进行清理。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6.满足国家第五阶段机动车污染物排放标准。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7.垃圾箱内胆采用不锈钢材质制作。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8.中置双吸口吸尘盘，悬浮作业，不与地面发生直接接触，能有效防止作业中的磨损及冲击。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9.全车采用吹吸结合作业模式，双吸尘导管，使用高耐磨铸钢材料制造，吸尘管拐弯处配置可更换耐磨衬板，导管寿命不低于5年。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zh-TW" w:eastAsia="zh-TW"/>
        </w:rPr>
        <w:t>整车具有免征、环保公告。</w:t>
      </w:r>
      <w:r>
        <w:rPr>
          <w:rFonts w:hint="eastAsia" w:ascii="仿宋" w:hAnsi="仿宋" w:eastAsia="仿宋" w:cs="仿宋"/>
          <w:sz w:val="28"/>
          <w:szCs w:val="28"/>
        </w:rPr>
        <w:t xml:space="preserve">  </w:t>
      </w:r>
    </w:p>
    <w:p>
      <w:pPr>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11.配备小扫盘总成一套。</w:t>
      </w:r>
    </w:p>
    <w:p>
      <w:pPr>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12.配备过滤袋一组。</w:t>
      </w:r>
    </w:p>
    <w:p>
      <w:pPr>
        <w:spacing w:line="440" w:lineRule="exact"/>
        <w:jc w:val="center"/>
        <w:rPr>
          <w:rFonts w:ascii="方正小标宋简体" w:hAnsi="方正小标宋简体" w:eastAsia="方正小标宋简体" w:cs="方正小标宋简体"/>
          <w:sz w:val="28"/>
          <w:szCs w:val="28"/>
        </w:rPr>
      </w:pPr>
    </w:p>
    <w:p>
      <w:pPr>
        <w:spacing w:line="4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小型路面清洗车</w:t>
      </w:r>
    </w:p>
    <w:p>
      <w:pPr>
        <w:spacing w:line="440" w:lineRule="exact"/>
        <w:jc w:val="left"/>
        <w:rPr>
          <w:rFonts w:ascii="仿宋" w:hAnsi="仿宋" w:eastAsia="仿宋" w:cs="仿宋"/>
          <w:b/>
          <w:bCs/>
          <w:sz w:val="28"/>
          <w:szCs w:val="28"/>
        </w:rPr>
      </w:pPr>
    </w:p>
    <w:p>
      <w:pPr>
        <w:spacing w:line="440" w:lineRule="exact"/>
        <w:jc w:val="left"/>
        <w:rPr>
          <w:rFonts w:ascii="仿宋" w:hAnsi="仿宋" w:eastAsia="仿宋" w:cs="仿宋"/>
          <w:sz w:val="28"/>
          <w:szCs w:val="28"/>
        </w:rPr>
      </w:pPr>
      <w:r>
        <w:rPr>
          <w:rFonts w:hint="eastAsia" w:ascii="仿宋" w:hAnsi="仿宋" w:eastAsia="仿宋" w:cs="仿宋"/>
          <w:b/>
          <w:bCs/>
          <w:sz w:val="28"/>
          <w:szCs w:val="28"/>
        </w:rPr>
        <w:t>主要性能参数：</w:t>
      </w:r>
    </w:p>
    <w:tbl>
      <w:tblPr>
        <w:tblStyle w:val="20"/>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1154"/>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 目</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3708"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外形尺寸</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mm</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≥4900×1620×2035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底盘型号</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SC1031GDD53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发动机型号</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DK12-10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发动机功率</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kw</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整备质量</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kg</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总质量</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kg</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最高车速</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km/h</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额载人数</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人</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水箱有效容积</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m3</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清洗宽度</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连续清洗作业时间</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min</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restart"/>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高压水泵</w:t>
            </w: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型号</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W1550型意大利进口泵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continue"/>
            <w:shd w:val="clear" w:color="auto" w:fill="auto"/>
            <w:vAlign w:val="center"/>
          </w:tcPr>
          <w:p>
            <w:pPr>
              <w:spacing w:line="440" w:lineRule="exact"/>
              <w:rPr>
                <w:rFonts w:ascii="仿宋" w:hAnsi="仿宋" w:eastAsia="仿宋" w:cs="仿宋"/>
                <w:sz w:val="28"/>
                <w:szCs w:val="28"/>
              </w:rPr>
            </w:pP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水压</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8-15MPa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vMerge w:val="continue"/>
            <w:shd w:val="clear" w:color="auto" w:fill="auto"/>
            <w:vAlign w:val="center"/>
          </w:tcPr>
          <w:p>
            <w:pPr>
              <w:spacing w:line="440" w:lineRule="exact"/>
              <w:rPr>
                <w:rFonts w:ascii="仿宋" w:hAnsi="仿宋" w:eastAsia="仿宋" w:cs="仿宋"/>
                <w:sz w:val="28"/>
                <w:szCs w:val="28"/>
              </w:rPr>
            </w:pPr>
          </w:p>
        </w:tc>
        <w:tc>
          <w:tcPr>
            <w:tcW w:w="1154" w:type="dxa"/>
            <w:shd w:val="clear" w:color="auto" w:fill="auto"/>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流量</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50L/min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高压泵驱动汽油机</w:t>
            </w:r>
          </w:p>
        </w:tc>
        <w:tc>
          <w:tcPr>
            <w:tcW w:w="1154"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型号</w:t>
            </w: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GX630（本田汽油机）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水泵与汽油机连接形式</w:t>
            </w:r>
          </w:p>
        </w:tc>
        <w:tc>
          <w:tcPr>
            <w:tcW w:w="1154" w:type="dxa"/>
            <w:shd w:val="clear" w:color="auto" w:fill="auto"/>
            <w:vAlign w:val="center"/>
          </w:tcPr>
          <w:p>
            <w:pPr>
              <w:spacing w:line="440" w:lineRule="exact"/>
              <w:rPr>
                <w:rFonts w:ascii="仿宋" w:hAnsi="仿宋" w:eastAsia="仿宋" w:cs="仿宋"/>
                <w:sz w:val="28"/>
                <w:szCs w:val="28"/>
              </w:rPr>
            </w:pP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减速机直连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77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可调对冲控制</w:t>
            </w:r>
          </w:p>
        </w:tc>
        <w:tc>
          <w:tcPr>
            <w:tcW w:w="1154" w:type="dxa"/>
            <w:shd w:val="clear" w:color="auto" w:fill="auto"/>
            <w:vAlign w:val="center"/>
          </w:tcPr>
          <w:p>
            <w:pPr>
              <w:spacing w:line="440" w:lineRule="exact"/>
              <w:rPr>
                <w:rFonts w:ascii="仿宋" w:hAnsi="仿宋" w:eastAsia="仿宋" w:cs="仿宋"/>
                <w:sz w:val="28"/>
                <w:szCs w:val="28"/>
              </w:rPr>
            </w:pPr>
          </w:p>
        </w:tc>
        <w:tc>
          <w:tcPr>
            <w:tcW w:w="3708" w:type="dxa"/>
            <w:shd w:val="clear" w:color="auto" w:fill="auto"/>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高压电磁阀控制</w:t>
            </w:r>
          </w:p>
        </w:tc>
      </w:tr>
    </w:tbl>
    <w:p>
      <w:pPr>
        <w:spacing w:line="440" w:lineRule="exact"/>
        <w:rPr>
          <w:rFonts w:ascii="仿宋" w:hAnsi="仿宋" w:eastAsia="仿宋" w:cs="仿宋"/>
          <w:sz w:val="28"/>
          <w:szCs w:val="28"/>
        </w:rPr>
      </w:pPr>
    </w:p>
    <w:p>
      <w:pPr>
        <w:spacing w:line="440" w:lineRule="exact"/>
        <w:rPr>
          <w:rFonts w:ascii="仿宋" w:hAnsi="仿宋" w:eastAsia="仿宋" w:cs="仿宋"/>
          <w:b/>
          <w:bCs/>
          <w:sz w:val="28"/>
          <w:szCs w:val="28"/>
        </w:rPr>
      </w:pPr>
      <w:r>
        <w:rPr>
          <w:rFonts w:hint="eastAsia" w:ascii="仿宋" w:hAnsi="仿宋" w:eastAsia="仿宋" w:cs="仿宋"/>
          <w:b/>
          <w:bCs/>
          <w:sz w:val="28"/>
          <w:szCs w:val="28"/>
        </w:rPr>
        <w:t>技术特点：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--整车须采用长安原装底盘改装，具有结构简单，故障率低，易于操作。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--底盘达到国Ⅴ排放标准，节能、环保。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--整车电气化程度高，采用了多个工业直线执行器和旋转电机用于清洗作业动作的执行；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--整车可在驾驶室内用控制盒操作，水路切换为电气控制；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--整车装有监视系统，用于观察作业装置的作业情况；</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--设有缺水报警保护功能，可有效保护高压水泵；</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--采用本田双缸汽油机，启动与关闭均采用电控；水泵与汽油机采用减速机连接，稳定性能好；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--车辆配置左右对冲功能，通过高压电磁阀电动控制开关；对冲冲洗角度可调，可效清理路边污物；</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--车辆配备手持喷枪、清洗推车，可满足各种不同状况使用；</w:t>
      </w:r>
    </w:p>
    <w:p>
      <w:pPr>
        <w:spacing w:line="440" w:lineRule="exact"/>
        <w:rPr>
          <w:rFonts w:ascii="仿宋" w:hAnsi="仿宋" w:eastAsia="仿宋" w:cs="仿宋"/>
          <w:sz w:val="28"/>
          <w:szCs w:val="28"/>
        </w:rPr>
      </w:pPr>
    </w:p>
    <w:p>
      <w:pPr>
        <w:spacing w:line="4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吸污车技术参数</w:t>
      </w:r>
    </w:p>
    <w:p>
      <w:pPr>
        <w:spacing w:line="440" w:lineRule="exact"/>
        <w:rPr>
          <w:rFonts w:ascii="仿宋" w:hAnsi="仿宋" w:eastAsia="仿宋" w:cs="仿宋"/>
          <w:sz w:val="28"/>
          <w:szCs w:val="28"/>
        </w:rPr>
      </w:pPr>
    </w:p>
    <w:tbl>
      <w:tblPr>
        <w:tblStyle w:val="20"/>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底盘</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东风、福田等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排放标准</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国五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燃油种类</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发动机功率</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≥95KW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发动机排量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总质量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≤8275kg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额定载质量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≥3480kg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整备质量</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整车尺寸（长×宽×高）</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≥6500×2150×2700（mm）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轴距</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接近角/离去角</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前悬/后悬</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≥1150/1550（mm）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最高车速</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≥100km/h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轮胎</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罐体容积</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4.56立方米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163" w:type="dxa"/>
          </w:tcPr>
          <w:p>
            <w:pPr>
              <w:spacing w:line="440" w:lineRule="exact"/>
              <w:rPr>
                <w:rFonts w:ascii="仿宋" w:hAnsi="仿宋" w:eastAsia="仿宋" w:cs="仿宋"/>
                <w:sz w:val="28"/>
                <w:szCs w:val="28"/>
              </w:rPr>
            </w:pPr>
            <w:r>
              <w:rPr>
                <w:rFonts w:hint="eastAsia" w:ascii="仿宋" w:hAnsi="仿宋" w:eastAsia="仿宋" w:cs="仿宋"/>
                <w:sz w:val="28"/>
                <w:szCs w:val="28"/>
              </w:rPr>
              <w:t>整车公告</w:t>
            </w:r>
          </w:p>
        </w:tc>
        <w:tc>
          <w:tcPr>
            <w:tcW w:w="4247"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工信部公告、环保公告</w:t>
            </w:r>
          </w:p>
        </w:tc>
      </w:tr>
    </w:tbl>
    <w:p>
      <w:pPr>
        <w:spacing w:line="440" w:lineRule="exact"/>
        <w:jc w:val="center"/>
        <w:rPr>
          <w:rFonts w:ascii="方正小标宋简体" w:hAnsi="方正小标宋简体" w:eastAsia="方正小标宋简体" w:cs="方正小标宋简体"/>
          <w:sz w:val="28"/>
          <w:szCs w:val="28"/>
        </w:rPr>
      </w:pPr>
    </w:p>
    <w:p>
      <w:pPr>
        <w:spacing w:line="440" w:lineRule="exact"/>
        <w:jc w:val="center"/>
        <w:rPr>
          <w:rFonts w:eastAsia="方正小标宋简体"/>
          <w:sz w:val="28"/>
          <w:szCs w:val="28"/>
        </w:rPr>
      </w:pPr>
      <w:r>
        <w:rPr>
          <w:rFonts w:hint="eastAsia" w:ascii="方正小标宋简体" w:hAnsi="方正小标宋简体" w:eastAsia="方正小标宋简体" w:cs="方正小标宋简体"/>
          <w:sz w:val="28"/>
          <w:szCs w:val="28"/>
        </w:rPr>
        <w:t>自卸翻斗清运车技术参数</w:t>
      </w:r>
    </w:p>
    <w:p>
      <w:pPr>
        <w:spacing w:line="440" w:lineRule="exact"/>
        <w:jc w:val="center"/>
        <w:rPr>
          <w:sz w:val="28"/>
          <w:szCs w:val="28"/>
        </w:rPr>
      </w:pP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1.发动机排放标准：国五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2.发动机型号：YC4E160-56</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3.外部尺寸： 长5995mm  宽2500mm  高2990mm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4.内部尺寸： 长3800mm  宽2200mm  高800mm</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5.轮胎规格：6个，钢丝胎1000-20</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6.车身颜色：草绿</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7.驾驶室准人数：3人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8.高低速：10个速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9.总质量：4290KG</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10.差速器：457桥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11.底盘：东风、五十铃、福田汽车等同类档次二类底盘。</w:t>
      </w:r>
    </w:p>
    <w:p>
      <w:pPr>
        <w:spacing w:line="440" w:lineRule="exact"/>
        <w:jc w:val="center"/>
        <w:rPr>
          <w:rFonts w:ascii="宋体" w:hAnsi="宋体"/>
          <w:b/>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集装箱清运车技术参数</w:t>
      </w:r>
    </w:p>
    <w:p>
      <w:pPr>
        <w:spacing w:line="440" w:lineRule="exact"/>
        <w:jc w:val="center"/>
        <w:rPr>
          <w:rFonts w:ascii="方正小标宋简体" w:hAnsi="方正小标宋简体" w:eastAsia="方正小标宋简体" w:cs="方正小标宋简体"/>
          <w:bCs/>
          <w:sz w:val="28"/>
          <w:szCs w:val="28"/>
        </w:rPr>
      </w:pP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1.发动机排放标准：国五</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2.发动机型号：YCD4D4S-140</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3.外部尺寸：长5995mm  宽2390mm  高3100mm</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4.货厢尺寸：长3800mm  宽2200mm  高800mm</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5.轮胎规格：6个、8.25R16LT 8PR</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6.车身颜色：草绿</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7.总质量：4265kg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8.额定载质量：1490kg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9.整备质量：2580kg</w:t>
      </w:r>
    </w:p>
    <w:p>
      <w:pPr>
        <w:spacing w:line="4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10.最高车速：90km/h</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11.底盘型号：LH3040K5PD（东风、福田同等或优于）</w:t>
      </w:r>
    </w:p>
    <w:p>
      <w:pPr>
        <w:spacing w:line="440" w:lineRule="exact"/>
        <w:rPr>
          <w:rFonts w:hint="eastAsia" w:ascii="仿宋_GB2312" w:hAnsi="仿宋_GB2312" w:eastAsia="仿宋_GB2312" w:cs="仿宋_GB2312"/>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hint="eastAsia" w:ascii="方正小标宋简体" w:hAnsi="方正小标宋简体" w:eastAsia="方正小标宋简体" w:cs="方正小标宋简体"/>
          <w:bCs/>
          <w:sz w:val="28"/>
          <w:szCs w:val="28"/>
        </w:rPr>
      </w:pPr>
    </w:p>
    <w:p>
      <w:pPr>
        <w:spacing w:line="440" w:lineRule="exact"/>
        <w:ind w:firstLine="560" w:firstLineChars="200"/>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B标段：</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1.16吨洗扫车2台；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2.高压路面清洗车（25吨）2台；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3.压缩挂桶清运车2台；</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4.水平压缩可卸式清运车2台（含2个雪辊）；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5.小型车厢可卸式清运车2台。</w:t>
      </w:r>
    </w:p>
    <w:p>
      <w:pPr>
        <w:spacing w:line="440" w:lineRule="exact"/>
        <w:ind w:left="142"/>
        <w:rPr>
          <w:rFonts w:ascii="仿宋_GB2312" w:hAnsi="仿宋_GB2312" w:eastAsia="仿宋_GB2312" w:cs="仿宋_GB2312"/>
          <w:sz w:val="28"/>
          <w:szCs w:val="28"/>
        </w:rPr>
      </w:pPr>
    </w:p>
    <w:p>
      <w:pPr>
        <w:tabs>
          <w:tab w:val="left" w:pos="5963"/>
        </w:tabs>
        <w:spacing w:line="420" w:lineRule="exact"/>
        <w:ind w:firstLine="480" w:firstLineChars="200"/>
        <w:rPr>
          <w:rFonts w:hint="eastAsia" w:ascii="仿宋" w:hAnsi="仿宋" w:eastAsia="仿宋" w:cs="仿宋"/>
          <w:sz w:val="24"/>
          <w:szCs w:val="24"/>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hint="eastAsia" w:ascii="方正小标宋简体" w:hAnsi="方正小标宋简体" w:eastAsia="方正小标宋简体" w:cs="方正小标宋简体"/>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洗扫车技术参数</w:t>
      </w:r>
    </w:p>
    <w:p>
      <w:pPr>
        <w:spacing w:line="440" w:lineRule="exact"/>
        <w:rPr>
          <w:rFonts w:ascii="仿宋" w:hAnsi="仿宋" w:eastAsia="仿宋" w:cs="仿宋"/>
          <w:bCs/>
          <w:sz w:val="28"/>
          <w:szCs w:val="28"/>
        </w:rPr>
      </w:pPr>
    </w:p>
    <w:tbl>
      <w:tblPr>
        <w:tblStyle w:val="20"/>
        <w:tblW w:w="9020" w:type="dxa"/>
        <w:tblInd w:w="93" w:type="dxa"/>
        <w:tblLayout w:type="fixed"/>
        <w:tblCellMar>
          <w:top w:w="0" w:type="dxa"/>
          <w:left w:w="108" w:type="dxa"/>
          <w:bottom w:w="0" w:type="dxa"/>
          <w:right w:w="108" w:type="dxa"/>
        </w:tblCellMar>
      </w:tblPr>
      <w:tblGrid>
        <w:gridCol w:w="917"/>
        <w:gridCol w:w="1696"/>
        <w:gridCol w:w="3124"/>
        <w:gridCol w:w="3283"/>
      </w:tblGrid>
      <w:tr>
        <w:tblPrEx>
          <w:tblLayout w:type="fixed"/>
          <w:tblCellMar>
            <w:top w:w="0" w:type="dxa"/>
            <w:left w:w="108" w:type="dxa"/>
            <w:bottom w:w="0" w:type="dxa"/>
            <w:right w:w="108" w:type="dxa"/>
          </w:tblCellMar>
        </w:tblPrEx>
        <w:trPr>
          <w:trHeight w:val="419" w:hRule="atLeast"/>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820"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83"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≥8600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≤2490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696"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高（mm）</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≥3050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≥11600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≥6200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最大清扫宽度（m）</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最大清扫能力（m²/h）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≥70000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清扫速度（km/h）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保洁速度（km/h）</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3～20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清扫效率（%）</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≥96</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最大吸入颗粒（mm）</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≥110</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垃圾箱箱体总容积(m³)</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清水箱容积（m³）</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东风DFH1180BX1V或优于</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发动机功率（kW）</w:t>
            </w:r>
          </w:p>
        </w:tc>
        <w:tc>
          <w:tcPr>
            <w:tcW w:w="3283" w:type="dxa"/>
            <w:tcBorders>
              <w:top w:val="nil"/>
              <w:left w:val="nil"/>
              <w:bottom w:val="single" w:color="auto" w:sz="4" w:space="0"/>
              <w:right w:val="single" w:color="auto" w:sz="4" w:space="0"/>
            </w:tcBorders>
            <w:shd w:val="clear" w:color="auto" w:fill="auto"/>
            <w:noWrap/>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≥155</w:t>
            </w:r>
          </w:p>
        </w:tc>
      </w:tr>
      <w:tr>
        <w:tblPrEx>
          <w:tblLayout w:type="fixed"/>
          <w:tblCellMar>
            <w:top w:w="0" w:type="dxa"/>
            <w:left w:w="108" w:type="dxa"/>
            <w:bottom w:w="0" w:type="dxa"/>
            <w:right w:w="108" w:type="dxa"/>
          </w:tblCellMar>
        </w:tblPrEx>
        <w:trPr>
          <w:trHeight w:val="419"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428" w:hRule="atLeast"/>
        </w:trPr>
        <w:tc>
          <w:tcPr>
            <w:tcW w:w="917" w:type="dxa"/>
            <w:tcBorders>
              <w:top w:val="nil"/>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696"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12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最高车速（km/h）</w:t>
            </w:r>
          </w:p>
        </w:tc>
        <w:tc>
          <w:tcPr>
            <w:tcW w:w="3283"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≥98</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--高效低噪的抽吸风机，抽吸力强；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--采用原装进口高压柱塞水泵，压力高，流量大；</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--采用原装进口喷嘴，击打力强，使用寿命长；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--具有防撞避障功能的清扫刷盘及冲水架，有效防止部件损坏；</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--采用举升加高压冲水相结合的卸料方式，卸料更加干净彻底；</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--超大流量低压冲水，冲洗宽度可达24米；</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--水箱及垃圾箱均采用不锈钢，可靠性高、寿命长；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--采用先进的智能化控制系统，可在驾驶室内完成所有操作，所有控制开关触手可得，操作极为便利；</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--污水阀排放装置，可对污水、淤泥进行有效分离并随时根据垃圾箱内污水情况将污水单独排放；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--自动故障诊断系统，自动提示车辆维护检修。</w:t>
      </w: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高压路面清洗车</w:t>
      </w:r>
    </w:p>
    <w:p>
      <w:pPr>
        <w:pStyle w:val="19"/>
        <w:spacing w:line="440" w:lineRule="exact"/>
        <w:ind w:firstLine="280"/>
        <w:rPr>
          <w:sz w:val="28"/>
          <w:szCs w:val="28"/>
        </w:rPr>
      </w:pPr>
    </w:p>
    <w:tbl>
      <w:tblPr>
        <w:tblStyle w:val="20"/>
        <w:tblW w:w="9340" w:type="dxa"/>
        <w:jc w:val="center"/>
        <w:tblInd w:w="-115" w:type="dxa"/>
        <w:tblLayout w:type="fixed"/>
        <w:tblCellMar>
          <w:top w:w="0" w:type="dxa"/>
          <w:left w:w="108" w:type="dxa"/>
          <w:bottom w:w="0" w:type="dxa"/>
          <w:right w:w="108" w:type="dxa"/>
        </w:tblCellMar>
      </w:tblPr>
      <w:tblGrid>
        <w:gridCol w:w="962"/>
        <w:gridCol w:w="1692"/>
        <w:gridCol w:w="3734"/>
        <w:gridCol w:w="2952"/>
      </w:tblGrid>
      <w:tr>
        <w:tblPrEx>
          <w:tblLayout w:type="fixed"/>
          <w:tblCellMar>
            <w:top w:w="0" w:type="dxa"/>
            <w:left w:w="108" w:type="dxa"/>
            <w:bottom w:w="0" w:type="dxa"/>
            <w:right w:w="108" w:type="dxa"/>
          </w:tblCellMar>
        </w:tblPrEx>
        <w:trPr>
          <w:trHeight w:val="495" w:hRule="atLeast"/>
          <w:jc w:val="center"/>
        </w:trPr>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5426"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295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692" w:type="dxa"/>
            <w:vMerge w:val="restart"/>
            <w:tcBorders>
              <w:top w:val="nil"/>
              <w:left w:val="single" w:color="auto" w:sz="4" w:space="0"/>
              <w:bottom w:val="nil"/>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≥9500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≥2490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≥3340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6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692"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692"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≤14000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692" w:type="dxa"/>
            <w:vMerge w:val="restart"/>
            <w:tcBorders>
              <w:top w:val="nil"/>
              <w:left w:val="single" w:color="auto" w:sz="4" w:space="0"/>
              <w:bottom w:val="nil"/>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罐体有效容积（m³）</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≥12.5</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高压水泵额定压力（MPa）</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高压水泵流量（L/min）</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喷水架清洗宽度（m）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2.5-3.5</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喷水架偏转角（°）</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左右各30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低压前冲宽度（m）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低压洒水宽度（m）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≥14</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692" w:type="dxa"/>
            <w:vMerge w:val="continue"/>
            <w:tcBorders>
              <w:top w:val="nil"/>
              <w:left w:val="single" w:color="auto" w:sz="4" w:space="0"/>
              <w:bottom w:val="nil"/>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低压水枪射程（m）</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≥36</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DFL1250A13或优于</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w:t>
            </w:r>
          </w:p>
        </w:tc>
      </w:tr>
      <w:tr>
        <w:tblPrEx>
          <w:tblLayout w:type="fixed"/>
          <w:tblCellMar>
            <w:top w:w="0" w:type="dxa"/>
            <w:left w:w="108" w:type="dxa"/>
            <w:bottom w:w="0" w:type="dxa"/>
            <w:right w:w="108" w:type="dxa"/>
          </w:tblCellMar>
        </w:tblPrEx>
        <w:trPr>
          <w:trHeight w:val="495"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522" w:hRule="atLeast"/>
          <w:jc w:val="center"/>
        </w:trPr>
        <w:tc>
          <w:tcPr>
            <w:tcW w:w="962"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734"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295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--具有独立的高、低压两套水路系统，采用副发动机驱动高压水泵及工作装置、底盘发动机驱动低压水泵，高压清洗和低压喷洒可同时作业。</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--高压水泵、精密喷嘴等关键部件均采用原装进口件，性能可靠，使用寿命长。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--高压系统配备可伸缩、偏转的前喷水架、左右角喷、手持高压喷枪，可清洗路面、路沿石、广告牌、路牌等部位。</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--低压系统配备有对冲、后洒、水炮等装置，可用于路面、广场的冲洗、洒水，绿化带的浇灌等。</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--设置有多重安全防护装置与报警系统，能避免水泵超速、过压、缺水运转损坏及水路系统低温冻裂。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--罐体容量大，连续作业时间长；罐体内壁进行防腐喷涂处理，耐腐蚀能力强。</w:t>
      </w:r>
    </w:p>
    <w:p>
      <w:pPr>
        <w:pStyle w:val="19"/>
        <w:spacing w:line="440" w:lineRule="exact"/>
        <w:ind w:firstLine="280"/>
        <w:rPr>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压缩挂桶清运车</w:t>
      </w:r>
    </w:p>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技术参数:</w:t>
      </w:r>
    </w:p>
    <w:tbl>
      <w:tblPr>
        <w:tblStyle w:val="20"/>
        <w:tblW w:w="8713" w:type="dxa"/>
        <w:jc w:val="center"/>
        <w:tblInd w:w="-755" w:type="dxa"/>
        <w:tblLayout w:type="fixed"/>
        <w:tblCellMar>
          <w:top w:w="0" w:type="dxa"/>
          <w:left w:w="108" w:type="dxa"/>
          <w:bottom w:w="0" w:type="dxa"/>
          <w:right w:w="108" w:type="dxa"/>
        </w:tblCellMar>
      </w:tblPr>
      <w:tblGrid>
        <w:gridCol w:w="783"/>
        <w:gridCol w:w="1485"/>
        <w:gridCol w:w="3210"/>
        <w:gridCol w:w="3235"/>
      </w:tblGrid>
      <w:tr>
        <w:tblPrEx>
          <w:tblLayout w:type="fixed"/>
          <w:tblCellMar>
            <w:top w:w="0" w:type="dxa"/>
            <w:left w:w="108" w:type="dxa"/>
            <w:bottom w:w="0" w:type="dxa"/>
            <w:right w:w="108" w:type="dxa"/>
          </w:tblCellMar>
        </w:tblPrEx>
        <w:trPr>
          <w:trHeight w:val="636"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695"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35"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≥8960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高（m）</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≤3120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≤10500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额定载质量（kg）</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≤7305</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箱体容积（m3）</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电控+手动</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装料循环时间（s）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压缩循环时间（s）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卸料循环时间（s）</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≤40</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压缩比</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≥1:2.5</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东风DFH1180BX1V或优于</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发动机功率（kW）</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≥132kW</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国V</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驾驶室配置</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排半、冷暖空调</w:t>
            </w:r>
          </w:p>
        </w:tc>
      </w:tr>
      <w:tr>
        <w:tblPrEx>
          <w:tblLayout w:type="fixed"/>
          <w:tblCellMar>
            <w:top w:w="0" w:type="dxa"/>
            <w:left w:w="108" w:type="dxa"/>
            <w:bottom w:w="0" w:type="dxa"/>
            <w:right w:w="108" w:type="dxa"/>
          </w:tblCellMar>
        </w:tblPrEx>
        <w:trPr>
          <w:trHeight w:val="44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1485"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210"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235"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≥98</w:t>
            </w:r>
          </w:p>
        </w:tc>
      </w:tr>
    </w:tbl>
    <w:p>
      <w:pPr>
        <w:spacing w:line="440" w:lineRule="exact"/>
        <w:rPr>
          <w:rFonts w:ascii="仿宋" w:hAnsi="仿宋" w:eastAsia="仿宋" w:cs="仿宋"/>
          <w:bCs/>
          <w:sz w:val="28"/>
          <w:szCs w:val="28"/>
        </w:rPr>
      </w:pPr>
    </w:p>
    <w:p>
      <w:pPr>
        <w:spacing w:line="440" w:lineRule="exact"/>
        <w:rPr>
          <w:rFonts w:ascii="仿宋" w:hAnsi="仿宋" w:eastAsia="仿宋" w:cs="仿宋"/>
          <w:b/>
          <w:sz w:val="28"/>
          <w:szCs w:val="28"/>
        </w:rPr>
      </w:pPr>
      <w:r>
        <w:rPr>
          <w:rFonts w:hint="eastAsia" w:ascii="仿宋" w:hAnsi="仿宋" w:eastAsia="仿宋" w:cs="仿宋"/>
          <w:b/>
          <w:sz w:val="28"/>
          <w:szCs w:val="28"/>
        </w:rPr>
        <w:t>技术要求:</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1.采用成熟的东风天锦底盘，豪华内饰、美观大方，视野开阔。配置名优发动机，动力强劲，低速大扭矩，特别适合重载、山区。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2.箱体、副车架和压缩箱结构设计经三维建模，有限元分析，受力、运动更合理，可靠性高。</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3.箱体、副车架、压缩箱等主要结构件均采用汽车防锈技术、磷化电泳处理。箱体、压缩箱内涂防腐材料，更加耐腐蚀。</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4.压缩箱与箱体结合面有双层密封条，有效避免污水滴漏。</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5.箱体、推铲和压缩箱均采用优质高强度锰钢制作、结构牢固、重量轻、强度高。</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6.优化设计液压举升回路，即使油管爆裂，压缩箱也不会突然下落造成恶性事故，提高安全性。</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7.采用双向压缩技术，压缩比可达1:2.5以上，生活垃圾经压缩后可达到600~800kg/m³以上。</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8.电、气、液结合控制。利用电控、气控和液控的优点，通过控制转换，保证了各机构动作准确可靠，提高了产品可靠性和作业效率。</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9.发动机功率输出自动控制，发动机可根据不同作业状态自动选择加速和怠速状态，避免功率损耗和系统发热，降低了油耗，经济性更好。</w:t>
      </w:r>
    </w:p>
    <w:p>
      <w:pPr>
        <w:spacing w:line="440" w:lineRule="exact"/>
        <w:rPr>
          <w:rFonts w:ascii="仿宋" w:hAnsi="仿宋" w:eastAsia="仿宋" w:cs="仿宋"/>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水平压缩可卸式清运车</w:t>
      </w:r>
    </w:p>
    <w:p>
      <w:pPr>
        <w:pStyle w:val="19"/>
        <w:spacing w:line="440" w:lineRule="exact"/>
        <w:ind w:firstLine="280"/>
        <w:rPr>
          <w:sz w:val="28"/>
          <w:szCs w:val="28"/>
        </w:rPr>
      </w:pPr>
    </w:p>
    <w:tbl>
      <w:tblPr>
        <w:tblStyle w:val="20"/>
        <w:tblW w:w="864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41"/>
        <w:gridCol w:w="3496"/>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437" w:type="dxa"/>
            <w:gridSpan w:val="2"/>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217"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箱体容积（m³）</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拉臂起吊能力（t）</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气控+手动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装厢时间（s）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卸厢时间（s）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自卸举升时间（s）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自卸回落时间（s）</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自卸角度（°）</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941" w:type="dxa"/>
            <w:vMerge w:val="restart"/>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东风DFL1250A13或优于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19</w:t>
            </w:r>
          </w:p>
        </w:tc>
        <w:tc>
          <w:tcPr>
            <w:tcW w:w="941" w:type="dxa"/>
            <w:vMerge w:val="continue"/>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86" w:type="dxa"/>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20</w:t>
            </w:r>
          </w:p>
        </w:tc>
        <w:tc>
          <w:tcPr>
            <w:tcW w:w="941" w:type="dxa"/>
            <w:vAlign w:val="center"/>
          </w:tcPr>
          <w:p>
            <w:pPr>
              <w:spacing w:line="440" w:lineRule="exact"/>
              <w:rPr>
                <w:rFonts w:ascii="仿宋" w:hAnsi="仿宋" w:eastAsia="仿宋" w:cs="仿宋"/>
                <w:bCs/>
                <w:sz w:val="28"/>
                <w:szCs w:val="28"/>
              </w:rPr>
            </w:pPr>
          </w:p>
        </w:tc>
        <w:tc>
          <w:tcPr>
            <w:tcW w:w="3496"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含雪辊2个</w:t>
            </w:r>
          </w:p>
        </w:tc>
        <w:tc>
          <w:tcPr>
            <w:tcW w:w="3217" w:type="dxa"/>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参数附后</w:t>
            </w:r>
          </w:p>
        </w:tc>
      </w:tr>
    </w:tbl>
    <w:p>
      <w:pPr>
        <w:spacing w:line="440" w:lineRule="exact"/>
        <w:rPr>
          <w:rFonts w:ascii="仿宋" w:hAnsi="仿宋" w:eastAsia="仿宋" w:cs="仿宋"/>
          <w:b/>
          <w:sz w:val="28"/>
          <w:szCs w:val="28"/>
        </w:rPr>
      </w:pPr>
      <w:r>
        <w:rPr>
          <w:rFonts w:hint="eastAsia" w:ascii="仿宋" w:hAnsi="仿宋" w:eastAsia="仿宋" w:cs="仿宋"/>
          <w:b/>
          <w:sz w:val="28"/>
          <w:szCs w:val="28"/>
        </w:rPr>
        <w:t>产品特点：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1.钩臂系统采用滑臂式铰接结构，入钩便捷、维修简易、提卸箱体限高小，节省长度空间；</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2.所有操作均可在驾驶室内完成，操作简单、方便，降低了操作者的劳动强度；</w:t>
      </w:r>
      <w:r>
        <w:rPr>
          <w:rFonts w:hint="eastAsia" w:ascii="仿宋" w:hAnsi="仿宋" w:eastAsia="仿宋" w:cs="仿宋"/>
          <w:bCs/>
          <w:sz w:val="28"/>
          <w:szCs w:val="28"/>
        </w:rPr>
        <w:br w:type="textWrapping"/>
      </w:r>
      <w:r>
        <w:rPr>
          <w:rFonts w:hint="eastAsia" w:ascii="仿宋" w:hAnsi="仿宋" w:eastAsia="仿宋" w:cs="仿宋"/>
          <w:bCs/>
          <w:sz w:val="28"/>
          <w:szCs w:val="28"/>
        </w:rPr>
        <w:t xml:space="preserve">    3.拉臂上装与垃圾箱均采用高强度宝钢板制作而成，自重轻且结构强度高，耐腐蚀，使用寿命长；</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4.必须与原有箱体配套。</w:t>
      </w:r>
    </w:p>
    <w:p>
      <w:pPr>
        <w:spacing w:line="440" w:lineRule="exact"/>
        <w:jc w:val="center"/>
        <w:rPr>
          <w:rFonts w:ascii="方正小标宋简体" w:hAnsi="方正小标宋简体" w:eastAsia="方正小标宋简体" w:cs="方正小标宋简体"/>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雪辊技术参数</w:t>
      </w:r>
    </w:p>
    <w:p>
      <w:pPr>
        <w:pStyle w:val="19"/>
        <w:spacing w:line="440" w:lineRule="exact"/>
        <w:ind w:firstLine="340"/>
      </w:pP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1.外形尺寸（长×宽×高）≥ 3500×2300×1780 mm。</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2.滚刷可实现左右偏转，扫雪宽度为≥3000mm，左右摆角≥30°，并随意可调。</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★3.重量：滚刷和连接架总重量在1200kg和1300kg之间。</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4.最大作业速度≥10km/h。</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★5.滚刷转速≥240r/min。滚刷采用自动离合装置解决了发动机在低温状态帯载难启动的问题（需说明工作原理并提供原理图、实物图）。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6.驾驶室内可完成滚刷发动机启停等各种动作操作，独立电控操作装置，作业安全可靠、操控方便。（提供实物图）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★7.滚刷自带动力单元采用机械传动，并非发动机加变速箱形式，选用或优于全柴4B2-52M22柴油发动机，功率38kw，发动机电启动，传动轴长≥1400mm。不从车辆底盘取力；（需说明工作原理并提供原理图、实物图）。</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8.滚刷离地高度可以根据清扫雪层厚度在50～100mm之间调整。</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9.滚刷直径≥750mm。采用实心支撑轮支撑，支撑轮行走过程中能够360°旋转（需说明工作原理并提供原理图、实物图）。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10.刷丝采用聚丙烯与扁钢混合而成的复合刷丝，聚丙烯刷丝与扁钢的比例为1:1，扁钢具有良好的韧性，旋转过程中类似刀片与压实积雪接触，使其粉碎或者与地面剥离，聚丙烯刷丝可以更好的把破碎的积雪清扫干净。选用复合刷丝保证了良好的作业效果同时也提高了刷丝的使用寿命，平均每套刷丝使用寿命超过800公里（提供实物图）。</w:t>
      </w:r>
    </w:p>
    <w:p>
      <w:pPr>
        <w:spacing w:line="440" w:lineRule="exact"/>
        <w:ind w:firstLine="280" w:firstLineChars="100"/>
        <w:rPr>
          <w:rFonts w:ascii="仿宋" w:hAnsi="仿宋" w:eastAsia="仿宋" w:cs="仿宋"/>
          <w:bCs/>
          <w:sz w:val="28"/>
          <w:szCs w:val="28"/>
        </w:rPr>
      </w:pPr>
      <w:r>
        <w:rPr>
          <w:rFonts w:hint="eastAsia" w:ascii="仿宋" w:hAnsi="仿宋" w:eastAsia="仿宋" w:cs="仿宋"/>
          <w:bCs/>
          <w:sz w:val="28"/>
          <w:szCs w:val="28"/>
        </w:rPr>
        <w:t>★11.在除雪作业中，滚刷采用月牙弧孔与弹簧相结合的浮动限位结构，偏转后随路面横坡坡度可以自动调节（需说明工作原理并提供原理图、实物图）。</w:t>
      </w:r>
    </w:p>
    <w:p>
      <w:pPr>
        <w:spacing w:line="440" w:lineRule="exact"/>
        <w:ind w:firstLine="280" w:firstLineChars="100"/>
        <w:rPr>
          <w:rFonts w:ascii="仿宋" w:hAnsi="仿宋" w:eastAsia="仿宋" w:cs="仿宋"/>
          <w:sz w:val="28"/>
          <w:szCs w:val="28"/>
        </w:rPr>
      </w:pPr>
      <w:r>
        <w:rPr>
          <w:rFonts w:hint="eastAsia" w:ascii="仿宋" w:hAnsi="仿宋" w:eastAsia="仿宋" w:cs="仿宋"/>
          <w:bCs/>
          <w:sz w:val="28"/>
          <w:szCs w:val="28"/>
        </w:rPr>
        <w:t>★12.滚刷采用快速连接装置（需说明工作原理并提供原理图、实物图），安装、拆卸方便快捷。</w:t>
      </w:r>
    </w:p>
    <w:p>
      <w:pPr>
        <w:spacing w:line="440" w:lineRule="exact"/>
        <w:rPr>
          <w:rFonts w:ascii="仿宋" w:hAnsi="仿宋" w:eastAsia="仿宋" w:cs="仿宋"/>
          <w:bCs/>
          <w:sz w:val="28"/>
          <w:szCs w:val="28"/>
        </w:rPr>
      </w:pPr>
    </w:p>
    <w:p>
      <w:pPr>
        <w:spacing w:line="44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小型车厢可卸式清运车</w:t>
      </w:r>
    </w:p>
    <w:p>
      <w:pPr>
        <w:pStyle w:val="19"/>
        <w:spacing w:line="440" w:lineRule="exact"/>
        <w:ind w:firstLine="280"/>
        <w:rPr>
          <w:sz w:val="28"/>
          <w:szCs w:val="28"/>
        </w:rPr>
      </w:pPr>
    </w:p>
    <w:tbl>
      <w:tblPr>
        <w:tblStyle w:val="20"/>
        <w:tblW w:w="9160" w:type="dxa"/>
        <w:tblInd w:w="93" w:type="dxa"/>
        <w:tblLayout w:type="fixed"/>
        <w:tblCellMar>
          <w:top w:w="0" w:type="dxa"/>
          <w:left w:w="108" w:type="dxa"/>
          <w:bottom w:w="0" w:type="dxa"/>
          <w:right w:w="108" w:type="dxa"/>
        </w:tblCellMar>
      </w:tblPr>
      <w:tblGrid>
        <w:gridCol w:w="969"/>
        <w:gridCol w:w="993"/>
        <w:gridCol w:w="3562"/>
        <w:gridCol w:w="3636"/>
      </w:tblGrid>
      <w:tr>
        <w:tblPrEx>
          <w:tblLayout w:type="fixed"/>
          <w:tblCellMar>
            <w:top w:w="0" w:type="dxa"/>
            <w:left w:w="108" w:type="dxa"/>
            <w:bottom w:w="0" w:type="dxa"/>
            <w:right w:w="108" w:type="dxa"/>
          </w:tblCellMar>
        </w:tblPrEx>
        <w:trPr>
          <w:trHeight w:val="453"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4555" w:type="dxa"/>
            <w:gridSpan w:val="2"/>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项 目</w:t>
            </w:r>
          </w:p>
        </w:tc>
        <w:tc>
          <w:tcPr>
            <w:tcW w:w="3636"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参 数</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整车尺寸参数（mm）</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≥4200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宽</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≥1530</w:t>
            </w:r>
          </w:p>
        </w:tc>
      </w:tr>
      <w:tr>
        <w:tblPrEx>
          <w:tblLayout w:type="fixed"/>
          <w:tblCellMar>
            <w:top w:w="0" w:type="dxa"/>
            <w:left w:w="108" w:type="dxa"/>
            <w:bottom w:w="0" w:type="dxa"/>
            <w:right w:w="108" w:type="dxa"/>
          </w:tblCellMar>
        </w:tblPrEx>
        <w:trPr>
          <w:trHeight w:val="826"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高</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≥2100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整车质量参数（kg）</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总质量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≤3000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整备质量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≤1600</w:t>
            </w:r>
          </w:p>
        </w:tc>
      </w:tr>
      <w:tr>
        <w:tblPrEx>
          <w:tblLayout w:type="fixed"/>
          <w:tblCellMar>
            <w:top w:w="0" w:type="dxa"/>
            <w:left w:w="108" w:type="dxa"/>
            <w:bottom w:w="0" w:type="dxa"/>
            <w:right w:w="108" w:type="dxa"/>
          </w:tblCellMar>
        </w:tblPrEx>
        <w:trPr>
          <w:trHeight w:val="796"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993" w:type="dxa"/>
            <w:vMerge w:val="continue"/>
            <w:tcBorders>
              <w:top w:val="nil"/>
              <w:left w:val="single" w:color="auto" w:sz="4" w:space="0"/>
              <w:bottom w:val="single" w:color="000000"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额定载质量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≥1100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7</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专用装置参数</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箱体容积（m3）</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≥2.5</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拉臂起吊能力（t）</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液压系统工作压力（MPa）</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≥16</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控制方式</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电控</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11</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装厢时间（s）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12</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卸厢时间（s）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13</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自卸举升时间（s）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14</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自卸回落时间（s）</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≤60</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15</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自卸角度（°）</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≥45</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底盘参数</w:t>
            </w: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底盘型号</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长安SC1031GND51或优于</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17</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发动机型号/功率（kW）</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≥65kW</w:t>
            </w:r>
          </w:p>
        </w:tc>
      </w:tr>
      <w:tr>
        <w:tblPrEx>
          <w:tblLayout w:type="fixed"/>
          <w:tblCellMar>
            <w:top w:w="0" w:type="dxa"/>
            <w:left w:w="108" w:type="dxa"/>
            <w:bottom w:w="0" w:type="dxa"/>
            <w:right w:w="108" w:type="dxa"/>
          </w:tblCellMar>
        </w:tblPrEx>
        <w:trPr>
          <w:trHeight w:val="453"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18</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排放标准</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国Ⅴ</w:t>
            </w:r>
          </w:p>
        </w:tc>
      </w:tr>
      <w:tr>
        <w:tblPrEx>
          <w:tblLayout w:type="fixed"/>
          <w:tblCellMar>
            <w:top w:w="0" w:type="dxa"/>
            <w:left w:w="108" w:type="dxa"/>
            <w:bottom w:w="0" w:type="dxa"/>
            <w:right w:w="108" w:type="dxa"/>
          </w:tblCellMar>
        </w:tblPrEx>
        <w:trPr>
          <w:trHeight w:val="471" w:hRule="atLeast"/>
        </w:trPr>
        <w:tc>
          <w:tcPr>
            <w:tcW w:w="969"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Cs/>
                <w:sz w:val="28"/>
                <w:szCs w:val="28"/>
              </w:rPr>
            </w:pPr>
            <w:r>
              <w:rPr>
                <w:rFonts w:hint="eastAsia" w:ascii="仿宋" w:hAnsi="仿宋" w:eastAsia="仿宋" w:cs="仿宋"/>
                <w:bCs/>
                <w:sz w:val="28"/>
                <w:szCs w:val="28"/>
              </w:rPr>
              <w:t>19</w:t>
            </w:r>
          </w:p>
        </w:tc>
        <w:tc>
          <w:tcPr>
            <w:tcW w:w="993" w:type="dxa"/>
            <w:vMerge w:val="continue"/>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bCs/>
                <w:sz w:val="28"/>
                <w:szCs w:val="28"/>
              </w:rPr>
            </w:pPr>
          </w:p>
        </w:tc>
        <w:tc>
          <w:tcPr>
            <w:tcW w:w="3562"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最高车速 (km/h)</w:t>
            </w:r>
          </w:p>
        </w:tc>
        <w:tc>
          <w:tcPr>
            <w:tcW w:w="3636" w:type="dxa"/>
            <w:tcBorders>
              <w:top w:val="nil"/>
              <w:left w:val="nil"/>
              <w:bottom w:val="single" w:color="auto" w:sz="4" w:space="0"/>
              <w:right w:val="single" w:color="auto" w:sz="4" w:space="0"/>
            </w:tcBorders>
            <w:shd w:val="clear" w:color="auto" w:fill="auto"/>
            <w:vAlign w:val="center"/>
          </w:tcPr>
          <w:p>
            <w:pPr>
              <w:spacing w:line="440" w:lineRule="exact"/>
              <w:rPr>
                <w:rFonts w:ascii="仿宋" w:hAnsi="仿宋" w:eastAsia="仿宋" w:cs="仿宋"/>
                <w:bCs/>
                <w:sz w:val="28"/>
                <w:szCs w:val="28"/>
              </w:rPr>
            </w:pPr>
            <w:r>
              <w:rPr>
                <w:rFonts w:hint="eastAsia" w:ascii="仿宋" w:hAnsi="仿宋" w:eastAsia="仿宋" w:cs="仿宋"/>
                <w:bCs/>
                <w:sz w:val="28"/>
                <w:szCs w:val="28"/>
              </w:rPr>
              <w:t>≥90</w:t>
            </w:r>
          </w:p>
        </w:tc>
      </w:tr>
    </w:tbl>
    <w:p>
      <w:pPr>
        <w:spacing w:line="440" w:lineRule="exact"/>
        <w:rPr>
          <w:rFonts w:ascii="仿宋" w:hAnsi="仿宋" w:eastAsia="仿宋" w:cs="仿宋"/>
          <w:bCs/>
          <w:sz w:val="28"/>
          <w:szCs w:val="28"/>
        </w:rPr>
      </w:pPr>
    </w:p>
    <w:p>
      <w:pPr>
        <w:spacing w:line="440" w:lineRule="exact"/>
        <w:rPr>
          <w:rFonts w:ascii="仿宋" w:hAnsi="仿宋" w:eastAsia="仿宋" w:cs="仿宋"/>
          <w:bCs/>
          <w:sz w:val="28"/>
          <w:szCs w:val="28"/>
        </w:rPr>
      </w:pPr>
      <w:r>
        <w:rPr>
          <w:rFonts w:hint="eastAsia" w:ascii="仿宋" w:hAnsi="仿宋" w:eastAsia="仿宋" w:cs="仿宋"/>
          <w:b/>
          <w:sz w:val="28"/>
          <w:szCs w:val="28"/>
        </w:rPr>
        <w:t>技术特点：</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1.操纵方式：电控；所有操作均可在驾驶室内完成。</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2.车辆底盘动力为汽油机，经济环保，噪音低，驾驶室内配原厂冷暖空调。</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3.拉臂关键受力部位材料均采用高强度结构钢。</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4.厢体、拉臂、副车架等均采用汽车防锈技术、磷化阴极电泳处理。</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5.厢体内部喷涂防腐漆，厢体底板为整体式，后端有防溢结构、侧门及后门密封可靠，有效避免转运过程二次污染。</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6.液压及电气系统均采用知名品牌元件，液压阀采用进口阀，液压及电气系统性能优良，安全可靠。</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7.车厢锁紧方式可选液压或手动锁紧方式，操作方便，锁紧可靠。</w:t>
      </w: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0" w:firstLineChars="200"/>
        <w:rPr>
          <w:rFonts w:hint="eastAsia" w:ascii="仿宋" w:hAnsi="仿宋" w:eastAsia="仿宋" w:cs="仿宋"/>
          <w:sz w:val="24"/>
          <w:szCs w:val="24"/>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项目名称：禹州市环境卫生管理处环卫专用车辆采购项目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项目编号：YZCG-G2019090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cs="仿宋_GB2312" w:asciiTheme="minorEastAsia" w:hAnsiTheme="minorEastAsia"/>
                <w:sz w:val="24"/>
                <w:szCs w:val="24"/>
              </w:rPr>
              <w:t xml:space="preserve"> </w:t>
            </w:r>
            <w:r>
              <w:rPr>
                <w:rFonts w:hint="eastAsia" w:cs="仿宋_GB2312" w:asciiTheme="minorEastAsia" w:hAnsiTheme="minorEastAsia"/>
                <w:sz w:val="24"/>
                <w:szCs w:val="24"/>
              </w:rPr>
              <w:t>A包专用车辆15台  B包专用车辆10台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名称：禹州市环境卫生管理处</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地址：禹州市东环路   联系人：赵先生</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电话：13782221972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w:t>
            </w:r>
            <w:r>
              <w:rPr>
                <w:rFonts w:hint="eastAsia" w:cs="宋体" w:asciiTheme="minorEastAsia" w:hAnsiTheme="minorEastAsia"/>
                <w:bCs/>
                <w:sz w:val="24"/>
                <w:szCs w:val="24"/>
                <w:lang w:val="zh-CN"/>
              </w:rPr>
              <w:t>年度由专业部门出具的财务报告；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A包：</w:t>
            </w:r>
          </w:p>
          <w:p>
            <w:pPr>
              <w:widowControl/>
              <w:shd w:val="clear" w:color="auto" w:fill="FFFFFF"/>
              <w:spacing w:line="400" w:lineRule="exact"/>
              <w:ind w:left="482"/>
              <w:jc w:val="left"/>
              <w:rPr>
                <w:rFonts w:cs="仿宋" w:asciiTheme="minorEastAsia" w:hAnsiTheme="minorEastAsia"/>
                <w:sz w:val="24"/>
                <w:szCs w:val="24"/>
              </w:rPr>
            </w:pPr>
            <w:r>
              <w:rPr>
                <w:rFonts w:hint="eastAsia" w:cs="仿宋" w:asciiTheme="minorEastAsia" w:hAnsiTheme="minorEastAsia"/>
                <w:sz w:val="24"/>
                <w:szCs w:val="24"/>
              </w:rPr>
              <w:t>1、符合《政府采购法》第二十二条之规定，具有独立法人资格的生产厂家或销售公司且有相应的经营范围（以营业执照为准）；</w:t>
            </w:r>
          </w:p>
          <w:p>
            <w:pPr>
              <w:spacing w:line="400" w:lineRule="exact"/>
              <w:ind w:left="319" w:leftChars="152" w:firstLine="120" w:firstLineChars="50"/>
              <w:rPr>
                <w:rFonts w:hint="eastAsia" w:cs="仿宋" w:asciiTheme="minorEastAsia" w:hAnsiTheme="minorEastAsia"/>
                <w:sz w:val="24"/>
                <w:szCs w:val="24"/>
              </w:rPr>
            </w:pPr>
            <w:r>
              <w:rPr>
                <w:rFonts w:hint="eastAsia" w:cs="仿宋" w:asciiTheme="minorEastAsia" w:hAnsiTheme="minorEastAsia"/>
                <w:sz w:val="24"/>
                <w:szCs w:val="24"/>
              </w:rPr>
              <w:t>2、被委托人是须是本单位职工，须提供公司为本人缴纳社会保险证明；</w:t>
            </w:r>
          </w:p>
          <w:p>
            <w:pPr>
              <w:spacing w:line="400" w:lineRule="exact"/>
              <w:ind w:left="319" w:leftChars="152" w:firstLine="120" w:firstLineChars="50"/>
              <w:rPr>
                <w:rFonts w:cs="仿宋" w:asciiTheme="minorEastAsia" w:hAnsiTheme="minorEastAsia"/>
                <w:sz w:val="24"/>
                <w:szCs w:val="24"/>
              </w:rPr>
            </w:pPr>
            <w:r>
              <w:rPr>
                <w:rFonts w:hint="eastAsia" w:cs="仿宋" w:asciiTheme="minorEastAsia" w:hAnsiTheme="minorEastAsia"/>
                <w:sz w:val="24"/>
                <w:szCs w:val="24"/>
              </w:rPr>
              <w:t>3、所投产品必须符合国家质量检测标准，并有国家发改委或工信部发布的《车辆生产企业及产品公告》，且符合相应的行业标准。</w:t>
            </w:r>
          </w:p>
          <w:p>
            <w:pPr>
              <w:spacing w:line="400" w:lineRule="exact"/>
              <w:ind w:firstLine="360" w:firstLineChars="150"/>
              <w:rPr>
                <w:rFonts w:hint="eastAsia" w:cs="仿宋" w:asciiTheme="minorEastAsia" w:hAnsiTheme="minorEastAsia"/>
                <w:sz w:val="24"/>
                <w:szCs w:val="24"/>
              </w:rPr>
            </w:pPr>
            <w:r>
              <w:rPr>
                <w:rFonts w:hint="eastAsia" w:cs="仿宋" w:asciiTheme="minorEastAsia" w:hAnsiTheme="minorEastAsia"/>
                <w:sz w:val="24"/>
                <w:szCs w:val="24"/>
              </w:rPr>
              <w:t>4、本项目不接受联合体投标。</w:t>
            </w:r>
          </w:p>
          <w:p>
            <w:pPr>
              <w:widowControl/>
              <w:shd w:val="clear" w:color="auto" w:fill="FFFFFF"/>
              <w:autoSpaceDE w:val="0"/>
              <w:spacing w:line="400" w:lineRule="exact"/>
              <w:ind w:left="482"/>
              <w:jc w:val="left"/>
              <w:rPr>
                <w:rFonts w:hint="eastAsia"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B包：</w:t>
            </w:r>
          </w:p>
          <w:p>
            <w:pPr>
              <w:widowControl/>
              <w:shd w:val="clear" w:color="auto" w:fill="FFFFFF"/>
              <w:spacing w:line="400" w:lineRule="exact"/>
              <w:ind w:left="482"/>
              <w:jc w:val="left"/>
              <w:rPr>
                <w:rFonts w:cs="仿宋" w:asciiTheme="minorEastAsia" w:hAnsiTheme="minorEastAsia"/>
                <w:sz w:val="24"/>
                <w:szCs w:val="24"/>
              </w:rPr>
            </w:pPr>
            <w:r>
              <w:rPr>
                <w:rFonts w:hint="eastAsia" w:cs="仿宋" w:asciiTheme="minorEastAsia" w:hAnsiTheme="minorEastAsia"/>
                <w:sz w:val="24"/>
                <w:szCs w:val="24"/>
              </w:rPr>
              <w:t>1、符合《政府采购法》第二十二条之规定，具有独立法人资格的生产厂家且有相应的经营范围（以营业执照为准）；</w:t>
            </w:r>
          </w:p>
          <w:p>
            <w:pPr>
              <w:spacing w:line="400" w:lineRule="exact"/>
              <w:ind w:left="319" w:leftChars="152" w:firstLine="120" w:firstLineChars="50"/>
              <w:rPr>
                <w:rFonts w:hint="eastAsia" w:cs="仿宋" w:asciiTheme="minorEastAsia" w:hAnsiTheme="minorEastAsia"/>
                <w:sz w:val="24"/>
                <w:szCs w:val="24"/>
              </w:rPr>
            </w:pPr>
            <w:r>
              <w:rPr>
                <w:rFonts w:hint="eastAsia" w:cs="仿宋" w:asciiTheme="minorEastAsia" w:hAnsiTheme="minorEastAsia"/>
                <w:sz w:val="24"/>
                <w:szCs w:val="24"/>
              </w:rPr>
              <w:t>2、被委托人是须是本单位职工，须提供公司为本人缴纳社会保险证明；</w:t>
            </w:r>
          </w:p>
          <w:p>
            <w:pPr>
              <w:spacing w:line="400" w:lineRule="exact"/>
              <w:ind w:left="319" w:leftChars="152" w:firstLine="120" w:firstLineChars="50"/>
              <w:rPr>
                <w:rFonts w:cs="仿宋" w:asciiTheme="minorEastAsia" w:hAnsiTheme="minorEastAsia"/>
                <w:sz w:val="24"/>
                <w:szCs w:val="24"/>
              </w:rPr>
            </w:pPr>
            <w:r>
              <w:rPr>
                <w:rFonts w:hint="eastAsia" w:cs="仿宋" w:asciiTheme="minorEastAsia" w:hAnsiTheme="minorEastAsia"/>
                <w:sz w:val="24"/>
                <w:szCs w:val="24"/>
              </w:rPr>
              <w:t>3、所投产品必须符合国家质量检测标准，并有国家发改委或工信部发布的《车辆生产企业及产品公告》，且符合相应的行业标准。</w:t>
            </w:r>
          </w:p>
          <w:p>
            <w:pPr>
              <w:spacing w:line="400" w:lineRule="exact"/>
              <w:ind w:firstLine="360" w:firstLineChars="150"/>
              <w:rPr>
                <w:rFonts w:cs="仿宋" w:asciiTheme="minorEastAsia" w:hAnsiTheme="minorEastAsia"/>
                <w:sz w:val="24"/>
                <w:szCs w:val="24"/>
              </w:rPr>
            </w:pPr>
            <w:r>
              <w:rPr>
                <w:rFonts w:hint="eastAsia" w:cs="仿宋" w:asciiTheme="minorEastAsia" w:hAnsiTheme="minorEastAsia"/>
                <w:sz w:val="24"/>
                <w:szCs w:val="24"/>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A包414万元   B包484</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17</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金额：A包伍万元（¥ ：</w:t>
            </w:r>
            <w:r>
              <w:rPr>
                <w:rFonts w:hint="eastAsia" w:cs="仿宋_GB2312" w:asciiTheme="minorEastAsia" w:hAnsiTheme="minorEastAsia"/>
                <w:color w:val="FF0000"/>
                <w:sz w:val="24"/>
                <w:szCs w:val="24"/>
              </w:rPr>
              <w:t>50000.00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B包伍万元（¥ ：</w:t>
            </w:r>
            <w:r>
              <w:rPr>
                <w:rFonts w:hint="eastAsia" w:cs="仿宋_GB2312" w:asciiTheme="minorEastAsia" w:hAnsiTheme="minorEastAsia"/>
                <w:color w:val="FF0000"/>
                <w:sz w:val="24"/>
                <w:szCs w:val="24"/>
              </w:rPr>
              <w:t>50000.00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w:t>
      </w:r>
      <w:bookmarkStart w:id="9" w:name="_GoBack"/>
      <w:bookmarkEnd w:id="9"/>
      <w:r>
        <w:rPr>
          <w:rFonts w:hint="eastAsia" w:cs="仿宋_GB2312" w:asciiTheme="minorEastAsia" w:hAnsiTheme="minorEastAsia"/>
          <w:sz w:val="24"/>
          <w:szCs w:val="24"/>
          <w:lang w:val="zh-CN"/>
        </w:rPr>
        <w:t>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2017年度或2018年度由专业部门出具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13、被委托人须是本单位职工，须提供公司为本人缴纳社会保险证明；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4.9残疾人福利性单位声明函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135C2C3"/>
    <w:multiLevelType w:val="singleLevel"/>
    <w:tmpl w:val="5135C2C3"/>
    <w:lvl w:ilvl="0" w:tentative="0">
      <w:start w:val="2"/>
      <w:numFmt w:val="chineseCounting"/>
      <w:suff w:val="nothing"/>
      <w:lvlText w:val="（%1）"/>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9"/>
  </w:num>
  <w:num w:numId="4">
    <w:abstractNumId w:val="6"/>
  </w:num>
  <w:num w:numId="5">
    <w:abstractNumId w:val="0"/>
  </w:num>
  <w:num w:numId="6">
    <w:abstractNumId w:val="4"/>
  </w:num>
  <w:num w:numId="7">
    <w:abstractNumId w:val="7"/>
  </w:num>
  <w:num w:numId="8">
    <w:abstractNumId w:val="8"/>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23F74"/>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07F6"/>
    <w:rsid w:val="003A4C56"/>
    <w:rsid w:val="003B488E"/>
    <w:rsid w:val="003B5BE5"/>
    <w:rsid w:val="003C013E"/>
    <w:rsid w:val="003C191A"/>
    <w:rsid w:val="003C669F"/>
    <w:rsid w:val="003D2A39"/>
    <w:rsid w:val="003D6EA0"/>
    <w:rsid w:val="003E3DF5"/>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CCA"/>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CE"/>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AE4"/>
    <w:rsid w:val="006341CB"/>
    <w:rsid w:val="0063631A"/>
    <w:rsid w:val="00636AAD"/>
    <w:rsid w:val="0064438F"/>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77BAC"/>
    <w:rsid w:val="00992F1F"/>
    <w:rsid w:val="0099354B"/>
    <w:rsid w:val="00994A8A"/>
    <w:rsid w:val="009A0AC7"/>
    <w:rsid w:val="009A296B"/>
    <w:rsid w:val="009A2BC5"/>
    <w:rsid w:val="009A47E3"/>
    <w:rsid w:val="009A6F91"/>
    <w:rsid w:val="009A71B8"/>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1A4"/>
    <w:rsid w:val="00A146D0"/>
    <w:rsid w:val="00A14D60"/>
    <w:rsid w:val="00A26A2D"/>
    <w:rsid w:val="00A272CE"/>
    <w:rsid w:val="00A30773"/>
    <w:rsid w:val="00A3660C"/>
    <w:rsid w:val="00A36CDD"/>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C718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DD5"/>
    <w:rsid w:val="00CC1121"/>
    <w:rsid w:val="00CD3853"/>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53F7"/>
    <w:rsid w:val="00D87AE5"/>
    <w:rsid w:val="00D87CA6"/>
    <w:rsid w:val="00D90CE2"/>
    <w:rsid w:val="00D95770"/>
    <w:rsid w:val="00DA3386"/>
    <w:rsid w:val="00DA70EB"/>
    <w:rsid w:val="00DB4C7C"/>
    <w:rsid w:val="00DB748A"/>
    <w:rsid w:val="00DC5A3D"/>
    <w:rsid w:val="00DD116A"/>
    <w:rsid w:val="00DD1648"/>
    <w:rsid w:val="00DD7D9C"/>
    <w:rsid w:val="00DE5E53"/>
    <w:rsid w:val="00E05333"/>
    <w:rsid w:val="00E1364D"/>
    <w:rsid w:val="00E155B5"/>
    <w:rsid w:val="00E16A95"/>
    <w:rsid w:val="00E203D7"/>
    <w:rsid w:val="00E23924"/>
    <w:rsid w:val="00E2434C"/>
    <w:rsid w:val="00E24944"/>
    <w:rsid w:val="00E256B1"/>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49D3"/>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3D06"/>
    <w:rsid w:val="00F54292"/>
    <w:rsid w:val="00F5466E"/>
    <w:rsid w:val="00F6477D"/>
    <w:rsid w:val="00F66967"/>
    <w:rsid w:val="00F66D61"/>
    <w:rsid w:val="00F67F31"/>
    <w:rsid w:val="00F71411"/>
    <w:rsid w:val="00F75216"/>
    <w:rsid w:val="00F75304"/>
    <w:rsid w:val="00F76EDF"/>
    <w:rsid w:val="00F839B6"/>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A3F1A3D"/>
    <w:rsid w:val="0B5076B5"/>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AC2A9D"/>
    <w:rsid w:val="21DD4A96"/>
    <w:rsid w:val="22151D9F"/>
    <w:rsid w:val="271F4B16"/>
    <w:rsid w:val="28AB7259"/>
    <w:rsid w:val="2A553543"/>
    <w:rsid w:val="2D976D16"/>
    <w:rsid w:val="2FDB6ADB"/>
    <w:rsid w:val="303D5555"/>
    <w:rsid w:val="33563CED"/>
    <w:rsid w:val="34B644B7"/>
    <w:rsid w:val="35641360"/>
    <w:rsid w:val="37844818"/>
    <w:rsid w:val="3ADD0A2E"/>
    <w:rsid w:val="3BB96859"/>
    <w:rsid w:val="3F263B0E"/>
    <w:rsid w:val="429A1E61"/>
    <w:rsid w:val="42FB76AE"/>
    <w:rsid w:val="43AF27C5"/>
    <w:rsid w:val="4866545B"/>
    <w:rsid w:val="49FD6D8B"/>
    <w:rsid w:val="4AE22F4C"/>
    <w:rsid w:val="4B7069AF"/>
    <w:rsid w:val="4B84675A"/>
    <w:rsid w:val="4CE51226"/>
    <w:rsid w:val="4D0F0AAF"/>
    <w:rsid w:val="4EB72836"/>
    <w:rsid w:val="50594C1B"/>
    <w:rsid w:val="51B331C2"/>
    <w:rsid w:val="54FD6B5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BDA4D57"/>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EB913-C27F-476B-93DA-84724CC43F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81</Pages>
  <Words>6494</Words>
  <Characters>37018</Characters>
  <Lines>308</Lines>
  <Paragraphs>86</Paragraphs>
  <TotalTime>1504</TotalTime>
  <ScaleCrop>false</ScaleCrop>
  <LinksUpToDate>false</LinksUpToDate>
  <CharactersWithSpaces>43426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2019-04-26T05:07:05Z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