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许昌市中心医院“许昌市中心医院新院区地下车库及人防工程</w:t>
      </w:r>
      <w:r>
        <w:rPr>
          <w:rFonts w:hint="eastAsia" w:asciiTheme="majorEastAsia" w:hAnsiTheme="majorEastAsia" w:eastAsiaTheme="majorEastAsia" w:cstheme="majorEastAsia"/>
          <w:b/>
          <w:bCs/>
          <w:color w:val="000000"/>
          <w:sz w:val="44"/>
          <w:szCs w:val="44"/>
          <w:lang w:eastAsia="zh-CN"/>
        </w:rPr>
        <w:t>基坑监测</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041-1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二十五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许昌市中心医院新院区地下车库及人防工程基坑监测</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（二）项目编号：ZFCG-G2019</w:t>
      </w:r>
      <w:r>
        <w:rPr>
          <w:rFonts w:hint="eastAsia" w:cs="仿宋_GB2312" w:asciiTheme="minorEastAsia" w:hAnsiTheme="minorEastAsia" w:eastAsiaTheme="minorEastAsia"/>
          <w:color w:val="000000"/>
          <w:shd w:val="clear" w:color="auto" w:fill="FFFFFF"/>
          <w:lang w:val="en-US" w:eastAsia="zh-CN"/>
        </w:rPr>
        <w:t>041-1</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（四）采购需求：根据图纸要求，</w:t>
      </w:r>
      <w:r>
        <w:rPr>
          <w:rFonts w:hint="eastAsia" w:cs="仿宋_GB2312" w:asciiTheme="minorEastAsia" w:hAnsiTheme="minorEastAsia" w:eastAsiaTheme="minorEastAsia"/>
          <w:color w:val="000000"/>
          <w:shd w:val="clear" w:color="auto" w:fill="FFFFFF"/>
          <w:lang w:eastAsia="zh-CN"/>
        </w:rPr>
        <w:t>对地下车库及人防工程的基坑施工进行监测，具体以基坑施工图和国家相关监测规范为准（详见图纸）。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（五）预算金额（最高限价）：</w:t>
      </w:r>
      <w:r>
        <w:rPr>
          <w:rFonts w:hint="eastAsia" w:cs="仿宋_GB2312" w:asciiTheme="minorEastAsia" w:hAnsiTheme="minorEastAsia" w:eastAsiaTheme="minorEastAsia"/>
          <w:color w:val="000000"/>
          <w:shd w:val="clear" w:color="auto" w:fill="FFFFFF"/>
          <w:lang w:val="en-US" w:eastAsia="zh-CN"/>
        </w:rPr>
        <w:t>30万</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w:t>
      </w:r>
      <w:r>
        <w:rPr>
          <w:rFonts w:hint="eastAsia" w:cs="仿宋_GB2312" w:asciiTheme="minorEastAsia" w:hAnsiTheme="minorEastAsia" w:eastAsiaTheme="minorEastAsia"/>
          <w:color w:val="000000"/>
          <w:shd w:val="clear" w:color="auto" w:fill="FFFFFF"/>
          <w:lang w:eastAsia="zh-CN"/>
        </w:rPr>
        <w:t>合同生效后</w:t>
      </w:r>
      <w:r>
        <w:rPr>
          <w:rFonts w:hint="eastAsia" w:cs="仿宋_GB2312" w:asciiTheme="minorEastAsia" w:hAnsiTheme="minorEastAsia" w:eastAsiaTheme="minorEastAsia"/>
          <w:color w:val="000000"/>
          <w:shd w:val="clear" w:color="auto" w:fill="FFFFFF"/>
          <w:lang w:val="en-US" w:eastAsia="zh-CN"/>
        </w:rPr>
        <w:t>352天</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shd w:val="clear" w:color="auto" w:fill="FFFFFF"/>
          <w:lang w:eastAsia="zh-CN"/>
        </w:rPr>
        <w:t>许昌市</w:t>
      </w:r>
      <w:r>
        <w:rPr>
          <w:rFonts w:hint="eastAsia" w:cs="仿宋_GB2312" w:asciiTheme="minorEastAsia" w:hAnsiTheme="minorEastAsia" w:eastAsiaTheme="minorEastAsia"/>
          <w:color w:val="000000"/>
          <w:shd w:val="clear" w:color="auto" w:fill="FFFFFF"/>
        </w:rPr>
        <w:t>中心医院新院区</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9"/>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wordWrap w:val="0"/>
        <w:topLinePunct/>
        <w:autoSpaceDE w:val="0"/>
        <w:autoSpaceDN w:val="0"/>
        <w:adjustRightInd w:val="0"/>
        <w:snapToGrid w:val="0"/>
        <w:spacing w:line="360" w:lineRule="auto"/>
        <w:ind w:firstLine="480" w:firstLineChars="200"/>
        <w:rPr>
          <w:rFonts w:eastAsia="宋体" w:cs="宋体" w:asciiTheme="minorEastAsia" w:hAnsiTheme="minorEastAsia"/>
          <w:color w:val="000000"/>
          <w:kern w:val="0"/>
          <w:sz w:val="24"/>
          <w:szCs w:val="24"/>
          <w:lang w:val="zh-CN"/>
        </w:rPr>
      </w:pPr>
      <w:r>
        <w:rPr>
          <w:rFonts w:hint="eastAsia" w:eastAsia="宋体" w:cs="宋体" w:asciiTheme="minorEastAsia" w:hAnsiTheme="minorEastAsia"/>
          <w:color w:val="000000"/>
          <w:kern w:val="0"/>
          <w:sz w:val="24"/>
          <w:szCs w:val="24"/>
          <w:lang w:val="zh-CN"/>
        </w:rPr>
        <w:t>（四</w:t>
      </w:r>
      <w:r>
        <w:rPr>
          <w:rFonts w:hint="eastAsia" w:eastAsia="宋体" w:cs="宋体" w:asciiTheme="minorEastAsia" w:hAnsiTheme="minorEastAsia"/>
          <w:color w:val="000000"/>
          <w:kern w:val="0"/>
          <w:sz w:val="24"/>
          <w:szCs w:val="24"/>
          <w:lang w:val="zh-CN" w:eastAsia="zh-CN" w:bidi="ar-SA"/>
        </w:rPr>
        <w:t>）具有省住房和城乡建设厅颁发的建设工程质量检测机构资质证书，检测范围须包括地基基础工程检测。</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w:t>
      </w:r>
      <w:r>
        <w:rPr>
          <w:rFonts w:hint="eastAsia" w:cs="仿宋_GB2312" w:asciiTheme="minorEastAsia" w:hAnsiTheme="minorEastAsia" w:eastAsiaTheme="minorEastAsia"/>
          <w:color w:val="000000"/>
          <w:shd w:val="clear" w:color="auto" w:fill="FFFFFF"/>
          <w:lang w:eastAsia="zh-CN"/>
        </w:rPr>
        <w:t>免费</w:t>
      </w:r>
      <w:r>
        <w:rPr>
          <w:rFonts w:hint="eastAsia" w:cs="仿宋_GB2312" w:asciiTheme="minorEastAsia" w:hAnsiTheme="minorEastAsia" w:eastAsiaTheme="minorEastAsia"/>
          <w:color w:val="000000"/>
          <w:shd w:val="clear" w:color="auto" w:fill="FFFFFF"/>
        </w:rPr>
        <w:t>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17</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五</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6"/>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采购人：许昌市中心医院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许昌市魏都区华佗路</w:t>
      </w:r>
      <w:r>
        <w:rPr>
          <w:rFonts w:hint="eastAsia" w:cs="仿宋_GB2312" w:asciiTheme="minorEastAsia" w:hAnsiTheme="minorEastAsia" w:eastAsiaTheme="minorEastAsia"/>
          <w:color w:val="000000"/>
          <w:lang w:val="en-US" w:eastAsia="zh-CN"/>
        </w:rPr>
        <w:t>30号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赵永霞</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val="en-US" w:eastAsia="zh-CN"/>
        </w:rPr>
        <w:t>13027675526</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jc w:val="righ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许昌市中心医院 </w:t>
      </w:r>
    </w:p>
    <w:p>
      <w:pPr>
        <w:wordWrap w:val="0"/>
        <w:autoSpaceDE w:val="0"/>
        <w:autoSpaceDN w:val="0"/>
        <w:adjustRightInd w:val="0"/>
        <w:spacing w:line="700" w:lineRule="exact"/>
        <w:jc w:val="righ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二〇一九年</w:t>
      </w:r>
      <w:r>
        <w:rPr>
          <w:rFonts w:hint="eastAsia" w:cs="仿宋_GB2312" w:asciiTheme="minorEastAsia" w:hAnsiTheme="minorEastAsia"/>
          <w:color w:val="000000"/>
          <w:kern w:val="2"/>
          <w:sz w:val="24"/>
          <w:szCs w:val="24"/>
          <w:lang w:val="en-US" w:eastAsia="zh-CN" w:bidi="ar-SA"/>
        </w:rPr>
        <w:t>四</w:t>
      </w:r>
      <w:r>
        <w:rPr>
          <w:rFonts w:hint="eastAsia" w:cs="仿宋_GB2312" w:asciiTheme="minorEastAsia" w:hAnsiTheme="minorEastAsia" w:eastAsiaTheme="minorEastAsia"/>
          <w:color w:val="000000"/>
          <w:kern w:val="2"/>
          <w:sz w:val="24"/>
          <w:szCs w:val="24"/>
          <w:lang w:val="en-US" w:eastAsia="zh-CN" w:bidi="ar-SA"/>
        </w:rPr>
        <w:t>月</w:t>
      </w:r>
      <w:r>
        <w:rPr>
          <w:rFonts w:hint="eastAsia" w:cs="仿宋_GB2312" w:asciiTheme="minorEastAsia" w:hAnsiTheme="minorEastAsia"/>
          <w:color w:val="000000"/>
          <w:kern w:val="2"/>
          <w:sz w:val="24"/>
          <w:szCs w:val="24"/>
          <w:lang w:val="en-US" w:eastAsia="zh-CN" w:bidi="ar-SA"/>
        </w:rPr>
        <w:t>二十五</w:t>
      </w:r>
      <w:r>
        <w:rPr>
          <w:rFonts w:hint="eastAsia" w:cs="仿宋_GB2312" w:asciiTheme="minorEastAsia" w:hAnsiTheme="minorEastAsia" w:eastAsiaTheme="minorEastAsia"/>
          <w:color w:val="000000"/>
          <w:kern w:val="2"/>
          <w:sz w:val="24"/>
          <w:szCs w:val="24"/>
          <w:lang w:val="en-US" w:eastAsia="zh-CN" w:bidi="ar-SA"/>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
        <w:ind w:firstLine="480" w:firstLineChars="200"/>
        <w:rPr>
          <w:rFonts w:hint="eastAsia" w:cs="宋体" w:asciiTheme="minorEastAsia" w:hAnsiTheme="minorEastAsia" w:eastAsiaTheme="minorEastAsia"/>
          <w:kern w:val="0"/>
          <w:sz w:val="24"/>
          <w:szCs w:val="24"/>
          <w:lang w:val="zh-CN" w:eastAsia="zh-CN" w:bidi="ar-SA"/>
        </w:rPr>
      </w:pPr>
      <w:r>
        <w:rPr>
          <w:rFonts w:hint="eastAsia" w:cs="宋体" w:asciiTheme="minorEastAsia" w:hAnsiTheme="minorEastAsia" w:eastAsiaTheme="minorEastAsia"/>
          <w:kern w:val="0"/>
          <w:sz w:val="24"/>
          <w:szCs w:val="24"/>
          <w:lang w:val="en-US" w:eastAsia="zh-CN" w:bidi="ar-SA"/>
        </w:rPr>
        <w:t>根据国家基坑监测规范要求进行监测并出具监测报告，满足验收要求。</w:t>
      </w:r>
    </w:p>
    <w:p>
      <w:pPr>
        <w:numPr>
          <w:ilvl w:val="0"/>
          <w:numId w:val="5"/>
        </w:numPr>
        <w:spacing w:line="360" w:lineRule="auto"/>
        <w:ind w:left="0" w:leftChars="0"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1"/>
        <w:tblW w:w="8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31"/>
        <w:gridCol w:w="3082"/>
        <w:gridCol w:w="121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03" w:type="dxa"/>
            <w:vAlign w:val="center"/>
          </w:tcPr>
          <w:p>
            <w:pPr>
              <w:widowControl/>
              <w:spacing w:line="360" w:lineRule="atLeas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1831" w:type="dxa"/>
            <w:vAlign w:val="center"/>
          </w:tcPr>
          <w:p>
            <w:pPr>
              <w:widowControl/>
              <w:spacing w:line="360" w:lineRule="atLeas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服务</w:t>
            </w:r>
            <w:r>
              <w:rPr>
                <w:rFonts w:hint="eastAsia" w:ascii="仿宋" w:hAnsi="仿宋" w:eastAsia="仿宋" w:cs="仿宋"/>
                <w:b/>
                <w:color w:val="auto"/>
                <w:kern w:val="0"/>
                <w:sz w:val="24"/>
                <w:szCs w:val="24"/>
              </w:rPr>
              <w:t>项目</w:t>
            </w:r>
          </w:p>
        </w:tc>
        <w:tc>
          <w:tcPr>
            <w:tcW w:w="3082" w:type="dxa"/>
            <w:vAlign w:val="center"/>
          </w:tcPr>
          <w:p>
            <w:pPr>
              <w:widowControl/>
              <w:spacing w:line="360" w:lineRule="atLeas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技术规格及主要参数</w:t>
            </w:r>
          </w:p>
        </w:tc>
        <w:tc>
          <w:tcPr>
            <w:tcW w:w="1212" w:type="dxa"/>
            <w:vAlign w:val="center"/>
          </w:tcPr>
          <w:p>
            <w:pPr>
              <w:widowControl/>
              <w:spacing w:line="360" w:lineRule="atLeast"/>
              <w:jc w:val="center"/>
              <w:rPr>
                <w:rFonts w:hint="eastAsia" w:ascii="仿宋" w:hAnsi="仿宋" w:eastAsia="仿宋" w:cs="仿宋"/>
                <w:b/>
                <w:color w:val="auto"/>
                <w:kern w:val="0"/>
                <w:sz w:val="24"/>
                <w:szCs w:val="24"/>
                <w:lang w:eastAsia="zh-CN"/>
              </w:rPr>
            </w:pPr>
            <w:r>
              <w:rPr>
                <w:rFonts w:hint="eastAsia" w:ascii="仿宋" w:hAnsi="仿宋" w:eastAsia="仿宋" w:cs="仿宋"/>
                <w:b/>
                <w:color w:val="auto"/>
                <w:kern w:val="0"/>
                <w:sz w:val="24"/>
                <w:szCs w:val="24"/>
                <w:lang w:eastAsia="zh-CN"/>
              </w:rPr>
              <w:t>单位</w:t>
            </w:r>
          </w:p>
        </w:tc>
        <w:tc>
          <w:tcPr>
            <w:tcW w:w="1275" w:type="dxa"/>
            <w:vAlign w:val="center"/>
          </w:tcPr>
          <w:p>
            <w:pPr>
              <w:widowControl/>
              <w:spacing w:line="360" w:lineRule="atLeas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70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31"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基坑监测</w:t>
            </w:r>
          </w:p>
        </w:tc>
        <w:tc>
          <w:tcPr>
            <w:tcW w:w="308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按国家相关监测规范与图纸设计要求（图纸见附件）</w:t>
            </w:r>
          </w:p>
        </w:tc>
        <w:tc>
          <w:tcPr>
            <w:tcW w:w="121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27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bl>
    <w:p>
      <w:pPr>
        <w:numPr>
          <w:ilvl w:val="0"/>
          <w:numId w:val="0"/>
        </w:numPr>
        <w:spacing w:line="360" w:lineRule="auto"/>
        <w:ind w:left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《建筑变形测量规范》JGJ8-2016</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《建筑基坑工程监测技术规范》GB50497-2009 </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《建筑基坑支护技术规程》JGJ120-2012</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《建筑边坡工程技术规范》GB50330-2013</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《建筑地基基础工程施工质量验收标准》GB50202-2018</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本工程技术标准和要求以适用的国家、行业以及地方规范、标准和规程为准。</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按照国家相关标准、行业标准、地方标准或者其他标准、规范验收，并提供基坑监测报告。</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w:t>
      </w:r>
      <w:r>
        <w:rPr>
          <w:rFonts w:hint="eastAsia" w:ascii="宋体" w:cs="宋体"/>
          <w:sz w:val="24"/>
          <w:lang w:val="zh-CN" w:eastAsia="zh-CN"/>
        </w:rPr>
        <w:t>中标</w:t>
      </w:r>
      <w:r>
        <w:rPr>
          <w:rFonts w:hint="eastAsia" w:ascii="宋体" w:cs="宋体"/>
          <w:sz w:val="24"/>
          <w:lang w:val="zh-CN"/>
        </w:rPr>
        <w:t>人提交基</w:t>
      </w:r>
      <w:r>
        <w:rPr>
          <w:rFonts w:hint="eastAsia" w:ascii="宋体" w:cs="宋体"/>
          <w:sz w:val="24"/>
          <w:lang w:val="zh-CN" w:eastAsia="zh-CN"/>
        </w:rPr>
        <w:t>坑监测</w:t>
      </w:r>
      <w:r>
        <w:rPr>
          <w:rFonts w:hint="eastAsia" w:ascii="宋体" w:cs="宋体"/>
          <w:sz w:val="24"/>
          <w:lang w:val="zh-CN"/>
        </w:rPr>
        <w:t>报告</w:t>
      </w:r>
      <w:r>
        <w:rPr>
          <w:rFonts w:hint="eastAsia" w:ascii="宋体" w:cs="宋体"/>
          <w:sz w:val="24"/>
          <w:lang w:val="zh-CN" w:eastAsia="zh-CN"/>
        </w:rPr>
        <w:t>并验收合格</w:t>
      </w:r>
      <w:r>
        <w:rPr>
          <w:rFonts w:hint="eastAsia" w:ascii="宋体" w:cs="宋体"/>
          <w:sz w:val="24"/>
          <w:lang w:val="zh-CN"/>
        </w:rPr>
        <w:t>后，按合同价款一次结清。</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六、其他要求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1、投标人应就该项目完整投标，否则为无效投标。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许昌市中心医院新院区地下车库及人防工程基坑监测</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项目编号：ZFCG-G2019</w:t>
            </w:r>
            <w:r>
              <w:rPr>
                <w:rFonts w:hint="eastAsia" w:cs="仿宋_GB2312" w:asciiTheme="minorEastAsia" w:hAnsiTheme="minorEastAsia"/>
                <w:sz w:val="24"/>
                <w:szCs w:val="24"/>
                <w:lang w:val="en-US" w:eastAsia="zh-CN"/>
              </w:rPr>
              <w:t>041-1</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项目内容：根据图纸要求，</w:t>
            </w:r>
            <w:r>
              <w:rPr>
                <w:rFonts w:hint="eastAsia" w:cs="仿宋_GB2312" w:asciiTheme="minorEastAsia" w:hAnsiTheme="minorEastAsia"/>
                <w:sz w:val="24"/>
                <w:szCs w:val="24"/>
                <w:lang w:eastAsia="zh-CN"/>
              </w:rPr>
              <w:t>对地下车库及人防工程的基坑施工进行监测，具体以基坑施工图和国家相关监测规范为准（详见图纸）。</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许昌市</w:t>
            </w:r>
            <w:r>
              <w:rPr>
                <w:rFonts w:hint="eastAsia" w:cs="仿宋_GB2312" w:asciiTheme="minorEastAsia" w:hAnsiTheme="minorEastAsia"/>
                <w:sz w:val="24"/>
                <w:szCs w:val="24"/>
              </w:rPr>
              <w:t>中心医院新院区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许昌市</w:t>
            </w:r>
            <w:r>
              <w:rPr>
                <w:rFonts w:hint="eastAsia" w:cs="仿宋_GB2312" w:asciiTheme="minorEastAsia" w:hAnsiTheme="minorEastAsia"/>
                <w:sz w:val="24"/>
                <w:szCs w:val="24"/>
              </w:rPr>
              <w:t>中心医院</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许昌市魏都区华佗路</w:t>
            </w:r>
            <w:r>
              <w:rPr>
                <w:rFonts w:hint="eastAsia" w:cs="仿宋_GB2312" w:asciiTheme="minorEastAsia" w:hAnsiTheme="minorEastAsia"/>
                <w:sz w:val="24"/>
                <w:szCs w:val="24"/>
                <w:lang w:val="en-US" w:eastAsia="zh-CN"/>
              </w:rPr>
              <w:t>30号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赵永霞</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13027675526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七、具</w:t>
            </w:r>
            <w:r>
              <w:rPr>
                <w:rFonts w:hint="eastAsia" w:cs="宋体" w:asciiTheme="minorEastAsia" w:hAnsiTheme="minorEastAsia"/>
                <w:b/>
                <w:bCs/>
                <w:sz w:val="24"/>
                <w:szCs w:val="24"/>
                <w:lang w:val="zh-CN" w:eastAsia="zh-CN"/>
              </w:rPr>
              <w:t>有省住房和城乡建设厅颁发的建设工程质量检测机构资质证书，</w:t>
            </w:r>
            <w:r>
              <w:rPr>
                <w:rFonts w:hint="eastAsia" w:cs="宋体" w:asciiTheme="minorEastAsia" w:hAnsiTheme="minorEastAsia"/>
                <w:b/>
                <w:bCs/>
                <w:sz w:val="24"/>
                <w:szCs w:val="24"/>
                <w:lang w:val="zh-CN"/>
              </w:rPr>
              <w:t>检测范围须包括地基基础工程检测</w:t>
            </w:r>
            <w:r>
              <w:rPr>
                <w:rFonts w:hint="eastAsia" w:cs="宋体" w:asciiTheme="minorEastAsia" w:hAnsiTheme="minorEastAsia"/>
                <w:b/>
                <w:bCs/>
                <w:sz w:val="24"/>
                <w:szCs w:val="24"/>
                <w:lang w:val="zh-CN" w:eastAsia="zh-CN"/>
              </w:rPr>
              <w:t>。</w:t>
            </w:r>
          </w:p>
          <w:p>
            <w:pPr>
              <w:autoSpaceDE w:val="0"/>
              <w:autoSpaceDN w:val="0"/>
              <w:adjustRightInd w:val="0"/>
              <w:spacing w:line="360" w:lineRule="auto"/>
              <w:ind w:right="-11"/>
              <w:rPr>
                <w:rFonts w:hint="eastAsia" w:cs="宋体" w:asciiTheme="minorEastAsia" w:hAnsiTheme="minorEastAsia"/>
                <w:b/>
                <w:bCs/>
                <w:sz w:val="24"/>
                <w:szCs w:val="24"/>
                <w:lang w:val="zh-CN" w:eastAsia="zh-CN"/>
              </w:rPr>
            </w:pPr>
            <w:r>
              <w:rPr>
                <w:rFonts w:hint="eastAsia" w:cs="宋体" w:asciiTheme="minorEastAsia" w:hAnsiTheme="minorEastAsia"/>
                <w:b/>
                <w:bCs/>
                <w:sz w:val="24"/>
                <w:szCs w:val="24"/>
                <w:lang w:val="zh-CN" w:eastAsia="zh-CN"/>
              </w:rPr>
              <w:t>八、未被列入“信用中国”网站(www.creditchina.gov.cn)失信被执行人、重大税收违法案件当事人名单、政府采购严重违法失信名单的投标人；“中国政府采购网”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1、查询渠道：“信用中国”网站（www.creditchina.gov.cn）和“中国政府采购网”（www.ccgp.gov.cn）；“国家企业信用公示系统”网站（www.gsxt.gov.cn）；</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30万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五</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金额：陆仟元（¥</w:t>
            </w:r>
            <w:r>
              <w:rPr>
                <w:rFonts w:hint="eastAsia" w:cs="仿宋_GB2312" w:asciiTheme="minorEastAsia" w:hAnsiTheme="minorEastAsia"/>
                <w:sz w:val="24"/>
                <w:szCs w:val="24"/>
                <w:lang w:val="en-US" w:eastAsia="zh-CN"/>
              </w:rPr>
              <w:t>6000元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w:t>
      </w:r>
      <w:bookmarkStart w:id="9" w:name="_GoBack"/>
      <w:bookmarkEnd w:id="9"/>
      <w:r>
        <w:rPr>
          <w:rFonts w:hint="eastAsia" w:cs="仿宋_GB2312" w:asciiTheme="minorEastAsia" w:hAnsiTheme="minorEastAsia"/>
          <w:sz w:val="24"/>
          <w:szCs w:val="24"/>
          <w:lang w:val="zh-CN"/>
        </w:rPr>
        <w:t>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color w:val="FF0000"/>
          <w:szCs w:val="24"/>
          <w:lang w:val="zh-CN"/>
        </w:rPr>
        <w:t>本项目采用最低评标价法。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w:t>
      </w:r>
      <w:r>
        <w:rPr>
          <w:rFonts w:hint="eastAsia" w:cs="仿宋_GB2312" w:asciiTheme="minorEastAsia" w:hAnsiTheme="minorEastAsia" w:eastAsiaTheme="minorEastAsia"/>
          <w:b/>
          <w:color w:val="7030A0"/>
          <w:szCs w:val="24"/>
        </w:rPr>
        <w:t>3</w:t>
      </w:r>
      <w:r>
        <w:rPr>
          <w:rFonts w:hint="eastAsia" w:cs="仿宋_GB2312" w:asciiTheme="minorEastAsia" w:hAnsiTheme="minorEastAsia" w:eastAsiaTheme="minorEastAsia"/>
          <w:b/>
          <w:color w:val="7030A0"/>
          <w:szCs w:val="24"/>
          <w:lang w:val="zh-CN"/>
        </w:rPr>
        <w:t>）关于强制性产品认证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pStyle w:val="13"/>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360" w:lineRule="auto"/>
        <w:ind w:firstLine="480" w:firstLineChars="200"/>
        <w:contextualSpacing/>
        <w:rPr>
          <w:rFonts w:hint="default" w:eastAsia="宋体" w:cs="仿宋_GB2312" w:asciiTheme="minorEastAsia" w:hAnsiTheme="minorEastAsia"/>
          <w:b/>
          <w:szCs w:val="24"/>
          <w:lang w:val="en-US" w:eastAsia="zh-CN"/>
        </w:rPr>
      </w:pPr>
      <w:r>
        <w:rPr>
          <w:rFonts w:hint="eastAsia" w:ascii="宋体" w:hAnsi="宋体" w:eastAsia="宋体" w:cs="宋体"/>
          <w:sz w:val="24"/>
          <w:szCs w:val="24"/>
        </w:rPr>
        <w:t>最低评标价法，评标结果按投标报价由低到高顺序排列。投标报价相同的并列。投标文件满足招标文件全部实质性要求且投标报价最低的投标人为排名第一的中标候选人。</w:t>
      </w:r>
      <w:r>
        <w:rPr>
          <w:rFonts w:hint="eastAsia" w:ascii="宋体" w:hAnsi="宋体" w:cs="宋体"/>
          <w:sz w:val="24"/>
          <w:szCs w:val="24"/>
          <w:lang w:val="en-US" w:eastAsia="zh-CN"/>
        </w:rPr>
        <w:t>(</w:t>
      </w:r>
      <w:r>
        <w:rPr>
          <w:rFonts w:hint="eastAsia" w:ascii="宋体" w:hAnsi="宋体" w:eastAsia="宋体" w:cs="宋体"/>
          <w:sz w:val="24"/>
          <w:szCs w:val="24"/>
        </w:rPr>
        <w:t>因落实政府采购政策进行价格调整的，以调整后的价格计算评标基准价和投标报价</w:t>
      </w:r>
      <w:r>
        <w:rPr>
          <w:rFonts w:hint="eastAsia" w:ascii="宋体" w:hAnsi="宋体" w:cs="宋体"/>
          <w:sz w:val="24"/>
          <w:szCs w:val="24"/>
          <w:lang w:val="en-US" w:eastAsia="zh-CN"/>
        </w:rPr>
        <w:t>)</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bookmarkEnd w:id="1"/>
    <w:bookmarkEnd w:id="2"/>
    <w:bookmarkEnd w:id="3"/>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4.7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4.8所投产品符合国家强制性要求承诺函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37E1C"/>
    <w:multiLevelType w:val="singleLevel"/>
    <w:tmpl w:val="9D637E1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9"/>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70761F6"/>
    <w:rsid w:val="07125630"/>
    <w:rsid w:val="13A72FCE"/>
    <w:rsid w:val="15BD1F89"/>
    <w:rsid w:val="1E63503A"/>
    <w:rsid w:val="23E35D3B"/>
    <w:rsid w:val="2B6A69D4"/>
    <w:rsid w:val="2C426348"/>
    <w:rsid w:val="310D317E"/>
    <w:rsid w:val="38E901D8"/>
    <w:rsid w:val="3982546B"/>
    <w:rsid w:val="3DB46992"/>
    <w:rsid w:val="3EA34CE2"/>
    <w:rsid w:val="40894569"/>
    <w:rsid w:val="41860FAB"/>
    <w:rsid w:val="45E840DA"/>
    <w:rsid w:val="4C47735C"/>
    <w:rsid w:val="54DB7A6D"/>
    <w:rsid w:val="56F75E3F"/>
    <w:rsid w:val="628845A5"/>
    <w:rsid w:val="6DF021C4"/>
    <w:rsid w:val="71DA5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4"/>
    <w:qFormat/>
    <w:uiPriority w:val="0"/>
    <w:rPr>
      <w:rFonts w:ascii="Calibri" w:hAnsi="Calibri" w:eastAsia="宋体" w:cs="Times New Roman"/>
      <w:b/>
      <w:bCs/>
      <w:kern w:val="44"/>
      <w:sz w:val="44"/>
      <w:szCs w:val="44"/>
    </w:rPr>
  </w:style>
  <w:style w:type="character" w:customStyle="1" w:styleId="28">
    <w:name w:val="标题 2 Char"/>
    <w:basedOn w:val="22"/>
    <w:link w:val="5"/>
    <w:qFormat/>
    <w:uiPriority w:val="0"/>
    <w:rPr>
      <w:rFonts w:ascii="Arial" w:hAnsi="Arial" w:eastAsia="黑体" w:cs="Times New Roman"/>
      <w:b/>
      <w:bCs/>
      <w:kern w:val="0"/>
      <w:sz w:val="32"/>
      <w:szCs w:val="32"/>
    </w:rPr>
  </w:style>
  <w:style w:type="character" w:customStyle="1" w:styleId="29">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7"/>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2</TotalTime>
  <ScaleCrop>false</ScaleCrop>
  <LinksUpToDate>false</LinksUpToDate>
  <CharactersWithSpaces>38938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许昌市公共资源交易中心:杨丹丹</cp:lastModifiedBy>
  <cp:lastPrinted>2018-07-31T02:20:00Z</cp:lastPrinted>
  <dcterms:modified xsi:type="dcterms:W3CDTF">2019-04-25T06:34:51Z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