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市环境卫生管理处</w:t>
      </w:r>
      <w:r>
        <w:rPr>
          <w:rFonts w:hint="eastAsia" w:asciiTheme="majorEastAsia" w:hAnsiTheme="majorEastAsia" w:eastAsiaTheme="majorEastAsia" w:cstheme="majorEastAsia"/>
          <w:b/>
          <w:bCs/>
          <w:color w:val="000000"/>
          <w:sz w:val="44"/>
          <w:szCs w:val="44"/>
        </w:rPr>
        <w:t>“</w:t>
      </w:r>
      <w:r>
        <w:rPr>
          <w:rFonts w:hint="eastAsia" w:ascii="宋体" w:hAnsi="宋体" w:cs="仿宋"/>
          <w:b/>
          <w:bCs/>
          <w:sz w:val="44"/>
          <w:szCs w:val="32"/>
          <w:lang w:val="en-US" w:eastAsia="zh-CN"/>
        </w:rPr>
        <w:t>垃圾渗滤液处理在线监控系统</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 ZFCG-T2019</w:t>
      </w:r>
      <w:r>
        <w:rPr>
          <w:rFonts w:hint="eastAsia" w:asciiTheme="majorEastAsia" w:hAnsiTheme="majorEastAsia" w:eastAsiaTheme="majorEastAsia" w:cstheme="majorEastAsia"/>
          <w:b/>
          <w:bCs/>
          <w:sz w:val="36"/>
          <w:szCs w:val="36"/>
          <w:lang w:val="en-US" w:eastAsia="zh-CN"/>
        </w:rPr>
        <w:t>020</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w:t>
      </w:r>
      <w:r>
        <w:rPr>
          <w:rFonts w:hint="eastAsia" w:asciiTheme="majorEastAsia" w:hAnsiTheme="majorEastAsia" w:eastAsiaTheme="majorEastAsia" w:cstheme="majorEastAsia"/>
          <w:b/>
          <w:bCs/>
          <w:sz w:val="36"/>
          <w:szCs w:val="36"/>
          <w:lang w:eastAsia="zh-CN"/>
        </w:rPr>
        <w:t>市环境卫生管理处</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二十二</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18"/>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8"/>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仿宋_GB2312" w:asciiTheme="minorEastAsia" w:hAnsiTheme="minorEastAsia" w:eastAsiaTheme="minorEastAsia"/>
          <w:shd w:val="clear" w:color="auto" w:fill="FFFFFF"/>
        </w:rPr>
        <w:t>（一）</w:t>
      </w:r>
      <w:r>
        <w:rPr>
          <w:rFonts w:hint="eastAsia" w:cs="宋体" w:asciiTheme="minorEastAsia" w:hAnsiTheme="minorEastAsia"/>
          <w:kern w:val="0"/>
          <w:lang w:val="zh-CN"/>
        </w:rPr>
        <w:t>项目名称：</w:t>
      </w:r>
      <w:r>
        <w:rPr>
          <w:rFonts w:hint="eastAsia" w:cs="宋体" w:asciiTheme="minorEastAsia" w:hAnsiTheme="minorEastAsia"/>
          <w:kern w:val="0"/>
          <w:lang w:val="en-US" w:eastAsia="zh-CN"/>
        </w:rPr>
        <w:t>垃圾渗滤液处理在线监控系统</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（二）项目编号：ZFCG-T2019</w:t>
      </w:r>
      <w:r>
        <w:rPr>
          <w:rFonts w:hint="eastAsia" w:cs="宋体" w:asciiTheme="minorEastAsia" w:hAnsiTheme="minorEastAsia"/>
          <w:kern w:val="0"/>
          <w:lang w:val="en-US" w:eastAsia="zh-CN"/>
        </w:rPr>
        <w:t>020</w:t>
      </w:r>
      <w:r>
        <w:rPr>
          <w:rFonts w:hint="eastAsia" w:cs="宋体" w:asciiTheme="minorEastAsia" w:hAnsiTheme="minorEastAsia"/>
          <w:kern w:val="0"/>
          <w:lang w:val="zh-CN"/>
        </w:rPr>
        <w:t xml:space="preserve">号    </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（三）采购方式：竞争性谈判</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（四）采购需求：采购</w:t>
      </w:r>
      <w:r>
        <w:rPr>
          <w:rFonts w:hint="eastAsia" w:cs="宋体" w:asciiTheme="minorEastAsia" w:hAnsiTheme="minorEastAsia"/>
          <w:kern w:val="0"/>
          <w:lang w:val="en-US" w:eastAsia="zh-CN"/>
        </w:rPr>
        <w:t>1套垃圾渗滤液处理在线监控系统</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（五）预算金额（最高限价）：</w:t>
      </w:r>
      <w:r>
        <w:rPr>
          <w:rFonts w:hint="eastAsia" w:cs="宋体" w:asciiTheme="minorEastAsia" w:hAnsiTheme="minorEastAsia"/>
          <w:kern w:val="0"/>
          <w:lang w:val="en-US" w:eastAsia="zh-CN"/>
        </w:rPr>
        <w:t>24</w:t>
      </w:r>
      <w:r>
        <w:rPr>
          <w:rFonts w:hint="eastAsia" w:cs="宋体" w:asciiTheme="minorEastAsia" w:hAnsiTheme="minorEastAsia"/>
          <w:kern w:val="0"/>
          <w:lang w:val="zh-CN"/>
        </w:rPr>
        <w:t>万元</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（六）交付（服务、完工）时间 ：合同</w:t>
      </w:r>
      <w:r>
        <w:rPr>
          <w:rFonts w:hint="eastAsia" w:cs="宋体" w:asciiTheme="minorEastAsia" w:hAnsiTheme="minorEastAsia"/>
          <w:kern w:val="0"/>
          <w:lang w:val="zh-CN" w:eastAsia="zh-CN"/>
        </w:rPr>
        <w:t>生效</w:t>
      </w:r>
      <w:r>
        <w:rPr>
          <w:rFonts w:hint="eastAsia" w:cs="宋体" w:asciiTheme="minorEastAsia" w:hAnsiTheme="minorEastAsia"/>
          <w:kern w:val="0"/>
          <w:lang w:val="zh-CN"/>
        </w:rPr>
        <w:t>后10天内</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（七）交付（服务、完工）地点：许昌市</w:t>
      </w:r>
      <w:r>
        <w:rPr>
          <w:rFonts w:hint="eastAsia" w:cs="宋体" w:asciiTheme="minorEastAsia" w:hAnsiTheme="minorEastAsia"/>
          <w:kern w:val="0"/>
          <w:lang w:val="zh-CN" w:eastAsia="zh-CN"/>
        </w:rPr>
        <w:t>环卫处</w:t>
      </w:r>
      <w:r>
        <w:rPr>
          <w:rFonts w:hint="eastAsia" w:cs="宋体" w:asciiTheme="minorEastAsia" w:hAnsiTheme="minorEastAsia"/>
          <w:kern w:val="0"/>
          <w:lang w:val="en-US" w:eastAsia="zh-CN"/>
        </w:rPr>
        <w:t>生活垃圾填埋场</w:t>
      </w:r>
    </w:p>
    <w:p>
      <w:pPr>
        <w:pStyle w:val="18"/>
        <w:widowControl/>
        <w:shd w:val="clear" w:color="auto" w:fill="FFFFFF"/>
        <w:spacing w:line="360" w:lineRule="auto"/>
        <w:ind w:firstLine="420"/>
        <w:contextualSpacing/>
        <w:jc w:val="left"/>
        <w:rPr>
          <w:rFonts w:hint="eastAsia" w:cs="宋体" w:asciiTheme="minorEastAsia" w:hAnsiTheme="minorEastAsia"/>
          <w:kern w:val="0"/>
          <w:lang w:val="zh-CN"/>
        </w:rPr>
      </w:pPr>
      <w:r>
        <w:rPr>
          <w:rFonts w:hint="eastAsia" w:cs="宋体" w:asciiTheme="minorEastAsia" w:hAnsiTheme="minorEastAsia"/>
          <w:kern w:val="0"/>
          <w:lang w:val="zh-CN"/>
        </w:rPr>
        <w:t>（八）进口产品：不允许。</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FF0000"/>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rPr>
        <w:t>）</w:t>
      </w:r>
      <w:r>
        <w:rPr>
          <w:rFonts w:hint="eastAsia" w:cs="仿宋_GB2312" w:asciiTheme="minorEastAsia" w:hAnsiTheme="minorEastAsia" w:eastAsiaTheme="minorEastAsia"/>
          <w:color w:val="FF0000"/>
          <w:shd w:val="clear" w:color="auto" w:fill="FFFFFF"/>
        </w:rPr>
        <w:t>未被列入“信用中国”网站</w:t>
      </w:r>
      <w:r>
        <w:rPr>
          <w:rFonts w:cs="仿宋_GB2312" w:asciiTheme="minorEastAsia" w:hAnsiTheme="minorEastAsia" w:eastAsiaTheme="minorEastAsia"/>
          <w:color w:val="FF0000"/>
          <w:shd w:val="clear" w:color="auto" w:fill="FFFFFF"/>
        </w:rPr>
        <w:t>(www.creditchina.gov.cn)</w:t>
      </w:r>
      <w:r>
        <w:rPr>
          <w:rFonts w:hint="eastAsia" w:cs="仿宋_GB2312" w:asciiTheme="minorEastAsia" w:hAnsiTheme="minorEastAsia" w:eastAsiaTheme="minorEastAsia"/>
          <w:color w:val="FF0000"/>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color w:val="FF0000"/>
          <w:shd w:val="clear" w:color="auto" w:fill="FFFFFF"/>
        </w:rPr>
        <w:t xml:space="preserve"> (www.ccgp.gov.cn)</w:t>
      </w:r>
      <w:r>
        <w:rPr>
          <w:rFonts w:hint="eastAsia" w:cs="仿宋_GB2312" w:asciiTheme="minorEastAsia" w:hAnsiTheme="minorEastAsia" w:eastAsiaTheme="minorEastAsia"/>
          <w:color w:val="FF0000"/>
          <w:shd w:val="clear" w:color="auto" w:fill="FFFFFF"/>
        </w:rPr>
        <w:t>政府采购严重违法失信行为记录名单的投标人；“国家企业信用公示系统”网站（</w:t>
      </w:r>
      <w:r>
        <w:rPr>
          <w:rFonts w:cs="仿宋_GB2312" w:asciiTheme="minorEastAsia" w:hAnsiTheme="minorEastAsia" w:eastAsiaTheme="minorEastAsia"/>
          <w:color w:val="FF0000"/>
          <w:shd w:val="clear" w:color="auto" w:fill="FFFFFF"/>
        </w:rPr>
        <w:t>www.gsxt.gov.cn</w:t>
      </w:r>
      <w:r>
        <w:rPr>
          <w:rFonts w:hint="eastAsia" w:cs="仿宋_GB2312" w:asciiTheme="minorEastAsia" w:hAnsiTheme="minorEastAsia" w:eastAsiaTheme="minorEastAsia"/>
          <w:color w:val="FF0000"/>
          <w:shd w:val="clear" w:color="auto" w:fill="FFFFFF"/>
        </w:rPr>
        <w:t>）严重违法失信企业名单（黑名单）的投标人；</w:t>
      </w:r>
    </w:p>
    <w:p>
      <w:pPr>
        <w:pStyle w:val="18"/>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（三）本次招标不接受联合体投标；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四、采购文件的获取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（一）网上下载采购文件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（一）投标截止及开标时间：2019年</w:t>
      </w:r>
      <w:r>
        <w:rPr>
          <w:rFonts w:hint="eastAsia" w:cs="仿宋_GB2312" w:asciiTheme="minorEastAsia" w:hAnsiTheme="minorEastAsia" w:eastAsiaTheme="minorEastAsia"/>
          <w:lang w:val="en-US" w:eastAsia="zh-CN"/>
        </w:rPr>
        <w:t>4</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28</w:t>
      </w:r>
      <w:r>
        <w:rPr>
          <w:rFonts w:hint="eastAsia" w:cs="仿宋_GB2312" w:asciiTheme="minorEastAsia" w:hAnsiTheme="minorEastAsia" w:eastAsiaTheme="minorEastAsia"/>
        </w:rPr>
        <w:t>日</w:t>
      </w:r>
      <w:r>
        <w:rPr>
          <w:rFonts w:hint="eastAsia" w:cs="仿宋_GB2312" w:asciiTheme="minorEastAsia" w:hAnsiTheme="minorEastAsia" w:eastAsiaTheme="minorEastAsia"/>
          <w:lang w:val="en-US" w:eastAsia="zh-CN"/>
        </w:rPr>
        <w:t>10</w:t>
      </w:r>
      <w:r>
        <w:rPr>
          <w:rFonts w:hint="eastAsia" w:cs="仿宋_GB2312" w:asciiTheme="minorEastAsia" w:hAnsiTheme="minorEastAsia" w:eastAsiaTheme="minorEastAsia"/>
        </w:rPr>
        <w:t>时</w:t>
      </w:r>
      <w:r>
        <w:rPr>
          <w:rFonts w:hint="eastAsia" w:cs="仿宋_GB2312" w:asciiTheme="minorEastAsia" w:hAnsiTheme="minorEastAsia" w:eastAsiaTheme="minorEastAsia"/>
          <w:lang w:val="en-US" w:eastAsia="zh-CN"/>
        </w:rPr>
        <w:t>30</w:t>
      </w:r>
      <w:r>
        <w:rPr>
          <w:rFonts w:hint="eastAsia" w:cs="仿宋_GB2312" w:asciiTheme="minorEastAsia" w:hAnsiTheme="minorEastAsia" w:eastAsiaTheme="minorEastAsia"/>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lang w:eastAsia="zh-CN"/>
        </w:rPr>
        <w:t>五</w:t>
      </w:r>
      <w:r>
        <w:rPr>
          <w:rFonts w:hint="eastAsia" w:cs="仿宋_GB2312" w:asciiTheme="minorEastAsia" w:hAnsiTheme="minorEastAsia" w:eastAsiaTheme="minorEastAsia"/>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六、本次采购公告同时在《中国政府采购网》、《河南省政府采购网》、《许昌市政府采购网》、《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自本公告发布之日起3个工作日。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8"/>
        <w:widowControl/>
        <w:shd w:val="clear" w:color="auto" w:fill="FFFFFF"/>
        <w:spacing w:line="360" w:lineRule="auto"/>
        <w:ind w:firstLine="420"/>
        <w:contextualSpacing/>
        <w:jc w:val="left"/>
        <w:rPr>
          <w:rFonts w:hint="eastAsia" w:asciiTheme="minorEastAsia" w:hAnsiTheme="minorEastAsia" w:eastAsiaTheme="minorEastAsia"/>
          <w:lang w:eastAsia="zh-CN"/>
        </w:rPr>
      </w:pPr>
      <w:r>
        <w:rPr>
          <w:rFonts w:hint="eastAsia" w:cs="仿宋_GB2312" w:asciiTheme="minorEastAsia" w:hAnsiTheme="minorEastAsia" w:eastAsiaTheme="minorEastAsia"/>
        </w:rPr>
        <w:t>采购</w:t>
      </w:r>
      <w:r>
        <w:rPr>
          <w:rFonts w:hint="eastAsia" w:asciiTheme="minorEastAsia" w:hAnsiTheme="minorEastAsia" w:eastAsiaTheme="minorEastAsia"/>
        </w:rPr>
        <w:t>人：</w:t>
      </w:r>
      <w:r>
        <w:rPr>
          <w:rFonts w:hint="eastAsia" w:asciiTheme="minorEastAsia" w:hAnsiTheme="minorEastAsia" w:eastAsiaTheme="minorEastAsia"/>
          <w:lang w:eastAsia="zh-CN"/>
        </w:rPr>
        <w:t>许昌市环境卫生管理处</w:t>
      </w:r>
    </w:p>
    <w:p>
      <w:pPr>
        <w:pStyle w:val="18"/>
        <w:widowControl/>
        <w:shd w:val="clear" w:color="auto" w:fill="FFFFFF"/>
        <w:spacing w:line="360" w:lineRule="auto"/>
        <w:ind w:firstLine="420"/>
        <w:contextualSpacing/>
        <w:jc w:val="left"/>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lang w:val="en-US" w:eastAsia="zh-CN"/>
        </w:rPr>
        <w:t>魏都区车站路8号</w:t>
      </w:r>
    </w:p>
    <w:p>
      <w:pPr>
        <w:pStyle w:val="18"/>
        <w:widowControl/>
        <w:shd w:val="clear" w:color="auto" w:fill="FFFFFF"/>
        <w:spacing w:line="360" w:lineRule="auto"/>
        <w:ind w:firstLine="420"/>
        <w:contextualSpacing/>
        <w:jc w:val="left"/>
        <w:rPr>
          <w:rFonts w:hint="default" w:asciiTheme="minorEastAsia" w:hAnsiTheme="minorEastAsia" w:eastAsiaTheme="minorEastAsia"/>
          <w:lang w:val="en-US" w:eastAsia="zh-CN"/>
        </w:rPr>
      </w:pPr>
      <w:r>
        <w:rPr>
          <w:rFonts w:hint="eastAsia" w:asciiTheme="minorEastAsia" w:hAnsiTheme="minorEastAsia" w:eastAsiaTheme="minorEastAsia"/>
        </w:rPr>
        <w:t>联系人：</w:t>
      </w:r>
      <w:r>
        <w:rPr>
          <w:rFonts w:hint="eastAsia" w:asciiTheme="minorEastAsia" w:hAnsiTheme="minorEastAsia" w:eastAsiaTheme="minorEastAsia"/>
          <w:lang w:val="en-US" w:eastAsia="zh-CN"/>
        </w:rPr>
        <w:t>丁艳春</w:t>
      </w:r>
      <w:r>
        <w:rPr>
          <w:rFonts w:hint="eastAsia" w:asciiTheme="minorEastAsia" w:hAnsiTheme="minorEastAsia" w:eastAsiaTheme="minorEastAsia"/>
        </w:rPr>
        <w:t xml:space="preserve">                  联系电话：</w:t>
      </w:r>
      <w:r>
        <w:rPr>
          <w:rFonts w:hint="eastAsia" w:asciiTheme="minorEastAsia" w:hAnsiTheme="minorEastAsia" w:eastAsiaTheme="minorEastAsia"/>
          <w:lang w:val="en-US" w:eastAsia="zh-CN"/>
        </w:rPr>
        <w:t>0374-2788661</w:t>
      </w:r>
    </w:p>
    <w:p>
      <w:pPr>
        <w:pStyle w:val="18"/>
        <w:widowControl/>
        <w:shd w:val="clear" w:color="auto" w:fill="FFFFFF"/>
        <w:spacing w:line="360" w:lineRule="auto"/>
        <w:ind w:firstLine="420"/>
        <w:contextualSpacing/>
        <w:jc w:val="left"/>
        <w:rPr>
          <w:rFonts w:asciiTheme="minorEastAsia" w:hAnsiTheme="minorEastAsia" w:eastAsiaTheme="minorEastAsia"/>
        </w:rPr>
      </w:pPr>
      <w:r>
        <w:rPr>
          <w:rFonts w:hint="eastAsia" w:asciiTheme="minorEastAsia" w:hAnsiTheme="minorEastAsia" w:eastAsiaTheme="minorEastAsia"/>
        </w:rPr>
        <w:t>代理机构：许昌市政府采购中心</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址：许昌市龙兴路与竹林路交汇处公共资源大厦</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杨</w:t>
      </w:r>
      <w:r>
        <w:rPr>
          <w:rFonts w:hint="eastAsia" w:cs="仿宋_GB2312" w:asciiTheme="minorEastAsia" w:hAnsiTheme="minorEastAsia" w:eastAsiaTheme="minorEastAsia"/>
        </w:rPr>
        <w:t>女士              联系电话：0374-296</w:t>
      </w:r>
      <w:r>
        <w:rPr>
          <w:rFonts w:hint="eastAsia" w:cs="仿宋_GB2312" w:asciiTheme="minorEastAsia" w:hAnsiTheme="minorEastAsia" w:eastAsiaTheme="minorEastAsia"/>
          <w:lang w:val="en-US" w:eastAsia="zh-CN"/>
        </w:rPr>
        <w:t>2805</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jc w:val="righ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许昌市环境卫生管理处</w:t>
      </w:r>
    </w:p>
    <w:p>
      <w:pPr>
        <w:autoSpaceDE w:val="0"/>
        <w:autoSpaceDN w:val="0"/>
        <w:adjustRightInd w:val="0"/>
        <w:spacing w:line="700" w:lineRule="exact"/>
        <w:ind w:firstLine="560"/>
        <w:jc w:val="righ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 xml:space="preserve"> 二〇一九年八月</w:t>
      </w:r>
      <w:r>
        <w:rPr>
          <w:rFonts w:hint="eastAsia" w:cs="仿宋_GB2312" w:asciiTheme="minorEastAsia" w:hAnsiTheme="minorEastAsia"/>
          <w:kern w:val="2"/>
          <w:sz w:val="24"/>
          <w:szCs w:val="24"/>
          <w:lang w:val="en-US" w:eastAsia="zh-CN" w:bidi="ar-SA"/>
        </w:rPr>
        <w:t>二十二</w:t>
      </w:r>
      <w:r>
        <w:rPr>
          <w:rFonts w:hint="eastAsia" w:cs="仿宋_GB2312" w:asciiTheme="minorEastAsia" w:hAnsiTheme="minorEastAsia" w:eastAsiaTheme="minorEastAsia"/>
          <w:kern w:val="2"/>
          <w:sz w:val="24"/>
          <w:szCs w:val="24"/>
          <w:lang w:val="en-US" w:eastAsia="zh-CN" w:bidi="ar-SA"/>
        </w:rPr>
        <w:t>日</w:t>
      </w:r>
    </w:p>
    <w:p>
      <w:pPr>
        <w:spacing w:line="360" w:lineRule="auto"/>
        <w:rPr>
          <w:rFonts w:hAnsi="宋体"/>
          <w:b/>
          <w:sz w:val="32"/>
          <w:szCs w:val="32"/>
        </w:rPr>
      </w:pPr>
    </w:p>
    <w:p>
      <w:pPr>
        <w:spacing w:line="360" w:lineRule="auto"/>
        <w:rPr>
          <w:rFonts w:hAnsi="宋体"/>
          <w:b/>
          <w:sz w:val="32"/>
          <w:szCs w:val="32"/>
        </w:rPr>
      </w:pPr>
    </w:p>
    <w:p>
      <w:pPr>
        <w:widowControl/>
        <w:jc w:val="left"/>
        <w:rPr>
          <w:rFonts w:hAnsi="宋体"/>
          <w:b/>
          <w:sz w:val="32"/>
          <w:szCs w:val="32"/>
        </w:rPr>
      </w:pPr>
      <w:r>
        <w:rPr>
          <w:rFonts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pStyle w:val="19"/>
        <w:ind w:firstLine="321"/>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fldChar w:fldCharType="begin"/>
      </w:r>
      <w:r>
        <w:instrText xml:space="preserve"> HYPERLINK "http://221.14.6.70:8088/ggzy/"</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采用全流程电子化交易评标时，谈判小组以电子投标文件为依据评标。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全流程电子化交易如因系统异常情况无法完成，将以人工方式进行。谈判小组以纸质投标文件为依据评标。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r>
        <w:rPr>
          <w:rFonts w:hint="eastAsia" w:hAnsi="宋体"/>
          <w:sz w:val="24"/>
          <w:szCs w:val="24"/>
          <w:lang w:val="en-US" w:eastAsia="zh-CN"/>
        </w:rPr>
        <w:t>对垃圾渗滤液处理出水水质状况进行在线自动监测。</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0"/>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866"/>
        <w:gridCol w:w="5955"/>
        <w:gridCol w:w="72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8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59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tabs>
                <w:tab w:val="left" w:pos="7095"/>
              </w:tabs>
              <w:spacing w:line="360" w:lineRule="auto"/>
              <w:contextualSpacing/>
              <w:rPr>
                <w:rFonts w:hint="eastAsia" w:hAnsi="宋体"/>
                <w:sz w:val="24"/>
                <w:szCs w:val="24"/>
              </w:rPr>
            </w:pPr>
            <w:r>
              <w:rPr>
                <w:rFonts w:hint="eastAsia" w:hAnsi="宋体"/>
                <w:sz w:val="24"/>
                <w:szCs w:val="24"/>
              </w:rPr>
              <w:t>1</w:t>
            </w:r>
          </w:p>
        </w:tc>
        <w:tc>
          <w:tcPr>
            <w:tcW w:w="8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tabs>
                <w:tab w:val="left" w:pos="7095"/>
              </w:tabs>
              <w:spacing w:line="360" w:lineRule="auto"/>
              <w:contextualSpacing/>
              <w:rPr>
                <w:rFonts w:hint="eastAsia" w:hAnsi="宋体"/>
                <w:sz w:val="24"/>
                <w:szCs w:val="24"/>
              </w:rPr>
            </w:pPr>
            <w:r>
              <w:rPr>
                <w:rFonts w:hint="eastAsia" w:hAnsi="宋体"/>
                <w:sz w:val="24"/>
                <w:szCs w:val="24"/>
                <w:lang w:val="en-US" w:eastAsia="zh-CN"/>
              </w:rPr>
              <w:t>在线监控设施</w:t>
            </w:r>
          </w:p>
        </w:tc>
        <w:tc>
          <w:tcPr>
            <w:tcW w:w="59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一、COD cr水质在线自动监测仪</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1、测量范围:10~2000mg/L  COD</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2、准 确 度:示值误差≤±10%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3、重复性误差:≤±10%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4、测量周期:最小测量周期为40min，据实际水样可在5~120min任意修改消解时间。</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5、采样周期:时间间隔（20~9999min任意可调）和整点测量模式</w:t>
            </w:r>
            <w:r>
              <w:rPr>
                <w:rFonts w:hint="eastAsia" w:hAnsi="宋体"/>
                <w:sz w:val="24"/>
                <w:szCs w:val="24"/>
                <w:lang w:val="en-US" w:eastAsia="zh-CN"/>
              </w:rPr>
              <w:tab/>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6、模拟输出:2路4~20mA</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7、信号接口:RS232或RS485</w:t>
            </w:r>
            <w:r>
              <w:rPr>
                <w:rFonts w:hint="eastAsia" w:hAnsi="宋体"/>
                <w:sz w:val="24"/>
                <w:szCs w:val="24"/>
                <w:lang w:val="en-US" w:eastAsia="zh-CN"/>
              </w:rPr>
              <w:tab/>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8、开 关 量:6组继电器控制，容量220VAC/2A</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9、实际水样对比:误差≤±10%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二、氨氮水质在线自动监测仪</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1、测量范围:0.1~300mg/L  氨氮</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2、准 确 度:示值误差≤±10%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3、重复性误差:≤±10%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4、采样周期:时间间隔（20~9999min任意可调）和整点测量模式</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5、模拟输出:2路4~20mA</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6、信号接口:RS232或RS485</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7、开 关 量:6组继电器控制，容量220VAC/2A</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8、实际水样对比:误差≤±10%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三、在线水质采样仪</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1、大屏幕中文显示，操作方便；</w:t>
            </w:r>
            <w:r>
              <w:rPr>
                <w:rFonts w:hint="eastAsia" w:hAnsi="宋体"/>
                <w:sz w:val="24"/>
                <w:szCs w:val="24"/>
                <w:lang w:val="en-US" w:eastAsia="zh-CN"/>
              </w:rPr>
              <w:br w:type="textWrapping"/>
            </w:r>
            <w:r>
              <w:rPr>
                <w:rFonts w:hint="eastAsia" w:hAnsi="宋体"/>
                <w:sz w:val="24"/>
                <w:szCs w:val="24"/>
                <w:lang w:val="en-US" w:eastAsia="zh-CN"/>
              </w:rPr>
              <w:t>2、混合式步进电机，细分驱动器，运行平稳，噪音极小；</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3、多种对外接口方式，包括RS232、4-20mA、开关量信号等，方便与其他在线设备联机；</w:t>
            </w:r>
            <w:r>
              <w:rPr>
                <w:rFonts w:hint="eastAsia" w:hAnsi="宋体"/>
                <w:sz w:val="24"/>
                <w:szCs w:val="24"/>
                <w:lang w:val="en-US" w:eastAsia="zh-CN"/>
              </w:rPr>
              <w:br w:type="textWrapping"/>
            </w:r>
            <w:r>
              <w:rPr>
                <w:rFonts w:hint="eastAsia" w:hAnsi="宋体"/>
                <w:sz w:val="24"/>
                <w:szCs w:val="24"/>
                <w:lang w:val="en-US" w:eastAsia="zh-CN"/>
              </w:rPr>
              <w:t>4、有自动排空功能，满足各类水质条件，具有管路预淋洗功能；</w:t>
            </w:r>
            <w:r>
              <w:rPr>
                <w:rFonts w:hint="eastAsia" w:hAnsi="宋体"/>
                <w:sz w:val="24"/>
                <w:szCs w:val="24"/>
                <w:lang w:val="en-US" w:eastAsia="zh-CN"/>
              </w:rPr>
              <w:br w:type="textWrapping"/>
            </w:r>
            <w:r>
              <w:rPr>
                <w:rFonts w:hint="eastAsia" w:hAnsi="宋体"/>
                <w:sz w:val="24"/>
                <w:szCs w:val="24"/>
                <w:lang w:val="en-US" w:eastAsia="zh-CN"/>
              </w:rPr>
              <w:t>5、可控制分瓶装置自动分装样品；</w:t>
            </w:r>
            <w:r>
              <w:rPr>
                <w:rFonts w:hint="eastAsia" w:hAnsi="宋体"/>
                <w:sz w:val="24"/>
                <w:szCs w:val="24"/>
                <w:lang w:val="en-US" w:eastAsia="zh-CN"/>
              </w:rPr>
              <w:br w:type="textWrapping"/>
            </w:r>
            <w:r>
              <w:rPr>
                <w:rFonts w:hint="eastAsia" w:hAnsi="宋体"/>
                <w:sz w:val="24"/>
                <w:szCs w:val="24"/>
                <w:lang w:val="en-US" w:eastAsia="zh-CN"/>
              </w:rPr>
              <w:t>6、要具有定时定量采样、定流定量采样、流量比例采样、液位比例采样、即时定量采样等多种采样功能；</w:t>
            </w:r>
            <w:r>
              <w:rPr>
                <w:rFonts w:hint="eastAsia" w:hAnsi="宋体"/>
                <w:sz w:val="24"/>
                <w:szCs w:val="24"/>
                <w:lang w:val="en-US" w:eastAsia="zh-CN"/>
              </w:rPr>
              <w:br w:type="textWrapping"/>
            </w:r>
            <w:r>
              <w:rPr>
                <w:rFonts w:hint="eastAsia" w:hAnsi="宋体"/>
                <w:sz w:val="24"/>
                <w:szCs w:val="24"/>
                <w:lang w:val="en-US" w:eastAsia="zh-CN"/>
              </w:rPr>
              <w:t>7、多种采样程序启动方式：外部信号触发启动、超标留样启动、预设时间启动、即时启动、液位超标触发启动等等；</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8、采样程序：可以预先编制多种采样程序，一键式启动；</w:t>
            </w:r>
            <w:r>
              <w:rPr>
                <w:rFonts w:hint="eastAsia" w:hAnsi="宋体"/>
                <w:sz w:val="24"/>
                <w:szCs w:val="24"/>
                <w:lang w:val="en-US" w:eastAsia="zh-CN"/>
              </w:rPr>
              <w:br w:type="textWrapping"/>
            </w:r>
            <w:r>
              <w:rPr>
                <w:rFonts w:hint="eastAsia" w:hAnsi="宋体"/>
                <w:sz w:val="24"/>
                <w:szCs w:val="24"/>
                <w:lang w:val="en-US" w:eastAsia="zh-CN"/>
              </w:rPr>
              <w:t>9、采样记录：可保存至少10000条采样记录；信息记录：可保存至少2000条信息记录，包括系统断电上电、参数修改、设备故障等信息；</w:t>
            </w:r>
            <w:r>
              <w:rPr>
                <w:rFonts w:hint="eastAsia" w:hAnsi="宋体"/>
                <w:sz w:val="24"/>
                <w:szCs w:val="24"/>
                <w:lang w:val="en-US" w:eastAsia="zh-CN"/>
              </w:rPr>
              <w:br w:type="textWrapping"/>
            </w:r>
            <w:r>
              <w:rPr>
                <w:rFonts w:hint="eastAsia" w:hAnsi="宋体"/>
                <w:sz w:val="24"/>
                <w:szCs w:val="24"/>
                <w:lang w:val="en-US" w:eastAsia="zh-CN"/>
              </w:rPr>
              <w:t>10、流量查询：2年的每小时、每日、每月、每年流量记录，满足用户需求；</w:t>
            </w:r>
            <w:r>
              <w:rPr>
                <w:rFonts w:hint="eastAsia" w:hAnsi="宋体"/>
                <w:sz w:val="24"/>
                <w:szCs w:val="24"/>
                <w:lang w:val="en-US" w:eastAsia="zh-CN"/>
              </w:rPr>
              <w:br w:type="textWrapping"/>
            </w:r>
            <w:r>
              <w:rPr>
                <w:rFonts w:hint="eastAsia" w:hAnsi="宋体"/>
                <w:sz w:val="24"/>
                <w:szCs w:val="24"/>
                <w:lang w:val="en-US" w:eastAsia="zh-CN"/>
              </w:rPr>
              <w:t>11、采样程序启动方式：外部信号触发启动、超标留样启动、预设时间启动、即时启动、液位超标触发启动等；</w:t>
            </w:r>
            <w:r>
              <w:rPr>
                <w:rFonts w:hint="eastAsia" w:hAnsi="宋体"/>
                <w:sz w:val="24"/>
                <w:szCs w:val="24"/>
                <w:lang w:val="en-US" w:eastAsia="zh-CN"/>
              </w:rPr>
              <w:br w:type="textWrapping"/>
            </w:r>
            <w:r>
              <w:rPr>
                <w:rFonts w:hint="eastAsia" w:hAnsi="宋体"/>
                <w:sz w:val="24"/>
                <w:szCs w:val="24"/>
                <w:lang w:val="en-US" w:eastAsia="zh-CN"/>
              </w:rPr>
              <w:t>12、通讯信号接口：两路RS232信号、RS485信号、4-20mA信号、开关量信号；</w:t>
            </w:r>
            <w:r>
              <w:rPr>
                <w:rFonts w:hint="eastAsia" w:hAnsi="宋体"/>
                <w:sz w:val="24"/>
                <w:szCs w:val="24"/>
                <w:lang w:val="en-US" w:eastAsia="zh-CN"/>
              </w:rPr>
              <w:br w:type="textWrapping"/>
            </w:r>
            <w:r>
              <w:rPr>
                <w:rFonts w:hint="eastAsia" w:hAnsi="宋体"/>
                <w:sz w:val="24"/>
                <w:szCs w:val="24"/>
                <w:lang w:val="en-US" w:eastAsia="zh-CN"/>
              </w:rPr>
              <w:t>13、采样速度：100ml-1200ml/分钟，可调；</w:t>
            </w:r>
            <w:r>
              <w:rPr>
                <w:rFonts w:hint="eastAsia" w:hAnsi="宋体"/>
                <w:sz w:val="24"/>
                <w:szCs w:val="24"/>
                <w:lang w:val="en-US" w:eastAsia="zh-CN"/>
              </w:rPr>
              <w:br w:type="textWrapping"/>
            </w:r>
            <w:r>
              <w:rPr>
                <w:rFonts w:hint="eastAsia" w:hAnsi="宋体"/>
                <w:sz w:val="24"/>
                <w:szCs w:val="24"/>
                <w:lang w:val="en-US" w:eastAsia="zh-CN"/>
              </w:rPr>
              <w:t>14、单次采样量：1ml-9999ml可调；</w:t>
            </w:r>
            <w:r>
              <w:rPr>
                <w:rFonts w:hint="eastAsia" w:hAnsi="宋体"/>
                <w:sz w:val="24"/>
                <w:szCs w:val="24"/>
                <w:lang w:val="en-US" w:eastAsia="zh-CN"/>
              </w:rPr>
              <w:br w:type="textWrapping"/>
            </w:r>
            <w:r>
              <w:rPr>
                <w:rFonts w:hint="eastAsia" w:hAnsi="宋体"/>
                <w:sz w:val="24"/>
                <w:szCs w:val="24"/>
                <w:lang w:val="en-US" w:eastAsia="zh-CN"/>
              </w:rPr>
              <w:t>15、单次采样间隔：1分钟-9999分钟可调；</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四、数据采集仪</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 6 路带隔离的RS-232接口；</w:t>
            </w:r>
            <w:r>
              <w:rPr>
                <w:rFonts w:hint="eastAsia" w:hAnsi="宋体"/>
                <w:sz w:val="24"/>
                <w:szCs w:val="24"/>
                <w:lang w:val="en-US" w:eastAsia="zh-CN"/>
              </w:rPr>
              <w:br w:type="textWrapping"/>
            </w:r>
            <w:r>
              <w:rPr>
                <w:rFonts w:hint="eastAsia" w:hAnsi="宋体"/>
                <w:sz w:val="24"/>
                <w:szCs w:val="24"/>
                <w:lang w:val="en-US" w:eastAsia="zh-CN"/>
              </w:rPr>
              <w:t>2、1 路带隔离的RS-485接口；</w:t>
            </w:r>
            <w:r>
              <w:rPr>
                <w:rFonts w:hint="eastAsia" w:hAnsi="宋体"/>
                <w:sz w:val="24"/>
                <w:szCs w:val="24"/>
                <w:lang w:val="en-US" w:eastAsia="zh-CN"/>
              </w:rPr>
              <w:br w:type="textWrapping"/>
            </w:r>
            <w:r>
              <w:rPr>
                <w:rFonts w:hint="eastAsia" w:hAnsi="宋体"/>
                <w:sz w:val="24"/>
                <w:szCs w:val="24"/>
                <w:lang w:val="en-US" w:eastAsia="zh-CN"/>
              </w:rPr>
              <w:t>3、 8 路模拟量，16位分辨率，4-20mA，0-5V电压信号，可配置为输入4路4-20mA差分电流信号，或4路0-5V差分电压信号；</w:t>
            </w:r>
            <w:r>
              <w:rPr>
                <w:rFonts w:hint="eastAsia" w:hAnsi="宋体"/>
                <w:sz w:val="24"/>
                <w:szCs w:val="24"/>
                <w:lang w:val="en-US" w:eastAsia="zh-CN"/>
              </w:rPr>
              <w:br w:type="textWrapping"/>
            </w:r>
            <w:r>
              <w:rPr>
                <w:rFonts w:hint="eastAsia" w:hAnsi="宋体"/>
                <w:sz w:val="24"/>
                <w:szCs w:val="24"/>
                <w:lang w:val="en-US" w:eastAsia="zh-CN"/>
              </w:rPr>
              <w:t>4、8 路带隔离的开关量，0-5VDC，最高30VDC；</w:t>
            </w:r>
            <w:r>
              <w:rPr>
                <w:rFonts w:hint="eastAsia" w:hAnsi="宋体"/>
                <w:sz w:val="24"/>
                <w:szCs w:val="24"/>
                <w:lang w:val="en-US" w:eastAsia="zh-CN"/>
              </w:rPr>
              <w:br w:type="textWrapping"/>
            </w:r>
            <w:r>
              <w:rPr>
                <w:rFonts w:hint="eastAsia" w:hAnsi="宋体"/>
                <w:sz w:val="24"/>
                <w:szCs w:val="24"/>
                <w:lang w:val="en-US" w:eastAsia="zh-CN"/>
              </w:rPr>
              <w:t>5、 2 路继电器，负载24VDC/1A；</w:t>
            </w:r>
            <w:r>
              <w:rPr>
                <w:rFonts w:hint="eastAsia" w:hAnsi="宋体"/>
                <w:sz w:val="24"/>
                <w:szCs w:val="24"/>
                <w:lang w:val="en-US" w:eastAsia="zh-CN"/>
              </w:rPr>
              <w:br w:type="textWrapping"/>
            </w:r>
            <w:r>
              <w:rPr>
                <w:rFonts w:hint="eastAsia" w:hAnsi="宋体"/>
                <w:sz w:val="24"/>
                <w:szCs w:val="24"/>
                <w:lang w:val="en-US" w:eastAsia="zh-CN"/>
              </w:rPr>
              <w:t>6、320 X 240点阵的LCD，配16个触摸按键的薄膜键盘；</w:t>
            </w:r>
            <w:r>
              <w:rPr>
                <w:rFonts w:hint="eastAsia" w:hAnsi="宋体"/>
                <w:sz w:val="24"/>
                <w:szCs w:val="24"/>
                <w:lang w:val="en-US" w:eastAsia="zh-CN"/>
              </w:rPr>
              <w:br w:type="textWrapping"/>
            </w:r>
            <w:r>
              <w:rPr>
                <w:rFonts w:hint="eastAsia" w:hAnsi="宋体"/>
                <w:sz w:val="24"/>
                <w:szCs w:val="24"/>
                <w:lang w:val="en-US" w:eastAsia="zh-CN"/>
              </w:rPr>
              <w:t xml:space="preserve">7、内置存储器可以保存一年的历史数据，掉电不丢失；  </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8、内置可充电锂电池，保证断电情况下最少正常运行6小时；</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五、光纤及联网传输</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1、≥6000兆专用光纤</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六、流量计</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1、规格型号：电磁流量计；</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2、公称口径：≥DN50;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3、安装方式：法兰式连接；</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4、结构形式：分体式;</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5、电极材质：≥316L，≥3个电极；</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6、内衬防腐：氯丁橡胶（CR）；</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7、额定压力：≥1.6Mpa；</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8、供电电源：220VCA;</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9、输出方式：4-20MA+RS485,通讯可选脉冲输出或脉冲当量输出；</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10、精度等级：≥0.5级</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七、工控机</w:t>
            </w:r>
          </w:p>
          <w:p>
            <w:pPr>
              <w:tabs>
                <w:tab w:val="left" w:pos="7095"/>
              </w:tabs>
              <w:spacing w:line="360" w:lineRule="auto"/>
              <w:contextualSpacing/>
              <w:rPr>
                <w:rFonts w:hint="default" w:hAnsi="宋体"/>
                <w:sz w:val="24"/>
                <w:szCs w:val="24"/>
                <w:lang w:val="en-US" w:eastAsia="zh-CN"/>
              </w:rPr>
            </w:pPr>
            <w:r>
              <w:rPr>
                <w:rFonts w:hint="eastAsia" w:hAnsi="宋体"/>
                <w:sz w:val="24"/>
                <w:szCs w:val="24"/>
                <w:lang w:val="en-US" w:eastAsia="zh-CN"/>
              </w:rPr>
              <w:t>1、型号：chengming3980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2、内存≥4GB;</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3、功率≥290W；</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4、重量≤6.5Kg；</w:t>
            </w:r>
          </w:p>
          <w:p>
            <w:pPr>
              <w:tabs>
                <w:tab w:val="left" w:pos="7095"/>
              </w:tabs>
              <w:spacing w:line="360" w:lineRule="auto"/>
              <w:contextualSpacing/>
              <w:rPr>
                <w:rFonts w:hint="default" w:hAnsi="宋体"/>
                <w:sz w:val="24"/>
                <w:szCs w:val="24"/>
                <w:lang w:val="en-US" w:eastAsia="zh-CN"/>
              </w:rPr>
            </w:pPr>
            <w:r>
              <w:rPr>
                <w:rFonts w:hint="eastAsia" w:hAnsi="宋体"/>
                <w:sz w:val="24"/>
                <w:szCs w:val="24"/>
                <w:lang w:val="en-US" w:eastAsia="zh-CN"/>
              </w:rPr>
              <w:t>5、输入电压100-240V；</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6、转速≥7200转/分钟；</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7、容量≥1TB；</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8、有线鼠标有线键盘；inte平台；小机箱；操作系统Win10H;</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9、USB接口≥8个；集成显卡；无光驱</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八、显示器</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1、板面类型TN；≥19.5英寸；</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2、最佳分辨率≥1600*900；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3、色数≥16.7M；</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4、响应时间≥5ms；亮度≥200cd/m2;对比度≥600:1；</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5、可视角65度/90度；屏幕比例16:9；LED背光；</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6、刷新率≥60Hz；电源100-240va；</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7、尺寸≥368.9*471.5*167mm；挂壁规格≥100*100mm</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九、空调一台</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1、1.5匹变频挂机；</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2、冷暖双温，支持电辅加热；</w:t>
            </w:r>
          </w:p>
          <w:p>
            <w:pPr>
              <w:tabs>
                <w:tab w:val="left" w:pos="7095"/>
              </w:tabs>
              <w:spacing w:line="360" w:lineRule="auto"/>
              <w:contextualSpacing/>
              <w:rPr>
                <w:rFonts w:hint="default" w:hAnsi="宋体"/>
                <w:sz w:val="24"/>
                <w:szCs w:val="24"/>
                <w:lang w:val="en-US" w:eastAsia="zh-CN"/>
              </w:rPr>
            </w:pPr>
            <w:r>
              <w:rPr>
                <w:rFonts w:hint="eastAsia" w:hAnsi="宋体"/>
                <w:sz w:val="24"/>
                <w:szCs w:val="24"/>
                <w:lang w:val="en-US" w:eastAsia="zh-CN"/>
              </w:rPr>
              <w:t>3、能耗等级1级；</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4、适用面积：16-20m2；</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5、确保室内达恒温标准：10°-30°；</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6、电辅加热功率≥1000W；</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7、制冷功率≥1064W制冷量≥3500W；</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8、制热功率≥1120W制热量≥3850W。</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十、VPN（环保系统数据传输设备）</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1、虚拟局域网，光纤传输</w:t>
            </w:r>
          </w:p>
          <w:p>
            <w:pPr>
              <w:tabs>
                <w:tab w:val="left" w:pos="7095"/>
              </w:tabs>
              <w:spacing w:line="360" w:lineRule="auto"/>
              <w:contextualSpacing/>
              <w:rPr>
                <w:rFonts w:hint="default" w:hAnsi="宋体"/>
                <w:sz w:val="24"/>
                <w:szCs w:val="24"/>
                <w:lang w:val="en-US" w:eastAsia="zh-CN"/>
              </w:rPr>
            </w:pPr>
            <w:r>
              <w:rPr>
                <w:rFonts w:hint="eastAsia" w:hAnsi="宋体"/>
                <w:sz w:val="24"/>
                <w:szCs w:val="24"/>
                <w:lang w:val="en-US" w:eastAsia="zh-CN"/>
              </w:rPr>
              <w:t>2、传输速度≥6000兆</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3、按照环保部门的要求，满足运行要求。</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十一、UPS电源</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1、额定容量≥800W；</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2、输入电压110-300VAC；</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3、输入频率40-70Hz；</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4、输入功因≤0.99；</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5、输出电压220*（1±2％）VAC(电池模式下）；</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6、输出频率50Hz±0.2(电池模式下）；</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7、电池备用时间&gt;4.5min;</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8、电池充电时间≤10小时；</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9、转换时间0ms时间切换</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十二、管道电缆辅料</w:t>
            </w:r>
          </w:p>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十三、串口卡</w:t>
            </w:r>
          </w:p>
          <w:p>
            <w:pPr>
              <w:tabs>
                <w:tab w:val="left" w:pos="7095"/>
              </w:tabs>
              <w:spacing w:line="360" w:lineRule="auto"/>
              <w:contextualSpacing/>
              <w:rPr>
                <w:rFonts w:hint="eastAsia" w:hAnsi="宋体"/>
                <w:sz w:val="24"/>
                <w:szCs w:val="24"/>
              </w:rPr>
            </w:pPr>
            <w:r>
              <w:rPr>
                <w:rFonts w:hint="eastAsia" w:hAnsi="宋体"/>
                <w:sz w:val="24"/>
                <w:szCs w:val="24"/>
                <w:lang w:val="en-US" w:eastAsia="zh-CN"/>
              </w:rPr>
              <w:t>1、满足运行要求</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tabs>
                <w:tab w:val="left" w:pos="7095"/>
              </w:tabs>
              <w:spacing w:line="360" w:lineRule="auto"/>
              <w:contextualSpacing/>
              <w:rPr>
                <w:rFonts w:hint="eastAsia" w:hAnsi="宋体"/>
                <w:sz w:val="24"/>
                <w:szCs w:val="24"/>
                <w:lang w:eastAsia="zh-CN"/>
              </w:rPr>
            </w:pPr>
            <w:r>
              <w:rPr>
                <w:rFonts w:hint="eastAsia" w:hAnsi="宋体"/>
                <w:sz w:val="24"/>
                <w:szCs w:val="24"/>
                <w:lang w:eastAsia="zh-CN"/>
              </w:rPr>
              <w:t>套</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tabs>
                <w:tab w:val="left" w:pos="7095"/>
              </w:tabs>
              <w:spacing w:line="360" w:lineRule="auto"/>
              <w:contextualSpacing/>
              <w:rPr>
                <w:rFonts w:hint="eastAsia" w:hAnsi="宋体"/>
                <w:sz w:val="24"/>
                <w:szCs w:val="24"/>
                <w:lang w:val="en-US" w:eastAsia="zh-CN"/>
              </w:rPr>
            </w:pPr>
            <w:r>
              <w:rPr>
                <w:rFonts w:hint="eastAsia" w:hAnsi="宋体"/>
                <w:sz w:val="24"/>
                <w:szCs w:val="24"/>
                <w:lang w:val="en-US" w:eastAsia="zh-CN"/>
              </w:rPr>
              <w:t>1</w:t>
            </w:r>
          </w:p>
        </w:tc>
      </w:tr>
    </w:tbl>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三、采购标的的其他技术、服务等要求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kern w:val="0"/>
          <w:sz w:val="24"/>
          <w:szCs w:val="24"/>
          <w:lang w:val="zh-CN"/>
        </w:rPr>
      </w:pPr>
      <w:r>
        <w:rPr>
          <w:rFonts w:hint="eastAsia" w:ascii="宋体" w:hAnsi="宋体" w:eastAsia="宋体" w:cs="宋体"/>
          <w:color w:val="000000"/>
          <w:kern w:val="0"/>
          <w:sz w:val="24"/>
          <w:szCs w:val="24"/>
          <w:shd w:val="clear" w:color="auto" w:fill="FFFFFF"/>
          <w:lang w:val="en-US" w:eastAsia="zh-CN" w:bidi="ar"/>
        </w:rPr>
        <w:t>中标单位负责</w:t>
      </w:r>
      <w:r>
        <w:rPr>
          <w:rFonts w:hint="eastAsia" w:ascii="宋体" w:hAnsi="宋体" w:eastAsia="宋体" w:cs="宋体"/>
          <w:color w:val="000000"/>
          <w:kern w:val="0"/>
          <w:sz w:val="24"/>
          <w:szCs w:val="24"/>
          <w:shd w:val="clear" w:color="auto" w:fill="FFFFFF"/>
          <w:lang w:eastAsia="zh-CN" w:bidi="ar"/>
        </w:rPr>
        <w:t>设备安装调试，安装完成后须经环保部门检测站检测，数据误差须达到</w:t>
      </w:r>
      <w:r>
        <w:rPr>
          <w:rFonts w:hint="eastAsia" w:ascii="宋体" w:hAnsi="宋体" w:eastAsia="宋体" w:cs="宋体"/>
          <w:color w:val="000000"/>
          <w:kern w:val="0"/>
          <w:sz w:val="24"/>
          <w:szCs w:val="24"/>
          <w:shd w:val="clear" w:color="auto" w:fill="FFFFFF"/>
          <w:lang w:val="en-US" w:eastAsia="zh-CN" w:bidi="ar"/>
        </w:rPr>
        <w:t>10%以内</w:t>
      </w:r>
      <w:r>
        <w:rPr>
          <w:rFonts w:hint="eastAsia" w:ascii="宋体" w:hAnsi="宋体" w:eastAsia="宋体" w:cs="宋体"/>
          <w:color w:val="000000"/>
          <w:kern w:val="0"/>
          <w:sz w:val="24"/>
          <w:szCs w:val="24"/>
          <w:shd w:val="clear" w:color="auto" w:fill="FFFFFF"/>
          <w:lang w:eastAsia="zh-CN" w:bidi="ar"/>
        </w:rPr>
        <w:t>标准。</w:t>
      </w:r>
    </w:p>
    <w:p>
      <w:pPr>
        <w:widowControl/>
        <w:numPr>
          <w:ilvl w:val="0"/>
          <w:numId w:val="0"/>
        </w:numPr>
        <w:shd w:val="clear" w:color="auto" w:fill="FFFFFF"/>
        <w:spacing w:line="360" w:lineRule="auto"/>
        <w:ind w:firstLine="482" w:firstLineChars="200"/>
        <w:contextualSpacing/>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四、验收标准</w:t>
      </w:r>
    </w:p>
    <w:p>
      <w:pPr>
        <w:widowControl/>
        <w:numPr>
          <w:ilvl w:val="0"/>
          <w:numId w:val="0"/>
        </w:numPr>
        <w:shd w:val="clear" w:color="auto" w:fill="FFFFFF"/>
        <w:spacing w:line="360" w:lineRule="auto"/>
        <w:contextualSpacing/>
        <w:jc w:val="left"/>
        <w:rPr>
          <w:rFonts w:hint="eastAsia" w:ascii="宋体" w:hAnsi="宋体" w:eastAsia="宋体" w:cs="宋体"/>
          <w:b/>
          <w:kern w:val="0"/>
          <w:sz w:val="24"/>
          <w:szCs w:val="24"/>
          <w:lang w:val="zh-CN"/>
        </w:rPr>
      </w:pPr>
      <w:r>
        <w:rPr>
          <w:rFonts w:hint="eastAsia" w:ascii="宋体" w:hAnsi="宋体" w:eastAsia="宋体" w:cs="宋体"/>
          <w:color w:val="auto"/>
          <w:kern w:val="0"/>
          <w:sz w:val="24"/>
          <w:szCs w:val="24"/>
          <w:shd w:val="clear" w:color="auto" w:fill="FFFFFF"/>
          <w:lang w:bidi="ar"/>
        </w:rPr>
        <w:t>由采购人成立验收小组,按照采购合同的约定对中标人履约情况进行验收。验收时,按照采购合同的约定对每一项</w:t>
      </w:r>
      <w:r>
        <w:rPr>
          <w:rFonts w:hint="eastAsia" w:ascii="宋体" w:hAnsi="宋体" w:eastAsia="宋体" w:cs="宋体"/>
          <w:color w:val="000000"/>
          <w:kern w:val="0"/>
          <w:sz w:val="24"/>
          <w:szCs w:val="24"/>
          <w:shd w:val="clear" w:color="auto" w:fill="FFFFFF"/>
          <w:lang w:val="en-US" w:eastAsia="zh-CN" w:bidi="ar"/>
        </w:rPr>
        <w:t>技术、服务、安全标准的履约情况进行确认。验收结束后,出具验收书。</w:t>
      </w:r>
    </w:p>
    <w:p>
      <w:pPr>
        <w:widowControl/>
        <w:shd w:val="clear" w:color="auto" w:fill="FFFFFF"/>
        <w:spacing w:line="360" w:lineRule="auto"/>
        <w:ind w:firstLine="482" w:firstLineChars="200"/>
        <w:contextualSpacing/>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五、资金支付</w:t>
      </w:r>
    </w:p>
    <w:p>
      <w:pPr>
        <w:wordWrap w:val="0"/>
        <w:topLinePunct/>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kern w:val="0"/>
          <w:sz w:val="24"/>
          <w:szCs w:val="24"/>
          <w:lang w:val="zh-CN"/>
        </w:rPr>
        <w:t>1、支付方式</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银行转账</w:t>
      </w:r>
    </w:p>
    <w:p>
      <w:pPr>
        <w:wordWrap w:val="0"/>
        <w:topLinePunct/>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2、支付时间及条件：</w:t>
      </w:r>
      <w:r>
        <w:rPr>
          <w:rFonts w:hint="eastAsia" w:ascii="宋体" w:hAnsi="宋体" w:eastAsia="宋体" w:cs="宋体"/>
          <w:sz w:val="24"/>
          <w:szCs w:val="24"/>
          <w:lang w:val="en-US" w:eastAsia="zh-CN"/>
        </w:rPr>
        <w:t>经验收合格后于4个月内付合同金额总价款的90%，剩余10%满一年无质量问题一次付清。</w:t>
      </w:r>
    </w:p>
    <w:p>
      <w:pPr>
        <w:adjustRightInd w:val="0"/>
        <w:snapToGrid w:val="0"/>
        <w:spacing w:line="360" w:lineRule="auto"/>
        <w:ind w:firstLine="482" w:firstLineChars="200"/>
        <w:jc w:val="left"/>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六、其他要求</w:t>
      </w:r>
    </w:p>
    <w:p>
      <w:pPr>
        <w:tabs>
          <w:tab w:val="left" w:pos="7095"/>
        </w:tabs>
        <w:spacing w:line="360" w:lineRule="auto"/>
        <w:ind w:firstLine="480" w:firstLineChars="200"/>
        <w:contextualSpacing/>
        <w:rPr>
          <w:rFonts w:hint="default" w:ascii="宋体" w:hAnsi="宋体" w:eastAsia="宋体" w:cs="宋体"/>
          <w:sz w:val="24"/>
          <w:szCs w:val="24"/>
          <w:lang w:val="en-US" w:eastAsia="zh-CN"/>
        </w:rPr>
      </w:pPr>
      <w:r>
        <w:rPr>
          <w:rFonts w:hint="eastAsia" w:ascii="宋体" w:hAnsi="宋体" w:eastAsia="宋体" w:cs="宋体"/>
          <w:sz w:val="24"/>
          <w:szCs w:val="24"/>
          <w:lang w:val="zh-CN"/>
        </w:rPr>
        <w:t>1、投标人须明确投标产品的厂家、产地、品牌、型号、详细参数，</w:t>
      </w:r>
      <w:r>
        <w:rPr>
          <w:rFonts w:hint="eastAsia" w:ascii="宋体" w:hAnsi="宋体" w:eastAsia="宋体" w:cs="宋体"/>
          <w:b/>
          <w:sz w:val="24"/>
          <w:szCs w:val="24"/>
          <w:lang w:val="zh-CN"/>
        </w:rPr>
        <w:t>否则为无效投标。</w:t>
      </w:r>
      <w:r>
        <w:rPr>
          <w:rFonts w:hint="eastAsia" w:ascii="宋体" w:hAnsi="宋体" w:eastAsia="宋体" w:cs="宋体"/>
          <w:sz w:val="24"/>
          <w:szCs w:val="24"/>
          <w:lang w:val="en-US" w:eastAsia="zh-CN"/>
        </w:rPr>
        <w:t>(采购清单第十二项管道电缆辅料除外)</w:t>
      </w:r>
    </w:p>
    <w:p>
      <w:pPr>
        <w:wordWrap w:val="0"/>
        <w:topLinePunct/>
        <w:autoSpaceDE w:val="0"/>
        <w:autoSpaceDN w:val="0"/>
        <w:adjustRightInd w:val="0"/>
        <w:spacing w:line="360" w:lineRule="auto"/>
        <w:ind w:firstLine="482"/>
        <w:rPr>
          <w:rFonts w:hint="eastAsia" w:ascii="宋体" w:hAnsi="宋体" w:eastAsia="宋体" w:cs="宋体"/>
          <w:b/>
          <w:sz w:val="24"/>
          <w:szCs w:val="24"/>
          <w:lang w:val="zh-CN"/>
        </w:rPr>
      </w:pPr>
      <w:r>
        <w:rPr>
          <w:rFonts w:hint="eastAsia" w:ascii="宋体" w:hAnsi="宋体" w:eastAsia="宋体" w:cs="宋体"/>
          <w:sz w:val="24"/>
          <w:szCs w:val="24"/>
          <w:lang w:val="zh-CN"/>
        </w:rPr>
        <w:t>2、投标人应就</w:t>
      </w:r>
      <w:r>
        <w:rPr>
          <w:rFonts w:hint="eastAsia" w:ascii="宋体" w:hAnsi="宋体" w:eastAsia="宋体" w:cs="宋体"/>
          <w:color w:val="FF0000"/>
          <w:sz w:val="24"/>
          <w:szCs w:val="24"/>
          <w:lang w:val="zh-CN"/>
        </w:rPr>
        <w:t>该项目</w:t>
      </w:r>
      <w:r>
        <w:rPr>
          <w:rFonts w:hint="eastAsia" w:ascii="宋体" w:hAnsi="宋体" w:eastAsia="宋体" w:cs="宋体"/>
          <w:sz w:val="24"/>
          <w:szCs w:val="24"/>
          <w:lang w:val="zh-CN"/>
        </w:rPr>
        <w:t>完整投标，</w:t>
      </w:r>
      <w:r>
        <w:rPr>
          <w:rFonts w:hint="eastAsia" w:ascii="宋体" w:hAnsi="宋体" w:eastAsia="宋体" w:cs="宋体"/>
          <w:b/>
          <w:sz w:val="24"/>
          <w:szCs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hAnsi="宋体" w:eastAsia="宋体" w:cs="宋体"/>
          <w:sz w:val="24"/>
          <w:szCs w:val="24"/>
          <w:lang w:val="zh-CN"/>
        </w:rPr>
        <w:t>3、产品必须符合国家质量检测标准和本采购文件规定标准的全新正品现货，提供随货物《产品合格证》及其它相关质量证明文件。进口产品须提供海关</w:t>
      </w:r>
      <w:r>
        <w:rPr>
          <w:rFonts w:hint="eastAsia" w:ascii="宋体" w:cs="宋体"/>
          <w:sz w:val="24"/>
          <w:lang w:val="zh-CN"/>
        </w:rPr>
        <w:t>进货单（复印件备查）。</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4、本项目为交钥匙工程。</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采购文件中凡标有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垃圾渗滤液处理在线监控系统</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项目编号：ZFCG-T2019</w:t>
            </w:r>
            <w:r>
              <w:rPr>
                <w:rFonts w:hint="eastAsia" w:cs="仿宋_GB2312" w:asciiTheme="minorEastAsia" w:hAnsiTheme="minorEastAsia"/>
                <w:sz w:val="24"/>
                <w:szCs w:val="24"/>
                <w:lang w:val="en-US" w:eastAsia="zh-CN"/>
              </w:rPr>
              <w:t>020</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zh-CN"/>
              </w:rPr>
              <w:t>采购</w:t>
            </w:r>
            <w:r>
              <w:rPr>
                <w:rFonts w:hint="eastAsia" w:cs="仿宋_GB2312" w:asciiTheme="minorEastAsia" w:hAnsiTheme="minorEastAsia"/>
                <w:sz w:val="24"/>
                <w:szCs w:val="24"/>
                <w:lang w:val="en-US" w:eastAsia="zh-CN"/>
              </w:rPr>
              <w:t>1套垃圾渗滤液处理在线监控系统</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val="zh-CN"/>
              </w:rPr>
              <w:t>许昌市</w:t>
            </w:r>
            <w:r>
              <w:rPr>
                <w:rFonts w:hint="eastAsia" w:cs="仿宋_GB2312" w:asciiTheme="minorEastAsia" w:hAnsiTheme="minorEastAsia"/>
                <w:sz w:val="24"/>
                <w:szCs w:val="24"/>
                <w:lang w:val="zh-CN" w:eastAsia="zh-CN"/>
              </w:rPr>
              <w:t>环卫处</w:t>
            </w:r>
            <w:r>
              <w:rPr>
                <w:rFonts w:hint="eastAsia" w:cs="仿宋_GB2312" w:asciiTheme="minorEastAsia" w:hAnsiTheme="minorEastAsia"/>
                <w:sz w:val="24"/>
                <w:szCs w:val="24"/>
                <w:lang w:val="en-US" w:eastAsia="zh-CN"/>
              </w:rPr>
              <w:t>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许昌市环境卫生管理处</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魏都区车站路8号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丁艳春</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0374-2788661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女士                电话：0374-296</w:t>
            </w:r>
            <w:r>
              <w:rPr>
                <w:rFonts w:hint="eastAsia" w:cs="仿宋_GB2312" w:asciiTheme="minorEastAsia" w:hAnsiTheme="minorEastAsia"/>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税务登记证和投标截止时间前四个月内任意一个月缴纳税收凭据。（依法免税的投标人，应提供相应文件证明依法免税）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七、未被列入“信用中国”网站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w:t>
            </w:r>
            <w:r>
              <w:rPr>
                <w:rFonts w:hint="eastAsia" w:cs="宋体" w:asciiTheme="minorEastAsia" w:hAnsiTheme="minorEastAsia"/>
                <w:color w:val="FF0000"/>
                <w:kern w:val="0"/>
                <w:sz w:val="24"/>
                <w:szCs w:val="24"/>
              </w:rPr>
              <w:t>谈判小组</w:t>
            </w:r>
            <w:r>
              <w:rPr>
                <w:rFonts w:hint="eastAsia" w:cs="宋体" w:asciiTheme="minorEastAsia" w:hAnsiTheme="minorEastAsia"/>
                <w:kern w:val="0"/>
                <w:sz w:val="24"/>
                <w:szCs w:val="24"/>
              </w:rPr>
              <w:t>查询结果为准，</w:t>
            </w:r>
            <w:r>
              <w:rPr>
                <w:rFonts w:hint="eastAsia" w:cs="宋体" w:asciiTheme="minorEastAsia" w:hAnsiTheme="minorEastAsia"/>
                <w:color w:val="FF0000"/>
                <w:kern w:val="0"/>
                <w:sz w:val="24"/>
                <w:szCs w:val="24"/>
              </w:rPr>
              <w:t>谈判小组</w:t>
            </w:r>
            <w:r>
              <w:rPr>
                <w:rFonts w:hint="eastAsia" w:cs="宋体" w:asciiTheme="minorEastAsia" w:hAnsiTheme="minorEastAsia"/>
                <w:kern w:val="0"/>
                <w:sz w:val="24"/>
                <w:szCs w:val="24"/>
              </w:rPr>
              <w:t>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color w:val="FF0000"/>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FF0000"/>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24万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成交</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许昌市公共资源交易中心三楼开标五室（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金额：肆仟元整（¥ </w:t>
            </w:r>
            <w:r>
              <w:rPr>
                <w:rFonts w:hint="eastAsia" w:cs="仿宋_GB2312" w:asciiTheme="minorEastAsia" w:hAnsiTheme="minorEastAsia"/>
                <w:sz w:val="24"/>
                <w:szCs w:val="24"/>
                <w:lang w:val="en-US" w:eastAsia="zh-CN"/>
              </w:rPr>
              <w:t>4000</w:t>
            </w:r>
            <w:r>
              <w:rPr>
                <w:rFonts w:hint="eastAsia" w:cs="仿宋_GB2312" w:asciiTheme="minorEastAsia" w:hAnsiTheme="minorEastAsia"/>
                <w:sz w:val="24"/>
                <w:szCs w:val="24"/>
                <w:lang w:val="zh-CN"/>
              </w:rPr>
              <w:t>.00元）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1、投标人网上下载采购文件后，登录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采购公告、成交公告、变更（更正）公告、现场勘察答复等相关信息同时在以下网站发布：《中国政府采购网》、《河南省政府采购网》、《许昌市政府采购网》、《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sz w:val="24"/>
                <w:szCs w:val="24"/>
              </w:rPr>
              <w:t>中国·许昌许昌市政府网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采购人澄清或修改采购文件时间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eastAsia="宋体" w:cs="仿宋_GB2312"/>
                <w:sz w:val="24"/>
                <w:szCs w:val="24"/>
                <w:lang w:val="zh-CN"/>
              </w:rPr>
              <w:t>提交首次响应文件截止之日3个工作日前</w:t>
            </w:r>
            <w:r>
              <w:rPr>
                <w:rFonts w:hint="eastAsia" w:cs="宋体" w:asciiTheme="minorEastAsia" w:hAnsiTheme="minorEastAsia"/>
                <w:bCs/>
                <w:sz w:val="24"/>
                <w:szCs w:val="24"/>
                <w:lang w:val="zh-CN"/>
              </w:rPr>
              <w:t>（</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成交人在向采购单位领取成交通知书时，须向采购单位提供</w:t>
            </w:r>
            <w:r>
              <w:rPr>
                <w:rFonts w:hint="eastAsia" w:ascii="宋体" w:hAnsi="宋体"/>
                <w:color w:val="FF0000"/>
                <w:sz w:val="24"/>
                <w:szCs w:val="24"/>
              </w:rPr>
              <w:t>法人营业执照、税务登记证副本及投标条件中要求的相关证件原件和采购文件</w:t>
            </w:r>
            <w:r>
              <w:rPr>
                <w:rFonts w:hint="eastAsia" w:ascii="宋体"/>
                <w:color w:val="FF0000"/>
                <w:sz w:val="24"/>
                <w:szCs w:val="24"/>
              </w:rPr>
              <w:t xml:space="preserve"> “其它要求”中要求的相关材料（如果本采购文件要求的话），</w:t>
            </w:r>
            <w:r>
              <w:rPr>
                <w:rFonts w:hint="eastAsia" w:ascii="宋体"/>
                <w:b/>
                <w:color w:val="FF0000"/>
                <w:sz w:val="24"/>
                <w:szCs w:val="24"/>
              </w:rPr>
              <w:t>否则取消其成交资格。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、成交人在接到成交通知时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包含主要成交标的的名称、规格型号、数量、单价、服务要求等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1.1本采购文件仅适用于本次“投标邀请”中所述采购项目。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1.2本采购文件解释权属于“投标邀请”所述的采购人。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采购文件列明不允许或未列明允许进口产品参加投标的，均视为拒绝进口产品参加投标。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采购文件</w:t>
      </w:r>
      <w:r>
        <w:rPr>
          <w:rFonts w:cs="宋体" w:asciiTheme="minorEastAsia" w:hAnsiTheme="minorEastAsia"/>
          <w:kern w:val="0"/>
          <w:sz w:val="24"/>
          <w:szCs w:val="24"/>
        </w:rPr>
        <w:t>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 采购文件中凡标有“★”的条款均系实质性要求条款。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本采购项目需要公开的有关信息，包括采购公告、采购文件澄清或修改公告、成交公告以及延长投标截止时间等与招标活动有关的通知，招标人均将通过在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二、采购文件说明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9．采购文件构成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采购文件由以下部分组成：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（1）投标邀请（采购公告）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（9）本项目采购文件的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11.采购文件的澄清或修改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成交人的投标文件作为项目合同的附件，其有效期至成交人全部合同义务履行完毕为止。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投标文件的构成应符合法律法规及采购文件的要求。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投标人应当按照采购文件的要求编制投标文件。投标文件应当对采购文件提出的要求和条件作出明确响应。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投标文件应参照采购文件第七部分（投标文件有关格式）的内容要求、编排顺序和格式要求，投标人应按照以上要求将投标文件编上唯一的连贯页码并以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投标人网上下载采购文件后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退还投标保证金时，区别成交与否，按不同时序由银行按来款途径退还原账户。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自成交通知书发出之日起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个工作日内退还未成交人的投标保证金。（交易见证部电话：0374-2968027）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个工作日内退还成交人的投标保证金。（向交易见证部提交合同原件或者复印件）（交易见证部电话：0374-2968027）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除因不可抗力或采购文件认可的情形以外，成交人不与采购人签订合同的；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法律法规及采购文件规定的其他情形。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应当按采购文件要求签署、盖章、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.谈判小组的组成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谈判小组成员名单在评标结果公告前应当保密。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资格性审查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宋体" w:cs="宋体"/>
          <w:sz w:val="24"/>
          <w:lang w:val="zh-CN"/>
        </w:rPr>
        <w:t>开标结束后，谈判小组</w:t>
      </w:r>
      <w:r>
        <w:rPr>
          <w:rFonts w:hint="eastAsia" w:asciiTheme="minorEastAsia" w:hAnsiTheme="minorEastAsia"/>
          <w:bCs/>
          <w:sz w:val="24"/>
          <w:szCs w:val="24"/>
        </w:rPr>
        <w:t>依法对投标人的资格进行审查。</w:t>
      </w:r>
      <w:r>
        <w:rPr>
          <w:rFonts w:hint="eastAsia" w:cs="仿宋_GB2312" w:asciiTheme="minorEastAsia" w:hAnsiTheme="minorEastAsia"/>
          <w:sz w:val="24"/>
          <w:szCs w:val="24"/>
          <w:lang w:val="zh-CN"/>
        </w:rPr>
        <w:t>合格投标人不足3家的，不得进行符合性审查。</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ascii="宋体" w:cs="宋体"/>
          <w:b/>
          <w:sz w:val="24"/>
          <w:lang w:val="zh-CN"/>
        </w:rPr>
        <w:t>2</w:t>
      </w:r>
      <w:r>
        <w:rPr>
          <w:rFonts w:hint="eastAsia" w:cs="仿宋_GB2312" w:asciiTheme="minorEastAsia" w:hAnsiTheme="minorEastAsia"/>
          <w:b/>
          <w:sz w:val="24"/>
          <w:szCs w:val="24"/>
          <w:lang w:val="zh-CN"/>
        </w:rPr>
        <w:t>8.谈判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28.2</w:t>
      </w:r>
      <w:r>
        <w:rPr>
          <w:rFonts w:hint="eastAsia" w:ascii="宋体" w:cs="宋体"/>
          <w:sz w:val="24"/>
          <w:lang w:val="zh-CN"/>
        </w:rPr>
        <w:t>谈判方式：采取网络谈判方式，供应商携带公司CA证书，到中心评标服务部指定地点，使用CA登录系统进行网上谈判。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w:t>
      </w:r>
      <w:r>
        <w:rPr>
          <w:rFonts w:cs="仿宋_GB2312" w:asciiTheme="minorEastAsia" w:hAnsiTheme="minorEastAsia"/>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28.4</w:t>
      </w:r>
      <w:r>
        <w:rPr>
          <w:rFonts w:cs="仿宋_GB2312" w:asciiTheme="minorEastAsia" w:hAnsiTheme="minor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供应商应当按照谈判文件的变动情况和谈判小组的要求重新提交响应文件，并由其法定代表人或授权代表签字或者加盖公章。</w:t>
      </w:r>
      <w:r>
        <w:rPr>
          <w:rFonts w:hint="eastAsia" w:cs="仿宋_GB2312" w:asciiTheme="minorEastAsia" w:hAnsiTheme="minorEastAsia"/>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28.5最后报价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28.5.2</w:t>
      </w:r>
      <w:r>
        <w:rPr>
          <w:rFonts w:hint="eastAsia" w:ascii="宋体" w:cs="宋体"/>
          <w:sz w:val="24"/>
          <w:lang w:val="zh-CN"/>
        </w:rPr>
        <w:t>请供应商使用CA证书登录许昌市公共资源交易平台系统，进行网上</w:t>
      </w:r>
      <w:r>
        <w:rPr>
          <w:rFonts w:hint="eastAsia" w:cs="仿宋_GB2312" w:asciiTheme="minorEastAsia" w:hAnsiTheme="minorEastAsia"/>
          <w:sz w:val="24"/>
          <w:szCs w:val="24"/>
          <w:lang w:val="zh-CN"/>
        </w:rPr>
        <w:t>最后报价 [最后总报价及最后分项（如果项目需求中有分项的话）报价</w:t>
      </w:r>
      <w:r>
        <w:rPr>
          <w:rFonts w:hint="eastAsia" w:cs="仿宋_GB2312" w:asciiTheme="minorEastAsia" w:hAnsiTheme="minorEastAsia"/>
          <w:color w:val="FF0000"/>
          <w:sz w:val="24"/>
          <w:szCs w:val="24"/>
          <w:lang w:val="zh-CN"/>
        </w:rPr>
        <w:t>电子版</w:t>
      </w:r>
      <w:r>
        <w:rPr>
          <w:rFonts w:hint="eastAsia" w:cs="仿宋_GB2312" w:asciiTheme="minorEastAsia" w:hAnsiTheme="minorEastAsia"/>
          <w:sz w:val="24"/>
          <w:szCs w:val="24"/>
          <w:lang w:val="zh-CN"/>
        </w:rPr>
        <w:t>]</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28.5.3</w:t>
      </w:r>
      <w:r>
        <w:rPr>
          <w:rFonts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31.投标无效情形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31.1.1 未按照采购文件的规定提交投标保证金的；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31.1.2 投标文件未按采购文件要求签署、盖章的；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31.1.3 不具备采购文件中规定的资格要求的；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31.1.4 报价超过采购文件中规定的预算金额或者最高限价的；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szCs w:val="24"/>
          <w:lang w:val="zh-CN"/>
        </w:rPr>
        <w:t>31.3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31.4 </w:t>
      </w:r>
      <w:r>
        <w:rPr>
          <w:rFonts w:hint="eastAsia" w:cs="仿宋_GB2312" w:asciiTheme="minorEastAsia" w:hAnsiTheme="minor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31.6 </w:t>
      </w:r>
      <w:r>
        <w:rPr>
          <w:rFonts w:cs="仿宋_GB2312" w:asciiTheme="minorEastAsia" w:hAnsiTheme="minorEastAsia"/>
          <w:sz w:val="24"/>
          <w:szCs w:val="24"/>
          <w:lang w:val="zh-CN"/>
        </w:rPr>
        <w:t>法律、法规和采购文件规定的其他无效情形。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确定成交人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成交候选人并列的，由采购人采取随机抽取的方式确定。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成交公告、发出成交通知书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36.3 </w:t>
      </w:r>
      <w:r>
        <w:rPr>
          <w:rFonts w:hint="eastAsia" w:cs="宋体" w:asciiTheme="minorEastAsia" w:hAnsiTheme="minor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37.1.1 对采购文件提出质疑的，潜在投标人应已依法获取采购文件，且应当在</w:t>
      </w:r>
      <w:r>
        <w:rPr>
          <w:rFonts w:hint="eastAsia" w:cs="仿宋_GB2312" w:asciiTheme="minorEastAsia" w:hAnsiTheme="minorEastAsia"/>
          <w:color w:val="FF0000"/>
          <w:sz w:val="24"/>
          <w:szCs w:val="24"/>
          <w:lang w:val="zh-CN"/>
        </w:rPr>
        <w:t>法定时限</w:t>
      </w:r>
      <w:r>
        <w:rPr>
          <w:rFonts w:hint="eastAsia" w:cs="仿宋_GB2312" w:asciiTheme="minorEastAsia" w:hAnsiTheme="minorEastAsia"/>
          <w:sz w:val="24"/>
          <w:szCs w:val="24"/>
          <w:lang w:val="zh-CN"/>
        </w:rPr>
        <w:t>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 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成交人提交履约保证金的，成交人应当以支票、汇票、本票或者金融机构、担保机构出具的保函等非现金形式向采购人提交。履约保证金的数额不得超过政府采购合同金额的10%。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color w:val="FF0000"/>
          <w:sz w:val="24"/>
          <w:szCs w:val="24"/>
        </w:rPr>
        <w:t>40.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本次采购文件未尽事项，以法律法规规定的为准。</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 w:val="24"/>
          <w:szCs w:val="24"/>
          <w:lang w:val="zh-CN"/>
        </w:rPr>
      </w:pPr>
      <w:r>
        <w:rPr>
          <w:rFonts w:hint="eastAsia" w:cs="仿宋_GB2312" w:asciiTheme="minorEastAsia" w:hAnsiTheme="minorEastAsia"/>
          <w:b/>
          <w:szCs w:val="24"/>
          <w:lang w:val="zh-CN"/>
        </w:rPr>
        <w:t>一、</w:t>
      </w:r>
      <w:r>
        <w:rPr>
          <w:rFonts w:hint="eastAsia" w:cs="仿宋_GB2312" w:asciiTheme="minorEastAsia" w:hAnsiTheme="minorEastAsia"/>
          <w:b/>
          <w:sz w:val="24"/>
          <w:szCs w:val="24"/>
          <w:lang w:val="zh-CN"/>
        </w:rPr>
        <w:t>促进中小企业发展（如有的话）</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二、支持监狱企业发展（如有的话）</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三、促进残疾人就业（如有的话）</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（一）开标结束后，谈判小组依法对投标人的资格进行审查。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rPr>
              <w:t>2017或2018</w:t>
            </w:r>
            <w:r>
              <w:rPr>
                <w:rFonts w:hint="eastAsia" w:cs="宋体" w:asciiTheme="minorEastAsia" w:hAnsiTheme="minorEastAsia"/>
                <w:bCs/>
                <w:sz w:val="24"/>
                <w:szCs w:val="24"/>
                <w:lang w:val="zh-CN"/>
              </w:rPr>
              <w:t>年度的财务报告；</w:t>
            </w:r>
            <w:r>
              <w:rPr>
                <w:rFonts w:hint="eastAsia" w:asciiTheme="minorEastAsia" w:hAnsiTheme="minor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w:t>
            </w:r>
            <w:r>
              <w:rPr>
                <w:rFonts w:hint="eastAsia" w:asciiTheme="minorEastAsia" w:hAnsiTheme="minorEastAsia"/>
                <w:bCs/>
                <w:color w:val="FF0000"/>
                <w:sz w:val="24"/>
                <w:szCs w:val="24"/>
              </w:rPr>
              <w:t>谈判小组</w:t>
            </w:r>
            <w:r>
              <w:rPr>
                <w:rFonts w:hint="eastAsia" w:asciiTheme="minorEastAsia" w:hAnsiTheme="minorEastAsia"/>
                <w:bCs/>
                <w:sz w:val="24"/>
                <w:szCs w:val="24"/>
              </w:rPr>
              <w:t>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是否超出采购文件中规定的预算金额，超出预算金额的投标无效。如投标人须知前附表规定最高限价，则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（一）项目成交原则</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谈判小组负责具体评标事务，并独立履行下列职责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审查、评价投标文件是否符合采购文件的商务、技术等实质性要求；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3、价格计算（如有的话）</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1</w:t>
      </w:r>
      <w:r>
        <w:rPr>
          <w:rFonts w:hint="eastAsia" w:cs="仿宋_GB2312" w:asciiTheme="minorEastAsia" w:hAnsiTheme="minorEastAsia" w:eastAsiaTheme="minorEastAsia"/>
          <w:b/>
          <w:szCs w:val="24"/>
          <w:lang w:val="zh-CN"/>
        </w:rPr>
        <w:t>）价格计算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以供应商最后投标报价为准。</w:t>
      </w:r>
      <w:r>
        <w:rPr>
          <w:rFonts w:cs="仿宋_GB2312" w:asciiTheme="minorEastAsia" w:hAnsiTheme="minorEastAsia" w:eastAsiaTheme="minorEastAsia"/>
          <w:szCs w:val="24"/>
          <w:lang w:val="zh-CN"/>
        </w:rPr>
        <w:t>因落实政府采购政策进行价格调整的，以调整后的价格</w:t>
      </w:r>
      <w:r>
        <w:rPr>
          <w:rFonts w:hint="eastAsia" w:cs="仿宋_GB2312" w:asciiTheme="minorEastAsia" w:hAnsiTheme="minorEastAsia" w:eastAsiaTheme="minorEastAsia"/>
          <w:szCs w:val="24"/>
          <w:lang w:val="zh-CN"/>
        </w:rPr>
        <w:t>为最后</w:t>
      </w:r>
      <w:r>
        <w:rPr>
          <w:rFonts w:cs="仿宋_GB2312" w:asciiTheme="minorEastAsia" w:hAnsiTheme="minorEastAsia" w:eastAsiaTheme="minorEastAsia"/>
          <w:szCs w:val="24"/>
          <w:lang w:val="zh-CN"/>
        </w:rPr>
        <w:t>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w:t>
      </w:r>
      <w:r>
        <w:rPr>
          <w:rFonts w:hint="eastAsia" w:cs="仿宋_GB2312" w:asciiTheme="minorEastAsia" w:hAnsiTheme="minorEastAsia"/>
          <w:sz w:val="24"/>
          <w:szCs w:val="24"/>
          <w:lang w:val="zh-CN"/>
        </w:rPr>
        <w:t>采购文件</w:t>
      </w:r>
      <w:r>
        <w:rPr>
          <w:rFonts w:cs="仿宋_GB2312" w:asciiTheme="minorEastAsia" w:hAnsiTheme="minorEastAsia"/>
          <w:sz w:val="24"/>
          <w:szCs w:val="24"/>
          <w:lang w:val="zh-CN"/>
        </w:rPr>
        <w:t>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4</w:t>
      </w:r>
      <w:r>
        <w:rPr>
          <w:rFonts w:hint="eastAsia" w:cs="仿宋_GB2312" w:asciiTheme="minorEastAsia" w:hAnsiTheme="minorEastAsia" w:eastAsiaTheme="minorEastAsia"/>
          <w:b/>
          <w:szCs w:val="24"/>
          <w:lang w:val="zh-CN"/>
        </w:rPr>
        <w:t>）成交原则</w:t>
      </w:r>
    </w:p>
    <w:p>
      <w:pPr>
        <w:pStyle w:val="12"/>
        <w:spacing w:line="360" w:lineRule="auto"/>
        <w:ind w:firstLine="480" w:firstLineChars="200"/>
        <w:contextualSpacing/>
        <w:rPr>
          <w:rFonts w:cs="仿宋_GB2312" w:asciiTheme="minorEastAsia" w:hAnsiTheme="minorEastAsia" w:eastAsiaTheme="minorEastAsia"/>
          <w:szCs w:val="24"/>
          <w:u w:val="single"/>
          <w:lang w:val="zh-CN"/>
        </w:rPr>
      </w:pPr>
      <w:r>
        <w:rPr>
          <w:rFonts w:hint="eastAsia" w:cs="仿宋_GB2312" w:asciiTheme="minorEastAsia" w:hAnsiTheme="minorEastAsia" w:eastAsiaTheme="minorEastAsia"/>
          <w:szCs w:val="24"/>
          <w:u w:val="single"/>
          <w:lang w:val="zh-CN"/>
        </w:rPr>
        <w:t>根据质量和服务均能满足采购文件实质性响应要求且最后报价最低的原则。</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rPr>
            </w:pPr>
            <w:r>
              <w:rPr>
                <w:rFonts w:hint="eastAsia"/>
                <w:sz w:val="24"/>
                <w:szCs w:val="24"/>
                <w:lang w:val="en-GB"/>
              </w:rPr>
              <w:t>最后报价</w:t>
            </w:r>
            <w:r>
              <w:rPr>
                <w:rFonts w:hint="eastAsia" w:ascii="宋体" w:hAnsi="宋体"/>
                <w:sz w:val="24"/>
                <w:szCs w:val="24"/>
                <w:lang w:val="en-GB"/>
              </w:rPr>
              <w:t>＝</w:t>
            </w:r>
            <w:r>
              <w:rPr>
                <w:rFonts w:hint="eastAsia"/>
                <w:sz w:val="24"/>
                <w:szCs w:val="24"/>
                <w:lang w:val="en-GB"/>
              </w:rPr>
              <w:t>最后投标报价</w:t>
            </w:r>
            <w:r>
              <w:rPr>
                <w:rFonts w:hint="eastAsia" w:ascii="宋体" w:hAnsi="宋体"/>
                <w:sz w:val="24"/>
                <w:szCs w:val="24"/>
                <w:lang w:val="en-GB"/>
              </w:rPr>
              <w:t>×</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谈判小组</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确定成交候选人名单，以及根据采购人委托直接确定成交人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774" w:type="dxa"/>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vAlign w:val="center"/>
          </w:tcPr>
          <w:p>
            <w:pPr>
              <w:pStyle w:val="12"/>
              <w:kinsoku w:val="0"/>
              <w:overflowPunct w:val="0"/>
              <w:autoSpaceDE w:val="0"/>
              <w:autoSpaceDN w:val="0"/>
              <w:spacing w:line="320" w:lineRule="exact"/>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bookmarkStart w:id="9" w:name="_GoBack"/>
      <w:bookmarkEnd w:id="9"/>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_（项目名称、项目编号）采购的采购公告及投标邀请，_______（姓名和职务）被正式授权并代表投标人（投标人名称、地址）提交。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我方确认收到贵方提供的（项目名称、项目编号）采购文件的全部内容。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我方已完全明白采购文件的所有条款要求，并申明如下：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一、按采购文件提供的全部货物与相关服务的投标总价详见《开标一览表》。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992"/>
        <w:gridCol w:w="1843"/>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8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采购文件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6</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w:t>
      </w:r>
      <w:r>
        <w:rPr>
          <w:rFonts w:hint="eastAsia" w:ascii="宋体" w:hAnsi="宋体"/>
          <w:b/>
          <w:bCs/>
          <w:sz w:val="36"/>
          <w:szCs w:val="36"/>
          <w:lang w:val="en-US" w:eastAsia="zh-CN"/>
        </w:rPr>
        <w:t>7</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8</w:t>
      </w:r>
      <w:r>
        <w:rPr>
          <w:rFonts w:hint="eastAsia" w:ascii="宋体" w:hAnsi="宋体"/>
          <w:b/>
          <w:bCs/>
          <w:sz w:val="36"/>
          <w:szCs w:val="36"/>
        </w:rPr>
        <w:t xml:space="preserve">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w:t>
      </w:r>
      <w:r>
        <w:rPr>
          <w:rFonts w:ascii="宋体" w:hAnsi="宋体" w:cs="Arial"/>
          <w:kern w:val="0"/>
          <w:sz w:val="24"/>
          <w:szCs w:val="24"/>
        </w:rPr>
        <w:t>信息安全产品强制性认证</w:t>
      </w:r>
      <w:r>
        <w:rPr>
          <w:rFonts w:hint="eastAsia" w:ascii="宋体" w:hAnsi="宋体" w:cs="Arial"/>
          <w:kern w:val="0"/>
          <w:sz w:val="24"/>
          <w:szCs w:val="24"/>
        </w:rPr>
        <w:t>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15BC35D"/>
    <w:multiLevelType w:val="singleLevel"/>
    <w:tmpl w:val="415BC35D"/>
    <w:lvl w:ilvl="0" w:tentative="0">
      <w:start w:val="1"/>
      <w:numFmt w:val="chineseCounting"/>
      <w:suff w:val="nothing"/>
      <w:lvlText w:val="%1、"/>
      <w:lvlJc w:val="left"/>
      <w:rPr>
        <w:rFonts w:hint="eastAsia"/>
      </w:r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2E49"/>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A01"/>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87865"/>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30B5CFD"/>
    <w:rsid w:val="053F5432"/>
    <w:rsid w:val="064E7C45"/>
    <w:rsid w:val="09F844CC"/>
    <w:rsid w:val="0C2E2787"/>
    <w:rsid w:val="0CAE7D79"/>
    <w:rsid w:val="15EE44D7"/>
    <w:rsid w:val="197B011F"/>
    <w:rsid w:val="1AB5353E"/>
    <w:rsid w:val="1C317F37"/>
    <w:rsid w:val="1C527EEE"/>
    <w:rsid w:val="212526C8"/>
    <w:rsid w:val="21DF17AC"/>
    <w:rsid w:val="25720679"/>
    <w:rsid w:val="27B5253B"/>
    <w:rsid w:val="2C2E4C48"/>
    <w:rsid w:val="2D5F028F"/>
    <w:rsid w:val="35306958"/>
    <w:rsid w:val="3E127489"/>
    <w:rsid w:val="473960E8"/>
    <w:rsid w:val="482F04B2"/>
    <w:rsid w:val="51352836"/>
    <w:rsid w:val="514A736A"/>
    <w:rsid w:val="53F11EDB"/>
    <w:rsid w:val="57DC7F69"/>
    <w:rsid w:val="58A31F4C"/>
    <w:rsid w:val="5A033350"/>
    <w:rsid w:val="5CB139A0"/>
    <w:rsid w:val="5F7A7709"/>
    <w:rsid w:val="5F8751ED"/>
    <w:rsid w:val="67341FB4"/>
    <w:rsid w:val="723F2D64"/>
    <w:rsid w:val="755E1E93"/>
    <w:rsid w:val="7E3C29FA"/>
    <w:rsid w:val="7E4C7A10"/>
    <w:rsid w:val="7E583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DAF18-6DF3-455F-B1C0-7809513D760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65</Pages>
  <Words>5169</Words>
  <Characters>29464</Characters>
  <Lines>245</Lines>
  <Paragraphs>69</Paragraphs>
  <TotalTime>2</TotalTime>
  <ScaleCrop>false</ScaleCrop>
  <LinksUpToDate>false</LinksUpToDate>
  <CharactersWithSpaces>34564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2019-04-22T07:16:51Z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