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cs="黑体" w:asciiTheme="minorEastAsia" w:hAnsiTheme="minorEastAsia"/>
          <w:b/>
          <w:bCs/>
          <w:sz w:val="52"/>
          <w:szCs w:val="52"/>
        </w:rPr>
      </w:pPr>
    </w:p>
    <w:p>
      <w:pPr>
        <w:spacing w:line="600" w:lineRule="exact"/>
        <w:jc w:val="center"/>
        <w:rPr>
          <w:rFonts w:ascii="黑体" w:hAnsi="黑体" w:eastAsia="黑体" w:cs="黑体"/>
          <w:b/>
          <w:bCs/>
          <w:sz w:val="48"/>
          <w:szCs w:val="48"/>
        </w:rPr>
      </w:pPr>
      <w:r>
        <w:rPr>
          <w:rFonts w:hint="eastAsia" w:ascii="黑体" w:hAnsi="黑体" w:eastAsia="黑体" w:cs="黑体"/>
          <w:b/>
          <w:bCs/>
          <w:sz w:val="48"/>
          <w:szCs w:val="48"/>
        </w:rPr>
        <w:t>禹州市中医院新病房楼病床采购项目</w:t>
      </w:r>
    </w:p>
    <w:p>
      <w:pPr>
        <w:ind w:firstLine="1325" w:firstLineChars="300"/>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rPr>
          <w:rFonts w:ascii="微软简隶书" w:eastAsia="微软简隶书"/>
          <w:color w:val="000000"/>
        </w:rPr>
      </w:pPr>
    </w:p>
    <w:p>
      <w:pPr>
        <w:rPr>
          <w:rFonts w:ascii="微软简隶书" w:eastAsia="微软简隶书"/>
          <w:color w:val="000000"/>
        </w:rPr>
      </w:pPr>
    </w:p>
    <w:p>
      <w:pPr>
        <w:adjustRightInd w:val="0"/>
        <w:snapToGrid w:val="0"/>
        <w:spacing w:line="600" w:lineRule="auto"/>
        <w:ind w:firstLine="643" w:firstLineChars="200"/>
        <w:jc w:val="left"/>
        <w:rPr>
          <w:rFonts w:ascii="宋体" w:hAnsi="宋体" w:cs="宋体"/>
          <w:color w:val="000000"/>
          <w:sz w:val="28"/>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ab/>
      </w:r>
      <w:r>
        <w:rPr>
          <w:rFonts w:hint="eastAsia" w:ascii="宋体" w:hAnsi="宋体" w:cs="宋体"/>
          <w:color w:val="000000"/>
          <w:sz w:val="32"/>
          <w:szCs w:val="32"/>
          <w:u w:val="single"/>
        </w:rPr>
        <w:t>YZCG-</w:t>
      </w:r>
      <w:r>
        <w:rPr>
          <w:rFonts w:ascii="宋体" w:hAnsi="宋体" w:cs="宋体"/>
          <w:color w:val="000000"/>
          <w:sz w:val="32"/>
          <w:szCs w:val="32"/>
          <w:u w:val="single"/>
        </w:rPr>
        <w:t>DL2019</w:t>
      </w:r>
      <w:r>
        <w:rPr>
          <w:rFonts w:hint="eastAsia" w:ascii="宋体" w:hAnsi="宋体" w:cs="宋体"/>
          <w:color w:val="000000"/>
          <w:sz w:val="32"/>
          <w:szCs w:val="32"/>
          <w:u w:val="single"/>
          <w:lang w:val="en-US" w:eastAsia="zh-CN"/>
        </w:rPr>
        <w:t>007</w:t>
      </w:r>
      <w:r>
        <w:rPr>
          <w:rFonts w:ascii="宋体" w:hAnsi="宋体" w:cs="宋体"/>
          <w:color w:val="000000"/>
          <w:sz w:val="32"/>
          <w:szCs w:val="32"/>
          <w:u w:val="single"/>
        </w:rPr>
        <w:t xml:space="preserve">      </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 xml:space="preserve">：  </w:t>
      </w:r>
      <w:r>
        <w:rPr>
          <w:rFonts w:hint="eastAsia" w:ascii="宋体" w:hAnsi="宋体" w:cs="宋体"/>
          <w:color w:val="000000"/>
          <w:sz w:val="32"/>
          <w:szCs w:val="32"/>
          <w:u w:val="single"/>
        </w:rPr>
        <w:t>禹州市</w:t>
      </w:r>
      <w:r>
        <w:rPr>
          <w:rFonts w:hint="eastAsia" w:ascii="宋体" w:hAnsi="宋体" w:cs="宋体"/>
          <w:color w:val="000000"/>
          <w:sz w:val="32"/>
          <w:szCs w:val="32"/>
          <w:u w:val="single"/>
          <w:lang w:val="en-US" w:eastAsia="zh-CN"/>
        </w:rPr>
        <w:t>中医院</w:t>
      </w:r>
      <w:r>
        <w:rPr>
          <w:rFonts w:hint="eastAsia" w:ascii="宋体" w:hAnsi="宋体" w:cs="宋体"/>
          <w:color w:val="000000"/>
          <w:sz w:val="32"/>
          <w:szCs w:val="32"/>
          <w:u w:val="single"/>
        </w:rPr>
        <w:t xml:space="preserve">          </w:t>
      </w:r>
      <w:r>
        <w:rPr>
          <w:rFonts w:ascii="宋体" w:hAnsi="宋体" w:cs="宋体"/>
          <w:color w:val="000000"/>
          <w:sz w:val="32"/>
          <w:szCs w:val="32"/>
          <w:u w:val="single"/>
        </w:rPr>
        <w:t xml:space="preserve"> </w:t>
      </w:r>
    </w:p>
    <w:p>
      <w:pPr>
        <w:adjustRightInd w:val="0"/>
        <w:snapToGrid w:val="0"/>
        <w:spacing w:line="600" w:lineRule="auto"/>
        <w:ind w:firstLine="643" w:firstLineChars="200"/>
        <w:rPr>
          <w:rFonts w:hint="eastAsia" w:ascii="宋体" w:hAnsi="宋体" w:cs="宋体"/>
          <w:sz w:val="32"/>
          <w:szCs w:val="32"/>
          <w:u w:val="single"/>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sz w:val="32"/>
          <w:szCs w:val="32"/>
          <w:u w:val="single"/>
          <w:lang w:val="en-US" w:eastAsia="zh-CN"/>
        </w:rPr>
        <w:t>国咨项目管理有限公司</w:t>
      </w:r>
      <w:r>
        <w:rPr>
          <w:rFonts w:hint="eastAsia" w:ascii="宋体" w:hAnsi="宋体" w:cs="宋体"/>
          <w:sz w:val="32"/>
          <w:szCs w:val="32"/>
          <w:u w:val="single"/>
        </w:rPr>
        <w:t xml:space="preserve">  </w:t>
      </w:r>
    </w:p>
    <w:p>
      <w:pPr>
        <w:adjustRightInd w:val="0"/>
        <w:snapToGrid w:val="0"/>
        <w:spacing w:line="600" w:lineRule="auto"/>
        <w:ind w:firstLine="643" w:firstLineChars="200"/>
        <w:rPr>
          <w:rFonts w:hint="default" w:ascii="宋体" w:hAnsi="宋体" w:cs="宋体"/>
          <w:b w:val="0"/>
          <w:bCs w:val="0"/>
          <w:color w:val="000000"/>
          <w:sz w:val="32"/>
          <w:szCs w:val="32"/>
          <w:u w:val="single"/>
          <w:lang w:val="en-US" w:eastAsia="zh-CN"/>
        </w:rPr>
      </w:pPr>
      <w:r>
        <w:rPr>
          <w:rFonts w:hint="eastAsia" w:ascii="宋体" w:hAnsi="宋体" w:cs="宋体"/>
          <w:b/>
          <w:bCs/>
          <w:color w:val="000000"/>
          <w:sz w:val="32"/>
          <w:szCs w:val="32"/>
          <w:lang w:val="en-US" w:eastAsia="zh-CN"/>
        </w:rPr>
        <w:t>行政主管部门：</w:t>
      </w:r>
      <w:r>
        <w:rPr>
          <w:rFonts w:hint="eastAsia" w:ascii="宋体" w:hAnsi="宋体" w:cs="宋体"/>
          <w:b w:val="0"/>
          <w:bCs w:val="0"/>
          <w:color w:val="000000"/>
          <w:sz w:val="32"/>
          <w:szCs w:val="32"/>
          <w:u w:val="single"/>
          <w:lang w:val="en-US" w:eastAsia="zh-CN"/>
        </w:rPr>
        <w:t>禹州市卫生健康委员会</w:t>
      </w:r>
    </w:p>
    <w:p>
      <w:pPr>
        <w:pStyle w:val="2"/>
      </w:pPr>
    </w:p>
    <w:p>
      <w:pPr>
        <w:adjustRightInd w:val="0"/>
        <w:snapToGrid w:val="0"/>
        <w:spacing w:line="600" w:lineRule="auto"/>
        <w:rPr>
          <w:rFonts w:ascii="华文中宋" w:hAnsi="华文中宋" w:eastAsia="华文中宋"/>
          <w:bCs/>
          <w:color w:val="000000"/>
          <w:kern w:val="36"/>
          <w:sz w:val="32"/>
          <w:szCs w:val="32"/>
        </w:rPr>
        <w:sectPr>
          <w:footerReference r:id="rId3" w:type="even"/>
          <w:pgSz w:w="11907" w:h="16840"/>
          <w:pgMar w:top="1440" w:right="1474" w:bottom="1440" w:left="1474" w:header="907" w:footer="907" w:gutter="0"/>
          <w:pgNumType w:start="0"/>
          <w:cols w:space="720" w:num="1"/>
          <w:titlePg/>
          <w:docGrid w:linePitch="286" w:charSpace="0"/>
        </w:sectPr>
      </w:pPr>
      <w:r>
        <w:rPr>
          <w:rFonts w:hint="eastAsia" w:ascii="华文中宋" w:eastAsia="华文中宋"/>
          <w:b/>
          <w:bCs/>
          <w:color w:val="000000"/>
          <w:sz w:val="32"/>
          <w:szCs w:val="32"/>
        </w:rPr>
        <w:t xml:space="preserve">                   </w:t>
      </w:r>
      <w:r>
        <w:rPr>
          <w:rFonts w:hint="eastAsia" w:ascii="华文中宋" w:eastAsia="华文中宋"/>
          <w:color w:val="000000"/>
          <w:sz w:val="32"/>
          <w:szCs w:val="32"/>
        </w:rPr>
        <w:t xml:space="preserve">  二零一九年</w:t>
      </w:r>
      <w:r>
        <w:rPr>
          <w:rFonts w:hint="eastAsia" w:ascii="华文中宋" w:eastAsia="华文中宋"/>
          <w:color w:val="000000"/>
          <w:sz w:val="32"/>
          <w:szCs w:val="32"/>
          <w:lang w:val="en-US" w:eastAsia="zh-CN"/>
        </w:rPr>
        <w:t>三</w:t>
      </w:r>
      <w:r>
        <w:rPr>
          <w:rFonts w:hint="eastAsia" w:ascii="华文中宋" w:eastAsia="华文中宋"/>
          <w:color w:val="000000"/>
          <w:sz w:val="32"/>
          <w:szCs w:val="32"/>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
      </w:pPr>
    </w:p>
    <w:p>
      <w:pPr>
        <w:pStyle w:val="19"/>
        <w:widowControl/>
        <w:numPr>
          <w:ilvl w:val="0"/>
          <w:numId w:val="4"/>
        </w:numPr>
        <w:shd w:val="clear" w:color="auto" w:fill="FFFFFF"/>
        <w:spacing w:line="315" w:lineRule="atLeast"/>
        <w:jc w:val="center"/>
        <w:rPr>
          <w:rFonts w:ascii="仿宋" w:hAnsi="仿宋" w:eastAsia="仿宋" w:cs="仿宋"/>
          <w:b/>
          <w:bCs/>
          <w:sz w:val="44"/>
          <w:szCs w:val="44"/>
        </w:rPr>
      </w:pPr>
      <w:r>
        <w:rPr>
          <w:rFonts w:hint="eastAsia" w:ascii="仿宋" w:hAnsi="仿宋" w:eastAsia="仿宋" w:cs="仿宋"/>
          <w:b/>
          <w:bCs/>
          <w:sz w:val="44"/>
          <w:szCs w:val="44"/>
        </w:rPr>
        <w:t>投标邀请</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禹州市中医院新病房楼病床采购项目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autoSpaceDE w:val="0"/>
        <w:autoSpaceDN w:val="0"/>
        <w:adjustRightInd w:val="0"/>
        <w:spacing w:line="360" w:lineRule="auto"/>
        <w:ind w:firstLine="480" w:firstLineChars="200"/>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rPr>
        <w:t>国咨项目管理有限公司受禹州市</w:t>
      </w:r>
      <w:r>
        <w:rPr>
          <w:rFonts w:hint="eastAsia" w:cs="仿宋_GB2312" w:asciiTheme="minorEastAsia" w:hAnsiTheme="minorEastAsia"/>
          <w:color w:val="000000"/>
          <w:sz w:val="24"/>
          <w:szCs w:val="24"/>
          <w:lang w:val="en-US" w:eastAsia="zh-CN"/>
        </w:rPr>
        <w:t>中</w:t>
      </w:r>
      <w:r>
        <w:rPr>
          <w:rFonts w:hint="eastAsia" w:cs="仿宋_GB2312" w:asciiTheme="minorEastAsia" w:hAnsiTheme="minorEastAsia"/>
          <w:color w:val="000000"/>
          <w:sz w:val="24"/>
          <w:szCs w:val="24"/>
        </w:rPr>
        <w:t>医院的委托，就“禹州市中医院新病房楼病床采购项目”进行公开招标，欢迎合格投标人前来投标。</w:t>
      </w:r>
    </w:p>
    <w:p>
      <w:pPr>
        <w:autoSpaceDE w:val="0"/>
        <w:autoSpaceDN w:val="0"/>
        <w:adjustRightInd w:val="0"/>
        <w:spacing w:line="360" w:lineRule="auto"/>
        <w:rPr>
          <w:rFonts w:cs="仿宋_GB2312" w:asciiTheme="minorEastAsia" w:hAnsiTheme="minorEastAsia"/>
          <w:color w:val="000000"/>
          <w:szCs w:val="21"/>
        </w:rPr>
      </w:pPr>
      <w:r>
        <w:rPr>
          <w:rFonts w:hint="eastAsia" w:cs="仿宋_GB2312" w:asciiTheme="minorEastAsia" w:hAnsiTheme="minorEastAsia"/>
          <w:color w:val="000000"/>
          <w:sz w:val="24"/>
          <w:szCs w:val="24"/>
        </w:rPr>
        <w:t>一、项目基本情况</w:t>
      </w:r>
    </w:p>
    <w:p>
      <w:pPr>
        <w:autoSpaceDE w:val="0"/>
        <w:autoSpaceDN w:val="0"/>
        <w:adjustRightInd w:val="0"/>
        <w:spacing w:line="360" w:lineRule="auto"/>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rPr>
        <w:t>1、采购人：禹州市</w:t>
      </w:r>
      <w:r>
        <w:rPr>
          <w:rFonts w:hint="eastAsia" w:cs="仿宋_GB2312" w:asciiTheme="minorEastAsia" w:hAnsiTheme="minorEastAsia"/>
          <w:color w:val="000000"/>
          <w:sz w:val="24"/>
          <w:szCs w:val="24"/>
          <w:lang w:val="en-US" w:eastAsia="zh-CN"/>
        </w:rPr>
        <w:t>中</w:t>
      </w:r>
      <w:r>
        <w:rPr>
          <w:rFonts w:hint="eastAsia" w:cs="仿宋_GB2312" w:asciiTheme="minorEastAsia" w:hAnsiTheme="minorEastAsia"/>
          <w:color w:val="000000"/>
          <w:sz w:val="24"/>
          <w:szCs w:val="24"/>
        </w:rPr>
        <w:t>医院；</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2、项目名称：禹州市中医院新病房楼病床采购项目；</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3、采购编号：YZCG-DL201</w:t>
      </w:r>
      <w:r>
        <w:rPr>
          <w:rFonts w:cs="仿宋_GB2312" w:asciiTheme="minorEastAsia" w:hAnsiTheme="minorEastAsia"/>
          <w:color w:val="000000"/>
          <w:sz w:val="24"/>
          <w:szCs w:val="24"/>
        </w:rPr>
        <w:t>9</w:t>
      </w:r>
      <w:r>
        <w:rPr>
          <w:rFonts w:hint="eastAsia" w:cs="仿宋_GB2312" w:asciiTheme="minorEastAsia" w:hAnsiTheme="minorEastAsia"/>
          <w:color w:val="000000"/>
          <w:sz w:val="24"/>
          <w:szCs w:val="24"/>
          <w:lang w:val="en-US" w:eastAsia="zh-CN"/>
        </w:rPr>
        <w:t>007</w:t>
      </w:r>
      <w:r>
        <w:rPr>
          <w:rFonts w:cs="仿宋_GB2312" w:asciiTheme="minorEastAsia" w:hAnsiTheme="minorEastAsia"/>
          <w:color w:val="000000"/>
          <w:sz w:val="24"/>
          <w:szCs w:val="24"/>
        </w:rPr>
        <w:t xml:space="preserve">; </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4、项目主要内容、数量及要求</w:t>
      </w:r>
      <w:r>
        <w:rPr>
          <w:rFonts w:hint="eastAsia" w:cs="仿宋_GB2312" w:asciiTheme="minorEastAsia" w:hAnsiTheme="minorEastAsia"/>
          <w:color w:val="000000"/>
          <w:sz w:val="24"/>
          <w:szCs w:val="24"/>
          <w:lang w:eastAsia="zh-CN"/>
        </w:rPr>
        <w:t>：</w:t>
      </w:r>
      <w:r>
        <w:rPr>
          <w:rFonts w:hint="eastAsia" w:cs="仿宋_GB2312" w:asciiTheme="minorEastAsia" w:hAnsiTheme="minorEastAsia"/>
          <w:color w:val="000000"/>
          <w:sz w:val="24"/>
          <w:szCs w:val="24"/>
        </w:rPr>
        <w:t>详见招标文件第二章项目需求；</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5、采购预算：¥</w:t>
      </w:r>
      <w:r>
        <w:rPr>
          <w:rFonts w:hint="eastAsia" w:cs="仿宋_GB2312" w:asciiTheme="minorEastAsia" w:hAnsiTheme="minorEastAsia"/>
          <w:color w:val="000000"/>
          <w:sz w:val="24"/>
          <w:szCs w:val="24"/>
          <w:lang w:val="en-US" w:eastAsia="zh-CN"/>
        </w:rPr>
        <w:t xml:space="preserve"> 223.69万</w:t>
      </w:r>
      <w:r>
        <w:rPr>
          <w:rFonts w:hint="eastAsia" w:cs="仿宋_GB2312" w:asciiTheme="minorEastAsia" w:hAnsiTheme="minorEastAsia"/>
          <w:color w:val="000000"/>
          <w:sz w:val="24"/>
          <w:szCs w:val="24"/>
        </w:rPr>
        <w:t xml:space="preserve">元； </w:t>
      </w:r>
    </w:p>
    <w:p>
      <w:pPr>
        <w:autoSpaceDE w:val="0"/>
        <w:autoSpaceDN w:val="0"/>
        <w:adjustRightInd w:val="0"/>
        <w:spacing w:line="360" w:lineRule="auto"/>
        <w:rPr>
          <w:rFonts w:hint="eastAsia" w:cs="仿宋_GB2312" w:asciiTheme="minorEastAsia" w:hAnsiTheme="minorEastAsia" w:eastAsiaTheme="minorEastAsia"/>
          <w:color w:val="000000"/>
          <w:sz w:val="24"/>
          <w:szCs w:val="24"/>
          <w:lang w:eastAsia="zh-CN"/>
        </w:rPr>
      </w:pPr>
      <w:r>
        <w:rPr>
          <w:rFonts w:hint="eastAsia" w:cs="仿宋_GB2312" w:asciiTheme="minorEastAsia" w:hAnsiTheme="minorEastAsia"/>
          <w:color w:val="000000"/>
          <w:sz w:val="24"/>
          <w:szCs w:val="24"/>
        </w:rPr>
        <w:t>6、采购限价：¥</w:t>
      </w:r>
      <w:r>
        <w:rPr>
          <w:rFonts w:hint="eastAsia" w:cs="仿宋_GB2312" w:asciiTheme="minorEastAsia" w:hAnsiTheme="minorEastAsia"/>
          <w:color w:val="000000"/>
          <w:sz w:val="24"/>
          <w:szCs w:val="24"/>
          <w:lang w:val="en-US" w:eastAsia="zh-CN"/>
        </w:rPr>
        <w:t xml:space="preserve"> 223.69万</w:t>
      </w:r>
      <w:r>
        <w:rPr>
          <w:rFonts w:hint="eastAsia" w:cs="仿宋_GB2312" w:asciiTheme="minorEastAsia" w:hAnsiTheme="minorEastAsia"/>
          <w:color w:val="000000"/>
          <w:sz w:val="24"/>
          <w:szCs w:val="24"/>
        </w:rPr>
        <w:t>元</w:t>
      </w:r>
      <w:r>
        <w:rPr>
          <w:rFonts w:hint="eastAsia" w:cs="仿宋_GB2312" w:asciiTheme="minorEastAsia" w:hAnsiTheme="minorEastAsia"/>
          <w:color w:val="000000"/>
          <w:sz w:val="24"/>
          <w:szCs w:val="24"/>
          <w:lang w:eastAsia="zh-CN"/>
        </w:rPr>
        <w:t>；</w:t>
      </w:r>
    </w:p>
    <w:p>
      <w:pPr>
        <w:pStyle w:val="2"/>
        <w:rPr>
          <w:rFonts w:hint="eastAsia" w:cs="仿宋_GB2312" w:asciiTheme="minorEastAsia" w:hAnsiTheme="minorEastAsia" w:eastAsiaTheme="minorEastAsia"/>
          <w:color w:val="000000"/>
          <w:sz w:val="24"/>
          <w:szCs w:val="24"/>
          <w:lang w:eastAsia="zh-CN"/>
        </w:rPr>
      </w:pPr>
      <w:r>
        <w:rPr>
          <w:rFonts w:hint="eastAsia" w:cs="仿宋_GB2312" w:asciiTheme="minorEastAsia" w:hAnsiTheme="minorEastAsia"/>
          <w:color w:val="000000"/>
          <w:sz w:val="24"/>
          <w:szCs w:val="24"/>
        </w:rPr>
        <w:t>7、</w:t>
      </w:r>
      <w:r>
        <w:rPr>
          <w:rFonts w:hint="eastAsia" w:cs="仿宋_GB2312" w:asciiTheme="minorEastAsia" w:hAnsiTheme="minorEastAsia"/>
          <w:color w:val="000000"/>
          <w:sz w:val="24"/>
          <w:szCs w:val="24"/>
          <w:lang w:val="en-US" w:eastAsia="zh-CN"/>
        </w:rPr>
        <w:t>交付时间</w:t>
      </w:r>
      <w:r>
        <w:rPr>
          <w:rFonts w:hint="eastAsia" w:cs="仿宋_GB2312" w:asciiTheme="minorEastAsia" w:hAnsiTheme="minorEastAsia"/>
          <w:color w:val="000000"/>
          <w:sz w:val="24"/>
          <w:szCs w:val="24"/>
        </w:rPr>
        <w:t>：合同签订后</w:t>
      </w:r>
      <w:r>
        <w:rPr>
          <w:rFonts w:hint="eastAsia" w:cs="仿宋_GB2312" w:asciiTheme="minorEastAsia" w:hAnsiTheme="minorEastAsia"/>
          <w:color w:val="000000"/>
          <w:sz w:val="24"/>
          <w:szCs w:val="24"/>
          <w:lang w:val="en-US" w:eastAsia="zh-CN"/>
        </w:rPr>
        <w:t>15天</w:t>
      </w:r>
      <w:r>
        <w:rPr>
          <w:rFonts w:hint="eastAsia" w:cs="仿宋_GB2312" w:asciiTheme="minorEastAsia" w:hAnsiTheme="minorEastAsia"/>
          <w:color w:val="000000"/>
          <w:sz w:val="24"/>
          <w:szCs w:val="24"/>
        </w:rPr>
        <w:t>内</w:t>
      </w:r>
      <w:r>
        <w:rPr>
          <w:rFonts w:hint="eastAsia" w:cs="仿宋_GB2312" w:asciiTheme="minorEastAsia" w:hAnsiTheme="minorEastAsia"/>
          <w:color w:val="000000"/>
          <w:sz w:val="24"/>
          <w:szCs w:val="24"/>
          <w:lang w:eastAsia="zh-CN"/>
        </w:rPr>
        <w:t>；</w:t>
      </w:r>
    </w:p>
    <w:p>
      <w:pPr>
        <w:pStyle w:val="2"/>
        <w:rPr>
          <w:rFonts w:cs="仿宋_GB2312" w:asciiTheme="minorEastAsia" w:hAnsiTheme="minorEastAsia"/>
          <w:color w:val="000000"/>
          <w:sz w:val="24"/>
          <w:szCs w:val="24"/>
        </w:rPr>
      </w:pPr>
      <w:r>
        <w:rPr>
          <w:rFonts w:hint="eastAsia" w:cs="仿宋_GB2312" w:asciiTheme="minorEastAsia" w:hAnsiTheme="minorEastAsia"/>
          <w:color w:val="000000"/>
          <w:sz w:val="24"/>
          <w:szCs w:val="24"/>
        </w:rPr>
        <w:t>8、服务地点：禹州市</w:t>
      </w:r>
      <w:r>
        <w:rPr>
          <w:rFonts w:hint="eastAsia" w:cs="仿宋_GB2312" w:asciiTheme="minorEastAsia" w:hAnsiTheme="minorEastAsia"/>
          <w:color w:val="000000"/>
          <w:sz w:val="24"/>
          <w:szCs w:val="24"/>
          <w:lang w:val="en-US" w:eastAsia="zh-CN"/>
        </w:rPr>
        <w:t>中</w:t>
      </w:r>
      <w:r>
        <w:rPr>
          <w:rFonts w:hint="eastAsia" w:cs="仿宋_GB2312" w:asciiTheme="minorEastAsia" w:hAnsiTheme="minorEastAsia"/>
          <w:color w:val="000000"/>
          <w:sz w:val="24"/>
          <w:szCs w:val="24"/>
        </w:rPr>
        <w:t>医院。</w:t>
      </w:r>
    </w:p>
    <w:p>
      <w:pPr>
        <w:pStyle w:val="2"/>
        <w:rPr>
          <w:rFonts w:cs="仿宋_GB2312" w:asciiTheme="minorEastAsia" w:hAnsiTheme="minorEastAsia"/>
          <w:color w:val="000000"/>
          <w:sz w:val="24"/>
          <w:szCs w:val="24"/>
        </w:rPr>
      </w:pPr>
      <w:r>
        <w:rPr>
          <w:rFonts w:cs="仿宋_GB2312" w:asciiTheme="minorEastAsia" w:hAnsiTheme="minorEastAsia"/>
          <w:color w:val="000000"/>
          <w:sz w:val="24"/>
          <w:szCs w:val="24"/>
        </w:rPr>
        <w:t>9</w:t>
      </w:r>
      <w:r>
        <w:rPr>
          <w:rFonts w:hint="eastAsia" w:cs="仿宋_GB2312" w:asciiTheme="minorEastAsia" w:hAnsiTheme="minorEastAsia"/>
          <w:color w:val="000000"/>
          <w:sz w:val="24"/>
          <w:szCs w:val="24"/>
        </w:rPr>
        <w:t>、标段划分：本项目共划分为一个标段：</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二、需要落实的政府采购政策</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本项目落实节约能源、保护环境、促进中小企业、监狱企业发展</w:t>
      </w:r>
      <w:r>
        <w:rPr>
          <w:rFonts w:hint="eastAsia" w:cs="仿宋_GB2312" w:asciiTheme="minorEastAsia" w:hAnsiTheme="minorEastAsia"/>
          <w:color w:val="000000"/>
          <w:sz w:val="24"/>
          <w:szCs w:val="24"/>
          <w:lang w:eastAsia="zh-CN"/>
        </w:rPr>
        <w:t>、</w:t>
      </w:r>
      <w:r>
        <w:rPr>
          <w:rFonts w:hint="eastAsia" w:cs="仿宋_GB2312" w:asciiTheme="minorEastAsia" w:hAnsiTheme="minorEastAsia"/>
          <w:color w:val="000000"/>
          <w:sz w:val="24"/>
          <w:szCs w:val="24"/>
        </w:rPr>
        <w:t>残疾人福利性单位等政府采购政策。（详见招标文件）.</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三、供应商资格要求：</w:t>
      </w:r>
    </w:p>
    <w:p>
      <w:pPr>
        <w:autoSpaceDE w:val="0"/>
        <w:autoSpaceDN w:val="0"/>
        <w:adjustRightInd w:val="0"/>
        <w:spacing w:line="360" w:lineRule="auto"/>
        <w:ind w:firstLine="560"/>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rPr>
        <w:t>1、符合《政府采购法》第二十二条之规定，具有独立法人资格及相应的经营范围（营业执照）；</w:t>
      </w:r>
    </w:p>
    <w:p>
      <w:pPr>
        <w:autoSpaceDE w:val="0"/>
        <w:autoSpaceDN w:val="0"/>
        <w:adjustRightInd w:val="0"/>
        <w:spacing w:line="360" w:lineRule="auto"/>
        <w:ind w:firstLine="560"/>
        <w:rPr>
          <w:rFonts w:hint="eastAsia"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lang w:val="en-US" w:eastAsia="zh-CN"/>
          <w14:textFill>
            <w14:solidFill>
              <w14:schemeClr w14:val="tx1"/>
            </w14:solidFill>
          </w14:textFill>
        </w:rPr>
        <w:t>2、</w:t>
      </w:r>
      <w:r>
        <w:rPr>
          <w:rFonts w:hint="eastAsia" w:cs="仿宋_GB2312" w:asciiTheme="minorEastAsia" w:hAnsiTheme="minorEastAsia"/>
          <w:color w:val="000000" w:themeColor="text1"/>
          <w:sz w:val="24"/>
          <w:szCs w:val="24"/>
          <w:highlight w:val="none"/>
          <w14:textFill>
            <w14:solidFill>
              <w14:schemeClr w14:val="tx1"/>
            </w14:solidFill>
          </w14:textFill>
        </w:rPr>
        <w:t>具有相应范围的《医疗器械生产许可证》或《医疗器械经营许可证》经营范围涵盖所投包号产品，并具有投标产品的《中华人民共和国医疗器械注册证》并加盖投标人公章的原件扫描件（或图片）；</w:t>
      </w:r>
    </w:p>
    <w:p>
      <w:pPr>
        <w:autoSpaceDE w:val="0"/>
        <w:autoSpaceDN w:val="0"/>
        <w:adjustRightInd w:val="0"/>
        <w:spacing w:line="360" w:lineRule="auto"/>
        <w:ind w:firstLine="560"/>
        <w:rPr>
          <w:rFonts w:hint="eastAsia" w:cs="仿宋_GB2312" w:asciiTheme="minorEastAsia" w:hAnsiTheme="minorEastAsia"/>
          <w:color w:val="000000" w:themeColor="text1"/>
          <w:sz w:val="24"/>
          <w:szCs w:val="24"/>
          <w:lang w:val="en-US" w:eastAsia="zh-CN"/>
          <w14:textFill>
            <w14:solidFill>
              <w14:schemeClr w14:val="tx1"/>
            </w14:solidFill>
          </w14:textFill>
        </w:rPr>
      </w:pPr>
      <w:r>
        <w:rPr>
          <w:rFonts w:hint="eastAsia" w:cs="仿宋_GB2312" w:asciiTheme="minorEastAsia" w:hAnsiTheme="minorEastAsia"/>
          <w:color w:val="000000" w:themeColor="text1"/>
          <w:sz w:val="24"/>
          <w:szCs w:val="24"/>
          <w:lang w:val="en-US" w:eastAsia="zh-CN"/>
          <w14:textFill>
            <w14:solidFill>
              <w14:schemeClr w14:val="tx1"/>
            </w14:solidFill>
          </w14:textFill>
        </w:rPr>
        <w:t>3、未被列入“信用中国”网站(www.creditchina.gov.cn)失信被执行人、重大税收违法案件当事人名单、政府采购严重违法失信名单的投标人；“中国政府采购网”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autoSpaceDE w:val="0"/>
        <w:autoSpaceDN w:val="0"/>
        <w:adjustRightInd w:val="0"/>
        <w:spacing w:line="360" w:lineRule="auto"/>
        <w:ind w:firstLine="560"/>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lang w:val="en-US" w:eastAsia="zh-CN"/>
        </w:rPr>
        <w:t>4</w:t>
      </w:r>
      <w:r>
        <w:rPr>
          <w:rFonts w:hint="eastAsia" w:cs="仿宋_GB2312" w:asciiTheme="minorEastAsia" w:hAnsiTheme="minorEastAsia"/>
          <w:color w:val="000000"/>
          <w:sz w:val="24"/>
          <w:szCs w:val="24"/>
        </w:rPr>
        <w:t>、本项目不接受联合体投标。</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四、获取招标文件的方式、时间、地点</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1、持CA数字认证证书，登录</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http://221.14.6.70:8088/ggzy/eps/public/RegistAllJcxx.html进行免费注册登记（详见全国公共资源交易平台（河南省•许昌市）“常见问题解答-诚信库网上注册相关资料下载”）；</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2、在投标截止时间前登录http://221.14.6.70:8088/ggzy/，自行下载招标文件（详见全国公共资源交易平台（河南省•许昌市）“常见问题解答-交易系统操作手册”）。</w:t>
      </w:r>
    </w:p>
    <w:p>
      <w:pPr>
        <w:autoSpaceDE w:val="0"/>
        <w:autoSpaceDN w:val="0"/>
        <w:adjustRightInd w:val="0"/>
        <w:spacing w:line="360" w:lineRule="auto"/>
        <w:ind w:firstLine="560"/>
      </w:pPr>
      <w:r>
        <w:rPr>
          <w:rFonts w:hint="eastAsia" w:cs="仿宋_GB2312" w:asciiTheme="minorEastAsia" w:hAnsiTheme="minorEastAsia"/>
          <w:color w:val="000000"/>
          <w:sz w:val="24"/>
          <w:szCs w:val="24"/>
        </w:rPr>
        <w:t>3、未通过全国公共资源交易平台（河南省•许昌市）下载招标文件的投标企业，拒收其递交的投标文件。</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4、招标文件每份售价人民币</w:t>
      </w:r>
      <w:r>
        <w:rPr>
          <w:rFonts w:cs="仿宋_GB2312" w:asciiTheme="minorEastAsia" w:hAnsiTheme="minorEastAsia"/>
          <w:color w:val="000000"/>
          <w:sz w:val="24"/>
          <w:szCs w:val="24"/>
        </w:rPr>
        <w:t>5</w:t>
      </w:r>
      <w:r>
        <w:rPr>
          <w:rFonts w:hint="eastAsia" w:cs="仿宋_GB2312" w:asciiTheme="minorEastAsia" w:hAnsiTheme="minorEastAsia"/>
          <w:color w:val="000000"/>
          <w:sz w:val="24"/>
          <w:szCs w:val="24"/>
        </w:rPr>
        <w:t>00元，于递交投标文件时缴纳给采购代理机构，售后不退。</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五、投标截止时间、开标时间及地点：</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1、投标截止及开标时间：2019年</w:t>
      </w:r>
      <w:r>
        <w:rPr>
          <w:rFonts w:hint="eastAsia" w:cs="仿宋_GB2312" w:asciiTheme="minorEastAsia" w:hAnsiTheme="minorEastAsia"/>
          <w:color w:val="000000"/>
          <w:sz w:val="24"/>
          <w:szCs w:val="24"/>
          <w:lang w:val="en-US" w:eastAsia="zh-CN"/>
        </w:rPr>
        <w:t>4</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16</w:t>
      </w:r>
      <w:r>
        <w:rPr>
          <w:rFonts w:hint="eastAsia" w:cs="仿宋_GB2312" w:asciiTheme="minorEastAsia" w:hAnsiTheme="minorEastAsia"/>
          <w:color w:val="000000"/>
          <w:sz w:val="24"/>
          <w:szCs w:val="24"/>
        </w:rPr>
        <w:t>日上午</w:t>
      </w:r>
      <w:r>
        <w:rPr>
          <w:rFonts w:hint="eastAsia" w:cs="仿宋_GB2312" w:asciiTheme="minorEastAsia" w:hAnsiTheme="minorEastAsia"/>
          <w:color w:val="000000"/>
          <w:sz w:val="24"/>
          <w:szCs w:val="24"/>
          <w:lang w:val="en-US" w:eastAsia="zh-CN"/>
        </w:rPr>
        <w:t>9</w:t>
      </w:r>
      <w:r>
        <w:rPr>
          <w:rFonts w:hint="eastAsia" w:cs="仿宋_GB2312" w:asciiTheme="minorEastAsia" w:hAnsiTheme="minorEastAsia"/>
          <w:color w:val="000000"/>
          <w:sz w:val="24"/>
          <w:szCs w:val="24"/>
        </w:rPr>
        <w:t>时</w:t>
      </w:r>
      <w:r>
        <w:rPr>
          <w:rFonts w:hint="eastAsia" w:cs="仿宋_GB2312" w:asciiTheme="minorEastAsia" w:hAnsiTheme="minorEastAsia"/>
          <w:color w:val="000000"/>
          <w:sz w:val="24"/>
          <w:szCs w:val="24"/>
          <w:lang w:val="en-US" w:eastAsia="zh-CN"/>
        </w:rPr>
        <w:t>00</w:t>
      </w:r>
      <w:r>
        <w:rPr>
          <w:rFonts w:hint="eastAsia" w:cs="仿宋_GB2312" w:asciiTheme="minorEastAsia" w:hAnsiTheme="minorEastAsia"/>
          <w:color w:val="000000"/>
          <w:sz w:val="24"/>
          <w:szCs w:val="24"/>
        </w:rPr>
        <w:t>分（北京时间），逾期送达或不符合规定的投标文件不予接受。</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2、开标地点：禹州市公共资源交易中心第一开标室（禹州市行政服务中心楼9楼） </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3、本项目为全流程电子化交易项目，投标人须提交电子投标文件和纸质投标文件。</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w:t>
      </w:r>
      <w:r>
        <w:rPr>
          <w:rFonts w:cs="仿宋_GB2312" w:asciiTheme="minorEastAsia" w:hAnsiTheme="minorEastAsia"/>
          <w:color w:val="000000"/>
          <w:sz w:val="24"/>
          <w:szCs w:val="24"/>
        </w:rPr>
        <w:t>1</w:t>
      </w:r>
      <w:r>
        <w:rPr>
          <w:rFonts w:hint="eastAsia" w:cs="仿宋_GB2312" w:asciiTheme="minorEastAsia" w:hAnsiTheme="minorEastAsia"/>
          <w:color w:val="000000"/>
          <w:sz w:val="24"/>
          <w:szCs w:val="24"/>
        </w:rPr>
        <w:t>）加密电子投标文件（</w:t>
      </w:r>
      <w:r>
        <w:rPr>
          <w:rFonts w:cs="仿宋_GB2312" w:asciiTheme="minorEastAsia" w:hAnsiTheme="minorEastAsia"/>
          <w:color w:val="000000"/>
          <w:sz w:val="24"/>
          <w:szCs w:val="24"/>
        </w:rPr>
        <w:t>.file</w:t>
      </w:r>
      <w:r>
        <w:rPr>
          <w:rFonts w:hint="eastAsia" w:cs="仿宋_GB2312" w:asciiTheme="minorEastAsia" w:hAnsiTheme="minorEastAsia"/>
          <w:color w:val="000000"/>
          <w:sz w:val="24"/>
          <w:szCs w:val="24"/>
        </w:rPr>
        <w:t>格式）须在投标截止时间（开标时间）前通过《全国公共资源交易平台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》公共资源交易系统成功上传。</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（2）纸质投标文件（正本1份、副本</w:t>
      </w:r>
      <w:r>
        <w:rPr>
          <w:rFonts w:cs="仿宋_GB2312" w:asciiTheme="minorEastAsia" w:hAnsiTheme="minorEastAsia"/>
          <w:color w:val="000000"/>
          <w:sz w:val="24"/>
          <w:szCs w:val="24"/>
        </w:rPr>
        <w:t>4</w:t>
      </w:r>
      <w:r>
        <w:rPr>
          <w:rFonts w:hint="eastAsia" w:cs="仿宋_GB2312" w:asciiTheme="minorEastAsia" w:hAnsiTheme="minorEastAsia"/>
          <w:color w:val="000000"/>
          <w:sz w:val="24"/>
          <w:szCs w:val="24"/>
        </w:rPr>
        <w:t>份）和备份文件1份（使用电子介质存储）在投标截止时间（开标时间）前递交至本项目开标地点。</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六、本次招标公告同时在《中国政府采购网》、《河南省政府采购网》、《全国公共资源交易平台（河南省•许昌市）》发布等。</w:t>
      </w:r>
    </w:p>
    <w:p>
      <w:pPr>
        <w:pStyle w:val="2"/>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七、公告期限</w:t>
      </w:r>
    </w:p>
    <w:p>
      <w:pPr>
        <w:pStyle w:val="2"/>
        <w:ind w:firstLine="720" w:firstLineChars="3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本招标公告自发布之日起公告期限为5个工作日。</w:t>
      </w:r>
    </w:p>
    <w:p>
      <w:pPr>
        <w:pStyle w:val="2"/>
      </w:pPr>
      <w:r>
        <w:rPr>
          <w:rFonts w:hint="eastAsia" w:ascii="宋体" w:hAnsi="宋体" w:eastAsia="宋体" w:cs="仿宋"/>
          <w:color w:val="000000"/>
          <w:kern w:val="0"/>
          <w:sz w:val="24"/>
          <w:szCs w:val="24"/>
        </w:rPr>
        <w:t>八、代理机构及采购单位地址、联系人、联系电话</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采购单位：禹州市中医院</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地址：禹州市钧官窑路69号</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 xml:space="preserve">联系人： 赵先生       </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联系电话：13937419663    </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lang w:val="en-US" w:eastAsia="zh-CN"/>
        </w:rPr>
      </w:pPr>
      <w:r>
        <w:rPr>
          <w:rFonts w:hint="eastAsia" w:ascii="宋体" w:hAnsi="宋体" w:eastAsia="宋体" w:cs="仿宋"/>
          <w:color w:val="000000"/>
          <w:kern w:val="0"/>
          <w:sz w:val="24"/>
          <w:szCs w:val="24"/>
        </w:rPr>
        <w:t>代理机构：</w:t>
      </w:r>
      <w:r>
        <w:rPr>
          <w:rFonts w:hint="eastAsia" w:ascii="宋体" w:hAnsi="宋体" w:eastAsia="宋体" w:cs="仿宋"/>
          <w:color w:val="000000"/>
          <w:kern w:val="0"/>
          <w:sz w:val="24"/>
          <w:szCs w:val="24"/>
          <w:lang w:val="en-US" w:eastAsia="zh-CN"/>
        </w:rPr>
        <w:t>国咨项目管理有限公司</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联系人：</w:t>
      </w:r>
      <w:r>
        <w:rPr>
          <w:rFonts w:hint="eastAsia" w:ascii="宋体" w:hAnsi="宋体" w:eastAsia="宋体" w:cs="仿宋"/>
          <w:color w:val="000000"/>
          <w:kern w:val="0"/>
          <w:sz w:val="24"/>
          <w:szCs w:val="24"/>
          <w:lang w:val="en-US" w:eastAsia="zh-CN"/>
        </w:rPr>
        <w:t>闫</w:t>
      </w:r>
      <w:r>
        <w:rPr>
          <w:rFonts w:hint="eastAsia" w:ascii="宋体" w:hAnsi="宋体" w:eastAsia="宋体" w:cs="仿宋"/>
          <w:color w:val="000000"/>
          <w:kern w:val="0"/>
          <w:sz w:val="24"/>
          <w:szCs w:val="24"/>
        </w:rPr>
        <w:t xml:space="preserve">先生          </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lang w:val="en-US" w:eastAsia="zh-CN"/>
        </w:rPr>
      </w:pPr>
      <w:r>
        <w:rPr>
          <w:rFonts w:hint="eastAsia" w:ascii="宋体" w:hAnsi="宋体" w:eastAsia="宋体" w:cs="仿宋"/>
          <w:color w:val="000000"/>
          <w:kern w:val="0"/>
          <w:sz w:val="24"/>
          <w:szCs w:val="24"/>
        </w:rPr>
        <w:t>联系电话：0374-</w:t>
      </w:r>
      <w:r>
        <w:rPr>
          <w:rFonts w:hint="eastAsia" w:ascii="宋体" w:hAnsi="宋体" w:eastAsia="宋体" w:cs="仿宋"/>
          <w:color w:val="000000"/>
          <w:kern w:val="0"/>
          <w:sz w:val="24"/>
          <w:szCs w:val="24"/>
          <w:lang w:val="en-US" w:eastAsia="zh-CN"/>
        </w:rPr>
        <w:t>8080008</w:t>
      </w:r>
    </w:p>
    <w:p>
      <w:pPr>
        <w:widowControl/>
        <w:shd w:val="clear" w:color="auto" w:fill="FFFFFF"/>
        <w:spacing w:line="360" w:lineRule="auto"/>
        <w:ind w:firstLine="720" w:firstLineChars="300"/>
        <w:jc w:val="left"/>
        <w:rPr>
          <w:rFonts w:hint="default" w:ascii="宋体" w:hAnsi="宋体" w:eastAsia="宋体" w:cs="仿宋"/>
          <w:color w:val="000000"/>
          <w:kern w:val="0"/>
          <w:sz w:val="24"/>
          <w:szCs w:val="24"/>
          <w:lang w:val="en-US" w:eastAsia="zh-CN"/>
        </w:rPr>
      </w:pPr>
      <w:r>
        <w:rPr>
          <w:rFonts w:hint="eastAsia" w:ascii="宋体" w:hAnsi="宋体" w:eastAsia="宋体" w:cs="仿宋"/>
          <w:color w:val="000000"/>
          <w:kern w:val="0"/>
          <w:sz w:val="24"/>
          <w:szCs w:val="24"/>
          <w:lang w:val="en-US" w:eastAsia="zh-CN"/>
        </w:rPr>
        <w:t>行政主管部门：禹州市卫生健康委员会</w:t>
      </w:r>
    </w:p>
    <w:p>
      <w:pPr>
        <w:pStyle w:val="2"/>
        <w:rPr>
          <w:rFonts w:hint="eastAsia"/>
          <w:lang w:val="en-US" w:eastAsia="zh-CN"/>
        </w:rPr>
      </w:pPr>
    </w:p>
    <w:p>
      <w:pPr>
        <w:spacing w:line="360" w:lineRule="auto"/>
        <w:ind w:firstLine="4080" w:firstLineChars="1700"/>
        <w:rPr>
          <w:rFonts w:ascii="宋体" w:hAnsi="宋体" w:eastAsia="宋体" w:cs="仿宋"/>
          <w:sz w:val="24"/>
          <w:szCs w:val="24"/>
        </w:rPr>
      </w:pPr>
      <w:bookmarkStart w:id="18" w:name="_GoBack"/>
      <w:bookmarkEnd w:id="18"/>
      <w:r>
        <w:rPr>
          <w:rFonts w:hint="eastAsia" w:ascii="宋体" w:hAnsi="宋体" w:eastAsia="宋体" w:cs="仿宋"/>
          <w:sz w:val="24"/>
          <w:szCs w:val="24"/>
        </w:rPr>
        <w:t xml:space="preserve">   </w:t>
      </w:r>
      <w:r>
        <w:rPr>
          <w:rFonts w:ascii="宋体" w:hAnsi="宋体" w:eastAsia="宋体" w:cs="仿宋"/>
          <w:sz w:val="24"/>
          <w:szCs w:val="24"/>
        </w:rPr>
        <w:t xml:space="preserve">      </w:t>
      </w:r>
      <w:r>
        <w:rPr>
          <w:rFonts w:hint="eastAsia" w:ascii="宋体" w:hAnsi="宋体" w:eastAsia="宋体" w:cs="仿宋"/>
          <w:sz w:val="24"/>
          <w:szCs w:val="24"/>
        </w:rPr>
        <w:t xml:space="preserve"> 201</w:t>
      </w:r>
      <w:r>
        <w:rPr>
          <w:rFonts w:ascii="宋体" w:hAnsi="宋体" w:eastAsia="宋体" w:cs="仿宋"/>
          <w:sz w:val="24"/>
          <w:szCs w:val="24"/>
        </w:rPr>
        <w:t>9</w:t>
      </w:r>
      <w:r>
        <w:rPr>
          <w:rFonts w:hint="eastAsia" w:ascii="宋体" w:hAnsi="宋体" w:eastAsia="宋体" w:cs="仿宋"/>
          <w:sz w:val="24"/>
          <w:szCs w:val="24"/>
        </w:rPr>
        <w:t>年</w:t>
      </w:r>
      <w:r>
        <w:rPr>
          <w:rFonts w:hint="eastAsia" w:ascii="宋体" w:hAnsi="宋体" w:eastAsia="宋体" w:cs="仿宋"/>
          <w:sz w:val="24"/>
          <w:szCs w:val="24"/>
          <w:lang w:val="en-US" w:eastAsia="zh-CN"/>
        </w:rPr>
        <w:t>3</w:t>
      </w:r>
      <w:r>
        <w:rPr>
          <w:rFonts w:hint="eastAsia" w:ascii="宋体" w:hAnsi="宋体" w:eastAsia="宋体" w:cs="仿宋"/>
          <w:sz w:val="24"/>
          <w:szCs w:val="24"/>
        </w:rPr>
        <w:t>月</w:t>
      </w:r>
      <w:r>
        <w:rPr>
          <w:rFonts w:hint="eastAsia" w:ascii="宋体" w:hAnsi="宋体" w:eastAsia="宋体" w:cs="仿宋"/>
          <w:sz w:val="24"/>
          <w:szCs w:val="24"/>
          <w:lang w:val="en-US" w:eastAsia="zh-CN"/>
        </w:rPr>
        <w:t>25</w:t>
      </w:r>
      <w:r>
        <w:rPr>
          <w:rFonts w:hint="eastAsia" w:ascii="宋体" w:hAnsi="宋体" w:eastAsia="宋体" w:cs="仿宋"/>
          <w:sz w:val="24"/>
          <w:szCs w:val="24"/>
        </w:rPr>
        <w:t>日</w:t>
      </w:r>
    </w:p>
    <w:p>
      <w:pPr>
        <w:autoSpaceDE w:val="0"/>
        <w:autoSpaceDN w:val="0"/>
        <w:adjustRightInd w:val="0"/>
        <w:spacing w:line="360" w:lineRule="auto"/>
        <w:ind w:firstLine="560"/>
        <w:rPr>
          <w:rFonts w:cs="仿宋_GB2312" w:asciiTheme="minorEastAsia" w:hAnsiTheme="minorEastAsia"/>
          <w:color w:val="000000"/>
          <w:sz w:val="24"/>
          <w:szCs w:val="24"/>
        </w:rPr>
      </w:pP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温馨提示：</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本项目为全流程电子化交易项目，请认真阅读招标文件，并注意以下事项。</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1.投标人应按招标文件规定编制、提交电子投标文件和纸质投标文件。开、评标现场不接受投标人递交的备份电子投标文件和纸质投标文件以外的其他资料。</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2.电子文件下载、制作、提交期间和开标（电子投标文件的解密）环节，投标人须使用CA数字证书（证书须在有效期内）。</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3.电子投标文件的制作</w:t>
      </w:r>
    </w:p>
    <w:p>
      <w:pPr>
        <w:autoSpaceDE w:val="0"/>
        <w:autoSpaceDN w:val="0"/>
        <w:adjustRightInd w:val="0"/>
        <w:spacing w:line="360" w:lineRule="auto"/>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t xml:space="preserve">3.1 </w:t>
      </w:r>
      <w:r>
        <w:rPr>
          <w:rFonts w:hint="eastAsia" w:cs="仿宋_GB2312" w:asciiTheme="minorEastAsia" w:hAnsiTheme="minorEastAsia"/>
          <w:color w:val="000000"/>
          <w:sz w:val="24"/>
          <w:szCs w:val="24"/>
        </w:rPr>
        <w:t>投标人登录《全国公共资源交易平台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w:t>
      </w:r>
      <w:r>
        <w:rPr>
          <w:rFonts w:cs="仿宋_GB2312" w:asciiTheme="minorEastAsia" w:hAnsiTheme="minorEastAsia"/>
          <w:color w:val="000000"/>
          <w:sz w:val="24"/>
          <w:szCs w:val="24"/>
        </w:rPr>
        <w:t>http://221.14.6.70:8088/ggzy/</w:t>
      </w:r>
      <w:r>
        <w:rPr>
          <w:rFonts w:hint="eastAsia" w:cs="仿宋_GB2312" w:asciiTheme="minorEastAsia" w:hAnsiTheme="minorEastAsia"/>
          <w:color w:val="000000"/>
          <w:sz w:val="24"/>
          <w:szCs w:val="24"/>
        </w:rPr>
        <w:t>）下载“许昌投标文件制作系统</w:t>
      </w:r>
      <w:r>
        <w:rPr>
          <w:rFonts w:cs="仿宋_GB2312" w:asciiTheme="minorEastAsia" w:hAnsiTheme="minorEastAsia"/>
          <w:color w:val="000000"/>
          <w:sz w:val="24"/>
          <w:szCs w:val="24"/>
        </w:rPr>
        <w:t>SEARUN V1.0”</w:t>
      </w:r>
      <w:r>
        <w:rPr>
          <w:rFonts w:hint="eastAsia" w:cs="仿宋_GB2312" w:asciiTheme="minorEastAsia" w:hAnsiTheme="minorEastAsia"/>
          <w:color w:val="000000"/>
          <w:sz w:val="24"/>
          <w:szCs w:val="24"/>
        </w:rPr>
        <w:t>，按招标文件要求制作电子投标文件。</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电子投标文件的制作，参考《全国公共资源交易平台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》公共资源交易系统——组件下载——交易系统操作手册（投标人、供应商）。</w:t>
      </w:r>
    </w:p>
    <w:p>
      <w:pPr>
        <w:autoSpaceDE w:val="0"/>
        <w:autoSpaceDN w:val="0"/>
        <w:adjustRightInd w:val="0"/>
        <w:spacing w:line="360" w:lineRule="auto"/>
        <w:ind w:firstLine="560"/>
        <w:rPr>
          <w:rFonts w:cs="仿宋_GB2312" w:asciiTheme="minorEastAsia" w:hAnsiTheme="minorEastAsia"/>
          <w:color w:val="000000"/>
          <w:sz w:val="24"/>
          <w:szCs w:val="24"/>
          <w:highlight w:val="none"/>
        </w:rPr>
      </w:pPr>
      <w:r>
        <w:rPr>
          <w:rFonts w:hint="eastAsia" w:cs="仿宋_GB2312" w:asciiTheme="minorEastAsia" w:hAnsiTheme="minorEastAsia"/>
          <w:color w:val="000000"/>
          <w:sz w:val="24"/>
          <w:szCs w:val="24"/>
        </w:rPr>
        <w:t>3.2 投标人须将招标文件要求的资质、业绩、荣誉及相关人员证明材料等</w:t>
      </w:r>
      <w:r>
        <w:rPr>
          <w:rFonts w:hint="eastAsia" w:cs="仿宋_GB2312" w:asciiTheme="minorEastAsia" w:hAnsiTheme="minorEastAsia"/>
          <w:color w:val="000000"/>
          <w:sz w:val="24"/>
          <w:szCs w:val="24"/>
          <w:highlight w:val="none"/>
        </w:rPr>
        <w:t>资料原件扫描件（或图片）制作到所提交的电子投标文件中。</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4.加密电子投标文件的提交</w:t>
      </w:r>
    </w:p>
    <w:p>
      <w:pPr>
        <w:autoSpaceDE w:val="0"/>
        <w:autoSpaceDN w:val="0"/>
        <w:adjustRightInd w:val="0"/>
        <w:spacing w:line="360" w:lineRule="auto"/>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t>4.1</w:t>
      </w:r>
      <w:r>
        <w:rPr>
          <w:rFonts w:hint="eastAsia" w:cs="仿宋_GB2312" w:asciiTheme="minorEastAsia" w:hAnsiTheme="minorEastAsia"/>
          <w:color w:val="000000"/>
          <w:sz w:val="24"/>
          <w:szCs w:val="24"/>
        </w:rPr>
        <w:t>加密电子投标文件应在招标文件规定的投标截止时间（开标时间）之前成功提交至《全国公共资源交易平台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w:t>
      </w:r>
      <w:r>
        <w:rPr>
          <w:rFonts w:cs="仿宋_GB2312" w:asciiTheme="minorEastAsia" w:hAnsiTheme="minorEastAsia"/>
          <w:color w:val="000000"/>
          <w:sz w:val="24"/>
          <w:szCs w:val="24"/>
        </w:rPr>
        <w:t>http://221.14.6.70:8088/ggzy/</w:t>
      </w:r>
      <w:r>
        <w:rPr>
          <w:rFonts w:hint="eastAsia" w:cs="仿宋_GB2312" w:asciiTheme="minorEastAsia" w:hAnsiTheme="minorEastAsia"/>
          <w:color w:val="000000"/>
          <w:sz w:val="24"/>
          <w:szCs w:val="24"/>
        </w:rPr>
        <w:t>）。</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投标人应充分考虑并预留技术处理和上传数据所需时间。</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4.2 投标人对同一项目多个标段进行投标的，加密电子投标文件应按标段分别提交。</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4.3 加密电子投标文件成功提交后，投标人应打印“投标文件提交回执单”供开标现场备查。</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5.评标依据</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5.1采用全流程电子化交易评标时，评标委员会以电子投标文件为依据评标。</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5.2全流程电子化交易如因系统异常情况无法完成，将以人工方式进行。评标委员会以纸质投标文件为依据评标。</w:t>
      </w:r>
    </w:p>
    <w:p>
      <w:pPr>
        <w:autoSpaceDE w:val="0"/>
        <w:autoSpaceDN w:val="0"/>
        <w:adjustRightInd w:val="0"/>
        <w:spacing w:line="360" w:lineRule="auto"/>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440" w:lineRule="exact"/>
        <w:rPr>
          <w:rFonts w:hint="eastAsia" w:ascii="宋体" w:hAnsi="宋体" w:cs="宋体" w:eastAsiaTheme="minorEastAsia"/>
          <w:b/>
          <w:sz w:val="32"/>
          <w:szCs w:val="32"/>
          <w:lang w:eastAsia="zh-CN"/>
        </w:rPr>
      </w:pPr>
      <w:r>
        <w:rPr>
          <w:rFonts w:hint="eastAsia" w:ascii="宋体" w:hAnsi="宋体" w:cs="宋体"/>
          <w:b/>
          <w:sz w:val="32"/>
          <w:szCs w:val="32"/>
        </w:rPr>
        <w:t>一、</w:t>
      </w:r>
      <w:r>
        <w:rPr>
          <w:rFonts w:hint="eastAsia" w:ascii="宋体" w:hAnsi="宋体" w:cs="宋体"/>
          <w:b/>
          <w:sz w:val="32"/>
          <w:szCs w:val="32"/>
          <w:lang w:val="en-US" w:eastAsia="zh-CN"/>
        </w:rPr>
        <w:t>采购清单</w:t>
      </w:r>
    </w:p>
    <w:p>
      <w:pPr>
        <w:spacing w:line="560" w:lineRule="exact"/>
        <w:ind w:firstLine="480" w:firstLineChars="200"/>
        <w:rPr>
          <w:rFonts w:hint="eastAsia" w:ascii="宋体" w:hAnsi="宋体" w:eastAsia="宋体" w:cs="仿宋_GB2312"/>
          <w:color w:val="000000"/>
          <w:sz w:val="24"/>
          <w:szCs w:val="24"/>
          <w:lang w:val="en-US" w:eastAsia="zh-CN"/>
        </w:rPr>
      </w:pPr>
      <w:r>
        <w:rPr>
          <w:rFonts w:hint="eastAsia" w:ascii="宋体" w:hAnsi="宋体" w:eastAsia="宋体" w:cs="仿宋_GB2312"/>
          <w:color w:val="000000"/>
          <w:sz w:val="24"/>
          <w:szCs w:val="24"/>
          <w:lang w:val="en-US" w:eastAsia="zh-CN"/>
        </w:rPr>
        <w:t>技术参数：</w:t>
      </w:r>
    </w:p>
    <w:tbl>
      <w:tblPr>
        <w:tblStyle w:val="22"/>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867"/>
        <w:gridCol w:w="2520"/>
        <w:gridCol w:w="3163"/>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11" w:type="dxa"/>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序号</w:t>
            </w:r>
          </w:p>
        </w:tc>
        <w:tc>
          <w:tcPr>
            <w:tcW w:w="867" w:type="dxa"/>
          </w:tcPr>
          <w:p>
            <w:pPr>
              <w:pStyle w:val="2"/>
              <w:jc w:val="left"/>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产品名称</w:t>
            </w:r>
          </w:p>
        </w:tc>
        <w:tc>
          <w:tcPr>
            <w:tcW w:w="2520"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图片</w:t>
            </w:r>
          </w:p>
        </w:tc>
        <w:tc>
          <w:tcPr>
            <w:tcW w:w="3163"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技术参数</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数量</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11"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w:t>
            </w:r>
          </w:p>
        </w:tc>
        <w:tc>
          <w:tcPr>
            <w:tcW w:w="867"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五功能电动床</w:t>
            </w:r>
          </w:p>
        </w:tc>
        <w:tc>
          <w:tcPr>
            <w:tcW w:w="2520" w:type="dxa"/>
            <w:vAlign w:val="center"/>
          </w:tcPr>
          <w:p>
            <w:pPr>
              <w:pStyle w:val="2"/>
              <w:jc w:val="center"/>
              <w:rPr>
                <w:rFonts w:hint="eastAsia" w:ascii="宋体" w:hAnsi="宋体" w:eastAsia="宋体" w:cs="仿宋_GB2312"/>
                <w:color w:val="000000"/>
                <w:sz w:val="24"/>
                <w:szCs w:val="24"/>
                <w:vertAlign w:val="baseline"/>
                <w:lang w:val="en-US" w:eastAsia="zh-CN"/>
              </w:rPr>
            </w:pPr>
            <w:r>
              <w:drawing>
                <wp:inline distT="0" distB="0" distL="114300" distR="114300">
                  <wp:extent cx="1457325" cy="1219200"/>
                  <wp:effectExtent l="0" t="0" r="9525" b="0"/>
                  <wp:docPr id="1063" name="图片 9"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图片 9" descr="4.jpg"/>
                          <pic:cNvPicPr>
                            <a:picLocks noChangeAspect="1"/>
                          </pic:cNvPicPr>
                        </pic:nvPicPr>
                        <pic:blipFill>
                          <a:blip r:embed="rId6"/>
                          <a:stretch>
                            <a:fillRect/>
                          </a:stretch>
                        </pic:blipFill>
                        <pic:spPr>
                          <a:xfrm>
                            <a:off x="0" y="0"/>
                            <a:ext cx="1457325" cy="1219200"/>
                          </a:xfrm>
                          <a:prstGeom prst="rect">
                            <a:avLst/>
                          </a:prstGeom>
                          <a:noFill/>
                          <a:ln w="9525">
                            <a:noFill/>
                          </a:ln>
                        </pic:spPr>
                      </pic:pic>
                    </a:graphicData>
                  </a:graphic>
                </wp:inline>
              </w:drawing>
            </w:r>
          </w:p>
        </w:tc>
        <w:tc>
          <w:tcPr>
            <w:tcW w:w="3163" w:type="dxa"/>
          </w:tcPr>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1、床头、床尾: ABS床头尾板，采用纯正工程塑料，中空模压一次性吹塑成型，耐褪色、耐老化，强度高，抗摔不易碎。无卫生死角，易清洁；牢固结实；插入式，稳定可靠，拆卸方便，可兼作CPR急救功能；上端是方孔形状设计，易于抓握。</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 xml:space="preserve">2、规格尺寸: （长×宽×高mm）2230×900/1060×420/800mm </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3、床体骨架: 床框采用≥30×60×1.5mm矩型钢管，采用机器人焊接光滑、饱满、美观、静电喷涂。</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4、床面: 床面板采用优质冷轧板。床面为三折四组，防共振10片式组合，厚度为1.0mm冷轧钢板，采用一体成型曲面弧形卷边冲孔工艺、无锐角毛边，高透气性、耐压不变形、不波动、无共鸣声。床板加装ABS进口工程塑料边套，防撞防变形外形美观，易清洗消毒。</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5、护栏: 4片式ABS护栏：单边床栏分两栏，床栏间距小充分保障病人安全，前后护栏设置角度显示器，可清晰显示背部床板升起角度及床体倾斜角度，护栏上设置30度刻度线，前侧护栏设置储物凹槽，可放置病人物品。</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6、引流袋挂钩: 左右各有2个引流袋挂钩。</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7、脚轮: 采用直径为125mm的中控双面高级静音聚氨酯耐磨脚轮静音耐磨转向灵活。</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8、电机: 性能稳定可靠，无噪音。</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9、背部升降范围: 0～75度范围升降，承载力大于25Kg</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10、膝部升降范围: 0～45度范围升降，承载力大于25Kg</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11、防滑装置: 床尾配床垫防滑筋一个，防止床板升降时床垫前后滑动；防滑筋外形尺寸：长600×高50</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12床面传动支撑曲臂: 床面传动支撑曲臂采用一体成型冲压加强筋处理，防止曲臂变形损坏；</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13、背部可升降角度：0-75°±5°、腿部可升降角度：0-45°±5°；整体升降42-80cm、 同升同降、一键式心肺复苏、 前后角度倾斜。</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14、输液架插孔: 床头床尾各有一个伸缩式点滴架插座，孔径20mm,由金属材质冲压成型，内配ABS工程塑料内芯，防止点滴架使用过程中损坏和降低噪音；另配四个引流袋挂钩；</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15、除锈及防锈: 除锈工艺：采用自有设备，汽车烤漆工艺；对金属表面处理采用双重涂层处理技术：除经过去油、除锈、磷化等工艺外，再进行静电粉末喷涂，真正达到内外防锈，能延长病床的使用寿命；</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16、输液架:不锈钢双段式四爪点滴架,直径19mm,结实耐用</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17、供电电源: 电动床采用外置电源（36V）以下，减少漏电危险，确保安全。标配蓄电池，可在断电情况下提供体位调节所需电源。</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18、床体四角配有四只防撞角。减缓物体对病床的冲撞力</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19、护栏遥控器：大图标触摸式操作，可操作病床所有体位及功能；具备自锁定功能，无操作时，护栏遥控器可自动锁定，避免误操作；自动截电，避免误操作。</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14</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411"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w:t>
            </w:r>
          </w:p>
        </w:tc>
        <w:tc>
          <w:tcPr>
            <w:tcW w:w="867"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三功能电动床</w:t>
            </w:r>
          </w:p>
        </w:tc>
        <w:tc>
          <w:tcPr>
            <w:tcW w:w="2520" w:type="dxa"/>
            <w:vAlign w:val="center"/>
          </w:tcPr>
          <w:p>
            <w:pPr>
              <w:pStyle w:val="2"/>
              <w:jc w:val="center"/>
              <w:rPr>
                <w:rFonts w:hint="eastAsia" w:ascii="宋体" w:hAnsi="宋体" w:eastAsia="宋体" w:cs="仿宋_GB2312"/>
                <w:color w:val="000000"/>
                <w:sz w:val="24"/>
                <w:szCs w:val="24"/>
                <w:vertAlign w:val="baseline"/>
                <w:lang w:val="en-US" w:eastAsia="zh-CN"/>
              </w:rPr>
            </w:pPr>
            <w:r>
              <w:drawing>
                <wp:inline distT="0" distB="0" distL="114300" distR="114300">
                  <wp:extent cx="1504950" cy="1614805"/>
                  <wp:effectExtent l="0" t="0" r="0" b="4445"/>
                  <wp:docPr id="1047"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3" descr="3.jpg"/>
                          <pic:cNvPicPr>
                            <a:picLocks noChangeAspect="1"/>
                          </pic:cNvPicPr>
                        </pic:nvPicPr>
                        <pic:blipFill>
                          <a:blip r:embed="rId7"/>
                          <a:stretch>
                            <a:fillRect/>
                          </a:stretch>
                        </pic:blipFill>
                        <pic:spPr>
                          <a:xfrm>
                            <a:off x="0" y="0"/>
                            <a:ext cx="1504950" cy="1614805"/>
                          </a:xfrm>
                          <a:prstGeom prst="rect">
                            <a:avLst/>
                          </a:prstGeom>
                          <a:noFill/>
                          <a:ln w="9525">
                            <a:noFill/>
                          </a:ln>
                        </pic:spPr>
                      </pic:pic>
                    </a:graphicData>
                  </a:graphic>
                </wp:inline>
              </w:drawing>
            </w:r>
          </w:p>
        </w:tc>
        <w:tc>
          <w:tcPr>
            <w:tcW w:w="3163" w:type="dxa"/>
          </w:tcPr>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1、床面: 1.2毫米的优质冷轧钢板一次冲压成型，特别设计的模具冲压，使床板力学性能更佳；另加两片帘子状可伸缩式弧形软连接床板，使患者使用的时候消除胸腹压迫感，实现全新的舒适感，床面边加有床垫止滑垫，可以防止床垫的滑动。</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2、125mm中控刹车轮（单面轮），稳定性高；</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3、可拆卸式床头尾板，可兼作CPR板应急使用；</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4、护栏;进口PP材料，整体吹塑成型，提升式旋转护栏，四片式，易擦式，清洁更方便，弧线形流畅设计使手感更佳。</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5、24V电流电机，国产电机，拥有CE、UL等多项电器，双安全规范认证许可，CMI性能保证，运作时安静无噪音。</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6、电动功能：能随意调整背部、腿部、床体高度及床体前后倾斜度；</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7、负载量高，静态负载量达250Kg以上，高、低动态负载量超过170Kg;</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背板倾斜≥70˚，腿部倾斜≥30˚，前后倾斜±2˚，整体升降高度为470-720mm。</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62</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411"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3</w:t>
            </w:r>
          </w:p>
        </w:tc>
        <w:tc>
          <w:tcPr>
            <w:tcW w:w="867"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三摇床</w:t>
            </w:r>
          </w:p>
        </w:tc>
        <w:tc>
          <w:tcPr>
            <w:tcW w:w="2520" w:type="dxa"/>
            <w:vAlign w:val="center"/>
          </w:tcPr>
          <w:p>
            <w:pPr>
              <w:pStyle w:val="2"/>
              <w:jc w:val="center"/>
              <w:rPr>
                <w:rFonts w:hint="eastAsia" w:ascii="宋体" w:hAnsi="宋体" w:eastAsia="宋体" w:cs="仿宋_GB2312"/>
                <w:color w:val="000000"/>
                <w:sz w:val="24"/>
                <w:szCs w:val="24"/>
                <w:vertAlign w:val="baseline"/>
                <w:lang w:val="en-US" w:eastAsia="zh-CN"/>
              </w:rPr>
            </w:pPr>
            <w:r>
              <w:drawing>
                <wp:inline distT="0" distB="0" distL="114300" distR="114300">
                  <wp:extent cx="1581150" cy="1384300"/>
                  <wp:effectExtent l="0" t="0" r="0" b="6350"/>
                  <wp:docPr id="1048"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2" descr="2.jpg"/>
                          <pic:cNvPicPr>
                            <a:picLocks noChangeAspect="1"/>
                          </pic:cNvPicPr>
                        </pic:nvPicPr>
                        <pic:blipFill>
                          <a:blip r:embed="rId8"/>
                          <a:stretch>
                            <a:fillRect/>
                          </a:stretch>
                        </pic:blipFill>
                        <pic:spPr>
                          <a:xfrm>
                            <a:off x="0" y="0"/>
                            <a:ext cx="1581150" cy="1384300"/>
                          </a:xfrm>
                          <a:prstGeom prst="rect">
                            <a:avLst/>
                          </a:prstGeom>
                          <a:noFill/>
                          <a:ln w="9525">
                            <a:noFill/>
                          </a:ln>
                        </pic:spPr>
                      </pic:pic>
                    </a:graphicData>
                  </a:graphic>
                </wp:inline>
              </w:drawing>
            </w:r>
          </w:p>
        </w:tc>
        <w:tc>
          <w:tcPr>
            <w:tcW w:w="3163" w:type="dxa"/>
          </w:tcPr>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1、床板为标准1.2 mm冷轧钢板一次冲压成型，多透气孔，背部使用加厚方管焊接，床框40*80*1.5mm方管，碳钢表面处理需静电喷粉，喷涂前经抛弯机钢砂除锈处理，涂层表面亮丽光洁。</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床头床尾采用全新进口材料，外包易擦洗的抛光ABS或PP工程塑料，一次注塑成型，外形美观、装卸自如、坚固耐用、抗老化；床尾板上装有透明病历卡，可插两张卡片；床头尾板带锁紧置，可做CRP应急板，满足临床急救需要。</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 xml:space="preserve">3、四小板精致护栏                         </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4、摇把采用隐蔽式设计，可折叠，丝杆有过盈保护装置，双向限位功能，并且有防尘罩。</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5、升降结构采用冲压大连接板链接而成，美观耐用。</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6、床框具有前后4个输液孔，床体两则各带一个多功能引流沟，床面板两侧配有多个防滑垫，可防止床垫滑动，可选配输液架和餐板。</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7、配置125 mm豪华静音中控脚轮，整体刹车，移动灵活，制动可靠。</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8、背板倾斜≥70°，腿部倾斜≥30°整体升降高度为500-720 mm。</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91</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411"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4</w:t>
            </w:r>
          </w:p>
        </w:tc>
        <w:tc>
          <w:tcPr>
            <w:tcW w:w="867"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双摇床</w:t>
            </w:r>
          </w:p>
        </w:tc>
        <w:tc>
          <w:tcPr>
            <w:tcW w:w="2520" w:type="dxa"/>
            <w:vAlign w:val="center"/>
          </w:tcPr>
          <w:p>
            <w:pPr>
              <w:pStyle w:val="2"/>
              <w:jc w:val="center"/>
            </w:pPr>
            <w:r>
              <w:drawing>
                <wp:inline distT="0" distB="0" distL="114300" distR="114300">
                  <wp:extent cx="1428750" cy="1366520"/>
                  <wp:effectExtent l="0" t="0" r="0" b="5080"/>
                  <wp:docPr id="1036" name="图片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3" descr="1.jpg"/>
                          <pic:cNvPicPr>
                            <a:picLocks noChangeAspect="1"/>
                          </pic:cNvPicPr>
                        </pic:nvPicPr>
                        <pic:blipFill>
                          <a:blip r:embed="rId9"/>
                          <a:stretch>
                            <a:fillRect/>
                          </a:stretch>
                        </pic:blipFill>
                        <pic:spPr>
                          <a:xfrm>
                            <a:off x="0" y="0"/>
                            <a:ext cx="1428750" cy="1366520"/>
                          </a:xfrm>
                          <a:prstGeom prst="rect">
                            <a:avLst/>
                          </a:prstGeom>
                          <a:noFill/>
                          <a:ln w="9525">
                            <a:noFill/>
                          </a:ln>
                        </pic:spPr>
                      </pic:pic>
                    </a:graphicData>
                  </a:graphic>
                </wp:inline>
              </w:drawing>
            </w:r>
          </w:p>
        </w:tc>
        <w:tc>
          <w:tcPr>
            <w:tcW w:w="3163" w:type="dxa"/>
          </w:tcPr>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1、床架采用优质碳钢40*80mm方管；厚度1.5mm焊接而成、坚固可靠、四角立柱50*50mm方管，厚度1.5mm，外观粉末烤漆加工而成。</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复合床头床尾板：床头床尾板为φ38圆管、中间不锈钢为304材质、管材厚度1.5mm及新型ABS材料注塑成形，无缝隙，易清洁，不变形，稳定可靠，床尾板外侧设信息卡插槽并带有防撞轮，可有效缓冲病床在碰撞中产生的撞击力，避免造成床头损毁，有防撞功能。</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3、床板：采用优质冷轧钢板一次冲压成型，板材厚度：1.0mm背部采用双焊接加强支撑，具有多孔设计，便于透气，防滑功能，整体承载力度高，造型美观，坚固耐用，大型持弯机，钢砂表而除锈，静电粉末喷绘，抗老化，不生锈，背部可开除角度≧75度。</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4、遥杆：防藏式摇把钢制万向节，轻硬省力，带限位保护螺杆，操作轻松自如，灵活调节患者背部，腿部体位升降，拉杆为电镀式ABS材质耐磨抗压、寿命长，外部防尘罩保护装置有到位保护功能。</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5、护栏：铝合金折叠护栏，中间坚档为六档铝合金杆，高度400mm、长度1470mm。锁定开关安全可靠，坚定而拥，保险开关。护栏旋下时，操作简单，美观大方。低于床垫，防止床垫移位，具有防夹手功能，整体结构合理，坚固耐拥，可配放置伸缩餐板。</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6、四脚配有5寸豪华静音轮，超级聚氨酯静音耐磨，移动平稳，带刹车装置，承载力强，移动灵活。</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7、杂物架：床体下方配杂物架一个方便放置杂物，节省空间，牢固实用。</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床框前后加有输液孔4孔，具备伸缩式输液杆一根，床柜底部两侧具备1个引流尿袋挂钩，床框采用40*80mm方管，精致、美观、厚度为1.5mm</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91</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411"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5</w:t>
            </w:r>
          </w:p>
        </w:tc>
        <w:tc>
          <w:tcPr>
            <w:tcW w:w="867"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单摇床</w:t>
            </w:r>
          </w:p>
        </w:tc>
        <w:tc>
          <w:tcPr>
            <w:tcW w:w="2520" w:type="dxa"/>
            <w:vAlign w:val="center"/>
          </w:tcPr>
          <w:p>
            <w:pPr>
              <w:pStyle w:val="2"/>
              <w:jc w:val="center"/>
            </w:pPr>
            <w:r>
              <w:drawing>
                <wp:inline distT="0" distB="0" distL="114300" distR="114300">
                  <wp:extent cx="1562735" cy="1348740"/>
                  <wp:effectExtent l="0" t="0" r="18415" b="3810"/>
                  <wp:docPr id="3" name="图片 2" descr="微信图片_2019030818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0308180202.jpg"/>
                          <pic:cNvPicPr>
                            <a:picLocks noChangeAspect="1"/>
                          </pic:cNvPicPr>
                        </pic:nvPicPr>
                        <pic:blipFill>
                          <a:blip r:embed="rId10"/>
                          <a:stretch>
                            <a:fillRect/>
                          </a:stretch>
                        </pic:blipFill>
                        <pic:spPr>
                          <a:xfrm>
                            <a:off x="0" y="0"/>
                            <a:ext cx="1562735" cy="1348740"/>
                          </a:xfrm>
                          <a:prstGeom prst="rect">
                            <a:avLst/>
                          </a:prstGeom>
                          <a:noFill/>
                          <a:ln w="9525">
                            <a:noFill/>
                          </a:ln>
                        </pic:spPr>
                      </pic:pic>
                    </a:graphicData>
                  </a:graphic>
                </wp:inline>
              </w:drawing>
            </w:r>
          </w:p>
        </w:tc>
        <w:tc>
          <w:tcPr>
            <w:tcW w:w="3163" w:type="dxa"/>
          </w:tcPr>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1、床架采用优质碳钢40*80mm方管；厚度1.5mm焊接而成、坚固可靠、四角立柱50*50mm方管，厚度1.5mm，外观粉末烤漆加工而成。</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复合床头床尾板：床头床尾板为φ38圆管、中间不锈钢为304材质、管材厚度1.5mm及新型ABS材料注塑成形，无缝隙，易清洁，不变形，稳定可靠，床尾板外侧设信息卡插槽并带有防撞轮，可有效缓冲病床在碰撞中产生的撞击力，避免造成床头损毁，有防撞功能。</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3、床板：采用优质冷轧钢板一次冲压成型，板材厚度：1.0mm，具有多孔设计，便于透气，防滑功能，整体承载力度高，造型美观，坚固耐用，大型持弯机，钢砂表而除锈，静电粉末喷绘，抗老化，不生锈，背部可开除角度≧75度。</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4、遥杆：防藏式摇把钢制万向节，轻硬省力，带限位保护螺杆，操作轻松自如，灵活调节患者背部，腿部体位升降，拉杆为电镀式ABS材质耐磨抗压、寿命长，外部防尘罩保护装置有到位保护功能。</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5、护栏：铝合金折叠护栏，中间坚档为六档铝合金杆，高度400mm、长度1470mm。锁定开关安全可靠，坚定而拥，保险开关。护栏旋下时，操作简单，美观大方。低于床垫，防止床垫移位，具有防夹手功能，整体结构合理，坚固耐拥，可配放置伸缩餐板。</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6、四脚配有5寸豪华静音轮，超级聚氨酯静音耐磨，移动平稳，带刹车装置，承载力强，移动灵活。</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7、杂物架：床体下方配杂物架一个方便放置杂物，节省空间，牢固实用。</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8、床框前后加有输液孔4孔，具备伸缩式输液杆一根，床柜底部两侧具备1个引流尿袋挂钩，床框采用40*80mm方管，精致、美观、厚度为1.3mm</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200</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411"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6</w:t>
            </w:r>
          </w:p>
        </w:tc>
        <w:tc>
          <w:tcPr>
            <w:tcW w:w="867"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牵引床</w:t>
            </w:r>
          </w:p>
        </w:tc>
        <w:tc>
          <w:tcPr>
            <w:tcW w:w="2520" w:type="dxa"/>
            <w:vAlign w:val="center"/>
          </w:tcPr>
          <w:p>
            <w:pPr>
              <w:pStyle w:val="2"/>
              <w:jc w:val="center"/>
            </w:pPr>
            <w:r>
              <w:drawing>
                <wp:inline distT="0" distB="0" distL="114300" distR="114300">
                  <wp:extent cx="1476375" cy="1341120"/>
                  <wp:effectExtent l="0" t="0" r="9525" b="11430"/>
                  <wp:docPr id="1065" name="图片 1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图片 11" descr="1.jpg"/>
                          <pic:cNvPicPr>
                            <a:picLocks noChangeAspect="1"/>
                          </pic:cNvPicPr>
                        </pic:nvPicPr>
                        <pic:blipFill>
                          <a:blip r:embed="rId11"/>
                          <a:stretch>
                            <a:fillRect/>
                          </a:stretch>
                        </pic:blipFill>
                        <pic:spPr>
                          <a:xfrm>
                            <a:off x="0" y="0"/>
                            <a:ext cx="1476375" cy="1341120"/>
                          </a:xfrm>
                          <a:prstGeom prst="rect">
                            <a:avLst/>
                          </a:prstGeom>
                          <a:noFill/>
                          <a:ln w="9525">
                            <a:noFill/>
                          </a:ln>
                        </pic:spPr>
                      </pic:pic>
                    </a:graphicData>
                  </a:graphic>
                </wp:inline>
              </w:drawing>
            </w:r>
          </w:p>
        </w:tc>
        <w:tc>
          <w:tcPr>
            <w:tcW w:w="3163" w:type="dxa"/>
          </w:tcPr>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一、床头尾：进口PP工程塑料整体吹塑成型，表面光滑，易擦拭，清洁更方便；爱心拥抱型流畅设计，美观豪华，有符合人体工程学结构的把手。床头及床尾架可以拆卸及锁定，中间配有淡木纹色进口防火板。</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二、龙门架：架体为40mm八角铝合金，材料厚为2mm，表面氧化、喷砂处理；十字架为高强度工程塑料，模压成型，安装、脱卸方便；手拉杆为双手、单手拉环。</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三、床板：上海宝钢产A3钢“ST14”延伸材一次模压冲孔床面，透气性好，美观牢固；床面尺寸为：1920*840*1.0mm（长*宽*厚度）；承重(140KG、150KG）140KG。</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四、床框：采用30*70*1.5碳钢喷塑方管制作。</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五、床脚：50～50方管。</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六、摇手柄：淡蓝色双摇手，最新ABS固定式，与床头配套协调。</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七、护栏：采用最新款，将以前的铝合金立杆改成Φ19*2mm钢管喷塑而成，更加牢固耐用。并且竖立状态时要比普通护栏高，确保病人安全，护栏放下来与床面平，使病人上下病床更加方便，陪护人员坐在床边上不搁腿，方便医护人员对病人进行护理。护栏高度45cm。</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411"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7</w:t>
            </w:r>
          </w:p>
        </w:tc>
        <w:tc>
          <w:tcPr>
            <w:tcW w:w="867"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床垫</w:t>
            </w:r>
          </w:p>
        </w:tc>
        <w:tc>
          <w:tcPr>
            <w:tcW w:w="2520" w:type="dxa"/>
            <w:vAlign w:val="center"/>
          </w:tcPr>
          <w:p>
            <w:pPr>
              <w:pStyle w:val="2"/>
              <w:jc w:val="center"/>
            </w:pPr>
          </w:p>
        </w:tc>
        <w:tc>
          <w:tcPr>
            <w:tcW w:w="3163" w:type="dxa"/>
          </w:tcPr>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1、尺寸与病床配套。</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2、内铺垫料由棕丝、海绵等组成，上片为普通海绵40mm；中片棕丝40mm，总厚度为80mm。</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布面为细帆布，床垫铺垫均匀并加以定位，铺垫料均无有害生物，不夹杂泥沙及金属杂物，无腐朽霉变，内衬料和包布保持干燥，材料均为环保型材料，能拆下清洗，与床相匹配，能轻便翻动。</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460</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411"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8</w:t>
            </w:r>
          </w:p>
        </w:tc>
        <w:tc>
          <w:tcPr>
            <w:tcW w:w="867" w:type="dxa"/>
            <w:vAlign w:val="center"/>
          </w:tcPr>
          <w:p>
            <w:pPr>
              <w:pStyle w:val="2"/>
              <w:jc w:val="center"/>
              <w:rPr>
                <w:rFonts w:hint="eastAsia" w:ascii="Times New Roman" w:hAnsi="Times New Roman"/>
                <w:sz w:val="40"/>
                <w:szCs w:val="40"/>
              </w:rPr>
            </w:pPr>
            <w:r>
              <w:rPr>
                <w:rFonts w:hint="eastAsia" w:ascii="宋体" w:hAnsi="宋体" w:eastAsia="宋体" w:cs="仿宋_GB2312"/>
                <w:color w:val="000000"/>
                <w:sz w:val="24"/>
                <w:szCs w:val="24"/>
                <w:vertAlign w:val="baseline"/>
                <w:lang w:val="en-US" w:eastAsia="zh-CN"/>
              </w:rPr>
              <w:t>防撞击扶手</w:t>
            </w:r>
          </w:p>
        </w:tc>
        <w:tc>
          <w:tcPr>
            <w:tcW w:w="2520" w:type="dxa"/>
            <w:vAlign w:val="center"/>
          </w:tcPr>
          <w:p>
            <w:pPr>
              <w:pStyle w:val="2"/>
              <w:jc w:val="center"/>
            </w:pPr>
            <w:r>
              <w:drawing>
                <wp:inline distT="0" distB="0" distL="114300" distR="114300">
                  <wp:extent cx="1228725" cy="1075690"/>
                  <wp:effectExtent l="0" t="0" r="9525" b="10160"/>
                  <wp:docPr id="10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2"/>
                          <pic:cNvPicPr>
                            <a:picLocks noChangeAspect="1"/>
                          </pic:cNvPicPr>
                        </pic:nvPicPr>
                        <pic:blipFill>
                          <a:blip r:embed="rId12"/>
                          <a:stretch>
                            <a:fillRect/>
                          </a:stretch>
                        </pic:blipFill>
                        <pic:spPr>
                          <a:xfrm>
                            <a:off x="0" y="0"/>
                            <a:ext cx="1228725" cy="1075690"/>
                          </a:xfrm>
                          <a:prstGeom prst="rect">
                            <a:avLst/>
                          </a:prstGeom>
                          <a:noFill/>
                          <a:ln w="9525">
                            <a:noFill/>
                          </a:ln>
                        </pic:spPr>
                      </pic:pic>
                    </a:graphicData>
                  </a:graphic>
                </wp:inline>
              </w:drawing>
            </w:r>
          </w:p>
        </w:tc>
        <w:tc>
          <w:tcPr>
            <w:tcW w:w="3163" w:type="dxa"/>
          </w:tcPr>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PVC高分子挤出面板、铝合金铸件、橡胶垫圈、橡胶防撞条、底座、弯头、专用紧固配件等配件组成。有美观、防火、防撞、抗击、抗菌、防腐蚀，耐光，易清洗等特点。更设计有缓冲内衬，独具防护抗击功能。</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1、内部金属结构强度佳，面板采用乙烯树脂，温馨不冰凉；</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2、安装简单，维修保养方便，经久耐用；</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3、外表分体，具内外转角；</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4、色彩多样，造型新颖，适合多种场合使用；</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5、上缘管式造型，符合人体工学，易于握持行进；</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6、下缘圆弧造型，可吸收撞击力度，保护墙面；</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7、表面皮纹，防火耐光，清洁简便。</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8、底座和弯头为ABS注塑件，表面经压花纹处理，扶手宽度为159mm，厚度为37mm，距墙35mm，支架高度为40mm。</w:t>
            </w:r>
          </w:p>
          <w:p>
            <w:pPr>
              <w:pStyle w:val="2"/>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9、防撞扶手铝材厚度1.2mm。</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2000</w:t>
            </w:r>
          </w:p>
        </w:tc>
        <w:tc>
          <w:tcPr>
            <w:tcW w:w="978" w:type="dxa"/>
            <w:vAlign w:val="center"/>
          </w:tcPr>
          <w:p>
            <w:pPr>
              <w:pStyle w:val="2"/>
              <w:jc w:val="center"/>
              <w:rPr>
                <w:rFonts w:hint="eastAsia" w:ascii="宋体" w:hAnsi="宋体" w:eastAsia="宋体" w:cs="仿宋_GB2312"/>
                <w:color w:val="000000"/>
                <w:sz w:val="24"/>
                <w:szCs w:val="24"/>
                <w:vertAlign w:val="baseline"/>
                <w:lang w:val="en-US" w:eastAsia="zh-CN"/>
              </w:rPr>
            </w:pPr>
            <w:r>
              <w:rPr>
                <w:rFonts w:hint="eastAsia" w:ascii="宋体" w:hAnsi="宋体" w:eastAsia="宋体" w:cs="仿宋_GB2312"/>
                <w:color w:val="000000"/>
                <w:sz w:val="24"/>
                <w:szCs w:val="24"/>
                <w:vertAlign w:val="baseline"/>
                <w:lang w:val="en-US" w:eastAsia="zh-CN"/>
              </w:rPr>
              <w:t>米</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pStyle w:val="2"/>
        <w:rPr>
          <w:rFonts w:hint="eastAsia" w:ascii="宋体" w:hAnsi="宋体" w:eastAsia="宋体" w:cs="仿宋_GB2312"/>
          <w:color w:val="000000"/>
          <w:sz w:val="24"/>
          <w:szCs w:val="24"/>
          <w:lang w:val="en-US" w:eastAsia="zh-CN"/>
        </w:rPr>
      </w:pP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en-US" w:eastAsia="zh-CN"/>
        </w:rPr>
        <w:t>二</w:t>
      </w:r>
      <w:r>
        <w:rPr>
          <w:rFonts w:hint="eastAsia" w:cs="宋体" w:asciiTheme="minorEastAsia" w:hAnsiTheme="minorEastAsia"/>
          <w:b/>
          <w:kern w:val="0"/>
          <w:sz w:val="24"/>
          <w:szCs w:val="24"/>
          <w:lang w:val="zh-CN"/>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en-US" w:eastAsia="zh-CN"/>
        </w:rPr>
        <w:t>三</w:t>
      </w:r>
      <w:r>
        <w:rPr>
          <w:rFonts w:hint="eastAsia" w:cs="宋体" w:asciiTheme="minorEastAsia" w:hAnsiTheme="minorEastAsia"/>
          <w:b/>
          <w:kern w:val="0"/>
          <w:sz w:val="24"/>
          <w:szCs w:val="24"/>
          <w:lang w:val="zh-CN"/>
        </w:rPr>
        <w:t>、采购标的的其他技术、服务等要求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highlight w:val="none"/>
          <w:lang w:val="zh-CN"/>
        </w:rPr>
      </w:pPr>
      <w:r>
        <w:rPr>
          <w:rFonts w:hint="eastAsia" w:cs="宋体" w:asciiTheme="minorEastAsia" w:hAnsiTheme="minorEastAsia"/>
          <w:bCs/>
          <w:kern w:val="0"/>
          <w:sz w:val="24"/>
          <w:szCs w:val="24"/>
          <w:highlight w:val="none"/>
          <w:lang w:val="en-US" w:eastAsia="zh-CN"/>
        </w:rPr>
        <w:t>1</w:t>
      </w:r>
      <w:r>
        <w:rPr>
          <w:rFonts w:hint="eastAsia" w:cs="宋体" w:asciiTheme="minorEastAsia" w:hAnsiTheme="minorEastAsia"/>
          <w:bCs/>
          <w:kern w:val="0"/>
          <w:sz w:val="24"/>
          <w:szCs w:val="24"/>
          <w:highlight w:val="none"/>
          <w:lang w:val="zh-CN"/>
        </w:rPr>
        <w:t>、投标人须明确产品的厂家、产地、品牌、型号、详细参数，否则为无效投标。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C00000"/>
          <w:kern w:val="0"/>
          <w:sz w:val="24"/>
          <w:szCs w:val="24"/>
          <w:highlight w:val="none"/>
          <w:lang w:val="zh-CN"/>
        </w:rPr>
      </w:pPr>
      <w:r>
        <w:rPr>
          <w:rFonts w:hint="eastAsia" w:cs="宋体" w:asciiTheme="minorEastAsia" w:hAnsiTheme="minorEastAsia"/>
          <w:bCs/>
          <w:color w:val="C00000"/>
          <w:kern w:val="0"/>
          <w:sz w:val="24"/>
          <w:szCs w:val="24"/>
          <w:highlight w:val="none"/>
          <w:lang w:val="en-US" w:eastAsia="zh-CN"/>
        </w:rPr>
        <w:t>2</w:t>
      </w:r>
      <w:r>
        <w:rPr>
          <w:rFonts w:hint="eastAsia" w:cs="宋体" w:asciiTheme="minorEastAsia" w:hAnsiTheme="minorEastAsia"/>
          <w:bCs/>
          <w:color w:val="C00000"/>
          <w:kern w:val="0"/>
          <w:sz w:val="24"/>
          <w:szCs w:val="24"/>
          <w:highlight w:val="none"/>
          <w:lang w:val="zh-CN"/>
        </w:rPr>
        <w:t>、投标人应就该项目每包进行完整投标，否则为无效投标。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highlight w:val="none"/>
          <w:lang w:val="zh-CN"/>
        </w:rPr>
      </w:pPr>
      <w:r>
        <w:rPr>
          <w:rFonts w:hint="eastAsia" w:cs="宋体" w:asciiTheme="minorEastAsia" w:hAnsiTheme="minorEastAsia"/>
          <w:bCs/>
          <w:kern w:val="0"/>
          <w:sz w:val="24"/>
          <w:szCs w:val="24"/>
          <w:highlight w:val="none"/>
          <w:lang w:val="en-US" w:eastAsia="zh-CN"/>
        </w:rPr>
        <w:t>3</w:t>
      </w:r>
      <w:r>
        <w:rPr>
          <w:rFonts w:hint="eastAsia" w:cs="宋体" w:asciiTheme="minorEastAsia" w:hAnsiTheme="minorEastAsia"/>
          <w:bCs/>
          <w:kern w:val="0"/>
          <w:sz w:val="24"/>
          <w:szCs w:val="24"/>
          <w:highlight w:val="none"/>
          <w:lang w:val="zh-CN"/>
        </w:rPr>
        <w:t>、本招标文件所列需求为最低要求，投标产品不得低于最低要求，否则为无效投标。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highlight w:val="none"/>
          <w:lang w:val="zh-CN"/>
        </w:rPr>
      </w:pPr>
      <w:r>
        <w:rPr>
          <w:rFonts w:hint="eastAsia" w:cs="宋体" w:asciiTheme="minorEastAsia" w:hAnsiTheme="minorEastAsia"/>
          <w:bCs/>
          <w:kern w:val="0"/>
          <w:sz w:val="24"/>
          <w:szCs w:val="24"/>
          <w:highlight w:val="none"/>
          <w:lang w:val="en-US" w:eastAsia="zh-CN"/>
        </w:rPr>
        <w:t>4</w:t>
      </w:r>
      <w:r>
        <w:rPr>
          <w:rFonts w:hint="eastAsia" w:cs="宋体" w:asciiTheme="minorEastAsia" w:hAnsiTheme="minorEastAsia"/>
          <w:bCs/>
          <w:kern w:val="0"/>
          <w:sz w:val="24"/>
          <w:szCs w:val="24"/>
          <w:highlight w:val="none"/>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highlight w:val="none"/>
          <w:lang w:val="zh-CN"/>
        </w:rPr>
      </w:pPr>
      <w:r>
        <w:rPr>
          <w:rFonts w:hint="eastAsia" w:cs="宋体" w:asciiTheme="minorEastAsia" w:hAnsiTheme="minorEastAsia"/>
          <w:bCs/>
          <w:kern w:val="0"/>
          <w:sz w:val="24"/>
          <w:szCs w:val="24"/>
          <w:highlight w:val="none"/>
          <w:lang w:val="en-US" w:eastAsia="zh-CN"/>
        </w:rPr>
        <w:t>5</w:t>
      </w:r>
      <w:r>
        <w:rPr>
          <w:rFonts w:hint="eastAsia" w:cs="宋体" w:asciiTheme="minorEastAsia" w:hAnsiTheme="minorEastAsia"/>
          <w:bCs/>
          <w:kern w:val="0"/>
          <w:sz w:val="24"/>
          <w:szCs w:val="24"/>
          <w:highlight w:val="none"/>
          <w:lang w:val="zh-CN"/>
        </w:rPr>
        <w:t>、质量要求：合格。设备必须符合国家质量检测标准和本招标文件规定标准的全新正品现货，提供随货物《产品合格证》及其它相关质量、技术及技术证明文件；进口产品须提供海关进货单</w:t>
      </w:r>
      <w:r>
        <w:rPr>
          <w:rFonts w:hint="eastAsia" w:cs="宋体" w:asciiTheme="minorEastAsia" w:hAnsiTheme="minorEastAsia"/>
          <w:bCs/>
          <w:kern w:val="0"/>
          <w:sz w:val="24"/>
          <w:szCs w:val="24"/>
          <w:highlight w:val="none"/>
          <w:lang w:val="en-US" w:eastAsia="zh-CN"/>
        </w:rPr>
        <w:t>的原件扫描件（或图片）</w:t>
      </w:r>
      <w:r>
        <w:rPr>
          <w:rFonts w:hint="eastAsia" w:cs="宋体" w:asciiTheme="minorEastAsia" w:hAnsiTheme="minorEastAsia"/>
          <w:bCs/>
          <w:kern w:val="0"/>
          <w:sz w:val="24"/>
          <w:szCs w:val="24"/>
          <w:highlight w:val="none"/>
          <w:lang w:val="zh-CN"/>
        </w:rPr>
        <w:t>。</w:t>
      </w:r>
    </w:p>
    <w:p>
      <w:pPr>
        <w:widowControl/>
        <w:shd w:val="clear" w:color="auto" w:fill="FFFFFF"/>
        <w:spacing w:line="360" w:lineRule="auto"/>
        <w:ind w:firstLine="480" w:firstLineChars="200"/>
        <w:contextualSpacing/>
        <w:jc w:val="left"/>
        <w:rPr>
          <w:rFonts w:hint="eastAsia" w:cs="宋体" w:asciiTheme="minorEastAsia" w:hAnsi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6</w:t>
      </w:r>
      <w:r>
        <w:rPr>
          <w:rFonts w:hint="eastAsia" w:cs="宋体" w:asciiTheme="minorEastAsia" w:hAnsiTheme="minorEastAsia"/>
          <w:kern w:val="0"/>
          <w:sz w:val="24"/>
          <w:szCs w:val="24"/>
          <w:highlight w:val="none"/>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7</w:t>
      </w:r>
      <w:r>
        <w:rPr>
          <w:rFonts w:hint="eastAsia" w:cs="宋体" w:asciiTheme="minorEastAsia" w:hAnsiTheme="minorEastAsia"/>
          <w:bCs/>
          <w:kern w:val="0"/>
          <w:sz w:val="24"/>
          <w:szCs w:val="24"/>
          <w:highlight w:val="none"/>
        </w:rPr>
        <w:t>、自验收合格之日起</w:t>
      </w:r>
      <w:r>
        <w:rPr>
          <w:rFonts w:hint="eastAsia" w:cs="宋体" w:asciiTheme="minorEastAsia" w:hAnsiTheme="minorEastAsia"/>
          <w:bCs/>
          <w:color w:val="0000FF"/>
          <w:kern w:val="0"/>
          <w:sz w:val="24"/>
          <w:szCs w:val="24"/>
          <w:highlight w:val="none"/>
        </w:rPr>
        <w:t>原厂保修期不低于两年，不响</w:t>
      </w:r>
      <w:r>
        <w:rPr>
          <w:rFonts w:hint="eastAsia" w:cs="宋体" w:asciiTheme="minorEastAsia" w:hAnsiTheme="minorEastAsia"/>
          <w:bCs/>
          <w:kern w:val="0"/>
          <w:sz w:val="24"/>
          <w:szCs w:val="24"/>
          <w:highlight w:val="none"/>
        </w:rPr>
        <w:t>应的为无效投标。</w:t>
      </w:r>
    </w:p>
    <w:p>
      <w:pPr>
        <w:pStyle w:val="2"/>
        <w:rPr>
          <w:lang w:val="zh-CN"/>
        </w:rPr>
      </w:pPr>
    </w:p>
    <w:p>
      <w:pPr>
        <w:widowControl/>
        <w:shd w:val="clear" w:color="auto" w:fill="FFFFFF"/>
        <w:spacing w:line="360" w:lineRule="auto"/>
        <w:ind w:firstLine="480" w:firstLineChars="200"/>
        <w:contextualSpacing/>
        <w:jc w:val="left"/>
        <w:rPr>
          <w:rFonts w:hint="eastAsia" w:cs="宋体" w:asciiTheme="minorEastAsia" w:hAnsiTheme="minorEastAsia"/>
          <w:bCs/>
          <w:kern w:val="0"/>
          <w:sz w:val="24"/>
          <w:szCs w:val="24"/>
          <w:highlight w:val="none"/>
          <w:lang w:val="zh-CN"/>
        </w:rPr>
      </w:pPr>
      <w:r>
        <w:rPr>
          <w:rFonts w:hint="eastAsia" w:cs="宋体" w:asciiTheme="minorEastAsia" w:hAnsiTheme="minorEastAsia"/>
          <w:bCs/>
          <w:kern w:val="0"/>
          <w:sz w:val="24"/>
          <w:szCs w:val="24"/>
          <w:highlight w:val="none"/>
          <w:lang w:val="en-US" w:eastAsia="zh-CN"/>
        </w:rPr>
        <w:t>8</w:t>
      </w:r>
      <w:r>
        <w:rPr>
          <w:rFonts w:hint="eastAsia" w:cs="宋体" w:asciiTheme="minorEastAsia" w:hAnsiTheme="minorEastAsia"/>
          <w:bCs/>
          <w:kern w:val="0"/>
          <w:sz w:val="24"/>
          <w:szCs w:val="24"/>
          <w:highlight w:val="none"/>
          <w:lang w:val="zh-CN"/>
        </w:rPr>
        <w:t>、本项目为交钥匙工程（包括设备、材料、元件等购置、安装调试、验收、与其它施工单位协作所产生的费用等）。投标文件中须承诺送货到指定地点，并指导安装调试。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en-US" w:eastAsia="zh-CN"/>
        </w:rPr>
        <w:t>四</w:t>
      </w:r>
      <w:r>
        <w:rPr>
          <w:rFonts w:hint="eastAsia" w:cs="宋体" w:asciiTheme="minorEastAsia" w:hAnsiTheme="minorEastAsia"/>
          <w:b/>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lang w:val="en-US" w:eastAsia="zh-CN"/>
        </w:rPr>
        <w:t>五</w:t>
      </w:r>
      <w:r>
        <w:rPr>
          <w:rFonts w:hint="eastAsia" w:cs="黑体" w:asciiTheme="minorEastAsia" w:hAnsiTheme="minorEastAsia" w:eastAsiaTheme="minorEastAsia"/>
          <w:b/>
          <w:bCs/>
          <w:shd w:val="clear" w:color="auto" w:fill="FFFFFF"/>
        </w:rPr>
        <w:t>、本项目预算金额：</w:t>
      </w:r>
      <w:bookmarkStart w:id="0" w:name="_Hlk517922146"/>
      <w:r>
        <w:rPr>
          <w:rFonts w:hint="eastAsia" w:cs="仿宋_GB2312" w:asciiTheme="minorEastAsia" w:hAnsiTheme="minorEastAsia" w:eastAsiaTheme="minorEastAsia"/>
          <w:shd w:val="clear" w:color="auto" w:fill="FFFFFF"/>
          <w:lang w:val="en-US" w:eastAsia="zh-CN"/>
        </w:rPr>
        <w:t>223.69万</w:t>
      </w:r>
      <w:r>
        <w:rPr>
          <w:rFonts w:hint="eastAsia" w:cs="仿宋_GB2312" w:asciiTheme="minorEastAsia" w:hAnsiTheme="minorEastAsia" w:eastAsiaTheme="minorEastAsia"/>
          <w:shd w:val="clear" w:color="auto" w:fill="FFFFFF"/>
        </w:rPr>
        <w:t>元，最高限价</w:t>
      </w:r>
      <w:r>
        <w:rPr>
          <w:rFonts w:hint="eastAsia" w:cs="仿宋_GB2312" w:asciiTheme="minorEastAsia" w:hAnsiTheme="minorEastAsia" w:eastAsiaTheme="minorEastAsia"/>
          <w:shd w:val="clear" w:color="auto" w:fill="FFFFFF"/>
          <w:lang w:val="en-US" w:eastAsia="zh-CN"/>
        </w:rPr>
        <w:t>:223.69万</w:t>
      </w:r>
      <w:r>
        <w:rPr>
          <w:rFonts w:hint="eastAsia" w:cs="仿宋_GB2312" w:asciiTheme="minorEastAsia" w:hAnsiTheme="minorEastAsia" w:eastAsiaTheme="minorEastAsia"/>
          <w:shd w:val="clear" w:color="auto" w:fill="FFFFFF"/>
        </w:rPr>
        <w:t xml:space="preserve">元。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bookmarkEnd w:id="0"/>
      <w:r>
        <w:rPr>
          <w:rFonts w:hint="eastAsia" w:cs="宋体" w:asciiTheme="minorEastAsia" w:hAnsiTheme="minorEastAsia"/>
          <w:b/>
          <w:kern w:val="0"/>
          <w:sz w:val="24"/>
          <w:szCs w:val="24"/>
          <w:lang w:val="en-US" w:eastAsia="zh-CN"/>
        </w:rPr>
        <w:t>六</w:t>
      </w:r>
      <w:r>
        <w:rPr>
          <w:rFonts w:hint="eastAsia" w:cs="宋体" w:asciiTheme="minorEastAsia" w:hAnsiTheme="minorEastAsia"/>
          <w:b/>
          <w:kern w:val="0"/>
          <w:sz w:val="24"/>
          <w:szCs w:val="24"/>
          <w:lang w:val="zh-CN"/>
        </w:rPr>
        <w:t>、资金支付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cs="黑体" w:asciiTheme="minorEastAsia" w:hAnsiTheme="minorEastAsia"/>
          <w:kern w:val="0"/>
          <w:sz w:val="24"/>
          <w:szCs w:val="24"/>
        </w:rPr>
        <w:t>1、</w:t>
      </w:r>
      <w:r>
        <w:rPr>
          <w:rFonts w:hint="eastAsia" w:cs="黑体" w:asciiTheme="minorEastAsia" w:hAnsiTheme="minorEastAsia"/>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0000FF"/>
          <w:kern w:val="0"/>
          <w:sz w:val="36"/>
          <w:szCs w:val="36"/>
        </w:rPr>
      </w:pPr>
      <w:r>
        <w:rPr>
          <w:rFonts w:hint="eastAsia" w:cs="黑体" w:asciiTheme="minorEastAsia" w:hAnsiTheme="minorEastAsia"/>
          <w:kern w:val="0"/>
          <w:sz w:val="24"/>
          <w:szCs w:val="24"/>
        </w:rPr>
        <w:t>2、</w:t>
      </w:r>
      <w:r>
        <w:rPr>
          <w:rFonts w:hint="eastAsia" w:cs="黑体" w:asciiTheme="minorEastAsia" w:hAnsiTheme="minorEastAsia"/>
          <w:kern w:val="0"/>
          <w:sz w:val="24"/>
          <w:szCs w:val="24"/>
          <w:lang w:val="zh-CN"/>
        </w:rPr>
        <w:t>支付时间及条件：</w:t>
      </w:r>
      <w:r>
        <w:rPr>
          <w:rFonts w:hint="eastAsia" w:cs="黑体" w:asciiTheme="minorEastAsia" w:hAnsiTheme="minorEastAsia"/>
          <w:color w:val="0000FF"/>
          <w:kern w:val="0"/>
          <w:sz w:val="24"/>
          <w:szCs w:val="24"/>
          <w:lang w:val="zh-CN"/>
        </w:rPr>
        <w:t>设备安装完成验收合格后付合同总金额的90%；设备保修期满后付剩余的10%。</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1"/>
        <w:tblW w:w="9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6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64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6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646" w:type="dxa"/>
          </w:tcPr>
          <w:p>
            <w:pPr>
              <w:spacing w:line="600" w:lineRule="exac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4"/>
              </w:rPr>
              <w:t>禹州市中医院新病房楼病床采购项目</w:t>
            </w:r>
            <w:r>
              <w:rPr>
                <w:rFonts w:hint="eastAsia" w:cs="仿宋_GB2312" w:asciiTheme="minorEastAsia" w:hAnsiTheme="minorEastAsia"/>
                <w:sz w:val="24"/>
                <w:szCs w:val="24"/>
              </w:rPr>
              <w:t>；</w:t>
            </w:r>
          </w:p>
          <w:p>
            <w:pPr>
              <w:autoSpaceDE w:val="0"/>
              <w:autoSpaceDN w:val="0"/>
              <w:adjustRightInd w:val="0"/>
              <w:spacing w:line="360" w:lineRule="auto"/>
              <w:rPr>
                <w:rFonts w:ascii="宋体" w:hAnsi="宋体" w:eastAsia="宋体" w:cs="仿宋_GB2312"/>
                <w:color w:val="000000"/>
                <w:sz w:val="24"/>
                <w:szCs w:val="24"/>
              </w:rPr>
            </w:pPr>
            <w:r>
              <w:rPr>
                <w:rFonts w:hint="eastAsia" w:cs="仿宋_GB2312" w:asciiTheme="minorEastAsia" w:hAnsiTheme="minorEastAsia"/>
                <w:sz w:val="24"/>
                <w:szCs w:val="24"/>
              </w:rPr>
              <w:t>项目编号：</w:t>
            </w:r>
            <w:r>
              <w:rPr>
                <w:rFonts w:hint="eastAsia" w:ascii="宋体" w:hAnsi="宋体" w:eastAsia="宋体" w:cs="仿宋_GB2312"/>
                <w:color w:val="000000"/>
                <w:sz w:val="24"/>
                <w:szCs w:val="24"/>
              </w:rPr>
              <w:t>YZCG-DL201</w:t>
            </w:r>
            <w:r>
              <w:rPr>
                <w:rFonts w:ascii="宋体" w:hAnsi="宋体" w:eastAsia="宋体" w:cs="仿宋_GB2312"/>
                <w:color w:val="000000"/>
                <w:sz w:val="24"/>
                <w:szCs w:val="24"/>
              </w:rPr>
              <w:t>9</w:t>
            </w:r>
            <w:r>
              <w:rPr>
                <w:rFonts w:hint="eastAsia" w:ascii="宋体" w:hAnsi="宋体" w:eastAsia="宋体" w:cs="仿宋_GB2312"/>
                <w:color w:val="000000"/>
                <w:sz w:val="24"/>
                <w:szCs w:val="24"/>
                <w:lang w:val="en-US" w:eastAsia="zh-CN"/>
              </w:rPr>
              <w:t>007</w:t>
            </w:r>
            <w:r>
              <w:rPr>
                <w:rFonts w:ascii="宋体" w:hAnsi="宋体" w:eastAsia="宋体" w:cs="仿宋_GB2312"/>
                <w:color w:val="000000"/>
                <w:sz w:val="24"/>
                <w:szCs w:val="24"/>
              </w:rPr>
              <w:t xml:space="preserve">; </w:t>
            </w:r>
          </w:p>
          <w:p>
            <w:pPr>
              <w:autoSpaceDE w:val="0"/>
              <w:autoSpaceDN w:val="0"/>
              <w:adjustRightInd w:val="0"/>
              <w:spacing w:line="360" w:lineRule="auto"/>
              <w:rPr>
                <w:rFonts w:hint="eastAsia" w:ascii="宋体" w:hAnsi="宋体" w:cs="仿宋_GB2312" w:eastAsiaTheme="minorEastAsia"/>
                <w:color w:val="000000"/>
                <w:sz w:val="24"/>
                <w:szCs w:val="24"/>
                <w:lang w:val="en-US" w:eastAsia="zh-CN"/>
              </w:rPr>
            </w:pPr>
            <w:r>
              <w:rPr>
                <w:rFonts w:hint="eastAsia" w:cs="仿宋_GB2312" w:asciiTheme="minorEastAsia" w:hAnsiTheme="minorEastAsia"/>
                <w:color w:val="000000"/>
                <w:sz w:val="24"/>
                <w:szCs w:val="24"/>
              </w:rPr>
              <w:t>项目主要内容、数量及要求</w:t>
            </w:r>
            <w:r>
              <w:rPr>
                <w:rFonts w:hint="eastAsia" w:cs="仿宋_GB2312" w:asciiTheme="minorEastAsia" w:hAnsiTheme="minorEastAsia"/>
                <w:sz w:val="24"/>
                <w:szCs w:val="24"/>
              </w:rPr>
              <w:t>：</w:t>
            </w:r>
            <w:r>
              <w:rPr>
                <w:rFonts w:hint="eastAsia" w:cs="仿宋_GB2312" w:asciiTheme="minorEastAsia" w:hAnsiTheme="minorEastAsia"/>
                <w:color w:val="000000"/>
                <w:sz w:val="24"/>
                <w:szCs w:val="24"/>
              </w:rPr>
              <w:t>详见招标文件第二章项目需求</w:t>
            </w:r>
            <w:r>
              <w:rPr>
                <w:rFonts w:hint="eastAsia" w:cs="仿宋_GB2312" w:asciiTheme="minorEastAsia" w:hAnsiTheme="minorEastAsia"/>
                <w:color w:val="000000"/>
                <w:sz w:val="24"/>
                <w:szCs w:val="24"/>
                <w:lang w:eastAsia="zh-CN"/>
              </w:rPr>
              <w:t>；</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r>
              <w:rPr>
                <w:rFonts w:hint="eastAsia" w:cs="仿宋_GB2312" w:asciiTheme="minorEastAsia" w:hAnsiTheme="minorEastAsia"/>
                <w:sz w:val="24"/>
                <w:szCs w:val="24"/>
                <w:lang w:val="en-US" w:eastAsia="zh-CN"/>
              </w:rPr>
              <w:t>中</w:t>
            </w:r>
            <w:r>
              <w:rPr>
                <w:rFonts w:hint="eastAsia" w:cs="仿宋_GB2312" w:asciiTheme="minorEastAsia" w:hAnsiTheme="minorEastAsia"/>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6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646"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采购单位：禹州市</w:t>
            </w:r>
            <w:r>
              <w:rPr>
                <w:rFonts w:hint="eastAsia" w:cs="仿宋_GB2312" w:asciiTheme="minorEastAsia" w:hAnsiTheme="minorEastAsia"/>
                <w:sz w:val="24"/>
                <w:szCs w:val="24"/>
                <w:lang w:val="en-US" w:eastAsia="zh-CN"/>
              </w:rPr>
              <w:t>中</w:t>
            </w:r>
            <w:r>
              <w:rPr>
                <w:rFonts w:hint="eastAsia" w:cs="仿宋_GB2312" w:asciiTheme="minorEastAsia" w:hAnsiTheme="minorEastAsia"/>
                <w:sz w:val="24"/>
                <w:szCs w:val="24"/>
              </w:rPr>
              <w:t>医院</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禹州市钧官窑路69号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 </w:t>
            </w:r>
            <w:r>
              <w:rPr>
                <w:rFonts w:hint="eastAsia" w:cs="仿宋_GB2312" w:asciiTheme="minorEastAsia" w:hAnsiTheme="minorEastAsia"/>
                <w:sz w:val="24"/>
                <w:szCs w:val="24"/>
                <w:lang w:val="en-US" w:eastAsia="zh-CN"/>
              </w:rPr>
              <w:t>赵先生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联系电话：</w:t>
            </w:r>
            <w:r>
              <w:rPr>
                <w:rFonts w:hint="eastAsia" w:ascii="宋体" w:hAnsi="宋体" w:eastAsia="宋体" w:cs="仿宋"/>
                <w:color w:val="000000"/>
                <w:kern w:val="0"/>
                <w:sz w:val="24"/>
                <w:szCs w:val="24"/>
                <w:lang w:val="en-US" w:eastAsia="zh-CN"/>
              </w:rPr>
              <w:t>13937419663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6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646"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代理机构：</w:t>
            </w:r>
            <w:r>
              <w:rPr>
                <w:rFonts w:hint="eastAsia" w:cs="仿宋_GB2312" w:asciiTheme="minorEastAsia" w:hAnsiTheme="minorEastAsia"/>
                <w:sz w:val="24"/>
                <w:szCs w:val="24"/>
                <w:lang w:val="en-US" w:eastAsia="zh-CN"/>
              </w:rPr>
              <w:t>国咨项目管理有限公司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闫</w:t>
            </w:r>
            <w:r>
              <w:rPr>
                <w:rFonts w:hint="eastAsia" w:cs="仿宋_GB2312" w:asciiTheme="minorEastAsia" w:hAnsiTheme="minorEastAsia"/>
                <w:sz w:val="24"/>
                <w:szCs w:val="24"/>
              </w:rPr>
              <w:t xml:space="preserve">先生          </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联系电话：0374-</w:t>
            </w:r>
            <w:r>
              <w:rPr>
                <w:rFonts w:hint="eastAsia" w:cs="仿宋_GB2312" w:asciiTheme="minorEastAsia" w:hAnsiTheme="minorEastAsia"/>
                <w:sz w:val="24"/>
                <w:szCs w:val="24"/>
                <w:lang w:val="en-US" w:eastAsia="zh-CN"/>
              </w:rPr>
              <w:t>8080008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6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646"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年度的财务报告（指2017年度财务报告）；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highlight w:val="none"/>
                <w:lang w:val="zh-CN"/>
              </w:rPr>
            </w:pPr>
            <w:r>
              <w:rPr>
                <w:rFonts w:hint="eastAsia" w:cs="宋体" w:asciiTheme="minorEastAsia" w:hAnsiTheme="minorEastAsia"/>
                <w:bCs/>
                <w:sz w:val="24"/>
                <w:szCs w:val="24"/>
                <w:lang w:val="zh-CN"/>
              </w:rPr>
              <w:t>税务登记证和投标截止时间前三个月内任意一个月缴纳税收</w:t>
            </w:r>
            <w:r>
              <w:rPr>
                <w:rFonts w:hint="eastAsia" w:cs="宋体" w:asciiTheme="minorEastAsia" w:hAnsiTheme="minorEastAsia"/>
                <w:bCs/>
                <w:sz w:val="24"/>
                <w:szCs w:val="24"/>
                <w:highlight w:val="none"/>
                <w:lang w:val="zh-CN"/>
              </w:rPr>
              <w:t>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highlight w:val="none"/>
                <w:lang w:val="zh-CN"/>
              </w:rPr>
            </w:pPr>
            <w:r>
              <w:rPr>
                <w:rFonts w:hint="eastAsia" w:cs="宋体" w:asciiTheme="minorEastAsia" w:hAnsiTheme="minorEastAsia"/>
                <w:b/>
                <w:bCs/>
                <w:sz w:val="24"/>
                <w:szCs w:val="24"/>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highlight w:val="none"/>
                <w:lang w:val="zh-CN"/>
              </w:rPr>
            </w:pPr>
            <w:r>
              <w:rPr>
                <w:rFonts w:hint="eastAsia" w:cs="宋体" w:asciiTheme="minorEastAsia" w:hAnsiTheme="minorEastAsia"/>
                <w:bCs/>
                <w:sz w:val="24"/>
                <w:szCs w:val="24"/>
                <w:highlight w:val="none"/>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6"/>
              </w:numPr>
              <w:autoSpaceDE w:val="0"/>
              <w:autoSpaceDN w:val="0"/>
              <w:adjustRightInd w:val="0"/>
              <w:spacing w:line="360" w:lineRule="auto"/>
              <w:ind w:right="-11"/>
              <w:rPr>
                <w:rFonts w:cs="宋体" w:asciiTheme="minorEastAsia" w:hAnsiTheme="minorEastAsia"/>
                <w:b/>
                <w:color w:val="FF0000"/>
                <w:kern w:val="0"/>
                <w:sz w:val="24"/>
                <w:szCs w:val="24"/>
                <w:highlight w:val="none"/>
                <w:lang w:val="zh-CN"/>
              </w:rPr>
            </w:pPr>
            <w:r>
              <w:rPr>
                <w:rFonts w:hint="eastAsia" w:cs="宋体" w:asciiTheme="minorEastAsia" w:hAnsiTheme="minorEastAsia"/>
                <w:b/>
                <w:color w:val="FF0000"/>
                <w:kern w:val="0"/>
                <w:sz w:val="24"/>
                <w:szCs w:val="24"/>
                <w:highlight w:val="none"/>
                <w:lang w:val="zh-CN"/>
              </w:rPr>
              <w:t>投标人资格条件</w:t>
            </w:r>
          </w:p>
          <w:p>
            <w:pPr>
              <w:numPr>
                <w:ilvl w:val="0"/>
                <w:numId w:val="7"/>
              </w:numPr>
              <w:autoSpaceDE w:val="0"/>
              <w:autoSpaceDN w:val="0"/>
              <w:adjustRightInd w:val="0"/>
              <w:spacing w:line="360" w:lineRule="auto"/>
              <w:ind w:right="-11"/>
              <w:rPr>
                <w:rFonts w:hint="eastAsia" w:cs="宋体" w:asciiTheme="minorEastAsia" w:hAnsiTheme="minorEastAsia"/>
                <w:bCs/>
                <w:sz w:val="24"/>
                <w:szCs w:val="24"/>
                <w:highlight w:val="none"/>
              </w:rPr>
            </w:pPr>
            <w:r>
              <w:rPr>
                <w:rFonts w:hint="eastAsia" w:cs="宋体" w:asciiTheme="minorEastAsia" w:hAnsiTheme="minorEastAsia"/>
                <w:bCs/>
                <w:sz w:val="24"/>
                <w:szCs w:val="24"/>
                <w:highlight w:val="none"/>
              </w:rPr>
              <w:t>符合《政府采购法》第二十二条之规定，具有独立法人资格及相应的经营范围（营业执照）；</w:t>
            </w:r>
          </w:p>
          <w:p>
            <w:pPr>
              <w:numPr>
                <w:ilvl w:val="0"/>
                <w:numId w:val="7"/>
              </w:numPr>
              <w:autoSpaceDE w:val="0"/>
              <w:autoSpaceDN w:val="0"/>
              <w:adjustRightInd w:val="0"/>
              <w:spacing w:line="360" w:lineRule="auto"/>
              <w:ind w:right="-11"/>
              <w:rPr>
                <w:rFonts w:hint="eastAsia" w:cs="宋体" w:asciiTheme="minorEastAsia" w:hAnsiTheme="minorEastAsia"/>
                <w:bCs/>
                <w:color w:val="C00000"/>
                <w:sz w:val="24"/>
                <w:szCs w:val="24"/>
                <w:highlight w:val="none"/>
              </w:rPr>
            </w:pPr>
            <w:r>
              <w:rPr>
                <w:rFonts w:hint="eastAsia" w:cs="宋体" w:asciiTheme="minorEastAsia" w:hAnsiTheme="minorEastAsia"/>
                <w:bCs/>
                <w:sz w:val="24"/>
                <w:szCs w:val="24"/>
                <w:highlight w:val="none"/>
              </w:rPr>
              <w:t>具有相应范围的《医疗器械生产许可证》或《医疗器械经营许可证》经营范</w:t>
            </w:r>
            <w:r>
              <w:rPr>
                <w:rFonts w:hint="eastAsia" w:cs="宋体" w:asciiTheme="minorEastAsia" w:hAnsiTheme="minorEastAsia"/>
                <w:bCs/>
                <w:color w:val="000000" w:themeColor="text1"/>
                <w:sz w:val="24"/>
                <w:szCs w:val="24"/>
                <w:highlight w:val="none"/>
                <w14:textFill>
                  <w14:solidFill>
                    <w14:schemeClr w14:val="tx1"/>
                  </w14:solidFill>
                </w14:textFill>
              </w:rPr>
              <w:t>围涵盖所投包号产品，并具有投标产品的《中华人民共和国医疗器械注册证》并加盖投标人公章的原件扫描件或复印件扫描件（或图片）。</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rPr>
              <w:t>、本项目不接受联合体投标。</w:t>
            </w:r>
          </w:p>
          <w:p>
            <w:pPr>
              <w:autoSpaceDE w:val="0"/>
              <w:autoSpaceDN w:val="0"/>
              <w:adjustRightInd w:val="0"/>
              <w:spacing w:line="360" w:lineRule="auto"/>
              <w:ind w:right="-11"/>
              <w:rPr>
                <w:rFonts w:hint="eastAsia" w:cs="宋体" w:asciiTheme="minorEastAsia" w:hAnsiTheme="minorEastAsia"/>
                <w:b/>
                <w:bCs w:val="0"/>
                <w:sz w:val="24"/>
                <w:szCs w:val="24"/>
              </w:rPr>
            </w:pPr>
            <w:r>
              <w:rPr>
                <w:rFonts w:hint="eastAsia" w:cs="宋体" w:asciiTheme="minorEastAsia" w:hAnsiTheme="minorEastAsia"/>
                <w:b/>
                <w:bCs w:val="0"/>
                <w:sz w:val="24"/>
                <w:szCs w:val="24"/>
                <w:lang w:val="zh-CN"/>
              </w:rPr>
              <w:t>八、未被列入</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信用中国</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网站</w:t>
            </w:r>
            <w:r>
              <w:rPr>
                <w:rFonts w:hint="eastAsia" w:cs="宋体" w:asciiTheme="minorEastAsia" w:hAnsiTheme="minorEastAsia"/>
                <w:b/>
                <w:bCs w:val="0"/>
                <w:sz w:val="24"/>
                <w:szCs w:val="24"/>
              </w:rPr>
              <w:t>(www.creditchina.gov.cn)</w:t>
            </w:r>
            <w:r>
              <w:rPr>
                <w:rFonts w:hint="eastAsia" w:cs="宋体" w:asciiTheme="minorEastAsia" w:hAnsiTheme="minorEastAsia"/>
                <w:b/>
                <w:bCs w:val="0"/>
                <w:sz w:val="24"/>
                <w:szCs w:val="24"/>
                <w:lang w:val="zh-CN"/>
              </w:rPr>
              <w:t>失信被执行人、重大税收违法案件当事人名单、政府采购严重违法失信名单的投标人</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中国政府采购网</w:t>
            </w:r>
            <w:r>
              <w:rPr>
                <w:rFonts w:hint="eastAsia" w:cs="宋体" w:asciiTheme="minorEastAsia" w:hAnsiTheme="minorEastAsia"/>
                <w:b/>
                <w:bCs w:val="0"/>
                <w:sz w:val="24"/>
                <w:szCs w:val="24"/>
              </w:rPr>
              <w:t>” (www.ccgp.gov.cn)</w:t>
            </w:r>
            <w:r>
              <w:rPr>
                <w:rFonts w:hint="eastAsia" w:cs="宋体" w:asciiTheme="minorEastAsia" w:hAnsiTheme="minorEastAsia"/>
                <w:b/>
                <w:bCs w:val="0"/>
                <w:sz w:val="24"/>
                <w:szCs w:val="24"/>
                <w:lang w:val="zh-CN"/>
              </w:rPr>
              <w:t>政府采购严重违法失信行为记录名单的投标人</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国家企业信用公示系统</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网站</w:t>
            </w:r>
            <w:r>
              <w:rPr>
                <w:rFonts w:hint="eastAsia" w:cs="宋体" w:asciiTheme="minorEastAsia" w:hAnsiTheme="minorEastAsia"/>
                <w:b/>
                <w:bCs w:val="0"/>
                <w:sz w:val="24"/>
                <w:szCs w:val="24"/>
              </w:rPr>
              <w:t>（www.gsxt.gov.cn）</w:t>
            </w:r>
            <w:r>
              <w:rPr>
                <w:rFonts w:hint="eastAsia" w:cs="宋体" w:asciiTheme="minorEastAsia" w:hAnsiTheme="minorEastAsia"/>
                <w:b/>
                <w:bCs w:val="0"/>
                <w:sz w:val="24"/>
                <w:szCs w:val="24"/>
                <w:lang w:val="zh-CN"/>
              </w:rPr>
              <w:t>严重违法失信企业名单</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黑名单</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的投标人</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联合体形式投标的</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联合体成员存在不良信用记录</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视同联合体存在不良信用记录</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本项目投标截止时间前三年内供应商信用记录情况</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zh-CN"/>
              </w:rPr>
              <w:t>。</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1、查询渠道：“信用中国”网站（www.creditchina.gov.cn）和“中国政府采购网”（www.ccgp.gov.cn）；“国家企业信用公示系统”网站（www.gsxt.gov.cn）；</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6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6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6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6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本项目最高限价：¥</w:t>
            </w:r>
            <w:r>
              <w:rPr>
                <w:rFonts w:hint="eastAsia" w:cs="仿宋_GB2312" w:asciiTheme="minorEastAsia" w:hAnsiTheme="minorEastAsia"/>
                <w:color w:val="000000"/>
                <w:sz w:val="24"/>
                <w:szCs w:val="24"/>
                <w:lang w:val="en-US" w:eastAsia="zh-CN"/>
              </w:rPr>
              <w:t>223.69万</w:t>
            </w:r>
            <w:r>
              <w:rPr>
                <w:rFonts w:hint="eastAsia" w:cs="仿宋_GB2312" w:asciiTheme="minorEastAsia" w:hAnsiTheme="minorEastAsia"/>
                <w:color w:val="000000"/>
                <w:sz w:val="24"/>
                <w:szCs w:val="24"/>
              </w:rPr>
              <w:t>元</w:t>
            </w:r>
            <w:r>
              <w:rPr>
                <w:rFonts w:hint="eastAsia" w:cs="宋体" w:asciiTheme="minorEastAsia" w:hAnsiTheme="minorEastAsia"/>
                <w:bCs/>
                <w:sz w:val="24"/>
                <w:szCs w:val="24"/>
                <w:lang w:val="zh-CN"/>
              </w:rPr>
              <w:t>；</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6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64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6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64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61"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646"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6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646"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6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中标人将本项目的非主体、非关键性工作分包</w:t>
            </w:r>
          </w:p>
        </w:tc>
        <w:tc>
          <w:tcPr>
            <w:tcW w:w="6646"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6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64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color w:val="000000"/>
                <w:sz w:val="24"/>
                <w:szCs w:val="24"/>
              </w:rPr>
              <w:t>2019年</w:t>
            </w:r>
            <w:r>
              <w:rPr>
                <w:rFonts w:hint="eastAsia" w:cs="仿宋_GB2312" w:asciiTheme="minorEastAsia" w:hAnsiTheme="minorEastAsia"/>
                <w:color w:val="000000"/>
                <w:sz w:val="24"/>
                <w:szCs w:val="24"/>
                <w:lang w:val="en-US" w:eastAsia="zh-CN"/>
              </w:rPr>
              <w:t>4</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16</w:t>
            </w:r>
            <w:r>
              <w:rPr>
                <w:rFonts w:hint="eastAsia" w:cs="仿宋_GB2312" w:asciiTheme="minorEastAsia" w:hAnsiTheme="minorEastAsia"/>
                <w:color w:val="000000"/>
                <w:sz w:val="24"/>
                <w:szCs w:val="24"/>
              </w:rPr>
              <w:t>日上午</w:t>
            </w:r>
            <w:r>
              <w:rPr>
                <w:rFonts w:hint="eastAsia" w:cs="仿宋_GB2312" w:asciiTheme="minorEastAsia" w:hAnsiTheme="minorEastAsia"/>
                <w:color w:val="000000"/>
                <w:sz w:val="24"/>
                <w:szCs w:val="24"/>
                <w:lang w:val="en-US" w:eastAsia="zh-CN"/>
              </w:rPr>
              <w:t>9</w:t>
            </w:r>
            <w:r>
              <w:rPr>
                <w:rFonts w:hint="eastAsia" w:cs="仿宋_GB2312" w:asciiTheme="minorEastAsia" w:hAnsiTheme="minorEastAsia"/>
                <w:color w:val="000000"/>
                <w:sz w:val="24"/>
                <w:szCs w:val="24"/>
              </w:rPr>
              <w:t>时</w:t>
            </w:r>
            <w:r>
              <w:rPr>
                <w:rFonts w:hint="eastAsia" w:cs="仿宋_GB2312" w:asciiTheme="minorEastAsia" w:hAnsiTheme="minorEastAsia"/>
                <w:color w:val="000000"/>
                <w:sz w:val="24"/>
                <w:szCs w:val="24"/>
                <w:lang w:val="en-US" w:eastAsia="zh-CN"/>
              </w:rPr>
              <w:t>00</w:t>
            </w:r>
            <w:r>
              <w:rPr>
                <w:rFonts w:hint="eastAsia" w:cs="仿宋_GB2312" w:asciiTheme="minorEastAsia" w:hAnsiTheme="minorEastAsia"/>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6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64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6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646"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投标保证金金额：</w:t>
            </w:r>
            <w:r>
              <w:rPr>
                <w:rFonts w:hint="eastAsia" w:cs="仿宋_GB2312" w:asciiTheme="minorEastAsia" w:hAnsiTheme="minorEastAsia"/>
                <w:sz w:val="24"/>
                <w:szCs w:val="24"/>
                <w:lang w:val="en-US" w:eastAsia="zh-CN"/>
              </w:rPr>
              <w:t>肆万元整</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 xml:space="preserve">40000.00 </w:t>
            </w:r>
            <w:r>
              <w:rPr>
                <w:rFonts w:hint="eastAsia" w:cs="仿宋_GB2312" w:asciiTheme="minorEastAsia" w:hAnsiTheme="minorEastAsia"/>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6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646"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6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64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6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64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6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646"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份，副本四份。使用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6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646"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61"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64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由采购人代表1人和评审专家4人，共5人组成，其中评审专家的人数不少于评标委员会成员总数的三分之二。评审专家从政府采购评审专家库中随机抽取。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061"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646"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6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64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6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64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w:t>
            </w:r>
            <w:r>
              <w:rPr>
                <w:rFonts w:hint="eastAsia" w:cs="宋体" w:asciiTheme="minorEastAsia" w:hAnsiTheme="minorEastAsia"/>
                <w:color w:val="000000" w:themeColor="text1"/>
                <w:sz w:val="24"/>
                <w:szCs w:val="24"/>
                <w14:textFill>
                  <w14:solidFill>
                    <w14:schemeClr w14:val="tx1"/>
                  </w14:solidFill>
                </w14:textFill>
              </w:rPr>
              <w:t>同金额的</w:t>
            </w:r>
            <w:r>
              <w:rPr>
                <w:rFonts w:hint="eastAsia" w:cs="宋体" w:asciiTheme="minorEastAsia" w:hAnsi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6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646"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ascii="宋体" w:hAnsi="宋体" w:eastAsia="宋体" w:cs="Times New Roman"/>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06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中标通知书</w:t>
            </w:r>
          </w:p>
        </w:tc>
        <w:tc>
          <w:tcPr>
            <w:tcW w:w="664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eastAsia="宋体" w:cs="宋体"/>
                <w:bCs/>
                <w:sz w:val="24"/>
                <w:szCs w:val="24"/>
                <w:highlight w:val="none"/>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06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646"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招标文件费用和招标代理服务费，收取标准详见招标公告及招标文件前附表须知</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w:t>
      </w:r>
      <w:r>
        <w:rPr>
          <w:rFonts w:hint="eastAsia" w:cs="宋体" w:asciiTheme="minorEastAsia" w:hAnsiTheme="minorEastAsia"/>
          <w:kern w:val="0"/>
          <w:sz w:val="24"/>
          <w:szCs w:val="24"/>
          <w:lang w:val="en-US" w:eastAsia="zh-CN"/>
        </w:rPr>
        <w:t>八</w:t>
      </w:r>
      <w:r>
        <w:rPr>
          <w:rFonts w:hint="eastAsia" w:cs="宋体" w:asciiTheme="minorEastAsia" w:hAnsiTheme="minorEastAsia"/>
          <w:kern w:val="0"/>
          <w:sz w:val="24"/>
          <w:szCs w:val="24"/>
        </w:rPr>
        <w:t>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招标人将依法组建评标委员会，评标委员会由采购人代表1人和评审专家4人，共5人组成，其中评审专家的人数不少于评标委员会成员总数的三分之二。评审专家依法从政府采购评审专家库中随机抽取。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.1.1.2 </w:t>
      </w:r>
      <w:r>
        <w:rPr>
          <w:rFonts w:hint="eastAsia" w:cs="仿宋_GB2312" w:asciiTheme="minorEastAsia" w:hAnsiTheme="minorEastAsia"/>
          <w:b w:val="0"/>
          <w:bCs w:val="0"/>
          <w:sz w:val="24"/>
          <w:szCs w:val="24"/>
          <w:lang w:val="zh-CN"/>
        </w:rPr>
        <w:t>采用最低评标价法评标</w:t>
      </w:r>
      <w:r>
        <w:rPr>
          <w:rFonts w:hint="eastAsia" w:cs="仿宋_GB2312" w:asciiTheme="minorEastAsia" w:hAnsiTheme="minorEastAsia"/>
          <w:sz w:val="24"/>
          <w:szCs w:val="24"/>
          <w:lang w:val="zh-CN"/>
        </w:rPr>
        <w:t>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w:t>
      </w:r>
      <w:r>
        <w:rPr>
          <w:rFonts w:hint="eastAsia" w:cs="宋体" w:asciiTheme="minorEastAsia" w:hAnsiTheme="minorEastAsia"/>
          <w:color w:val="0000FF"/>
          <w:sz w:val="24"/>
          <w:szCs w:val="24"/>
        </w:rPr>
        <w:t>同金额的</w:t>
      </w:r>
      <w:r>
        <w:rPr>
          <w:rFonts w:hint="eastAsia" w:cs="宋体" w:asciiTheme="minorEastAsia" w:hAnsiTheme="minorEastAsia"/>
          <w:color w:val="0000FF"/>
          <w:sz w:val="24"/>
          <w:szCs w:val="24"/>
          <w:lang w:val="en-US" w:eastAsia="zh-CN"/>
        </w:rPr>
        <w:t>10</w:t>
      </w:r>
      <w:r>
        <w:rPr>
          <w:rFonts w:hint="eastAsia" w:cs="宋体" w:asciiTheme="minorEastAsia" w:hAnsiTheme="minorEastAsia"/>
          <w:color w:val="0000FF"/>
          <w:sz w:val="24"/>
          <w:szCs w:val="24"/>
        </w:rPr>
        <w:t>%。</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ind w:firstLine="2168" w:firstLineChars="6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（1）上一年度的财务报告(指2017年度财务报告)；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highlight w:val="none"/>
              </w:rPr>
            </w:pPr>
            <w:r>
              <w:rPr>
                <w:rFonts w:hint="eastAsia" w:asciiTheme="minorEastAsia" w:hAnsiTheme="minorEastAsia"/>
                <w:b/>
                <w:bCs/>
                <w:sz w:val="24"/>
                <w:szCs w:val="24"/>
                <w:highlight w:val="none"/>
              </w:rPr>
              <w:t>8、</w:t>
            </w:r>
            <w:r>
              <w:rPr>
                <w:rFonts w:hint="eastAsia" w:cs="仿宋_GB2312" w:asciiTheme="minorEastAsia" w:hAnsiTheme="minorEastAsia"/>
                <w:color w:val="000000"/>
                <w:sz w:val="24"/>
                <w:szCs w:val="24"/>
                <w:highlight w:val="none"/>
              </w:rPr>
              <w:t>符合《政府采购法》第二十二条之规定，具有独立法人资格及相应的经营范围（营业执照）；</w:t>
            </w:r>
          </w:p>
          <w:p>
            <w:pPr>
              <w:spacing w:line="360" w:lineRule="auto"/>
              <w:rPr>
                <w:rFonts w:hint="eastAsia" w:asciiTheme="minorEastAsia" w:hAnsiTheme="minorEastAsia"/>
                <w:bCs/>
                <w:sz w:val="24"/>
                <w:szCs w:val="24"/>
              </w:rPr>
            </w:pPr>
            <w:r>
              <w:rPr>
                <w:rFonts w:hint="eastAsia" w:ascii="宋体" w:hAnsi="宋体" w:cs="仿宋_GB2312"/>
                <w:sz w:val="24"/>
                <w:szCs w:val="28"/>
                <w:highlight w:val="none"/>
                <w:shd w:val="clear" w:color="auto" w:fill="FFFFFF"/>
              </w:rPr>
              <w:t>具有</w:t>
            </w:r>
            <w:r>
              <w:rPr>
                <w:rFonts w:hint="eastAsia" w:ascii="宋体" w:hAnsi="宋体" w:cs="宋体"/>
                <w:sz w:val="24"/>
                <w:szCs w:val="28"/>
                <w:highlight w:val="none"/>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szCs w:val="24"/>
                <w:highlight w:val="none"/>
              </w:rPr>
              <w:t>并加盖投标人公章的原件扫描件或复印件扫描件（或图片）</w:t>
            </w:r>
            <w:r>
              <w:rPr>
                <w:rFonts w:hint="eastAsia" w:ascii="宋体" w:hAnsi="宋体" w:cs="宋体"/>
                <w:sz w:val="24"/>
                <w:szCs w:val="2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11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lang w:val="en-US" w:eastAsia="zh-CN"/>
              </w:rPr>
              <w:t>12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lang w:val="en-US" w:eastAsia="zh-CN"/>
              </w:rPr>
              <w:t>13</w:t>
            </w:r>
            <w:r>
              <w:rPr>
                <w:rFonts w:hint="eastAsia" w:asciiTheme="minorEastAsia" w:hAnsiTheme="minorEastAsia"/>
                <w:b/>
                <w:sz w:val="24"/>
                <w:szCs w:val="24"/>
              </w:rPr>
              <w:t>、法定代表人身份证明或提供法定代表人授权委托书及被授权人身份证明。</w:t>
            </w:r>
          </w:p>
        </w:tc>
      </w:tr>
    </w:tbl>
    <w:p>
      <w:pPr>
        <w:pStyle w:val="12"/>
        <w:spacing w:line="360" w:lineRule="auto"/>
        <w:contextualSpacing/>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highlight w:val="none"/>
          <w:lang w:val="zh-CN"/>
        </w:rPr>
      </w:pPr>
      <w:r>
        <w:rPr>
          <w:rFonts w:hint="eastAsia" w:cs="仿宋_GB2312" w:asciiTheme="minorEastAsia" w:hAnsiTheme="minorEastAsia"/>
          <w:szCs w:val="24"/>
          <w:lang w:val="zh-CN"/>
        </w:rPr>
        <w:t>注：符合性审查中所涉及到的证书及材料，均须在电子投标文件</w:t>
      </w:r>
      <w:r>
        <w:rPr>
          <w:rFonts w:hint="eastAsia" w:cs="仿宋_GB2312" w:asciiTheme="minorEastAsia" w:hAnsiTheme="minorEastAsia"/>
          <w:szCs w:val="24"/>
          <w:highlight w:val="none"/>
          <w:lang w:val="zh-CN"/>
        </w:rPr>
        <w:t>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分值构成</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价格分值：30 分</w:t>
            </w:r>
          </w:p>
          <w:p>
            <w:pPr>
              <w:widowControl/>
              <w:spacing w:line="36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商务部分：</w:t>
            </w:r>
            <w:r>
              <w:rPr>
                <w:rFonts w:hint="eastAsia" w:cs="宋体" w:asciiTheme="minorEastAsia" w:hAnsiTheme="minorEastAsia"/>
                <w:kern w:val="0"/>
                <w:sz w:val="24"/>
                <w:szCs w:val="24"/>
                <w:lang w:val="en-US" w:eastAsia="zh-CN"/>
              </w:rPr>
              <w:t>30</w:t>
            </w:r>
            <w:r>
              <w:rPr>
                <w:rFonts w:hint="eastAsia" w:cs="宋体" w:asciiTheme="minorEastAsia" w:hAnsiTheme="minorEastAsia"/>
                <w:kern w:val="0"/>
                <w:sz w:val="24"/>
                <w:szCs w:val="24"/>
              </w:rPr>
              <w:t>分</w:t>
            </w:r>
          </w:p>
          <w:p>
            <w:pPr>
              <w:widowControl/>
              <w:spacing w:line="36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技术部分：</w:t>
            </w:r>
            <w:r>
              <w:rPr>
                <w:rFonts w:hint="eastAsia" w:cs="宋体" w:asciiTheme="minorEastAsia" w:hAnsiTheme="minorEastAsia"/>
                <w:kern w:val="0"/>
                <w:sz w:val="24"/>
                <w:szCs w:val="24"/>
                <w:lang w:val="en-US" w:eastAsia="zh-CN"/>
              </w:rPr>
              <w:t>40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一、价格部分（满分</w:t>
            </w:r>
            <w:r>
              <w:rPr>
                <w:rFonts w:cs="宋体" w:asciiTheme="minorEastAsia" w:hAnsiTheme="minorEastAsia"/>
                <w:bCs/>
                <w:kern w:val="0"/>
                <w:sz w:val="24"/>
                <w:szCs w:val="24"/>
              </w:rPr>
              <w:t>30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cstheme="majorEastAsia"/>
                <w:kern w:val="0"/>
                <w:sz w:val="24"/>
                <w:szCs w:val="24"/>
              </w:rPr>
            </w:pPr>
            <w:r>
              <w:rPr>
                <w:rFonts w:hint="eastAsia" w:asciiTheme="minorEastAsia" w:hAnsiTheme="minorEastAsia" w:cstheme="majorEastAsia"/>
                <w:kern w:val="0"/>
                <w:sz w:val="24"/>
                <w:szCs w:val="24"/>
              </w:rPr>
              <w:t>投标报价</w:t>
            </w:r>
          </w:p>
          <w:p>
            <w:pPr>
              <w:widowControl/>
              <w:spacing w:line="400" w:lineRule="exact"/>
              <w:jc w:val="center"/>
              <w:rPr>
                <w:rFonts w:cs="宋体" w:asciiTheme="minorEastAsia" w:hAnsiTheme="minorEastAsia"/>
                <w:kern w:val="0"/>
                <w:sz w:val="24"/>
                <w:szCs w:val="24"/>
              </w:rPr>
            </w:pPr>
            <w:r>
              <w:rPr>
                <w:rFonts w:hint="eastAsia" w:asciiTheme="minorEastAsia" w:hAnsiTheme="minorEastAsia" w:cstheme="majorEastAsia"/>
                <w:kern w:val="0"/>
                <w:sz w:val="24"/>
                <w:szCs w:val="24"/>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评标基准价：满足招标文件要求的有效投标报价中，最低的投标报价为评标基准价。</w:t>
            </w:r>
          </w:p>
          <w:p>
            <w:pPr>
              <w:rPr>
                <w:rFonts w:asciiTheme="minorEastAsia" w:hAnsiTheme="minorEastAsia" w:cstheme="minorEastAsia"/>
                <w:sz w:val="24"/>
                <w:szCs w:val="24"/>
              </w:rPr>
            </w:pPr>
            <w:r>
              <w:rPr>
                <w:rFonts w:hint="eastAsia" w:asciiTheme="minorEastAsia" w:hAnsiTheme="minorEastAsia" w:cstheme="minorEastAsia"/>
                <w:sz w:val="24"/>
                <w:szCs w:val="24"/>
              </w:rPr>
              <w:t>投标报价得分=（评标基准价/投标报价）×30。</w:t>
            </w:r>
          </w:p>
          <w:p>
            <w:pPr>
              <w:rPr>
                <w:rFonts w:cs="宋体" w:asciiTheme="minorEastAsia" w:hAnsiTheme="minorEastAsia"/>
                <w:kern w:val="0"/>
                <w:sz w:val="24"/>
                <w:szCs w:val="24"/>
              </w:rPr>
            </w:pPr>
            <w:r>
              <w:rPr>
                <w:rFonts w:hint="eastAsia" w:asciiTheme="minorEastAsia" w:hAnsiTheme="minorEastAsia" w:cstheme="minorEastAsia"/>
                <w:sz w:val="24"/>
                <w:szCs w:val="24"/>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cs="仿宋" w:asciiTheme="minorEastAsia" w:hAnsiTheme="minorEastAsia"/>
                <w:kern w:val="0"/>
                <w:sz w:val="24"/>
                <w:szCs w:val="24"/>
              </w:rPr>
              <w:t>30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二、商务部分（满分</w:t>
            </w:r>
            <w:r>
              <w:rPr>
                <w:rFonts w:hint="eastAsia" w:cs="宋体" w:asciiTheme="minorEastAsia" w:hAnsiTheme="minorEastAsia"/>
                <w:bCs/>
                <w:kern w:val="0"/>
                <w:sz w:val="24"/>
                <w:szCs w:val="24"/>
                <w:lang w:val="en-US" w:eastAsia="zh-CN"/>
              </w:rPr>
              <w:t>30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trPr>
        <w:tc>
          <w:tcPr>
            <w:tcW w:w="166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Theme="minorEastAsia" w:hAnsiTheme="minorEastAsia" w:cstheme="majorEastAsia"/>
                <w:kern w:val="0"/>
                <w:sz w:val="24"/>
                <w:szCs w:val="24"/>
              </w:rPr>
            </w:pPr>
          </w:p>
          <w:p>
            <w:pPr>
              <w:widowControl/>
              <w:spacing w:line="400" w:lineRule="exact"/>
              <w:jc w:val="center"/>
              <w:rPr>
                <w:rFonts w:asciiTheme="minorEastAsia" w:hAnsiTheme="minorEastAsia" w:cstheme="majorEastAsia"/>
                <w:kern w:val="0"/>
                <w:sz w:val="24"/>
                <w:szCs w:val="24"/>
              </w:rPr>
            </w:pPr>
          </w:p>
          <w:p>
            <w:pPr>
              <w:widowControl/>
              <w:spacing w:line="400" w:lineRule="exact"/>
              <w:jc w:val="center"/>
              <w:rPr>
                <w:rFonts w:asciiTheme="minorEastAsia" w:hAnsiTheme="minorEastAsia" w:cstheme="majorEastAsia"/>
                <w:kern w:val="0"/>
                <w:sz w:val="24"/>
                <w:szCs w:val="24"/>
              </w:rPr>
            </w:pPr>
            <w:r>
              <w:rPr>
                <w:rFonts w:hint="eastAsia" w:asciiTheme="minorEastAsia" w:hAnsiTheme="minorEastAsia" w:cstheme="majorEastAsia"/>
                <w:kern w:val="0"/>
                <w:sz w:val="24"/>
                <w:szCs w:val="24"/>
              </w:rPr>
              <w:t>企业业绩</w:t>
            </w:r>
          </w:p>
        </w:tc>
        <w:tc>
          <w:tcPr>
            <w:tcW w:w="66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highlight w:val="none"/>
                <w14:textFill>
                  <w14:solidFill>
                    <w14:schemeClr w14:val="tx1"/>
                  </w14:solidFill>
                </w14:textFill>
              </w:rPr>
            </w:pPr>
            <w:r>
              <w:rPr>
                <w:rFonts w:asciiTheme="minorEastAsia" w:hAnsi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bCs/>
                <w:color w:val="000000" w:themeColor="text1"/>
                <w:sz w:val="24"/>
                <w:szCs w:val="24"/>
                <w:highlight w:val="none"/>
                <w14:textFill>
                  <w14:solidFill>
                    <w14:schemeClr w14:val="tx1"/>
                  </w14:solidFill>
                </w14:textFill>
              </w:rPr>
              <w:t>投标人2016年1月1日以来，具有类似项目业绩单次合同金额</w:t>
            </w:r>
            <w:r>
              <w:rPr>
                <w:rFonts w:hint="eastAsia" w:asciiTheme="minorEastAsia" w:hAnsiTheme="minorEastAsia"/>
                <w:bCs/>
                <w:color w:val="000000" w:themeColor="text1"/>
                <w:sz w:val="24"/>
                <w:szCs w:val="24"/>
                <w:highlight w:val="none"/>
                <w:lang w:val="en-US" w:eastAsia="zh-CN"/>
                <w14:textFill>
                  <w14:solidFill>
                    <w14:schemeClr w14:val="tx1"/>
                  </w14:solidFill>
                </w14:textFill>
              </w:rPr>
              <w:t>不低于本项目最高限价的</w:t>
            </w:r>
            <w:r>
              <w:rPr>
                <w:rFonts w:hint="eastAsia"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bCs/>
                <w:color w:val="000000" w:themeColor="text1"/>
                <w:sz w:val="24"/>
                <w:szCs w:val="24"/>
                <w:highlight w:val="none"/>
                <w14:textFill>
                  <w14:solidFill>
                    <w14:schemeClr w14:val="tx1"/>
                  </w14:solidFill>
                </w14:textFill>
              </w:rPr>
              <w:t>每提供一份得</w:t>
            </w:r>
            <w:r>
              <w:rPr>
                <w:rFonts w:hint="eastAsia" w:asciiTheme="minorEastAsia" w:hAnsi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bCs/>
                <w:color w:val="000000" w:themeColor="text1"/>
                <w:sz w:val="24"/>
                <w:szCs w:val="24"/>
                <w:highlight w:val="none"/>
                <w14:textFill>
                  <w14:solidFill>
                    <w14:schemeClr w14:val="tx1"/>
                  </w14:solidFill>
                </w14:textFill>
              </w:rPr>
              <w:t>分，最多得</w:t>
            </w:r>
            <w:r>
              <w:rPr>
                <w:rFonts w:hint="eastAsia" w:asciiTheme="minorEastAsia" w:hAnsiTheme="minorEastAsia"/>
                <w:bCs/>
                <w:color w:val="000000" w:themeColor="text1"/>
                <w:sz w:val="24"/>
                <w:szCs w:val="24"/>
                <w:highlight w:val="none"/>
                <w:lang w:val="en-US" w:eastAsia="zh-CN"/>
                <w14:textFill>
                  <w14:solidFill>
                    <w14:schemeClr w14:val="tx1"/>
                  </w14:solidFill>
                </w14:textFill>
              </w:rPr>
              <w:t>15</w:t>
            </w:r>
            <w:r>
              <w:rPr>
                <w:rFonts w:hint="eastAsia" w:asciiTheme="minorEastAsia" w:hAnsiTheme="minorEastAsia"/>
                <w:bCs/>
                <w:color w:val="000000" w:themeColor="text1"/>
                <w:sz w:val="24"/>
                <w:szCs w:val="24"/>
                <w:highlight w:val="none"/>
                <w14:textFill>
                  <w14:solidFill>
                    <w14:schemeClr w14:val="tx1"/>
                  </w14:solidFill>
                </w14:textFill>
              </w:rPr>
              <w:t>分，不提供者为0分。（所提供业绩仅限于与医疗机构签订合同）</w:t>
            </w:r>
          </w:p>
          <w:p>
            <w:pPr>
              <w:pStyle w:val="2"/>
              <w:rPr>
                <w:color w:val="000000" w:themeColor="text1"/>
                <w:highlight w:val="none"/>
                <w14:textFill>
                  <w14:solidFill>
                    <w14:schemeClr w14:val="tx1"/>
                  </w14:solidFill>
                </w14:textFill>
              </w:rPr>
            </w:pPr>
            <w:r>
              <w:rPr>
                <w:rFonts w:hint="eastAsia" w:asciiTheme="minorEastAsia" w:hAnsiTheme="minorEastAsia" w:eastAsiaTheme="minorEastAsia" w:cstheme="minorBidi"/>
                <w:bCs/>
                <w:color w:val="000000" w:themeColor="text1"/>
                <w:kern w:val="2"/>
                <w:sz w:val="24"/>
                <w:szCs w:val="24"/>
                <w:highlight w:val="none"/>
                <w:lang w:val="en-US" w:eastAsia="zh-CN" w:bidi="ar-SA"/>
                <w14:textFill>
                  <w14:solidFill>
                    <w14:schemeClr w14:val="tx1"/>
                  </w14:solidFill>
                </w14:textFill>
              </w:rPr>
              <w:t>以中标通知书或合同书原件为准，标书中附</w:t>
            </w:r>
            <w:r>
              <w:rPr>
                <w:rFonts w:hint="eastAsia" w:asciiTheme="minorEastAsia" w:hAnsiTheme="minorEastAsia" w:cstheme="minorBidi"/>
                <w:bCs/>
                <w:color w:val="000000" w:themeColor="text1"/>
                <w:kern w:val="2"/>
                <w:sz w:val="24"/>
                <w:szCs w:val="24"/>
                <w:highlight w:val="none"/>
                <w:lang w:val="en-US" w:eastAsia="zh-CN" w:bidi="ar-SA"/>
                <w14:textFill>
                  <w14:solidFill>
                    <w14:schemeClr w14:val="tx1"/>
                  </w14:solidFill>
                </w14:textFill>
              </w:rPr>
              <w:t>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仿宋" w:asciiTheme="minorEastAsia" w:hAnsiTheme="minorEastAsia"/>
                <w:kern w:val="0"/>
                <w:sz w:val="24"/>
                <w:szCs w:val="24"/>
              </w:rPr>
            </w:pPr>
            <w:r>
              <w:rPr>
                <w:rFonts w:hint="eastAsia" w:cs="仿宋" w:asciiTheme="minorEastAsia" w:hAnsiTheme="minorEastAsia"/>
                <w:kern w:val="0"/>
                <w:sz w:val="24"/>
                <w:szCs w:val="24"/>
                <w:lang w:val="en-US" w:eastAsia="zh-CN"/>
              </w:rPr>
              <w:t>15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668"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cs="宋体" w:asciiTheme="minorEastAsia" w:hAnsiTheme="minorEastAsia"/>
                <w:szCs w:val="21"/>
              </w:rPr>
            </w:pPr>
          </w:p>
          <w:p>
            <w:pPr>
              <w:widowControl/>
              <w:spacing w:line="276" w:lineRule="auto"/>
              <w:jc w:val="center"/>
              <w:rPr>
                <w:rFonts w:cs="宋体" w:asciiTheme="minorEastAsia" w:hAnsiTheme="minorEastAsia"/>
                <w:szCs w:val="21"/>
              </w:rPr>
            </w:pPr>
          </w:p>
          <w:p>
            <w:pPr>
              <w:widowControl/>
              <w:spacing w:line="276" w:lineRule="auto"/>
              <w:jc w:val="center"/>
              <w:rPr>
                <w:rFonts w:cs="宋体" w:asciiTheme="minorEastAsia" w:hAnsiTheme="minorEastAsia"/>
                <w:szCs w:val="21"/>
              </w:rPr>
            </w:pPr>
          </w:p>
          <w:p>
            <w:pPr>
              <w:widowControl/>
              <w:spacing w:line="276" w:lineRule="auto"/>
              <w:jc w:val="center"/>
              <w:rPr>
                <w:rFonts w:cs="宋体" w:asciiTheme="minorEastAsia" w:hAnsiTheme="minorEastAsia"/>
                <w:szCs w:val="21"/>
              </w:rPr>
            </w:pPr>
          </w:p>
          <w:p>
            <w:pPr>
              <w:widowControl/>
              <w:spacing w:line="276" w:lineRule="auto"/>
              <w:jc w:val="center"/>
              <w:rPr>
                <w:rFonts w:asciiTheme="minorEastAsia" w:hAnsiTheme="minorEastAsia" w:cstheme="majorEastAsia"/>
                <w:kern w:val="0"/>
                <w:szCs w:val="21"/>
              </w:rPr>
            </w:pPr>
            <w:r>
              <w:rPr>
                <w:rFonts w:hint="eastAsia" w:asciiTheme="minorEastAsia" w:hAnsiTheme="minorEastAsia" w:cstheme="majorEastAsia"/>
                <w:kern w:val="0"/>
                <w:sz w:val="24"/>
                <w:szCs w:val="24"/>
              </w:rPr>
              <w:t>综合实力</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1、投标人具有质量</w:t>
            </w:r>
            <w:r>
              <w:rPr>
                <w:rFonts w:hint="eastAsia" w:asciiTheme="minorEastAsia" w:hAnsiTheme="minorEastAsia"/>
                <w:color w:val="auto"/>
                <w:sz w:val="24"/>
                <w:szCs w:val="24"/>
                <w:highlight w:val="none"/>
                <w:lang w:val="en-US" w:eastAsia="zh-CN"/>
              </w:rPr>
              <w:t>管理</w:t>
            </w:r>
            <w:r>
              <w:rPr>
                <w:rFonts w:hint="eastAsia" w:asciiTheme="minorEastAsia" w:hAnsiTheme="minorEastAsia"/>
                <w:color w:val="auto"/>
                <w:sz w:val="24"/>
                <w:szCs w:val="24"/>
                <w:highlight w:val="none"/>
              </w:rPr>
              <w:t>体系认证、环境管理体系认证、职业健康安全管理体系认证，每个认证得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分；本项最高得</w:t>
            </w:r>
            <w:r>
              <w:rPr>
                <w:rFonts w:hint="eastAsia" w:asciiTheme="minorEastAsia" w:hAnsiTheme="minorEastAsia"/>
                <w:color w:val="auto"/>
                <w:sz w:val="24"/>
                <w:szCs w:val="24"/>
                <w:highlight w:val="none"/>
                <w:lang w:val="en-US" w:eastAsia="zh-CN"/>
              </w:rPr>
              <w:t>6</w:t>
            </w:r>
            <w:r>
              <w:rPr>
                <w:rFonts w:hint="eastAsia" w:asciiTheme="minorEastAsia" w:hAnsiTheme="minorEastAsia"/>
                <w:color w:val="auto"/>
                <w:sz w:val="24"/>
                <w:szCs w:val="24"/>
                <w:highlight w:val="none"/>
              </w:rPr>
              <w:t>分</w:t>
            </w:r>
            <w:r>
              <w:rPr>
                <w:rFonts w:hint="eastAsia" w:asciiTheme="minorEastAsia" w:hAnsiTheme="minorEastAsia"/>
                <w:bCs/>
                <w:color w:val="000000" w:themeColor="text1"/>
                <w:sz w:val="24"/>
                <w:szCs w:val="24"/>
                <w:highlight w:val="none"/>
                <w14:textFill>
                  <w14:solidFill>
                    <w14:schemeClr w14:val="tx1"/>
                  </w14:solidFill>
                </w14:textFill>
              </w:rPr>
              <w:t>，不提供者为0分</w:t>
            </w:r>
            <w:r>
              <w:rPr>
                <w:rFonts w:hint="eastAsia" w:asciiTheme="minorEastAsia" w:hAnsiTheme="minorEastAsia"/>
                <w:color w:val="auto"/>
                <w:sz w:val="24"/>
                <w:szCs w:val="24"/>
                <w:highlight w:val="none"/>
              </w:rPr>
              <w:t>。（提供相关证明原件，标书附</w:t>
            </w:r>
            <w:r>
              <w:rPr>
                <w:rFonts w:hint="eastAsia" w:asciiTheme="minorEastAsia" w:hAnsiTheme="minorEastAsia" w:cstheme="minorBidi"/>
                <w:bCs/>
                <w:color w:val="000000" w:themeColor="text1"/>
                <w:kern w:val="2"/>
                <w:sz w:val="24"/>
                <w:szCs w:val="24"/>
                <w:highlight w:val="none"/>
                <w:lang w:val="en-US" w:eastAsia="zh-CN" w:bidi="ar-SA"/>
                <w14:textFill>
                  <w14:solidFill>
                    <w14:schemeClr w14:val="tx1"/>
                  </w14:solidFill>
                </w14:textFill>
              </w:rPr>
              <w:t>原件扫描件（或图片）</w:t>
            </w:r>
            <w:r>
              <w:rPr>
                <w:rFonts w:hint="eastAsia" w:asciiTheme="minorEastAsia" w:hAnsiTheme="minorEastAsia"/>
                <w:color w:val="auto"/>
                <w:sz w:val="24"/>
                <w:szCs w:val="24"/>
                <w:highlight w:val="none"/>
              </w:rPr>
              <w:t>）。</w:t>
            </w:r>
          </w:p>
          <w:p>
            <w:pPr>
              <w:widowControl/>
              <w:spacing w:line="360" w:lineRule="exact"/>
              <w:jc w:val="left"/>
              <w:rPr>
                <w:rFonts w:hint="eastAsia" w:eastAsiaTheme="minorEastAsia"/>
                <w:highlight w:val="none"/>
                <w:lang w:val="en-US" w:eastAsia="zh-CN"/>
              </w:rPr>
            </w:pPr>
            <w:r>
              <w:rPr>
                <w:rFonts w:hint="eastAsia" w:asciiTheme="minorEastAsia" w:hAnsiTheme="minorEastAsia"/>
                <w:color w:val="auto"/>
                <w:sz w:val="24"/>
                <w:szCs w:val="24"/>
                <w:highlight w:val="none"/>
              </w:rPr>
              <w:t>2、投标人提供工商企业信用信息公示报告（国家企业信用信息公示系统http://www.gsxt.gov.cn），无不良信息者得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分，未提供不得分（以网页截图为准，中标企业在公示前由采购人先审查，发现异常可征求工商部门意见）；</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仿宋" w:asciiTheme="minorEastAsia" w:hAnsiTheme="minorEastAsia"/>
                <w:kern w:val="0"/>
                <w:sz w:val="24"/>
                <w:szCs w:val="24"/>
              </w:rPr>
            </w:pPr>
            <w:r>
              <w:rPr>
                <w:rFonts w:hint="eastAsia" w:cs="仿宋" w:asciiTheme="minorEastAsia" w:hAnsiTheme="minorEastAsia"/>
                <w:kern w:val="0"/>
                <w:sz w:val="24"/>
                <w:szCs w:val="24"/>
                <w:lang w:val="en-US" w:eastAsia="zh-CN"/>
              </w:rPr>
              <w:t>8</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ajorEastAsia"/>
                <w:kern w:val="0"/>
                <w:sz w:val="24"/>
                <w:szCs w:val="24"/>
                <w:lang w:val="en-US" w:eastAsia="zh-CN"/>
              </w:rPr>
            </w:pPr>
            <w:r>
              <w:rPr>
                <w:rFonts w:hint="eastAsia" w:asciiTheme="minorEastAsia" w:hAnsiTheme="minorEastAsia"/>
                <w:sz w:val="24"/>
                <w:szCs w:val="24"/>
                <w:lang w:val="en-US" w:eastAsia="zh-CN"/>
              </w:rPr>
              <w:t>企业信誉</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投标人提供第三方机构评定的AAA级企业信用等级证书得4分</w:t>
            </w:r>
            <w:r>
              <w:rPr>
                <w:rFonts w:hint="eastAsia" w:asciiTheme="minorEastAsia" w:hAnsiTheme="minorEastAsia"/>
                <w:bCs/>
                <w:color w:val="000000" w:themeColor="text1"/>
                <w:sz w:val="24"/>
                <w:szCs w:val="24"/>
                <w:highlight w:val="none"/>
                <w14:textFill>
                  <w14:solidFill>
                    <w14:schemeClr w14:val="tx1"/>
                  </w14:solidFill>
                </w14:textFill>
              </w:rPr>
              <w:t>，不提供者为0分</w:t>
            </w:r>
            <w:r>
              <w:rPr>
                <w:rFonts w:hint="eastAsia" w:asciiTheme="minorEastAsia" w:hAnsi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color w:val="auto"/>
                <w:sz w:val="24"/>
                <w:szCs w:val="24"/>
                <w:highlight w:val="none"/>
              </w:rPr>
              <w:t>(投标时需提供信用等级证书</w:t>
            </w:r>
            <w:r>
              <w:rPr>
                <w:rFonts w:hint="eastAsia" w:asciiTheme="minorEastAsia" w:hAnsiTheme="minorEastAsia" w:cstheme="minorBidi"/>
                <w:bCs/>
                <w:color w:val="000000" w:themeColor="text1"/>
                <w:kern w:val="2"/>
                <w:sz w:val="24"/>
                <w:szCs w:val="24"/>
                <w:highlight w:val="none"/>
                <w:lang w:val="en-US" w:eastAsia="zh-CN" w:bidi="ar-SA"/>
                <w14:textFill>
                  <w14:solidFill>
                    <w14:schemeClr w14:val="tx1"/>
                  </w14:solidFill>
                </w14:textFill>
              </w:rPr>
              <w:t>原件扫描件（或图片）</w:t>
            </w:r>
            <w:r>
              <w:rPr>
                <w:rFonts w:hint="eastAsia" w:asciiTheme="minorEastAsia" w:hAnsiTheme="minorEastAsia"/>
                <w:color w:val="auto"/>
                <w:sz w:val="24"/>
                <w:szCs w:val="24"/>
                <w:highlight w:val="none"/>
              </w:rPr>
              <w:t>)</w:t>
            </w:r>
          </w:p>
          <w:p>
            <w:pPr>
              <w:widowControl/>
              <w:spacing w:line="360" w:lineRule="exact"/>
              <w:jc w:val="left"/>
              <w:rPr>
                <w:highlight w:val="none"/>
              </w:rPr>
            </w:pP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2015年以来，投标人被企业所在地工商部门评为重</w:t>
            </w:r>
            <w:r>
              <w:rPr>
                <w:rFonts w:hint="eastAsia" w:asciiTheme="minorEastAsia" w:hAnsiTheme="minorEastAsia"/>
                <w:color w:val="auto"/>
                <w:sz w:val="24"/>
                <w:szCs w:val="24"/>
                <w:highlight w:val="none"/>
                <w:lang w:val="en-US" w:eastAsia="zh-CN"/>
              </w:rPr>
              <w:t>合同守</w:t>
            </w:r>
            <w:r>
              <w:rPr>
                <w:rFonts w:hint="eastAsia" w:asciiTheme="minorEastAsia" w:hAnsiTheme="minorEastAsia"/>
                <w:color w:val="auto"/>
                <w:sz w:val="24"/>
                <w:szCs w:val="24"/>
                <w:highlight w:val="none"/>
              </w:rPr>
              <w:t>信用企业的得3分</w:t>
            </w:r>
            <w:r>
              <w:rPr>
                <w:rFonts w:hint="eastAsia" w:asciiTheme="minorEastAsia" w:hAnsiTheme="minorEastAsia"/>
                <w:bCs/>
                <w:color w:val="000000" w:themeColor="text1"/>
                <w:sz w:val="24"/>
                <w:szCs w:val="24"/>
                <w:highlight w:val="none"/>
                <w14:textFill>
                  <w14:solidFill>
                    <w14:schemeClr w14:val="tx1"/>
                  </w14:solidFill>
                </w14:textFill>
              </w:rPr>
              <w:t>，不提供者为0分</w:t>
            </w:r>
            <w:r>
              <w:rPr>
                <w:rFonts w:hint="eastAsia" w:asciiTheme="minorEastAsia" w:hAnsi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color w:val="auto"/>
                <w:sz w:val="24"/>
                <w:szCs w:val="24"/>
                <w:highlight w:val="none"/>
              </w:rPr>
              <w:t>（提供证书</w:t>
            </w:r>
            <w:r>
              <w:rPr>
                <w:rFonts w:hint="eastAsia" w:asciiTheme="minorEastAsia" w:hAnsiTheme="minorEastAsia" w:cstheme="minorBidi"/>
                <w:bCs/>
                <w:color w:val="000000" w:themeColor="text1"/>
                <w:kern w:val="2"/>
                <w:sz w:val="24"/>
                <w:szCs w:val="24"/>
                <w:highlight w:val="none"/>
                <w:lang w:val="en-US" w:eastAsia="zh-CN" w:bidi="ar-SA"/>
                <w14:textFill>
                  <w14:solidFill>
                    <w14:schemeClr w14:val="tx1"/>
                  </w14:solidFill>
                </w14:textFill>
              </w:rPr>
              <w:t>原件扫描件（或图片）</w:t>
            </w:r>
            <w:r>
              <w:rPr>
                <w:rFonts w:hint="eastAsia" w:asciiTheme="minorEastAsia" w:hAnsiTheme="minorEastAsia"/>
                <w:color w:val="auto"/>
                <w:sz w:val="24"/>
                <w:szCs w:val="24"/>
                <w:highlight w:val="none"/>
              </w:rPr>
              <w:t>）</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kern w:val="0"/>
                <w:sz w:val="24"/>
                <w:szCs w:val="24"/>
              </w:rPr>
            </w:pPr>
            <w:r>
              <w:rPr>
                <w:rFonts w:hint="eastAsia" w:cs="仿宋" w:asciiTheme="minorEastAsia" w:hAnsiTheme="minorEastAsia"/>
                <w:kern w:val="0"/>
                <w:sz w:val="24"/>
                <w:szCs w:val="24"/>
                <w:lang w:val="en-US" w:eastAsia="zh-CN"/>
              </w:rPr>
              <w:t>7</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三、技术部分（满分</w:t>
            </w:r>
            <w:r>
              <w:rPr>
                <w:rFonts w:hint="eastAsia" w:cs="宋体" w:asciiTheme="minorEastAsia" w:hAnsiTheme="minorEastAsia"/>
                <w:bCs/>
                <w:kern w:val="0"/>
                <w:sz w:val="24"/>
                <w:szCs w:val="24"/>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bCs/>
                <w:kern w:val="0"/>
                <w:sz w:val="24"/>
                <w:szCs w:val="24"/>
              </w:rPr>
            </w:pPr>
            <w:r>
              <w:rPr>
                <w:rFonts w:hint="eastAsia" w:cs="宋体" w:asciiTheme="minorEastAsia" w:hAnsiTheme="minorEastAsia"/>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bCs/>
                <w:kern w:val="0"/>
                <w:sz w:val="24"/>
                <w:szCs w:val="24"/>
              </w:rPr>
            </w:pPr>
            <w:r>
              <w:rPr>
                <w:rFonts w:hint="eastAsia" w:cs="宋体" w:asciiTheme="minorEastAsia" w:hAnsiTheme="minorEastAsia"/>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tcBorders>
              <w:left w:val="single" w:color="auto" w:sz="4" w:space="0"/>
              <w:right w:val="single" w:color="auto" w:sz="4" w:space="0"/>
            </w:tcBorders>
            <w:vAlign w:val="center"/>
          </w:tcPr>
          <w:p>
            <w:pPr>
              <w:widowControl/>
              <w:spacing w:line="400" w:lineRule="exact"/>
              <w:jc w:val="center"/>
              <w:rPr>
                <w:rFonts w:hint="eastAsia" w:asciiTheme="minorEastAsia" w:hAnsiTheme="minorEastAsia"/>
                <w:sz w:val="24"/>
                <w:szCs w:val="24"/>
              </w:rPr>
            </w:pPr>
            <w:r>
              <w:rPr>
                <w:rFonts w:hint="eastAsia" w:asciiTheme="minorEastAsia" w:hAnsiTheme="minorEastAsia"/>
                <w:sz w:val="24"/>
                <w:szCs w:val="24"/>
              </w:rPr>
              <w:t>投标文件的规范响应程度</w:t>
            </w:r>
          </w:p>
          <w:p>
            <w:pPr>
              <w:widowControl/>
              <w:spacing w:line="400" w:lineRule="exact"/>
              <w:jc w:val="center"/>
              <w:rPr>
                <w:rFonts w:asciiTheme="minorEastAsia" w:hAnsiTheme="minorEastAsia" w:cstheme="majorEastAsia"/>
                <w:kern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olor w:val="auto"/>
                <w:sz w:val="24"/>
                <w:szCs w:val="24"/>
              </w:rPr>
            </w:pPr>
            <w:r>
              <w:rPr>
                <w:rFonts w:hint="eastAsia" w:asciiTheme="minorEastAsia" w:hAnsiTheme="minorEastAsia"/>
                <w:color w:val="auto"/>
                <w:sz w:val="24"/>
                <w:szCs w:val="24"/>
              </w:rPr>
              <w:t>1、投标文件的编制符合招标文件的规定，装订整齐规范的，得</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kern w:val="0"/>
                <w:sz w:val="24"/>
                <w:szCs w:val="24"/>
              </w:rPr>
            </w:pPr>
            <w:r>
              <w:rPr>
                <w:rFonts w:hint="eastAsia" w:cs="仿宋" w:asciiTheme="minorEastAsia" w:hAnsiTheme="minorEastAsia"/>
                <w:kern w:val="0"/>
                <w:sz w:val="24"/>
                <w:szCs w:val="24"/>
                <w:lang w:val="en-US" w:eastAsia="zh-CN"/>
              </w:rPr>
              <w:t>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tcBorders>
              <w:left w:val="single" w:color="auto" w:sz="4" w:space="0"/>
              <w:right w:val="single" w:color="auto" w:sz="4" w:space="0"/>
            </w:tcBorders>
            <w:vAlign w:val="center"/>
          </w:tcPr>
          <w:p>
            <w:pPr>
              <w:widowControl/>
              <w:spacing w:line="400" w:lineRule="exact"/>
              <w:jc w:val="center"/>
              <w:rPr>
                <w:rFonts w:asciiTheme="minorEastAsia" w:hAnsiTheme="minorEastAsia" w:cstheme="majorEastAsia"/>
                <w:kern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olor w:val="auto"/>
                <w:sz w:val="24"/>
                <w:szCs w:val="24"/>
              </w:rPr>
            </w:pPr>
            <w:r>
              <w:rPr>
                <w:rFonts w:hint="eastAsia" w:asciiTheme="minorEastAsia" w:hAnsiTheme="minorEastAsia"/>
                <w:color w:val="auto"/>
                <w:sz w:val="24"/>
                <w:szCs w:val="24"/>
              </w:rPr>
              <w:t>2、投标人编制投标文件逻辑严紧、描述规范、无文字错误的，得</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kern w:val="0"/>
                <w:sz w:val="24"/>
                <w:szCs w:val="24"/>
              </w:rPr>
            </w:pPr>
            <w:r>
              <w:rPr>
                <w:rFonts w:hint="eastAsia" w:cs="仿宋" w:asciiTheme="minorEastAsia" w:hAnsiTheme="minorEastAsia"/>
                <w:kern w:val="0"/>
                <w:sz w:val="24"/>
                <w:szCs w:val="24"/>
                <w:lang w:val="en-US" w:eastAsia="zh-CN"/>
              </w:rPr>
              <w:t>5</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668" w:type="dxa"/>
            <w:vMerge w:val="continue"/>
            <w:tcBorders>
              <w:left w:val="single" w:color="auto" w:sz="4" w:space="0"/>
              <w:right w:val="single" w:color="auto" w:sz="4" w:space="0"/>
            </w:tcBorders>
            <w:vAlign w:val="center"/>
          </w:tcPr>
          <w:p>
            <w:pPr>
              <w:widowControl/>
              <w:spacing w:line="400" w:lineRule="exact"/>
              <w:jc w:val="center"/>
              <w:rPr>
                <w:rFonts w:asciiTheme="minorEastAsia" w:hAnsiTheme="minorEastAsia" w:cstheme="majorEastAsia"/>
                <w:kern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olor w:val="auto"/>
                <w:sz w:val="24"/>
                <w:szCs w:val="24"/>
              </w:rPr>
            </w:pPr>
            <w:r>
              <w:rPr>
                <w:rFonts w:hint="eastAsia" w:asciiTheme="minorEastAsia" w:hAnsiTheme="minorEastAsia"/>
                <w:color w:val="auto"/>
                <w:sz w:val="24"/>
                <w:szCs w:val="24"/>
              </w:rPr>
              <w:t>①未实质性响应招标文件要求的视为无效投标。</w:t>
            </w:r>
          </w:p>
          <w:p>
            <w:pPr>
              <w:widowControl/>
              <w:spacing w:line="360" w:lineRule="exact"/>
              <w:jc w:val="left"/>
              <w:rPr>
                <w:rFonts w:hint="eastAsia" w:asciiTheme="minorEastAsia" w:hAnsiTheme="minorEastAsia"/>
                <w:color w:val="auto"/>
                <w:sz w:val="24"/>
                <w:szCs w:val="24"/>
              </w:rPr>
            </w:pPr>
            <w:r>
              <w:rPr>
                <w:rFonts w:hint="eastAsia" w:asciiTheme="minorEastAsia" w:hAnsiTheme="minorEastAsia"/>
                <w:color w:val="auto"/>
                <w:sz w:val="24"/>
                <w:szCs w:val="24"/>
              </w:rPr>
              <w:t>②根据投标人对所投产品配置的成熟性、稳定性、可维修性及产品性能与配置等情况，基本全部满足的得</w:t>
            </w:r>
            <w:r>
              <w:rPr>
                <w:rFonts w:hint="eastAsia" w:asciiTheme="minorEastAsia" w:hAnsiTheme="minorEastAsia"/>
                <w:color w:val="auto"/>
                <w:sz w:val="24"/>
                <w:szCs w:val="24"/>
                <w:lang w:val="en-US" w:eastAsia="zh-CN"/>
              </w:rPr>
              <w:t>14</w:t>
            </w:r>
            <w:r>
              <w:rPr>
                <w:rFonts w:hint="eastAsia" w:asciiTheme="minorEastAsia" w:hAnsiTheme="minorEastAsia"/>
                <w:color w:val="auto"/>
                <w:sz w:val="24"/>
                <w:szCs w:val="24"/>
              </w:rPr>
              <w:t>分。</w:t>
            </w:r>
          </w:p>
          <w:p>
            <w:pPr>
              <w:widowControl/>
              <w:spacing w:line="360" w:lineRule="exact"/>
              <w:jc w:val="left"/>
              <w:rPr>
                <w:rFonts w:hint="eastAsia" w:asciiTheme="minorEastAsia" w:hAnsiTheme="minorEastAsia"/>
                <w:color w:val="auto"/>
                <w:sz w:val="24"/>
                <w:szCs w:val="24"/>
              </w:rPr>
            </w:pPr>
            <w:r>
              <w:rPr>
                <w:rFonts w:hint="eastAsia" w:asciiTheme="minorEastAsia" w:hAnsiTheme="minorEastAsia"/>
                <w:color w:val="auto"/>
                <w:sz w:val="24"/>
                <w:szCs w:val="24"/>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w:t>
            </w:r>
            <w:r>
              <w:rPr>
                <w:rFonts w:hint="eastAsia" w:asciiTheme="minorEastAsia" w:hAnsiTheme="minorEastAsia"/>
                <w:color w:val="auto"/>
                <w:sz w:val="24"/>
                <w:szCs w:val="24"/>
                <w:lang w:val="en-US" w:eastAsia="zh-CN"/>
              </w:rPr>
              <w:t>16</w:t>
            </w:r>
            <w:r>
              <w:rPr>
                <w:rFonts w:hint="eastAsia" w:asciiTheme="minorEastAsia" w:hAnsiTheme="minorEastAsia"/>
                <w:color w:val="auto"/>
                <w:sz w:val="24"/>
                <w:szCs w:val="24"/>
              </w:rPr>
              <w:t>分（仅进行了简单概况的或不能完整提供有效证明文件的不得分）。满分</w:t>
            </w:r>
            <w:r>
              <w:rPr>
                <w:rFonts w:hint="eastAsia" w:asciiTheme="minorEastAsia" w:hAnsiTheme="minorEastAsia"/>
                <w:color w:val="auto"/>
                <w:sz w:val="24"/>
                <w:szCs w:val="24"/>
                <w:lang w:val="en-US" w:eastAsia="zh-CN"/>
              </w:rPr>
              <w:t>30</w:t>
            </w:r>
            <w:r>
              <w:rPr>
                <w:rFonts w:hint="eastAsia" w:asciiTheme="minorEastAsia" w:hAnsiTheme="minorEastAsia"/>
                <w:color w:val="auto"/>
                <w:sz w:val="24"/>
                <w:szCs w:val="24"/>
              </w:rPr>
              <w:t>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kern w:val="0"/>
                <w:sz w:val="24"/>
                <w:szCs w:val="24"/>
              </w:rPr>
            </w:pPr>
            <w:r>
              <w:rPr>
                <w:rFonts w:hint="eastAsia" w:cs="仿宋" w:asciiTheme="minorEastAsia" w:hAnsiTheme="minorEastAsia"/>
                <w:kern w:val="0"/>
                <w:sz w:val="24"/>
                <w:szCs w:val="24"/>
                <w:lang w:val="en-US" w:eastAsia="zh-CN"/>
              </w:rPr>
              <w:t>30</w:t>
            </w:r>
            <w:r>
              <w:rPr>
                <w:rFonts w:cs="仿宋" w:asciiTheme="minorEastAsia" w:hAnsiTheme="minorEastAsia"/>
                <w:kern w:val="0"/>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按得分从高到低推荐三名中标候选人。</w:t>
      </w:r>
    </w:p>
    <w:p>
      <w:pPr>
        <w:adjustRightInd w:val="0"/>
        <w:snapToGrid w:val="0"/>
        <w:spacing w:line="360" w:lineRule="auto"/>
        <w:ind w:firstLine="420" w:firstLineChars="200"/>
        <w:rPr>
          <w:rFonts w:ascii="宋体" w:hAnsi="宋体" w:cs="Courier New"/>
          <w:szCs w:val="21"/>
        </w:rPr>
      </w:pPr>
    </w:p>
    <w:p>
      <w:pPr>
        <w:widowControl/>
        <w:ind w:firstLine="2530" w:firstLineChars="7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spacing w:line="320" w:lineRule="exact"/>
        <w:jc w:val="center"/>
        <w:rPr>
          <w:rFonts w:ascii="华文中宋" w:hAnsi="华文中宋" w:eastAsia="华文中宋" w:cs="黑体"/>
          <w:b/>
          <w:color w:val="000000"/>
          <w:sz w:val="32"/>
          <w:szCs w:val="32"/>
        </w:rPr>
      </w:pPr>
      <w:r>
        <w:rPr>
          <w:rFonts w:hint="eastAsia" w:ascii="华文中宋" w:hAnsi="华文中宋" w:eastAsia="华文中宋" w:cs="黑体"/>
          <w:b/>
          <w:color w:val="000000"/>
          <w:sz w:val="32"/>
          <w:szCs w:val="32"/>
        </w:rPr>
        <w:t>投</w:t>
      </w:r>
      <w:r>
        <w:rPr>
          <w:rFonts w:ascii="华文中宋" w:hAnsi="华文中宋" w:eastAsia="华文中宋" w:cs="黑体"/>
          <w:b/>
          <w:color w:val="000000"/>
          <w:sz w:val="32"/>
          <w:szCs w:val="32"/>
        </w:rPr>
        <w:t>标</w:t>
      </w:r>
      <w:r>
        <w:rPr>
          <w:rFonts w:hint="eastAsia" w:ascii="华文中宋" w:hAnsi="华文中宋" w:eastAsia="华文中宋" w:cs="黑体"/>
          <w:b/>
          <w:color w:val="000000"/>
          <w:sz w:val="32"/>
          <w:szCs w:val="32"/>
        </w:rPr>
        <w:t>文件格式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sz w:val="36"/>
          <w:szCs w:val="36"/>
          <w:lang w:val="zh-CN"/>
        </w:rPr>
      </w:pPr>
      <w:bookmarkStart w:id="2" w:name="_Toc184023138"/>
      <w:bookmarkStart w:id="3" w:name="_Toc174185203"/>
      <w:bookmarkStart w:id="4" w:name="_Toc186274126"/>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spacing w:after="120"/>
        <w:ind w:left="63" w:right="63" w:firstLine="280" w:firstLineChars="100"/>
        <w:jc w:val="right"/>
        <w:rPr>
          <w:rFonts w:ascii="宋体" w:hAnsi="宋体" w:eastAsia="宋体" w:cs="宋体"/>
          <w:kern w:val="0"/>
          <w:sz w:val="28"/>
          <w:szCs w:val="21"/>
        </w:rPr>
      </w:pPr>
      <w:bookmarkStart w:id="5" w:name="_Toc20663_WPSOffice_Level1"/>
      <w:bookmarkStart w:id="6" w:name="_Toc32729_WPSOffice_Level1"/>
      <w:r>
        <w:rPr>
          <w:rFonts w:hint="eastAsia" w:ascii="宋体" w:hAnsi="宋体" w:eastAsia="宋体" w:cs="宋体"/>
          <w:kern w:val="0"/>
          <w:sz w:val="28"/>
          <w:szCs w:val="21"/>
        </w:rPr>
        <w:t>（正/副本）</w:t>
      </w:r>
      <w:bookmarkEnd w:id="5"/>
      <w:bookmarkEnd w:id="6"/>
    </w:p>
    <w:p>
      <w:pPr>
        <w:spacing w:after="120"/>
        <w:ind w:left="63" w:right="63" w:firstLine="240" w:firstLineChars="100"/>
        <w:rPr>
          <w:rFonts w:ascii="宋体" w:hAnsi="宋体" w:eastAsia="宋体" w:cs="宋体"/>
          <w:kern w:val="0"/>
          <w:sz w:val="24"/>
          <w:szCs w:val="20"/>
        </w:rPr>
      </w:pPr>
    </w:p>
    <w:p>
      <w:pPr>
        <w:spacing w:line="480" w:lineRule="auto"/>
        <w:rPr>
          <w:rFonts w:ascii="宋体" w:hAnsi="宋体" w:cs="宋体"/>
          <w:sz w:val="24"/>
        </w:rPr>
      </w:pPr>
      <w:r>
        <w:rPr>
          <w:rFonts w:hint="eastAsia" w:ascii="宋体" w:hAnsi="宋体" w:cs="宋体"/>
          <w:sz w:val="24"/>
        </w:rPr>
        <w:t xml:space="preserve">    </w:t>
      </w:r>
      <w:r>
        <w:rPr>
          <w:rFonts w:hint="eastAsia" w:ascii="宋体" w:hAnsi="宋体" w:cs="宋体"/>
          <w:sz w:val="36"/>
          <w:szCs w:val="36"/>
        </w:rPr>
        <w:t xml:space="preserve">        </w:t>
      </w:r>
      <w:r>
        <w:rPr>
          <w:rFonts w:hint="eastAsia" w:ascii="宋体" w:hAnsi="宋体" w:cs="宋体"/>
          <w:sz w:val="36"/>
          <w:szCs w:val="36"/>
          <w:u w:val="single"/>
        </w:rPr>
        <w:t xml:space="preserve">                   （项目名称）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hint="eastAsia" w:ascii="宋体" w:hAnsi="宋体" w:cs="宋体"/>
          <w:sz w:val="28"/>
          <w:szCs w:val="28"/>
        </w:rPr>
      </w:pPr>
      <w:r>
        <w:rPr>
          <w:rFonts w:hint="eastAsia" w:ascii="宋体" w:hAnsi="宋体" w:cs="宋体"/>
          <w:sz w:val="28"/>
          <w:szCs w:val="28"/>
        </w:rPr>
        <w:t xml:space="preserve">                </w:t>
      </w:r>
      <w:bookmarkStart w:id="7" w:name="_Toc7428_WPSOffice_Level1"/>
      <w:bookmarkStart w:id="8"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7"/>
      <w:bookmarkEnd w:id="8"/>
    </w:p>
    <w:p>
      <w:pPr>
        <w:spacing w:line="480" w:lineRule="auto"/>
        <w:ind w:firstLine="2240" w:firstLineChars="800"/>
        <w:rPr>
          <w:rFonts w:hint="eastAsia" w:ascii="宋体" w:hAnsi="宋体" w:cs="宋体"/>
          <w:sz w:val="28"/>
          <w:szCs w:val="28"/>
        </w:rPr>
      </w:pPr>
      <w:r>
        <w:rPr>
          <w:rFonts w:hint="eastAsia" w:ascii="宋体" w:hAnsi="宋体" w:cs="宋体"/>
          <w:sz w:val="28"/>
          <w:szCs w:val="28"/>
        </w:rPr>
        <w:t>采购编号：</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480" w:lineRule="auto"/>
        <w:rPr>
          <w:rFonts w:ascii="宋体" w:hAnsi="宋体" w:cs="宋体"/>
          <w:b/>
          <w:bCs/>
          <w:sz w:val="28"/>
          <w:szCs w:val="28"/>
        </w:rPr>
      </w:pPr>
      <w:r>
        <w:rPr>
          <w:rFonts w:hint="eastAsia" w:ascii="宋体" w:hAnsi="宋体" w:cs="宋体"/>
          <w:sz w:val="28"/>
          <w:szCs w:val="28"/>
        </w:rPr>
        <w:t xml:space="preserve">                </w:t>
      </w:r>
      <w:bookmarkStart w:id="9" w:name="_Toc4840_WPSOffice_Level1"/>
      <w:bookmarkStart w:id="10" w:name="_Toc28157_WPSOffice_Level1"/>
      <w:r>
        <w:rPr>
          <w:rFonts w:hint="eastAsia" w:ascii="宋体" w:hAnsi="宋体" w:cs="宋体"/>
          <w:sz w:val="28"/>
          <w:szCs w:val="28"/>
        </w:rPr>
        <w:t>法定代表人或委托代理人（签字）：</w:t>
      </w:r>
      <w:bookmarkEnd w:id="9"/>
      <w:bookmarkEnd w:id="10"/>
      <w:r>
        <w:rPr>
          <w:rFonts w:hint="eastAsia" w:ascii="宋体" w:hAnsi="宋体" w:cs="宋体"/>
          <w:sz w:val="28"/>
          <w:szCs w:val="28"/>
          <w:u w:val="single"/>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11" w:name="_Toc15640_WPSOffice_Level1"/>
      <w:bookmarkStart w:id="12"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11"/>
      <w:bookmarkEnd w:id="12"/>
      <w:r>
        <w:rPr>
          <w:rFonts w:hint="eastAsia" w:ascii="宋体" w:hAnsi="宋体" w:cs="宋体"/>
          <w:sz w:val="28"/>
          <w:szCs w:val="28"/>
        </w:rPr>
        <w:t xml:space="preserve">   </w:t>
      </w:r>
    </w:p>
    <w:p>
      <w:pPr>
        <w:spacing w:after="120"/>
        <w:ind w:left="63" w:right="63" w:firstLine="240" w:firstLineChars="100"/>
        <w:rPr>
          <w:rFonts w:ascii="宋体" w:hAnsi="宋体" w:eastAsia="宋体" w:cs="宋体"/>
          <w:kern w:val="0"/>
          <w:sz w:val="24"/>
          <w:szCs w:val="20"/>
        </w:rPr>
      </w:pPr>
    </w:p>
    <w:p>
      <w:pPr>
        <w:pStyle w:val="2"/>
        <w:rPr>
          <w:lang w:val="zh-CN"/>
        </w:rPr>
      </w:pPr>
    </w:p>
    <w:p>
      <w:pPr>
        <w:pStyle w:val="2"/>
        <w:rPr>
          <w:lang w:val="zh-CN"/>
        </w:rPr>
      </w:pPr>
    </w:p>
    <w:p>
      <w:pPr>
        <w:pStyle w:val="2"/>
        <w:rPr>
          <w:lang w:val="zh-CN"/>
        </w:rPr>
      </w:pPr>
    </w:p>
    <w:p>
      <w:pPr>
        <w:pStyle w:val="2"/>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sz w:val="32"/>
          <w:szCs w:val="32"/>
          <w:lang w:val="zh-CN"/>
        </w:rPr>
        <w:t>其他资料（若有）</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ind w:firstLine="3614" w:firstLineChars="1000"/>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十一、若我方中标，愿意按国家计委计价格【2002】1980号文件规定向代理机构支付招标代理服务费。</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十二、</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2"/>
        <w:spacing w:line="480" w:lineRule="auto"/>
        <w:ind w:firstLine="540" w:firstLineChars="225"/>
        <w:jc w:val="left"/>
        <w:rPr>
          <w:rFonts w:asciiTheme="minorEastAsia" w:hAnsiTheme="minorEastAsia"/>
          <w:color w:val="000000"/>
          <w:szCs w:val="24"/>
        </w:rPr>
      </w:pPr>
    </w:p>
    <w:p>
      <w:pPr>
        <w:pStyle w:val="42"/>
        <w:spacing w:line="480" w:lineRule="auto"/>
        <w:ind w:firstLine="540" w:firstLineChars="225"/>
        <w:jc w:val="left"/>
        <w:rPr>
          <w:rFonts w:asciiTheme="minorEastAsia" w:hAnsiTheme="minorEastAsia"/>
          <w:color w:val="000000"/>
          <w:szCs w:val="24"/>
        </w:rPr>
      </w:pPr>
    </w:p>
    <w:p>
      <w:pPr>
        <w:pStyle w:val="42"/>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highlight w:val="none"/>
        </w:rPr>
        <w:t>证复</w:t>
      </w:r>
      <w:r>
        <w:rPr>
          <w:rFonts w:hint="eastAsia" w:asciiTheme="minorEastAsia" w:hAnsiTheme="minorEastAsia"/>
          <w:bCs/>
          <w:color w:val="000000"/>
          <w:szCs w:val="24"/>
          <w:highlight w:val="none"/>
        </w:rPr>
        <w:t>印件，需</w:t>
      </w:r>
      <w:r>
        <w:rPr>
          <w:rFonts w:hint="eastAsia" w:asciiTheme="minorEastAsia" w:hAnsiTheme="minorEastAsia"/>
          <w:bCs/>
          <w:color w:val="000000"/>
          <w:szCs w:val="24"/>
        </w:rPr>
        <w:t>清晰反映身份证有效期限】</w:t>
      </w:r>
    </w:p>
    <w:p>
      <w:pPr>
        <w:pStyle w:val="42"/>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5"/>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4"/>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pStyle w:val="2"/>
      </w:pPr>
    </w:p>
    <w:p>
      <w:pPr>
        <w:pStyle w:val="2"/>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3" w:name="_资格证明文件"/>
            <w:bookmarkEnd w:id="13"/>
            <w:bookmarkStart w:id="14" w:name="_Toc364329026"/>
            <w:r>
              <w:rPr>
                <w:rFonts w:hint="eastAsia" w:asciiTheme="minorEastAsia" w:hAnsiTheme="minorEastAsia"/>
                <w:sz w:val="24"/>
                <w:szCs w:val="24"/>
              </w:rPr>
              <w:t>法定代表人授权代表身份证（正面）</w:t>
            </w:r>
            <w:bookmarkEnd w:id="14"/>
          </w:p>
        </w:tc>
        <w:tc>
          <w:tcPr>
            <w:tcW w:w="4492" w:type="dxa"/>
            <w:gridSpan w:val="2"/>
            <w:vAlign w:val="center"/>
          </w:tcPr>
          <w:p>
            <w:pPr>
              <w:jc w:val="center"/>
              <w:rPr>
                <w:rFonts w:asciiTheme="minorEastAsia" w:hAnsiTheme="minorEastAsia"/>
                <w:sz w:val="24"/>
                <w:szCs w:val="24"/>
              </w:rPr>
            </w:pPr>
            <w:bookmarkStart w:id="15" w:name="_Toc364329027"/>
            <w:r>
              <w:rPr>
                <w:rFonts w:hint="eastAsia" w:asciiTheme="minorEastAsia" w:hAnsiTheme="minorEastAsia"/>
                <w:sz w:val="24"/>
                <w:szCs w:val="24"/>
              </w:rPr>
              <w:t>法定代表人授权代表身份证（反面）</w:t>
            </w:r>
            <w:bookmarkEnd w:id="15"/>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outlineLvl w:val="0"/>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pStyle w:val="2"/>
      </w:pPr>
    </w:p>
    <w:p>
      <w:pPr>
        <w:pStyle w:val="2"/>
      </w:pPr>
    </w:p>
    <w:p>
      <w:pPr>
        <w:pStyle w:val="2"/>
      </w:pPr>
    </w:p>
    <w:p>
      <w:pPr>
        <w:autoSpaceDE w:val="0"/>
        <w:autoSpaceDN w:val="0"/>
        <w:adjustRightInd w:val="0"/>
        <w:spacing w:line="360" w:lineRule="auto"/>
        <w:ind w:firstLine="2209" w:firstLineChars="500"/>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rPr>
        <w:t>4.1投标分项报价表</w:t>
      </w:r>
    </w:p>
    <w:p>
      <w:pPr>
        <w:pStyle w:val="2"/>
        <w:rPr>
          <w:lang w:val="zh-CN"/>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4.2技术规格偏离表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本技术规格偏离表的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5"/>
        <w:spacing w:before="60" w:after="156"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5"/>
        <w:spacing w:before="60" w:after="156"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w:t>
      </w:r>
      <w:r>
        <w:rPr>
          <w:rFonts w:hint="eastAsia" w:ascii="宋体" w:hAnsi="宋体" w:cs="Arial"/>
          <w:color w:val="000000"/>
          <w:szCs w:val="24"/>
          <w:lang w:val="en-US" w:eastAsia="zh-CN"/>
        </w:rPr>
        <w:t xml:space="preserve">   </w:t>
      </w:r>
      <w:r>
        <w:rPr>
          <w:rFonts w:hint="eastAsia" w:ascii="宋体" w:hAnsi="宋体" w:cs="Arial"/>
          <w:color w:val="000000"/>
          <w:szCs w:val="24"/>
        </w:rPr>
        <w:t>年</w:t>
      </w:r>
      <w:r>
        <w:rPr>
          <w:rFonts w:hint="eastAsia" w:ascii="宋体" w:hAnsi="宋体" w:cs="Arial"/>
          <w:color w:val="000000"/>
          <w:szCs w:val="24"/>
          <w:lang w:val="en-US" w:eastAsia="zh-CN"/>
        </w:rPr>
        <w:t xml:space="preserve">   </w:t>
      </w:r>
      <w:r>
        <w:rPr>
          <w:rFonts w:hint="eastAsia" w:ascii="宋体" w:hAnsi="宋体" w:cs="Arial"/>
          <w:color w:val="000000"/>
          <w:szCs w:val="24"/>
        </w:rPr>
        <w:t>月</w:t>
      </w:r>
      <w:r>
        <w:rPr>
          <w:rFonts w:hint="eastAsia" w:ascii="宋体" w:hAnsi="宋体" w:cs="Arial"/>
          <w:color w:val="000000"/>
          <w:szCs w:val="24"/>
          <w:lang w:val="en-US" w:eastAsia="zh-CN"/>
        </w:rPr>
        <w:t xml:space="preserve">    </w:t>
      </w:r>
      <w:r>
        <w:rPr>
          <w:rFonts w:hint="eastAsia" w:ascii="宋体" w:hAnsi="宋体" w:cs="Arial"/>
          <w:color w:val="000000"/>
          <w:szCs w:val="24"/>
        </w:rPr>
        <w:t>日</w:t>
      </w:r>
    </w:p>
    <w:p>
      <w:pPr>
        <w:autoSpaceDE w:val="0"/>
        <w:autoSpaceDN w:val="0"/>
        <w:adjustRightInd w:val="0"/>
        <w:spacing w:line="360" w:lineRule="auto"/>
        <w:jc w:val="center"/>
        <w:rPr>
          <w:color w:val="000000"/>
        </w:rPr>
      </w:pPr>
    </w:p>
    <w:p>
      <w:pPr>
        <w:autoSpaceDE w:val="0"/>
        <w:autoSpaceDN w:val="0"/>
        <w:adjustRightInd w:val="0"/>
        <w:spacing w:line="360" w:lineRule="auto"/>
        <w:jc w:val="center"/>
        <w:rPr>
          <w:color w:val="00000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pStyle w:val="2"/>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pStyle w:val="2"/>
      </w:pPr>
    </w:p>
    <w:p>
      <w:pPr>
        <w:pStyle w:val="2"/>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pStyle w:val="2"/>
      </w:pPr>
    </w:p>
    <w:p>
      <w:pPr>
        <w:spacing w:line="360" w:lineRule="auto"/>
        <w:jc w:val="center"/>
        <w:rPr>
          <w:rFonts w:ascii="宋体" w:hAnsi="宋体"/>
          <w:b/>
          <w:bCs/>
          <w:color w:val="000000"/>
          <w:sz w:val="36"/>
          <w:szCs w:val="36"/>
        </w:rPr>
      </w:pPr>
      <w:bookmarkStart w:id="16" w:name="OLE_LINK13"/>
      <w:bookmarkStart w:id="17" w:name="OLE_LINK14"/>
      <w:r>
        <w:rPr>
          <w:rFonts w:hint="eastAsia" w:ascii="宋体" w:hAnsi="宋体"/>
          <w:b/>
          <w:bCs/>
          <w:color w:val="000000"/>
          <w:sz w:val="36"/>
          <w:szCs w:val="36"/>
        </w:rPr>
        <w:t>4.10 残疾人福利性单位声明函</w:t>
      </w:r>
    </w:p>
    <w:bookmarkEnd w:id="16"/>
    <w:bookmarkEnd w:id="17"/>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Pr>
        <w:widowControl/>
        <w:spacing w:before="100" w:beforeAutospacing="1" w:after="100" w:afterAutospacing="1" w:line="360" w:lineRule="auto"/>
        <w:jc w:val="center"/>
        <w:rPr>
          <w:rFonts w:ascii="宋体" w:hAnsi="宋体"/>
          <w:b/>
          <w:bCs/>
          <w:color w:val="C00000"/>
          <w:sz w:val="36"/>
          <w:szCs w:val="36"/>
        </w:rPr>
      </w:pPr>
      <w:r>
        <w:rPr>
          <w:rFonts w:hint="eastAsia" w:ascii="宋体" w:hAnsi="宋体"/>
          <w:b/>
          <w:bCs/>
          <w:color w:val="C00000"/>
          <w:sz w:val="36"/>
          <w:szCs w:val="36"/>
        </w:rPr>
        <w:t xml:space="preserve">4.11 所投产品符合国家强制性要求承诺函 </w:t>
      </w:r>
    </w:p>
    <w:p>
      <w:pPr>
        <w:spacing w:line="360" w:lineRule="auto"/>
        <w:jc w:val="center"/>
        <w:rPr>
          <w:rFonts w:ascii="宋体" w:hAnsi="宋体" w:cs="Arial"/>
          <w:color w:val="C00000"/>
          <w:kern w:val="0"/>
          <w:sz w:val="24"/>
          <w:szCs w:val="24"/>
        </w:rPr>
      </w:pPr>
      <w:r>
        <w:rPr>
          <w:rFonts w:hint="eastAsia" w:ascii="宋体" w:hAnsi="宋体" w:cs="Arial"/>
          <w:color w:val="C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sectPr>
      <w:footerReference r:id="rId4" w:type="default"/>
      <w:pgSz w:w="11906" w:h="16838"/>
      <w:pgMar w:top="1474"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59"/>
      </w:rPr>
    </w:pPr>
    <w:r>
      <w:fldChar w:fldCharType="begin"/>
    </w:r>
    <w:r>
      <w:rPr>
        <w:rStyle w:val="59"/>
      </w:rPr>
      <w:instrText xml:space="preserve">PAGE  </w:instrText>
    </w:r>
    <w:r>
      <w:fldChar w:fldCharType="separate"/>
    </w:r>
    <w:r>
      <w:rPr>
        <w:rStyle w:val="59"/>
      </w:rPr>
      <w:t>15</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280DCF"/>
    <w:multiLevelType w:val="singleLevel"/>
    <w:tmpl w:val="2B280DCF"/>
    <w:lvl w:ilvl="0" w:tentative="0">
      <w:start w:val="1"/>
      <w:numFmt w:val="decimal"/>
      <w:suff w:val="nothing"/>
      <w:lvlText w:val="%1、"/>
      <w:lvlJc w:val="left"/>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1"/>
      <w:suff w:val="nothing"/>
      <w:lvlText w:val="%1、"/>
      <w:lvlJc w:val="left"/>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30F0"/>
    <w:rsid w:val="000609FD"/>
    <w:rsid w:val="00061CC7"/>
    <w:rsid w:val="00065BB1"/>
    <w:rsid w:val="00067819"/>
    <w:rsid w:val="0007075F"/>
    <w:rsid w:val="00073DCF"/>
    <w:rsid w:val="00077FF3"/>
    <w:rsid w:val="00082C6E"/>
    <w:rsid w:val="00086DE9"/>
    <w:rsid w:val="00090DD2"/>
    <w:rsid w:val="00092652"/>
    <w:rsid w:val="000936D5"/>
    <w:rsid w:val="00093BD2"/>
    <w:rsid w:val="00094806"/>
    <w:rsid w:val="000A47A2"/>
    <w:rsid w:val="000A531F"/>
    <w:rsid w:val="000B378F"/>
    <w:rsid w:val="000B58B6"/>
    <w:rsid w:val="000B59E9"/>
    <w:rsid w:val="000B6E97"/>
    <w:rsid w:val="000C05E8"/>
    <w:rsid w:val="000C2070"/>
    <w:rsid w:val="000C393F"/>
    <w:rsid w:val="000C57C8"/>
    <w:rsid w:val="000C5930"/>
    <w:rsid w:val="000C6651"/>
    <w:rsid w:val="000C6CC0"/>
    <w:rsid w:val="000C6E80"/>
    <w:rsid w:val="000D532F"/>
    <w:rsid w:val="000D74F9"/>
    <w:rsid w:val="000E263E"/>
    <w:rsid w:val="000E264F"/>
    <w:rsid w:val="000E4F3B"/>
    <w:rsid w:val="000E5C96"/>
    <w:rsid w:val="000E778C"/>
    <w:rsid w:val="000F4A5A"/>
    <w:rsid w:val="001008C2"/>
    <w:rsid w:val="001052E3"/>
    <w:rsid w:val="00110C26"/>
    <w:rsid w:val="0011232C"/>
    <w:rsid w:val="0011325E"/>
    <w:rsid w:val="001262C8"/>
    <w:rsid w:val="001276EF"/>
    <w:rsid w:val="00136B74"/>
    <w:rsid w:val="00140426"/>
    <w:rsid w:val="00141B3F"/>
    <w:rsid w:val="00142385"/>
    <w:rsid w:val="00147B7D"/>
    <w:rsid w:val="00153D65"/>
    <w:rsid w:val="00162F5D"/>
    <w:rsid w:val="00163CBE"/>
    <w:rsid w:val="00164131"/>
    <w:rsid w:val="001645B9"/>
    <w:rsid w:val="00165060"/>
    <w:rsid w:val="001671E9"/>
    <w:rsid w:val="00177750"/>
    <w:rsid w:val="001829C2"/>
    <w:rsid w:val="00183EF7"/>
    <w:rsid w:val="00185ECD"/>
    <w:rsid w:val="0018761C"/>
    <w:rsid w:val="001944CF"/>
    <w:rsid w:val="001948F5"/>
    <w:rsid w:val="00195D1B"/>
    <w:rsid w:val="00196343"/>
    <w:rsid w:val="001977EA"/>
    <w:rsid w:val="001A1224"/>
    <w:rsid w:val="001A4C92"/>
    <w:rsid w:val="001A70C2"/>
    <w:rsid w:val="001B0918"/>
    <w:rsid w:val="001B41AD"/>
    <w:rsid w:val="001B6332"/>
    <w:rsid w:val="001B7057"/>
    <w:rsid w:val="001B7C18"/>
    <w:rsid w:val="001C0F1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160"/>
    <w:rsid w:val="001F4319"/>
    <w:rsid w:val="001F4B20"/>
    <w:rsid w:val="001F7E43"/>
    <w:rsid w:val="0020082D"/>
    <w:rsid w:val="002026FE"/>
    <w:rsid w:val="002121A9"/>
    <w:rsid w:val="00212788"/>
    <w:rsid w:val="00216728"/>
    <w:rsid w:val="00222AB1"/>
    <w:rsid w:val="002232E0"/>
    <w:rsid w:val="00223E42"/>
    <w:rsid w:val="00233587"/>
    <w:rsid w:val="00235E0B"/>
    <w:rsid w:val="0023735F"/>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5F95"/>
    <w:rsid w:val="00296074"/>
    <w:rsid w:val="002969B1"/>
    <w:rsid w:val="002A00B7"/>
    <w:rsid w:val="002A0347"/>
    <w:rsid w:val="002A18E5"/>
    <w:rsid w:val="002A583F"/>
    <w:rsid w:val="002A5CCE"/>
    <w:rsid w:val="002A771B"/>
    <w:rsid w:val="002A7FE7"/>
    <w:rsid w:val="002B1B08"/>
    <w:rsid w:val="002B2BE8"/>
    <w:rsid w:val="002B57E9"/>
    <w:rsid w:val="002B7861"/>
    <w:rsid w:val="002B7B90"/>
    <w:rsid w:val="002C08BF"/>
    <w:rsid w:val="002C46BA"/>
    <w:rsid w:val="002D0D13"/>
    <w:rsid w:val="002D6363"/>
    <w:rsid w:val="002E3055"/>
    <w:rsid w:val="002E38E8"/>
    <w:rsid w:val="002E60F6"/>
    <w:rsid w:val="002E744B"/>
    <w:rsid w:val="002F3EE0"/>
    <w:rsid w:val="0030587D"/>
    <w:rsid w:val="0031527C"/>
    <w:rsid w:val="00316537"/>
    <w:rsid w:val="00316973"/>
    <w:rsid w:val="00316D67"/>
    <w:rsid w:val="00324DE2"/>
    <w:rsid w:val="00334874"/>
    <w:rsid w:val="00334B44"/>
    <w:rsid w:val="00334FA7"/>
    <w:rsid w:val="00336815"/>
    <w:rsid w:val="00345108"/>
    <w:rsid w:val="00345E09"/>
    <w:rsid w:val="00347C10"/>
    <w:rsid w:val="00350E1D"/>
    <w:rsid w:val="0035182D"/>
    <w:rsid w:val="0035386D"/>
    <w:rsid w:val="00360DAD"/>
    <w:rsid w:val="00365286"/>
    <w:rsid w:val="00365491"/>
    <w:rsid w:val="00365BDD"/>
    <w:rsid w:val="003663BB"/>
    <w:rsid w:val="00370BC1"/>
    <w:rsid w:val="00370DFF"/>
    <w:rsid w:val="00373497"/>
    <w:rsid w:val="00375912"/>
    <w:rsid w:val="00380000"/>
    <w:rsid w:val="003813DB"/>
    <w:rsid w:val="00383277"/>
    <w:rsid w:val="00383C0F"/>
    <w:rsid w:val="00385941"/>
    <w:rsid w:val="00391CDE"/>
    <w:rsid w:val="00395A73"/>
    <w:rsid w:val="003A003C"/>
    <w:rsid w:val="003A02F1"/>
    <w:rsid w:val="003A4C56"/>
    <w:rsid w:val="003A6457"/>
    <w:rsid w:val="003B2C81"/>
    <w:rsid w:val="003B488E"/>
    <w:rsid w:val="003B5BE5"/>
    <w:rsid w:val="003C013E"/>
    <w:rsid w:val="003C191A"/>
    <w:rsid w:val="003C669F"/>
    <w:rsid w:val="003D1184"/>
    <w:rsid w:val="003D2A39"/>
    <w:rsid w:val="003D6EA0"/>
    <w:rsid w:val="003E4CE5"/>
    <w:rsid w:val="003E5D20"/>
    <w:rsid w:val="003E7330"/>
    <w:rsid w:val="003F635C"/>
    <w:rsid w:val="003F64C4"/>
    <w:rsid w:val="00400336"/>
    <w:rsid w:val="00403A5B"/>
    <w:rsid w:val="004040EC"/>
    <w:rsid w:val="00414D08"/>
    <w:rsid w:val="00420293"/>
    <w:rsid w:val="00421C7F"/>
    <w:rsid w:val="004224AA"/>
    <w:rsid w:val="00423593"/>
    <w:rsid w:val="00427171"/>
    <w:rsid w:val="00431A4E"/>
    <w:rsid w:val="0043314E"/>
    <w:rsid w:val="00435633"/>
    <w:rsid w:val="00436C3E"/>
    <w:rsid w:val="0043706F"/>
    <w:rsid w:val="00443201"/>
    <w:rsid w:val="00447BA9"/>
    <w:rsid w:val="00450282"/>
    <w:rsid w:val="00450B7E"/>
    <w:rsid w:val="004511E4"/>
    <w:rsid w:val="00452FF0"/>
    <w:rsid w:val="00454B40"/>
    <w:rsid w:val="00461772"/>
    <w:rsid w:val="0046214B"/>
    <w:rsid w:val="0046220D"/>
    <w:rsid w:val="004661DD"/>
    <w:rsid w:val="004661DE"/>
    <w:rsid w:val="004676F5"/>
    <w:rsid w:val="004713E9"/>
    <w:rsid w:val="0047540E"/>
    <w:rsid w:val="00475975"/>
    <w:rsid w:val="00475BC1"/>
    <w:rsid w:val="00477E2A"/>
    <w:rsid w:val="00483BBC"/>
    <w:rsid w:val="004859F9"/>
    <w:rsid w:val="0049069C"/>
    <w:rsid w:val="004A1281"/>
    <w:rsid w:val="004A35BF"/>
    <w:rsid w:val="004A3D12"/>
    <w:rsid w:val="004A5EC0"/>
    <w:rsid w:val="004A69C6"/>
    <w:rsid w:val="004C00FF"/>
    <w:rsid w:val="004C15CA"/>
    <w:rsid w:val="004C3610"/>
    <w:rsid w:val="004D1A38"/>
    <w:rsid w:val="004D7FCC"/>
    <w:rsid w:val="004E220A"/>
    <w:rsid w:val="004E3BC4"/>
    <w:rsid w:val="004F3FD7"/>
    <w:rsid w:val="004F551F"/>
    <w:rsid w:val="004F5B33"/>
    <w:rsid w:val="004F6FBD"/>
    <w:rsid w:val="004F797A"/>
    <w:rsid w:val="0050133C"/>
    <w:rsid w:val="0050216B"/>
    <w:rsid w:val="005021E8"/>
    <w:rsid w:val="005075CA"/>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2EF1"/>
    <w:rsid w:val="005C3ABF"/>
    <w:rsid w:val="005C4559"/>
    <w:rsid w:val="005D272E"/>
    <w:rsid w:val="005D5852"/>
    <w:rsid w:val="005D5944"/>
    <w:rsid w:val="005D5E11"/>
    <w:rsid w:val="005D77CF"/>
    <w:rsid w:val="005D7CA5"/>
    <w:rsid w:val="005E0D81"/>
    <w:rsid w:val="005E1286"/>
    <w:rsid w:val="005E4F9E"/>
    <w:rsid w:val="005E6DCD"/>
    <w:rsid w:val="005F09E9"/>
    <w:rsid w:val="005F1A32"/>
    <w:rsid w:val="005F3918"/>
    <w:rsid w:val="006010BB"/>
    <w:rsid w:val="00601DC9"/>
    <w:rsid w:val="00603BB7"/>
    <w:rsid w:val="006070B9"/>
    <w:rsid w:val="00610D9D"/>
    <w:rsid w:val="0062015D"/>
    <w:rsid w:val="006211BD"/>
    <w:rsid w:val="00621788"/>
    <w:rsid w:val="00622134"/>
    <w:rsid w:val="00622FF6"/>
    <w:rsid w:val="0063136C"/>
    <w:rsid w:val="006341CB"/>
    <w:rsid w:val="00636AAD"/>
    <w:rsid w:val="00642340"/>
    <w:rsid w:val="00644E97"/>
    <w:rsid w:val="0064663A"/>
    <w:rsid w:val="00651415"/>
    <w:rsid w:val="006674B6"/>
    <w:rsid w:val="0066760C"/>
    <w:rsid w:val="00667A76"/>
    <w:rsid w:val="00671218"/>
    <w:rsid w:val="00675D07"/>
    <w:rsid w:val="00680403"/>
    <w:rsid w:val="00681A9E"/>
    <w:rsid w:val="0068441A"/>
    <w:rsid w:val="00685CAE"/>
    <w:rsid w:val="00687238"/>
    <w:rsid w:val="0069117B"/>
    <w:rsid w:val="006951C7"/>
    <w:rsid w:val="006A140C"/>
    <w:rsid w:val="006B1531"/>
    <w:rsid w:val="006B3B14"/>
    <w:rsid w:val="006B7399"/>
    <w:rsid w:val="006B7AD0"/>
    <w:rsid w:val="006C33F0"/>
    <w:rsid w:val="006C575E"/>
    <w:rsid w:val="006D24FE"/>
    <w:rsid w:val="006D64B8"/>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735A"/>
    <w:rsid w:val="007373E3"/>
    <w:rsid w:val="00737A15"/>
    <w:rsid w:val="00737B3F"/>
    <w:rsid w:val="00742F47"/>
    <w:rsid w:val="0074309A"/>
    <w:rsid w:val="00743379"/>
    <w:rsid w:val="007445B8"/>
    <w:rsid w:val="0075246E"/>
    <w:rsid w:val="007530A0"/>
    <w:rsid w:val="0075555D"/>
    <w:rsid w:val="00760DFF"/>
    <w:rsid w:val="00761164"/>
    <w:rsid w:val="007642BA"/>
    <w:rsid w:val="00765E10"/>
    <w:rsid w:val="00770302"/>
    <w:rsid w:val="00771733"/>
    <w:rsid w:val="00771B80"/>
    <w:rsid w:val="00773878"/>
    <w:rsid w:val="00775A7C"/>
    <w:rsid w:val="00775C43"/>
    <w:rsid w:val="00777B2F"/>
    <w:rsid w:val="007807E5"/>
    <w:rsid w:val="00782D27"/>
    <w:rsid w:val="00784839"/>
    <w:rsid w:val="00785E59"/>
    <w:rsid w:val="0078740A"/>
    <w:rsid w:val="007942AC"/>
    <w:rsid w:val="00795AE8"/>
    <w:rsid w:val="007A05F2"/>
    <w:rsid w:val="007A0F7B"/>
    <w:rsid w:val="007A1777"/>
    <w:rsid w:val="007A219C"/>
    <w:rsid w:val="007B0073"/>
    <w:rsid w:val="007B14B3"/>
    <w:rsid w:val="007B328F"/>
    <w:rsid w:val="007B3355"/>
    <w:rsid w:val="007B63EB"/>
    <w:rsid w:val="007C23FB"/>
    <w:rsid w:val="007C4218"/>
    <w:rsid w:val="007C6809"/>
    <w:rsid w:val="007C7E24"/>
    <w:rsid w:val="007D100D"/>
    <w:rsid w:val="007D2BA0"/>
    <w:rsid w:val="007D37EB"/>
    <w:rsid w:val="007D6EF3"/>
    <w:rsid w:val="007E2A0C"/>
    <w:rsid w:val="007E503D"/>
    <w:rsid w:val="007E631A"/>
    <w:rsid w:val="007F0606"/>
    <w:rsid w:val="007F1CC8"/>
    <w:rsid w:val="007F7141"/>
    <w:rsid w:val="007F7203"/>
    <w:rsid w:val="00810B9A"/>
    <w:rsid w:val="008123F9"/>
    <w:rsid w:val="00813462"/>
    <w:rsid w:val="008147AE"/>
    <w:rsid w:val="00814872"/>
    <w:rsid w:val="00814D8F"/>
    <w:rsid w:val="00815F3D"/>
    <w:rsid w:val="00815F60"/>
    <w:rsid w:val="008219F4"/>
    <w:rsid w:val="00822AC8"/>
    <w:rsid w:val="00827FEC"/>
    <w:rsid w:val="00834D27"/>
    <w:rsid w:val="00841A97"/>
    <w:rsid w:val="00845805"/>
    <w:rsid w:val="00847A1F"/>
    <w:rsid w:val="008502A6"/>
    <w:rsid w:val="00851A27"/>
    <w:rsid w:val="00856E26"/>
    <w:rsid w:val="0085794F"/>
    <w:rsid w:val="008629A1"/>
    <w:rsid w:val="00870DCD"/>
    <w:rsid w:val="00875099"/>
    <w:rsid w:val="008824BB"/>
    <w:rsid w:val="008868B3"/>
    <w:rsid w:val="00887FDC"/>
    <w:rsid w:val="00890180"/>
    <w:rsid w:val="00893816"/>
    <w:rsid w:val="00894121"/>
    <w:rsid w:val="00896627"/>
    <w:rsid w:val="008A532F"/>
    <w:rsid w:val="008A735D"/>
    <w:rsid w:val="008A737D"/>
    <w:rsid w:val="008B1EBC"/>
    <w:rsid w:val="008B3760"/>
    <w:rsid w:val="008B4CCA"/>
    <w:rsid w:val="008B62B1"/>
    <w:rsid w:val="008B6376"/>
    <w:rsid w:val="008C0905"/>
    <w:rsid w:val="008C380D"/>
    <w:rsid w:val="008D0648"/>
    <w:rsid w:val="008D352B"/>
    <w:rsid w:val="008E0022"/>
    <w:rsid w:val="008E36C2"/>
    <w:rsid w:val="008E7034"/>
    <w:rsid w:val="00903C60"/>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7FB1"/>
    <w:rsid w:val="00951C8E"/>
    <w:rsid w:val="0095409B"/>
    <w:rsid w:val="009567E8"/>
    <w:rsid w:val="00961BD6"/>
    <w:rsid w:val="00964173"/>
    <w:rsid w:val="009652AA"/>
    <w:rsid w:val="009654AE"/>
    <w:rsid w:val="0096745C"/>
    <w:rsid w:val="00967E05"/>
    <w:rsid w:val="00971DFC"/>
    <w:rsid w:val="00973BD1"/>
    <w:rsid w:val="00974710"/>
    <w:rsid w:val="00976944"/>
    <w:rsid w:val="00977773"/>
    <w:rsid w:val="00987295"/>
    <w:rsid w:val="00992F1F"/>
    <w:rsid w:val="0099354B"/>
    <w:rsid w:val="00994A8A"/>
    <w:rsid w:val="009A0AC7"/>
    <w:rsid w:val="009A296B"/>
    <w:rsid w:val="009A2BC5"/>
    <w:rsid w:val="009A47E3"/>
    <w:rsid w:val="009A6F91"/>
    <w:rsid w:val="009B3ABA"/>
    <w:rsid w:val="009C12AB"/>
    <w:rsid w:val="009C35AA"/>
    <w:rsid w:val="009C5C75"/>
    <w:rsid w:val="009D0D89"/>
    <w:rsid w:val="009D24B7"/>
    <w:rsid w:val="009E037C"/>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2F55"/>
    <w:rsid w:val="00A26A2D"/>
    <w:rsid w:val="00A272CE"/>
    <w:rsid w:val="00A30310"/>
    <w:rsid w:val="00A30773"/>
    <w:rsid w:val="00A31463"/>
    <w:rsid w:val="00A409A7"/>
    <w:rsid w:val="00A44E4A"/>
    <w:rsid w:val="00A4563B"/>
    <w:rsid w:val="00A5050D"/>
    <w:rsid w:val="00A54083"/>
    <w:rsid w:val="00A57099"/>
    <w:rsid w:val="00A577F4"/>
    <w:rsid w:val="00A630FF"/>
    <w:rsid w:val="00A634C2"/>
    <w:rsid w:val="00A709C6"/>
    <w:rsid w:val="00A7132E"/>
    <w:rsid w:val="00A71479"/>
    <w:rsid w:val="00A72BD8"/>
    <w:rsid w:val="00A815D7"/>
    <w:rsid w:val="00A9002A"/>
    <w:rsid w:val="00A97595"/>
    <w:rsid w:val="00A97F1A"/>
    <w:rsid w:val="00AA0FE4"/>
    <w:rsid w:val="00AA16B6"/>
    <w:rsid w:val="00AA265E"/>
    <w:rsid w:val="00AC0D4D"/>
    <w:rsid w:val="00AC62A0"/>
    <w:rsid w:val="00AC6B92"/>
    <w:rsid w:val="00AD1805"/>
    <w:rsid w:val="00AD310A"/>
    <w:rsid w:val="00AD43D5"/>
    <w:rsid w:val="00AD5C9F"/>
    <w:rsid w:val="00AD6CCA"/>
    <w:rsid w:val="00AE0428"/>
    <w:rsid w:val="00AE153B"/>
    <w:rsid w:val="00AE43D9"/>
    <w:rsid w:val="00AE4FFF"/>
    <w:rsid w:val="00B0198A"/>
    <w:rsid w:val="00B0200B"/>
    <w:rsid w:val="00B0319F"/>
    <w:rsid w:val="00B06BE5"/>
    <w:rsid w:val="00B11B18"/>
    <w:rsid w:val="00B17370"/>
    <w:rsid w:val="00B2024C"/>
    <w:rsid w:val="00B2055A"/>
    <w:rsid w:val="00B2067D"/>
    <w:rsid w:val="00B24B86"/>
    <w:rsid w:val="00B30A6C"/>
    <w:rsid w:val="00B40771"/>
    <w:rsid w:val="00B40C7E"/>
    <w:rsid w:val="00B4170E"/>
    <w:rsid w:val="00B43A1E"/>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78E6"/>
    <w:rsid w:val="00BF1DA5"/>
    <w:rsid w:val="00BF21E1"/>
    <w:rsid w:val="00C00538"/>
    <w:rsid w:val="00C06F9E"/>
    <w:rsid w:val="00C110B9"/>
    <w:rsid w:val="00C1514A"/>
    <w:rsid w:val="00C23622"/>
    <w:rsid w:val="00C26AD7"/>
    <w:rsid w:val="00C337E0"/>
    <w:rsid w:val="00C36189"/>
    <w:rsid w:val="00C414AD"/>
    <w:rsid w:val="00C430C9"/>
    <w:rsid w:val="00C45EEC"/>
    <w:rsid w:val="00C46160"/>
    <w:rsid w:val="00C46A6C"/>
    <w:rsid w:val="00C51319"/>
    <w:rsid w:val="00C53443"/>
    <w:rsid w:val="00C638EC"/>
    <w:rsid w:val="00C7189B"/>
    <w:rsid w:val="00C727B1"/>
    <w:rsid w:val="00C731CA"/>
    <w:rsid w:val="00C75A26"/>
    <w:rsid w:val="00C76728"/>
    <w:rsid w:val="00C8048F"/>
    <w:rsid w:val="00C8587D"/>
    <w:rsid w:val="00C8703E"/>
    <w:rsid w:val="00C932A1"/>
    <w:rsid w:val="00C956D7"/>
    <w:rsid w:val="00CA0494"/>
    <w:rsid w:val="00CA2C12"/>
    <w:rsid w:val="00CA62C1"/>
    <w:rsid w:val="00CA6695"/>
    <w:rsid w:val="00CA669F"/>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E27"/>
    <w:rsid w:val="00D300CA"/>
    <w:rsid w:val="00D311DE"/>
    <w:rsid w:val="00D31F0B"/>
    <w:rsid w:val="00D35049"/>
    <w:rsid w:val="00D409E1"/>
    <w:rsid w:val="00D44821"/>
    <w:rsid w:val="00D46F52"/>
    <w:rsid w:val="00D54C29"/>
    <w:rsid w:val="00D55246"/>
    <w:rsid w:val="00D60BC1"/>
    <w:rsid w:val="00D7674D"/>
    <w:rsid w:val="00D85124"/>
    <w:rsid w:val="00D87AE5"/>
    <w:rsid w:val="00D87CA6"/>
    <w:rsid w:val="00D9013D"/>
    <w:rsid w:val="00D90CE2"/>
    <w:rsid w:val="00D92C95"/>
    <w:rsid w:val="00D93506"/>
    <w:rsid w:val="00D95770"/>
    <w:rsid w:val="00DA3386"/>
    <w:rsid w:val="00DA70EB"/>
    <w:rsid w:val="00DB30EF"/>
    <w:rsid w:val="00DB4C7C"/>
    <w:rsid w:val="00DB748A"/>
    <w:rsid w:val="00DC5A3D"/>
    <w:rsid w:val="00DD116A"/>
    <w:rsid w:val="00DD1648"/>
    <w:rsid w:val="00DD1C4A"/>
    <w:rsid w:val="00DE5E53"/>
    <w:rsid w:val="00DE6500"/>
    <w:rsid w:val="00DF41E4"/>
    <w:rsid w:val="00DF679B"/>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3378"/>
    <w:rsid w:val="00E52D68"/>
    <w:rsid w:val="00E53BCA"/>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6EC"/>
    <w:rsid w:val="00E96BDD"/>
    <w:rsid w:val="00E97AE5"/>
    <w:rsid w:val="00EA0782"/>
    <w:rsid w:val="00EA20BB"/>
    <w:rsid w:val="00EA6ACC"/>
    <w:rsid w:val="00EB03AA"/>
    <w:rsid w:val="00EB2492"/>
    <w:rsid w:val="00EB3D1C"/>
    <w:rsid w:val="00EB4C15"/>
    <w:rsid w:val="00EC0745"/>
    <w:rsid w:val="00EC1318"/>
    <w:rsid w:val="00EC2484"/>
    <w:rsid w:val="00EC45DF"/>
    <w:rsid w:val="00EC754E"/>
    <w:rsid w:val="00ED4258"/>
    <w:rsid w:val="00ED4705"/>
    <w:rsid w:val="00ED4AF7"/>
    <w:rsid w:val="00ED6B39"/>
    <w:rsid w:val="00EE20E3"/>
    <w:rsid w:val="00EE2A18"/>
    <w:rsid w:val="00EE37D3"/>
    <w:rsid w:val="00EE38E4"/>
    <w:rsid w:val="00EE5008"/>
    <w:rsid w:val="00EF38CD"/>
    <w:rsid w:val="00EF4CE3"/>
    <w:rsid w:val="00EF53A5"/>
    <w:rsid w:val="00EF56E4"/>
    <w:rsid w:val="00EF684F"/>
    <w:rsid w:val="00EF69A2"/>
    <w:rsid w:val="00F01880"/>
    <w:rsid w:val="00F02DD3"/>
    <w:rsid w:val="00F06A23"/>
    <w:rsid w:val="00F11A2C"/>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501"/>
    <w:rsid w:val="00F7150E"/>
    <w:rsid w:val="00F73542"/>
    <w:rsid w:val="00F75216"/>
    <w:rsid w:val="00F76EDF"/>
    <w:rsid w:val="00F83D71"/>
    <w:rsid w:val="00F847FE"/>
    <w:rsid w:val="00F849D7"/>
    <w:rsid w:val="00F85FCF"/>
    <w:rsid w:val="00F86489"/>
    <w:rsid w:val="00F8732C"/>
    <w:rsid w:val="00F90034"/>
    <w:rsid w:val="00F90D82"/>
    <w:rsid w:val="00F9164A"/>
    <w:rsid w:val="00F92C08"/>
    <w:rsid w:val="00FA4529"/>
    <w:rsid w:val="00FA4D2F"/>
    <w:rsid w:val="00FA5D51"/>
    <w:rsid w:val="00FA64E7"/>
    <w:rsid w:val="00FA6E9B"/>
    <w:rsid w:val="00FA774A"/>
    <w:rsid w:val="00FB0DF3"/>
    <w:rsid w:val="00FB38D4"/>
    <w:rsid w:val="00FB6D3B"/>
    <w:rsid w:val="00FC0DEB"/>
    <w:rsid w:val="00FC3B66"/>
    <w:rsid w:val="00FC4909"/>
    <w:rsid w:val="00FC4962"/>
    <w:rsid w:val="00FC6A33"/>
    <w:rsid w:val="00FC7DBF"/>
    <w:rsid w:val="00FD12DE"/>
    <w:rsid w:val="00FD62FF"/>
    <w:rsid w:val="00FE2F78"/>
    <w:rsid w:val="00FE4663"/>
    <w:rsid w:val="00FE4FD3"/>
    <w:rsid w:val="00FE61C6"/>
    <w:rsid w:val="00FF4EA4"/>
    <w:rsid w:val="015E5F99"/>
    <w:rsid w:val="020555DD"/>
    <w:rsid w:val="021D0FF2"/>
    <w:rsid w:val="02C81D3E"/>
    <w:rsid w:val="033F14DA"/>
    <w:rsid w:val="05201C60"/>
    <w:rsid w:val="06B1102B"/>
    <w:rsid w:val="06D8675C"/>
    <w:rsid w:val="07C77745"/>
    <w:rsid w:val="08025E70"/>
    <w:rsid w:val="085F4592"/>
    <w:rsid w:val="088B2C71"/>
    <w:rsid w:val="08917D83"/>
    <w:rsid w:val="08E1109F"/>
    <w:rsid w:val="09E10ED4"/>
    <w:rsid w:val="09F57834"/>
    <w:rsid w:val="0ADB7500"/>
    <w:rsid w:val="0BFD299D"/>
    <w:rsid w:val="0C3D4298"/>
    <w:rsid w:val="0C6E4BE0"/>
    <w:rsid w:val="0C9523A6"/>
    <w:rsid w:val="0CA67F00"/>
    <w:rsid w:val="0F8431F8"/>
    <w:rsid w:val="0FCA227F"/>
    <w:rsid w:val="116D26CD"/>
    <w:rsid w:val="118C325D"/>
    <w:rsid w:val="11C23651"/>
    <w:rsid w:val="11F2155A"/>
    <w:rsid w:val="12082591"/>
    <w:rsid w:val="126F0817"/>
    <w:rsid w:val="12F60AFE"/>
    <w:rsid w:val="13827A14"/>
    <w:rsid w:val="13D23A00"/>
    <w:rsid w:val="147D590A"/>
    <w:rsid w:val="14AD1128"/>
    <w:rsid w:val="153C556A"/>
    <w:rsid w:val="15A05433"/>
    <w:rsid w:val="16530F85"/>
    <w:rsid w:val="184C2793"/>
    <w:rsid w:val="185841A9"/>
    <w:rsid w:val="189035FD"/>
    <w:rsid w:val="18D55096"/>
    <w:rsid w:val="19BF12BD"/>
    <w:rsid w:val="19DE2EA0"/>
    <w:rsid w:val="1A08396D"/>
    <w:rsid w:val="1B751B26"/>
    <w:rsid w:val="1BF62ECD"/>
    <w:rsid w:val="1C2D1536"/>
    <w:rsid w:val="1C617E82"/>
    <w:rsid w:val="1CCF2F1D"/>
    <w:rsid w:val="1DEF50C7"/>
    <w:rsid w:val="1FE15514"/>
    <w:rsid w:val="20512A85"/>
    <w:rsid w:val="206F3533"/>
    <w:rsid w:val="2157706F"/>
    <w:rsid w:val="215D6B91"/>
    <w:rsid w:val="21DD4A96"/>
    <w:rsid w:val="22AC41BD"/>
    <w:rsid w:val="255F4AFD"/>
    <w:rsid w:val="25DB47FA"/>
    <w:rsid w:val="271F4B16"/>
    <w:rsid w:val="27406EB0"/>
    <w:rsid w:val="275C490C"/>
    <w:rsid w:val="28292FB5"/>
    <w:rsid w:val="28641563"/>
    <w:rsid w:val="28736913"/>
    <w:rsid w:val="287A57FB"/>
    <w:rsid w:val="29456A8F"/>
    <w:rsid w:val="2A2C7A67"/>
    <w:rsid w:val="2A553543"/>
    <w:rsid w:val="2A8B5F44"/>
    <w:rsid w:val="2B0860FE"/>
    <w:rsid w:val="2C5774E5"/>
    <w:rsid w:val="2CC87E5A"/>
    <w:rsid w:val="2D8D5BA1"/>
    <w:rsid w:val="2DC468C3"/>
    <w:rsid w:val="314312A8"/>
    <w:rsid w:val="31F7403B"/>
    <w:rsid w:val="32646FF9"/>
    <w:rsid w:val="33563CED"/>
    <w:rsid w:val="33BB2A97"/>
    <w:rsid w:val="3456665A"/>
    <w:rsid w:val="348C1B9D"/>
    <w:rsid w:val="34B644B7"/>
    <w:rsid w:val="35775CC4"/>
    <w:rsid w:val="377166F2"/>
    <w:rsid w:val="3955782B"/>
    <w:rsid w:val="3ADD0A2E"/>
    <w:rsid w:val="3B936DE6"/>
    <w:rsid w:val="3B9B58F7"/>
    <w:rsid w:val="3D007B79"/>
    <w:rsid w:val="3EDA4AB7"/>
    <w:rsid w:val="3EE86470"/>
    <w:rsid w:val="3F263B0E"/>
    <w:rsid w:val="3F9E03E1"/>
    <w:rsid w:val="40D12EFD"/>
    <w:rsid w:val="4249303E"/>
    <w:rsid w:val="42C44BD6"/>
    <w:rsid w:val="435F4A6B"/>
    <w:rsid w:val="43AF27C5"/>
    <w:rsid w:val="44DA1997"/>
    <w:rsid w:val="44F03EB9"/>
    <w:rsid w:val="45225A80"/>
    <w:rsid w:val="45C25440"/>
    <w:rsid w:val="478522AC"/>
    <w:rsid w:val="47CB74E0"/>
    <w:rsid w:val="48A41D0D"/>
    <w:rsid w:val="48E9241E"/>
    <w:rsid w:val="48F80360"/>
    <w:rsid w:val="494D118E"/>
    <w:rsid w:val="49A34558"/>
    <w:rsid w:val="4A852681"/>
    <w:rsid w:val="4AE22F4C"/>
    <w:rsid w:val="4B297EBB"/>
    <w:rsid w:val="4BB344B3"/>
    <w:rsid w:val="4C3E7B37"/>
    <w:rsid w:val="4E2A523F"/>
    <w:rsid w:val="4E9B49FB"/>
    <w:rsid w:val="4EB72836"/>
    <w:rsid w:val="513E171F"/>
    <w:rsid w:val="520600C7"/>
    <w:rsid w:val="52324C1B"/>
    <w:rsid w:val="54DF4EBA"/>
    <w:rsid w:val="55524C6C"/>
    <w:rsid w:val="5635274C"/>
    <w:rsid w:val="56677752"/>
    <w:rsid w:val="572F4053"/>
    <w:rsid w:val="573F37C3"/>
    <w:rsid w:val="57A52ACB"/>
    <w:rsid w:val="58077CBD"/>
    <w:rsid w:val="58A538E9"/>
    <w:rsid w:val="58BC47FB"/>
    <w:rsid w:val="58FD658D"/>
    <w:rsid w:val="590654CE"/>
    <w:rsid w:val="591551D8"/>
    <w:rsid w:val="59793830"/>
    <w:rsid w:val="5A1F1112"/>
    <w:rsid w:val="5B1506F6"/>
    <w:rsid w:val="5BCC56EB"/>
    <w:rsid w:val="5BFD0A9C"/>
    <w:rsid w:val="5D0524B4"/>
    <w:rsid w:val="5D0660CA"/>
    <w:rsid w:val="5D337D07"/>
    <w:rsid w:val="5E2C7B65"/>
    <w:rsid w:val="5E7D693F"/>
    <w:rsid w:val="5EFF2069"/>
    <w:rsid w:val="5F373E3F"/>
    <w:rsid w:val="5FA65475"/>
    <w:rsid w:val="603B7982"/>
    <w:rsid w:val="60667C83"/>
    <w:rsid w:val="616D587F"/>
    <w:rsid w:val="619115F6"/>
    <w:rsid w:val="61CE3C5C"/>
    <w:rsid w:val="632E3B8A"/>
    <w:rsid w:val="64D74E56"/>
    <w:rsid w:val="64DB26D2"/>
    <w:rsid w:val="65F23B15"/>
    <w:rsid w:val="66000D0D"/>
    <w:rsid w:val="66400FF9"/>
    <w:rsid w:val="66BA4D63"/>
    <w:rsid w:val="66C04328"/>
    <w:rsid w:val="68741D48"/>
    <w:rsid w:val="6A0D4A4D"/>
    <w:rsid w:val="6B791568"/>
    <w:rsid w:val="6CC65D0E"/>
    <w:rsid w:val="6D7306F9"/>
    <w:rsid w:val="6DFA3D26"/>
    <w:rsid w:val="6DFC3DF2"/>
    <w:rsid w:val="6E0A23B0"/>
    <w:rsid w:val="6E4E4AF5"/>
    <w:rsid w:val="6F272507"/>
    <w:rsid w:val="6F6A02EA"/>
    <w:rsid w:val="6FF10D4E"/>
    <w:rsid w:val="700345EC"/>
    <w:rsid w:val="70143BA8"/>
    <w:rsid w:val="70CA52FA"/>
    <w:rsid w:val="71E53350"/>
    <w:rsid w:val="720C6AF1"/>
    <w:rsid w:val="731A17E1"/>
    <w:rsid w:val="73D40348"/>
    <w:rsid w:val="748E11FF"/>
    <w:rsid w:val="74AE5EF9"/>
    <w:rsid w:val="76614928"/>
    <w:rsid w:val="785F2D30"/>
    <w:rsid w:val="78F262FB"/>
    <w:rsid w:val="796B1530"/>
    <w:rsid w:val="79E03819"/>
    <w:rsid w:val="7A0F1BF0"/>
    <w:rsid w:val="7A77760E"/>
    <w:rsid w:val="7B83092E"/>
    <w:rsid w:val="7E89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3"/>
    <w:qFormat/>
    <w:uiPriority w:val="0"/>
    <w:rPr>
      <w:rFonts w:eastAsia="宋体"/>
      <w:sz w:val="24"/>
    </w:rPr>
  </w:style>
  <w:style w:type="paragraph" w:styleId="13">
    <w:name w:val="Date"/>
    <w:basedOn w:val="1"/>
    <w:next w:val="1"/>
    <w:link w:val="34"/>
    <w:unhideWhenUsed/>
    <w:qFormat/>
    <w:uiPriority w:val="99"/>
    <w:pPr>
      <w:ind w:left="100" w:leftChars="2500"/>
    </w:pPr>
  </w:style>
  <w:style w:type="paragraph" w:styleId="14">
    <w:name w:val="Balloon Text"/>
    <w:basedOn w:val="1"/>
    <w:link w:val="61"/>
    <w:semiHidden/>
    <w:unhideWhenUsed/>
    <w:qFormat/>
    <w:uiPriority w:val="99"/>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7">
    <w:name w:val="Emphasis"/>
    <w:basedOn w:val="23"/>
    <w:qFormat/>
    <w:uiPriority w:val="20"/>
    <w:rPr>
      <w:i/>
      <w:iCs/>
    </w:rPr>
  </w:style>
  <w:style w:type="character" w:styleId="28">
    <w:name w:val="Hyperlink"/>
    <w:basedOn w:val="23"/>
    <w:unhideWhenUsed/>
    <w:qFormat/>
    <w:uiPriority w:val="99"/>
    <w:rPr>
      <w:color w:val="0000FF"/>
      <w:u w:val="single"/>
    </w:rPr>
  </w:style>
  <w:style w:type="character" w:customStyle="1" w:styleId="29">
    <w:name w:val="标题 1 Char"/>
    <w:basedOn w:val="23"/>
    <w:link w:val="3"/>
    <w:qFormat/>
    <w:uiPriority w:val="0"/>
    <w:rPr>
      <w:rFonts w:ascii="Calibri" w:hAnsi="Calibri" w:eastAsia="宋体" w:cs="Times New Roman"/>
      <w:b/>
      <w:bCs/>
      <w:kern w:val="44"/>
      <w:sz w:val="44"/>
      <w:szCs w:val="44"/>
    </w:rPr>
  </w:style>
  <w:style w:type="character" w:customStyle="1" w:styleId="30">
    <w:name w:val="标题 2 Char"/>
    <w:basedOn w:val="23"/>
    <w:link w:val="4"/>
    <w:qFormat/>
    <w:uiPriority w:val="0"/>
    <w:rPr>
      <w:rFonts w:ascii="Arial" w:hAnsi="Arial" w:eastAsia="黑体" w:cs="Times New Roman"/>
      <w:b/>
      <w:bCs/>
      <w:kern w:val="0"/>
      <w:sz w:val="32"/>
      <w:szCs w:val="32"/>
    </w:rPr>
  </w:style>
  <w:style w:type="character" w:customStyle="1" w:styleId="31">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3"/>
    <w:link w:val="6"/>
    <w:qFormat/>
    <w:uiPriority w:val="0"/>
    <w:rPr>
      <w:rFonts w:ascii="Arial" w:hAnsi="Arial" w:eastAsia="黑体" w:cs="Times New Roman"/>
      <w:b/>
      <w:bCs/>
      <w:kern w:val="0"/>
      <w:sz w:val="28"/>
      <w:szCs w:val="28"/>
    </w:rPr>
  </w:style>
  <w:style w:type="character" w:customStyle="1" w:styleId="33">
    <w:name w:val="纯文本 Char"/>
    <w:basedOn w:val="23"/>
    <w:link w:val="12"/>
    <w:qFormat/>
    <w:uiPriority w:val="0"/>
    <w:rPr>
      <w:rFonts w:eastAsia="宋体"/>
      <w:sz w:val="24"/>
    </w:rPr>
  </w:style>
  <w:style w:type="character" w:customStyle="1" w:styleId="34">
    <w:name w:val="日期 Char"/>
    <w:basedOn w:val="23"/>
    <w:link w:val="13"/>
    <w:qFormat/>
    <w:uiPriority w:val="99"/>
  </w:style>
  <w:style w:type="character" w:customStyle="1" w:styleId="35">
    <w:name w:val="页脚 Char"/>
    <w:basedOn w:val="23"/>
    <w:link w:val="15"/>
    <w:qFormat/>
    <w:uiPriority w:val="99"/>
    <w:rPr>
      <w:sz w:val="18"/>
      <w:szCs w:val="18"/>
    </w:rPr>
  </w:style>
  <w:style w:type="character" w:customStyle="1" w:styleId="36">
    <w:name w:val="页眉 Char"/>
    <w:basedOn w:val="23"/>
    <w:link w:val="16"/>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link w:val="60"/>
    <w:unhideWhenUsed/>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character" w:customStyle="1" w:styleId="55">
    <w:name w:val="font01"/>
    <w:qFormat/>
    <w:uiPriority w:val="0"/>
    <w:rPr>
      <w:rFonts w:hint="default" w:ascii="Arial" w:hAnsi="Arial" w:cs="Arial"/>
      <w:color w:val="000000"/>
      <w:sz w:val="22"/>
      <w:szCs w:val="22"/>
      <w:u w:val="none"/>
    </w:rPr>
  </w:style>
  <w:style w:type="character" w:customStyle="1" w:styleId="56">
    <w:name w:val="font21"/>
    <w:qFormat/>
    <w:uiPriority w:val="0"/>
    <w:rPr>
      <w:rFonts w:hint="eastAsia" w:ascii="宋体" w:hAnsi="宋体" w:eastAsia="宋体" w:cs="宋体"/>
      <w:color w:val="000000"/>
      <w:sz w:val="22"/>
      <w:szCs w:val="22"/>
      <w:u w:val="none"/>
    </w:rPr>
  </w:style>
  <w:style w:type="paragraph" w:customStyle="1" w:styleId="57">
    <w:name w:val="p15"/>
    <w:basedOn w:val="1"/>
    <w:unhideWhenUsed/>
    <w:qFormat/>
    <w:uiPriority w:val="99"/>
    <w:pPr>
      <w:widowControl/>
    </w:pPr>
    <w:rPr>
      <w:rFonts w:hint="eastAsia" w:ascii="Calibri" w:hAnsi="Calibri"/>
    </w:rPr>
  </w:style>
  <w:style w:type="paragraph" w:customStyle="1" w:styleId="58">
    <w:name w:val="p0"/>
    <w:basedOn w:val="1"/>
    <w:qFormat/>
    <w:uiPriority w:val="0"/>
    <w:pPr>
      <w:widowControl/>
    </w:pPr>
    <w:rPr>
      <w:kern w:val="0"/>
      <w:szCs w:val="21"/>
    </w:rPr>
  </w:style>
  <w:style w:type="character" w:customStyle="1" w:styleId="59">
    <w:name w:val="页码1"/>
    <w:basedOn w:val="23"/>
    <w:qFormat/>
    <w:uiPriority w:val="0"/>
  </w:style>
  <w:style w:type="character" w:customStyle="1" w:styleId="60">
    <w:name w:val="列出段落 Char"/>
    <w:basedOn w:val="23"/>
    <w:link w:val="40"/>
    <w:qFormat/>
    <w:uiPriority w:val="34"/>
    <w:rPr>
      <w:rFonts w:asciiTheme="minorHAnsi" w:hAnsiTheme="minorHAnsi" w:eastAsiaTheme="minorEastAsia" w:cstheme="minorBidi"/>
      <w:kern w:val="2"/>
      <w:sz w:val="21"/>
      <w:szCs w:val="22"/>
    </w:rPr>
  </w:style>
  <w:style w:type="character" w:customStyle="1" w:styleId="61">
    <w:name w:val="批注框文本 Char"/>
    <w:basedOn w:val="23"/>
    <w:link w:val="14"/>
    <w:semiHidden/>
    <w:qFormat/>
    <w:uiPriority w:val="99"/>
    <w:rPr>
      <w:rFonts w:asciiTheme="minorHAnsi" w:hAnsiTheme="minorHAnsi" w:eastAsiaTheme="minorEastAsia" w:cstheme="minorBidi"/>
      <w:kern w:val="2"/>
      <w:sz w:val="18"/>
      <w:szCs w:val="18"/>
    </w:rPr>
  </w:style>
  <w:style w:type="character" w:customStyle="1" w:styleId="62">
    <w:name w:val="gb-jt"/>
    <w:basedOn w:val="23"/>
    <w:qFormat/>
    <w:uiPriority w:val="0"/>
  </w:style>
  <w:style w:type="character" w:customStyle="1" w:styleId="63">
    <w:name w:val="red"/>
    <w:basedOn w:val="23"/>
    <w:qFormat/>
    <w:uiPriority w:val="0"/>
    <w:rPr>
      <w:color w:val="FF0000"/>
      <w:sz w:val="18"/>
      <w:szCs w:val="18"/>
    </w:rPr>
  </w:style>
  <w:style w:type="character" w:customStyle="1" w:styleId="64">
    <w:name w:val="red1"/>
    <w:basedOn w:val="23"/>
    <w:qFormat/>
    <w:uiPriority w:val="0"/>
    <w:rPr>
      <w:color w:val="FF0000"/>
      <w:sz w:val="18"/>
      <w:szCs w:val="18"/>
    </w:rPr>
  </w:style>
  <w:style w:type="character" w:customStyle="1" w:styleId="65">
    <w:name w:val="red2"/>
    <w:basedOn w:val="23"/>
    <w:qFormat/>
    <w:uiPriority w:val="0"/>
    <w:rPr>
      <w:color w:val="FF0000"/>
    </w:rPr>
  </w:style>
  <w:style w:type="character" w:customStyle="1" w:styleId="66">
    <w:name w:val="red3"/>
    <w:basedOn w:val="23"/>
    <w:qFormat/>
    <w:uiPriority w:val="0"/>
    <w:rPr>
      <w:color w:val="CC0000"/>
    </w:rPr>
  </w:style>
  <w:style w:type="character" w:customStyle="1" w:styleId="67">
    <w:name w:val="hover"/>
    <w:basedOn w:val="23"/>
    <w:qFormat/>
    <w:uiPriority w:val="0"/>
  </w:style>
  <w:style w:type="character" w:customStyle="1" w:styleId="68">
    <w:name w:val="green"/>
    <w:basedOn w:val="23"/>
    <w:qFormat/>
    <w:uiPriority w:val="0"/>
    <w:rPr>
      <w:color w:val="66AE00"/>
      <w:sz w:val="18"/>
      <w:szCs w:val="18"/>
    </w:rPr>
  </w:style>
  <w:style w:type="character" w:customStyle="1" w:styleId="69">
    <w:name w:val="green1"/>
    <w:basedOn w:val="23"/>
    <w:qFormat/>
    <w:uiPriority w:val="0"/>
    <w:rPr>
      <w:color w:val="66AE00"/>
      <w:sz w:val="18"/>
      <w:szCs w:val="18"/>
    </w:rPr>
  </w:style>
  <w:style w:type="character" w:customStyle="1" w:styleId="70">
    <w:name w:val="blue"/>
    <w:basedOn w:val="23"/>
    <w:qFormat/>
    <w:uiPriority w:val="0"/>
    <w:rPr>
      <w:color w:val="0371C6"/>
      <w:sz w:val="21"/>
      <w:szCs w:val="21"/>
    </w:rPr>
  </w:style>
  <w:style w:type="character" w:customStyle="1" w:styleId="71">
    <w:name w:val="right"/>
    <w:basedOn w:val="23"/>
    <w:qFormat/>
    <w:uiPriority w:val="0"/>
    <w:rPr>
      <w:color w:val="999999"/>
      <w:sz w:val="18"/>
      <w:szCs w:val="18"/>
    </w:rPr>
  </w:style>
  <w:style w:type="character" w:customStyle="1" w:styleId="72">
    <w:name w:val="hover25"/>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0228B-2B8C-4C81-B520-2C28E7E2251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6215</Words>
  <Characters>35429</Characters>
  <Lines>295</Lines>
  <Paragraphs>83</Paragraphs>
  <TotalTime>0</TotalTime>
  <ScaleCrop>false</ScaleCrop>
  <LinksUpToDate>false</LinksUpToDate>
  <CharactersWithSpaces>41561</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.唯一 D.se彩</cp:lastModifiedBy>
  <cp:lastPrinted>2019-01-04T02:13:00Z</cp:lastPrinted>
  <dcterms:modified xsi:type="dcterms:W3CDTF">2019-04-15T03:09:37Z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