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hAnsi="宋体" w:eastAsia="宋体"/>
          <w:b/>
          <w:snapToGrid w:val="0"/>
          <w:kern w:val="0"/>
          <w:sz w:val="36"/>
          <w:szCs w:val="36"/>
          <w:lang w:eastAsia="zh-CN"/>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r>
        <w:rPr>
          <w:rFonts w:hint="eastAsia" w:hAnsi="宋体" w:eastAsia="宋体"/>
          <w:b/>
          <w:snapToGrid w:val="0"/>
          <w:kern w:val="0"/>
          <w:sz w:val="36"/>
          <w:szCs w:val="36"/>
          <w:lang w:eastAsia="zh-CN"/>
        </w:rPr>
        <w:t>（</w:t>
      </w:r>
      <w:r>
        <w:rPr>
          <w:rFonts w:hint="eastAsia" w:hAnsi="宋体" w:eastAsia="宋体"/>
          <w:b/>
          <w:snapToGrid w:val="0"/>
          <w:kern w:val="0"/>
          <w:sz w:val="36"/>
          <w:szCs w:val="36"/>
          <w:lang w:val="en-US" w:eastAsia="zh-CN"/>
        </w:rPr>
        <w:t>B包</w:t>
      </w:r>
      <w:r>
        <w:rPr>
          <w:rFonts w:hint="eastAsia" w:hAnsi="宋体" w:eastAsia="宋体"/>
          <w:b/>
          <w:snapToGrid w:val="0"/>
          <w:kern w:val="0"/>
          <w:sz w:val="36"/>
          <w:szCs w:val="36"/>
          <w:lang w:eastAsia="zh-CN"/>
        </w:rPr>
        <w:t>）</w:t>
      </w:r>
    </w:p>
    <w:p>
      <w:pPr>
        <w:keepNext w:val="0"/>
        <w:keepLines w:val="0"/>
        <w:pageBreakBefore w:val="0"/>
        <w:widowControl w:val="0"/>
        <w:kinsoku/>
        <w:wordWrap/>
        <w:overflowPunct/>
        <w:topLinePunct w:val="0"/>
        <w:autoSpaceDE/>
        <w:autoSpaceDN/>
        <w:bidi w:val="0"/>
        <w:snapToGrid/>
        <w:spacing w:before="50" w:afterLines="50" w:line="440" w:lineRule="exact"/>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项目编号：ZFCG-G2019032  </w:t>
      </w:r>
    </w:p>
    <w:p>
      <w:pPr>
        <w:pStyle w:val="6"/>
        <w:widowControl/>
        <w:shd w:val="clear" w:color="auto" w:fill="FFFFFF"/>
        <w:spacing w:line="360" w:lineRule="auto"/>
        <w:contextualSpacing/>
        <w:jc w:val="left"/>
        <w:rPr>
          <w:color w:val="auto"/>
        </w:rPr>
      </w:pPr>
      <w:r>
        <w:rPr>
          <w:rFonts w:hint="eastAsia" w:asciiTheme="minorEastAsia" w:hAnsiTheme="minorEastAsia" w:eastAsiaTheme="minorEastAsia" w:cstheme="minorEastAsia"/>
          <w:color w:val="auto"/>
          <w:sz w:val="24"/>
          <w:szCs w:val="24"/>
        </w:rPr>
        <w:t>项目名称：</w:t>
      </w:r>
      <w:r>
        <w:rPr>
          <w:rFonts w:hint="eastAsia" w:cs="仿宋_GB2312" w:asciiTheme="minorEastAsia" w:hAnsiTheme="minorEastAsia" w:eastAsiaTheme="minorEastAsia"/>
          <w:color w:val="auto"/>
          <w:shd w:val="clear" w:color="auto" w:fill="FFFFFF"/>
        </w:rPr>
        <w:t>实时荧光定量PCR检测系统及附属设备</w:t>
      </w:r>
    </w:p>
    <w:tbl>
      <w:tblPr>
        <w:tblStyle w:val="8"/>
        <w:tblpPr w:leftFromText="180" w:rightFromText="180" w:vertAnchor="text" w:horzAnchor="page" w:tblpX="923" w:tblpY="467"/>
        <w:tblOverlap w:val="never"/>
        <w:tblW w:w="153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31"/>
        <w:gridCol w:w="1213"/>
        <w:gridCol w:w="8075"/>
        <w:gridCol w:w="700"/>
        <w:gridCol w:w="662"/>
        <w:gridCol w:w="988"/>
        <w:gridCol w:w="937"/>
        <w:gridCol w:w="12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1061" w:hRule="atLeast"/>
        </w:trPr>
        <w:tc>
          <w:tcPr>
            <w:tcW w:w="48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031"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名称</w:t>
            </w:r>
          </w:p>
        </w:tc>
        <w:tc>
          <w:tcPr>
            <w:tcW w:w="1213"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品牌规格型号</w:t>
            </w:r>
          </w:p>
        </w:tc>
        <w:tc>
          <w:tcPr>
            <w:tcW w:w="8075"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技术参数</w:t>
            </w:r>
          </w:p>
        </w:tc>
        <w:tc>
          <w:tcPr>
            <w:tcW w:w="70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662"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988"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单价（元）</w:t>
            </w:r>
          </w:p>
        </w:tc>
        <w:tc>
          <w:tcPr>
            <w:tcW w:w="937"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总价（元）</w:t>
            </w:r>
          </w:p>
        </w:tc>
        <w:tc>
          <w:tcPr>
            <w:tcW w:w="1250" w:type="dxa"/>
            <w:tcBorders>
              <w:tl2br w:val="nil"/>
              <w:tr2bl w:val="nil"/>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产地及</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厂家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8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31" w:type="dxa"/>
            <w:tcBorders>
              <w:tl2br w:val="nil"/>
              <w:tr2bl w:val="nil"/>
            </w:tcBorders>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sz w:val="24"/>
                <w:szCs w:val="24"/>
              </w:rPr>
            </w:pPr>
            <w:r>
              <w:rPr>
                <w:rFonts w:hint="eastAsia" w:ascii="宋体" w:hAnsi="宋体" w:cs="宋体"/>
                <w:color w:val="000000"/>
                <w:kern w:val="0"/>
                <w:sz w:val="24"/>
                <w:szCs w:val="24"/>
              </w:rPr>
              <w:t>真菌毒素前处理系统</w:t>
            </w:r>
          </w:p>
        </w:tc>
        <w:tc>
          <w:tcPr>
            <w:tcW w:w="12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Lctech/ Freestyle</w:t>
            </w:r>
          </w:p>
        </w:tc>
        <w:tc>
          <w:tcPr>
            <w:tcW w:w="8075" w:type="dxa"/>
            <w:tcBorders>
              <w:tl2br w:val="nil"/>
              <w:tr2bl w:val="nil"/>
            </w:tcBorders>
          </w:tcPr>
          <w:p>
            <w:pPr>
              <w:rPr>
                <w:rFonts w:hint="eastAsia"/>
              </w:rPr>
            </w:pPr>
            <w:r>
              <w:rPr>
                <w:rFonts w:hint="eastAsia"/>
              </w:rPr>
              <w:t>1、重要说明</w:t>
            </w:r>
          </w:p>
          <w:p>
            <w:pPr>
              <w:rPr>
                <w:rFonts w:hint="eastAsia"/>
              </w:rPr>
            </w:pPr>
            <w:r>
              <w:rPr>
                <w:rFonts w:hint="eastAsia"/>
              </w:rPr>
              <w:t>1.1应用于各类食品样品、动植物样品、农作物样品等样品中真菌毒素的样品前处理及在线分析联用功能，可一次性连续在线完成样品的前处理在线液相/液质分析联用过程。</w:t>
            </w:r>
          </w:p>
          <w:p>
            <w:pPr>
              <w:rPr>
                <w:rFonts w:hint="eastAsia"/>
              </w:rPr>
            </w:pPr>
            <w:r>
              <w:rPr>
                <w:rFonts w:hint="eastAsia"/>
              </w:rPr>
              <w:t>1.2该系统能够与德国Freestyle GPC/EVA配套使用，或按需要组合使用</w:t>
            </w:r>
          </w:p>
          <w:p>
            <w:pPr>
              <w:rPr>
                <w:rFonts w:hint="eastAsia"/>
              </w:rPr>
            </w:pPr>
            <w:r>
              <w:rPr>
                <w:rFonts w:hint="eastAsia"/>
              </w:rPr>
              <w:t>1.3该前处理平台可与HPLC或HPLC-MS组成在线联用平台,处理后的样品直接导入分析仪器。</w:t>
            </w:r>
          </w:p>
          <w:p>
            <w:pPr>
              <w:rPr>
                <w:rFonts w:hint="eastAsia"/>
              </w:rPr>
            </w:pPr>
            <w:r>
              <w:rPr>
                <w:rFonts w:hint="eastAsia"/>
              </w:rPr>
              <w:t>1.4可以组成真菌毒素在线前处理及分析平台，实现无人看管，全在线做黄曲霉毒素。</w:t>
            </w:r>
          </w:p>
          <w:p>
            <w:pPr>
              <w:rPr>
                <w:rFonts w:hint="eastAsia"/>
              </w:rPr>
            </w:pPr>
            <w:r>
              <w:rPr>
                <w:rFonts w:hint="eastAsia"/>
              </w:rPr>
              <w:t>2、系统配置</w:t>
            </w:r>
          </w:p>
          <w:p>
            <w:pPr>
              <w:rPr>
                <w:rFonts w:hint="eastAsia"/>
              </w:rPr>
            </w:pPr>
            <w:r>
              <w:rPr>
                <w:rFonts w:hint="eastAsia"/>
              </w:rPr>
              <w:t>2.1全封闭固相萃取模块     1 套</w:t>
            </w:r>
          </w:p>
          <w:p>
            <w:pPr>
              <w:rPr>
                <w:rFonts w:hint="eastAsia"/>
              </w:rPr>
            </w:pPr>
            <w:r>
              <w:rPr>
                <w:rFonts w:hint="eastAsia"/>
              </w:rPr>
              <w:t>2.2液相液质在线进样系统   1套</w:t>
            </w:r>
          </w:p>
          <w:p>
            <w:pPr>
              <w:rPr>
                <w:rFonts w:hint="eastAsia"/>
                <w:highlight w:val="none"/>
              </w:rPr>
            </w:pPr>
            <w:r>
              <w:rPr>
                <w:rFonts w:hint="eastAsia"/>
                <w:highlight w:val="none"/>
              </w:rPr>
              <w:t>2.3电脑控制软件          1套</w:t>
            </w:r>
          </w:p>
          <w:p>
            <w:pPr>
              <w:rPr>
                <w:rFonts w:hint="eastAsia"/>
              </w:rPr>
            </w:pPr>
            <w:r>
              <w:rPr>
                <w:rFonts w:hint="eastAsia"/>
              </w:rPr>
              <w:t>2.4固相萃取盘            1套</w:t>
            </w:r>
          </w:p>
          <w:p>
            <w:pPr>
              <w:rPr>
                <w:rFonts w:hint="eastAsia"/>
              </w:rPr>
            </w:pPr>
            <w:r>
              <w:rPr>
                <w:rFonts w:hint="eastAsia"/>
              </w:rPr>
              <w:t>2.5迷你免疫净化柱        200支</w:t>
            </w:r>
          </w:p>
          <w:p>
            <w:pPr>
              <w:rPr>
                <w:rFonts w:hint="eastAsia"/>
              </w:rPr>
            </w:pPr>
            <w:r>
              <w:rPr>
                <w:rFonts w:hint="eastAsia"/>
              </w:rPr>
              <w:t>2.6 3ml固相萃取柱       100支</w:t>
            </w:r>
          </w:p>
          <w:p>
            <w:pPr>
              <w:rPr>
                <w:rFonts w:hint="eastAsia"/>
              </w:rPr>
            </w:pPr>
            <w:r>
              <w:rPr>
                <w:rFonts w:hint="eastAsia"/>
              </w:rPr>
              <w:t>2.7 6ml固相萃取柱        100支</w:t>
            </w:r>
          </w:p>
          <w:p>
            <w:pPr>
              <w:rPr>
                <w:rFonts w:hint="eastAsia"/>
              </w:rPr>
            </w:pPr>
            <w:r>
              <w:rPr>
                <w:rFonts w:hint="eastAsia"/>
              </w:rPr>
              <w:t>3、环境条件</w:t>
            </w:r>
          </w:p>
          <w:p>
            <w:pPr>
              <w:rPr>
                <w:rFonts w:hint="eastAsia"/>
              </w:rPr>
            </w:pPr>
            <w:r>
              <w:rPr>
                <w:rFonts w:hint="eastAsia"/>
              </w:rPr>
              <w:t>3.1电源：230V，50Hz</w:t>
            </w:r>
          </w:p>
          <w:p>
            <w:pPr>
              <w:rPr>
                <w:rFonts w:hint="eastAsia"/>
              </w:rPr>
            </w:pPr>
            <w:r>
              <w:rPr>
                <w:rFonts w:hint="eastAsia"/>
              </w:rPr>
              <w:t>3.2环境温度：10℃-30℃</w:t>
            </w:r>
          </w:p>
          <w:p>
            <w:pPr>
              <w:rPr>
                <w:rFonts w:hint="eastAsia"/>
              </w:rPr>
            </w:pPr>
            <w:r>
              <w:rPr>
                <w:rFonts w:hint="eastAsia"/>
              </w:rPr>
              <w:t>4、真菌毒素系统技术要求</w:t>
            </w:r>
          </w:p>
          <w:p>
            <w:pPr>
              <w:rPr>
                <w:rFonts w:hint="eastAsia"/>
              </w:rPr>
            </w:pPr>
            <w:r>
              <w:rPr>
                <w:rFonts w:hint="eastAsia"/>
              </w:rPr>
              <w:t>4.1 真菌毒素系统样品经迷你免疫亲和小柱净化后可直接实现液相直接进样分析工作</w:t>
            </w:r>
          </w:p>
          <w:p>
            <w:pPr>
              <w:rPr>
                <w:rFonts w:hint="eastAsia"/>
              </w:rPr>
            </w:pPr>
            <w:r>
              <w:rPr>
                <w:rFonts w:hint="eastAsia"/>
              </w:rPr>
              <w:t>4.2真菌毒素净化系统适合所有基质样品</w:t>
            </w:r>
          </w:p>
          <w:p>
            <w:pPr>
              <w:rPr>
                <w:rFonts w:hint="eastAsia"/>
              </w:rPr>
            </w:pPr>
            <w:r>
              <w:rPr>
                <w:rFonts w:hint="eastAsia"/>
              </w:rPr>
              <w:t>4.3处理体积：0-1000ml，且适合大体积水样品的处理</w:t>
            </w:r>
          </w:p>
          <w:p>
            <w:pPr>
              <w:rPr>
                <w:rFonts w:hint="eastAsia"/>
              </w:rPr>
            </w:pPr>
            <w:r>
              <w:rPr>
                <w:rFonts w:hint="eastAsia"/>
              </w:rPr>
              <w:t>4.4系统压力：≤4Bar(可调）</w:t>
            </w:r>
          </w:p>
          <w:p>
            <w:pPr>
              <w:rPr>
                <w:rFonts w:hint="eastAsia"/>
              </w:rPr>
            </w:pPr>
            <w:r>
              <w:rPr>
                <w:rFonts w:hint="eastAsia"/>
              </w:rPr>
              <w:t>4.5耐压功能：过脏易堵样品导致压力报警时，系统会跳过此样品继续处理下一个样品，避免仪器不必要的停机</w:t>
            </w:r>
          </w:p>
          <w:p>
            <w:pPr>
              <w:rPr>
                <w:rFonts w:hint="eastAsia"/>
              </w:rPr>
            </w:pPr>
            <w:r>
              <w:rPr>
                <w:rFonts w:hint="eastAsia"/>
              </w:rPr>
              <w:t>4.6系统输送泵流速：&gt;120ml/min（可调）</w:t>
            </w:r>
          </w:p>
          <w:p>
            <w:pPr>
              <w:rPr>
                <w:rFonts w:hint="eastAsia"/>
              </w:rPr>
            </w:pPr>
            <w:r>
              <w:rPr>
                <w:rFonts w:hint="eastAsia"/>
              </w:rPr>
              <w:t>4.7系统软件：全自动将不同的方法连接运行，每个样品可以采用不同方法。图形化设计，可编辑样品分析序列，编辑方法，数据分析，生成报告</w:t>
            </w:r>
          </w:p>
          <w:p>
            <w:pPr>
              <w:rPr>
                <w:rFonts w:hint="eastAsia"/>
              </w:rPr>
            </w:pPr>
            <w:r>
              <w:rPr>
                <w:rFonts w:hint="eastAsia"/>
              </w:rPr>
              <w:t>4.8报警功能：压力报警。</w:t>
            </w:r>
          </w:p>
          <w:p>
            <w:pPr>
              <w:rPr>
                <w:rFonts w:hint="eastAsia"/>
              </w:rPr>
            </w:pPr>
            <w:r>
              <w:rPr>
                <w:rFonts w:hint="eastAsia"/>
              </w:rPr>
              <w:t>4.9校正模式：机械臂无需校正，自动恢复，具备复活功能。</w:t>
            </w:r>
          </w:p>
          <w:p>
            <w:pPr>
              <w:rPr>
                <w:rFonts w:hint="eastAsia"/>
              </w:rPr>
            </w:pPr>
            <w:r>
              <w:rPr>
                <w:rFonts w:hint="eastAsia"/>
              </w:rPr>
              <w:t>4.10 SPE柱适用范围：市面上所售的1ml、3ml、6ml和15ml小柱。</w:t>
            </w:r>
          </w:p>
          <w:p>
            <w:pPr>
              <w:rPr>
                <w:rFonts w:hint="eastAsia"/>
              </w:rPr>
            </w:pPr>
            <w:r>
              <w:rPr>
                <w:rFonts w:hint="eastAsia"/>
              </w:rPr>
              <w:t>4.11SPE进样位数：≥36位,全自动在线连续工作，</w:t>
            </w:r>
            <w:r>
              <w:rPr>
                <w:rFonts w:hint="eastAsia"/>
                <w:lang w:eastAsia="zh-CN"/>
              </w:rPr>
              <w:t>只</w:t>
            </w:r>
            <w:r>
              <w:rPr>
                <w:rFonts w:hint="eastAsia"/>
              </w:rPr>
              <w:t>需增加模块即可扩增到90位。</w:t>
            </w:r>
          </w:p>
          <w:p>
            <w:pPr>
              <w:rPr>
                <w:rFonts w:hint="eastAsia"/>
              </w:rPr>
            </w:pPr>
            <w:r>
              <w:rPr>
                <w:rFonts w:hint="eastAsia"/>
              </w:rPr>
              <w:t>4.12 SPE溶剂：不少于6种</w:t>
            </w:r>
          </w:p>
          <w:p>
            <w:pPr>
              <w:rPr>
                <w:rFonts w:hint="eastAsia"/>
              </w:rPr>
            </w:pPr>
            <w:r>
              <w:rPr>
                <w:rFonts w:hint="eastAsia"/>
              </w:rPr>
              <w:t>4.13 SPE进样模式：进样针自动穿刺功能，可以做免疫亲和柱</w:t>
            </w:r>
          </w:p>
          <w:p>
            <w:pPr>
              <w:rPr>
                <w:rFonts w:hint="eastAsia"/>
              </w:rPr>
            </w:pPr>
            <w:r>
              <w:rPr>
                <w:rFonts w:hint="eastAsia"/>
              </w:rPr>
              <w:t>4.14 SPE收集：单柱收集，单柱多馏分收集，多柱单收集，多柱多馏分收集。</w:t>
            </w:r>
          </w:p>
          <w:p>
            <w:pPr>
              <w:rPr>
                <w:rFonts w:hint="eastAsia"/>
              </w:rPr>
            </w:pPr>
            <w:r>
              <w:rPr>
                <w:rFonts w:hint="eastAsia"/>
              </w:rPr>
              <w:t>4.15 SPE编辑步骤：老化，排液，上样，淋洗，干燥，洗脱等，可根据实际需要进行编辑步骤和参数</w:t>
            </w:r>
          </w:p>
          <w:p>
            <w:pPr>
              <w:rPr>
                <w:rFonts w:hint="eastAsia"/>
              </w:rPr>
            </w:pPr>
            <w:r>
              <w:rPr>
                <w:rFonts w:hint="eastAsia"/>
              </w:rPr>
              <w:t>4.16 SPE运行模式：系统采用机械手直接抓取各种尺寸的SPE柱，使用单流路处理所有样本</w:t>
            </w:r>
          </w:p>
          <w:p>
            <w:pPr>
              <w:rPr>
                <w:rFonts w:hint="eastAsia"/>
              </w:rPr>
            </w:pPr>
            <w:r>
              <w:rPr>
                <w:rFonts w:hint="eastAsia"/>
              </w:rPr>
              <w:t>4.17 真菌毒素处理方式：直接洗脱，全量进样</w:t>
            </w:r>
          </w:p>
          <w:p>
            <w:pPr>
              <w:rPr>
                <w:rFonts w:hint="eastAsia"/>
              </w:rPr>
            </w:pPr>
            <w:r>
              <w:rPr>
                <w:rFonts w:hint="eastAsia"/>
              </w:rPr>
              <w:t>4.18 真菌毒素处理效率：＞70样品/天，可连续分析不少于120个样品。</w:t>
            </w:r>
          </w:p>
          <w:p>
            <w:pPr>
              <w:rPr>
                <w:rFonts w:hint="eastAsia"/>
              </w:rPr>
            </w:pPr>
            <w:r>
              <w:rPr>
                <w:rFonts w:hint="eastAsia"/>
              </w:rPr>
              <w:t>4.19 真菌毒素检测灵敏度：PPT级检测限。</w:t>
            </w:r>
          </w:p>
          <w:p>
            <w:pPr>
              <w:rPr>
                <w:rFonts w:hint="eastAsia"/>
              </w:rPr>
            </w:pPr>
            <w:r>
              <w:rPr>
                <w:rFonts w:hint="eastAsia"/>
              </w:rPr>
              <w:t>4.20系统采用专用免疫亲和柱托架。</w:t>
            </w:r>
          </w:p>
          <w:p>
            <w:pPr>
              <w:rPr>
                <w:rFonts w:hint="eastAsia"/>
              </w:rPr>
            </w:pPr>
            <w:r>
              <w:rPr>
                <w:rFonts w:hint="eastAsia"/>
              </w:rPr>
              <w:t>4.21流路切换阀：用于转移溶剂和清洗流路，至少两个，每个六路以上，耐溶剂腐蚀。</w:t>
            </w:r>
          </w:p>
          <w:p>
            <w:pPr>
              <w:rPr>
                <w:rFonts w:hint="eastAsia" w:ascii="宋体" w:hAnsi="宋体" w:eastAsia="宋体" w:cs="宋体"/>
                <w:sz w:val="24"/>
                <w:szCs w:val="24"/>
              </w:rPr>
            </w:pPr>
            <w:r>
              <w:rPr>
                <w:rFonts w:hint="eastAsia"/>
              </w:rPr>
              <w:t>4.22全惰性软管流路：用于溶剂和样品传输，半透明，可见溶液流动状态，耐有机溶剂腐蚀，有自动清洗功能，保证样品转移和清洗流路，防止交叉污染。</w:t>
            </w:r>
          </w:p>
        </w:tc>
        <w:tc>
          <w:tcPr>
            <w:tcW w:w="700" w:type="dxa"/>
            <w:tcBorders>
              <w:tl2br w:val="nil"/>
              <w:tr2bl w:val="nil"/>
            </w:tcBorders>
            <w:vAlign w:val="center"/>
          </w:tcPr>
          <w:p>
            <w:pPr>
              <w:keepNext w:val="0"/>
              <w:keepLines w:val="0"/>
              <w:pageBreakBefore w:val="0"/>
              <w:widowControl w:val="0"/>
              <w:kinsoku/>
              <w:wordWrap/>
              <w:overflowPunct/>
              <w:topLinePunct w:val="0"/>
              <w:bidi w:val="0"/>
              <w:snapToGrid/>
              <w:spacing w:line="440" w:lineRule="exact"/>
              <w:jc w:val="center"/>
              <w:rPr>
                <w:rFonts w:hint="eastAsia" w:ascii="宋体" w:hAnsi="宋体" w:eastAsia="宋体" w:cs="宋体"/>
                <w:sz w:val="24"/>
                <w:szCs w:val="24"/>
                <w:lang w:eastAsia="zh-CN"/>
              </w:rPr>
            </w:pPr>
            <w:r>
              <w:rPr>
                <w:rFonts w:hint="eastAsia" w:ascii="宋体" w:hAnsi="宋体" w:eastAsia="宋体"/>
                <w:bCs/>
                <w:sz w:val="24"/>
                <w:szCs w:val="24"/>
                <w:lang w:eastAsia="zh-CN"/>
              </w:rPr>
              <w:t>套</w:t>
            </w:r>
          </w:p>
        </w:tc>
        <w:tc>
          <w:tcPr>
            <w:tcW w:w="662" w:type="dxa"/>
            <w:tcBorders>
              <w:tl2br w:val="nil"/>
              <w:tr2bl w:val="nil"/>
            </w:tcBorders>
            <w:vAlign w:val="center"/>
          </w:tcPr>
          <w:p>
            <w:pPr>
              <w:keepNext w:val="0"/>
              <w:keepLines w:val="0"/>
              <w:pageBreakBefore w:val="0"/>
              <w:widowControl w:val="0"/>
              <w:kinsoku/>
              <w:wordWrap/>
              <w:overflowPunct/>
              <w:topLinePunct w:val="0"/>
              <w:bidi w:val="0"/>
              <w:snapToGrid/>
              <w:spacing w:line="440" w:lineRule="exact"/>
              <w:jc w:val="center"/>
              <w:rPr>
                <w:rFonts w:hint="eastAsia" w:ascii="宋体" w:hAnsi="宋体" w:eastAsia="宋体" w:cs="宋体"/>
                <w:sz w:val="24"/>
                <w:szCs w:val="24"/>
              </w:rPr>
            </w:pPr>
            <w:r>
              <w:rPr>
                <w:rFonts w:hint="eastAsia" w:ascii="宋体" w:hAnsi="宋体"/>
                <w:bCs/>
                <w:sz w:val="24"/>
                <w:szCs w:val="24"/>
              </w:rPr>
              <w:t>1</w:t>
            </w:r>
          </w:p>
        </w:tc>
        <w:tc>
          <w:tcPr>
            <w:tcW w:w="98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545000</w:t>
            </w:r>
          </w:p>
        </w:tc>
        <w:tc>
          <w:tcPr>
            <w:tcW w:w="93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545000</w:t>
            </w:r>
          </w:p>
        </w:tc>
        <w:tc>
          <w:tcPr>
            <w:tcW w:w="12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sz w:val="24"/>
                <w:szCs w:val="24"/>
              </w:rPr>
            </w:pPr>
            <w:r>
              <w:rPr>
                <w:rFonts w:hint="eastAsia" w:asciiTheme="minorEastAsia" w:hAnsiTheme="minorEastAsia" w:eastAsiaTheme="minorEastAsia" w:cstheme="minorEastAsia"/>
                <w:b w:val="0"/>
                <w:bCs w:val="0"/>
                <w:spacing w:val="10"/>
                <w:kern w:val="0"/>
                <w:sz w:val="24"/>
              </w:rPr>
              <w:t>德国</w:t>
            </w:r>
            <w:r>
              <w:rPr>
                <w:rFonts w:hint="eastAsia" w:asciiTheme="minorEastAsia" w:hAnsiTheme="minorEastAsia" w:cstheme="minorEastAsia"/>
                <w:b w:val="0"/>
                <w:bCs w:val="0"/>
                <w:spacing w:val="10"/>
                <w:kern w:val="0"/>
                <w:sz w:val="24"/>
                <w:lang w:val="en-US" w:eastAsia="zh-CN"/>
              </w:rPr>
              <w:t>/</w:t>
            </w:r>
            <w:r>
              <w:rPr>
                <w:rFonts w:hint="eastAsia" w:asciiTheme="minorEastAsia" w:hAnsiTheme="minorEastAsia" w:eastAsiaTheme="minorEastAsia" w:cstheme="minorEastAsia"/>
                <w:b w:val="0"/>
                <w:bCs w:val="0"/>
                <w:spacing w:val="10"/>
                <w:kern w:val="0"/>
                <w:sz w:val="24"/>
              </w:rPr>
              <w:t>LCTech Gmbh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511" w:type="dxa"/>
            <w:gridSpan w:val="2"/>
            <w:tcBorders>
              <w:tl2br w:val="nil"/>
              <w:tr2bl w:val="nil"/>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13825" w:type="dxa"/>
            <w:gridSpan w:val="7"/>
            <w:tcBorders>
              <w:tl2br w:val="nil"/>
              <w:tr2bl w:val="nil"/>
            </w:tcBorders>
            <w:vAlign w:val="center"/>
          </w:tcPr>
          <w:p>
            <w:pPr>
              <w:autoSpaceDE w:val="0"/>
              <w:autoSpaceDN w:val="0"/>
              <w:adjustRightInd w:val="0"/>
              <w:spacing w:line="360" w:lineRule="auto"/>
              <w:ind w:firstLine="120" w:firstLineChars="50"/>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zh-CN"/>
              </w:rPr>
              <w:t>大写：伍拾肆万伍仟元整　　　　　　小写：</w:t>
            </w:r>
            <w:r>
              <w:rPr>
                <w:rFonts w:hint="eastAsia" w:cs="宋体" w:asciiTheme="minorEastAsia" w:hAnsiTheme="minorEastAsia"/>
                <w:sz w:val="24"/>
                <w:szCs w:val="24"/>
                <w:lang w:val="en-US" w:eastAsia="zh-CN"/>
              </w:rPr>
              <w:t>545000元</w:t>
            </w:r>
          </w:p>
        </w:tc>
      </w:tr>
    </w:tbl>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hAnsi="宋体" w:eastAsia="宋体"/>
          <w:b/>
          <w:snapToGrid w:val="0"/>
          <w:kern w:val="0"/>
          <w:sz w:val="36"/>
          <w:szCs w:val="36"/>
          <w:lang w:eastAsia="zh-CN"/>
        </w:rPr>
      </w:pPr>
      <w:bookmarkStart w:id="0" w:name="_GoBack"/>
      <w:bookmarkEnd w:id="0"/>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r>
        <w:rPr>
          <w:rFonts w:hint="eastAsia" w:hAnsi="宋体" w:eastAsia="宋体"/>
          <w:b/>
          <w:snapToGrid w:val="0"/>
          <w:kern w:val="0"/>
          <w:sz w:val="36"/>
          <w:szCs w:val="36"/>
          <w:lang w:eastAsia="zh-CN"/>
        </w:rPr>
        <w:t>（</w:t>
      </w:r>
      <w:r>
        <w:rPr>
          <w:rFonts w:hint="eastAsia" w:hAnsi="宋体" w:eastAsia="宋体"/>
          <w:b/>
          <w:snapToGrid w:val="0"/>
          <w:kern w:val="0"/>
          <w:sz w:val="36"/>
          <w:szCs w:val="36"/>
          <w:lang w:val="en-US" w:eastAsia="zh-CN"/>
        </w:rPr>
        <w:t>B包</w:t>
      </w:r>
      <w:r>
        <w:rPr>
          <w:rFonts w:hint="eastAsia" w:hAnsi="宋体" w:eastAsia="宋体"/>
          <w:b/>
          <w:snapToGrid w:val="0"/>
          <w:kern w:val="0"/>
          <w:sz w:val="36"/>
          <w:szCs w:val="36"/>
          <w:lang w:eastAsia="zh-CN"/>
        </w:rPr>
        <w:t>）</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项目编号：ZFCG-G2019032</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auto"/>
          <w:sz w:val="24"/>
          <w:szCs w:val="24"/>
        </w:rPr>
        <w:t>项目名称：实时荧光定量PCR检测系统及附属设备</w:t>
      </w:r>
      <w:r>
        <w:rPr>
          <w:rFonts w:hint="eastAsia" w:asciiTheme="minorEastAsia" w:hAnsiTheme="minorEastAsia"/>
          <w:color w:val="FF0000"/>
          <w:sz w:val="24"/>
          <w:szCs w:val="24"/>
        </w:rPr>
        <w:t xml:space="preserve">  </w:t>
      </w:r>
      <w:r>
        <w:rPr>
          <w:rFonts w:hint="eastAsia" w:asciiTheme="minorEastAsia" w:hAnsiTheme="minorEastAsia"/>
          <w:color w:val="000000"/>
          <w:sz w:val="24"/>
          <w:szCs w:val="24"/>
        </w:rPr>
        <w:t xml:space="preserve">    </w:t>
      </w:r>
    </w:p>
    <w:tbl>
      <w:tblPr>
        <w:tblStyle w:val="8"/>
        <w:tblW w:w="15285" w:type="dxa"/>
        <w:tblInd w:w="-24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57"/>
        <w:gridCol w:w="1388"/>
        <w:gridCol w:w="5070"/>
        <w:gridCol w:w="5085"/>
        <w:gridCol w:w="1050"/>
        <w:gridCol w:w="10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30" w:type="dxa"/>
            <w:tcBorders>
              <w:tl2br w:val="nil"/>
              <w:tr2bl w:val="nil"/>
            </w:tcBorders>
            <w:shd w:val="clear" w:color="auto" w:fill="F1F1F1" w:themeFill="background1" w:themeFillShade="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57" w:type="dxa"/>
            <w:tcBorders>
              <w:tl2br w:val="nil"/>
              <w:tr2bl w:val="nil"/>
            </w:tcBorders>
            <w:shd w:val="clear" w:color="auto" w:fill="F1F1F1" w:themeFill="background1" w:themeFillShade="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388" w:type="dxa"/>
            <w:tcBorders>
              <w:tl2br w:val="nil"/>
              <w:tr2bl w:val="nil"/>
            </w:tcBorders>
            <w:shd w:val="clear" w:color="auto" w:fill="F1F1F1" w:themeFill="background1" w:themeFillShade="F2"/>
            <w:vAlign w:val="center"/>
          </w:tcPr>
          <w:p>
            <w:pPr>
              <w:pStyle w:val="3"/>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品牌规格型号</w:t>
            </w:r>
          </w:p>
        </w:tc>
        <w:tc>
          <w:tcPr>
            <w:tcW w:w="5070" w:type="dxa"/>
            <w:tcBorders>
              <w:tl2br w:val="nil"/>
              <w:tr2bl w:val="nil"/>
            </w:tcBorders>
            <w:shd w:val="clear" w:color="auto" w:fill="F1F1F1" w:themeFill="background1" w:themeFillShade="F2"/>
            <w:vAlign w:val="center"/>
          </w:tcPr>
          <w:p>
            <w:pPr>
              <w:pStyle w:val="3"/>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3"/>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5085" w:type="dxa"/>
            <w:tcBorders>
              <w:tl2br w:val="nil"/>
              <w:tr2bl w:val="nil"/>
            </w:tcBorders>
            <w:shd w:val="clear" w:color="auto" w:fill="F1F1F1" w:themeFill="background1" w:themeFillShade="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3"/>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050" w:type="dxa"/>
            <w:tcBorders>
              <w:tl2br w:val="nil"/>
              <w:tr2bl w:val="nil"/>
            </w:tcBorders>
            <w:shd w:val="clear" w:color="auto" w:fill="F1F1F1" w:themeFill="background1" w:themeFillShade="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005" w:type="dxa"/>
            <w:tcBorders>
              <w:tl2br w:val="nil"/>
              <w:tr2bl w:val="nil"/>
            </w:tcBorders>
            <w:shd w:val="clear" w:color="auto" w:fill="F1F1F1" w:themeFill="background1" w:themeFillShade="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Theme="minorEastAsia" w:hAnsiTheme="minorEastAsia"/>
                <w:bCs/>
                <w:sz w:val="24"/>
                <w:szCs w:val="24"/>
              </w:rPr>
            </w:pPr>
            <w:r>
              <w:rPr>
                <w:rFonts w:hint="eastAsia" w:ascii="宋体" w:hAnsi="宋体" w:eastAsia="宋体" w:cs="宋体"/>
                <w:sz w:val="24"/>
                <w:szCs w:val="24"/>
              </w:rPr>
              <w:t>1</w:t>
            </w:r>
          </w:p>
        </w:tc>
        <w:tc>
          <w:tcPr>
            <w:tcW w:w="1057" w:type="dxa"/>
            <w:vMerge w:val="restart"/>
            <w:tcBorders>
              <w:tl2br w:val="nil"/>
              <w:tr2bl w:val="nil"/>
            </w:tcBorders>
            <w:vAlign w:val="center"/>
          </w:tcPr>
          <w:p>
            <w:pPr>
              <w:keepNext w:val="0"/>
              <w:keepLines w:val="0"/>
              <w:pageBreakBefore w:val="0"/>
              <w:widowControl w:val="0"/>
              <w:kinsoku/>
              <w:wordWrap/>
              <w:overflowPunct/>
              <w:topLinePunct w:val="0"/>
              <w:bidi w:val="0"/>
              <w:snapToGrid/>
              <w:spacing w:line="500" w:lineRule="exact"/>
              <w:jc w:val="center"/>
              <w:textAlignment w:val="auto"/>
              <w:rPr>
                <w:rFonts w:asciiTheme="minorEastAsia" w:hAnsiTheme="minorEastAsia"/>
                <w:b/>
                <w:bCs/>
                <w:sz w:val="24"/>
                <w:szCs w:val="24"/>
              </w:rPr>
            </w:pPr>
            <w:r>
              <w:rPr>
                <w:rFonts w:hint="eastAsia" w:ascii="宋体" w:hAnsi="宋体" w:cs="宋体"/>
                <w:color w:val="000000"/>
                <w:kern w:val="0"/>
                <w:sz w:val="24"/>
                <w:szCs w:val="24"/>
              </w:rPr>
              <w:t>真菌毒素前处理系统</w:t>
            </w:r>
          </w:p>
        </w:tc>
        <w:tc>
          <w:tcPr>
            <w:tcW w:w="1388" w:type="dxa"/>
            <w:vMerge w:val="restart"/>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r>
              <w:rPr>
                <w:rFonts w:hint="eastAsia" w:ascii="宋体" w:hAnsi="宋体" w:eastAsia="宋体" w:cs="宋体"/>
                <w:sz w:val="24"/>
                <w:szCs w:val="24"/>
              </w:rPr>
              <w:t>Lctech/ Freestyle</w:t>
            </w: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1、重要说明</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rPr>
              <w:t>1、重要说明</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pPr>
          </w:p>
        </w:tc>
        <w:tc>
          <w:tcPr>
            <w:tcW w:w="1057" w:type="dxa"/>
            <w:vMerge w:val="continue"/>
            <w:tcBorders>
              <w:tl2br w:val="nil"/>
              <w:tr2bl w:val="nil"/>
            </w:tcBorders>
            <w:vAlign w:val="center"/>
          </w:tcPr>
          <w:p>
            <w:pPr>
              <w:autoSpaceDE w:val="0"/>
              <w:autoSpaceDN w:val="0"/>
              <w:adjustRightInd w:val="0"/>
              <w:spacing w:line="480" w:lineRule="exact"/>
              <w:jc w:val="center"/>
            </w:pPr>
          </w:p>
        </w:tc>
        <w:tc>
          <w:tcPr>
            <w:tcW w:w="1388" w:type="dxa"/>
            <w:vMerge w:val="continue"/>
            <w:tcBorders>
              <w:tl2br w:val="nil"/>
              <w:tr2bl w:val="nil"/>
            </w:tcBorders>
          </w:tcPr>
          <w:p>
            <w:pPr>
              <w:autoSpaceDE w:val="0"/>
              <w:autoSpaceDN w:val="0"/>
              <w:adjustRightInd w:val="0"/>
              <w:spacing w:line="480" w:lineRule="exact"/>
              <w:jc w:val="cente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1.1应用于各类食品样</w:t>
            </w:r>
            <w:r>
              <w:rPr>
                <w:rFonts w:hint="eastAsia" w:ascii="宋体" w:hAnsi="宋体" w:eastAsia="宋体" w:cs="宋体"/>
                <w:bCs/>
                <w:color w:val="000000"/>
                <w:sz w:val="24"/>
                <w:szCs w:val="24"/>
              </w:rPr>
              <w:t>品、动植物样品、农作物样品等样品中真菌毒素的样品前处理及在线分析联用功能，可一次性连续在线完成样品的前处理在线液相/液质分析联用过程。</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应用于各类食品样</w:t>
            </w:r>
            <w:r>
              <w:rPr>
                <w:rFonts w:hint="eastAsia" w:ascii="宋体" w:hAnsi="宋体" w:eastAsia="宋体" w:cs="宋体"/>
                <w:bCs/>
                <w:color w:val="000000"/>
                <w:sz w:val="24"/>
                <w:szCs w:val="24"/>
              </w:rPr>
              <w:t>品、动植物样品、农作物样品等样品中真菌毒素的样品前处理及在线分析联用功能，可一次性连续在线完成样品的前处理在线液相/液质分析联用过程。</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1.2该系统</w:t>
            </w:r>
            <w:r>
              <w:rPr>
                <w:rFonts w:hint="eastAsia" w:ascii="宋体" w:hAnsi="宋体" w:eastAsia="宋体" w:cs="宋体"/>
                <w:sz w:val="24"/>
                <w:szCs w:val="24"/>
              </w:rPr>
              <w:t>能够与德国Freestyle GPC/EVA配套使用</w:t>
            </w:r>
            <w:r>
              <w:rPr>
                <w:rFonts w:hint="eastAsia" w:ascii="宋体" w:hAnsi="宋体" w:eastAsia="宋体" w:cs="宋体"/>
                <w:color w:val="000000"/>
                <w:sz w:val="24"/>
                <w:szCs w:val="24"/>
              </w:rPr>
              <w:t>，或按需要组合使用。</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该系统</w:t>
            </w:r>
            <w:r>
              <w:rPr>
                <w:rFonts w:hint="eastAsia" w:ascii="宋体" w:hAnsi="宋体" w:eastAsia="宋体" w:cs="宋体"/>
                <w:sz w:val="24"/>
                <w:szCs w:val="24"/>
              </w:rPr>
              <w:t>能够与德国Freestyle GPC/EVA配套使用</w:t>
            </w:r>
            <w:r>
              <w:rPr>
                <w:rFonts w:hint="eastAsia" w:ascii="宋体" w:hAnsi="宋体" w:eastAsia="宋体" w:cs="宋体"/>
                <w:color w:val="000000"/>
                <w:sz w:val="24"/>
                <w:szCs w:val="24"/>
              </w:rPr>
              <w:t>，或按需要组合使用</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pStyle w:val="5"/>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sz w:val="24"/>
                <w:szCs w:val="24"/>
              </w:rPr>
            </w:pPr>
            <w:r>
              <w:rPr>
                <w:rFonts w:hint="eastAsia" w:ascii="宋体" w:hAnsi="宋体" w:eastAsia="宋体" w:cs="宋体"/>
                <w:color w:val="000000"/>
                <w:sz w:val="24"/>
                <w:szCs w:val="24"/>
              </w:rPr>
              <w:t xml:space="preserve">1.3该前处理平台可与HPLC或HPLC-MS组成在线联用平台,处理后的样品直接导入分析仪器。 </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该前处理平台可与HPLC或HPLC-MS组成在线联用平台,处理后的样品直接导入分析仪器。</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pStyle w:val="10"/>
              <w:keepNext w:val="0"/>
              <w:keepLines w:val="0"/>
              <w:pageBreakBefore w:val="0"/>
              <w:numPr>
                <w:ilvl w:val="0"/>
                <w:numId w:val="0"/>
              </w:numPr>
              <w:tabs>
                <w:tab w:val="left" w:pos="1129"/>
              </w:tabs>
              <w:kinsoku/>
              <w:wordWrap/>
              <w:overflowPunct/>
              <w:topLinePunct w:val="0"/>
              <w:autoSpaceDE/>
              <w:autoSpaceDN/>
              <w:bidi w:val="0"/>
              <w:adjustRightInd/>
              <w:snapToGrid/>
              <w:spacing w:before="0" w:after="0" w:line="440" w:lineRule="exact"/>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color w:val="000000"/>
                <w:sz w:val="24"/>
                <w:szCs w:val="24"/>
              </w:rPr>
              <w:t>1.4</w:t>
            </w:r>
            <w:r>
              <w:rPr>
                <w:rFonts w:hint="eastAsia" w:ascii="宋体" w:hAnsi="宋体" w:eastAsia="宋体" w:cs="宋体"/>
                <w:sz w:val="24"/>
                <w:szCs w:val="24"/>
              </w:rPr>
              <w:t>可以组成</w:t>
            </w:r>
            <w:r>
              <w:rPr>
                <w:rFonts w:hint="eastAsia" w:ascii="宋体" w:hAnsi="宋体" w:eastAsia="宋体" w:cs="宋体"/>
                <w:color w:val="000000"/>
                <w:sz w:val="24"/>
                <w:szCs w:val="24"/>
              </w:rPr>
              <w:t>真菌毒素在线前处理及分析平台，实现无人看管，全在线做黄曲霉毒素。</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可以组成</w:t>
            </w:r>
            <w:r>
              <w:rPr>
                <w:rFonts w:hint="eastAsia" w:ascii="宋体" w:hAnsi="宋体" w:eastAsia="宋体" w:cs="宋体"/>
                <w:color w:val="000000"/>
                <w:sz w:val="24"/>
                <w:szCs w:val="24"/>
              </w:rPr>
              <w:t>真菌毒素在线前处理及分析平台，实现无人看管，全在线做黄曲霉毒素。</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2、</w:t>
            </w:r>
            <w:r>
              <w:rPr>
                <w:rFonts w:hint="eastAsia" w:ascii="宋体" w:hAnsi="宋体" w:eastAsia="宋体" w:cs="宋体"/>
                <w:b/>
                <w:bCs/>
                <w:color w:val="000000"/>
                <w:sz w:val="24"/>
                <w:szCs w:val="24"/>
              </w:rPr>
              <w:t>系统配置</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2、</w:t>
            </w:r>
            <w:r>
              <w:rPr>
                <w:rFonts w:hint="eastAsia" w:ascii="宋体" w:hAnsi="宋体" w:eastAsia="宋体" w:cs="宋体"/>
                <w:b/>
                <w:bCs/>
                <w:color w:val="000000"/>
                <w:sz w:val="24"/>
                <w:szCs w:val="24"/>
              </w:rPr>
              <w:t>系统配置</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2.1 全封闭固相萃取模块     1 套</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全封闭固相萃取模块     1 套</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2.2 液相液质在线进样系统   1套</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液相液质在线进样系统   1套</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color w:val="000000"/>
                <w:sz w:val="24"/>
                <w:szCs w:val="24"/>
                <w:highlight w:val="none"/>
              </w:rPr>
              <w:t>2.3 电脑控制软件          1套</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电脑控制软件          1套</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2.4 固相萃取盘            1套</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固相萃取盘            1套</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2.5迷你免疫净化柱        200支</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迷你免疫净化柱        200支</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2.6  3ml固相萃取柱       100支</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 xml:space="preserve">2.6 </w:t>
            </w:r>
            <w:r>
              <w:rPr>
                <w:rFonts w:hint="eastAsia" w:ascii="宋体" w:hAnsi="宋体" w:eastAsia="宋体" w:cs="宋体"/>
                <w:color w:val="000000"/>
                <w:sz w:val="24"/>
                <w:szCs w:val="24"/>
              </w:rPr>
              <w:t>3ml固相萃取柱       100支</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2.7 6ml固相萃取柱        100支</w:t>
            </w:r>
          </w:p>
        </w:tc>
        <w:tc>
          <w:tcPr>
            <w:tcW w:w="5085" w:type="dxa"/>
            <w:tcBorders>
              <w:tl2br w:val="nil"/>
              <w:tr2bl w:val="nil"/>
            </w:tcBorders>
            <w:vAlign w:val="top"/>
          </w:tcPr>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 xml:space="preserve">2.7 </w:t>
            </w:r>
            <w:r>
              <w:rPr>
                <w:rFonts w:hint="eastAsia" w:ascii="宋体" w:hAnsi="宋体" w:eastAsia="宋体" w:cs="宋体"/>
                <w:color w:val="000000"/>
                <w:sz w:val="24"/>
                <w:szCs w:val="24"/>
              </w:rPr>
              <w:t>6ml固相萃取柱        100支</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color w:val="000000"/>
                <w:sz w:val="24"/>
                <w:szCs w:val="24"/>
              </w:rPr>
              <w:t>环境条件</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color w:val="000000"/>
                <w:sz w:val="24"/>
                <w:szCs w:val="24"/>
              </w:rPr>
              <w:t>环境条件</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 xml:space="preserve">3.1电源：230V，50Hz </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Cs/>
                <w:color w:val="000000"/>
                <w:sz w:val="24"/>
                <w:szCs w:val="24"/>
                <w:lang w:val="en-US" w:eastAsia="zh-CN"/>
              </w:rPr>
              <w:t>3.1</w:t>
            </w:r>
            <w:r>
              <w:rPr>
                <w:rFonts w:hint="eastAsia" w:ascii="宋体" w:hAnsi="宋体" w:eastAsia="宋体" w:cs="宋体"/>
                <w:bCs/>
                <w:color w:val="000000"/>
                <w:sz w:val="24"/>
                <w:szCs w:val="24"/>
              </w:rPr>
              <w:t>电源：230V，50Hz</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 xml:space="preserve">3.2环境温度：10℃-30℃ </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Cs/>
                <w:color w:val="000000"/>
                <w:sz w:val="24"/>
                <w:szCs w:val="24"/>
                <w:lang w:val="en-US" w:eastAsia="zh-CN"/>
              </w:rPr>
              <w:t>3.2</w:t>
            </w:r>
            <w:r>
              <w:rPr>
                <w:rFonts w:hint="eastAsia" w:ascii="宋体" w:hAnsi="宋体" w:eastAsia="宋体" w:cs="宋体"/>
                <w:bCs/>
                <w:color w:val="000000"/>
                <w:sz w:val="24"/>
                <w:szCs w:val="24"/>
              </w:rPr>
              <w:t>环境温度：10℃-30℃</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4、真菌毒素系统技术要求</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4、真菌毒素系统技术要求</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Cs/>
                <w:color w:val="000000"/>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4.1真菌毒素系统样品经迷你免疫亲和小柱净化后可直接实现液相直接进样分析工作。</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真菌毒素系统样品经迷你免疫亲和小柱净化后可直接实现液相直接进样分析工作</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4.2真菌毒素净化系统适合所有基质样品。</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真菌毒素净化系统适合所有基质样品</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4.3处理体积：0-1000ml，且适合大体积水样品的处理。</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处理体积：0-1000ml，且适合大体积水样品的处理</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4.4系统压力：≤4Bar(可调)。</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4.4</w:t>
            </w:r>
            <w:r>
              <w:rPr>
                <w:rFonts w:hint="eastAsia" w:ascii="宋体" w:hAnsi="宋体" w:eastAsia="宋体" w:cs="宋体"/>
                <w:sz w:val="24"/>
                <w:szCs w:val="24"/>
              </w:rPr>
              <w:t>系统压力：≤4Bar(可调</w:t>
            </w:r>
            <w:r>
              <w:rPr>
                <w:rFonts w:hint="eastAsia" w:ascii="宋体" w:hAnsi="宋体" w:eastAsia="宋体" w:cs="宋体"/>
                <w:sz w:val="24"/>
                <w:szCs w:val="24"/>
                <w:lang w:eastAsia="zh-CN"/>
              </w:rPr>
              <w:t>）</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4.5耐压功能：过脏易堵样品导致压力报警时，系统会跳过此样品继续处理下一个样品，避免仪器不必要的停机。</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耐压功能：过脏易堵样品导致压力报警时，系统会跳过此样品继续处理下一个样品，避免仪器不必要的停机</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4.6系统输送泵流速：&gt;120ml/min（可调）。</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系统输送泵流速：&gt;120ml/min（可调）</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4.7系统软件：全自动将不同的方法连接运行，每个样品可以采用不同方法。图形化设计，可编辑样品分析序列，编辑方法，数据分析，生成报告。</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4.7</w:t>
            </w:r>
            <w:r>
              <w:rPr>
                <w:rFonts w:hint="eastAsia" w:ascii="宋体" w:hAnsi="宋体" w:eastAsia="宋体" w:cs="宋体"/>
                <w:color w:val="auto"/>
                <w:sz w:val="24"/>
                <w:szCs w:val="24"/>
              </w:rPr>
              <w:t>系统软件：全自动将不同的方法连接运行，每个样品可以采用不同方法。图形化设计，可编辑样品分析序列，编辑方法，数据分析，生成报告</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4.8 报警功能：压力报警。</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4.8</w:t>
            </w:r>
            <w:r>
              <w:rPr>
                <w:rFonts w:hint="eastAsia" w:ascii="宋体" w:hAnsi="宋体" w:eastAsia="宋体" w:cs="宋体"/>
                <w:color w:val="000000"/>
                <w:sz w:val="24"/>
                <w:szCs w:val="24"/>
              </w:rPr>
              <w:t>报警功能：压力报警。</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4.9 校正模式：机械臂无需校正，自动恢复，具备复活功能。</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4.9</w:t>
            </w:r>
            <w:r>
              <w:rPr>
                <w:rFonts w:hint="eastAsia" w:ascii="宋体" w:hAnsi="宋体" w:eastAsia="宋体" w:cs="宋体"/>
                <w:color w:val="000000"/>
                <w:sz w:val="24"/>
                <w:szCs w:val="24"/>
              </w:rPr>
              <w:t>校正模式：机械臂无需校正，自动恢复，具备复活功能。</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color w:val="000000"/>
                <w:sz w:val="24"/>
                <w:szCs w:val="24"/>
              </w:rPr>
              <w:t>4.10 SPE柱适用范围：市面上所售的1ml、3ml、6ml和15ml小柱。</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color w:val="000000"/>
                <w:sz w:val="24"/>
                <w:szCs w:val="24"/>
                <w:lang w:val="en-US" w:eastAsia="zh-CN"/>
              </w:rPr>
              <w:t xml:space="preserve">4.10 </w:t>
            </w:r>
            <w:r>
              <w:rPr>
                <w:rFonts w:hint="eastAsia" w:ascii="宋体" w:hAnsi="宋体" w:eastAsia="宋体" w:cs="宋体"/>
                <w:color w:val="000000"/>
                <w:sz w:val="24"/>
                <w:szCs w:val="24"/>
              </w:rPr>
              <w:t>SPE柱适用范围：市面上所售的1ml、3ml、6ml和15ml小柱。</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4.11 SPE进样位数：≥36位,全自动在线</w:t>
            </w:r>
            <w:r>
              <w:rPr>
                <w:rFonts w:hint="eastAsia" w:ascii="宋体" w:hAnsi="宋体" w:eastAsia="宋体" w:cs="宋体"/>
                <w:b w:val="0"/>
                <w:bCs/>
                <w:sz w:val="24"/>
                <w:szCs w:val="24"/>
              </w:rPr>
              <w:t>连续工作，只需增加样品盘即可扩增到90位。</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4.11</w:t>
            </w:r>
            <w:r>
              <w:rPr>
                <w:rFonts w:hint="eastAsia" w:ascii="宋体" w:hAnsi="宋体" w:eastAsia="宋体" w:cs="宋体"/>
                <w:b w:val="0"/>
                <w:bCs/>
                <w:color w:val="000000"/>
                <w:sz w:val="24"/>
                <w:szCs w:val="24"/>
              </w:rPr>
              <w:t>SPE进样位数：≥36位,全自动在线</w:t>
            </w:r>
            <w:r>
              <w:rPr>
                <w:rFonts w:hint="eastAsia" w:ascii="宋体" w:hAnsi="宋体" w:eastAsia="宋体" w:cs="宋体"/>
                <w:b w:val="0"/>
                <w:bCs/>
                <w:sz w:val="24"/>
                <w:szCs w:val="24"/>
              </w:rPr>
              <w:t>连续工作，只需增加模块即可扩增到90位。</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▲4.12 SPE溶剂：不少于3种；</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 xml:space="preserve">4.12 </w:t>
            </w:r>
            <w:r>
              <w:rPr>
                <w:rFonts w:hint="eastAsia" w:ascii="宋体" w:hAnsi="宋体" w:eastAsia="宋体" w:cs="宋体"/>
                <w:b/>
                <w:bCs w:val="0"/>
                <w:sz w:val="24"/>
                <w:szCs w:val="24"/>
              </w:rPr>
              <w:t>SPE溶剂：不少于6种</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正偏离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4.13 SPE进样模式：进样针自动穿刺功能，可以做免疫亲和柱。</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4.13 </w:t>
            </w:r>
            <w:r>
              <w:rPr>
                <w:rFonts w:hint="eastAsia" w:ascii="宋体" w:hAnsi="宋体" w:eastAsia="宋体" w:cs="宋体"/>
                <w:sz w:val="24"/>
                <w:szCs w:val="24"/>
              </w:rPr>
              <w:t>SPE进样模式：进样针自动穿刺功能，可以做免疫亲和柱</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4.14 SPE收集：单柱收集，单柱多馏分收集，多柱单收集，多柱多馏分收集。</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4.14 </w:t>
            </w:r>
            <w:r>
              <w:rPr>
                <w:rFonts w:hint="eastAsia" w:ascii="宋体" w:hAnsi="宋体" w:eastAsia="宋体" w:cs="宋体"/>
                <w:sz w:val="24"/>
                <w:szCs w:val="24"/>
              </w:rPr>
              <w:t>SPE收集：单柱收集，单柱多馏分收集，多柱单收集，多柱多馏分收集。</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4.15 SPE编辑步骤：老化，排液，上样，淋洗，干燥，洗脱等，可根据实际需要进行编辑步骤和参数。</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4.15 </w:t>
            </w:r>
            <w:r>
              <w:rPr>
                <w:rFonts w:hint="eastAsia" w:ascii="宋体" w:hAnsi="宋体" w:eastAsia="宋体" w:cs="宋体"/>
                <w:sz w:val="24"/>
                <w:szCs w:val="24"/>
              </w:rPr>
              <w:t>SPE编辑步骤：老化，排液，上样，淋洗，干燥，洗脱等，可根据实际需要进行编辑步骤和参数</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4.16 SPE运行模式：系统采用机械手直接抓取各种尺寸的SPE柱，使用单流路处理所有样本。</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4.16 </w:t>
            </w:r>
            <w:r>
              <w:rPr>
                <w:rFonts w:hint="eastAsia" w:ascii="宋体" w:hAnsi="宋体" w:eastAsia="宋体" w:cs="宋体"/>
                <w:sz w:val="24"/>
                <w:szCs w:val="24"/>
              </w:rPr>
              <w:t>SPE运行模式：系统采用机械手直接抓取各种尺寸的SPE柱，使用单流路处理所有样本</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4.17真菌毒素处理方式：直接洗脱，全量进样</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4.17 </w:t>
            </w:r>
            <w:r>
              <w:rPr>
                <w:rFonts w:hint="eastAsia" w:ascii="宋体" w:hAnsi="宋体" w:eastAsia="宋体" w:cs="宋体"/>
                <w:sz w:val="24"/>
                <w:szCs w:val="24"/>
              </w:rPr>
              <w:t>真菌毒素处理方式：直接洗脱，全量进样</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4.18 真菌毒素处理效率：＞70样品/天，可连续分析不少于100个样品。</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4.18 </w:t>
            </w:r>
            <w:r>
              <w:rPr>
                <w:rFonts w:hint="eastAsia" w:ascii="宋体" w:hAnsi="宋体" w:eastAsia="宋体" w:cs="宋体"/>
                <w:sz w:val="24"/>
                <w:szCs w:val="24"/>
              </w:rPr>
              <w:t>真菌毒素处理效率：＞70样品/天，可连续分析不少于120个样品。</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正偏离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Cs/>
                <w:sz w:val="24"/>
                <w:szCs w:val="24"/>
              </w:rPr>
              <w:t>▲</w:t>
            </w:r>
            <w:r>
              <w:rPr>
                <w:rFonts w:hint="eastAsia" w:ascii="宋体" w:hAnsi="宋体" w:eastAsia="宋体" w:cs="宋体"/>
                <w:sz w:val="24"/>
                <w:szCs w:val="24"/>
              </w:rPr>
              <w:t>4.19 真菌毒素检测灵敏度：PPT级检测限。</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4.19 </w:t>
            </w:r>
            <w:r>
              <w:rPr>
                <w:rFonts w:hint="eastAsia" w:ascii="宋体" w:hAnsi="宋体" w:eastAsia="宋体" w:cs="宋体"/>
                <w:sz w:val="24"/>
                <w:szCs w:val="24"/>
              </w:rPr>
              <w:t>真菌毒素检测灵敏度：PPT级检测限。</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4.20 系统采用专用免疫亲和柱托架。</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4.20</w:t>
            </w:r>
            <w:r>
              <w:rPr>
                <w:rFonts w:hint="eastAsia" w:ascii="宋体" w:hAnsi="宋体" w:eastAsia="宋体" w:cs="宋体"/>
                <w:sz w:val="24"/>
                <w:szCs w:val="24"/>
              </w:rPr>
              <w:t>系统采用专用免疫亲和柱托架。</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4.21 流路切换阀：用于转移溶剂和清洗流路，至少两个，每个六路以上，耐溶剂腐蚀。</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4.21</w:t>
            </w:r>
            <w:r>
              <w:rPr>
                <w:rFonts w:hint="eastAsia" w:ascii="宋体" w:hAnsi="宋体" w:eastAsia="宋体" w:cs="宋体"/>
                <w:sz w:val="24"/>
                <w:szCs w:val="24"/>
              </w:rPr>
              <w:t>流路切换阀：用于转移溶剂和清洗流路，至少两个，每个六路以上，耐溶剂腐蚀。</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630"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057" w:type="dxa"/>
            <w:vMerge w:val="continue"/>
            <w:tcBorders>
              <w:tl2br w:val="nil"/>
              <w:tr2bl w:val="nil"/>
            </w:tcBorders>
            <w:vAlign w:val="center"/>
          </w:tcPr>
          <w:p>
            <w:pPr>
              <w:autoSpaceDE w:val="0"/>
              <w:autoSpaceDN w:val="0"/>
              <w:adjustRightInd w:val="0"/>
              <w:spacing w:line="480" w:lineRule="exact"/>
              <w:jc w:val="center"/>
              <w:rPr>
                <w:rFonts w:asciiTheme="minorEastAsia" w:hAnsiTheme="minorEastAsia"/>
                <w:b/>
                <w:bCs/>
                <w:sz w:val="24"/>
                <w:szCs w:val="24"/>
              </w:rPr>
            </w:pPr>
          </w:p>
        </w:tc>
        <w:tc>
          <w:tcPr>
            <w:tcW w:w="1388" w:type="dxa"/>
            <w:vMerge w:val="continue"/>
            <w:tcBorders>
              <w:tl2br w:val="nil"/>
              <w:tr2bl w:val="nil"/>
            </w:tcBorders>
          </w:tcPr>
          <w:p>
            <w:pPr>
              <w:autoSpaceDE w:val="0"/>
              <w:autoSpaceDN w:val="0"/>
              <w:adjustRightInd w:val="0"/>
              <w:spacing w:line="480" w:lineRule="exact"/>
              <w:jc w:val="center"/>
              <w:rPr>
                <w:rFonts w:asciiTheme="minorEastAsia" w:hAnsiTheme="minorEastAsia"/>
                <w:b/>
                <w:bCs/>
                <w:sz w:val="24"/>
                <w:szCs w:val="24"/>
              </w:rPr>
            </w:pPr>
          </w:p>
        </w:tc>
        <w:tc>
          <w:tcPr>
            <w:tcW w:w="5070"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4.22 全惰性软管流路：用于溶剂和样品传输，半透明，可见溶液流动状态，耐有机溶剂腐蚀，有自动清洗功能，保证样品转移和清洗流路，防止交叉污染。</w:t>
            </w:r>
          </w:p>
        </w:tc>
        <w:tc>
          <w:tcPr>
            <w:tcW w:w="5085" w:type="dxa"/>
            <w:tcBorders>
              <w:tl2br w:val="nil"/>
              <w:tr2bl w:val="nil"/>
            </w:tcBorders>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4.22</w:t>
            </w:r>
            <w:r>
              <w:rPr>
                <w:rFonts w:hint="eastAsia" w:ascii="宋体" w:hAnsi="宋体" w:eastAsia="宋体" w:cs="宋体"/>
                <w:sz w:val="24"/>
                <w:szCs w:val="24"/>
              </w:rPr>
              <w:t>全惰性软管流路：用于溶剂和样品传输，半透明，可见溶液流动状态，耐有机溶剂腐蚀，有自动清洗功能，保证样品转移和清洗流路，防止交叉污染。</w:t>
            </w:r>
          </w:p>
        </w:tc>
        <w:tc>
          <w:tcPr>
            <w:tcW w:w="1050" w:type="dxa"/>
            <w:tcBorders>
              <w:tl2br w:val="nil"/>
              <w:tr2bl w:val="nil"/>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无偏离</w:t>
            </w:r>
          </w:p>
        </w:tc>
        <w:tc>
          <w:tcPr>
            <w:tcW w:w="100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无</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A2CC6"/>
    <w:rsid w:val="179A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spacing w:before="66"/>
      <w:ind w:left="840"/>
      <w:outlineLvl w:val="2"/>
    </w:pPr>
    <w:rPr>
      <w:rFonts w:ascii="宋体" w:hAnsi="宋体" w:eastAsia="宋体" w:cs="宋体"/>
      <w:b/>
      <w:bCs/>
      <w:sz w:val="24"/>
      <w:szCs w:val="24"/>
      <w:lang w:val="zh-CN" w:eastAsia="zh-CN" w:bidi="zh-CN"/>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Indent"/>
    <w:basedOn w:val="1"/>
    <w:unhideWhenUsed/>
    <w:qFormat/>
    <w:uiPriority w:val="99"/>
    <w:pPr>
      <w:adjustRightInd w:val="0"/>
      <w:ind w:left="960"/>
      <w:jc w:val="left"/>
      <w:textAlignment w:val="baseline"/>
    </w:pPr>
    <w:rPr>
      <w:rFonts w:ascii="楷体_GB2312" w:eastAsia="楷体_GB2312"/>
      <w:kern w:val="0"/>
      <w:sz w:val="28"/>
      <w:szCs w:val="20"/>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sz w:val="24"/>
      <w:szCs w:val="24"/>
    </w:rPr>
  </w:style>
  <w:style w:type="paragraph" w:styleId="6">
    <w:name w:val="Normal (Web)"/>
    <w:basedOn w:val="1"/>
    <w:qFormat/>
    <w:uiPriority w:val="0"/>
    <w:rPr>
      <w:rFonts w:ascii="Calibri" w:hAnsi="Calibri" w:eastAsia="宋体" w:cs="Times New Roman"/>
      <w:sz w:val="24"/>
      <w:szCs w:val="24"/>
    </w:rPr>
  </w:style>
  <w:style w:type="paragraph" w:styleId="7">
    <w:name w:val="Body Text First Indent 2"/>
    <w:basedOn w:val="4"/>
    <w:qFormat/>
    <w:uiPriority w:val="0"/>
    <w:pPr>
      <w:ind w:firstLine="420" w:firstLineChars="200"/>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2019-04-11T02:46:00Z</dcterms:created>
  <dc:creator>ZD</dc:creator>
  <cp:lastModifiedBy>ZD</cp:lastModifiedBy>
  <dcterms:modified xsi:type="dcterms:W3CDTF">2019-04-11T02:56:50Z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