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长招采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eastAsia="zh-CN"/>
        </w:rPr>
        <w:t>竞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字[201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]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016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号</w:t>
      </w:r>
      <w:bookmarkStart w:id="0" w:name="_GoBack"/>
      <w:bookmarkEnd w:id="0"/>
    </w:p>
    <w:p>
      <w:pPr>
        <w:pStyle w:val="8"/>
        <w:spacing w:before="0" w:beforeAutospacing="0" w:after="0" w:afterAutospacing="0"/>
        <w:ind w:left="-210" w:leftChars="-100" w:right="-210" w:rightChars="-100" w:firstLine="663" w:firstLineChars="150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 w:bidi="ar-SA"/>
        </w:rPr>
        <w:t>2018年长效机制项目预算编制费及勘察设计费</w:t>
      </w:r>
      <w:r>
        <w:rPr>
          <w:rFonts w:hint="eastAsia" w:cs="Arial"/>
          <w:b/>
          <w:bCs/>
          <w:color w:val="000000"/>
          <w:kern w:val="0"/>
          <w:sz w:val="44"/>
          <w:szCs w:val="44"/>
          <w:lang w:val="en-US" w:eastAsia="zh-CN" w:bidi="ar-SA"/>
        </w:rPr>
        <w:t>B包二次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 w:bidi="ar-SA"/>
        </w:rPr>
        <w:t>评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审结果公告</w:t>
      </w:r>
    </w:p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一、项目概况</w:t>
      </w:r>
    </w:p>
    <w:p>
      <w:pPr>
        <w:pStyle w:val="8"/>
        <w:spacing w:before="0" w:beforeAutospacing="0" w:after="0" w:afterAutospacing="0"/>
        <w:ind w:left="-210" w:leftChars="-100" w:right="-210" w:rightChars="-100" w:firstLine="480" w:firstLineChars="15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2018年长效机制项目预算编制费及勘察设计费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B包二次</w:t>
      </w:r>
    </w:p>
    <w:p>
      <w:pPr>
        <w:pStyle w:val="8"/>
        <w:spacing w:before="0" w:beforeAutospacing="0" w:after="0" w:afterAutospacing="0"/>
        <w:ind w:right="-210" w:rightChars="-100" w:firstLine="320" w:firstLineChars="1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（二）项目编号：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长招采竞字[201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016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（三）招标公告发布日期：201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（四）变更公告发布日期：无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（五）开标日期：201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00分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竞争性谈判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（七）最高限价：B包：336650.49 元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（八）评标办法：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最低评标价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法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（九）资格审查方式：资格后审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</w:p>
    <w:tbl>
      <w:tblPr>
        <w:tblStyle w:val="10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/>
                <w:bCs/>
                <w:sz w:val="24"/>
              </w:rPr>
              <w:t>河南省机电设计院有限公司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/>
                <w:bCs/>
                <w:sz w:val="24"/>
              </w:rPr>
              <w:t>广东</w:t>
            </w:r>
            <w:r>
              <w:rPr>
                <w:rFonts w:hint="eastAsia" w:ascii="宋体"/>
                <w:bCs/>
                <w:sz w:val="24"/>
              </w:rPr>
              <w:t>鸿</w:t>
            </w:r>
            <w:r>
              <w:rPr>
                <w:rFonts w:ascii="宋体"/>
                <w:bCs/>
                <w:sz w:val="24"/>
              </w:rPr>
              <w:t>宇建筑与工程设计顾问有限公司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/>
                <w:bCs/>
                <w:sz w:val="24"/>
              </w:rPr>
              <w:t>河南埃德莫菲建筑设计有限公司</w:t>
            </w:r>
          </w:p>
        </w:tc>
      </w:tr>
    </w:tbl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未通过资格性审查情况：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  <w:t>河南博纳建筑设计有限公司竞争性谈判响应文件“不符合竞争性谈判文件第二章3.1响应文件格式的要求”，即“报价一览表”中未按格式要求显示“填写说明：报价为采购范围所列全部服务的报价总和，并应与服务价格明细表保持一致。”</w:t>
      </w:r>
    </w:p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评审情况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（一）符合性审查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通过资格性审查供应商均通过符合性审查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比较与评审结果</w:t>
      </w:r>
    </w:p>
    <w:tbl>
      <w:tblPr>
        <w:tblStyle w:val="10"/>
        <w:tblW w:w="8865" w:type="dxa"/>
        <w:jc w:val="center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2"/>
        <w:gridCol w:w="1753"/>
        <w:gridCol w:w="175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最终报价（元）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bCs/>
                <w:sz w:val="24"/>
              </w:rPr>
              <w:t>河南省机电设计院有限公司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305000.00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304000.00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bCs/>
                <w:sz w:val="24"/>
              </w:rPr>
              <w:t>广东</w:t>
            </w:r>
            <w:r>
              <w:rPr>
                <w:rFonts w:hint="eastAsia" w:ascii="宋体"/>
                <w:bCs/>
                <w:sz w:val="24"/>
              </w:rPr>
              <w:t>鸿</w:t>
            </w:r>
            <w:r>
              <w:rPr>
                <w:rFonts w:ascii="宋体"/>
                <w:bCs/>
                <w:sz w:val="24"/>
              </w:rPr>
              <w:t>宇建筑与工程设计顾问有限公司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328650.00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320000.00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bCs/>
                <w:sz w:val="24"/>
              </w:rPr>
              <w:t>河南埃德莫菲建筑设计有限公司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331650.00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330000.00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四、谈判小组推荐成交候选人（或采购人授权确定成交供应商）情况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成交候选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（成交供应商）名称：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河南省机电设计院有限公司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许昌市许继大道许继花园13幢14层 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13503740079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成交金额：304000.00</w:t>
      </w:r>
    </w:p>
    <w:p>
      <w:pPr>
        <w:widowControl/>
        <w:shd w:val="clear" w:color="auto" w:fill="FFFFFF"/>
        <w:spacing w:before="227" w:beforeLines="0" w:line="360" w:lineRule="auto"/>
        <w:ind w:firstLine="640" w:firstLineChars="2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、评标委员会成员名单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蔡立献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（采购人代表）张军玲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（谈判小组组长）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刘建伟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、公告期限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结果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公告自发布之日起公告期限为1个工作日。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长葛市中小学校舍安全工程领导小组办公室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地址：长葛市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葛天大道新区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5号楼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联系人及联系电话：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朱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先生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13937496990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集中采购机构：长葛市公共资源交易中心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长葛市葛天大道东段商务区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6号楼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：  0374-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6189667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before="227" w:line="360" w:lineRule="auto"/>
        <w:ind w:firstLine="3520" w:firstLineChars="11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7" w:line="360" w:lineRule="auto"/>
        <w:contextualSpacing/>
        <w:jc w:val="left"/>
      </w:pP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88D2"/>
    <w:multiLevelType w:val="singleLevel"/>
    <w:tmpl w:val="7E2F88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ABD"/>
    <w:rsid w:val="119D1876"/>
    <w:rsid w:val="15C012D2"/>
    <w:rsid w:val="19827C99"/>
    <w:rsid w:val="211D5B5B"/>
    <w:rsid w:val="22FF0EFE"/>
    <w:rsid w:val="254E0337"/>
    <w:rsid w:val="25BF6B5D"/>
    <w:rsid w:val="2F957C6F"/>
    <w:rsid w:val="391B11F3"/>
    <w:rsid w:val="39F2684B"/>
    <w:rsid w:val="3D374F22"/>
    <w:rsid w:val="4EA71193"/>
    <w:rsid w:val="550264A1"/>
    <w:rsid w:val="56FE5181"/>
    <w:rsid w:val="676F1C8A"/>
    <w:rsid w:val="6B194751"/>
    <w:rsid w:val="6C804F58"/>
    <w:rsid w:val="7024644F"/>
    <w:rsid w:val="72014DBB"/>
    <w:rsid w:val="75D65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before="0" w:after="160" w:line="240" w:lineRule="auto"/>
      <w:ind w:left="0"/>
      <w:jc w:val="both"/>
    </w:pPr>
    <w:rPr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000000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00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Char Char"/>
    <w:basedOn w:val="11"/>
    <w:link w:val="5"/>
    <w:qFormat/>
    <w:uiPriority w:val="99"/>
    <w:rPr>
      <w:sz w:val="18"/>
      <w:szCs w:val="18"/>
    </w:rPr>
  </w:style>
  <w:style w:type="character" w:customStyle="1" w:styleId="20">
    <w:name w:val="批注框文本 Char Char"/>
    <w:basedOn w:val="11"/>
    <w:link w:val="4"/>
    <w:qFormat/>
    <w:uiPriority w:val="99"/>
    <w:rPr>
      <w:sz w:val="18"/>
      <w:szCs w:val="18"/>
    </w:rPr>
  </w:style>
  <w:style w:type="character" w:customStyle="1" w:styleId="21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1"/>
    <w:qFormat/>
    <w:uiPriority w:val="0"/>
    <w:rPr>
      <w:color w:val="FF0000"/>
    </w:rPr>
  </w:style>
  <w:style w:type="character" w:customStyle="1" w:styleId="26">
    <w:name w:val="hover25"/>
    <w:basedOn w:val="11"/>
    <w:qFormat/>
    <w:uiPriority w:val="0"/>
  </w:style>
  <w:style w:type="character" w:customStyle="1" w:styleId="27">
    <w:name w:val="gb-jt"/>
    <w:basedOn w:val="11"/>
    <w:qFormat/>
    <w:uiPriority w:val="0"/>
  </w:style>
  <w:style w:type="character" w:customStyle="1" w:styleId="28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1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</Words>
  <Characters>1893</Characters>
  <Lines>15</Lines>
  <Paragraphs>4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2017-10-12T03:31:00Z</dcterms:created>
  <dc:creator>许昌市公共资源交易中心:孟莉</dc:creator>
  <cp:lastModifiedBy>长葛市公共资源交易中心:周幸</cp:lastModifiedBy>
  <cp:lastPrinted>2017-11-21T03:09:00Z</cp:lastPrinted>
  <dcterms:modified xsi:type="dcterms:W3CDTF">2019-04-15T00:26:38Z</dcterms:modified>
  <dc:title>长招采公字[2017]xx号长葛市xxxxxxxx项目评审结果公告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