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eastAsia="zh-CN"/>
        </w:rPr>
        <w:t>许昌市图书馆“2019年-2022年许昌市智慧阅读空间集中管理运营”项</w:t>
      </w:r>
      <w:r>
        <w:rPr>
          <w:rFonts w:hint="eastAsia" w:asciiTheme="majorEastAsia" w:hAnsiTheme="majorEastAsia" w:eastAsiaTheme="majorEastAsia" w:cstheme="majorEastAsia"/>
          <w:b/>
          <w:bCs/>
          <w:color w:val="000000"/>
          <w:sz w:val="44"/>
          <w:szCs w:val="44"/>
        </w:rPr>
        <w:t>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hint="eastAsia"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052</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许昌市图书馆</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ind w:firstLine="472" w:firstLineChars="19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w:t>
      </w:r>
      <w:r>
        <w:rPr>
          <w:rFonts w:hint="eastAsia" w:cs="仿宋_GB2312" w:asciiTheme="minorEastAsia" w:hAnsiTheme="minorEastAsia"/>
          <w:color w:val="000000"/>
          <w:shd w:val="clear" w:color="auto" w:fill="FFFFFF"/>
        </w:rPr>
        <w:t>称：2019年-2022年许昌市智慧阅读空间集中管理运营</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（二）项目编号：ZFCG-G2019</w:t>
      </w:r>
      <w:r>
        <w:rPr>
          <w:rFonts w:hint="eastAsia" w:cs="仿宋_GB2312" w:asciiTheme="minorEastAsia" w:hAnsiTheme="minorEastAsia"/>
          <w:color w:val="000000"/>
          <w:shd w:val="clear" w:color="auto" w:fill="FFFFFF"/>
          <w:lang w:val="en-US" w:eastAsia="zh-CN"/>
        </w:rPr>
        <w:t>052</w:t>
      </w:r>
      <w:r>
        <w:rPr>
          <w:rFonts w:hint="eastAsia" w:cs="仿宋_GB2312" w:asciiTheme="minorEastAsia" w:hAnsi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（三）采购方式：公开招标</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（四）采购需求：15座智慧阅读空间集中管理运营。</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（五）预算金额（最高限价）：361.8万元；</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（六）交付（服务、完工）时间 ：合同生效后三年</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（七）交付（服务、完工）地点：许昌市东城区、开发区、示范区</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（八）分包：不允许。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、支持</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lang w:val="zh-CN"/>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9"/>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w:t>
      </w:r>
      <w:r>
        <w:rPr>
          <w:rFonts w:hint="eastAsia" w:cs="仿宋_GB2312" w:asciiTheme="minorEastAsia" w:hAnsiTheme="minorEastAsia" w:eastAsiaTheme="minorEastAsia"/>
          <w:color w:val="000000"/>
          <w:shd w:val="clear" w:color="auto" w:fill="FFFFFF"/>
          <w:lang w:eastAsia="zh-CN"/>
        </w:rPr>
        <w:t>免费</w:t>
      </w:r>
      <w:r>
        <w:rPr>
          <w:rFonts w:hint="eastAsia" w:cs="仿宋_GB2312" w:asciiTheme="minorEastAsia" w:hAnsiTheme="minorEastAsia" w:eastAsiaTheme="minorEastAsia"/>
          <w:color w:val="000000"/>
          <w:shd w:val="clear" w:color="auto" w:fill="FFFFFF"/>
        </w:rPr>
        <w:t>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29</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三</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自本公告发布之日起</w:t>
      </w:r>
      <w:r>
        <w:rPr>
          <w:rFonts w:cs="仿宋_GB2312" w:asciiTheme="minorEastAsia" w:hAnsiTheme="minorEastAsia" w:eastAsiaTheme="minorEastAsia"/>
          <w:color w:val="000000"/>
        </w:rPr>
        <w:t>5</w:t>
      </w:r>
      <w:r>
        <w:rPr>
          <w:rFonts w:hint="eastAsia" w:cs="仿宋_GB2312" w:asciiTheme="minorEastAsia" w:hAnsiTheme="minorEastAsia" w:eastAsiaTheme="minorEastAsia"/>
          <w:color w:val="000000"/>
        </w:rPr>
        <w:t>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采购人：许昌市图书馆</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址：许昌市许都路与赵湾路交叉口</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联系人：陈猛               联系电话：0374--2961970</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代理机构：许昌市政府采购中心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址：许昌市龙兴路与竹林路交汇处公共资源大厦</w:t>
      </w:r>
    </w:p>
    <w:p>
      <w:pPr>
        <w:pStyle w:val="19"/>
        <w:widowControl/>
        <w:shd w:val="clear" w:color="auto" w:fill="FFFFFF"/>
        <w:spacing w:line="360" w:lineRule="auto"/>
        <w:ind w:firstLine="420"/>
        <w:contextualSpacing/>
        <w:jc w:val="left"/>
        <w:rPr>
          <w:rFonts w:hint="default"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杨</w:t>
      </w:r>
      <w:r>
        <w:rPr>
          <w:rFonts w:hint="eastAsia" w:cs="仿宋_GB2312" w:asciiTheme="minorEastAsia" w:hAnsiTheme="minorEastAsia" w:eastAsiaTheme="minorEastAsia"/>
          <w:color w:val="000000"/>
        </w:rPr>
        <w:t>女士              联系电话：0374-296</w:t>
      </w:r>
      <w:r>
        <w:rPr>
          <w:rFonts w:hint="eastAsia" w:cs="仿宋_GB2312" w:asciiTheme="minorEastAsia" w:hAnsiTheme="minorEastAsia" w:eastAsiaTheme="minorEastAsia"/>
          <w:color w:val="000000"/>
          <w:lang w:val="en-US" w:eastAsia="zh-CN"/>
        </w:rPr>
        <w:t>2805</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hint="eastAsia"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许昌市图书馆</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二〇一九年</w:t>
      </w:r>
      <w:r>
        <w:rPr>
          <w:rFonts w:hint="eastAsia" w:cs="仿宋_GB2312" w:asciiTheme="minorEastAsia" w:hAnsiTheme="minorEastAsia"/>
          <w:color w:val="000000"/>
          <w:sz w:val="24"/>
          <w:szCs w:val="24"/>
          <w:lang w:eastAsia="zh-CN"/>
        </w:rPr>
        <w:t>四</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八</w:t>
      </w:r>
      <w:r>
        <w:rPr>
          <w:rFonts w:hint="eastAsia" w:cs="仿宋_GB2312" w:asciiTheme="minorEastAsia" w:hAnsiTheme="minorEastAsia"/>
          <w:color w:val="000000"/>
          <w:sz w:val="24"/>
          <w:szCs w:val="24"/>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根据许昌市文化广电新闻出版局印发的许文广新{2019}21号文件关于印发《许昌市智慧阅读空间集中管理运营工作方案》的通知等文件规定许昌市东城区、经济技术开发区、城乡一体化示范区等15座智慧阅读空间集中管理运营。</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shd w:val="clear" w:color="auto" w:fill="FFFFFF"/>
        <w:spacing w:line="360" w:lineRule="atLeast"/>
        <w:ind w:firstLine="600"/>
        <w:jc w:val="center"/>
        <w:rPr>
          <w:rFonts w:hint="eastAsia" w:ascii="宋体" w:hAnsi="宋体" w:eastAsia="宋体" w:cs="宋体"/>
          <w:b/>
          <w:kern w:val="0"/>
          <w:sz w:val="24"/>
          <w:szCs w:val="24"/>
        </w:rPr>
      </w:pPr>
      <w:r>
        <w:rPr>
          <w:rFonts w:hint="eastAsia" w:ascii="宋体" w:hAnsi="宋体" w:eastAsia="宋体" w:cs="宋体"/>
          <w:b/>
          <w:spacing w:val="8"/>
          <w:kern w:val="0"/>
          <w:sz w:val="24"/>
          <w:szCs w:val="24"/>
        </w:rPr>
        <w:t>东城区（11座）</w:t>
      </w:r>
    </w:p>
    <w:tbl>
      <w:tblPr>
        <w:tblStyle w:val="22"/>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spacing w:line="408" w:lineRule="atLeast"/>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序号</w:t>
            </w:r>
          </w:p>
        </w:tc>
        <w:tc>
          <w:tcPr>
            <w:tcW w:w="2126" w:type="dxa"/>
          </w:tcPr>
          <w:p>
            <w:pPr>
              <w:widowControl/>
              <w:wordWrap w:val="0"/>
              <w:spacing w:line="408" w:lineRule="atLeast"/>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站点名称</w:t>
            </w:r>
          </w:p>
        </w:tc>
        <w:tc>
          <w:tcPr>
            <w:tcW w:w="5753" w:type="dxa"/>
          </w:tcPr>
          <w:p>
            <w:pPr>
              <w:widowControl/>
              <w:wordWrap w:val="0"/>
              <w:spacing w:line="408" w:lineRule="atLeast"/>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w:t>
            </w:r>
          </w:p>
        </w:tc>
        <w:tc>
          <w:tcPr>
            <w:tcW w:w="2126"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科技广场站</w:t>
            </w:r>
          </w:p>
        </w:tc>
        <w:tc>
          <w:tcPr>
            <w:tcW w:w="5753"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竹林路与龙兴路交叉口科技广场东南角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2</w:t>
            </w:r>
          </w:p>
        </w:tc>
        <w:tc>
          <w:tcPr>
            <w:tcW w:w="2126"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鹿鸣湖站</w:t>
            </w:r>
          </w:p>
        </w:tc>
        <w:tc>
          <w:tcPr>
            <w:tcW w:w="5753"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鹿鸣湖体育公园假山前广场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3</w:t>
            </w:r>
          </w:p>
        </w:tc>
        <w:tc>
          <w:tcPr>
            <w:tcW w:w="2126"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航空大酒店站</w:t>
            </w:r>
          </w:p>
        </w:tc>
        <w:tc>
          <w:tcPr>
            <w:tcW w:w="5753"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天宝路航空大酒店一楼大厅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w:t>
            </w:r>
          </w:p>
        </w:tc>
        <w:tc>
          <w:tcPr>
            <w:tcW w:w="2126"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中央公园站</w:t>
            </w:r>
          </w:p>
        </w:tc>
        <w:tc>
          <w:tcPr>
            <w:tcW w:w="5753"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竹林路与陈庄街交叉口向北100米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5</w:t>
            </w:r>
          </w:p>
        </w:tc>
        <w:tc>
          <w:tcPr>
            <w:tcW w:w="2126"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许都公园西站</w:t>
            </w:r>
          </w:p>
        </w:tc>
        <w:tc>
          <w:tcPr>
            <w:tcW w:w="5753"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许都公园西侧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6</w:t>
            </w:r>
          </w:p>
        </w:tc>
        <w:tc>
          <w:tcPr>
            <w:tcW w:w="2126"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许都公园东站</w:t>
            </w:r>
          </w:p>
        </w:tc>
        <w:tc>
          <w:tcPr>
            <w:tcW w:w="5753"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许都公园东侧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7</w:t>
            </w:r>
          </w:p>
        </w:tc>
        <w:tc>
          <w:tcPr>
            <w:tcW w:w="2126"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学院河游园站</w:t>
            </w:r>
          </w:p>
        </w:tc>
        <w:tc>
          <w:tcPr>
            <w:tcW w:w="5753"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德星路与八一东路交叉口东南角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8</w:t>
            </w:r>
          </w:p>
        </w:tc>
        <w:tc>
          <w:tcPr>
            <w:tcW w:w="2126"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高铁站前广场站</w:t>
            </w:r>
          </w:p>
        </w:tc>
        <w:tc>
          <w:tcPr>
            <w:tcW w:w="5753"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高铁许昌东站站前广场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9</w:t>
            </w:r>
          </w:p>
        </w:tc>
        <w:tc>
          <w:tcPr>
            <w:tcW w:w="2126"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新东街站</w:t>
            </w:r>
          </w:p>
        </w:tc>
        <w:tc>
          <w:tcPr>
            <w:tcW w:w="5753"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魏武大道与新东街交叉口西50米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10</w:t>
            </w:r>
          </w:p>
        </w:tc>
        <w:tc>
          <w:tcPr>
            <w:tcW w:w="2126"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铜雀台广场站</w:t>
            </w:r>
          </w:p>
        </w:tc>
        <w:tc>
          <w:tcPr>
            <w:tcW w:w="5753"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紫云路与新兴路交叉口南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11</w:t>
            </w:r>
          </w:p>
        </w:tc>
        <w:tc>
          <w:tcPr>
            <w:tcW w:w="2126"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魏文路站</w:t>
            </w:r>
          </w:p>
        </w:tc>
        <w:tc>
          <w:tcPr>
            <w:tcW w:w="5753" w:type="dxa"/>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前进路与魏文路交叉口北50米</w:t>
            </w:r>
          </w:p>
        </w:tc>
      </w:tr>
    </w:tbl>
    <w:p>
      <w:pPr>
        <w:widowControl/>
        <w:shd w:val="clear" w:color="auto" w:fill="FFFFFF"/>
        <w:spacing w:line="360" w:lineRule="atLeast"/>
        <w:ind w:firstLine="600"/>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经济技术开发区（2座）</w:t>
      </w:r>
    </w:p>
    <w:tbl>
      <w:tblPr>
        <w:tblStyle w:val="2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widowControl/>
              <w:spacing w:line="408" w:lineRule="atLeast"/>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序号</w:t>
            </w:r>
          </w:p>
        </w:tc>
        <w:tc>
          <w:tcPr>
            <w:tcW w:w="2126" w:type="dxa"/>
          </w:tcPr>
          <w:p>
            <w:pPr>
              <w:widowControl/>
              <w:wordWrap w:val="0"/>
              <w:spacing w:line="408" w:lineRule="atLeast"/>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站点名称</w:t>
            </w:r>
          </w:p>
        </w:tc>
        <w:tc>
          <w:tcPr>
            <w:tcW w:w="5387" w:type="dxa"/>
          </w:tcPr>
          <w:p>
            <w:pPr>
              <w:widowControl/>
              <w:wordWrap w:val="0"/>
              <w:spacing w:line="408" w:lineRule="atLeast"/>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widowControl/>
              <w:spacing w:line="3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6"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双龙湖站</w:t>
            </w:r>
          </w:p>
        </w:tc>
        <w:tc>
          <w:tcPr>
            <w:tcW w:w="5387"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双龙湖公园西南角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spacing w:line="3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26"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屯里站</w:t>
            </w:r>
          </w:p>
        </w:tc>
        <w:tc>
          <w:tcPr>
            <w:tcW w:w="5387"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阳光大道屯北社区党群服务中心对面</w:t>
            </w:r>
          </w:p>
        </w:tc>
      </w:tr>
    </w:tbl>
    <w:p>
      <w:pPr>
        <w:widowControl/>
        <w:shd w:val="clear" w:color="auto" w:fill="FFFFFF"/>
        <w:spacing w:line="360" w:lineRule="atLeast"/>
        <w:ind w:firstLine="600"/>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城乡一体化示范区（2座）</w:t>
      </w:r>
    </w:p>
    <w:tbl>
      <w:tblPr>
        <w:tblStyle w:val="2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spacing w:line="408" w:lineRule="atLeast"/>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序号</w:t>
            </w:r>
          </w:p>
        </w:tc>
        <w:tc>
          <w:tcPr>
            <w:tcW w:w="2126" w:type="dxa"/>
          </w:tcPr>
          <w:p>
            <w:pPr>
              <w:widowControl/>
              <w:wordWrap w:val="0"/>
              <w:spacing w:line="408" w:lineRule="atLeast"/>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站点名称</w:t>
            </w:r>
          </w:p>
        </w:tc>
        <w:tc>
          <w:tcPr>
            <w:tcW w:w="5387" w:type="dxa"/>
          </w:tcPr>
          <w:p>
            <w:pPr>
              <w:widowControl/>
              <w:wordWrap w:val="0"/>
              <w:spacing w:line="408" w:lineRule="atLeast"/>
              <w:jc w:val="center"/>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spacing w:line="3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6"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饮马河站</w:t>
            </w:r>
          </w:p>
        </w:tc>
        <w:tc>
          <w:tcPr>
            <w:tcW w:w="5387"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尚德路饮马河桥北100米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spacing w:line="3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26"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芙蓉广场站</w:t>
            </w:r>
          </w:p>
        </w:tc>
        <w:tc>
          <w:tcPr>
            <w:tcW w:w="5387" w:type="dxa"/>
            <w:vAlign w:val="center"/>
          </w:tcPr>
          <w:p>
            <w:pPr>
              <w:widowControl/>
              <w:wordWrap w:val="0"/>
              <w:spacing w:line="408" w:lineRule="atLeast"/>
              <w:jc w:val="center"/>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青梅路芙蓉广场西侧</w:t>
            </w:r>
          </w:p>
        </w:tc>
      </w:tr>
    </w:tbl>
    <w:p>
      <w:pPr>
        <w:widowControl/>
        <w:shd w:val="clear" w:color="auto" w:fill="FFFFFF"/>
        <w:spacing w:line="360" w:lineRule="atLeast"/>
        <w:jc w:val="left"/>
        <w:rPr>
          <w:rFonts w:hint="eastAsia" w:ascii="宋体" w:hAnsi="宋体" w:eastAsia="宋体" w:cs="宋体"/>
          <w:kern w:val="0"/>
          <w:sz w:val="24"/>
          <w:szCs w:val="24"/>
        </w:rPr>
      </w:pPr>
    </w:p>
    <w:p>
      <w:pPr>
        <w:widowControl/>
        <w:shd w:val="clear" w:color="auto" w:fill="FFFFFF"/>
        <w:spacing w:line="360" w:lineRule="atLeast"/>
        <w:ind w:firstLine="6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采购服务要求</w:t>
      </w:r>
    </w:p>
    <w:tbl>
      <w:tblPr>
        <w:tblStyle w:val="21"/>
        <w:tblW w:w="8662" w:type="dxa"/>
        <w:tblInd w:w="0" w:type="dxa"/>
        <w:tblLayout w:type="fixed"/>
        <w:tblCellMar>
          <w:top w:w="15" w:type="dxa"/>
          <w:left w:w="15" w:type="dxa"/>
          <w:bottom w:w="15" w:type="dxa"/>
          <w:right w:w="15" w:type="dxa"/>
        </w:tblCellMar>
      </w:tblPr>
      <w:tblGrid>
        <w:gridCol w:w="724"/>
        <w:gridCol w:w="1275"/>
        <w:gridCol w:w="6663"/>
      </w:tblGrid>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服务管理</w:t>
            </w:r>
          </w:p>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w:t>
            </w:r>
          </w:p>
        </w:tc>
        <w:tc>
          <w:tcPr>
            <w:tcW w:w="66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服务要求</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开放时间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根据阅读空间周边人口、环境及市辖区管理部门要求等实施免费开放。周开放时间不低于</w:t>
            </w:r>
            <w:r>
              <w:rPr>
                <w:rFonts w:hint="eastAsia" w:ascii="宋体" w:hAnsi="宋体" w:eastAsia="宋体" w:cs="宋体"/>
                <w:sz w:val="24"/>
                <w:szCs w:val="24"/>
              </w:rPr>
              <w:t>119</w:t>
            </w:r>
            <w:r>
              <w:rPr>
                <w:rFonts w:hint="eastAsia" w:ascii="宋体" w:hAnsi="宋体" w:eastAsia="宋体" w:cs="宋体"/>
                <w:color w:val="000000"/>
                <w:sz w:val="24"/>
                <w:szCs w:val="24"/>
              </w:rPr>
              <w:t>小时。</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互联网保障及安全运行</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1、在无外部因素（除区域性停电、停网）的情况下，保障阅读空间的网络畅通。</w:t>
            </w:r>
          </w:p>
          <w:p>
            <w:pPr>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2、为保障阅读空间的网络畅通，安装专线光纤网络，带宽不低于100兆，室内免费开放无线网络。</w:t>
            </w:r>
          </w:p>
          <w:p>
            <w:pPr>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3、与市图书馆通信网络运营商无缝对接，保障空间与市图书馆业务数据传输稳定、无波动、无延迟、无中断。</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电力保障及安全运行</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1、为每座智慧阅读空间开立用电专户，及时缴纳用电费用，阅读空间内各系统设备有充足的电力供应。</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2、在无外部因素（除区域性停电）的情况下，保障电力系统正常使用。</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3、保障空调380V专用电及室内设备220V专用电。</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4、建立用电安全保障机制，定期对空间内部电路、电路保护设备进行安全巡查，及时排除用电安全隐患，建立电力系统巡查与维护日志，保障阅读空间内电力系统正常使用。</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公共安全及保障</w:t>
            </w:r>
          </w:p>
        </w:tc>
        <w:tc>
          <w:tcPr>
            <w:tcW w:w="6663" w:type="dxa"/>
            <w:tcBorders>
              <w:top w:val="single" w:color="000000" w:sz="4" w:space="0"/>
              <w:left w:val="single" w:color="000000" w:sz="4" w:space="0"/>
              <w:bottom w:val="single" w:color="000000" w:sz="4" w:space="0"/>
              <w:right w:val="single" w:color="000000" w:sz="4" w:space="0"/>
            </w:tcBorders>
            <w:vAlign w:val="center"/>
          </w:tcPr>
          <w:p>
            <w:pPr>
              <w:pStyle w:val="8"/>
              <w:rPr>
                <w:rFonts w:hint="eastAsia" w:ascii="宋体" w:hAnsi="宋体" w:eastAsia="宋体" w:cs="宋体"/>
                <w:color w:val="000000"/>
                <w:sz w:val="24"/>
                <w:szCs w:val="24"/>
              </w:rPr>
            </w:pPr>
            <w:r>
              <w:rPr>
                <w:rFonts w:hint="eastAsia" w:ascii="宋体" w:hAnsi="宋体" w:eastAsia="宋体" w:cs="宋体"/>
                <w:color w:val="000000"/>
                <w:sz w:val="24"/>
                <w:szCs w:val="24"/>
              </w:rPr>
              <w:t>1、安保及秩序管理。建立空间安全保障机制，加强后台监控、值班巡逻，妥善处理突发事件，</w:t>
            </w:r>
            <w:r>
              <w:rPr>
                <w:rFonts w:hint="eastAsia" w:ascii="宋体" w:hAnsi="宋体" w:eastAsia="宋体" w:cs="宋体"/>
                <w:color w:val="000000" w:themeColor="text1"/>
                <w:sz w:val="24"/>
                <w:szCs w:val="24"/>
              </w:rPr>
              <w:t>保障空间财产设备</w:t>
            </w:r>
            <w:r>
              <w:rPr>
                <w:rFonts w:hint="eastAsia" w:ascii="宋体" w:hAnsi="宋体" w:eastAsia="宋体" w:cs="宋体"/>
                <w:sz w:val="24"/>
                <w:szCs w:val="24"/>
              </w:rPr>
              <w:t>及维护馆内借阅秩序。</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2、文明开放，强化管理，市民进出阅读空间秩序井然，无占座、插队、吵闹喧哗现象。</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联系群众，搞好群防群治。空间内外硬件及房体遭到自然或人为破坏时，立即报备辖区政府主管部门，共同维护和巡视，现场粘贴闭馆通知和设置围挡确保安全，协助公安机关调查，协助管辖区主管领导追究破坏者责任。</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4、消防设施设备摆放位置醒目，设施配备齐全、完好无损，可随时起用；组织开展消防法规及消防知识的宣传教育，明确各空间防火责任人；消防疏散通道畅通；保证无火灾安全隐患。</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5、投标人购买每个智慧阅读空间的保险，包括房体保险、设备维护人员保险、公共安全险、财产险；保险责任为累计1年内最高赔偿限额不低于100万，每次事故赔偿最高限额不低于50万，每次事故财产损失赔偿最高限额不低于30万，每次事故每人最高赔偿限额不低于10万。</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6、在公安机关指导下开展好空间管理平安建设工作。</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7、建立有应急处理预案，妥善处理解决突发问题</w:t>
            </w:r>
            <w:r>
              <w:rPr>
                <w:rFonts w:hint="eastAsia" w:ascii="宋体" w:hAnsi="宋体" w:eastAsia="宋体" w:cs="宋体"/>
                <w:b/>
                <w:bCs/>
                <w:color w:val="000000"/>
                <w:sz w:val="24"/>
                <w:szCs w:val="24"/>
              </w:rPr>
              <w:t>。</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sz w:val="24"/>
                <w:szCs w:val="24"/>
              </w:rPr>
              <w:t>公共服务设施日常管理维护</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1、各类照明灯具，包括外部招牌灯箱、亮化灯、内部照明灯、应急灯正常运行，外观无破损。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2、玻璃房体内外各类提示语、标牌、宣传标识完整，无破损、褪色现象。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3、玻璃房体外观完好、整洁，无乱贴、乱涂、乱画现象。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4、书架、阅览桌椅、地板、天花板、等各类服务设施设备正常使用且外观无破损现象。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5、及时对空间内外公共服务设施进行维修、清洗、保障照明、各类标识标牌、空调新风系统、消防设备及供电系统、弱电网络系统等各项公共服务设施设备正常运行。</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环境卫生管理</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1、配备日常所需保洁设备及消毒用品。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2、室内垃圾日产日清，定期进行卫生消毒灭杀。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3、空间外部房体及内部保持清洁，书架、阅览桌椅、各种设备整洁无灰尘、无乱贴、乱画现象，室内无纸屑、烟头等废弃物。</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4、做好环卫、禁烟宣传工作，提高卫生清洁意识。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5、建立公共卫生安全保障机制，建立卫生保洁、禁烟、消毒及灭四害工作日志。</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智能管理系统设施设备维护管理</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1、对照《许昌市智慧阅读空间管理服务规范》要求，定期开展包括卫生检查、图书整理、设备隐患检查、治安巡查在内的自我巡查整改工作，并做好日常巡检和处理隐患的工作日志。</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每天查看馆内馆外的设施、RFID智能设备的安全及各系统设备运行情况。如空间内公共服务设施设备或智能化管理控制系统设施设备出现故障，需立刻指派技术人员或联系设备供应商进行修理，并跟踪推进维修进度，一般故障确保在 2 小时内完成，确保馆内RFID设备的正常运行；若出现重大故障、事故须闭馆维修时应立即报备辖区政府主管部门或市图书馆后，现场粘贴闭馆通知和设置围挡确保安全。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3、突发事件处理。遇到突发事情需及时电话对接处理，必要时 1 个半小时内到达现场处理，并给予读者答复。</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4、及时查看电费、手机费、SOS卡费、网络费，并及时缴纳各项费用。确保馆内不断电、手机不停机、SOS 能够正常使用、网络正常运转。</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5、维护馆内大数据监控中心的数据端口，保证数据端口的正常对接并确保馆内智能设备收集数据的准确性。</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业务管理</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1、图书管理。每天负责巡架，整理书架，及时剔除破损图书及非空间内配备的非法违禁读物、出版物。确保书架摆放图书整齐、分类正确，图书分类按照《许昌市智慧阅读空间图书排架规范》执行；</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2、接收通借通还管理系统配送的新书，在市图书馆指导与通借通还管理系统配送人员的配合下做好新书上架，旧书下架。</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3、强化图书巡架管理，及时发现、制止破坏、盗取图书现象。</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4、发现馆内书籍破损，及时进行修补，如破损程度严重无法修补则将书籍收集交至通借通还管理系统配送人员。</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5、如遇空间内书籍缺少或者还书箱已满，则需及时与市图书馆、通借通还管理系统配送人员沟通联系，确保各馆书籍充足且不超量。</w:t>
            </w:r>
          </w:p>
          <w:p>
            <w:pPr>
              <w:ind w:firstLine="480"/>
              <w:rPr>
                <w:rFonts w:hint="eastAsia" w:ascii="宋体" w:hAnsi="宋体" w:eastAsia="宋体" w:cs="宋体"/>
                <w:color w:val="000000" w:themeColor="text1"/>
                <w:sz w:val="24"/>
                <w:szCs w:val="24"/>
              </w:rPr>
            </w:pPr>
            <w:r>
              <w:rPr>
                <w:rFonts w:hint="eastAsia" w:ascii="宋体" w:hAnsi="宋体" w:eastAsia="宋体" w:cs="宋体"/>
                <w:color w:val="000000"/>
                <w:sz w:val="24"/>
                <w:szCs w:val="24"/>
              </w:rPr>
              <w:t>6、证卡管理。负责空间内办证机的日常维护与管</w:t>
            </w:r>
            <w:r>
              <w:rPr>
                <w:rFonts w:hint="eastAsia" w:ascii="宋体" w:hAnsi="宋体" w:eastAsia="宋体" w:cs="宋体"/>
                <w:color w:val="000000" w:themeColor="text1"/>
                <w:sz w:val="24"/>
                <w:szCs w:val="24"/>
              </w:rPr>
              <w:t>理，及时清缴办证押金，补充卡片，保障市民正常办证。</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7、每月初10号前将上月份空间图书借阅量、办证量及入馆人流量等业务数据进行统计汇总，统一报送至许昌市图书馆。</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读者服务</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1、读者服务。空间正常开放期间接待读者电话咨询并及时对接各单位部门，处理解决读者问题。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2、及时收集整理读者意见，回复读者留言，录制读者反馈的短视频、和读者耐心交流，提升图书馆美誉度。</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3、活动策划：根据周边读者群等信息策划开展系列主题文化活动，以活动为载体，拓宽宣传渠道，每年开展的阅读推广活动不少于30次。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4、配合市图书馆将智慧阅读空间微信公众号打造成为读者互动平台，汇聚读者平台，分享交流平台，通过线上线下的互动，推动全民阅读活动的开展。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5、制定统一管理服务标准。根据市图书馆及各区文化管理部门要求，制定标准化的服务标准，提供统一的标准化管理服务，确保各项服务功能、设施设备和阅读服务让市民满意。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6、在空间内显著位置向读者公示有关服务范围、服务内容、开放时间、服务公约、服务承诺以及读者须知、办证方法、借阅规则等信息。因故必须暂时闭馆，须提前向读者公告。如遇公共安全、网络安全等突发事件必须临时闭馆或关闭部分区域、暂停部分服务的，应及时向读者公告。</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7、做好各空间内志愿服务点管理与维护。建立长期有效的志愿者服务工作机制，负责对空间志愿者队伍的管理，扩大宣传，吸引更多的公益机构和社会人员加入维护阅读空间正常运行的志愿者队伍，把智慧阅读空间打造成志愿服务文明示范基地。</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管理维护团队</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1、日常维护管理团队。负责空间内环境卫生、业务管理、读者管理、阅读推广活动等常态化服务管理，并通过手机APP智能调节控制智慧图书馆的温度、灯光等，控制开灯、关灯、开馆、闭馆，紫外消毒灯开等。</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2、设备管理维护巡检团队。对各空间设备运行情况进行巡检，及时处理设备故障，保障空间智能设备及软硬件系统正常运行。</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后台控制及综合指挥调度团队。对15座空间进行后台管理控制，包括视频监控系统、语音广播系统、SOS呼叫系统、大数据监控系统等；24小时监测空间运行状态，及时发现问题并进行调度处理；综合协调处理其他空间运行过程中的其他工作和问题。</w:t>
            </w:r>
          </w:p>
        </w:tc>
      </w:tr>
      <w:tr>
        <w:tblPrEx>
          <w:tblLayout w:type="fixed"/>
          <w:tblCellMar>
            <w:top w:w="15" w:type="dxa"/>
            <w:left w:w="15" w:type="dxa"/>
            <w:bottom w:w="15" w:type="dxa"/>
            <w:right w:w="15"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档案及管理日志</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1、建立日常管理及设备设施运行维护档案，各项工作日志齐全。</w:t>
            </w:r>
          </w:p>
          <w:p>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2、定期统计上报各类运行数据。</w:t>
            </w:r>
          </w:p>
        </w:tc>
      </w:tr>
    </w:tbl>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三、验收标准</w:t>
      </w:r>
    </w:p>
    <w:p>
      <w:pPr>
        <w:wordWrap w:val="0"/>
        <w:topLinePunct/>
        <w:snapToGrid w:val="0"/>
        <w:spacing w:line="360" w:lineRule="auto"/>
        <w:ind w:firstLine="480" w:firstLineChars="200"/>
        <w:rPr>
          <w:rFonts w:hint="eastAsia" w:ascii="宋体" w:cs="宋体"/>
          <w:sz w:val="24"/>
          <w:szCs w:val="24"/>
          <w:lang w:val="zh-CN"/>
        </w:rPr>
      </w:pPr>
      <w:r>
        <w:rPr>
          <w:rFonts w:hint="eastAsia" w:ascii="宋体" w:cs="宋体"/>
          <w:sz w:val="24"/>
          <w:szCs w:val="24"/>
          <w:lang w:val="zh-CN"/>
        </w:rPr>
        <w:t>由各市辖区智慧阅读空间管理单位(示范区社会事务管理中心、开发区法制与社会服务局、东城区社会事务服务中心)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napToGrid w:val="0"/>
        <w:spacing w:line="360" w:lineRule="auto"/>
        <w:ind w:firstLine="480" w:firstLineChars="200"/>
        <w:rPr>
          <w:rFonts w:hint="eastAsia" w:ascii="宋体" w:cs="宋体"/>
          <w:sz w:val="24"/>
          <w:szCs w:val="24"/>
          <w:lang w:val="zh-CN"/>
        </w:rPr>
      </w:pPr>
      <w:r>
        <w:rPr>
          <w:rFonts w:hint="eastAsia" w:ascii="宋体" w:cs="宋体"/>
          <w:sz w:val="24"/>
          <w:szCs w:val="24"/>
          <w:lang w:val="zh-CN"/>
        </w:rPr>
        <w:t>1、本项目采用现场运行、测试验收方式验收。投标人完成的项目应达到的质量标准应符合国家和履约地相关安全质量标准；行业技术规范标准；强制认证相关标准。</w:t>
      </w:r>
    </w:p>
    <w:p>
      <w:pPr>
        <w:wordWrap w:val="0"/>
        <w:topLinePunct/>
        <w:snapToGrid w:val="0"/>
        <w:spacing w:line="360" w:lineRule="auto"/>
        <w:ind w:firstLine="480" w:firstLineChars="200"/>
        <w:rPr>
          <w:rFonts w:hint="eastAsia" w:ascii="宋体" w:cs="宋体"/>
          <w:sz w:val="24"/>
          <w:szCs w:val="24"/>
          <w:lang w:val="zh-CN"/>
        </w:rPr>
      </w:pPr>
      <w:r>
        <w:rPr>
          <w:rFonts w:hint="eastAsia" w:ascii="宋体" w:cs="宋体"/>
          <w:sz w:val="24"/>
          <w:szCs w:val="24"/>
          <w:lang w:val="zh-CN"/>
        </w:rPr>
        <w:t>2、符合招标文件要求和投标文件承诺。</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四、资金支付</w:t>
      </w:r>
    </w:p>
    <w:p>
      <w:pPr>
        <w:wordWrap w:val="0"/>
        <w:topLinePunct/>
        <w:snapToGrid w:val="0"/>
        <w:spacing w:line="360" w:lineRule="auto"/>
        <w:ind w:firstLine="480" w:firstLineChars="200"/>
        <w:rPr>
          <w:rFonts w:hint="eastAsia" w:ascii="宋体" w:cs="宋体"/>
          <w:sz w:val="24"/>
          <w:szCs w:val="24"/>
          <w:lang w:val="zh-CN"/>
        </w:rPr>
      </w:pPr>
      <w:r>
        <w:rPr>
          <w:rFonts w:hint="eastAsia" w:ascii="宋体" w:cs="宋体"/>
          <w:sz w:val="24"/>
          <w:szCs w:val="24"/>
          <w:lang w:val="zh-CN"/>
        </w:rPr>
        <w:t>1、支付方式：银行转账</w:t>
      </w:r>
    </w:p>
    <w:p>
      <w:pPr>
        <w:wordWrap w:val="0"/>
        <w:topLinePunct/>
        <w:snapToGrid w:val="0"/>
        <w:spacing w:line="360" w:lineRule="auto"/>
        <w:ind w:firstLine="480" w:firstLineChars="200"/>
        <w:rPr>
          <w:rFonts w:hint="eastAsia" w:ascii="宋体" w:cs="宋体"/>
          <w:sz w:val="24"/>
          <w:szCs w:val="24"/>
          <w:lang w:val="zh-CN"/>
        </w:rPr>
      </w:pPr>
      <w:r>
        <w:rPr>
          <w:rFonts w:hint="eastAsia" w:ascii="宋体" w:cs="宋体"/>
          <w:sz w:val="24"/>
          <w:szCs w:val="24"/>
          <w:lang w:val="zh-CN"/>
        </w:rPr>
        <w:t>2、支付时间及条件：1、费用由许昌市各智慧阅读空间辖区管理部门(示范区社会事务管理中心、开发区法制与社会服务局、东城区社会事务服务中心)承担，服务期限36个月。</w:t>
      </w:r>
    </w:p>
    <w:p>
      <w:pPr>
        <w:wordWrap w:val="0"/>
        <w:topLinePunct/>
        <w:snapToGrid w:val="0"/>
        <w:spacing w:line="360" w:lineRule="auto"/>
        <w:ind w:firstLine="480" w:firstLineChars="200"/>
        <w:rPr>
          <w:rFonts w:hint="eastAsia" w:ascii="宋体" w:cs="宋体"/>
          <w:sz w:val="24"/>
          <w:szCs w:val="24"/>
          <w:lang w:val="zh-CN"/>
        </w:rPr>
      </w:pPr>
      <w:r>
        <w:rPr>
          <w:rFonts w:hint="eastAsia" w:ascii="宋体" w:cs="宋体"/>
          <w:sz w:val="24"/>
          <w:szCs w:val="24"/>
          <w:lang w:val="zh-CN"/>
        </w:rPr>
        <w:t xml:space="preserve">2、每12个月为一个服务年，合同签订后每6个月由许昌市智慧阅读空间辖区管理部门向中标人支付本周期合同总金额的50%。 </w:t>
      </w:r>
      <w:bookmarkStart w:id="9" w:name="_GoBack"/>
      <w:bookmarkEnd w:id="9"/>
    </w:p>
    <w:p>
      <w:pPr>
        <w:wordWrap w:val="0"/>
        <w:topLinePunct/>
        <w:snapToGrid w:val="0"/>
        <w:spacing w:line="360" w:lineRule="auto"/>
        <w:ind w:firstLine="480" w:firstLineChars="200"/>
        <w:rPr>
          <w:rFonts w:hint="eastAsia" w:ascii="宋体" w:cs="宋体"/>
          <w:sz w:val="24"/>
          <w:szCs w:val="24"/>
          <w:lang w:val="zh-CN"/>
        </w:rPr>
      </w:pPr>
      <w:r>
        <w:rPr>
          <w:rFonts w:hint="eastAsia" w:ascii="宋体" w:cs="宋体"/>
          <w:sz w:val="24"/>
          <w:szCs w:val="24"/>
          <w:lang w:val="zh-CN"/>
        </w:rPr>
        <w:t>3、日常维修由中标人承担。</w:t>
      </w:r>
    </w:p>
    <w:p>
      <w:pPr>
        <w:adjustRightInd w:val="0"/>
        <w:snapToGrid w:val="0"/>
        <w:spacing w:line="360" w:lineRule="auto"/>
        <w:ind w:firstLine="482" w:firstLineChars="2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五、其他要求</w:t>
      </w:r>
    </w:p>
    <w:p>
      <w:pPr>
        <w:wordWrap w:val="0"/>
        <w:topLinePunct/>
        <w:snapToGrid w:val="0"/>
        <w:spacing w:line="360" w:lineRule="auto"/>
        <w:ind w:firstLine="480" w:firstLineChars="200"/>
        <w:rPr>
          <w:rFonts w:hint="eastAsia" w:ascii="宋体" w:cs="宋体"/>
          <w:sz w:val="24"/>
          <w:szCs w:val="24"/>
          <w:lang w:val="zh-CN"/>
        </w:rPr>
      </w:pPr>
      <w:r>
        <w:rPr>
          <w:rFonts w:hint="eastAsia" w:ascii="宋体" w:cs="宋体"/>
          <w:sz w:val="24"/>
          <w:szCs w:val="24"/>
          <w:lang w:val="zh-CN"/>
        </w:rPr>
        <w:t>1、中标人根据中标结果分别与各智慧阅读空间所在市辖区管理单位签订服务合同，各市辖区智慧阅读空间管理单位在合同签订后7个工作日内完成智慧阅读空间交接手续，并开展管理运营服务。</w:t>
      </w:r>
    </w:p>
    <w:p>
      <w:pPr>
        <w:wordWrap w:val="0"/>
        <w:topLinePunct/>
        <w:snapToGrid w:val="0"/>
        <w:spacing w:line="360" w:lineRule="auto"/>
        <w:ind w:firstLine="480" w:firstLineChars="200"/>
        <w:rPr>
          <w:rFonts w:hint="eastAsia" w:ascii="宋体" w:cs="宋体"/>
          <w:sz w:val="24"/>
          <w:szCs w:val="24"/>
          <w:lang w:val="zh-CN"/>
        </w:rPr>
      </w:pPr>
      <w:r>
        <w:rPr>
          <w:rFonts w:hint="eastAsia" w:ascii="宋体" w:cs="宋体"/>
          <w:sz w:val="24"/>
          <w:szCs w:val="24"/>
          <w:lang w:val="zh-CN"/>
        </w:rPr>
        <w:t>2、投标人应就该项目完整投标，否则为无效投标。</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3、本项目为交钥匙工程。</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en-US" w:eastAsia="zh-CN"/>
        </w:rPr>
        <w:t>4</w:t>
      </w:r>
      <w:r>
        <w:rPr>
          <w:rFonts w:hint="eastAsia" w:ascii="宋体" w:cs="宋体"/>
          <w:sz w:val="24"/>
          <w:lang w:val="zh-CN"/>
        </w:rPr>
        <w:t>、投标文件中须有详细的实施（技术）方案，否则为无效投标。</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项目名称：2019年-2022年许昌市智慧阅读空间集中管理运营</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项目编号：ZFCG-G2019</w:t>
            </w:r>
            <w:r>
              <w:rPr>
                <w:rFonts w:hint="eastAsia" w:cs="仿宋_GB2312" w:asciiTheme="minorEastAsia" w:hAnsiTheme="minorEastAsia"/>
                <w:sz w:val="24"/>
                <w:szCs w:val="24"/>
                <w:lang w:val="en-US" w:eastAsia="zh-CN"/>
              </w:rPr>
              <w:t>052</w:t>
            </w:r>
            <w:r>
              <w:rPr>
                <w:rFonts w:hint="eastAsia" w:cs="仿宋_GB2312" w:asciiTheme="minorEastAsia" w:hAnsiTheme="minorEastAsia"/>
                <w:sz w:val="24"/>
                <w:szCs w:val="24"/>
              </w:rPr>
              <w:t>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项目内容：15座智慧阅读空间集中管理运营</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项目地址：许昌市东城区、开发区、示范区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名称：许昌市图书馆</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地址：许昌市许都路与赵湾路交叉口</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联系人：陈猛                    电话：0374--2961970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杨</w:t>
            </w:r>
            <w:r>
              <w:rPr>
                <w:rFonts w:hint="eastAsia" w:cs="仿宋_GB2312" w:asciiTheme="minorEastAsia" w:hAnsiTheme="minorEastAsia"/>
                <w:sz w:val="24"/>
                <w:szCs w:val="24"/>
              </w:rPr>
              <w:t>女士                电话：0374-296</w:t>
            </w:r>
            <w:r>
              <w:rPr>
                <w:rFonts w:hint="eastAsia" w:cs="仿宋_GB2312" w:asciiTheme="minorEastAsia" w:hAnsiTheme="minorEastAsia"/>
                <w:sz w:val="24"/>
                <w:szCs w:val="24"/>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w:t>
            </w:r>
            <w:r>
              <w:rPr>
                <w:rFonts w:hint="eastAsia" w:cs="宋体" w:asciiTheme="minorEastAsia" w:hAnsiTheme="minorEastAsia"/>
                <w:bCs/>
                <w:color w:val="FF0000"/>
                <w:sz w:val="24"/>
                <w:szCs w:val="24"/>
                <w:lang w:val="zh-CN"/>
              </w:rPr>
              <w:t>四个</w:t>
            </w:r>
            <w:r>
              <w:rPr>
                <w:rFonts w:hint="eastAsia" w:cs="宋体" w:asciiTheme="minorEastAsia" w:hAnsiTheme="minorEastAsia"/>
                <w:bCs/>
                <w:sz w:val="24"/>
                <w:szCs w:val="24"/>
                <w:lang w:val="zh-CN"/>
              </w:rPr>
              <w:t>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七、未被列入“信用中国”网站</w:t>
            </w:r>
            <w:r>
              <w:rPr>
                <w:rFonts w:cs="宋体" w:asciiTheme="minorEastAsia" w:hAnsiTheme="minorEastAsia"/>
                <w:b/>
                <w:color w:val="auto"/>
                <w:kern w:val="0"/>
                <w:sz w:val="24"/>
                <w:szCs w:val="24"/>
                <w:lang w:val="zh-CN"/>
              </w:rPr>
              <w:t>(www.creditchina.gov.cn)</w:t>
            </w:r>
            <w:r>
              <w:rPr>
                <w:rFonts w:hint="eastAsia" w:cs="宋体" w:asciiTheme="minorEastAsia" w:hAnsiTheme="minorEastAsia"/>
                <w:b/>
                <w:color w:val="auto"/>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auto"/>
                <w:kern w:val="0"/>
                <w:sz w:val="24"/>
                <w:szCs w:val="24"/>
                <w:lang w:val="zh-CN"/>
              </w:rPr>
              <w:t xml:space="preserve"> (www.ccgp.gov.cn)</w:t>
            </w:r>
            <w:r>
              <w:rPr>
                <w:rFonts w:hint="eastAsia" w:cs="宋体" w:asciiTheme="minorEastAsia" w:hAnsiTheme="minorEastAsia"/>
                <w:b/>
                <w:color w:val="auto"/>
                <w:kern w:val="0"/>
                <w:sz w:val="24"/>
                <w:szCs w:val="24"/>
                <w:lang w:val="zh-CN"/>
              </w:rPr>
              <w:t>政府采购严重违法失信行为记录名单的投标人；“国家企业信用公示系统”网站（</w:t>
            </w:r>
            <w:r>
              <w:rPr>
                <w:rFonts w:cs="宋体" w:asciiTheme="minorEastAsia" w:hAnsiTheme="minorEastAsia"/>
                <w:b/>
                <w:color w:val="auto"/>
                <w:kern w:val="0"/>
                <w:sz w:val="24"/>
                <w:szCs w:val="24"/>
                <w:lang w:val="zh-CN"/>
              </w:rPr>
              <w:t>www.gsxt.gov.cn</w:t>
            </w:r>
            <w:r>
              <w:rPr>
                <w:rFonts w:hint="eastAsia" w:cs="宋体" w:asciiTheme="minorEastAsia" w:hAnsiTheme="minorEastAsia"/>
                <w:b/>
                <w:color w:val="auto"/>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）；“国家企业信用公示系统”网站（</w:t>
            </w:r>
            <w:r>
              <w:rPr>
                <w:rFonts w:cs="宋体" w:asciiTheme="minorEastAsia" w:hAnsiTheme="minorEastAsia"/>
                <w:color w:val="auto"/>
                <w:kern w:val="0"/>
                <w:sz w:val="24"/>
                <w:szCs w:val="24"/>
              </w:rPr>
              <w:t>www.gsxt.gov.cn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361.8万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29</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许昌市公共资源交易中心三楼开标三室（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lang w:val="en-US" w:eastAsia="zh-CN"/>
              </w:rPr>
              <w:t>柒万贰仟</w:t>
            </w:r>
            <w:r>
              <w:rPr>
                <w:rFonts w:hint="eastAsia" w:cs="仿宋_GB2312" w:asciiTheme="minorEastAsia" w:hAnsiTheme="minorEastAsia"/>
                <w:sz w:val="24"/>
                <w:szCs w:val="24"/>
                <w:lang w:val="zh-CN"/>
              </w:rPr>
              <w:t xml:space="preserve">元（¥ </w:t>
            </w:r>
            <w:r>
              <w:rPr>
                <w:rFonts w:hint="eastAsia" w:cs="仿宋_GB2312" w:asciiTheme="minorEastAsia" w:hAnsiTheme="minorEastAsia"/>
                <w:sz w:val="24"/>
                <w:szCs w:val="24"/>
                <w:lang w:val="en-US" w:eastAsia="zh-CN"/>
              </w:rPr>
              <w:t>72000</w:t>
            </w:r>
            <w:r>
              <w:rPr>
                <w:rFonts w:hint="eastAsia" w:cs="仿宋_GB2312" w:asciiTheme="minorEastAsia" w:hAnsiTheme="minorEastAsia"/>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中标人在向采购单位领取中标通知书时，须向采购单位提供</w:t>
            </w:r>
            <w:r>
              <w:rPr>
                <w:rFonts w:hint="eastAsia" w:ascii="宋体" w:hAnsi="宋体"/>
                <w:color w:val="FF0000"/>
                <w:sz w:val="24"/>
                <w:szCs w:val="24"/>
              </w:rPr>
              <w:t>法人营业执照、税务登记证副本及投标条件中要求的相关证件原件和招标文件</w:t>
            </w:r>
            <w:r>
              <w:rPr>
                <w:rFonts w:hint="eastAsia" w:ascii="宋体"/>
                <w:color w:val="FF0000"/>
                <w:sz w:val="24"/>
                <w:szCs w:val="24"/>
              </w:rPr>
              <w:t xml:space="preserve"> “其它要求”中要求的相关材料（如果本招标文件要求的话），</w:t>
            </w:r>
            <w:r>
              <w:rPr>
                <w:rFonts w:hint="eastAsia" w:ascii="宋体"/>
                <w:b/>
                <w:color w:val="FF0000"/>
                <w:sz w:val="24"/>
                <w:szCs w:val="24"/>
              </w:rPr>
              <w:t>否则取消其中标资格。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 xml:space="preserve">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 xml:space="preserve">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w:t>
            </w:r>
            <w:r>
              <w:rPr>
                <w:rFonts w:hint="eastAsia" w:asciiTheme="minorEastAsia" w:hAnsiTheme="minorEastAsia"/>
                <w:bCs/>
                <w:color w:val="FF0000"/>
                <w:sz w:val="24"/>
                <w:szCs w:val="24"/>
              </w:rPr>
              <w:t>四个</w:t>
            </w:r>
            <w:r>
              <w:rPr>
                <w:rFonts w:hint="eastAsia" w:asciiTheme="minorEastAsia" w:hAnsiTheme="minorEastAsia"/>
                <w:bCs/>
                <w:sz w:val="24"/>
                <w:szCs w:val="24"/>
              </w:rPr>
              <w:t>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2</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w:t>
      </w:r>
      <w:r>
        <w:rPr>
          <w:rFonts w:hint="eastAsia" w:cs="仿宋_GB2312" w:asciiTheme="minorEastAsia" w:hAnsiTheme="minorEastAsia" w:eastAsiaTheme="minorEastAsia"/>
          <w:b/>
          <w:color w:val="7030A0"/>
          <w:szCs w:val="24"/>
          <w:lang w:val="en-US" w:eastAsia="zh-CN"/>
        </w:rPr>
        <w:t>3</w:t>
      </w:r>
      <w:r>
        <w:rPr>
          <w:rFonts w:hint="eastAsia" w:cs="仿宋_GB2312" w:asciiTheme="minorEastAsia" w:hAnsiTheme="minorEastAsia" w:eastAsiaTheme="minorEastAsia"/>
          <w:b/>
          <w:color w:val="7030A0"/>
          <w:szCs w:val="24"/>
          <w:lang w:val="zh-CN"/>
        </w:rPr>
        <w:t>）关于强制性产品认证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4</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）评标标准</w:t>
      </w:r>
    </w:p>
    <w:tbl>
      <w:tblPr>
        <w:tblStyle w:val="21"/>
        <w:tblW w:w="8732" w:type="dxa"/>
        <w:tblInd w:w="0" w:type="dxa"/>
        <w:tblLayout w:type="fixed"/>
        <w:tblCellMar>
          <w:top w:w="0" w:type="dxa"/>
          <w:left w:w="0" w:type="dxa"/>
          <w:bottom w:w="0" w:type="dxa"/>
          <w:right w:w="0" w:type="dxa"/>
        </w:tblCellMar>
      </w:tblPr>
      <w:tblGrid>
        <w:gridCol w:w="1417"/>
        <w:gridCol w:w="20"/>
        <w:gridCol w:w="20"/>
        <w:gridCol w:w="5025"/>
        <w:gridCol w:w="2250"/>
      </w:tblGrid>
      <w:tr>
        <w:tblPrEx>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分值构成</w:t>
            </w:r>
          </w:p>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(总分100分)</w:t>
            </w:r>
          </w:p>
        </w:tc>
        <w:tc>
          <w:tcPr>
            <w:tcW w:w="7315"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ind w:firstLine="1440" w:firstLineChars="6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价格分值：10分</w:t>
            </w:r>
          </w:p>
          <w:p>
            <w:pPr>
              <w:widowControl/>
              <w:spacing w:line="360" w:lineRule="atLeast"/>
              <w:ind w:firstLine="1440" w:firstLineChars="6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商务部分：45 分</w:t>
            </w:r>
          </w:p>
          <w:p>
            <w:pPr>
              <w:widowControl/>
              <w:spacing w:line="360" w:lineRule="atLeast"/>
              <w:ind w:firstLine="1440" w:firstLineChars="6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技术部分：45 分</w:t>
            </w:r>
          </w:p>
        </w:tc>
      </w:tr>
      <w:tr>
        <w:tblPrEx>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一、价格部分（满分10分）</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评分因素</w:t>
            </w:r>
          </w:p>
        </w:tc>
        <w:tc>
          <w:tcPr>
            <w:tcW w:w="504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评分标准</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分值</w:t>
            </w:r>
          </w:p>
        </w:tc>
      </w:tr>
      <w:tr>
        <w:tblPrEx>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投标报价</w:t>
            </w:r>
          </w:p>
          <w:p>
            <w:pPr>
              <w:widowControl/>
              <w:spacing w:line="9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评分标准</w:t>
            </w:r>
          </w:p>
        </w:tc>
        <w:tc>
          <w:tcPr>
            <w:tcW w:w="504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评标基准价：满足招标文件要求的有效投标报价中，最低的投标报价为评标基准价。</w:t>
            </w:r>
          </w:p>
          <w:p>
            <w:pPr>
              <w:widowControl/>
              <w:spacing w:line="9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投标报价得分=（评标基准价/投标报价）×10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10分</w:t>
            </w:r>
          </w:p>
        </w:tc>
      </w:tr>
      <w:tr>
        <w:tblPrEx>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二、商务部分（满分45分）</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评分因素</w:t>
            </w:r>
          </w:p>
        </w:tc>
        <w:tc>
          <w:tcPr>
            <w:tcW w:w="504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评分标准</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分值</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商务资质</w:t>
            </w:r>
          </w:p>
        </w:tc>
        <w:tc>
          <w:tcPr>
            <w:tcW w:w="504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1、投标人</w:t>
            </w:r>
            <w:r>
              <w:rPr>
                <w:rFonts w:hint="eastAsia" w:ascii="宋体" w:hAnsi="宋体" w:eastAsia="宋体" w:cs="宋体"/>
                <w:color w:val="000000"/>
                <w:sz w:val="24"/>
                <w:szCs w:val="24"/>
              </w:rPr>
              <w:t>提供“大数据监控中心”厂家开具的</w:t>
            </w:r>
            <w:r>
              <w:rPr>
                <w:rFonts w:hint="eastAsia" w:ascii="宋体" w:hAnsi="宋体" w:eastAsia="宋体" w:cs="宋体"/>
                <w:bCs/>
                <w:color w:val="000000"/>
                <w:sz w:val="24"/>
                <w:szCs w:val="24"/>
              </w:rPr>
              <w:t>对接证明函的得8分，不提供</w:t>
            </w:r>
            <w:r>
              <w:rPr>
                <w:rFonts w:hint="eastAsia" w:ascii="宋体" w:hAnsi="宋体" w:eastAsia="宋体" w:cs="宋体"/>
                <w:bCs/>
                <w:color w:val="000000"/>
                <w:sz w:val="24"/>
                <w:szCs w:val="24"/>
                <w:lang w:eastAsia="zh-CN"/>
              </w:rPr>
              <w:t>不得</w:t>
            </w:r>
            <w:r>
              <w:rPr>
                <w:rFonts w:hint="eastAsia" w:ascii="宋体" w:hAnsi="宋体" w:eastAsia="宋体" w:cs="宋体"/>
                <w:bCs/>
                <w:color w:val="000000"/>
                <w:sz w:val="24"/>
                <w:szCs w:val="24"/>
              </w:rPr>
              <w:t>分；</w:t>
            </w:r>
          </w:p>
          <w:p>
            <w:pPr>
              <w:spacing w:line="360" w:lineRule="auto"/>
              <w:rPr>
                <w:rFonts w:hint="eastAsia" w:ascii="宋体" w:hAnsi="宋体" w:eastAsia="宋体" w:cs="宋体"/>
                <w:color w:val="000000"/>
                <w:sz w:val="24"/>
                <w:szCs w:val="24"/>
              </w:rPr>
            </w:pPr>
            <w:r>
              <w:rPr>
                <w:rFonts w:hint="eastAsia" w:ascii="宋体" w:hAnsi="宋体" w:eastAsia="宋体" w:cs="宋体"/>
                <w:bCs/>
                <w:color w:val="000000"/>
                <w:sz w:val="24"/>
                <w:szCs w:val="24"/>
              </w:rPr>
              <w:t>2、投标人提供通过ISO9001质量管理体系认证、ISO14001环境管理体系认证、OHSAS18001职业健康安全管理体系认证，每提供一项得2分，满分6分。</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14分</w:t>
            </w:r>
          </w:p>
        </w:tc>
      </w:tr>
      <w:tr>
        <w:tblPrEx>
          <w:tblLayout w:type="fixed"/>
          <w:tblCellMar>
            <w:top w:w="0" w:type="dxa"/>
            <w:left w:w="0" w:type="dxa"/>
            <w:bottom w:w="0" w:type="dxa"/>
            <w:right w:w="0" w:type="dxa"/>
          </w:tblCellMar>
        </w:tblPrEx>
        <w:trPr>
          <w:trHeight w:val="745"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投标文件制作要求</w:t>
            </w:r>
          </w:p>
        </w:tc>
        <w:tc>
          <w:tcPr>
            <w:tcW w:w="504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（1）投标文件排版规范、图文清晰得1分，否则不得分；</w:t>
            </w:r>
          </w:p>
          <w:p>
            <w:pPr>
              <w:widowControl/>
              <w:spacing w:line="360" w:lineRule="atLeast"/>
              <w:jc w:val="left"/>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（2）所提供资料准确完整，无差错得2分，否则不得分。</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3分</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企业实力</w:t>
            </w:r>
          </w:p>
        </w:tc>
        <w:tc>
          <w:tcPr>
            <w:tcW w:w="504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投标人提供</w:t>
            </w:r>
            <w:r>
              <w:rPr>
                <w:rFonts w:hint="eastAsia" w:ascii="宋体" w:hAnsi="宋体" w:eastAsia="宋体" w:cs="宋体"/>
                <w:color w:val="000000"/>
                <w:sz w:val="24"/>
                <w:szCs w:val="24"/>
                <w:lang w:eastAsia="zh-CN"/>
              </w:rPr>
              <w:t>社会</w:t>
            </w:r>
            <w:r>
              <w:rPr>
                <w:rFonts w:hint="eastAsia" w:ascii="宋体" w:hAnsi="宋体" w:eastAsia="宋体" w:cs="宋体"/>
                <w:color w:val="000000"/>
                <w:sz w:val="24"/>
                <w:szCs w:val="24"/>
              </w:rPr>
              <w:t>信用评</w:t>
            </w:r>
            <w:r>
              <w:rPr>
                <w:rFonts w:hint="eastAsia" w:ascii="宋体" w:hAnsi="宋体" w:eastAsia="宋体" w:cs="宋体"/>
                <w:color w:val="000000"/>
                <w:sz w:val="24"/>
                <w:szCs w:val="24"/>
                <w:lang w:eastAsia="zh-CN"/>
              </w:rPr>
              <w:t>估</w:t>
            </w:r>
            <w:r>
              <w:rPr>
                <w:rFonts w:hint="eastAsia" w:ascii="宋体" w:hAnsi="宋体" w:eastAsia="宋体" w:cs="宋体"/>
                <w:color w:val="000000"/>
                <w:sz w:val="24"/>
                <w:szCs w:val="24"/>
              </w:rPr>
              <w:t>机构出具的信用评估报告，等级为AAA级得4分，AA级及以下得2分，不提供不得分</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4分</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现场演示</w:t>
            </w:r>
          </w:p>
        </w:tc>
        <w:tc>
          <w:tcPr>
            <w:tcW w:w="504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能通过手机APP演示查看智慧图书馆的监控画面、智能调节控制温度、开灯、关灯、开馆、闭馆，紫外消毒灯，空调等的功能。每演示一项得3分最多24分；</w:t>
            </w:r>
          </w:p>
          <w:p>
            <w:pPr>
              <w:rPr>
                <w:rFonts w:hint="eastAsia" w:ascii="宋体" w:hAnsi="宋体" w:eastAsia="宋体" w:cs="宋体"/>
                <w:color w:val="000000"/>
                <w:sz w:val="24"/>
                <w:szCs w:val="24"/>
              </w:rPr>
            </w:pPr>
            <w:r>
              <w:rPr>
                <w:rFonts w:hint="eastAsia" w:ascii="宋体" w:hAnsi="宋体" w:eastAsia="宋体" w:cs="宋体"/>
                <w:color w:val="000000"/>
                <w:sz w:val="24"/>
                <w:szCs w:val="24"/>
              </w:rPr>
              <w:t>注：本项目设置现场演示环节，每个有效投标人均有10分钟演示时间，请各投标人代表自带设备，自行搭建演示平台。</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24分</w:t>
            </w:r>
          </w:p>
        </w:tc>
      </w:tr>
      <w:tr>
        <w:tblPrEx>
          <w:tblLayout w:type="fixed"/>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三、技术部分（满分45分）</w:t>
            </w:r>
          </w:p>
        </w:tc>
      </w:tr>
      <w:tr>
        <w:tblPrEx>
          <w:tblLayout w:type="fixed"/>
          <w:tblCellMar>
            <w:top w:w="0" w:type="dxa"/>
            <w:left w:w="0" w:type="dxa"/>
            <w:bottom w:w="0" w:type="dxa"/>
            <w:right w:w="0" w:type="dxa"/>
          </w:tblCellMar>
        </w:tblPrEx>
        <w:trPr>
          <w:trHeight w:val="591" w:hRule="atLeast"/>
        </w:trPr>
        <w:tc>
          <w:tcPr>
            <w:tcW w:w="14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评分因素</w:t>
            </w:r>
          </w:p>
        </w:tc>
        <w:tc>
          <w:tcPr>
            <w:tcW w:w="5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评分标准</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分值</w:t>
            </w:r>
          </w:p>
        </w:tc>
      </w:tr>
      <w:tr>
        <w:tblPrEx>
          <w:tblLayout w:type="fixed"/>
          <w:tblCellMar>
            <w:top w:w="0" w:type="dxa"/>
            <w:left w:w="0" w:type="dxa"/>
            <w:bottom w:w="0" w:type="dxa"/>
            <w:right w:w="0" w:type="dxa"/>
          </w:tblCellMar>
        </w:tblPrEx>
        <w:trPr>
          <w:trHeight w:val="487" w:hRule="atLeast"/>
        </w:trPr>
        <w:tc>
          <w:tcPr>
            <w:tcW w:w="14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运营维护管理服务能力</w:t>
            </w:r>
          </w:p>
        </w:tc>
        <w:tc>
          <w:tcPr>
            <w:tcW w:w="502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维护人员具备RFID厂家维修资格证书，每提供一个维修人员资格证书得2分，满分6分；</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6分</w:t>
            </w:r>
          </w:p>
        </w:tc>
      </w:tr>
      <w:tr>
        <w:tblPrEx>
          <w:tblLayout w:type="fixed"/>
          <w:tblCellMar>
            <w:top w:w="0" w:type="dxa"/>
            <w:left w:w="0" w:type="dxa"/>
            <w:bottom w:w="0" w:type="dxa"/>
            <w:right w:w="0" w:type="dxa"/>
          </w:tblCellMar>
        </w:tblPrEx>
        <w:trPr>
          <w:trHeight w:val="745" w:hRule="atLeast"/>
        </w:trPr>
        <w:tc>
          <w:tcPr>
            <w:tcW w:w="14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技术团队情况</w:t>
            </w:r>
          </w:p>
        </w:tc>
        <w:tc>
          <w:tcPr>
            <w:tcW w:w="5025" w:type="dxa"/>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3208"/>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根据组织机构、专业人员配置、人员数量、运维车辆情况和结构配置的合理性，全面合理的得12分，有相关描述的得6分，不提供不得分；</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 12分</w:t>
            </w:r>
          </w:p>
        </w:tc>
      </w:tr>
      <w:tr>
        <w:tblPrEx>
          <w:tblLayout w:type="fixed"/>
          <w:tblCellMar>
            <w:top w:w="0" w:type="dxa"/>
            <w:left w:w="0" w:type="dxa"/>
            <w:bottom w:w="0" w:type="dxa"/>
            <w:right w:w="0" w:type="dxa"/>
          </w:tblCellMar>
        </w:tblPrEx>
        <w:trPr>
          <w:trHeight w:val="611" w:hRule="atLeast"/>
        </w:trPr>
        <w:tc>
          <w:tcPr>
            <w:tcW w:w="14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突发事件快速响应能力</w:t>
            </w:r>
          </w:p>
        </w:tc>
        <w:tc>
          <w:tcPr>
            <w:tcW w:w="5025"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6"/>
              </w:numPr>
              <w:rPr>
                <w:rFonts w:hint="eastAsia" w:ascii="宋体" w:hAnsi="宋体" w:eastAsia="宋体" w:cs="宋体"/>
                <w:color w:val="000000"/>
                <w:sz w:val="24"/>
                <w:szCs w:val="24"/>
              </w:rPr>
            </w:pPr>
            <w:r>
              <w:rPr>
                <w:rFonts w:hint="eastAsia" w:ascii="宋体" w:hAnsi="宋体" w:eastAsia="宋体" w:cs="宋体"/>
                <w:color w:val="000000"/>
                <w:sz w:val="24"/>
                <w:szCs w:val="24"/>
              </w:rPr>
              <w:t>投标人对突发事件快速响应程度快速、有效的得3分，有相关描述的得1分，不提供不得分。</w:t>
            </w:r>
          </w:p>
          <w:p>
            <w:pPr>
              <w:rPr>
                <w:rFonts w:hint="eastAsia" w:ascii="宋体" w:hAnsi="宋体" w:eastAsia="宋体" w:cs="宋体"/>
                <w:color w:val="000000"/>
                <w:sz w:val="24"/>
                <w:szCs w:val="24"/>
              </w:rPr>
            </w:pPr>
            <w:r>
              <w:rPr>
                <w:rFonts w:hint="eastAsia" w:ascii="宋体" w:hAnsi="宋体" w:eastAsia="宋体" w:cs="宋体"/>
                <w:color w:val="000000"/>
                <w:sz w:val="24"/>
                <w:szCs w:val="24"/>
              </w:rPr>
              <w:t>2、提供的合理、周全内容充实，可操作性强、措施合理可行的处理方案的得4分，有相关描述的得2分，不提供不得分。</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7分</w:t>
            </w:r>
          </w:p>
        </w:tc>
      </w:tr>
      <w:tr>
        <w:tblPrEx>
          <w:tblLayout w:type="fixed"/>
          <w:tblCellMar>
            <w:top w:w="0" w:type="dxa"/>
            <w:left w:w="0" w:type="dxa"/>
            <w:bottom w:w="0" w:type="dxa"/>
            <w:right w:w="0" w:type="dxa"/>
          </w:tblCellMar>
        </w:tblPrEx>
        <w:trPr>
          <w:trHeight w:val="611" w:hRule="atLeast"/>
        </w:trPr>
        <w:tc>
          <w:tcPr>
            <w:tcW w:w="14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服务方案</w:t>
            </w:r>
          </w:p>
        </w:tc>
        <w:tc>
          <w:tcPr>
            <w:tcW w:w="5025"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6"/>
              </w:numPr>
              <w:rPr>
                <w:rFonts w:hint="eastAsia" w:ascii="宋体" w:hAnsi="宋体" w:eastAsia="宋体" w:cs="宋体"/>
                <w:color w:val="000000"/>
                <w:sz w:val="24"/>
                <w:szCs w:val="24"/>
              </w:rPr>
            </w:pPr>
            <w:r>
              <w:rPr>
                <w:rFonts w:hint="eastAsia" w:ascii="宋体" w:hAnsi="宋体" w:eastAsia="宋体" w:cs="宋体"/>
                <w:color w:val="000000"/>
                <w:sz w:val="24"/>
                <w:szCs w:val="24"/>
              </w:rPr>
              <w:t>对本项目概况、特征、工作范围、工作标准与技术服务要求的理解并提供完整的项目计划的得10分，有相关描述的得5分，不提供不得分。</w:t>
            </w:r>
          </w:p>
          <w:p>
            <w:pPr>
              <w:numPr>
                <w:ilvl w:val="0"/>
                <w:numId w:val="6"/>
              </w:numPr>
              <w:rPr>
                <w:rFonts w:hint="eastAsia" w:ascii="宋体" w:hAnsi="宋体" w:eastAsia="宋体" w:cs="宋体"/>
                <w:color w:val="000000"/>
                <w:sz w:val="24"/>
                <w:szCs w:val="24"/>
              </w:rPr>
            </w:pPr>
            <w:r>
              <w:rPr>
                <w:rFonts w:hint="eastAsia" w:ascii="宋体" w:hAnsi="宋体" w:eastAsia="宋体" w:cs="宋体"/>
                <w:color w:val="000000"/>
                <w:sz w:val="24"/>
                <w:szCs w:val="24"/>
              </w:rPr>
              <w:t>方案编制重点突出，切合实际，有较强的课操作性得10分，有相关描述的得5分，不提供不得分。</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20分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b/>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74185203"/>
      <w:bookmarkStart w:id="3" w:name="_Toc186274126"/>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4</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hint="eastAsia"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w:t>
      </w:r>
      <w:r>
        <w:rPr>
          <w:rFonts w:hint="eastAsia" w:cs="Arial" w:asciiTheme="minorEastAsia" w:hAnsiTheme="minorEastAsia"/>
          <w:color w:val="FF0000"/>
          <w:sz w:val="24"/>
          <w:szCs w:val="24"/>
        </w:rPr>
        <w:t>四个</w:t>
      </w:r>
      <w:r>
        <w:rPr>
          <w:rFonts w:hint="eastAsia" w:cs="Arial" w:asciiTheme="minorEastAsia" w:hAnsiTheme="minorEastAsia"/>
          <w:sz w:val="24"/>
          <w:szCs w:val="24"/>
        </w:rPr>
        <w:t>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6D305D"/>
    <w:multiLevelType w:val="singleLevel"/>
    <w:tmpl w:val="3D6D305D"/>
    <w:lvl w:ilvl="0" w:tentative="0">
      <w:start w:val="1"/>
      <w:numFmt w:val="chineseCounting"/>
      <w:suff w:val="nothing"/>
      <w:lvlText w:val="%1、"/>
      <w:lvlJc w:val="left"/>
      <w:rPr>
        <w:rFonts w:hint="eastAsia"/>
      </w:r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50"/>
      <w:suff w:val="nothing"/>
      <w:lvlText w:val="%1、"/>
      <w:lvlJc w:val="left"/>
    </w:lvl>
  </w:abstractNum>
  <w:abstractNum w:abstractNumId="6">
    <w:nsid w:val="6D06BA23"/>
    <w:multiLevelType w:val="singleLevel"/>
    <w:tmpl w:val="6D06BA23"/>
    <w:lvl w:ilvl="0" w:tentative="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F624590"/>
    <w:rsid w:val="13A72FCE"/>
    <w:rsid w:val="1CAA4B22"/>
    <w:rsid w:val="242D51F7"/>
    <w:rsid w:val="2CAA4A89"/>
    <w:rsid w:val="2F4F28B4"/>
    <w:rsid w:val="33A468D7"/>
    <w:rsid w:val="36456FCC"/>
    <w:rsid w:val="37742D1C"/>
    <w:rsid w:val="3BAD1026"/>
    <w:rsid w:val="471F6483"/>
    <w:rsid w:val="525F0893"/>
    <w:rsid w:val="54DB7A6D"/>
    <w:rsid w:val="56F75E3F"/>
    <w:rsid w:val="5CD60867"/>
    <w:rsid w:val="5E86375A"/>
    <w:rsid w:val="62682359"/>
    <w:rsid w:val="628845A5"/>
    <w:rsid w:val="6C7A070F"/>
    <w:rsid w:val="76364392"/>
    <w:rsid w:val="79C64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semiHidden/>
    <w:unhideWhenUsed/>
    <w:qFormat/>
    <w:uiPriority w:val="99"/>
    <w:pPr>
      <w:jc w:val="left"/>
    </w:p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5"/>
    <w:qFormat/>
    <w:uiPriority w:val="99"/>
    <w:rPr>
      <w:sz w:val="18"/>
      <w:szCs w:val="18"/>
    </w:rPr>
  </w:style>
  <w:style w:type="character" w:customStyle="1" w:styleId="35">
    <w:name w:val="页眉 Char"/>
    <w:basedOn w:val="23"/>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10"/>
    <w:semiHidden/>
    <w:qFormat/>
    <w:uiPriority w:val="99"/>
  </w:style>
  <w:style w:type="character" w:customStyle="1" w:styleId="52">
    <w:name w:val="正文首行缩进 Char"/>
    <w:basedOn w:val="51"/>
    <w:link w:val="20"/>
    <w:qFormat/>
    <w:uiPriority w:val="0"/>
    <w:rPr>
      <w:rFonts w:ascii="宋体" w:hAnsi="Times New Roman" w:eastAsia="宋体" w:cs="Times New Roman"/>
      <w:kern w:val="0"/>
      <w:sz w:val="34"/>
      <w:szCs w:val="20"/>
    </w:rPr>
  </w:style>
  <w:style w:type="character" w:customStyle="1" w:styleId="53">
    <w:name w:val="HTML 预设格式 Char"/>
    <w:basedOn w:val="23"/>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5823</Words>
  <Characters>33192</Characters>
  <Lines>276</Lines>
  <Paragraphs>77</Paragraphs>
  <TotalTime>0</TotalTime>
  <ScaleCrop>false</ScaleCrop>
  <LinksUpToDate>false</LinksUpToDate>
  <CharactersWithSpaces>38938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许昌市公共资源交易中心:杨丹丹</cp:lastModifiedBy>
  <cp:lastPrinted>2018-07-31T02:20:00Z</cp:lastPrinted>
  <dcterms:modified xsi:type="dcterms:W3CDTF">2019-04-08T02:18:05Z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