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01" w:firstLineChars="50"/>
        <w:jc w:val="center"/>
        <w:rPr>
          <w:rFonts w:hint="default" w:ascii="仿宋" w:hAnsi="仿宋" w:eastAsia="仿宋"/>
          <w:b/>
          <w:bCs/>
          <w:sz w:val="40"/>
          <w:szCs w:val="36"/>
          <w:lang w:val="en-US" w:eastAsia="zh-CN"/>
        </w:rPr>
      </w:pPr>
      <w:r>
        <w:rPr>
          <w:rFonts w:hint="eastAsia" w:ascii="仿宋" w:hAnsi="仿宋" w:eastAsia="仿宋"/>
          <w:b/>
          <w:bCs/>
          <w:sz w:val="40"/>
          <w:szCs w:val="36"/>
          <w:lang w:val="en-US" w:eastAsia="zh-CN"/>
        </w:rPr>
        <w:t>采购编号：YZCG-G2019038</w:t>
      </w:r>
    </w:p>
    <w:p>
      <w:pPr>
        <w:spacing w:line="600" w:lineRule="exact"/>
        <w:ind w:firstLine="201" w:firstLineChars="50"/>
        <w:jc w:val="center"/>
        <w:rPr>
          <w:rFonts w:hint="eastAsia" w:ascii="黑体" w:hAnsi="黑体" w:eastAsia="黑体" w:cs="黑体"/>
          <w:b/>
          <w:bCs/>
          <w:sz w:val="48"/>
          <w:szCs w:val="48"/>
          <w:lang w:val="en-US"/>
        </w:rPr>
      </w:pPr>
      <w:r>
        <w:rPr>
          <w:rFonts w:hint="eastAsia" w:ascii="仿宋" w:hAnsi="仿宋" w:eastAsia="仿宋"/>
          <w:b/>
          <w:bCs/>
          <w:sz w:val="40"/>
          <w:szCs w:val="36"/>
          <w:lang w:val="en-US" w:eastAsia="zh-CN"/>
        </w:rPr>
        <w:t>项目名称：禹州市农村生活垃圾治理市场化运作项目评标报告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1"/>
        <w:jc w:val="left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line="240" w:lineRule="auto"/>
        <w:ind w:left="1030" w:leftChars="0" w:hanging="1030" w:hangingChars="322"/>
        <w:jc w:val="both"/>
        <w:textAlignment w:val="auto"/>
        <w:rPr>
          <w:rFonts w:hint="eastAsia" w:ascii="仿宋" w:hAnsi="仿宋" w:eastAsia="仿宋"/>
          <w:b w:val="0"/>
          <w:bCs w:val="0"/>
          <w:sz w:val="32"/>
          <w:szCs w:val="28"/>
          <w:lang w:val="en-US" w:eastAsia="zh-CN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</w:t>
      </w:r>
      <w:r>
        <w:rPr>
          <w:rFonts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项目名称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b w:val="0"/>
          <w:bCs w:val="0"/>
          <w:sz w:val="32"/>
          <w:szCs w:val="28"/>
          <w:lang w:val="en-US" w:eastAsia="zh-CN"/>
        </w:rPr>
        <w:t>禹州市农村生活垃圾治理市场化运作项目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line="240" w:lineRule="auto"/>
        <w:ind w:left="1030" w:leftChars="0" w:hanging="1030" w:hangingChars="322"/>
        <w:jc w:val="both"/>
        <w:textAlignment w:val="auto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项目编号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G2019038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招标公告发布日期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变更公告发布日期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开标日期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（六）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采购方式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最高限价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7590.12万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1030" w:leftChars="0" w:right="0" w:hanging="1030" w:hangingChars="322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评标办法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3267" w:leftChars="0" w:right="0" w:hanging="3267" w:hangingChars="1021"/>
        <w:jc w:val="left"/>
        <w:textAlignment w:val="auto"/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（九）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32"/>
          <w:szCs w:val="32"/>
          <w:u w:val="none"/>
          <w:shd w:val="clear" w:fill="FFFFFF"/>
          <w:lang w:val="en-US" w:eastAsia="zh-CN" w:bidi="ar-SA"/>
        </w:rPr>
        <w:t>资格审查方式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 w:eastAsia="zh-CN"/>
        </w:rPr>
        <w:t>开标结束后，采购人依法对投标人资格进行审查。</w:t>
      </w:r>
      <w:r>
        <w:rPr>
          <w:rFonts w:hint="eastAsia" w:ascii="仿宋" w:hAnsi="仿宋" w:eastAsia="仿宋" w:cs="仿宋"/>
          <w:strike w:val="0"/>
          <w:dstrike w:val="0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right="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（十）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招标公告刊登的媒体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：《中国政府采购网》、《河南省政府采购网》、《全国公共资源交易平台（河南省·许昌市）》发布等。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beforeAutospacing="0" w:after="0" w:afterAutospacing="0" w:line="240" w:lineRule="auto"/>
        <w:ind w:left="0" w:leftChars="0" w:right="0" w:firstLine="42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W w:w="8580" w:type="dxa"/>
        <w:tblCellSpacing w:w="0" w:type="dxa"/>
        <w:tblInd w:w="-26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2"/>
        <w:gridCol w:w="4183"/>
        <w:gridCol w:w="1883"/>
        <w:gridCol w:w="16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tblCellSpacing w:w="0" w:type="dxa"/>
        </w:trPr>
        <w:tc>
          <w:tcPr>
            <w:tcW w:w="83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4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投标人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投标报价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（万元）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服务期限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tblCellSpacing w:w="0" w:type="dxa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兴盾物业服务集团有限公司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7590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tblCellSpacing w:w="0" w:type="dxa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石家庄磊佳科技有限公司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7470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  <w:tblCellSpacing w:w="0" w:type="dxa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郑州创净环保科技有限公司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7536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4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河南森源城市环境科技服务有限公司</w:t>
            </w:r>
          </w:p>
        </w:tc>
        <w:tc>
          <w:tcPr>
            <w:tcW w:w="1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7581.5645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一年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320" w:firstLineChars="1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三、资格审查情况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兴盾物业服务集团有限公司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石家庄磊佳科技有限公司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郑州创净环保科技有限公司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河南森源城市环境科技服务有限公司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firstLine="320" w:firstLineChars="10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四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符合性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审查情况</w:t>
      </w:r>
    </w:p>
    <w:tbl>
      <w:tblPr>
        <w:tblStyle w:val="5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兴盾物业服务集团有限公司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石家庄磊佳科技有限公司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郑州创净环保科技有限公司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河南森源城市环境科技服务有限公司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未通过</w:t>
            </w:r>
            <w:r>
              <w:rPr>
                <w:rFonts w:hint="eastAsia"/>
                <w:b/>
                <w:bCs/>
                <w:sz w:val="30"/>
                <w:szCs w:val="30"/>
                <w:lang w:val="en-US" w:eastAsia="zh-CN"/>
              </w:rPr>
              <w:t>符合性</w:t>
            </w:r>
            <w:r>
              <w:rPr>
                <w:rFonts w:hint="eastAsia" w:asciiTheme="minorHAnsi" w:hAnsiTheme="minorHAnsi" w:eastAsiaTheme="minorEastAsia" w:cstheme="minorBidi"/>
                <w:b/>
                <w:bCs/>
                <w:kern w:val="0"/>
                <w:sz w:val="30"/>
                <w:szCs w:val="30"/>
                <w:lang w:val="en-US" w:eastAsia="zh-CN" w:bidi="ar"/>
              </w:rPr>
              <w:t>审查的投标人及原因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left"/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b/>
          <w:bCs/>
          <w:color w:val="000000"/>
          <w:sz w:val="32"/>
          <w:szCs w:val="32"/>
          <w:u w:val="none"/>
          <w:shd w:val="clear" w:fill="FFFFFF"/>
          <w:lang w:val="en-US" w:eastAsia="zh-CN"/>
        </w:rPr>
        <w:t>  五、综合比较与评价</w:t>
      </w:r>
    </w:p>
    <w:tbl>
      <w:tblPr>
        <w:tblStyle w:val="5"/>
        <w:tblW w:w="8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5"/>
        <w:gridCol w:w="1789"/>
        <w:gridCol w:w="1673"/>
        <w:gridCol w:w="11"/>
        <w:gridCol w:w="1689"/>
        <w:gridCol w:w="17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评审因素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报价部分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（53分）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高务部分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（27分）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85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/>
                <w:lang w:val="en-US" w:eastAsia="zh-CN"/>
              </w:rPr>
              <w:t>河南森源城市环境科技服务有限公司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19.71</w:t>
            </w:r>
          </w:p>
        </w:tc>
        <w:tc>
          <w:tcPr>
            <w:tcW w:w="1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47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92.71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19.71</w:t>
            </w:r>
          </w:p>
        </w:tc>
        <w:tc>
          <w:tcPr>
            <w:tcW w:w="1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45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89.71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19.71</w:t>
            </w:r>
          </w:p>
        </w:tc>
        <w:tc>
          <w:tcPr>
            <w:tcW w:w="1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48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93.71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19.71</w:t>
            </w:r>
          </w:p>
        </w:tc>
        <w:tc>
          <w:tcPr>
            <w:tcW w:w="1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46.5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26.8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93.01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19.71</w:t>
            </w:r>
          </w:p>
        </w:tc>
        <w:tc>
          <w:tcPr>
            <w:tcW w:w="1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52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98.71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评委6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19.71</w:t>
            </w:r>
          </w:p>
        </w:tc>
        <w:tc>
          <w:tcPr>
            <w:tcW w:w="1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53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99.71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评委7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19.71</w:t>
            </w:r>
          </w:p>
        </w:tc>
        <w:tc>
          <w:tcPr>
            <w:tcW w:w="1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49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94.71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综合名次</w:t>
            </w:r>
          </w:p>
        </w:tc>
        <w:tc>
          <w:tcPr>
            <w:tcW w:w="34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最终得分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94.61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86" w:hRule="atLeast"/>
        </w:trPr>
        <w:tc>
          <w:tcPr>
            <w:tcW w:w="850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一、投标报价政策性加分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：无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二、投标文件填报业绩名称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评标委员会审查通过的：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鄢陵县农村生活垃圾治理市场化运作项目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许昌市建安区西部、南部十个乡镇办环卫一体化项目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许昌市城乡一体化示范区购买社会化服务项目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投标文件填报管理体系认证名称：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评标委员会审查通过的：质量、环境、职业健康安全管理体系认证</w:t>
            </w:r>
          </w:p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评标委员会审查未通过的：无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ind w:left="0" w:lef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投标文件填报企业信用等级证书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评标委员会审查通过的：3A级（信用、资信、质量服务、诚信经营、重合同守信用）、国家一级清洁清洗行业资质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评标委员会审查未通过的：无</w:t>
            </w:r>
          </w:p>
          <w:tbl>
            <w:tblPr>
              <w:tblStyle w:val="5"/>
              <w:tblpPr w:leftFromText="180" w:rightFromText="180" w:vertAnchor="text" w:horzAnchor="page" w:tblpX="89" w:tblpY="-11856"/>
              <w:tblOverlap w:val="never"/>
              <w:tblW w:w="850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575"/>
              <w:gridCol w:w="1789"/>
              <w:gridCol w:w="1661"/>
              <w:gridCol w:w="1712"/>
              <w:gridCol w:w="1763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95" w:hRule="atLeast"/>
              </w:trPr>
              <w:tc>
                <w:tcPr>
                  <w:tcW w:w="8500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兴盾物业服务集团有限公司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95" w:hRule="atLeast"/>
              </w:trPr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评审因素</w:t>
                  </w:r>
                </w:p>
              </w:tc>
              <w:tc>
                <w:tcPr>
                  <w:tcW w:w="17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报价部分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（20分）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技术部分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（53分）</w:t>
                  </w:r>
                </w:p>
              </w:tc>
              <w:tc>
                <w:tcPr>
                  <w:tcW w:w="17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高务部分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（27分）</w:t>
                  </w:r>
                </w:p>
              </w:tc>
              <w:tc>
                <w:tcPr>
                  <w:tcW w:w="1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合计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7" w:hRule="atLeast"/>
              </w:trPr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ascii="仿宋" w:hAnsi="仿宋" w:eastAsia="仿宋" w:cs="仿宋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评委1</w:t>
                  </w:r>
                </w:p>
              </w:tc>
              <w:tc>
                <w:tcPr>
                  <w:tcW w:w="17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19.68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24</w:t>
                  </w:r>
                </w:p>
              </w:tc>
              <w:tc>
                <w:tcPr>
                  <w:tcW w:w="17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1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57.68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7" w:hRule="atLeast"/>
              </w:trPr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评委2</w:t>
                  </w:r>
                </w:p>
              </w:tc>
              <w:tc>
                <w:tcPr>
                  <w:tcW w:w="17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19.68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25</w:t>
                  </w:r>
                </w:p>
              </w:tc>
              <w:tc>
                <w:tcPr>
                  <w:tcW w:w="17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13</w:t>
                  </w:r>
                </w:p>
              </w:tc>
              <w:tc>
                <w:tcPr>
                  <w:tcW w:w="1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57.68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11" w:hRule="atLeast"/>
              </w:trPr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评委3</w:t>
                  </w:r>
                </w:p>
              </w:tc>
              <w:tc>
                <w:tcPr>
                  <w:tcW w:w="17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19.68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25.5</w:t>
                  </w:r>
                </w:p>
              </w:tc>
              <w:tc>
                <w:tcPr>
                  <w:tcW w:w="17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13.5</w:t>
                  </w:r>
                </w:p>
              </w:tc>
              <w:tc>
                <w:tcPr>
                  <w:tcW w:w="1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58.68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7" w:hRule="atLeast"/>
              </w:trPr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评委4</w:t>
                  </w:r>
                </w:p>
              </w:tc>
              <w:tc>
                <w:tcPr>
                  <w:tcW w:w="17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19.68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26</w:t>
                  </w:r>
                </w:p>
              </w:tc>
              <w:tc>
                <w:tcPr>
                  <w:tcW w:w="17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1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59.68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23" w:hRule="atLeast"/>
              </w:trPr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评委5</w:t>
                  </w:r>
                </w:p>
              </w:tc>
              <w:tc>
                <w:tcPr>
                  <w:tcW w:w="17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19.68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17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1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4"/>
                      <w:szCs w:val="24"/>
                      <w:u w:val="none"/>
                      <w:lang w:val="en-US" w:eastAsia="zh-CN"/>
                    </w:rPr>
                    <w:t>64.68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23" w:hRule="atLeast"/>
              </w:trPr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评委6</w:t>
                  </w:r>
                </w:p>
              </w:tc>
              <w:tc>
                <w:tcPr>
                  <w:tcW w:w="17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19.68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31</w:t>
                  </w:r>
                </w:p>
              </w:tc>
              <w:tc>
                <w:tcPr>
                  <w:tcW w:w="17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1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64.68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23" w:hRule="atLeast"/>
              </w:trPr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评委7</w:t>
                  </w:r>
                </w:p>
              </w:tc>
              <w:tc>
                <w:tcPr>
                  <w:tcW w:w="17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19.68</w:t>
                  </w:r>
                </w:p>
              </w:tc>
              <w:tc>
                <w:tcPr>
                  <w:tcW w:w="166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27</w:t>
                  </w:r>
                </w:p>
              </w:tc>
              <w:tc>
                <w:tcPr>
                  <w:tcW w:w="17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14</w:t>
                  </w:r>
                </w:p>
              </w:tc>
              <w:tc>
                <w:tcPr>
                  <w:tcW w:w="1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hint="eastAsia" w:ascii="Calibri" w:hAnsi="Calibri" w:eastAsia="宋体" w:cs="Calibri"/>
                      <w:i w:val="0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60.68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32" w:hRule="atLeast"/>
              </w:trPr>
              <w:tc>
                <w:tcPr>
                  <w:tcW w:w="1575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综合名次</w:t>
                  </w:r>
                </w:p>
              </w:tc>
              <w:tc>
                <w:tcPr>
                  <w:tcW w:w="3450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71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最终得分</w:t>
                  </w:r>
                </w:p>
              </w:tc>
              <w:tc>
                <w:tcPr>
                  <w:tcW w:w="176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60.54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66" w:hRule="atLeast"/>
              </w:trPr>
              <w:tc>
                <w:tcPr>
                  <w:tcW w:w="8500" w:type="dxa"/>
                  <w:gridSpan w:val="5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numPr>
                      <w:ilvl w:val="0"/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一、投标报价政策性加分</w:t>
                  </w:r>
                  <w:r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：无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ilvl w:val="0"/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default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二、投标文件填报业绩名称</w:t>
                  </w:r>
                  <w:r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：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ilvl w:val="0"/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评标委员会审查通过的：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1、叶县农村垃圾清运卫生保洁社会化脱管项目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三、投标文件填报管理体系认证名称：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ilvl w:val="0"/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default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评标委员会审查通过的：质量、环境、职业健康安全管理体系认证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ilvl w:val="0"/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default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评标委员会审查未通过的：无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numId w:val="0"/>
                    </w:numPr>
                    <w:suppressLineNumbers w:val="0"/>
                    <w:ind w:leftChars="0"/>
                    <w:jc w:val="left"/>
                    <w:textAlignment w:val="center"/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/>
                      <w:bCs w:val="0"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四、投标文件填报企业信用等级证书</w:t>
                  </w:r>
                  <w:r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：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ilvl w:val="0"/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default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评标委员会审查通过的：3A级信用等级证书、国家一级清洁清洗行业资质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ilvl w:val="0"/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评标委员会审查未通过的：无</w:t>
                  </w:r>
                </w:p>
                <w:p>
                  <w:pPr>
                    <w:keepNext w:val="0"/>
                    <w:keepLines w:val="0"/>
                    <w:widowControl/>
                    <w:numPr>
                      <w:ilvl w:val="0"/>
                      <w:numId w:val="0"/>
                    </w:numPr>
                    <w:suppressLineNumbers w:val="0"/>
                    <w:jc w:val="left"/>
                    <w:textAlignment w:val="center"/>
                    <w:rPr>
                      <w:rFonts w:hint="default" w:ascii="仿宋" w:hAnsi="仿宋" w:eastAsia="仿宋" w:cs="仿宋"/>
                      <w:b w:val="0"/>
                      <w:bCs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仿宋" w:hAnsi="仿宋" w:eastAsia="仿宋" w:cs="仿宋"/>
                      <w:b/>
                      <w:i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</w:pPr>
                </w:p>
              </w:tc>
            </w:tr>
          </w:tbl>
          <w:p>
            <w:pPr>
              <w:keepNext w:val="0"/>
              <w:keepLines w:val="0"/>
              <w:widowControl/>
              <w:numPr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tbl>
      <w:tblPr>
        <w:tblStyle w:val="5"/>
        <w:tblpPr w:leftFromText="180" w:rightFromText="180" w:vertAnchor="text" w:horzAnchor="page" w:tblpX="2007" w:tblpY="-6291"/>
        <w:tblOverlap w:val="never"/>
        <w:tblW w:w="8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5"/>
        <w:gridCol w:w="1789"/>
        <w:gridCol w:w="1661"/>
        <w:gridCol w:w="1712"/>
        <w:gridCol w:w="17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/>
                <w:lang w:val="en-US" w:eastAsia="zh-CN"/>
              </w:rPr>
              <w:t>郑州创净环保科技有限公司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评审因素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报价部分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（53分）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高务部分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（27分）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19.82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6.5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19.82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48.82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19.82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24.7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50.52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委4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19.82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48.82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19.82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31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57.82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评委6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19.82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7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58.82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评委7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19.82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27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52.82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综合名次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最终得分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2" w:hRule="atLeast"/>
        </w:trPr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一、投标报价政策性加分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二、投标文件填报业绩名称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评标委员会审查通过的：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1、2018柘城县城区环卫作业一体化市场运作项目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三、投标文件填报管理体系认证名称：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评标委员会审查通过的：无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评标委员会审查未通过的：无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四、投标文件填报企业信用等级证书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评标委员会审查通过的：无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评标委员会审查未通过的：无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tbl>
      <w:tblPr>
        <w:tblStyle w:val="5"/>
        <w:tblpPr w:leftFromText="180" w:rightFromText="180" w:vertAnchor="text" w:horzAnchor="page" w:tblpX="1902" w:tblpY="2"/>
        <w:tblOverlap w:val="never"/>
        <w:tblW w:w="8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5"/>
        <w:gridCol w:w="1789"/>
        <w:gridCol w:w="1661"/>
        <w:gridCol w:w="1712"/>
        <w:gridCol w:w="17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石家庄磊佳科技有限公司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评审因素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报价部分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（20分）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（53分）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高务部分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（27分）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3.5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47.5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7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24.5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3.5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30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评委6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32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3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评委7</w:t>
            </w:r>
          </w:p>
        </w:tc>
        <w:tc>
          <w:tcPr>
            <w:tcW w:w="1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20</w:t>
            </w:r>
          </w:p>
        </w:tc>
        <w:tc>
          <w:tcPr>
            <w:tcW w:w="16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</w:trPr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综合名次</w:t>
            </w:r>
          </w:p>
        </w:tc>
        <w:tc>
          <w:tcPr>
            <w:tcW w:w="3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最终得分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7" w:hRule="atLeast"/>
        </w:trPr>
        <w:tc>
          <w:tcPr>
            <w:tcW w:w="85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一、投标报价政策性加分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二、投标文件填报业绩名称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评标委员会审查通过的：无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三、投标文件填报管理体系认证名称：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评标委员会审查通过的：无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评标委员会审查未通过的：无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Chars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四、投标文件填报企业信用等级证书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评标委员会审查通过的：无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评标委员会审查未通过的：无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right="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六、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河南森源城市环境科技服务有限公司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河南省自贸试验区郑州片区（经开）经北五路56号河南森源集团院内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杨帆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0374--6108111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7581.5645万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：兴盾物业服务集团有限公司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河南省平顶山市新华区建设路西段南建宏中央花园二期1号楼8层 </w:t>
      </w:r>
    </w:p>
    <w:p>
      <w:pPr>
        <w:pStyle w:val="4"/>
        <w:keepNext w:val="0"/>
        <w:keepLines w:val="0"/>
        <w:pageBreakBefore w:val="0"/>
        <w:widowControl/>
        <w:numPr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冯保权     联系方式：037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5--4975777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7490万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郑州创净环保科技有限公司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地址：郑州市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金水区农科路北、科明路东万达中心11号楼23A03室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宋忠军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0371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－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85121555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3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75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36万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七、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投标人根据评标委员会要求进行的澄清、说明或者补正：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八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主任签字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评标委员会成员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签字</w:t>
      </w:r>
      <w:r>
        <w:rPr>
          <w:rFonts w:hint="eastAsia" w:ascii="黑体" w:hAnsi="黑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: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right="0" w:firstLine="5760" w:firstLineChars="18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right="0" w:firstLine="5760" w:firstLineChars="18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right="0" w:firstLine="5760" w:firstLineChars="18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right="0" w:firstLine="5760" w:firstLineChars="18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2019年4月3日</w:t>
      </w:r>
    </w:p>
    <w:sectPr>
      <w:footerReference r:id="rId3" w:type="default"/>
      <w:pgSz w:w="11906" w:h="16838"/>
      <w:pgMar w:top="1440" w:right="1689" w:bottom="1440" w:left="163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8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8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86F1D4"/>
    <w:multiLevelType w:val="singleLevel"/>
    <w:tmpl w:val="A386F1D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23A6E96"/>
    <w:multiLevelType w:val="singleLevel"/>
    <w:tmpl w:val="E23A6E96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07C1A5F"/>
    <w:multiLevelType w:val="singleLevel"/>
    <w:tmpl w:val="F07C1A5F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C8938C6"/>
    <w:multiLevelType w:val="singleLevel"/>
    <w:tmpl w:val="6C8938C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866D73"/>
    <w:rsid w:val="04906AC5"/>
    <w:rsid w:val="055E3405"/>
    <w:rsid w:val="07A72C03"/>
    <w:rsid w:val="08005B9B"/>
    <w:rsid w:val="0B693AE1"/>
    <w:rsid w:val="0C595BFA"/>
    <w:rsid w:val="0E3D02A4"/>
    <w:rsid w:val="10156394"/>
    <w:rsid w:val="11053FC9"/>
    <w:rsid w:val="110D1D0A"/>
    <w:rsid w:val="13E93A04"/>
    <w:rsid w:val="17D926FA"/>
    <w:rsid w:val="182C1275"/>
    <w:rsid w:val="186B4168"/>
    <w:rsid w:val="1F9828E6"/>
    <w:rsid w:val="228460BD"/>
    <w:rsid w:val="23B22C33"/>
    <w:rsid w:val="2904056C"/>
    <w:rsid w:val="2AFE19BA"/>
    <w:rsid w:val="2C460F20"/>
    <w:rsid w:val="2CCE6662"/>
    <w:rsid w:val="2ED67925"/>
    <w:rsid w:val="322A283A"/>
    <w:rsid w:val="36DD1896"/>
    <w:rsid w:val="3D946193"/>
    <w:rsid w:val="4237573D"/>
    <w:rsid w:val="42412DB6"/>
    <w:rsid w:val="42A668D7"/>
    <w:rsid w:val="444007E4"/>
    <w:rsid w:val="463B1FB6"/>
    <w:rsid w:val="49C25719"/>
    <w:rsid w:val="4F1F1FB5"/>
    <w:rsid w:val="52282E4E"/>
    <w:rsid w:val="53B079DB"/>
    <w:rsid w:val="5A332F7A"/>
    <w:rsid w:val="5B577503"/>
    <w:rsid w:val="5D4344E4"/>
    <w:rsid w:val="5DE74906"/>
    <w:rsid w:val="636D072B"/>
    <w:rsid w:val="63EF706B"/>
    <w:rsid w:val="663B62EB"/>
    <w:rsid w:val="67844B2A"/>
    <w:rsid w:val="6BC74F14"/>
    <w:rsid w:val="754C2D95"/>
    <w:rsid w:val="76CA3817"/>
    <w:rsid w:val="797125EF"/>
    <w:rsid w:val="79DF0E09"/>
    <w:rsid w:val="7FD1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  <w:style w:type="character" w:customStyle="1" w:styleId="20">
    <w:name w:val="swapimg3"/>
    <w:basedOn w:val="6"/>
    <w:qFormat/>
    <w:uiPriority w:val="0"/>
  </w:style>
  <w:style w:type="character" w:customStyle="1" w:styleId="21">
    <w:name w:val="swapimg4"/>
    <w:basedOn w:val="6"/>
    <w:qFormat/>
    <w:uiPriority w:val="0"/>
  </w:style>
  <w:style w:type="character" w:customStyle="1" w:styleId="22">
    <w:name w:val="icon_lzrz"/>
    <w:basedOn w:val="6"/>
    <w:uiPriority w:val="0"/>
  </w:style>
  <w:style w:type="character" w:customStyle="1" w:styleId="23">
    <w:name w:val="close6"/>
    <w:basedOn w:val="6"/>
    <w:qFormat/>
    <w:uiPriority w:val="0"/>
  </w:style>
  <w:style w:type="character" w:customStyle="1" w:styleId="24">
    <w:name w:val="menutitle10"/>
    <w:basedOn w:val="6"/>
    <w:qFormat/>
    <w:uiPriority w:val="0"/>
    <w:rPr>
      <w:color w:val="333333"/>
      <w:sz w:val="24"/>
      <w:szCs w:val="24"/>
    </w:rPr>
  </w:style>
  <w:style w:type="character" w:customStyle="1" w:styleId="25">
    <w:name w:val="menutitle11"/>
    <w:basedOn w:val="6"/>
    <w:qFormat/>
    <w:uiPriority w:val="0"/>
    <w:rPr>
      <w:color w:val="333333"/>
      <w:sz w:val="24"/>
      <w:szCs w:val="24"/>
    </w:rPr>
  </w:style>
  <w:style w:type="character" w:customStyle="1" w:styleId="26">
    <w:name w:val="focus2"/>
    <w:basedOn w:val="6"/>
    <w:qFormat/>
    <w:uiPriority w:val="0"/>
    <w:rPr>
      <w:b/>
      <w:color w:val="000000"/>
    </w:rPr>
  </w:style>
  <w:style w:type="character" w:customStyle="1" w:styleId="27">
    <w:name w:val="icon_dljg"/>
    <w:basedOn w:val="6"/>
    <w:qFormat/>
    <w:uiPriority w:val="0"/>
  </w:style>
  <w:style w:type="character" w:customStyle="1" w:styleId="28">
    <w:name w:val="icon_cxktbr"/>
    <w:basedOn w:val="6"/>
    <w:qFormat/>
    <w:uiPriority w:val="0"/>
  </w:style>
  <w:style w:type="character" w:customStyle="1" w:styleId="29">
    <w:name w:val="icon_cxkcyry"/>
    <w:basedOn w:val="6"/>
    <w:qFormat/>
    <w:uiPriority w:val="0"/>
  </w:style>
  <w:style w:type="character" w:customStyle="1" w:styleId="30">
    <w:name w:val="searchclose"/>
    <w:basedOn w:val="6"/>
    <w:qFormat/>
    <w:uiPriority w:val="0"/>
  </w:style>
  <w:style w:type="character" w:customStyle="1" w:styleId="31">
    <w:name w:val="searchopen"/>
    <w:basedOn w:val="6"/>
    <w:qFormat/>
    <w:uiPriority w:val="0"/>
  </w:style>
  <w:style w:type="character" w:customStyle="1" w:styleId="32">
    <w:name w:val="l_11"/>
    <w:basedOn w:val="6"/>
    <w:qFormat/>
    <w:uiPriority w:val="0"/>
  </w:style>
  <w:style w:type="character" w:customStyle="1" w:styleId="33">
    <w:name w:val="l_111"/>
    <w:basedOn w:val="6"/>
    <w:qFormat/>
    <w:uiPriority w:val="0"/>
  </w:style>
  <w:style w:type="character" w:customStyle="1" w:styleId="34">
    <w:name w:val="l_2"/>
    <w:basedOn w:val="6"/>
    <w:qFormat/>
    <w:uiPriority w:val="0"/>
  </w:style>
  <w:style w:type="character" w:customStyle="1" w:styleId="35">
    <w:name w:val="l_21"/>
    <w:basedOn w:val="6"/>
    <w:qFormat/>
    <w:uiPriority w:val="0"/>
  </w:style>
  <w:style w:type="character" w:customStyle="1" w:styleId="36">
    <w:name w:val="icon_xglc"/>
    <w:basedOn w:val="6"/>
    <w:qFormat/>
    <w:uiPriority w:val="0"/>
  </w:style>
  <w:style w:type="character" w:customStyle="1" w:styleId="37">
    <w:name w:val="icon_gzkj"/>
    <w:basedOn w:val="6"/>
    <w:qFormat/>
    <w:uiPriority w:val="0"/>
  </w:style>
  <w:style w:type="character" w:customStyle="1" w:styleId="38">
    <w:name w:val="icon_xzry"/>
    <w:basedOn w:val="6"/>
    <w:qFormat/>
    <w:uiPriority w:val="0"/>
  </w:style>
  <w:style w:type="character" w:customStyle="1" w:styleId="39">
    <w:name w:val="m-text"/>
    <w:basedOn w:val="6"/>
    <w:qFormat/>
    <w:uiPriority w:val="0"/>
  </w:style>
  <w:style w:type="character" w:customStyle="1" w:styleId="40">
    <w:name w:val="l_7"/>
    <w:basedOn w:val="6"/>
    <w:qFormat/>
    <w:uiPriority w:val="0"/>
  </w:style>
  <w:style w:type="character" w:customStyle="1" w:styleId="41">
    <w:name w:val="l_71"/>
    <w:basedOn w:val="6"/>
    <w:qFormat/>
    <w:uiPriority w:val="0"/>
  </w:style>
  <w:style w:type="character" w:customStyle="1" w:styleId="42">
    <w:name w:val="l_0"/>
    <w:basedOn w:val="6"/>
    <w:qFormat/>
    <w:uiPriority w:val="0"/>
  </w:style>
  <w:style w:type="character" w:customStyle="1" w:styleId="43">
    <w:name w:val="l_01"/>
    <w:basedOn w:val="6"/>
    <w:qFormat/>
    <w:uiPriority w:val="0"/>
  </w:style>
  <w:style w:type="character" w:customStyle="1" w:styleId="44">
    <w:name w:val="l_1"/>
    <w:basedOn w:val="6"/>
    <w:qFormat/>
    <w:uiPriority w:val="0"/>
  </w:style>
  <w:style w:type="character" w:customStyle="1" w:styleId="45">
    <w:name w:val="l_12"/>
    <w:basedOn w:val="6"/>
    <w:qFormat/>
    <w:uiPriority w:val="0"/>
  </w:style>
  <w:style w:type="character" w:customStyle="1" w:styleId="46">
    <w:name w:val="l_9"/>
    <w:basedOn w:val="6"/>
    <w:qFormat/>
    <w:uiPriority w:val="0"/>
  </w:style>
  <w:style w:type="character" w:customStyle="1" w:styleId="47">
    <w:name w:val="l_91"/>
    <w:basedOn w:val="6"/>
    <w:qFormat/>
    <w:uiPriority w:val="0"/>
  </w:style>
  <w:style w:type="character" w:customStyle="1" w:styleId="48">
    <w:name w:val="l_3"/>
    <w:basedOn w:val="6"/>
    <w:qFormat/>
    <w:uiPriority w:val="0"/>
  </w:style>
  <w:style w:type="character" w:customStyle="1" w:styleId="49">
    <w:name w:val="l_31"/>
    <w:basedOn w:val="6"/>
    <w:qFormat/>
    <w:uiPriority w:val="0"/>
  </w:style>
  <w:style w:type="character" w:customStyle="1" w:styleId="50">
    <w:name w:val="l_6"/>
    <w:basedOn w:val="6"/>
    <w:qFormat/>
    <w:uiPriority w:val="0"/>
  </w:style>
  <w:style w:type="character" w:customStyle="1" w:styleId="51">
    <w:name w:val="l_61"/>
    <w:basedOn w:val="6"/>
    <w:qFormat/>
    <w:uiPriority w:val="0"/>
  </w:style>
  <w:style w:type="character" w:customStyle="1" w:styleId="52">
    <w:name w:val="l_4"/>
    <w:basedOn w:val="6"/>
    <w:qFormat/>
    <w:uiPriority w:val="0"/>
  </w:style>
  <w:style w:type="character" w:customStyle="1" w:styleId="53">
    <w:name w:val="l_41"/>
    <w:basedOn w:val="6"/>
    <w:qFormat/>
    <w:uiPriority w:val="0"/>
  </w:style>
  <w:style w:type="character" w:customStyle="1" w:styleId="54">
    <w:name w:val="l_5"/>
    <w:basedOn w:val="6"/>
    <w:qFormat/>
    <w:uiPriority w:val="0"/>
  </w:style>
  <w:style w:type="character" w:customStyle="1" w:styleId="55">
    <w:name w:val="l_51"/>
    <w:basedOn w:val="6"/>
    <w:qFormat/>
    <w:uiPriority w:val="0"/>
  </w:style>
  <w:style w:type="character" w:customStyle="1" w:styleId="56">
    <w:name w:val="l_8"/>
    <w:basedOn w:val="6"/>
    <w:qFormat/>
    <w:uiPriority w:val="0"/>
  </w:style>
  <w:style w:type="character" w:customStyle="1" w:styleId="57">
    <w:name w:val="l_81"/>
    <w:basedOn w:val="6"/>
    <w:qFormat/>
    <w:uiPriority w:val="0"/>
  </w:style>
  <w:style w:type="character" w:customStyle="1" w:styleId="58">
    <w:name w:val="l_10"/>
    <w:basedOn w:val="6"/>
    <w:qFormat/>
    <w:uiPriority w:val="0"/>
  </w:style>
  <w:style w:type="character" w:customStyle="1" w:styleId="59">
    <w:name w:val="l_101"/>
    <w:basedOn w:val="6"/>
    <w:qFormat/>
    <w:uiPriority w:val="0"/>
  </w:style>
  <w:style w:type="character" w:customStyle="1" w:styleId="60">
    <w:name w:val="l_121"/>
    <w:basedOn w:val="6"/>
    <w:qFormat/>
    <w:uiPriority w:val="0"/>
  </w:style>
  <w:style w:type="character" w:customStyle="1" w:styleId="61">
    <w:name w:val="l_122"/>
    <w:basedOn w:val="6"/>
    <w:qFormat/>
    <w:uiPriority w:val="0"/>
  </w:style>
  <w:style w:type="character" w:customStyle="1" w:styleId="62">
    <w:name w:val="l_13"/>
    <w:basedOn w:val="6"/>
    <w:qFormat/>
    <w:uiPriority w:val="0"/>
  </w:style>
  <w:style w:type="character" w:customStyle="1" w:styleId="63">
    <w:name w:val="l_131"/>
    <w:basedOn w:val="6"/>
    <w:qFormat/>
    <w:uiPriority w:val="0"/>
  </w:style>
  <w:style w:type="character" w:customStyle="1" w:styleId="64">
    <w:name w:val="l_14"/>
    <w:basedOn w:val="6"/>
    <w:qFormat/>
    <w:uiPriority w:val="0"/>
  </w:style>
  <w:style w:type="character" w:customStyle="1" w:styleId="65">
    <w:name w:val="l_141"/>
    <w:basedOn w:val="6"/>
    <w:qFormat/>
    <w:uiPriority w:val="0"/>
  </w:style>
  <w:style w:type="character" w:customStyle="1" w:styleId="66">
    <w:name w:val="l_15"/>
    <w:basedOn w:val="6"/>
    <w:qFormat/>
    <w:uiPriority w:val="0"/>
  </w:style>
  <w:style w:type="character" w:customStyle="1" w:styleId="67">
    <w:name w:val="l_151"/>
    <w:basedOn w:val="6"/>
    <w:qFormat/>
    <w:uiPriority w:val="0"/>
  </w:style>
  <w:style w:type="character" w:customStyle="1" w:styleId="68">
    <w:name w:val="color_cdyy"/>
    <w:basedOn w:val="6"/>
    <w:qFormat/>
    <w:uiPriority w:val="0"/>
    <w:rPr>
      <w:color w:val="FFFFFF"/>
      <w:bdr w:val="single" w:color="FFFFFF" w:sz="6" w:space="0"/>
    </w:rPr>
  </w:style>
  <w:style w:type="character" w:customStyle="1" w:styleId="69">
    <w:name w:val="swapimg5"/>
    <w:basedOn w:val="6"/>
    <w:qFormat/>
    <w:uiPriority w:val="0"/>
  </w:style>
  <w:style w:type="character" w:customStyle="1" w:styleId="70">
    <w:name w:val="focus"/>
    <w:basedOn w:val="6"/>
    <w:qFormat/>
    <w:uiPriority w:val="0"/>
    <w:rPr>
      <w:b/>
      <w:color w:val="000000"/>
    </w:rPr>
  </w:style>
  <w:style w:type="character" w:customStyle="1" w:styleId="71">
    <w:name w:val="swapimg"/>
    <w:basedOn w:val="6"/>
    <w:qFormat/>
    <w:uiPriority w:val="0"/>
  </w:style>
  <w:style w:type="character" w:customStyle="1" w:styleId="72">
    <w:name w:val="swapimg1"/>
    <w:basedOn w:val="6"/>
    <w:qFormat/>
    <w:uiPriority w:val="0"/>
  </w:style>
  <w:style w:type="character" w:customStyle="1" w:styleId="73">
    <w:name w:val="menutitle"/>
    <w:basedOn w:val="6"/>
    <w:qFormat/>
    <w:uiPriority w:val="0"/>
    <w:rPr>
      <w:color w:val="333333"/>
      <w:sz w:val="24"/>
      <w:szCs w:val="24"/>
    </w:rPr>
  </w:style>
  <w:style w:type="character" w:customStyle="1" w:styleId="74">
    <w:name w:val="menutitle1"/>
    <w:basedOn w:val="6"/>
    <w:qFormat/>
    <w:uiPriority w:val="0"/>
    <w:rPr>
      <w:color w:val="333333"/>
      <w:sz w:val="24"/>
      <w:szCs w:val="24"/>
    </w:rPr>
  </w:style>
  <w:style w:type="character" w:customStyle="1" w:styleId="75">
    <w:name w:val="l_112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24</cp:lastModifiedBy>
  <cp:lastPrinted>2019-04-03T08:04:50Z</cp:lastPrinted>
  <dcterms:modified xsi:type="dcterms:W3CDTF">2019-04-03T08:10:07Z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