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  <w:t>禹州市方山镇邹湾村公路建设项目</w:t>
      </w:r>
    </w:p>
    <w:p>
      <w:pPr>
        <w:spacing w:line="480" w:lineRule="auto"/>
        <w:jc w:val="center"/>
        <w:rPr>
          <w:rFonts w:hint="default" w:ascii="宋体" w:eastAsia="宋体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</w:rPr>
        <w:t>评标</w:t>
      </w:r>
      <w:r>
        <w:rPr>
          <w:rFonts w:hint="eastAsia" w:ascii="Times New Roman" w:hAnsi="Times New Roman" w:cs="宋体"/>
          <w:b/>
          <w:bCs/>
          <w:sz w:val="34"/>
          <w:szCs w:val="34"/>
          <w:lang w:eastAsia="zh-CN"/>
        </w:rPr>
        <w:t>公示</w:t>
      </w:r>
      <w:r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  <w:t xml:space="preserve"> 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ascii="宋体" w:hAnsi="宋体"/>
          <w:sz w:val="24"/>
          <w:lang w:val="en-US" w:eastAsia="zh-CN"/>
        </w:rPr>
        <w:t>禹州市方山镇邹湾村公路建设项目</w:t>
      </w:r>
    </w:p>
    <w:p>
      <w:pPr>
        <w:spacing w:line="360" w:lineRule="auto"/>
        <w:ind w:firstLine="240" w:firstLineChars="100"/>
        <w:rPr>
          <w:rFonts w:hint="default"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bCs/>
          <w:sz w:val="24"/>
          <w:szCs w:val="24"/>
        </w:rPr>
        <w:t>JSGC-</w:t>
      </w:r>
      <w:r>
        <w:rPr>
          <w:rFonts w:hint="eastAsia"/>
          <w:bCs/>
          <w:sz w:val="24"/>
          <w:szCs w:val="24"/>
          <w:lang w:val="en-US" w:eastAsia="zh-CN"/>
        </w:rPr>
        <w:t>J-2019034</w:t>
      </w:r>
    </w:p>
    <w:p>
      <w:pPr>
        <w:spacing w:line="360" w:lineRule="auto"/>
        <w:ind w:firstLine="240" w:firstLineChars="10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/>
          <w:sz w:val="24"/>
          <w:szCs w:val="24"/>
          <w:lang w:val="en-US" w:eastAsia="zh-CN"/>
        </w:rPr>
        <w:t>996281.00</w:t>
      </w:r>
      <w:r>
        <w:rPr>
          <w:rFonts w:hint="eastAsia" w:cs="宋体"/>
          <w:sz w:val="24"/>
          <w:szCs w:val="24"/>
        </w:rPr>
        <w:t>元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合格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日历天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</w:t>
      </w:r>
      <w:r>
        <w:rPr>
          <w:rFonts w:hint="eastAsia" w:cs="宋体"/>
          <w:sz w:val="24"/>
          <w:szCs w:val="24"/>
          <w:lang w:val="en-US" w:eastAsia="zh-CN"/>
        </w:rPr>
        <w:t>技术评分</w:t>
      </w:r>
      <w:r>
        <w:rPr>
          <w:rFonts w:hint="eastAsia" w:cs="宋体"/>
          <w:sz w:val="24"/>
          <w:szCs w:val="24"/>
          <w:lang w:eastAsia="zh-CN"/>
        </w:rPr>
        <w:t>最</w:t>
      </w:r>
      <w:r>
        <w:rPr>
          <w:rFonts w:hint="eastAsia" w:cs="宋体"/>
          <w:sz w:val="24"/>
          <w:szCs w:val="24"/>
        </w:rPr>
        <w:t>低</w:t>
      </w:r>
      <w:r>
        <w:rPr>
          <w:rFonts w:hint="eastAsia" w:cs="宋体"/>
          <w:sz w:val="24"/>
          <w:szCs w:val="24"/>
          <w:lang w:eastAsia="zh-CN"/>
        </w:rPr>
        <w:t>标</w:t>
      </w:r>
      <w:r>
        <w:rPr>
          <w:rFonts w:hint="eastAsia" w:cs="宋体"/>
          <w:sz w:val="24"/>
          <w:szCs w:val="24"/>
        </w:rPr>
        <w:t>价法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720" w:firstLineChars="3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日至201</w:t>
      </w:r>
      <w: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日在全国公共资源交易平台（河南省·许昌市）、《河南省</w:t>
      </w:r>
      <w:r>
        <w:rPr>
          <w:rFonts w:hint="eastAsia" w:cs="宋体"/>
          <w:sz w:val="24"/>
          <w:szCs w:val="24"/>
        </w:rPr>
        <w:t>电子招标投标公共服务平台》上公开发布招标信息，于投标截止时间前递交投标文件及投标保证金的投标单位有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家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8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1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禹州市方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河南建标工程管理有限公司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禹州市方山镇邹湾村公路建设项目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Style w:val="8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022"/>
        <w:gridCol w:w="1320"/>
        <w:gridCol w:w="1020"/>
        <w:gridCol w:w="1185"/>
        <w:gridCol w:w="108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11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1022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11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1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  <w:t xml:space="preserve">工期 </w:t>
            </w:r>
          </w:p>
          <w:p>
            <w:pPr>
              <w:spacing w:line="240" w:lineRule="exact"/>
              <w:ind w:right="-313" w:rightChars="-149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  <w:shd w:val="clear" w:color="auto" w:fill="FFFFFF"/>
              </w:rPr>
              <w:t>（日历天）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  <w:t>质量要求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Style w:val="11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11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密封情况</w:t>
            </w:r>
          </w:p>
        </w:tc>
        <w:tc>
          <w:tcPr>
            <w:tcW w:w="111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11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1"/>
                <w:rFonts w:hint="eastAsia" w:ascii="宋体" w:cs="宋体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422"/>
              </w:tabs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魏亚光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422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新乡市万宏建筑有限公司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422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20日历天</w:t>
            </w:r>
          </w:p>
        </w:tc>
        <w:tc>
          <w:tcPr>
            <w:tcW w:w="44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质量要求：合格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8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313" w:rightChars="-149" w:firstLine="240" w:firstLineChars="100"/>
              <w:rPr>
                <w:rStyle w:val="11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>
            <w:pPr>
              <w:pStyle w:val="7"/>
              <w:widowControl/>
              <w:shd w:val="clear" w:color="auto" w:fill="FFFFFF"/>
              <w:spacing w:before="278" w:after="278" w:line="276" w:lineRule="auto"/>
              <w:rPr>
                <w:rStyle w:val="11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>
              <w:rPr>
                <w:rFonts w:hint="eastAsia" w:cs="宋体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四、第一信封评审情况：</w:t>
      </w:r>
    </w:p>
    <w:tbl>
      <w:tblPr>
        <w:tblStyle w:val="8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未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  <w:r>
              <w:rPr>
                <w:rFonts w:hint="eastAsia" w:cs="宋体"/>
                <w:sz w:val="24"/>
                <w:szCs w:val="24"/>
              </w:rPr>
              <w:t>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五、第二信封开标记录</w:t>
      </w:r>
    </w:p>
    <w:tbl>
      <w:tblPr>
        <w:tblStyle w:val="8"/>
        <w:tblW w:w="94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47"/>
        <w:gridCol w:w="232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87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</w:rPr>
              <w:t>投标人</w:t>
            </w:r>
          </w:p>
        </w:tc>
        <w:tc>
          <w:tcPr>
            <w:tcW w:w="2347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投标报价（元）</w:t>
            </w:r>
          </w:p>
        </w:tc>
        <w:tc>
          <w:tcPr>
            <w:tcW w:w="2321" w:type="dxa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密封情况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11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1"/>
                <w:rFonts w:hint="eastAsia" w:ascii="宋体" w:cs="Times New Roman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994656.00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995647.00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993296.00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87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招标控制价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996281.00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投标报价修正情况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第二信封评审情况：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根据招标文件的规定，评标委员会按技术评分最低标价法由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高</w:t>
      </w:r>
      <w:r>
        <w:rPr>
          <w:rFonts w:hint="eastAsia" w:cs="宋体"/>
          <w:b/>
          <w:bCs/>
          <w:sz w:val="24"/>
          <w:szCs w:val="24"/>
          <w:lang w:eastAsia="zh-CN"/>
        </w:rPr>
        <w:t>到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低</w:t>
      </w:r>
      <w:r>
        <w:rPr>
          <w:rFonts w:hint="eastAsia" w:cs="宋体"/>
          <w:b/>
          <w:bCs/>
          <w:sz w:val="24"/>
          <w:szCs w:val="24"/>
          <w:lang w:eastAsia="zh-CN"/>
        </w:rPr>
        <w:t>排序如下：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第一名：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新乡市万宏建筑有限公司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第二名：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河南皇瑞建筑工程有限公司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第三名：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河南远诚建设工程有限公司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推荐的中标候选人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评审得分</w:t>
      </w:r>
      <w:r>
        <w:rPr>
          <w:rFonts w:hint="eastAsia" w:cs="宋体"/>
          <w:b/>
          <w:bCs/>
          <w:sz w:val="24"/>
          <w:szCs w:val="24"/>
        </w:rPr>
        <w:t>：</w:t>
      </w: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第一中标候选人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71.5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66.5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70.16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第二中标候选人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30.5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28.5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86.5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88.5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86.5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86.52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第三中标候选人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评委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24.5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77.5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72.5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73.5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74.74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推荐的中标候选人情况</w:t>
      </w:r>
      <w:r>
        <w:rPr>
          <w:rFonts w:hint="eastAsia" w:cs="Times New Roman"/>
          <w:b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新乡市万宏建筑有限公司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993296.00</w:t>
      </w:r>
      <w:r>
        <w:rPr>
          <w:rFonts w:hint="eastAsia" w:cs="宋体"/>
          <w:sz w:val="24"/>
          <w:szCs w:val="24"/>
        </w:rPr>
        <w:t>元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玖拾玖万叁仟贰佰玖拾陆元整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                  </w:t>
      </w:r>
      <w:r>
        <w:rPr>
          <w:rFonts w:hint="eastAsia" w:cs="宋体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 w:val="24"/>
          <w:szCs w:val="24"/>
        </w:rPr>
        <w:t>项目经理</w:t>
      </w:r>
      <w:r>
        <w:rPr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>李蒙蒙</w:t>
      </w:r>
      <w:r>
        <w:rPr>
          <w:rFonts w:hint="eastAsia" w:cs="宋体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        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</w:p>
    <w:p>
      <w:pPr>
        <w:spacing w:line="360" w:lineRule="auto"/>
        <w:ind w:firstLine="240" w:firstLineChars="100"/>
        <w:rPr>
          <w:rFonts w:hint="eastAsia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建造师编号：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豫241091014205</w:t>
      </w:r>
    </w:p>
    <w:p>
      <w:pPr>
        <w:spacing w:line="360" w:lineRule="auto"/>
        <w:ind w:firstLine="241" w:firstLineChars="1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432" w:lineRule="auto"/>
        <w:ind w:firstLine="241" w:firstLineChars="100"/>
        <w:rPr>
          <w:rFonts w:hint="eastAsia" w:ascii="宋体" w:eastAsia="宋体" w:cs="Times New Roman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第二中标候选人：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河南皇瑞建筑工程有限公司 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994656.00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玖拾玖万肆仟陆佰伍拾陆元整 </w:t>
      </w:r>
    </w:p>
    <w:p>
      <w:pPr>
        <w:spacing w:line="360" w:lineRule="auto"/>
        <w:ind w:firstLine="240" w:firstLineChars="1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工期：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日历天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质量标准：合格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项目经理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王卫国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 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</w:p>
    <w:p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豫241171715130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241" w:firstLineChars="100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第三中标候选人：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河南远诚建设工程有限公司</w:t>
      </w:r>
    </w:p>
    <w:p>
      <w:pPr>
        <w:spacing w:line="360" w:lineRule="auto"/>
        <w:ind w:firstLine="240" w:firstLineChars="1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995647.00</w:t>
      </w:r>
      <w:r>
        <w:rPr>
          <w:rFonts w:hint="eastAsia" w:cs="宋体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玖拾玖万伍仟陆佰肆拾柒元整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                  </w:t>
      </w:r>
      <w:r>
        <w:rPr>
          <w:rFonts w:hint="eastAsia" w:cs="宋体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 w:val="24"/>
          <w:szCs w:val="24"/>
        </w:rPr>
        <w:t>项目经理</w:t>
      </w:r>
      <w:r>
        <w:rPr>
          <w:sz w:val="24"/>
          <w:szCs w:val="24"/>
        </w:rPr>
        <w:t>: </w:t>
      </w:r>
      <w:r>
        <w:rPr>
          <w:rFonts w:hint="eastAsia"/>
          <w:sz w:val="24"/>
          <w:szCs w:val="24"/>
          <w:lang w:val="en-US" w:eastAsia="zh-CN"/>
        </w:rPr>
        <w:t>魏亚光</w:t>
      </w:r>
      <w:r>
        <w:rPr>
          <w:sz w:val="24"/>
          <w:szCs w:val="24"/>
        </w:rPr>
        <w:t xml:space="preserve">                  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</w:p>
    <w:p>
      <w:pPr>
        <w:spacing w:line="360" w:lineRule="auto"/>
        <w:ind w:firstLine="240" w:firstLineChars="1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豫241151692115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241" w:firstLineChars="100"/>
        <w:rPr>
          <w:rFonts w:hint="eastAsia" w:eastAsia="宋体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pStyle w:val="2"/>
        <w:ind w:left="0" w:leftChars="0" w:firstLine="0" w:firstLineChars="0"/>
        <w:rPr>
          <w:rFonts w:hint="eastAsia" w:cs="宋体"/>
          <w:sz w:val="24"/>
          <w:szCs w:val="24"/>
          <w:lang w:val="zh-CN"/>
        </w:rPr>
      </w:pPr>
    </w:p>
    <w:p>
      <w:pPr>
        <w:spacing w:line="360" w:lineRule="auto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九、公示期（以下由代理机构填写）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</w:rPr>
        <w:t>201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</w:rPr>
        <w:t>0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  <w:lang w:val="zh-CN"/>
        </w:rPr>
        <w:t>日</w:t>
      </w:r>
      <w:r>
        <w:rPr>
          <w:rFonts w:hint="default" w:cs="宋体"/>
          <w:sz w:val="24"/>
          <w:szCs w:val="24"/>
          <w:lang w:val="zh-CN"/>
        </w:rPr>
        <w:t>—</w:t>
      </w:r>
      <w:r>
        <w:rPr>
          <w:rFonts w:hint="eastAsia" w:cs="宋体"/>
          <w:sz w:val="24"/>
          <w:szCs w:val="24"/>
        </w:rPr>
        <w:t>201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</w:rPr>
        <w:t>0</w:t>
      </w:r>
      <w:r>
        <w:rPr>
          <w:rFonts w:hint="eastAsia" w:cs="宋体"/>
          <w:sz w:val="24"/>
          <w:szCs w:val="24"/>
          <w:lang w:val="en-US" w:eastAsia="zh-CN"/>
        </w:rPr>
        <w:t>4月04</w:t>
      </w:r>
      <w:r>
        <w:rPr>
          <w:rFonts w:hint="eastAsia" w:cs="宋体"/>
          <w:sz w:val="24"/>
          <w:szCs w:val="24"/>
          <w:lang w:val="zh-CN"/>
        </w:rPr>
        <w:t>日</w:t>
      </w:r>
    </w:p>
    <w:p>
      <w:pPr>
        <w:spacing w:line="360" w:lineRule="auto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十、联系方式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招 标 人：</w:t>
      </w:r>
      <w:r>
        <w:rPr>
          <w:rFonts w:hint="eastAsia" w:cs="宋体"/>
          <w:sz w:val="24"/>
          <w:szCs w:val="24"/>
          <w:lang w:val="en-US" w:eastAsia="zh-CN"/>
        </w:rPr>
        <w:t>禹州市方山镇人民政府</w:t>
      </w:r>
      <w:r>
        <w:rPr>
          <w:rFonts w:hint="eastAsia" w:cs="宋体"/>
          <w:sz w:val="24"/>
          <w:szCs w:val="24"/>
          <w:lang w:val="zh-CN"/>
        </w:rPr>
        <w:t xml:space="preserve">          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联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系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人：吕先生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0374-8865039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代理机构：河南建标工程管理有限公司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联系人：</w:t>
      </w:r>
      <w:r>
        <w:rPr>
          <w:rFonts w:hint="eastAsia" w:cs="宋体"/>
          <w:sz w:val="24"/>
          <w:szCs w:val="24"/>
          <w:lang w:val="en-US" w:eastAsia="zh-CN"/>
        </w:rPr>
        <w:t>李先生</w:t>
      </w:r>
    </w:p>
    <w:p>
      <w:pPr>
        <w:spacing w:line="360" w:lineRule="auto"/>
        <w:ind w:firstLine="240" w:firstLineChars="1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联系电话：0374-</w:t>
      </w:r>
      <w:r>
        <w:rPr>
          <w:rFonts w:hint="eastAsia" w:cs="宋体"/>
          <w:sz w:val="24"/>
          <w:szCs w:val="24"/>
          <w:lang w:val="en-US" w:eastAsia="zh-CN"/>
        </w:rPr>
        <w:t>7397667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</w:rPr>
      </w:pP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DEB5"/>
    <w:multiLevelType w:val="singleLevel"/>
    <w:tmpl w:val="67E3DEB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14F2E51"/>
    <w:rsid w:val="047E3DDC"/>
    <w:rsid w:val="0850415E"/>
    <w:rsid w:val="08B5303E"/>
    <w:rsid w:val="096C7861"/>
    <w:rsid w:val="0CDE61E1"/>
    <w:rsid w:val="0DA2632F"/>
    <w:rsid w:val="16F348BF"/>
    <w:rsid w:val="1B1F5ACB"/>
    <w:rsid w:val="1BF65342"/>
    <w:rsid w:val="1D3B5087"/>
    <w:rsid w:val="1D7E6889"/>
    <w:rsid w:val="215D5587"/>
    <w:rsid w:val="2DAE3B9B"/>
    <w:rsid w:val="36F72BD3"/>
    <w:rsid w:val="3D610CEB"/>
    <w:rsid w:val="3D7162A4"/>
    <w:rsid w:val="3D7A02F1"/>
    <w:rsid w:val="43101303"/>
    <w:rsid w:val="445F21ED"/>
    <w:rsid w:val="46D03ECD"/>
    <w:rsid w:val="50490BE7"/>
    <w:rsid w:val="56AF6EAB"/>
    <w:rsid w:val="58187AB3"/>
    <w:rsid w:val="5F686E6B"/>
    <w:rsid w:val="70440EE7"/>
    <w:rsid w:val="76B83DC3"/>
    <w:rsid w:val="7B37272C"/>
    <w:rsid w:val="7E2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4"/>
    <w:semiHidden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customStyle="1" w:styleId="12">
    <w:name w:val="页眉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正文文本 Char"/>
    <w:basedOn w:val="10"/>
    <w:link w:val="3"/>
    <w:semiHidden/>
    <w:qFormat/>
    <w:locked/>
    <w:uiPriority w:val="99"/>
  </w:style>
  <w:style w:type="character" w:customStyle="1" w:styleId="15">
    <w:name w:val="正文首行缩进 Char"/>
    <w:basedOn w:val="14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E6C23-DA3E-4E07-85DC-0B6B5EBCC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2377</Characters>
  <Lines>19</Lines>
  <Paragraphs>5</Paragraphs>
  <TotalTime>2</TotalTime>
  <ScaleCrop>false</ScaleCrop>
  <LinksUpToDate>false</LinksUpToDate>
  <CharactersWithSpaces>2788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河南建标工程管理有限公司:李松岳</cp:lastModifiedBy>
  <cp:lastPrinted>2019-03-29T02:27:00Z</cp:lastPrinted>
  <dcterms:modified xsi:type="dcterms:W3CDTF">2019-04-01T01:56:01Z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