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2233" w:tblpY="2568"/>
        <w:tblOverlap w:val="never"/>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7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2280" w:type="dxa"/>
            <w:noWrap w:val="0"/>
            <w:vAlign w:val="center"/>
          </w:tcPr>
          <w:p>
            <w:pPr>
              <w:spacing w:line="500" w:lineRule="exact"/>
              <w:ind w:firstLine="240" w:firstLineChars="100"/>
              <w:jc w:val="center"/>
              <w:rPr>
                <w:rFonts w:hint="eastAsia" w:ascii="黑体" w:hAnsi="黑体" w:eastAsia="黑体" w:cs="黑体"/>
                <w:sz w:val="24"/>
                <w:szCs w:val="24"/>
                <w:lang w:eastAsia="zh-CN"/>
              </w:rPr>
            </w:pPr>
            <w:bookmarkStart w:id="0" w:name="_Toc23717"/>
            <w:r>
              <w:rPr>
                <w:rFonts w:hint="eastAsia" w:ascii="黑体" w:hAnsi="黑体" w:eastAsia="黑体" w:cs="黑体"/>
                <w:sz w:val="24"/>
                <w:szCs w:val="24"/>
                <w:lang w:eastAsia="zh-CN"/>
              </w:rPr>
              <w:t>项目名称</w:t>
            </w:r>
          </w:p>
        </w:tc>
        <w:tc>
          <w:tcPr>
            <w:tcW w:w="7682" w:type="dxa"/>
            <w:noWrap w:val="0"/>
            <w:vAlign w:val="center"/>
          </w:tcPr>
          <w:p>
            <w:pPr>
              <w:spacing w:line="500" w:lineRule="exact"/>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禹州市教育体育局采购一批体育测试设备项目（二次）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2280" w:type="dxa"/>
            <w:noWrap w:val="0"/>
            <w:vAlign w:val="center"/>
          </w:tcPr>
          <w:p>
            <w:pPr>
              <w:spacing w:line="500" w:lineRule="exact"/>
              <w:ind w:firstLine="240" w:firstLineChars="10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采购编号</w:t>
            </w:r>
          </w:p>
        </w:tc>
        <w:tc>
          <w:tcPr>
            <w:tcW w:w="7682" w:type="dxa"/>
            <w:noWrap w:val="0"/>
            <w:vAlign w:val="center"/>
          </w:tcPr>
          <w:p>
            <w:pPr>
              <w:spacing w:line="500" w:lineRule="exact"/>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YZCG-T2019031-1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2280" w:type="dxa"/>
            <w:noWrap w:val="0"/>
            <w:vAlign w:val="center"/>
          </w:tcPr>
          <w:p>
            <w:pPr>
              <w:spacing w:line="500" w:lineRule="exact"/>
              <w:ind w:firstLine="240" w:firstLineChars="10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谈判总报价</w:t>
            </w:r>
          </w:p>
        </w:tc>
        <w:tc>
          <w:tcPr>
            <w:tcW w:w="7682" w:type="dxa"/>
            <w:noWrap w:val="0"/>
            <w:vAlign w:val="center"/>
          </w:tcPr>
          <w:p>
            <w:pPr>
              <w:spacing w:line="500" w:lineRule="exact"/>
              <w:jc w:val="center"/>
              <w:rPr>
                <w:rFonts w:hint="default" w:ascii="黑体" w:hAnsi="黑体" w:eastAsia="黑体" w:cs="黑体"/>
                <w:sz w:val="24"/>
                <w:szCs w:val="24"/>
                <w:lang w:val="en-US" w:eastAsia="zh-CN"/>
              </w:rPr>
            </w:pPr>
            <w:r>
              <w:rPr>
                <w:rFonts w:hint="eastAsia" w:ascii="黑体" w:hAnsi="黑体" w:eastAsia="黑体" w:cs="黑体"/>
                <w:sz w:val="24"/>
                <w:szCs w:val="24"/>
              </w:rPr>
              <w:t>小写：4</w:t>
            </w:r>
            <w:r>
              <w:rPr>
                <w:rFonts w:hint="eastAsia" w:ascii="黑体" w:hAnsi="黑体" w:eastAsia="黑体" w:cs="黑体"/>
                <w:sz w:val="24"/>
                <w:szCs w:val="24"/>
                <w:lang w:val="en-US" w:eastAsia="zh-CN"/>
              </w:rPr>
              <w:t>73800</w:t>
            </w:r>
            <w:r>
              <w:rPr>
                <w:rFonts w:hint="eastAsia" w:ascii="黑体" w:hAnsi="黑体" w:eastAsia="黑体" w:cs="黑体"/>
                <w:sz w:val="24"/>
                <w:szCs w:val="24"/>
              </w:rPr>
              <w:t xml:space="preserve">元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大写：肆拾</w:t>
            </w:r>
            <w:r>
              <w:rPr>
                <w:rFonts w:hint="eastAsia" w:ascii="黑体" w:hAnsi="黑体" w:eastAsia="黑体" w:cs="黑体"/>
                <w:sz w:val="24"/>
                <w:szCs w:val="24"/>
                <w:lang w:val="en-US" w:eastAsia="zh-CN"/>
              </w:rPr>
              <w:t>柒万叁仟捌佰元整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2280" w:type="dxa"/>
            <w:noWrap w:val="0"/>
            <w:vAlign w:val="center"/>
          </w:tcPr>
          <w:p>
            <w:pPr>
              <w:spacing w:line="500" w:lineRule="exact"/>
              <w:ind w:firstLine="240" w:firstLineChars="10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工期</w:t>
            </w:r>
          </w:p>
        </w:tc>
        <w:tc>
          <w:tcPr>
            <w:tcW w:w="7682" w:type="dxa"/>
            <w:noWrap w:val="0"/>
            <w:vAlign w:val="center"/>
          </w:tcPr>
          <w:p>
            <w:pPr>
              <w:spacing w:line="500" w:lineRule="exact"/>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2280" w:type="dxa"/>
            <w:noWrap w:val="0"/>
            <w:vAlign w:val="center"/>
          </w:tcPr>
          <w:p>
            <w:pPr>
              <w:spacing w:line="500" w:lineRule="exact"/>
              <w:ind w:firstLine="240" w:firstLineChars="100"/>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备注</w:t>
            </w:r>
          </w:p>
        </w:tc>
        <w:tc>
          <w:tcPr>
            <w:tcW w:w="7682" w:type="dxa"/>
            <w:noWrap w:val="0"/>
            <w:vAlign w:val="center"/>
          </w:tcPr>
          <w:p>
            <w:pPr>
              <w:spacing w:line="500" w:lineRule="exact"/>
              <w:jc w:val="center"/>
              <w:rPr>
                <w:rFonts w:hint="eastAsia" w:ascii="黑体" w:hAnsi="黑体" w:eastAsia="黑体" w:cs="黑体"/>
                <w:sz w:val="24"/>
                <w:szCs w:val="24"/>
              </w:rPr>
            </w:pPr>
          </w:p>
        </w:tc>
      </w:tr>
    </w:tbl>
    <w:p>
      <w:pPr>
        <w:autoSpaceDE w:val="0"/>
        <w:autoSpaceDN w:val="0"/>
        <w:adjustRightInd w:val="0"/>
        <w:spacing w:line="360" w:lineRule="auto"/>
        <w:jc w:val="left"/>
        <w:outlineLvl w:val="0"/>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中标价格</w:t>
      </w:r>
      <w:bookmarkStart w:id="1" w:name="_GoBack"/>
      <w:bookmarkEnd w:id="1"/>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pStyle w:val="2"/>
        <w:rPr>
          <w:rFonts w:hint="eastAsia" w:ascii="黑体" w:hAnsi="黑体" w:eastAsia="黑体" w:cs="黑体"/>
          <w:sz w:val="24"/>
          <w:szCs w:val="24"/>
          <w:lang w:eastAsia="zh-CN"/>
        </w:rPr>
      </w:pPr>
    </w:p>
    <w:p>
      <w:pPr>
        <w:pStyle w:val="2"/>
        <w:rPr>
          <w:rFonts w:hint="eastAsia" w:ascii="黑体" w:hAnsi="黑体" w:eastAsia="黑体" w:cs="黑体"/>
          <w:sz w:val="24"/>
          <w:szCs w:val="24"/>
          <w:lang w:eastAsia="zh-CN"/>
        </w:rPr>
      </w:pPr>
    </w:p>
    <w:p>
      <w:pPr>
        <w:pStyle w:val="2"/>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r>
        <w:rPr>
          <w:rFonts w:hint="eastAsia" w:ascii="黑体" w:hAnsi="黑体" w:eastAsia="黑体" w:cs="黑体"/>
          <w:sz w:val="24"/>
          <w:szCs w:val="24"/>
          <w:lang w:eastAsia="zh-CN"/>
        </w:rPr>
        <w:t>供应商名称（公章）：禹州市艾诺威科技有限公司</w:t>
      </w: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r>
        <w:rPr>
          <w:rFonts w:hint="eastAsia" w:ascii="黑体" w:hAnsi="黑体" w:eastAsia="黑体" w:cs="黑体"/>
          <w:sz w:val="24"/>
          <w:szCs w:val="24"/>
          <w:lang w:eastAsia="zh-CN"/>
        </w:rPr>
        <w:t>法定代表人 （或授权代表）签字：</w:t>
      </w:r>
      <w:r>
        <w:rPr>
          <w:rFonts w:hint="eastAsia" w:ascii="黑体" w:hAnsi="黑体" w:eastAsia="黑体" w:cs="黑体"/>
          <w:sz w:val="24"/>
          <w:szCs w:val="24"/>
          <w:u w:val="single"/>
          <w:lang w:eastAsia="zh-CN"/>
        </w:rPr>
        <w:t xml:space="preserve"> </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040" w:firstLineChars="2100"/>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6000" w:firstLineChars="2500"/>
        <w:jc w:val="left"/>
        <w:outlineLvl w:val="9"/>
        <w:rPr>
          <w:rFonts w:hint="eastAsia" w:ascii="黑体" w:hAnsi="黑体" w:eastAsia="黑体" w:cs="黑体"/>
          <w:b/>
          <w:bCs/>
          <w:sz w:val="24"/>
          <w:szCs w:val="24"/>
          <w:lang w:val="zh-CN"/>
        </w:rPr>
      </w:pPr>
      <w:r>
        <w:rPr>
          <w:rFonts w:hint="eastAsia" w:ascii="黑体" w:hAnsi="黑体" w:eastAsia="黑体" w:cs="黑体"/>
          <w:sz w:val="24"/>
          <w:szCs w:val="24"/>
          <w:lang w:eastAsia="zh-CN"/>
        </w:rPr>
        <w:t>日期：2019年3月25日</w:t>
      </w:r>
    </w:p>
    <w:p>
      <w:pPr>
        <w:numPr>
          <w:numId w:val="0"/>
        </w:numPr>
        <w:spacing w:line="480" w:lineRule="exact"/>
        <w:ind w:leftChars="0"/>
        <w:jc w:val="both"/>
        <w:textAlignment w:val="baseline"/>
        <w:outlineLvl w:val="0"/>
        <w:rPr>
          <w:rFonts w:hint="eastAsia" w:ascii="黑体" w:hAnsi="黑体" w:eastAsia="黑体" w:cs="黑体"/>
          <w:b/>
          <w:bCs/>
          <w:sz w:val="30"/>
          <w:szCs w:val="30"/>
          <w:lang w:val="zh-CN" w:eastAsia="zh-CN"/>
        </w:rPr>
      </w:pPr>
    </w:p>
    <w:p>
      <w:pPr>
        <w:numPr>
          <w:numId w:val="0"/>
        </w:numPr>
        <w:spacing w:line="480" w:lineRule="exact"/>
        <w:ind w:leftChars="0"/>
        <w:jc w:val="both"/>
        <w:textAlignment w:val="baseline"/>
        <w:outlineLvl w:val="0"/>
        <w:rPr>
          <w:rFonts w:hint="eastAsia" w:ascii="黑体" w:hAnsi="黑体" w:eastAsia="黑体" w:cs="黑体"/>
          <w:b/>
          <w:bCs/>
          <w:sz w:val="30"/>
          <w:szCs w:val="30"/>
          <w:lang w:val="zh-CN" w:eastAsia="zh-CN"/>
        </w:rPr>
      </w:pPr>
    </w:p>
    <w:p>
      <w:pPr>
        <w:numPr>
          <w:numId w:val="0"/>
        </w:numPr>
        <w:spacing w:line="480" w:lineRule="exact"/>
        <w:ind w:leftChars="0"/>
        <w:jc w:val="both"/>
        <w:textAlignment w:val="baseline"/>
        <w:outlineLvl w:val="0"/>
        <w:rPr>
          <w:rFonts w:hint="eastAsia" w:ascii="黑体" w:hAnsi="黑体" w:eastAsia="黑体" w:cs="黑体"/>
          <w:b/>
          <w:bCs/>
          <w:sz w:val="30"/>
          <w:szCs w:val="30"/>
          <w:lang w:val="zh-CN" w:eastAsia="zh-CN"/>
        </w:rPr>
      </w:pPr>
      <w:r>
        <w:rPr>
          <w:rFonts w:hint="eastAsia" w:ascii="黑体" w:hAnsi="黑体" w:eastAsia="黑体" w:cs="黑体"/>
          <w:b/>
          <w:bCs/>
          <w:sz w:val="30"/>
          <w:szCs w:val="30"/>
          <w:lang w:val="zh-CN" w:eastAsia="zh-CN"/>
        </w:rPr>
        <w:t>投标分项报价</w:t>
      </w:r>
      <w:r>
        <w:rPr>
          <w:rFonts w:hint="eastAsia" w:ascii="黑体" w:hAnsi="黑体" w:eastAsia="黑体" w:cs="黑体"/>
          <w:b/>
          <w:bCs/>
          <w:sz w:val="30"/>
          <w:szCs w:val="30"/>
          <w:lang w:val="en-US" w:eastAsia="zh-CN"/>
        </w:rPr>
        <w:t>一</w:t>
      </w:r>
      <w:r>
        <w:rPr>
          <w:rFonts w:hint="eastAsia" w:ascii="黑体" w:hAnsi="黑体" w:eastAsia="黑体" w:cs="黑体"/>
          <w:b/>
          <w:bCs/>
          <w:sz w:val="30"/>
          <w:szCs w:val="30"/>
          <w:lang w:val="zh-CN" w:eastAsia="zh-CN"/>
        </w:rPr>
        <w:t>览表</w:t>
      </w:r>
      <w:bookmarkEnd w:id="0"/>
    </w:p>
    <w:p>
      <w:pPr>
        <w:autoSpaceDE w:val="0"/>
        <w:autoSpaceDN w:val="0"/>
        <w:adjustRightInd w:val="0"/>
        <w:spacing w:line="140" w:lineRule="exact"/>
        <w:rPr>
          <w:rFonts w:hint="eastAsia" w:ascii="黑体" w:hAnsi="黑体" w:eastAsia="黑体" w:cs="黑体"/>
          <w:b/>
          <w:bCs/>
          <w:sz w:val="24"/>
          <w:szCs w:val="24"/>
          <w:lang w:val="zh-CN"/>
        </w:rPr>
      </w:pPr>
    </w:p>
    <w:tbl>
      <w:tblPr>
        <w:tblStyle w:val="4"/>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2"/>
        <w:gridCol w:w="1090"/>
        <w:gridCol w:w="1113"/>
        <w:gridCol w:w="8131"/>
        <w:gridCol w:w="386"/>
        <w:gridCol w:w="513"/>
        <w:gridCol w:w="604"/>
        <w:gridCol w:w="837"/>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7"/>
                <w:lang w:val="en-US" w:eastAsia="zh-CN" w:bidi="ar"/>
              </w:rPr>
              <w:t>名</w:t>
            </w:r>
            <w:r>
              <w:rPr>
                <w:rStyle w:val="8"/>
                <w:rFonts w:eastAsia="黑体"/>
                <w:lang w:val="en-US" w:eastAsia="zh-CN" w:bidi="ar"/>
              </w:rPr>
              <w:t xml:space="preserve"> </w:t>
            </w:r>
            <w:r>
              <w:rPr>
                <w:rStyle w:val="7"/>
                <w:lang w:val="en-US" w:eastAsia="zh-CN" w:bidi="ar"/>
              </w:rPr>
              <w:t>称</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品牌及型号</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技术参数</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7"/>
                <w:lang w:val="en-US" w:eastAsia="zh-CN" w:bidi="ar"/>
              </w:rPr>
              <w:t>单</w:t>
            </w:r>
            <w:r>
              <w:rPr>
                <w:rStyle w:val="8"/>
                <w:rFonts w:eastAsia="黑体"/>
                <w:lang w:val="en-US" w:eastAsia="zh-CN" w:bidi="ar"/>
              </w:rPr>
              <w:t xml:space="preserve"> </w:t>
            </w:r>
            <w:r>
              <w:rPr>
                <w:rStyle w:val="8"/>
                <w:rFonts w:hint="eastAsia" w:eastAsia="黑体"/>
                <w:lang w:val="en-US" w:eastAsia="zh-CN" w:bidi="ar"/>
              </w:rPr>
              <w:t xml:space="preserve"> </w:t>
            </w:r>
            <w:r>
              <w:rPr>
                <w:rStyle w:val="7"/>
                <w:lang w:val="en-US" w:eastAsia="zh-CN" w:bidi="ar"/>
              </w:rPr>
              <w:t>位</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7"/>
                <w:lang w:val="en-US" w:eastAsia="zh-CN" w:bidi="ar"/>
              </w:rPr>
              <w:t xml:space="preserve">数 </w:t>
            </w:r>
            <w:r>
              <w:rPr>
                <w:rStyle w:val="8"/>
                <w:rFonts w:eastAsia="黑体"/>
                <w:lang w:val="en-US" w:eastAsia="zh-CN" w:bidi="ar"/>
              </w:rPr>
              <w:t xml:space="preserve"> </w:t>
            </w:r>
            <w:r>
              <w:rPr>
                <w:rStyle w:val="7"/>
                <w:lang w:val="en-US" w:eastAsia="zh-CN" w:bidi="ar"/>
              </w:rPr>
              <w:t>量</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7"/>
                <w:lang w:val="en-US" w:eastAsia="zh-CN" w:bidi="ar"/>
              </w:rPr>
              <w:t>单</w:t>
            </w:r>
            <w:r>
              <w:rPr>
                <w:rStyle w:val="8"/>
                <w:rFonts w:eastAsia="黑体"/>
                <w:lang w:val="en-US" w:eastAsia="zh-CN" w:bidi="ar"/>
              </w:rPr>
              <w:t xml:space="preserve"> </w:t>
            </w:r>
            <w:r>
              <w:rPr>
                <w:rStyle w:val="7"/>
                <w:lang w:val="en-US" w:eastAsia="zh-CN" w:bidi="ar"/>
              </w:rPr>
              <w:t>价</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总价</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       及产地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56"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掷实心球测试仪</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2000A-SXQ</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1、采用10英寸真彩LCD液晶屏，屏幕分辨率1280*800，触摸按键；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2、主机采用四核处理器，主频：1.2G，1G DDR3内存，8G NAND Flash；</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3、主机采用便携式防水手提箱，具有抗振动和抗冲击等特性，带有便携式把手，适合快速搭建测试场地，免安装，开盖即可使用；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4、可实时显示测试者的姓名、学号、照片等各种基本信息和测试结果；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5、支持HDMI全高清接口，可双屏同步显示测试过程和结果，以方便学生实时查看测试过程的相关测试数据；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6、采用安卓系统，图形化的操作界面，系统稳定，人机交互性强；同时USB接口可插接普通的键盘和鼠标；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7、采用语音合成技术，具有全程真人发声的语音提示功能；既可使用装置自带的喇叭，也可外接有源音箱；</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8、支持手工输入、提前批量导入学号、IC卡一维码、二维码等多种身份识别方式（支持外接扫码设备）；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9、可选配微型打印机，可实时打印该学生当前项目的测试成绩条；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10、具有实时评分功能，可根据预设的评分标准（最新版国家学生体质测试评定标准，评分标准可调整），对应年级和性别信息，评定正常得分、等级、附加分；同时单台仪器具有统计功能，可实时统计当前仪器内所有学生优秀、良好、及格、不及格各等级所占比例，并以相应饼状图展示让用户一目了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11、内含海量存储芯片，具有双存储介质备份功能，单机测试数据可存储10万条以上，可直接用WIFI、U盘等方式一次性导入计算机。数据上传方便，支持实时上传和批量上传两种数据传输方式；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12、内置大功率环保可充电锂电池，具有充放电管理功能，剩余电量可在系统下实时显示并提供低电量报警提示；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13、当带有LED大屏时，可同步显示成绩；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14、测量范围：0-30米，（详见：GT1606419号检验报告第13页）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15、分度值0.1米，（详见：GT1606419号检验报告第13页）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16、误差：0米，（详见：GT1606419号检验报告第13页）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外设：</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1、采用红外线非接触测量，自动检测测试成绩；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2、检测有效区域的长度可根据客户要求随意组装或拆卸；也可在主机端设置偏移量后，灵活调整检测有效区域；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3、可由用户自行设置测试次数，系统自动选取最好测试成绩为最终测试结果；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4、附件带液晶显示，可实时显示测试成绩，方便测试人员查看；</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5、附件具有强力金属外壳保护，可以抗拒200公斤及以上冲击。</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47600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142800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2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立定跳远测试仪（全量程）</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2000A-TY</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主机：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1、采用：10英寸真彩LCD液晶屏，屏幕分辨率1280*800，触摸按键；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2、可实时显示测试者的姓名、学号、照片等各种基本信息和测试结果；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3、支持HDMI全高清接口，可双屏同步显示测试过程和结果，以方便学生实时查看测试过程的相关测试数据；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4、采用安卓系统，图形化的操作界面，系统稳定，人机交互性强；同时USB接口可插接普通的键盘和鼠标，以方便用户输入；</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5、采用语音合成技术，具有全程真人发声的语音提示功能；既可使用装置自带的喇叭，也可外接有源音箱，方便现场学生操作；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6、支持手工输入、提前批量导入学号、IC卡、一维码、二维码等多种身份识别方式（支持外接扫码设备）；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7、可选配微型打印机，每台仪器测试完成后，可实时打印该学生当前项目的测试成绩条；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8、内含海量存储芯片，具有双存储介质备份功能，单机测试数据可存储10万条以上，可直接用WIFI、U盘等方式一次性导入计算机。数据上传方便，支持实时上传和批量上传两种数据传输方式；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9、内置大功率环保可充电锂电池，具有充放电管理功能；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10、当带有LED大屏时，可同步显示成绩；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11、测试量程：：0—310cm ；（详见：GT1606419号检验报告第8页）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12、分度值：1cm ；（详见：GT1606419号检验报告第8页）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13、测试误差：0.5 cm，（详见：GT1606419号检验报告第8页）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外设：</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1、本测试仪采用红外线非接触测量，安全可靠，经久耐用，测试垫可方便拆换；</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2、立定跳远附件与主机采用无线连接方式，附件可设置地址、通信信道、测试模式等参数；附件也可单独使用；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3、附件采用：尺寸(100*32mm)数码管显示，可实时显示测试成绩；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4、附件配有状态指示灯和蜂鸣器；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附件支持多种测试模块，其中模式1为全检测区起跳模式，即支持在检测区（0—310cm）任意地方起跳，均可出成绩；模式2为单一起跳线模式，且此时有起跳踩线犯规报警功能；模式3为三起跳线模式，此时有起跳踩线犯规报警功能，测试模式可现场进行设置；</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26540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79620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中长跑测试仪（20人同测）</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2000A-ZCP</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主机：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1、采用：10英寸真彩LCD液晶屏，屏幕分辨率：1280*800，触摸按键；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2、主机采用四核处理器，主频：1.2G，1G DDR3内存，8G NAND Flash；</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3、主机采用便携式防水手提箱，具有抗振动和抗冲击等特性，免安装，开盖即可使用；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4、可实时显示测试者的姓名、学号、照片等各种基本信息和测试结果；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5、支持HDMI全高清接口，可双屏同步显示测试过程和结果；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6、采用安卓系统，图形化的操作界面，系统稳定，人机交互性强；同时USB接口可插接普通的键盘和鼠标；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7、采用语音合成技术，具有全程真人发声的语音提示功能；既可使用装置自带的喇叭，也可外接有源音箱；</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8、支持手工输入、提前批量导入学号、IC卡、一维码、二维码等多种身份识别方式（支持外接扫码设备）；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9、可选配微型打印机，可实时打印该学生当前项目的测试成绩条；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10、具有实时评分功能，可根据预设的评分标准（最新版国家学生体质测试评定标准，评分标准可调整），对应年级和性别信息，评定正常得分、等级、附加分；同时单台仪器具有统计功能，可实时统计当前仪器内所有学生优秀、良好、及格、不及格各等级所占比例；</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11、内含海量存储芯片，具有双存储介质备份功能，单机测试数据可存储10万条以上，可直接用WIFI、U盘等方式一次性导入计算机。数据上传方便，支持实时上传和批量上传两种数据传输方式；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12、内置大功率环保可充电锂电池，具有充放电管理功能；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13、有两个主机同时计时，当其中一个主机出现故障或记录成绩不完整时系统自动识别另一台主机的完整信息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14、当带有LED大屏时，可同步显示成绩；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15、测试量程：：0～999.9s （详见：GT1606419号检验报告第10页）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16、分度值：0.1s （详见：GT1606419号检验报告第10页）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17、误差：0.6%。（详见：GT1606419号检验报告第10页）</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外设：</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1、标配20人同时测试，可以扩展到100人同时测试；</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2、本装置带有一个高性能的卡片自动识别系统，具有高速多重识别功能；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3、本装置采用单天线，在终点铺设有天线（地感线圈），可测试400米、800米、1000米、1500米、3000米等中长跑项目，还可根据场地大小任意设置计圈距离，通过调整终点的铺设位置，实现各种长度的跑步检测；</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4、设备具有自动评定最低成绩功能；</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96600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96600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中考体育管理平</w:t>
            </w:r>
            <w:r>
              <w:rPr>
                <w:rStyle w:val="9"/>
                <w:lang w:val="en-US" w:eastAsia="zh-CN" w:bidi="ar"/>
              </w:rPr>
              <w:t xml:space="preserve"> </w:t>
            </w:r>
            <w:r>
              <w:rPr>
                <w:rStyle w:val="7"/>
                <w:lang w:val="en-US" w:eastAsia="zh-CN" w:bidi="ar"/>
              </w:rPr>
              <w:t>台</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TMQZK</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1、本软件具有考生管理功能，用户可实现考生信息的批量导入，导出，考生基本信息的增删改查等基本操作；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2、具有临时考号生成功能，可根据临时考号现场制作准考证，考生依据临时考号进入考场并参与体育项目的测试，满足了部分用户要求考号保密的要求；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3、具有现场制作准考证功能，既可现场制作IC卡类准考证，也可按照客户要求，现场打印系统生成的二维码准考证；</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4、具有数据实时采集功能，可实时采集入口系统考生的入场记录信息、出口系统考生的出场记录信息和成绩打印信息、所有体质测试仪的测试成绩；</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5、系统具有自动评分评级功能，可根据实时采集的测试数据，自动评出单项分数，等级，总分等信息；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6系统具有统计分析功能，可以按单位、测试项目等条件，以柱状图和饼状图方式显示各等级信息；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7、系统具有测试数据定时备份功能，导出功能；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8、当带有打印机时，在出口系统可自助打印成绩单，成绩单格式可根据用户要求调整；</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9、当带有LED大屏时，可通过此大屏系统实时显示考生的出入场信息和测试成绩上传信息，可用于考场测试信息的公开；</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10、系统具有设置功能，可根据现场要求设定必测项目信息、选测项目信息、各项评分权重信息等参数；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11、系统具有操作日志管理功能，可实时记录各种操作日志；</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12、系统具有用户管理功能，支持两级账号管理方式，以方便各种用户的使用操作；</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63300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63300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进场身份识别控制系统</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2000A-JCXT</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1、采用：10英寸真彩LCD液晶屏，触摸按键。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2、采用：1.2G四核处理器，1G DDR3内存，8G NAND Flash，高性能，低功耗，处理速度快。</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3、可实时显示测试者的姓名、考号、照片等各种基本信息。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4、支持HDMI全高清接口，可通过HDMI接口外接大液晶显示屏，方便考生查看相应信息。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5、采用安卓系统，图形化的操作界面，系统稳定，人机交互性强；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6、采用语音合成技术，具有全程真人发声的语音提示功能；既可使用装置自带的喇叭，也可外接有源音箱，方便现场学生操作。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7、带有IC卡和二维码识别系统，可自动对考生的基本信息与中考体育管理系统中的名单信息进行核对，审核通过则放行，并将考生的考号、姓名、性别、学校、照片、测试项目等信息实时显示；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8、系统可通过U盘导入、无线下载等方式更新考生基本信息，同时入场信息可实时发送到中考数据采集及管理工作站。</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9、系统带有闸机控制接口，当选配有闸机时，可通过闸机防止与考试无关的人员进入考场。</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12800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12800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165"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Style w:val="7"/>
                <w:lang w:val="en-US" w:eastAsia="zh-CN" w:bidi="ar"/>
              </w:rPr>
              <w:t>出场成绩核算系</w:t>
            </w:r>
            <w:r>
              <w:rPr>
                <w:rStyle w:val="9"/>
                <w:lang w:val="en-US" w:eastAsia="zh-CN" w:bidi="ar"/>
              </w:rPr>
              <w:t xml:space="preserve"> </w:t>
            </w:r>
            <w:r>
              <w:rPr>
                <w:rStyle w:val="7"/>
                <w:lang w:val="en-US" w:eastAsia="zh-CN" w:bidi="ar"/>
              </w:rPr>
              <w:t>统</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2000A-CCXT</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1、采用：10英寸真彩LCD液晶屏，触摸按键。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2、采用：1.2G四核处理器，1G DDR3内存，8G NAND Flash，高性能，低功耗，处理速度快。</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3、可实时显示测试者的姓名、考号、照片等各种基本信息。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4、支持HDMI全高清接口，可通过HDMI接口外接大液晶显示屏，方便考生查看测试结果和评定等相关信息。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5、采用安卓系统，图形化的操作界面，系统稳定，人机交互性强；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6、采用语音合成技术，具有全程真人发声的语音提示功能；既可使用装置自带的喇叭，也可外接有源音箱，方便现场学生操作。</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7、带有IC卡和二维码识别系统，可自动对考生的考试进度进行分析，未完成测试项目者不允许出考场，从根本上杜绝了测试漏项的问题；</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8、系统可通过无线方式即时更新测试成绩信息；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9、当配有打印系统时，考试刷卡可将考生的基本信息、测试成绩、单项得分和总分等信息以表格的方式实时打印，以便考生确认和纸质存档使用；可自动对考生的基本信息与中考体育管理系统中的名单信息进行核对，审核通过则放行，并将考生的考号、姓名、性别、学校、照片、测试项目等信息实时显示；</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12800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12800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准考证制作系统</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TMQZK</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制证软件制作准考证，并塑封；根据客户需求进行定制；</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5200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5200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考场入口人脸抓拍摄像机</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海康威视      DS-2CD7C4XYZUV-ABCDEF</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具有双镜头、双通道一体化设计。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通道1和通道2均具有400万像素 CMOS传感器。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具有两个图像采集模块。（见公京检1812772号第2页样品概述）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镜头支持垂直角度调节功能。（见公京检1814628号第10页第21项）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具有1/1.8"靶面尺寸。（见公沪检1843438号第3页其他说明）</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像元尺寸2.9um*2.9um。（见公沪检1843438号第3页其他说明）</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内置GPU芯片，内置混合补光灯，可对红外灯及白光灯功率进行调节。（见公沪检1813290号第20页第18项）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动态范围120dB。（见公沪检1843438号第2页第2项）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最低照度彩色：0.0002，黑白：0.0001lx。（见公沪检1843438号第2页第4项）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信噪比60dB。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通道1和通道2在2560x1440 @ 25fps下，清晰度均：1400TVL。（见公京检1813290号第9页第6项）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支持混合抓拍模式，可同时对行人、非机动车、机动车进行检测、跟踪及抓拍，目标捕获率100%。（见公京检1812772号第5页第17项）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在混合抓拍模式下，支持将人脸与人体、车牌与车辆进行关联，支持行人、非机动车属性提取。（见公京检1812772号第4页第12项）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支持检出两眼瞳距20像素点以上的人脸图片，人脸检出率99%。（见公沪检1844445号第4页第14项）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支持人脸区域自动曝光功能，可根据外部不同场景和光照变化自动调节人脸区域曝光参数（见公京检1812772号第5页第18项）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支持单场景同时检出40张人脸图片，并支持面部跟踪。（见公京检1812772号第3页第6项）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同一静止场景相同图像质量下，设备在H.265编码方式时，开启智能编码功能和不开启智能编码相比，码率节约80%</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highlight w:val="none"/>
                <w:u w:val="none"/>
                <w:lang w:val="en-US" w:eastAsia="zh-CN" w:bidi="ar"/>
              </w:rPr>
              <w:t>可识别306种车辆品牌，</w:t>
            </w:r>
            <w:r>
              <w:rPr>
                <w:rFonts w:hint="eastAsia" w:ascii="黑体" w:hAnsi="宋体" w:eastAsia="黑体" w:cs="黑体"/>
                <w:i w:val="0"/>
                <w:color w:val="000000"/>
                <w:kern w:val="0"/>
                <w:sz w:val="20"/>
                <w:szCs w:val="20"/>
                <w:u w:val="none"/>
                <w:lang w:val="en-US" w:eastAsia="zh-CN" w:bidi="ar"/>
              </w:rPr>
              <w:t>车辆品牌识别白天准确率100%，晚上准确率98%，可识别5277种车辆子品牌，车辆品牌识别白天准确率99%，晚上准确率97%。（见公京检1814628号第4页第8项、第7页第9项、第8页第14项、第9页第15项）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支持捕获、识别新能源汽车专用号牌。（见公京检1814628号第4页第5项）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摄像机能够在-40~70摄氏度环境下稳定工作。支持本地SD卡存储，支持256G。</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无线热点探测，支持主动探测无线热点信息，包括SSID、MAC地址、加密类型、强度、时间等等，并定时上传，支持手机信号侦测，侦测范围手机WIFI信息，包括MAC地址、时间、虚拟身份等等，并定时上传。侦测范围全向:500米（实际距离受使用环境影响）。</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IP66防护等级、IK10防暴等级。</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8330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8330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厂家：杭州海康威视数字技术股份有限公司    产地：杭州市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路由器           （无线数据采集器）</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TMQ-TP</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1、工作电源：DC9V</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2、工作频率：2.4G；</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3、信号范围：300米；</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4、支持同时在线仪器数量：20台。</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620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1240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5"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扫描枪</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泰美泉     TMQ-SMQ</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1、支持安卓系统；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2、激光扫描；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3、支持一维码和二维码识别；全向读取</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2650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23850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厂家：北京泰美泉科技有限公司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5"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笔记本电脑</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联想         昭阳E53-80032</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1、屏幕尺寸: 15.6英寸高分辨率屏；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2、处理器：英特尔i5-8250u；</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3、显卡类型:4G独立显卡；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4、内存容量：4G；</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5、硬盘容量：1000G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6、锂电池电芯数量: 4 芯锂电池；</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7、售后服务: 全国联保。</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5820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11640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厂家：联想（北京）有限公司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41"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激光打印机</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HP（惠普）                 LaserJet Pro M203d</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1、类型: 黑白激光高速打印机；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2、最大打印幅面: A4；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3、网络打印:支持；</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4、是否支持双面打印: 支持；</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2760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2760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厂家：惠普（中国）有限公司    产地：中山市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彩色号码衣</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定制印刷（带芯片），中长跑候考使用</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60</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320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19200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中国定制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41"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内存卡</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闪迪       256G-ZN6MA</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256G监控专用存储卡</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张</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675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1350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厂家：闪迪（北京）技术有限公司      产地：北京市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0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读卡器</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绿联              CM104</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接口：USB 3.0；类型：SD；USB3.0读卡器；USB3.0高速读取，双卡双读，SD/TF手机相机内存卡读卡器。</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厂家：深圳市绿联科技有限公司      产地：深圳市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辅材</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w:t>
            </w:r>
          </w:p>
        </w:tc>
        <w:tc>
          <w:tcPr>
            <w:tcW w:w="8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包含线材/插排/电源线等（保证设备的正常运行）</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批</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中国定制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17" w:hRule="atLeast"/>
        </w:trPr>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合计</w:t>
            </w:r>
          </w:p>
        </w:tc>
        <w:tc>
          <w:tcPr>
            <w:tcW w:w="1253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lang w:val="en-US" w:eastAsia="zh-CN" w:bidi="ar"/>
              </w:rPr>
              <w:t>小写：483575元    大写：肆拾捌万叁仟伍佰柒拾伍元整</w:t>
            </w:r>
          </w:p>
        </w:tc>
      </w:tr>
    </w:tbl>
    <w:p>
      <w:pPr>
        <w:autoSpaceDE w:val="0"/>
        <w:autoSpaceDN w:val="0"/>
        <w:adjustRightInd w:val="0"/>
        <w:spacing w:line="360" w:lineRule="auto"/>
        <w:rPr>
          <w:rFonts w:hint="eastAsia" w:ascii="黑体" w:hAnsi="黑体" w:eastAsia="黑体" w:cs="黑体"/>
          <w:sz w:val="24"/>
          <w:szCs w:val="24"/>
          <w:lang w:val="zh-CN"/>
        </w:rPr>
      </w:pPr>
    </w:p>
    <w:p>
      <w:pPr>
        <w:autoSpaceDE w:val="0"/>
        <w:autoSpaceDN w:val="0"/>
        <w:adjustRightInd w:val="0"/>
        <w:spacing w:line="360" w:lineRule="auto"/>
        <w:rPr>
          <w:rFonts w:hint="eastAsia" w:ascii="黑体" w:hAnsi="黑体" w:eastAsia="黑体" w:cs="黑体"/>
          <w:sz w:val="24"/>
          <w:szCs w:val="24"/>
          <w:lang w:val="zh-CN"/>
        </w:rPr>
      </w:pPr>
      <w:r>
        <w:rPr>
          <w:rFonts w:hint="eastAsia" w:ascii="黑体" w:hAnsi="黑体" w:eastAsia="黑体" w:cs="黑体"/>
          <w:sz w:val="24"/>
          <w:szCs w:val="24"/>
          <w:lang w:val="zh-CN"/>
        </w:rPr>
        <w:t>供应商名称（公章）：</w:t>
      </w:r>
      <w:r>
        <w:rPr>
          <w:rFonts w:hint="eastAsia" w:ascii="黑体" w:hAnsi="黑体" w:eastAsia="黑体" w:cs="黑体"/>
          <w:sz w:val="24"/>
          <w:szCs w:val="24"/>
          <w:lang w:eastAsia="zh-CN"/>
        </w:rPr>
        <w:t>禹州市艾诺威科技有限公司</w:t>
      </w:r>
    </w:p>
    <w:p>
      <w:pPr>
        <w:autoSpaceDE w:val="0"/>
        <w:autoSpaceDN w:val="0"/>
        <w:adjustRightInd w:val="0"/>
        <w:spacing w:line="360" w:lineRule="auto"/>
        <w:rPr>
          <w:rFonts w:hint="eastAsia" w:ascii="黑体" w:hAnsi="黑体" w:eastAsia="黑体" w:cs="黑体"/>
          <w:sz w:val="24"/>
          <w:szCs w:val="24"/>
          <w:lang w:val="zh-CN"/>
        </w:rPr>
      </w:pPr>
      <w:r>
        <w:rPr>
          <w:rFonts w:hint="eastAsia" w:ascii="黑体" w:hAnsi="黑体" w:eastAsia="黑体" w:cs="黑体"/>
          <w:sz w:val="24"/>
          <w:szCs w:val="24"/>
          <w:lang w:val="zh-CN"/>
        </w:rPr>
        <w:t>投标人法定代表人 （或授权代表）签字：</w:t>
      </w:r>
      <w:r>
        <w:rPr>
          <w:rFonts w:hint="eastAsia" w:ascii="黑体" w:hAnsi="黑体" w:eastAsia="黑体" w:cs="黑体"/>
          <w:sz w:val="24"/>
          <w:szCs w:val="24"/>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b/>
          <w:bCs/>
          <w:sz w:val="24"/>
          <w:szCs w:val="24"/>
          <w:lang w:val="zh-CN"/>
        </w:rPr>
      </w:pPr>
      <w:r>
        <w:rPr>
          <w:rFonts w:hint="eastAsia" w:ascii="黑体" w:hAnsi="黑体" w:eastAsia="黑体" w:cs="黑体"/>
          <w:sz w:val="24"/>
          <w:szCs w:val="24"/>
          <w:lang w:eastAsia="zh-CN"/>
        </w:rPr>
        <w:t>日期：2019年3月25日</w:t>
      </w:r>
    </w:p>
    <w:p>
      <w:pPr>
        <w:numPr>
          <w:ilvl w:val="0"/>
          <w:numId w:val="1"/>
        </w:numPr>
        <w:spacing w:line="480" w:lineRule="exact"/>
        <w:ind w:left="425" w:leftChars="0" w:hanging="425" w:firstLineChars="0"/>
        <w:jc w:val="center"/>
        <w:textAlignment w:val="baseline"/>
        <w:outlineLvl w:val="0"/>
        <w:rPr>
          <w:rFonts w:hint="eastAsia" w:ascii="黑体" w:hAnsi="黑体" w:eastAsia="黑体" w:cs="黑体"/>
          <w:b/>
          <w:bCs/>
          <w:sz w:val="30"/>
          <w:szCs w:val="30"/>
          <w:lang w:val="zh-CN" w:eastAsia="zh-CN"/>
        </w:rPr>
        <w:sectPr>
          <w:pgSz w:w="16838" w:h="11906" w:orient="landscape"/>
          <w:pgMar w:top="1080" w:right="1440" w:bottom="1080" w:left="1440" w:header="851" w:footer="992" w:gutter="0"/>
          <w:pgNumType w:fmt="decimal"/>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A03FB"/>
    <w:multiLevelType w:val="multilevel"/>
    <w:tmpl w:val="7CEA03FB"/>
    <w:lvl w:ilvl="0" w:tentative="0">
      <w:start w:val="1"/>
      <w:numFmt w:val="chineseCounting"/>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7074D3"/>
    <w:rsid w:val="1A920A05"/>
    <w:rsid w:val="3CAC6434"/>
    <w:rsid w:val="49707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link w:val="6"/>
    <w:semiHidden/>
    <w:uiPriority w:val="0"/>
    <w:rPr>
      <w:rFonts w:ascii="Verdana" w:hAnsi="Verdana"/>
      <w:kern w:val="0"/>
      <w:sz w:val="20"/>
      <w:szCs w:val="20"/>
      <w:lang w:eastAsia="en-US"/>
    </w:rPr>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Times New Roman" w:eastAsia="宋体"/>
      <w:szCs w:val="24"/>
    </w:rPr>
  </w:style>
  <w:style w:type="paragraph" w:styleId="3">
    <w:name w:val="Body Text"/>
    <w:basedOn w:val="1"/>
    <w:qFormat/>
    <w:uiPriority w:val="0"/>
    <w:rPr>
      <w:rFonts w:ascii="仿宋_GB2312" w:hAnsi="Times New Roman" w:eastAsia="仿宋_GB2312" w:cs="Times New Roman"/>
      <w:kern w:val="0"/>
      <w:sz w:val="24"/>
      <w:szCs w:val="20"/>
    </w:rPr>
  </w:style>
  <w:style w:type="paragraph" w:customStyle="1" w:styleId="6">
    <w:name w:val=" Char Char"/>
    <w:basedOn w:val="1"/>
    <w:link w:val="5"/>
    <w:qFormat/>
    <w:uiPriority w:val="0"/>
    <w:pPr>
      <w:widowControl/>
      <w:spacing w:after="160" w:line="240" w:lineRule="exact"/>
      <w:jc w:val="left"/>
    </w:pPr>
    <w:rPr>
      <w:rFonts w:ascii="Verdana" w:hAnsi="Verdana"/>
      <w:kern w:val="0"/>
      <w:sz w:val="20"/>
      <w:szCs w:val="20"/>
      <w:lang w:eastAsia="en-US"/>
    </w:rPr>
  </w:style>
  <w:style w:type="character" w:customStyle="1" w:styleId="7">
    <w:name w:val="font21"/>
    <w:basedOn w:val="5"/>
    <w:qFormat/>
    <w:uiPriority w:val="0"/>
    <w:rPr>
      <w:rFonts w:hint="eastAsia" w:ascii="黑体" w:hAnsi="宋体" w:eastAsia="黑体" w:cs="黑体"/>
      <w:color w:val="000000"/>
      <w:sz w:val="20"/>
      <w:szCs w:val="20"/>
      <w:u w:val="none"/>
    </w:rPr>
  </w:style>
  <w:style w:type="character" w:customStyle="1" w:styleId="8">
    <w:name w:val="font11"/>
    <w:basedOn w:val="5"/>
    <w:qFormat/>
    <w:uiPriority w:val="0"/>
    <w:rPr>
      <w:rFonts w:ascii="Arial" w:hAnsi="Arial" w:cs="Arial"/>
      <w:color w:val="000000"/>
      <w:sz w:val="20"/>
      <w:szCs w:val="20"/>
      <w:u w:val="none"/>
    </w:rPr>
  </w:style>
  <w:style w:type="character" w:customStyle="1" w:styleId="9">
    <w:name w:val="font0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2019-03-26T11:10:00Z</dcterms:created>
  <dc:creator>LENOVO</dc:creator>
  <cp:lastModifiedBy>LENOVO</cp:lastModifiedBy>
  <dcterms:modified xsi:type="dcterms:W3CDTF">2019-03-27T01:19:08Z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