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Lines="50"/>
        <w:ind w:left="602" w:hanging="602" w:hangingChars="200"/>
        <w:jc w:val="center"/>
        <w:outlineLvl w:val="1"/>
        <w:rPr>
          <w:rFonts w:ascii="Calibri Light" w:hAnsi="Calibri Light" w:eastAsia="宋体" w:cs="Times New Roman"/>
          <w:b/>
          <w:bCs/>
          <w:sz w:val="30"/>
          <w:szCs w:val="32"/>
        </w:rPr>
      </w:pPr>
      <w:bookmarkStart w:id="0" w:name="_GoBack"/>
      <w:bookmarkEnd w:id="0"/>
      <w:r>
        <w:rPr>
          <w:rFonts w:hint="eastAsia" w:ascii="Calibri Light" w:hAnsi="Calibri Light" w:eastAsia="宋体" w:cs="Times New Roman"/>
          <w:b/>
          <w:bCs/>
          <w:sz w:val="30"/>
          <w:szCs w:val="32"/>
        </w:rPr>
        <w:t>投标分项报价表</w:t>
      </w:r>
    </w:p>
    <w:p>
      <w:pPr>
        <w:jc w:val="left"/>
        <w:rPr>
          <w:rFonts w:ascii="宋体" w:hAnsi="宋体" w:eastAsia="宋体" w:cs="宋体"/>
          <w:sz w:val="28"/>
          <w:szCs w:val="28"/>
        </w:rPr>
      </w:pPr>
      <w:r>
        <w:rPr>
          <w:rFonts w:hint="eastAsia" w:ascii="宋体" w:hAnsi="宋体" w:eastAsia="宋体" w:cs="宋体"/>
          <w:sz w:val="28"/>
          <w:szCs w:val="28"/>
        </w:rPr>
        <w:t>项目编号：</w:t>
      </w:r>
      <w:r>
        <w:rPr>
          <w:rFonts w:hint="eastAsia" w:ascii="宋体" w:hAnsi="宋体" w:eastAsia="宋体" w:cs="宋体"/>
          <w:sz w:val="28"/>
          <w:szCs w:val="28"/>
          <w:u w:val="single"/>
        </w:rPr>
        <w:t>ZFCG-G2018168-2号</w:t>
      </w:r>
    </w:p>
    <w:p>
      <w:pPr>
        <w:jc w:val="left"/>
        <w:rPr>
          <w:rFonts w:ascii="宋体" w:hAnsi="宋体" w:eastAsia="宋体" w:cs="宋体"/>
          <w:sz w:val="28"/>
          <w:szCs w:val="28"/>
        </w:rPr>
      </w:pPr>
      <w:r>
        <w:rPr>
          <w:rFonts w:hint="eastAsia" w:ascii="宋体" w:hAnsi="宋体" w:eastAsia="宋体" w:cs="宋体"/>
          <w:sz w:val="28"/>
          <w:szCs w:val="28"/>
        </w:rPr>
        <w:t>项目名称：</w:t>
      </w:r>
      <w:r>
        <w:rPr>
          <w:rFonts w:hint="eastAsia" w:ascii="宋体" w:hAnsi="宋体" w:eastAsia="宋体" w:cs="宋体"/>
          <w:sz w:val="28"/>
          <w:szCs w:val="28"/>
          <w:u w:val="single"/>
        </w:rPr>
        <w:t xml:space="preserve">蓝天卫士监控系统 </w:t>
      </w:r>
    </w:p>
    <w:tbl>
      <w:tblPr>
        <w:tblStyle w:val="2"/>
        <w:tblW w:w="14160" w:type="dxa"/>
        <w:tblInd w:w="0" w:type="dxa"/>
        <w:tblLayout w:type="fixed"/>
        <w:tblCellMar>
          <w:top w:w="0" w:type="dxa"/>
          <w:left w:w="108" w:type="dxa"/>
          <w:bottom w:w="0" w:type="dxa"/>
          <w:right w:w="108" w:type="dxa"/>
        </w:tblCellMar>
      </w:tblPr>
      <w:tblGrid>
        <w:gridCol w:w="584"/>
        <w:gridCol w:w="1081"/>
        <w:gridCol w:w="1290"/>
        <w:gridCol w:w="6030"/>
        <w:gridCol w:w="705"/>
        <w:gridCol w:w="795"/>
        <w:gridCol w:w="1290"/>
        <w:gridCol w:w="1350"/>
        <w:gridCol w:w="1035"/>
      </w:tblGrid>
      <w:tr>
        <w:tblPrEx>
          <w:tblLayout w:type="fixed"/>
          <w:tblCellMar>
            <w:top w:w="0" w:type="dxa"/>
            <w:left w:w="108" w:type="dxa"/>
            <w:bottom w:w="0" w:type="dxa"/>
            <w:right w:w="108" w:type="dxa"/>
          </w:tblCellMar>
        </w:tblPrEx>
        <w:trPr>
          <w:trHeight w:val="777" w:hRule="atLeast"/>
        </w:trPr>
        <w:tc>
          <w:tcPr>
            <w:tcW w:w="584"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黑体" w:cs="宋体"/>
                <w:b/>
                <w:sz w:val="24"/>
                <w:szCs w:val="24"/>
                <w:lang w:val="zh-CN"/>
              </w:rPr>
            </w:pPr>
            <w:r>
              <w:rPr>
                <w:rFonts w:hint="eastAsia" w:ascii="宋体" w:hAnsi="宋体" w:eastAsia="宋体" w:cs="宋体"/>
                <w:b/>
                <w:bCs/>
                <w:szCs w:val="21"/>
              </w:rPr>
              <w:t>序号</w:t>
            </w:r>
          </w:p>
        </w:tc>
        <w:tc>
          <w:tcPr>
            <w:tcW w:w="108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黑体" w:cs="宋体"/>
                <w:b/>
                <w:sz w:val="24"/>
                <w:szCs w:val="24"/>
                <w:lang w:val="zh-CN"/>
              </w:rPr>
            </w:pPr>
            <w:r>
              <w:rPr>
                <w:rFonts w:hint="eastAsia" w:ascii="宋体" w:hAnsi="宋体" w:eastAsia="宋体" w:cs="宋体"/>
                <w:b/>
                <w:bCs/>
                <w:szCs w:val="21"/>
              </w:rPr>
              <w:t>货物或服务名称</w:t>
            </w:r>
          </w:p>
        </w:tc>
        <w:tc>
          <w:tcPr>
            <w:tcW w:w="129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cs="宋体"/>
                <w:b/>
                <w:bCs/>
                <w:szCs w:val="21"/>
              </w:rPr>
            </w:pPr>
            <w:r>
              <w:rPr>
                <w:rFonts w:hint="eastAsia" w:ascii="宋体" w:hAnsi="宋体" w:eastAsia="宋体" w:cs="宋体"/>
                <w:b/>
                <w:bCs/>
                <w:szCs w:val="21"/>
              </w:rPr>
              <w:t>品牌规</w:t>
            </w:r>
          </w:p>
          <w:p>
            <w:pPr>
              <w:jc w:val="center"/>
              <w:rPr>
                <w:rFonts w:ascii="宋体" w:hAnsi="宋体" w:eastAsia="黑体" w:cs="宋体"/>
                <w:b/>
                <w:sz w:val="24"/>
                <w:szCs w:val="24"/>
                <w:lang w:val="zh-CN"/>
              </w:rPr>
            </w:pPr>
            <w:r>
              <w:rPr>
                <w:rFonts w:hint="eastAsia" w:ascii="宋体" w:hAnsi="宋体" w:eastAsia="宋体" w:cs="宋体"/>
                <w:b/>
                <w:bCs/>
                <w:szCs w:val="21"/>
              </w:rPr>
              <w:t>格型号</w:t>
            </w:r>
          </w:p>
        </w:tc>
        <w:tc>
          <w:tcPr>
            <w:tcW w:w="60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黑体" w:cs="宋体"/>
                <w:b/>
                <w:sz w:val="24"/>
                <w:szCs w:val="24"/>
                <w:lang w:val="zh-CN"/>
              </w:rPr>
            </w:pPr>
            <w:r>
              <w:rPr>
                <w:rFonts w:hint="eastAsia" w:ascii="宋体" w:hAnsi="宋体" w:eastAsia="宋体" w:cs="宋体"/>
                <w:b/>
                <w:bCs/>
                <w:szCs w:val="21"/>
              </w:rPr>
              <w:t>技术参数</w:t>
            </w:r>
          </w:p>
        </w:tc>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单 位</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数 量</w:t>
            </w:r>
          </w:p>
        </w:tc>
        <w:tc>
          <w:tcPr>
            <w:tcW w:w="12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宋体"/>
                <w:b/>
                <w:sz w:val="24"/>
                <w:szCs w:val="24"/>
                <w:lang w:val="zh-CN"/>
              </w:rPr>
            </w:pPr>
            <w:r>
              <w:rPr>
                <w:rFonts w:hint="eastAsia" w:ascii="宋体" w:hAnsi="宋体" w:eastAsia="宋体" w:cs="宋体"/>
                <w:b/>
                <w:sz w:val="24"/>
                <w:szCs w:val="24"/>
                <w:lang w:val="zh-CN"/>
              </w:rPr>
              <w:t>单价</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jc w:val="center"/>
              <w:rPr>
                <w:rFonts w:ascii="宋体" w:hAnsi="宋体" w:eastAsia="宋体" w:cs="宋体"/>
                <w:b/>
                <w:sz w:val="24"/>
                <w:szCs w:val="24"/>
                <w:lang w:val="zh-CN"/>
              </w:rPr>
            </w:pPr>
            <w:r>
              <w:rPr>
                <w:rFonts w:hint="eastAsia" w:ascii="宋体" w:hAnsi="宋体" w:eastAsia="宋体" w:cs="宋体"/>
                <w:b/>
                <w:sz w:val="24"/>
                <w:szCs w:val="24"/>
                <w:lang w:val="zh-CN"/>
              </w:rPr>
              <w:t>总价</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宋体" w:hAnsi="宋体" w:eastAsia="宋体" w:cs="宋体"/>
                <w:b/>
                <w:sz w:val="24"/>
                <w:szCs w:val="24"/>
                <w:lang w:val="zh-CN"/>
              </w:rPr>
            </w:pPr>
            <w:r>
              <w:rPr>
                <w:rFonts w:hint="eastAsia" w:ascii="宋体" w:hAnsi="宋体" w:eastAsia="宋体" w:cs="宋体"/>
                <w:b/>
                <w:sz w:val="24"/>
                <w:szCs w:val="24"/>
                <w:lang w:val="zh-CN"/>
              </w:rPr>
              <w:t>产地及厂家</w:t>
            </w:r>
          </w:p>
        </w:tc>
      </w:tr>
      <w:tr>
        <w:tblPrEx>
          <w:tblLayout w:type="fixed"/>
          <w:tblCellMar>
            <w:top w:w="0" w:type="dxa"/>
            <w:left w:w="108" w:type="dxa"/>
            <w:bottom w:w="0" w:type="dxa"/>
            <w:right w:w="108" w:type="dxa"/>
          </w:tblCellMar>
        </w:tblPrEx>
        <w:trPr>
          <w:trHeight w:val="969" w:hRule="atLeast"/>
        </w:trPr>
        <w:tc>
          <w:tcPr>
            <w:tcW w:w="5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宋体"/>
                <w:bCs/>
                <w:sz w:val="24"/>
                <w:szCs w:val="24"/>
              </w:rPr>
              <w:t>1</w:t>
            </w:r>
          </w:p>
        </w:tc>
        <w:tc>
          <w:tcPr>
            <w:tcW w:w="108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宋体"/>
                <w:kern w:val="0"/>
                <w:sz w:val="24"/>
                <w:szCs w:val="24"/>
              </w:rPr>
              <w:t>LCD显示单元</w:t>
            </w:r>
          </w:p>
        </w:tc>
        <w:tc>
          <w:tcPr>
            <w:tcW w:w="129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赛普</w:t>
            </w:r>
          </w:p>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Samplex</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宋体"/>
                <w:b/>
                <w:bCs/>
                <w:sz w:val="24"/>
                <w:szCs w:val="24"/>
              </w:rPr>
              <w:t>SAM550MD</w:t>
            </w:r>
          </w:p>
        </w:tc>
        <w:tc>
          <w:tcPr>
            <w:tcW w:w="603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eastAsia="宋体" w:cs="宋体"/>
                <w:kern w:val="0"/>
                <w:sz w:val="24"/>
                <w:szCs w:val="24"/>
              </w:rPr>
            </w:pPr>
            <w:r>
              <w:rPr>
                <w:rFonts w:hint="eastAsia" w:ascii="宋体" w:hAnsi="宋体" w:eastAsia="宋体" w:cs="宋体"/>
                <w:kern w:val="0"/>
                <w:sz w:val="24"/>
                <w:szCs w:val="24"/>
              </w:rPr>
              <w:t>本项目的LCD显示系统拼接墙由9套LCD 55 英寸显示单元以3（行）×3（列）的方式拼接而成，具体要求如下：</w:t>
            </w:r>
            <w:r>
              <w:rPr>
                <w:rFonts w:ascii="宋体" w:hAnsi="宋体" w:eastAsia="宋体" w:cs="宋体"/>
                <w:kern w:val="0"/>
                <w:sz w:val="24"/>
                <w:szCs w:val="24"/>
              </w:rPr>
              <w:sym w:font="Wingdings" w:char="0074"/>
            </w:r>
            <w:r>
              <w:rPr>
                <w:rFonts w:hint="eastAsia" w:ascii="宋体" w:hAnsi="宋体" w:eastAsia="宋体" w:cs="宋体"/>
                <w:kern w:val="0"/>
                <w:sz w:val="24"/>
                <w:szCs w:val="24"/>
              </w:rPr>
              <w:t>1.拼缝：3.5mm，分辨率：1920×1080，</w:t>
            </w:r>
            <w:r>
              <w:rPr>
                <w:rFonts w:hint="eastAsia" w:ascii="宋体" w:hAnsi="宋体" w:eastAsia="宋体" w:cs="宋体"/>
                <w:b/>
                <w:bCs/>
                <w:color w:val="000000"/>
                <w:kern w:val="0"/>
                <w:sz w:val="24"/>
                <w:szCs w:val="24"/>
              </w:rPr>
              <w:t>亮度：718cd/m2，对比度：4800:1，响应时间：6ms，</w:t>
            </w:r>
            <w:r>
              <w:rPr>
                <w:rFonts w:hint="eastAsia" w:ascii="宋体" w:hAnsi="宋体" w:eastAsia="宋体" w:cs="宋体"/>
                <w:kern w:val="0"/>
                <w:sz w:val="24"/>
                <w:szCs w:val="24"/>
              </w:rPr>
              <w:t>垂直视角: 178度，水平: 视角178度；</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2.显示单元密闭性好，具有防漏光设计，漏光率≤0.02cd/m²；</w:t>
            </w:r>
          </w:p>
          <w:p>
            <w:pPr>
              <w:spacing w:line="360" w:lineRule="auto"/>
              <w:rPr>
                <w:rFonts w:ascii="宋体" w:hAnsi="宋体" w:eastAsia="宋体" w:cs="宋体"/>
                <w:kern w:val="0"/>
                <w:sz w:val="24"/>
                <w:szCs w:val="24"/>
              </w:rPr>
            </w:pPr>
            <w:r>
              <w:rPr>
                <w:rFonts w:ascii="宋体" w:hAnsi="宋体" w:eastAsia="宋体" w:cs="宋体"/>
                <w:kern w:val="0"/>
                <w:sz w:val="24"/>
                <w:szCs w:val="24"/>
              </w:rPr>
              <w:sym w:font="Wingdings" w:char="0074"/>
            </w:r>
            <w:r>
              <w:rPr>
                <w:rFonts w:hint="eastAsia" w:ascii="宋体" w:hAnsi="宋体" w:eastAsia="宋体" w:cs="宋体"/>
                <w:kern w:val="0"/>
                <w:sz w:val="24"/>
                <w:szCs w:val="24"/>
              </w:rPr>
              <w:t>3.</w:t>
            </w:r>
            <w:r>
              <w:rPr>
                <w:rFonts w:hint="eastAsia" w:ascii="宋体" w:hAnsi="宋体" w:eastAsia="宋体" w:cs="宋体"/>
                <w:b/>
                <w:bCs/>
                <w:color w:val="000000"/>
                <w:kern w:val="0"/>
                <w:sz w:val="24"/>
                <w:szCs w:val="24"/>
              </w:rPr>
              <w:t>显示单元可达水平分辨力1000TVL，</w:t>
            </w:r>
            <w:r>
              <w:rPr>
                <w:rFonts w:hint="eastAsia" w:ascii="宋体" w:hAnsi="宋体" w:eastAsia="宋体" w:cs="宋体"/>
                <w:kern w:val="0"/>
                <w:sz w:val="24"/>
                <w:szCs w:val="24"/>
              </w:rPr>
              <w:t>图像重显率：95%，白平衡误差：±0.010，几何失真率：3%；</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4.显示单元可抵抗太阳光等强光干扰，照度在95K Lux能正常工作；</w:t>
            </w:r>
          </w:p>
          <w:p>
            <w:pPr>
              <w:spacing w:line="360" w:lineRule="auto"/>
              <w:rPr>
                <w:rFonts w:ascii="宋体" w:hAnsi="宋体" w:eastAsia="宋体" w:cs="宋体"/>
                <w:b/>
                <w:bCs/>
                <w:kern w:val="0"/>
                <w:sz w:val="24"/>
                <w:szCs w:val="24"/>
              </w:rPr>
            </w:pPr>
            <w:r>
              <w:rPr>
                <w:rFonts w:hint="eastAsia" w:ascii="宋体" w:hAnsi="宋体" w:eastAsia="宋体" w:cs="宋体"/>
                <w:b/>
                <w:bCs/>
                <w:kern w:val="0"/>
                <w:sz w:val="24"/>
                <w:szCs w:val="24"/>
              </w:rPr>
              <w:t>5.显示单元亮度鉴别等级</w:t>
            </w:r>
            <w:r>
              <w:rPr>
                <w:rFonts w:hint="eastAsia" w:ascii="宋体" w:hAnsi="宋体" w:eastAsia="宋体" w:cs="宋体"/>
                <w:b/>
                <w:bCs/>
                <w:color w:val="000000"/>
                <w:kern w:val="0"/>
                <w:sz w:val="24"/>
                <w:szCs w:val="24"/>
              </w:rPr>
              <w:t>：11级</w:t>
            </w:r>
            <w:r>
              <w:rPr>
                <w:rFonts w:hint="eastAsia" w:ascii="宋体" w:hAnsi="宋体" w:eastAsia="宋体" w:cs="宋体"/>
                <w:b/>
                <w:bCs/>
                <w:kern w:val="0"/>
                <w:sz w:val="24"/>
                <w:szCs w:val="24"/>
              </w:rPr>
              <w:t>，并支持自定义设置亮度模式，可以根据使用需要选择不同的亮度运行；</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6.显示单元采用一体机设计，单元后盖完全覆盖板卡、电源和面板，杜绝使用元器件外漏产品避免安全隐患；</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7.显示单元信号接口丰富，支持Video、YPbPr、VGA、DVI、HDMI等信号源接入；</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8.支持拼缝补偿功能，可在控制端对LCD拼接时的缝隙进行屏幕数据补偿、几何修正，解决拼接墙图像边框处不连续现象；</w:t>
            </w:r>
          </w:p>
          <w:p>
            <w:pPr>
              <w:spacing w:line="360" w:lineRule="auto"/>
              <w:rPr>
                <w:rFonts w:ascii="宋体" w:hAnsi="宋体" w:eastAsia="宋体" w:cs="宋体"/>
                <w:kern w:val="0"/>
                <w:sz w:val="24"/>
                <w:szCs w:val="24"/>
              </w:rPr>
            </w:pPr>
            <w:r>
              <w:rPr>
                <w:rFonts w:ascii="宋体" w:hAnsi="宋体" w:eastAsia="宋体" w:cs="宋体"/>
                <w:kern w:val="0"/>
                <w:sz w:val="24"/>
                <w:szCs w:val="24"/>
              </w:rPr>
              <w:sym w:font="Wingdings" w:char="0074"/>
            </w:r>
            <w:r>
              <w:rPr>
                <w:rFonts w:hint="eastAsia" w:ascii="宋体" w:hAnsi="宋体" w:eastAsia="宋体" w:cs="宋体"/>
                <w:kern w:val="0"/>
                <w:sz w:val="24"/>
                <w:szCs w:val="24"/>
              </w:rPr>
              <w:t>9.显示单元有一定的抗震能力，抗震等级可达8级；</w:t>
            </w:r>
          </w:p>
          <w:p>
            <w:pPr>
              <w:spacing w:line="360" w:lineRule="auto"/>
              <w:rPr>
                <w:rFonts w:ascii="宋体" w:hAnsi="宋体" w:eastAsia="宋体" w:cs="宋体"/>
                <w:b/>
                <w:bCs/>
                <w:kern w:val="0"/>
                <w:sz w:val="24"/>
                <w:szCs w:val="24"/>
              </w:rPr>
            </w:pPr>
            <w:r>
              <w:rPr>
                <w:rFonts w:ascii="宋体" w:hAnsi="宋体" w:eastAsia="宋体" w:cs="宋体"/>
                <w:kern w:val="0"/>
                <w:sz w:val="24"/>
                <w:szCs w:val="24"/>
              </w:rPr>
              <w:sym w:font="Wingdings" w:char="0074"/>
            </w:r>
            <w:r>
              <w:rPr>
                <w:rFonts w:hint="eastAsia" w:ascii="宋体" w:hAnsi="宋体" w:eastAsia="宋体" w:cs="宋体"/>
                <w:b/>
                <w:bCs/>
                <w:kern w:val="0"/>
                <w:sz w:val="24"/>
                <w:szCs w:val="24"/>
              </w:rPr>
              <w:t>10.显示单元的平均无故障运行时间，</w:t>
            </w:r>
            <w:r>
              <w:rPr>
                <w:rFonts w:hint="eastAsia" w:ascii="宋体" w:hAnsi="宋体" w:eastAsia="宋体" w:cs="宋体"/>
                <w:b/>
                <w:bCs/>
                <w:color w:val="000000"/>
                <w:kern w:val="0"/>
                <w:sz w:val="24"/>
                <w:szCs w:val="24"/>
              </w:rPr>
              <w:t>MTBF：190000</w:t>
            </w:r>
            <w:r>
              <w:rPr>
                <w:rFonts w:hint="eastAsia" w:ascii="宋体" w:hAnsi="宋体" w:eastAsia="宋体" w:cs="宋体"/>
                <w:b/>
                <w:bCs/>
                <w:kern w:val="0"/>
                <w:sz w:val="24"/>
                <w:szCs w:val="24"/>
              </w:rPr>
              <w:t>；</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11.显示单元具有一定防火能力，可避免恶劣环境下运行工作时产生灾害，整机采用铝合金材质，具备防火功能；</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12.显示单元外壳金属表面具备抗盐雾腐蚀能力：10级；</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13.显示单元具备高海拔工作能力，可以在15000英尺高海拔地区正常工作；</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14.显示单元具有防失真、防静电功能自控防失真功能、支持多路图像同步显示、远传传输防静电功能；</w:t>
            </w:r>
          </w:p>
          <w:p>
            <w:pPr>
              <w:autoSpaceDE w:val="0"/>
              <w:autoSpaceDN w:val="0"/>
              <w:adjustRightInd w:val="0"/>
              <w:spacing w:line="360" w:lineRule="auto"/>
              <w:rPr>
                <w:rFonts w:ascii="宋体" w:hAnsi="宋体" w:eastAsia="宋体" w:cs="Times New Roman"/>
                <w:sz w:val="24"/>
                <w:szCs w:val="24"/>
              </w:rPr>
            </w:pPr>
            <w:r>
              <w:rPr>
                <w:rFonts w:ascii="宋体" w:hAnsi="宋体" w:eastAsia="宋体" w:cs="宋体"/>
                <w:kern w:val="0"/>
                <w:sz w:val="24"/>
                <w:szCs w:val="24"/>
              </w:rPr>
              <w:sym w:font="Wingdings" w:char="0074"/>
            </w:r>
            <w:r>
              <w:rPr>
                <w:rFonts w:hint="eastAsia" w:ascii="宋体" w:hAnsi="宋体" w:eastAsia="宋体" w:cs="宋体"/>
                <w:b/>
                <w:bCs/>
                <w:kern w:val="0"/>
                <w:sz w:val="24"/>
                <w:szCs w:val="24"/>
              </w:rPr>
              <w:t>15.</w:t>
            </w:r>
            <w:r>
              <w:rPr>
                <w:rFonts w:hint="eastAsia" w:ascii="宋体" w:hAnsi="宋体" w:eastAsia="宋体" w:cs="宋体"/>
                <w:b/>
                <w:bCs/>
                <w:color w:val="000000"/>
                <w:kern w:val="0"/>
                <w:sz w:val="24"/>
                <w:szCs w:val="24"/>
              </w:rPr>
              <w:t>显示单元通过IP6X防尘检测；</w:t>
            </w:r>
          </w:p>
        </w:tc>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套</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9</w:t>
            </w:r>
          </w:p>
        </w:tc>
        <w:tc>
          <w:tcPr>
            <w:tcW w:w="12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lang w:val="en-US" w:eastAsia="zh-CN"/>
              </w:rPr>
              <w:t>1</w:t>
            </w:r>
            <w:r>
              <w:rPr>
                <w:rFonts w:hint="eastAsia" w:ascii="宋体" w:hAnsi="宋体" w:eastAsia="宋体" w:cs="Times New Roman"/>
                <w:sz w:val="24"/>
                <w:szCs w:val="24"/>
              </w:rPr>
              <w:t>6000</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144000</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广州/广州市赛普电子科技有限公司</w:t>
            </w:r>
          </w:p>
        </w:tc>
      </w:tr>
      <w:tr>
        <w:tblPrEx>
          <w:tblLayout w:type="fixed"/>
          <w:tblCellMar>
            <w:top w:w="0" w:type="dxa"/>
            <w:left w:w="108" w:type="dxa"/>
            <w:bottom w:w="0" w:type="dxa"/>
            <w:right w:w="108" w:type="dxa"/>
          </w:tblCellMar>
        </w:tblPrEx>
        <w:trPr>
          <w:trHeight w:val="921" w:hRule="atLeast"/>
        </w:trPr>
        <w:tc>
          <w:tcPr>
            <w:tcW w:w="5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宋体"/>
                <w:sz w:val="24"/>
                <w:szCs w:val="24"/>
              </w:rPr>
              <w:t>2</w:t>
            </w:r>
          </w:p>
        </w:tc>
        <w:tc>
          <w:tcPr>
            <w:tcW w:w="108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宋体"/>
                <w:kern w:val="0"/>
                <w:sz w:val="24"/>
                <w:szCs w:val="24"/>
              </w:rPr>
              <w:t>大屏幕支架</w:t>
            </w:r>
          </w:p>
        </w:tc>
        <w:tc>
          <w:tcPr>
            <w:tcW w:w="129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赛普</w:t>
            </w:r>
          </w:p>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Samplex</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宋体"/>
                <w:b/>
                <w:bCs/>
                <w:sz w:val="24"/>
                <w:szCs w:val="24"/>
              </w:rPr>
              <w:t>定制</w:t>
            </w:r>
          </w:p>
        </w:tc>
        <w:tc>
          <w:tcPr>
            <w:tcW w:w="603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eastAsia="宋体" w:cs="宋体"/>
                <w:kern w:val="0"/>
                <w:sz w:val="24"/>
                <w:szCs w:val="24"/>
              </w:rPr>
            </w:pPr>
            <w:r>
              <w:rPr>
                <w:rFonts w:hint="eastAsia" w:ascii="宋体" w:hAnsi="宋体" w:eastAsia="宋体" w:cs="宋体"/>
                <w:kern w:val="0"/>
                <w:sz w:val="24"/>
                <w:szCs w:val="24"/>
              </w:rPr>
              <w:t>底座高度订制，采用铝型材支架，安装灵活多变，根据客户需要在项目现场进行改装。</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宋体"/>
                <w:kern w:val="0"/>
                <w:sz w:val="24"/>
                <w:szCs w:val="24"/>
              </w:rPr>
              <w:t>支架通过RoHS认证。</w:t>
            </w:r>
          </w:p>
        </w:tc>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套</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12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r>
              <w:rPr>
                <w:rFonts w:hint="eastAsia" w:ascii="宋体" w:hAnsi="宋体" w:eastAsia="宋体" w:cs="Times New Roman"/>
                <w:sz w:val="24"/>
                <w:szCs w:val="24"/>
                <w:lang w:val="en-US" w:eastAsia="zh-CN"/>
              </w:rPr>
              <w:t>0</w:t>
            </w:r>
            <w:r>
              <w:rPr>
                <w:rFonts w:hint="eastAsia" w:ascii="宋体" w:hAnsi="宋体" w:eastAsia="宋体" w:cs="Times New Roman"/>
                <w:sz w:val="24"/>
                <w:szCs w:val="24"/>
              </w:rPr>
              <w:t>000</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r>
              <w:rPr>
                <w:rFonts w:hint="eastAsia" w:ascii="宋体" w:hAnsi="宋体" w:eastAsia="宋体" w:cs="Times New Roman"/>
                <w:sz w:val="24"/>
                <w:szCs w:val="24"/>
                <w:lang w:val="en-US" w:eastAsia="zh-CN"/>
              </w:rPr>
              <w:t>0</w:t>
            </w:r>
            <w:r>
              <w:rPr>
                <w:rFonts w:hint="eastAsia" w:ascii="宋体" w:hAnsi="宋体" w:eastAsia="宋体" w:cs="Times New Roman"/>
                <w:sz w:val="24"/>
                <w:szCs w:val="24"/>
              </w:rPr>
              <w:t>000</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广州/广州市赛普电子科技有限公司</w:t>
            </w:r>
          </w:p>
        </w:tc>
      </w:tr>
      <w:tr>
        <w:tblPrEx>
          <w:tblLayout w:type="fixed"/>
          <w:tblCellMar>
            <w:top w:w="0" w:type="dxa"/>
            <w:left w:w="108" w:type="dxa"/>
            <w:bottom w:w="0" w:type="dxa"/>
            <w:right w:w="108" w:type="dxa"/>
          </w:tblCellMar>
        </w:tblPrEx>
        <w:trPr>
          <w:trHeight w:val="921" w:hRule="atLeast"/>
        </w:trPr>
        <w:tc>
          <w:tcPr>
            <w:tcW w:w="5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宋体"/>
                <w:sz w:val="24"/>
                <w:szCs w:val="24"/>
              </w:rPr>
              <w:t>3</w:t>
            </w:r>
          </w:p>
        </w:tc>
        <w:tc>
          <w:tcPr>
            <w:tcW w:w="108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sz w:val="24"/>
                <w:szCs w:val="24"/>
              </w:rPr>
            </w:pPr>
            <w:r>
              <w:rPr>
                <w:rFonts w:hint="eastAsia" w:ascii="宋体" w:hAnsi="宋体" w:eastAsia="宋体" w:cs="宋体"/>
                <w:sz w:val="24"/>
                <w:szCs w:val="24"/>
              </w:rPr>
              <w:t>多屏</w:t>
            </w:r>
          </w:p>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宋体"/>
                <w:sz w:val="24"/>
                <w:szCs w:val="24"/>
              </w:rPr>
              <w:t>处理器</w:t>
            </w:r>
          </w:p>
        </w:tc>
        <w:tc>
          <w:tcPr>
            <w:tcW w:w="129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赛普</w:t>
            </w:r>
          </w:p>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Samplex</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宋体"/>
                <w:b/>
                <w:bCs/>
                <w:sz w:val="24"/>
                <w:szCs w:val="24"/>
              </w:rPr>
              <w:t>SMS6000</w:t>
            </w:r>
          </w:p>
        </w:tc>
        <w:tc>
          <w:tcPr>
            <w:tcW w:w="603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eastAsia="宋体" w:cs="宋体"/>
                <w:kern w:val="0"/>
                <w:sz w:val="24"/>
                <w:szCs w:val="24"/>
              </w:rPr>
            </w:pPr>
            <w:r>
              <w:rPr>
                <w:rFonts w:hint="eastAsia" w:ascii="宋体" w:hAnsi="宋体" w:eastAsia="宋体" w:cs="宋体"/>
                <w:kern w:val="0"/>
                <w:sz w:val="24"/>
                <w:szCs w:val="24"/>
              </w:rPr>
              <w:t>本项目支持12路DVI信号输入，所有信号与应用窗口可以在全墙任意位置、任意大小、任意顺序叠加显示，具体要求如下：1.采用纯硬件架构，无需操作系统，完全杜绝计算机病毒侵扰。</w:t>
            </w:r>
          </w:p>
          <w:p>
            <w:pPr>
              <w:spacing w:line="360" w:lineRule="auto"/>
              <w:rPr>
                <w:rFonts w:ascii="宋体" w:hAnsi="宋体" w:eastAsia="宋体" w:cs="宋体"/>
                <w:kern w:val="0"/>
                <w:sz w:val="24"/>
                <w:szCs w:val="24"/>
              </w:rPr>
            </w:pPr>
            <w:r>
              <w:rPr>
                <w:rFonts w:ascii="宋体" w:hAnsi="宋体" w:eastAsia="宋体" w:cs="宋体"/>
                <w:kern w:val="0"/>
                <w:sz w:val="24"/>
                <w:szCs w:val="24"/>
              </w:rPr>
              <w:sym w:font="Wingdings" w:char="0074"/>
            </w:r>
            <w:r>
              <w:rPr>
                <w:rFonts w:hint="eastAsia" w:ascii="宋体" w:hAnsi="宋体" w:eastAsia="宋体" w:cs="宋体"/>
                <w:kern w:val="0"/>
                <w:sz w:val="24"/>
                <w:szCs w:val="24"/>
              </w:rPr>
              <w:t>2.机箱具备前置5英寸LCD液晶面板，可实时显示设备运行状态，可对处理器的机箱内部温度、电源电压、风扇转速等进行实时监控并显示，非正常状态进行报警；</w:t>
            </w:r>
          </w:p>
          <w:p>
            <w:pPr>
              <w:spacing w:line="360" w:lineRule="auto"/>
              <w:rPr>
                <w:rFonts w:ascii="宋体" w:hAnsi="宋体" w:eastAsia="宋体" w:cs="宋体"/>
                <w:kern w:val="0"/>
                <w:sz w:val="24"/>
                <w:szCs w:val="24"/>
              </w:rPr>
            </w:pPr>
            <w:r>
              <w:rPr>
                <w:rFonts w:ascii="宋体" w:hAnsi="宋体" w:eastAsia="宋体" w:cs="宋体"/>
                <w:kern w:val="0"/>
                <w:sz w:val="24"/>
                <w:szCs w:val="24"/>
              </w:rPr>
              <w:sym w:font="Wingdings" w:char="0074"/>
            </w:r>
            <w:r>
              <w:rPr>
                <w:rFonts w:hint="eastAsia" w:ascii="宋体" w:hAnsi="宋体" w:eastAsia="宋体" w:cs="宋体"/>
                <w:b/>
                <w:bCs/>
                <w:kern w:val="0"/>
                <w:sz w:val="24"/>
                <w:szCs w:val="24"/>
              </w:rPr>
              <w:t>3.</w:t>
            </w:r>
            <w:r>
              <w:rPr>
                <w:rFonts w:hint="eastAsia" w:ascii="宋体" w:hAnsi="宋体" w:eastAsia="宋体" w:cs="宋体"/>
                <w:b/>
                <w:bCs/>
                <w:color w:val="000000"/>
                <w:kern w:val="0"/>
                <w:sz w:val="24"/>
                <w:szCs w:val="24"/>
              </w:rPr>
              <w:t>系统总带宽：：3000Gbps；</w:t>
            </w:r>
          </w:p>
          <w:p>
            <w:pPr>
              <w:spacing w:line="360" w:lineRule="auto"/>
              <w:rPr>
                <w:rFonts w:ascii="宋体" w:hAnsi="宋体" w:eastAsia="宋体" w:cs="宋体"/>
                <w:kern w:val="0"/>
                <w:sz w:val="24"/>
                <w:szCs w:val="24"/>
              </w:rPr>
            </w:pPr>
            <w:r>
              <w:rPr>
                <w:rFonts w:ascii="宋体" w:hAnsi="宋体" w:eastAsia="宋体" w:cs="宋体"/>
                <w:kern w:val="0"/>
                <w:sz w:val="24"/>
                <w:szCs w:val="24"/>
              </w:rPr>
              <w:sym w:font="Wingdings" w:char="0074"/>
            </w:r>
            <w:r>
              <w:rPr>
                <w:rFonts w:hint="eastAsia" w:ascii="宋体" w:hAnsi="宋体" w:eastAsia="宋体" w:cs="宋体"/>
                <w:kern w:val="0"/>
                <w:sz w:val="24"/>
                <w:szCs w:val="24"/>
              </w:rPr>
              <w:t>4.信号开窗速度单窗口&lt;30ms，72/64预览回显窗口&lt;3s；</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5.具备信号共享功能，对接入处理器的各类视频信号以网络流的方式共享给异地配有视频解码端的显示设备图像显示；</w:t>
            </w:r>
          </w:p>
          <w:p>
            <w:pPr>
              <w:spacing w:line="360" w:lineRule="auto"/>
              <w:rPr>
                <w:rFonts w:ascii="宋体" w:hAnsi="宋体" w:eastAsia="宋体" w:cs="宋体"/>
                <w:kern w:val="0"/>
                <w:sz w:val="24"/>
                <w:szCs w:val="24"/>
              </w:rPr>
            </w:pPr>
            <w:r>
              <w:rPr>
                <w:rFonts w:ascii="宋体" w:hAnsi="宋体" w:eastAsia="宋体" w:cs="宋体"/>
                <w:kern w:val="0"/>
                <w:sz w:val="24"/>
                <w:szCs w:val="24"/>
              </w:rPr>
              <w:sym w:font="Wingdings" w:char="0074"/>
            </w:r>
            <w:r>
              <w:rPr>
                <w:rFonts w:hint="eastAsia" w:ascii="宋体" w:hAnsi="宋体" w:eastAsia="宋体" w:cs="宋体"/>
                <w:b/>
                <w:bCs/>
                <w:color w:val="000000"/>
                <w:kern w:val="0"/>
                <w:sz w:val="24"/>
                <w:szCs w:val="24"/>
              </w:rPr>
              <w:t>6.全单板支持热插拔功能，业务自动恢复时间：3s；</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7.支持超高分单一逻辑桌面信号与桌面分别独立处理；</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8.采用抗高温高湿低温设计。</w:t>
            </w:r>
          </w:p>
          <w:p>
            <w:pPr>
              <w:spacing w:line="360" w:lineRule="auto"/>
              <w:rPr>
                <w:rFonts w:ascii="宋体" w:hAnsi="宋体" w:eastAsia="宋体" w:cs="宋体"/>
                <w:kern w:val="0"/>
                <w:sz w:val="24"/>
                <w:szCs w:val="24"/>
              </w:rPr>
            </w:pPr>
            <w:r>
              <w:rPr>
                <w:rFonts w:ascii="宋体" w:hAnsi="宋体" w:eastAsia="宋体" w:cs="宋体"/>
                <w:kern w:val="0"/>
                <w:sz w:val="24"/>
                <w:szCs w:val="24"/>
              </w:rPr>
              <w:sym w:font="Wingdings" w:char="0074"/>
            </w:r>
            <w:r>
              <w:rPr>
                <w:rFonts w:hint="eastAsia" w:ascii="宋体" w:hAnsi="宋体" w:eastAsia="宋体" w:cs="宋体"/>
                <w:kern w:val="0"/>
                <w:sz w:val="24"/>
                <w:szCs w:val="24"/>
              </w:rPr>
              <w:t>9.多屏处理器符合抗震要求，10级震动。</w:t>
            </w:r>
          </w:p>
          <w:p>
            <w:pPr>
              <w:spacing w:line="360" w:lineRule="auto"/>
              <w:rPr>
                <w:rFonts w:ascii="宋体" w:hAnsi="宋体" w:eastAsia="宋体" w:cs="Times New Roman"/>
                <w:sz w:val="24"/>
                <w:szCs w:val="24"/>
              </w:rPr>
            </w:pPr>
            <w:r>
              <w:rPr>
                <w:rFonts w:hint="eastAsia" w:ascii="宋体" w:hAnsi="宋体" w:eastAsia="宋体" w:cs="宋体"/>
                <w:b/>
                <w:bCs/>
                <w:kern w:val="0"/>
                <w:sz w:val="24"/>
                <w:szCs w:val="24"/>
              </w:rPr>
              <w:t>10.设备MTBF平均无故障时间：180,000小时。</w:t>
            </w:r>
          </w:p>
        </w:tc>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套</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12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lang w:val="en-US" w:eastAsia="zh-CN"/>
              </w:rPr>
              <w:t>3</w:t>
            </w:r>
            <w:r>
              <w:rPr>
                <w:rFonts w:hint="eastAsia" w:ascii="宋体" w:hAnsi="宋体" w:eastAsia="宋体" w:cs="Times New Roman"/>
                <w:sz w:val="24"/>
                <w:szCs w:val="24"/>
              </w:rPr>
              <w:t>0000</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lang w:val="en-US" w:eastAsia="zh-CN"/>
              </w:rPr>
              <w:t>3</w:t>
            </w:r>
            <w:r>
              <w:rPr>
                <w:rFonts w:hint="eastAsia" w:ascii="宋体" w:hAnsi="宋体" w:eastAsia="宋体" w:cs="Times New Roman"/>
                <w:sz w:val="24"/>
                <w:szCs w:val="24"/>
              </w:rPr>
              <w:t>0000</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广州/广州市赛普电子科技有限公司</w:t>
            </w:r>
          </w:p>
        </w:tc>
      </w:tr>
      <w:tr>
        <w:tblPrEx>
          <w:tblLayout w:type="fixed"/>
          <w:tblCellMar>
            <w:top w:w="0" w:type="dxa"/>
            <w:left w:w="108" w:type="dxa"/>
            <w:bottom w:w="0" w:type="dxa"/>
            <w:right w:w="108" w:type="dxa"/>
          </w:tblCellMar>
        </w:tblPrEx>
        <w:trPr>
          <w:trHeight w:val="471" w:hRule="atLeast"/>
        </w:trPr>
        <w:tc>
          <w:tcPr>
            <w:tcW w:w="5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bCs/>
                <w:szCs w:val="21"/>
              </w:rPr>
            </w:pPr>
            <w:r>
              <w:rPr>
                <w:rFonts w:hint="eastAsia" w:ascii="宋体" w:hAnsi="宋体" w:eastAsia="宋体" w:cs="宋体"/>
                <w:sz w:val="24"/>
                <w:szCs w:val="24"/>
              </w:rPr>
              <w:t>4</w:t>
            </w:r>
          </w:p>
        </w:tc>
        <w:tc>
          <w:tcPr>
            <w:tcW w:w="108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kern w:val="0"/>
                <w:szCs w:val="21"/>
              </w:rPr>
            </w:pPr>
            <w:r>
              <w:rPr>
                <w:rFonts w:hint="eastAsia" w:ascii="宋体" w:hAnsi="宋体" w:eastAsia="宋体" w:cs="宋体"/>
                <w:kern w:val="0"/>
                <w:sz w:val="24"/>
                <w:szCs w:val="24"/>
              </w:rPr>
              <w:t>控制管理软件</w:t>
            </w:r>
          </w:p>
        </w:tc>
        <w:tc>
          <w:tcPr>
            <w:tcW w:w="129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赛普</w:t>
            </w:r>
          </w:p>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Samplex</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宋体"/>
                <w:b/>
                <w:bCs/>
                <w:sz w:val="24"/>
                <w:szCs w:val="24"/>
              </w:rPr>
              <w:t>Polyvision</w:t>
            </w:r>
          </w:p>
        </w:tc>
        <w:tc>
          <w:tcPr>
            <w:tcW w:w="6030" w:type="dxa"/>
            <w:tcBorders>
              <w:top w:val="single" w:color="auto" w:sz="6" w:space="0"/>
              <w:left w:val="single" w:color="auto" w:sz="6" w:space="0"/>
              <w:bottom w:val="single" w:color="auto" w:sz="6" w:space="0"/>
              <w:right w:val="single" w:color="auto" w:sz="6" w:space="0"/>
            </w:tcBorders>
          </w:tcPr>
          <w:p>
            <w:pPr>
              <w:tabs>
                <w:tab w:val="left" w:pos="567"/>
              </w:tabs>
              <w:spacing w:line="360" w:lineRule="auto"/>
              <w:rPr>
                <w:rFonts w:ascii="宋体" w:hAnsi="宋体" w:eastAsia="宋体" w:cs="宋体"/>
                <w:kern w:val="0"/>
                <w:sz w:val="24"/>
                <w:szCs w:val="24"/>
              </w:rPr>
            </w:pPr>
            <w:r>
              <w:rPr>
                <w:rFonts w:hint="eastAsia" w:ascii="宋体" w:hAnsi="宋体" w:eastAsia="宋体" w:cs="宋体"/>
                <w:kern w:val="0"/>
                <w:sz w:val="24"/>
                <w:szCs w:val="24"/>
              </w:rPr>
              <w:t>1.具备C/S和B/S结构，既可以通过客户端软件登录控制软件管理大屏幕系统，也可以通过WEB浏览方式在IE等浏览器上远程登录控制软件管理大屏幕系统。</w:t>
            </w:r>
          </w:p>
          <w:p>
            <w:pPr>
              <w:tabs>
                <w:tab w:val="left" w:pos="567"/>
              </w:tabs>
              <w:spacing w:line="360" w:lineRule="auto"/>
              <w:rPr>
                <w:rFonts w:ascii="宋体" w:hAnsi="宋体" w:eastAsia="宋体" w:cs="宋体"/>
                <w:kern w:val="0"/>
                <w:sz w:val="24"/>
                <w:szCs w:val="24"/>
              </w:rPr>
            </w:pPr>
            <w:r>
              <w:rPr>
                <w:rFonts w:hint="eastAsia" w:ascii="宋体" w:hAnsi="宋体" w:eastAsia="宋体" w:cs="宋体"/>
                <w:kern w:val="0"/>
                <w:sz w:val="24"/>
                <w:szCs w:val="24"/>
              </w:rPr>
              <w:t>2.控制管理软件具备信号管理、模式管理、预案管理、用户管理、设备管理等功能。</w:t>
            </w:r>
          </w:p>
          <w:p>
            <w:pPr>
              <w:autoSpaceDE w:val="0"/>
              <w:autoSpaceDN w:val="0"/>
              <w:adjustRightInd w:val="0"/>
              <w:spacing w:line="360" w:lineRule="auto"/>
              <w:rPr>
                <w:rFonts w:ascii="宋体" w:hAnsi="宋体" w:eastAsia="宋体" w:cs="宋体"/>
                <w:szCs w:val="21"/>
              </w:rPr>
            </w:pPr>
            <w:r>
              <w:rPr>
                <w:rFonts w:hint="eastAsia" w:ascii="宋体" w:hAnsi="宋体" w:eastAsia="宋体" w:cs="宋体"/>
                <w:kern w:val="0"/>
                <w:sz w:val="24"/>
                <w:szCs w:val="24"/>
              </w:rPr>
              <w:t>3.支持多客户端同时在线操作，允许同一用户账号在多台工作站同时在线对大屏幕进行操作。支持对各级用户设定对应权限。</w:t>
            </w:r>
          </w:p>
        </w:tc>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套</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12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13000</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13000</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广州/广州市赛普电子科技有限公司</w:t>
            </w:r>
          </w:p>
        </w:tc>
      </w:tr>
      <w:tr>
        <w:tblPrEx>
          <w:tblLayout w:type="fixed"/>
          <w:tblCellMar>
            <w:top w:w="0" w:type="dxa"/>
            <w:left w:w="108" w:type="dxa"/>
            <w:bottom w:w="0" w:type="dxa"/>
            <w:right w:w="108" w:type="dxa"/>
          </w:tblCellMar>
        </w:tblPrEx>
        <w:trPr>
          <w:trHeight w:val="1330" w:hRule="atLeast"/>
        </w:trPr>
        <w:tc>
          <w:tcPr>
            <w:tcW w:w="5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bCs/>
                <w:szCs w:val="21"/>
              </w:rPr>
            </w:pPr>
            <w:r>
              <w:rPr>
                <w:rFonts w:hint="eastAsia" w:ascii="宋体" w:hAnsi="宋体" w:eastAsia="宋体" w:cs="宋体"/>
                <w:sz w:val="24"/>
                <w:szCs w:val="24"/>
              </w:rPr>
              <w:t>5</w:t>
            </w:r>
          </w:p>
        </w:tc>
        <w:tc>
          <w:tcPr>
            <w:tcW w:w="108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kern w:val="0"/>
                <w:szCs w:val="21"/>
              </w:rPr>
            </w:pPr>
            <w:r>
              <w:rPr>
                <w:rFonts w:hint="eastAsia" w:ascii="宋体" w:hAnsi="宋体" w:eastAsia="宋体" w:cs="宋体"/>
                <w:kern w:val="0"/>
                <w:sz w:val="24"/>
                <w:szCs w:val="24"/>
              </w:rPr>
              <w:t>分配器</w:t>
            </w:r>
          </w:p>
        </w:tc>
        <w:tc>
          <w:tcPr>
            <w:tcW w:w="129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赛普</w:t>
            </w:r>
          </w:p>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Samplex</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宋体"/>
                <w:b/>
                <w:bCs/>
                <w:sz w:val="24"/>
                <w:szCs w:val="24"/>
              </w:rPr>
              <w:t>HD-06</w:t>
            </w:r>
          </w:p>
        </w:tc>
        <w:tc>
          <w:tcPr>
            <w:tcW w:w="60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szCs w:val="21"/>
              </w:rPr>
            </w:pPr>
            <w:r>
              <w:rPr>
                <w:rFonts w:hint="eastAsia" w:ascii="宋体" w:hAnsi="宋体" w:eastAsia="宋体" w:cs="宋体"/>
                <w:kern w:val="0"/>
                <w:sz w:val="24"/>
                <w:szCs w:val="24"/>
              </w:rPr>
              <w:t>VGA/DVI高宽带一拖二分配放大器</w:t>
            </w:r>
          </w:p>
        </w:tc>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套</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2</w:t>
            </w:r>
          </w:p>
        </w:tc>
        <w:tc>
          <w:tcPr>
            <w:tcW w:w="12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1500</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3000</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广州/广州市赛普电子科技有限公司</w:t>
            </w:r>
          </w:p>
        </w:tc>
      </w:tr>
      <w:tr>
        <w:tblPrEx>
          <w:tblLayout w:type="fixed"/>
          <w:tblCellMar>
            <w:top w:w="0" w:type="dxa"/>
            <w:left w:w="108" w:type="dxa"/>
            <w:bottom w:w="0" w:type="dxa"/>
            <w:right w:w="108" w:type="dxa"/>
          </w:tblCellMar>
        </w:tblPrEx>
        <w:trPr>
          <w:trHeight w:val="921" w:hRule="atLeast"/>
        </w:trPr>
        <w:tc>
          <w:tcPr>
            <w:tcW w:w="5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bCs/>
                <w:szCs w:val="21"/>
              </w:rPr>
            </w:pPr>
            <w:r>
              <w:rPr>
                <w:rFonts w:hint="eastAsia" w:ascii="宋体" w:hAnsi="宋体" w:eastAsia="宋体" w:cs="宋体"/>
                <w:sz w:val="24"/>
                <w:szCs w:val="24"/>
              </w:rPr>
              <w:t>6</w:t>
            </w:r>
          </w:p>
        </w:tc>
        <w:tc>
          <w:tcPr>
            <w:tcW w:w="108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扩声</w:t>
            </w:r>
          </w:p>
          <w:p>
            <w:pPr>
              <w:autoSpaceDE w:val="0"/>
              <w:autoSpaceDN w:val="0"/>
              <w:adjustRightInd w:val="0"/>
              <w:spacing w:line="360" w:lineRule="auto"/>
              <w:jc w:val="center"/>
              <w:rPr>
                <w:rFonts w:ascii="宋体" w:hAnsi="宋体" w:eastAsia="宋体" w:cs="宋体"/>
                <w:kern w:val="0"/>
                <w:szCs w:val="21"/>
              </w:rPr>
            </w:pPr>
            <w:r>
              <w:rPr>
                <w:rFonts w:hint="eastAsia" w:ascii="宋体" w:hAnsi="宋体" w:eastAsia="宋体" w:cs="宋体"/>
                <w:kern w:val="0"/>
                <w:sz w:val="24"/>
                <w:szCs w:val="24"/>
              </w:rPr>
              <w:t>系统</w:t>
            </w:r>
          </w:p>
        </w:tc>
        <w:tc>
          <w:tcPr>
            <w:tcW w:w="129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功放：</w:t>
            </w:r>
          </w:p>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艾尼尔</w:t>
            </w:r>
          </w:p>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ANE</w:t>
            </w:r>
          </w:p>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PA-240</w:t>
            </w:r>
          </w:p>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音箱：</w:t>
            </w:r>
          </w:p>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艾尼尔</w:t>
            </w:r>
          </w:p>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ANE</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宋体"/>
                <w:b/>
                <w:bCs/>
                <w:sz w:val="24"/>
                <w:szCs w:val="24"/>
              </w:rPr>
              <w:t>P-7060</w:t>
            </w:r>
          </w:p>
        </w:tc>
        <w:tc>
          <w:tcPr>
            <w:tcW w:w="60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sz w:val="24"/>
                <w:szCs w:val="24"/>
              </w:rPr>
            </w:pPr>
            <w:r>
              <w:rPr>
                <w:rFonts w:hint="eastAsia" w:ascii="宋体" w:hAnsi="宋体" w:eastAsia="宋体" w:cs="宋体"/>
                <w:sz w:val="24"/>
                <w:szCs w:val="24"/>
              </w:rPr>
              <w:t>功放1台：</w:t>
            </w:r>
          </w:p>
          <w:p>
            <w:pPr>
              <w:autoSpaceDE w:val="0"/>
              <w:autoSpaceDN w:val="0"/>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技术参数：额定功率：240W</w:t>
            </w:r>
          </w:p>
          <w:p>
            <w:pPr>
              <w:autoSpaceDE w:val="0"/>
              <w:autoSpaceDN w:val="0"/>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输出方式：70V，100V，4-16Ω</w:t>
            </w:r>
          </w:p>
          <w:p>
            <w:pPr>
              <w:autoSpaceDE w:val="0"/>
              <w:autoSpaceDN w:val="0"/>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输入灵敏度/阻抗：MIC1，2，3：5mV/600Ω，不平衡TS端子输入；AUX1，2，3：350mV/10KΩ，不平衡RCA端子输入                                                                              输出灵敏度/阻抗：1000mV/470Ω，不平衡TS端子输出</w:t>
            </w:r>
          </w:p>
          <w:p>
            <w:pPr>
              <w:autoSpaceDE w:val="0"/>
              <w:autoSpaceDN w:val="0"/>
              <w:adjustRightInd w:val="0"/>
              <w:spacing w:line="360" w:lineRule="auto"/>
              <w:rPr>
                <w:rFonts w:ascii="宋体" w:hAnsi="宋体" w:eastAsia="宋体" w:cs="宋体"/>
                <w:sz w:val="24"/>
                <w:szCs w:val="24"/>
              </w:rPr>
            </w:pPr>
            <w:r>
              <w:rPr>
                <w:rFonts w:hint="eastAsia" w:ascii="宋体" w:hAnsi="宋体" w:eastAsia="宋体" w:cs="宋体"/>
                <w:sz w:val="24"/>
                <w:szCs w:val="24"/>
              </w:rPr>
              <w:t>过载源电动势：MIC1，2，3：&gt;12dB，不平衡TRS端子输入；AUX1，2，3：&gt;20dB，不平衡RCA端子输入</w:t>
            </w:r>
          </w:p>
          <w:p>
            <w:pPr>
              <w:autoSpaceDE w:val="0"/>
              <w:autoSpaceDN w:val="0"/>
              <w:adjustRightInd w:val="0"/>
              <w:spacing w:line="360" w:lineRule="auto"/>
              <w:rPr>
                <w:rFonts w:ascii="宋体" w:hAnsi="宋体" w:eastAsia="宋体" w:cs="宋体"/>
                <w:sz w:val="24"/>
                <w:szCs w:val="24"/>
              </w:rPr>
            </w:pPr>
            <w:r>
              <w:rPr>
                <w:rFonts w:hint="eastAsia" w:ascii="宋体" w:hAnsi="宋体" w:eastAsia="宋体" w:cs="宋体"/>
                <w:sz w:val="24"/>
                <w:szCs w:val="24"/>
              </w:rPr>
              <w:t>音调(低音)：±10dB at 100Hz</w:t>
            </w:r>
          </w:p>
          <w:p>
            <w:pPr>
              <w:autoSpaceDE w:val="0"/>
              <w:autoSpaceDN w:val="0"/>
              <w:adjustRightInd w:val="0"/>
              <w:spacing w:line="360" w:lineRule="auto"/>
              <w:rPr>
                <w:rFonts w:ascii="宋体" w:hAnsi="宋体" w:eastAsia="宋体" w:cs="宋体"/>
                <w:sz w:val="24"/>
                <w:szCs w:val="24"/>
              </w:rPr>
            </w:pPr>
            <w:r>
              <w:rPr>
                <w:rFonts w:hint="eastAsia" w:ascii="宋体" w:hAnsi="宋体" w:eastAsia="宋体" w:cs="宋体"/>
                <w:sz w:val="24"/>
                <w:szCs w:val="24"/>
              </w:rPr>
              <w:t>音调(高音)：±10dB at 10KHz</w:t>
            </w:r>
          </w:p>
          <w:p>
            <w:pPr>
              <w:autoSpaceDE w:val="0"/>
              <w:autoSpaceDN w:val="0"/>
              <w:adjustRightInd w:val="0"/>
              <w:spacing w:line="360" w:lineRule="auto"/>
              <w:rPr>
                <w:rFonts w:ascii="宋体" w:hAnsi="宋体" w:eastAsia="宋体" w:cs="宋体"/>
                <w:sz w:val="24"/>
                <w:szCs w:val="24"/>
              </w:rPr>
            </w:pPr>
            <w:r>
              <w:rPr>
                <w:rFonts w:hint="eastAsia" w:ascii="宋体" w:hAnsi="宋体" w:eastAsia="宋体" w:cs="宋体"/>
                <w:sz w:val="24"/>
                <w:szCs w:val="24"/>
              </w:rPr>
              <w:t>频率响应：50-16KHz(+1dB，-3dB)</w:t>
            </w:r>
          </w:p>
          <w:p>
            <w:pPr>
              <w:autoSpaceDE w:val="0"/>
              <w:autoSpaceDN w:val="0"/>
              <w:adjustRightInd w:val="0"/>
              <w:spacing w:line="360" w:lineRule="auto"/>
              <w:rPr>
                <w:rFonts w:ascii="宋体" w:hAnsi="宋体" w:eastAsia="宋体" w:cs="宋体"/>
                <w:sz w:val="24"/>
                <w:szCs w:val="24"/>
              </w:rPr>
            </w:pPr>
            <w:r>
              <w:rPr>
                <w:rFonts w:hint="eastAsia" w:ascii="宋体" w:hAnsi="宋体" w:eastAsia="宋体" w:cs="宋体"/>
                <w:sz w:val="24"/>
                <w:szCs w:val="24"/>
              </w:rPr>
              <w:t>信噪比：MIC1，2，3：66dB；AUX1，2，3：80dB</w:t>
            </w:r>
          </w:p>
          <w:p>
            <w:pPr>
              <w:autoSpaceDE w:val="0"/>
              <w:autoSpaceDN w:val="0"/>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总谐波失真：1KHz时0.5%，1/3输出功率</w:t>
            </w:r>
          </w:p>
          <w:p>
            <w:pPr>
              <w:autoSpaceDE w:val="0"/>
              <w:autoSpaceDN w:val="0"/>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默音功能：MIC3优先其他通道</w:t>
            </w:r>
          </w:p>
          <w:p>
            <w:pPr>
              <w:autoSpaceDE w:val="0"/>
              <w:autoSpaceDN w:val="0"/>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通道串音衰减：≤50dB</w:t>
            </w:r>
          </w:p>
          <w:p>
            <w:pPr>
              <w:autoSpaceDE w:val="0"/>
              <w:autoSpaceDN w:val="0"/>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散热：由前往后强制风冷，散热器温度55度时启动内置风扇</w:t>
            </w:r>
          </w:p>
          <w:p>
            <w:pPr>
              <w:autoSpaceDE w:val="0"/>
              <w:autoSpaceDN w:val="0"/>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保护：过热，过载&amp;短路</w:t>
            </w:r>
          </w:p>
          <w:p>
            <w:pPr>
              <w:autoSpaceDE w:val="0"/>
              <w:autoSpaceDN w:val="0"/>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电源：AC 220V/50Hz</w:t>
            </w:r>
          </w:p>
          <w:p>
            <w:pPr>
              <w:autoSpaceDE w:val="0"/>
              <w:autoSpaceDN w:val="0"/>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 xml:space="preserve">最大耗散功率：360W </w:t>
            </w:r>
          </w:p>
          <w:p>
            <w:pPr>
              <w:autoSpaceDE w:val="0"/>
              <w:autoSpaceDN w:val="0"/>
              <w:adjustRightInd w:val="0"/>
              <w:spacing w:line="360" w:lineRule="auto"/>
              <w:jc w:val="left"/>
              <w:rPr>
                <w:rFonts w:ascii="宋体" w:hAnsi="宋体" w:eastAsia="宋体" w:cs="宋体"/>
                <w:sz w:val="24"/>
                <w:szCs w:val="24"/>
              </w:rPr>
            </w:pPr>
            <w:r>
              <w:rPr>
                <w:rFonts w:hint="eastAsia" w:ascii="宋体" w:hAnsi="宋体" w:eastAsia="宋体" w:cs="宋体"/>
                <w:sz w:val="24"/>
                <w:szCs w:val="24"/>
              </w:rPr>
              <w:t>重量：12Kg                                                                                                                                                                         尺寸(W×H×D)：484×44×360mm</w:t>
            </w:r>
          </w:p>
          <w:p>
            <w:pPr>
              <w:autoSpaceDE w:val="0"/>
              <w:autoSpaceDN w:val="0"/>
              <w:adjustRightIn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壁挂全频音箱2台</w:t>
            </w:r>
          </w:p>
          <w:p>
            <w:pPr>
              <w:autoSpaceDE w:val="0"/>
              <w:autoSpaceDN w:val="0"/>
              <w:adjustRightIn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优质户外防水音柱音色极佳；</w:t>
            </w:r>
          </w:p>
          <w:p>
            <w:pPr>
              <w:autoSpaceDE w:val="0"/>
              <w:autoSpaceDN w:val="0"/>
              <w:adjustRightIn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采用铝镁合金制作的外壳，可抵挡日晒、风吹、雨淋；</w:t>
            </w:r>
          </w:p>
          <w:p>
            <w:pPr>
              <w:autoSpaceDE w:val="0"/>
              <w:autoSpaceDN w:val="0"/>
              <w:adjustRightIn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额定功率：60W；</w:t>
            </w:r>
          </w:p>
          <w:p>
            <w:pPr>
              <w:autoSpaceDE w:val="0"/>
              <w:autoSpaceDN w:val="0"/>
              <w:adjustRightIn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输入：70V/100V；</w:t>
            </w:r>
          </w:p>
          <w:p>
            <w:pPr>
              <w:autoSpaceDE w:val="0"/>
              <w:autoSpaceDN w:val="0"/>
              <w:adjustRightIn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灵敏度：93dB；</w:t>
            </w:r>
          </w:p>
          <w:p>
            <w:pPr>
              <w:autoSpaceDE w:val="0"/>
              <w:autoSpaceDN w:val="0"/>
              <w:adjustRightIn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频率响应：150Hz-15KHz；</w:t>
            </w:r>
          </w:p>
          <w:p>
            <w:pPr>
              <w:autoSpaceDE w:val="0"/>
              <w:autoSpaceDN w:val="0"/>
              <w:adjustRightInd w:val="0"/>
              <w:spacing w:line="360" w:lineRule="auto"/>
              <w:rPr>
                <w:rFonts w:ascii="宋体" w:hAnsi="宋体" w:eastAsia="宋体" w:cs="宋体"/>
                <w:kern w:val="0"/>
                <w:sz w:val="24"/>
                <w:szCs w:val="24"/>
              </w:rPr>
            </w:pPr>
            <w:r>
              <w:rPr>
                <w:rFonts w:hint="eastAsia" w:ascii="宋体" w:hAnsi="宋体" w:eastAsia="宋体" w:cs="宋体"/>
                <w:kern w:val="0"/>
                <w:sz w:val="24"/>
                <w:szCs w:val="24"/>
              </w:rPr>
              <w:t>喇叭单元：4.5"×2  3"×1；</w:t>
            </w:r>
          </w:p>
          <w:p>
            <w:pPr>
              <w:autoSpaceDE w:val="0"/>
              <w:autoSpaceDN w:val="0"/>
              <w:adjustRightInd w:val="0"/>
              <w:spacing w:line="360" w:lineRule="auto"/>
              <w:rPr>
                <w:rFonts w:ascii="宋体" w:hAnsi="宋体" w:eastAsia="宋体" w:cs="宋体"/>
                <w:kern w:val="0"/>
                <w:sz w:val="24"/>
                <w:szCs w:val="24"/>
              </w:rPr>
            </w:pPr>
            <w:r>
              <w:rPr>
                <w:rFonts w:hint="eastAsia" w:ascii="宋体" w:hAnsi="宋体" w:eastAsia="宋体" w:cs="宋体"/>
                <w:kern w:val="0"/>
                <w:sz w:val="24"/>
                <w:szCs w:val="24"/>
              </w:rPr>
              <w:t>防护等级：IP×6防水；</w:t>
            </w:r>
          </w:p>
          <w:p>
            <w:pPr>
              <w:autoSpaceDE w:val="0"/>
              <w:autoSpaceDN w:val="0"/>
              <w:adjustRightInd w:val="0"/>
              <w:spacing w:line="360" w:lineRule="auto"/>
              <w:rPr>
                <w:rFonts w:ascii="宋体" w:hAnsi="宋体" w:eastAsia="宋体" w:cs="宋体"/>
                <w:kern w:val="0"/>
                <w:sz w:val="24"/>
                <w:szCs w:val="24"/>
              </w:rPr>
            </w:pPr>
            <w:r>
              <w:rPr>
                <w:rFonts w:hint="eastAsia" w:ascii="宋体" w:hAnsi="宋体" w:eastAsia="宋体" w:cs="宋体"/>
                <w:kern w:val="0"/>
                <w:sz w:val="24"/>
                <w:szCs w:val="24"/>
              </w:rPr>
              <w:t>尺寸：166×141×515mm；</w:t>
            </w:r>
          </w:p>
          <w:p>
            <w:pPr>
              <w:autoSpaceDE w:val="0"/>
              <w:autoSpaceDN w:val="0"/>
              <w:adjustRightInd w:val="0"/>
              <w:spacing w:line="360" w:lineRule="auto"/>
              <w:rPr>
                <w:rFonts w:ascii="宋体" w:hAnsi="宋体" w:eastAsia="宋体" w:cs="宋体"/>
                <w:szCs w:val="21"/>
              </w:rPr>
            </w:pPr>
            <w:r>
              <w:rPr>
                <w:rFonts w:hint="eastAsia" w:ascii="宋体" w:hAnsi="宋体" w:eastAsia="宋体" w:cs="宋体"/>
                <w:kern w:val="0"/>
                <w:sz w:val="24"/>
                <w:szCs w:val="24"/>
              </w:rPr>
              <w:t>重量：5.42Kg；</w:t>
            </w:r>
          </w:p>
        </w:tc>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套</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12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5000</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5000</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广州/广州市音桥电子科技有限公司</w:t>
            </w:r>
          </w:p>
        </w:tc>
      </w:tr>
      <w:tr>
        <w:tblPrEx>
          <w:tblLayout w:type="fixed"/>
          <w:tblCellMar>
            <w:top w:w="0" w:type="dxa"/>
            <w:left w:w="108" w:type="dxa"/>
            <w:bottom w:w="0" w:type="dxa"/>
            <w:right w:w="108" w:type="dxa"/>
          </w:tblCellMar>
        </w:tblPrEx>
        <w:trPr>
          <w:trHeight w:val="672" w:hRule="atLeast"/>
        </w:trPr>
        <w:tc>
          <w:tcPr>
            <w:tcW w:w="5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bCs/>
                <w:szCs w:val="21"/>
              </w:rPr>
            </w:pPr>
            <w:r>
              <w:rPr>
                <w:rFonts w:hint="eastAsia" w:ascii="宋体" w:hAnsi="宋体" w:eastAsia="宋体" w:cs="宋体"/>
                <w:sz w:val="24"/>
                <w:szCs w:val="24"/>
              </w:rPr>
              <w:t>7</w:t>
            </w:r>
          </w:p>
        </w:tc>
        <w:tc>
          <w:tcPr>
            <w:tcW w:w="108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kern w:val="0"/>
                <w:szCs w:val="21"/>
              </w:rPr>
            </w:pPr>
            <w:r>
              <w:rPr>
                <w:rFonts w:hint="eastAsia" w:ascii="宋体" w:hAnsi="宋体" w:eastAsia="宋体" w:cs="宋体"/>
                <w:kern w:val="0"/>
                <w:sz w:val="24"/>
                <w:szCs w:val="24"/>
              </w:rPr>
              <w:t>调度台</w:t>
            </w:r>
          </w:p>
        </w:tc>
        <w:tc>
          <w:tcPr>
            <w:tcW w:w="129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国产</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宋体"/>
                <w:b/>
                <w:bCs/>
                <w:sz w:val="24"/>
                <w:szCs w:val="24"/>
              </w:rPr>
              <w:t>定制</w:t>
            </w:r>
          </w:p>
        </w:tc>
        <w:tc>
          <w:tcPr>
            <w:tcW w:w="60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szCs w:val="21"/>
              </w:rPr>
            </w:pPr>
            <w:r>
              <w:rPr>
                <w:rFonts w:hint="eastAsia" w:ascii="宋体" w:hAnsi="宋体" w:eastAsia="宋体" w:cs="宋体"/>
                <w:sz w:val="24"/>
                <w:szCs w:val="24"/>
              </w:rPr>
              <w:t>定制，2席位调度台，两个座椅</w:t>
            </w:r>
          </w:p>
        </w:tc>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套</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12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5000</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5000</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国产定制</w:t>
            </w:r>
          </w:p>
        </w:tc>
      </w:tr>
      <w:tr>
        <w:tblPrEx>
          <w:tblLayout w:type="fixed"/>
          <w:tblCellMar>
            <w:top w:w="0" w:type="dxa"/>
            <w:left w:w="108" w:type="dxa"/>
            <w:bottom w:w="0" w:type="dxa"/>
            <w:right w:w="108" w:type="dxa"/>
          </w:tblCellMar>
        </w:tblPrEx>
        <w:trPr>
          <w:trHeight w:val="921" w:hRule="atLeast"/>
        </w:trPr>
        <w:tc>
          <w:tcPr>
            <w:tcW w:w="5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bCs/>
                <w:szCs w:val="21"/>
              </w:rPr>
            </w:pPr>
            <w:r>
              <w:rPr>
                <w:rFonts w:hint="eastAsia" w:ascii="宋体" w:hAnsi="宋体" w:eastAsia="宋体" w:cs="宋体"/>
                <w:sz w:val="24"/>
                <w:szCs w:val="24"/>
              </w:rPr>
              <w:t>8</w:t>
            </w:r>
          </w:p>
        </w:tc>
        <w:tc>
          <w:tcPr>
            <w:tcW w:w="108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配套</w:t>
            </w:r>
          </w:p>
          <w:p>
            <w:pPr>
              <w:autoSpaceDE w:val="0"/>
              <w:autoSpaceDN w:val="0"/>
              <w:adjustRightInd w:val="0"/>
              <w:spacing w:line="360" w:lineRule="auto"/>
              <w:jc w:val="center"/>
              <w:rPr>
                <w:rFonts w:ascii="宋体" w:hAnsi="宋体" w:eastAsia="宋体" w:cs="宋体"/>
                <w:kern w:val="0"/>
                <w:szCs w:val="21"/>
              </w:rPr>
            </w:pPr>
            <w:r>
              <w:rPr>
                <w:rFonts w:hint="eastAsia" w:ascii="宋体" w:hAnsi="宋体" w:eastAsia="宋体" w:cs="宋体"/>
                <w:kern w:val="0"/>
                <w:sz w:val="24"/>
                <w:szCs w:val="24"/>
              </w:rPr>
              <w:t>电源柜</w:t>
            </w:r>
          </w:p>
        </w:tc>
        <w:tc>
          <w:tcPr>
            <w:tcW w:w="129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sz w:val="24"/>
                <w:szCs w:val="24"/>
              </w:rPr>
            </w:pPr>
          </w:p>
        </w:tc>
        <w:tc>
          <w:tcPr>
            <w:tcW w:w="60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szCs w:val="21"/>
              </w:rPr>
            </w:pPr>
            <w:r>
              <w:rPr>
                <w:rFonts w:hint="eastAsia" w:ascii="宋体" w:hAnsi="宋体" w:eastAsia="宋体" w:cs="宋体"/>
                <w:kern w:val="0"/>
                <w:sz w:val="24"/>
                <w:szCs w:val="24"/>
              </w:rPr>
              <w:t>5KW,强电线缆、空开、配电柜、开关、插座、综合布线</w:t>
            </w:r>
          </w:p>
        </w:tc>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套</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12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5000</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5000</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浙江/德力西电气有限公司</w:t>
            </w:r>
          </w:p>
        </w:tc>
      </w:tr>
      <w:tr>
        <w:tblPrEx>
          <w:tblLayout w:type="fixed"/>
          <w:tblCellMar>
            <w:top w:w="0" w:type="dxa"/>
            <w:left w:w="108" w:type="dxa"/>
            <w:bottom w:w="0" w:type="dxa"/>
            <w:right w:w="108" w:type="dxa"/>
          </w:tblCellMar>
        </w:tblPrEx>
        <w:trPr>
          <w:trHeight w:val="921" w:hRule="atLeast"/>
        </w:trPr>
        <w:tc>
          <w:tcPr>
            <w:tcW w:w="5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bCs/>
                <w:szCs w:val="21"/>
              </w:rPr>
            </w:pPr>
            <w:r>
              <w:rPr>
                <w:rFonts w:hint="eastAsia" w:ascii="宋体" w:hAnsi="宋体" w:eastAsia="宋体" w:cs="宋体"/>
                <w:sz w:val="24"/>
                <w:szCs w:val="24"/>
              </w:rPr>
              <w:t>9</w:t>
            </w:r>
          </w:p>
        </w:tc>
        <w:tc>
          <w:tcPr>
            <w:tcW w:w="108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配套</w:t>
            </w:r>
          </w:p>
          <w:p>
            <w:pPr>
              <w:autoSpaceDE w:val="0"/>
              <w:autoSpaceDN w:val="0"/>
              <w:adjustRightInd w:val="0"/>
              <w:spacing w:line="360" w:lineRule="auto"/>
              <w:jc w:val="center"/>
              <w:rPr>
                <w:rFonts w:ascii="宋体" w:hAnsi="宋体" w:eastAsia="宋体" w:cs="宋体"/>
                <w:kern w:val="0"/>
                <w:szCs w:val="21"/>
              </w:rPr>
            </w:pPr>
            <w:r>
              <w:rPr>
                <w:rFonts w:hint="eastAsia" w:ascii="宋体" w:hAnsi="宋体" w:eastAsia="宋体" w:cs="宋体"/>
                <w:kern w:val="0"/>
                <w:sz w:val="24"/>
                <w:szCs w:val="24"/>
              </w:rPr>
              <w:t>线缆</w:t>
            </w:r>
          </w:p>
        </w:tc>
        <w:tc>
          <w:tcPr>
            <w:tcW w:w="129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b/>
                <w:bCs/>
                <w:sz w:val="24"/>
                <w:szCs w:val="24"/>
              </w:rPr>
            </w:pPr>
            <w:r>
              <w:rPr>
                <w:rFonts w:hint="eastAsia" w:ascii="宋体" w:hAnsi="宋体" w:eastAsia="宋体" w:cs="宋体"/>
                <w:b/>
                <w:bCs/>
                <w:sz w:val="24"/>
                <w:szCs w:val="24"/>
              </w:rPr>
              <w:t>国产</w:t>
            </w:r>
          </w:p>
          <w:p>
            <w:pPr>
              <w:autoSpaceDE w:val="0"/>
              <w:autoSpaceDN w:val="0"/>
              <w:adjustRightInd w:val="0"/>
              <w:spacing w:line="360" w:lineRule="auto"/>
              <w:rPr>
                <w:rFonts w:ascii="宋体" w:hAnsi="宋体" w:eastAsia="宋体" w:cs="Times New Roman"/>
                <w:sz w:val="24"/>
                <w:szCs w:val="24"/>
              </w:rPr>
            </w:pPr>
            <w:r>
              <w:rPr>
                <w:rFonts w:hint="eastAsia" w:ascii="宋体" w:hAnsi="宋体" w:eastAsia="宋体" w:cs="宋体"/>
                <w:b/>
                <w:bCs/>
                <w:sz w:val="24"/>
                <w:szCs w:val="24"/>
              </w:rPr>
              <w:t>国标线缆</w:t>
            </w:r>
          </w:p>
        </w:tc>
        <w:tc>
          <w:tcPr>
            <w:tcW w:w="60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szCs w:val="21"/>
              </w:rPr>
            </w:pPr>
            <w:r>
              <w:rPr>
                <w:rFonts w:hint="eastAsia" w:ascii="宋体" w:hAnsi="宋体" w:eastAsia="宋体" w:cs="宋体"/>
                <w:kern w:val="0"/>
                <w:sz w:val="24"/>
                <w:szCs w:val="24"/>
              </w:rPr>
              <w:t>配套信号线、控制线、网线、音频线等，国标线缆耗材。</w:t>
            </w:r>
          </w:p>
        </w:tc>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批</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12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7000</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7000</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深圳/深圳市绿联科技有限公司</w:t>
            </w:r>
          </w:p>
        </w:tc>
      </w:tr>
      <w:tr>
        <w:tblPrEx>
          <w:tblLayout w:type="fixed"/>
          <w:tblCellMar>
            <w:top w:w="0" w:type="dxa"/>
            <w:left w:w="108" w:type="dxa"/>
            <w:bottom w:w="0" w:type="dxa"/>
            <w:right w:w="108" w:type="dxa"/>
          </w:tblCellMar>
        </w:tblPrEx>
        <w:trPr>
          <w:trHeight w:val="855" w:hRule="atLeast"/>
        </w:trPr>
        <w:tc>
          <w:tcPr>
            <w:tcW w:w="5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bCs/>
                <w:szCs w:val="21"/>
              </w:rPr>
            </w:pPr>
            <w:r>
              <w:rPr>
                <w:rFonts w:hint="eastAsia" w:ascii="宋体" w:hAnsi="宋体" w:eastAsia="宋体" w:cs="宋体"/>
                <w:sz w:val="24"/>
                <w:szCs w:val="24"/>
              </w:rPr>
              <w:t>10</w:t>
            </w:r>
          </w:p>
        </w:tc>
        <w:tc>
          <w:tcPr>
            <w:tcW w:w="108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控制</w:t>
            </w:r>
          </w:p>
          <w:p>
            <w:pPr>
              <w:autoSpaceDE w:val="0"/>
              <w:autoSpaceDN w:val="0"/>
              <w:adjustRightInd w:val="0"/>
              <w:spacing w:line="360" w:lineRule="auto"/>
              <w:jc w:val="center"/>
              <w:rPr>
                <w:rFonts w:ascii="宋体" w:hAnsi="宋体" w:eastAsia="宋体" w:cs="宋体"/>
                <w:kern w:val="0"/>
                <w:szCs w:val="21"/>
              </w:rPr>
            </w:pPr>
            <w:r>
              <w:rPr>
                <w:rFonts w:hint="eastAsia" w:ascii="宋体" w:hAnsi="宋体" w:eastAsia="宋体" w:cs="宋体"/>
                <w:kern w:val="0"/>
                <w:sz w:val="24"/>
                <w:szCs w:val="24"/>
              </w:rPr>
              <w:t>电脑</w:t>
            </w:r>
          </w:p>
        </w:tc>
        <w:tc>
          <w:tcPr>
            <w:tcW w:w="129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Times New Roman"/>
                <w:b/>
                <w:bCs/>
                <w:sz w:val="24"/>
                <w:szCs w:val="24"/>
              </w:rPr>
            </w:pPr>
            <w:r>
              <w:rPr>
                <w:rFonts w:hint="eastAsia" w:ascii="宋体" w:hAnsi="宋体" w:eastAsia="宋体" w:cs="Times New Roman"/>
                <w:b/>
                <w:bCs/>
                <w:sz w:val="24"/>
                <w:szCs w:val="24"/>
              </w:rPr>
              <w:t>戴尔</w:t>
            </w:r>
          </w:p>
          <w:p>
            <w:pPr>
              <w:autoSpaceDE w:val="0"/>
              <w:autoSpaceDN w:val="0"/>
              <w:adjustRightInd w:val="0"/>
              <w:spacing w:line="360" w:lineRule="auto"/>
              <w:rPr>
                <w:rFonts w:ascii="宋体" w:hAnsi="宋体" w:eastAsia="宋体" w:cs="Times New Roman"/>
                <w:b/>
                <w:bCs/>
                <w:sz w:val="24"/>
                <w:szCs w:val="24"/>
              </w:rPr>
            </w:pPr>
            <w:r>
              <w:rPr>
                <w:rFonts w:hint="eastAsia" w:ascii="宋体" w:hAnsi="宋体" w:eastAsia="宋体" w:cs="Times New Roman"/>
                <w:b/>
                <w:bCs/>
                <w:sz w:val="24"/>
                <w:szCs w:val="24"/>
              </w:rPr>
              <w:t>OptiPlex 3050 Tower</w:t>
            </w:r>
          </w:p>
          <w:p>
            <w:pPr>
              <w:autoSpaceDE w:val="0"/>
              <w:autoSpaceDN w:val="0"/>
              <w:adjustRightInd w:val="0"/>
              <w:spacing w:line="360" w:lineRule="auto"/>
              <w:rPr>
                <w:rFonts w:ascii="宋体" w:hAnsi="宋体" w:eastAsia="宋体" w:cs="Times New Roman"/>
                <w:sz w:val="24"/>
                <w:szCs w:val="24"/>
              </w:rPr>
            </w:pPr>
          </w:p>
        </w:tc>
        <w:tc>
          <w:tcPr>
            <w:tcW w:w="603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eastAsia="宋体" w:cs="宋体"/>
                <w:szCs w:val="21"/>
              </w:rPr>
            </w:pPr>
            <w:r>
              <w:rPr>
                <w:rFonts w:hint="eastAsia" w:ascii="宋体" w:hAnsi="宋体" w:eastAsia="宋体" w:cs="宋体"/>
                <w:kern w:val="0"/>
                <w:sz w:val="24"/>
                <w:szCs w:val="24"/>
              </w:rPr>
              <w:t>CPU：类型酷睿七代i7-7700处理器速度 (主频3.6GHz，缓存8MB)，独立显卡显卡R5-4302GB显存独立显卡，内存8GB，硬盘1TB，光驱：DVD刻录，显示器23英寸，分辨率1920×1080，网络接口千兆网卡；操作系统：预装正版Windows7操作系统，提供微软认可的正版序列标签，带标准键盘，光电鼠标</w:t>
            </w:r>
          </w:p>
        </w:tc>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台</w:t>
            </w:r>
          </w:p>
        </w:tc>
        <w:tc>
          <w:tcPr>
            <w:tcW w:w="79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129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9000</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9000</w:t>
            </w:r>
          </w:p>
        </w:tc>
        <w:tc>
          <w:tcPr>
            <w:tcW w:w="10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Times New Roman"/>
                <w:sz w:val="24"/>
                <w:szCs w:val="24"/>
              </w:rPr>
              <w:t>厦门/DELL中国有限公司</w:t>
            </w:r>
          </w:p>
        </w:tc>
      </w:tr>
      <w:tr>
        <w:tblPrEx>
          <w:tblLayout w:type="fixed"/>
          <w:tblCellMar>
            <w:top w:w="0" w:type="dxa"/>
            <w:left w:w="108" w:type="dxa"/>
            <w:bottom w:w="0" w:type="dxa"/>
            <w:right w:w="108" w:type="dxa"/>
          </w:tblCellMar>
        </w:tblPrEx>
        <w:trPr>
          <w:trHeight w:val="937" w:hRule="atLeast"/>
        </w:trPr>
        <w:tc>
          <w:tcPr>
            <w:tcW w:w="166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eastAsia="宋体" w:cs="Times New Roman"/>
                <w:sz w:val="24"/>
                <w:szCs w:val="24"/>
              </w:rPr>
            </w:pPr>
            <w:r>
              <w:rPr>
                <w:rFonts w:hint="eastAsia" w:ascii="宋体" w:hAnsi="宋体" w:eastAsia="宋体" w:cs="宋体"/>
                <w:sz w:val="24"/>
                <w:szCs w:val="24"/>
                <w:lang w:val="zh-CN"/>
              </w:rPr>
              <w:t>合计</w:t>
            </w:r>
          </w:p>
        </w:tc>
        <w:tc>
          <w:tcPr>
            <w:tcW w:w="12495"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jc w:val="center"/>
              <w:rPr>
                <w:rFonts w:hint="eastAsia" w:ascii="宋体" w:hAnsi="宋体" w:eastAsia="宋体" w:cs="宋体"/>
                <w:sz w:val="24"/>
                <w:szCs w:val="24"/>
                <w:lang w:val="zh-CN"/>
              </w:rPr>
            </w:pPr>
            <w:r>
              <w:rPr>
                <w:rFonts w:hint="eastAsia" w:ascii="宋体" w:hAnsi="宋体" w:eastAsia="宋体" w:cs="宋体"/>
                <w:sz w:val="24"/>
                <w:szCs w:val="24"/>
                <w:lang w:val="zh-CN"/>
              </w:rPr>
              <w:t xml:space="preserve">大写：贰拾叁万壹仟元整 </w:t>
            </w:r>
          </w:p>
          <w:p>
            <w:pPr>
              <w:autoSpaceDE w:val="0"/>
              <w:autoSpaceDN w:val="0"/>
              <w:adjustRightInd w:val="0"/>
              <w:spacing w:line="360" w:lineRule="auto"/>
              <w:ind w:firstLine="120" w:firstLineChars="50"/>
              <w:jc w:val="center"/>
              <w:rPr>
                <w:rFonts w:ascii="宋体" w:hAnsi="宋体" w:eastAsia="宋体" w:cs="宋体"/>
                <w:sz w:val="24"/>
                <w:szCs w:val="24"/>
                <w:lang w:val="zh-CN"/>
              </w:rPr>
            </w:pPr>
            <w:r>
              <w:rPr>
                <w:rFonts w:hint="eastAsia" w:ascii="宋体" w:hAnsi="宋体" w:eastAsia="宋体" w:cs="宋体"/>
                <w:sz w:val="24"/>
                <w:szCs w:val="24"/>
                <w:lang w:val="zh-CN"/>
              </w:rPr>
              <w:t>小写：231000</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000256"/>
    <w:rsid w:val="41000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2019-03-25T06:14:00Z</dcterms:created>
  <dc:creator>龙猫</dc:creator>
  <cp:lastModifiedBy>龙猫</cp:lastModifiedBy>
  <dcterms:modified xsi:type="dcterms:W3CDTF">2019-03-25T06:15:48Z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