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0" w:beforeAutospacing="0" w:after="0" w:afterAutospacing="0"/>
        <w:ind w:left="0" w:right="0"/>
        <w:jc w:val="center"/>
        <w:rPr>
          <w:rFonts w:hint="eastAsia" w:ascii="宋体" w:hAnsi="宋体" w:eastAsia="宋体" w:cs="宋体"/>
          <w:b/>
          <w:sz w:val="28"/>
          <w:szCs w:val="28"/>
          <w:lang w:val="en-US"/>
        </w:rPr>
      </w:pPr>
      <w:r>
        <w:rPr>
          <w:rFonts w:hint="eastAsia" w:ascii="宋体" w:hAnsi="宋体" w:eastAsia="宋体" w:cs="宋体"/>
          <w:b/>
          <w:kern w:val="2"/>
          <w:sz w:val="28"/>
          <w:szCs w:val="28"/>
          <w:lang w:val="en-US" w:eastAsia="zh-CN" w:bidi="ar"/>
        </w:rPr>
        <w:t>（六）服务承诺</w:t>
      </w:r>
    </w:p>
    <w:p>
      <w:pPr>
        <w:keepNext w:val="0"/>
        <w:keepLines w:val="0"/>
        <w:widowControl/>
        <w:suppressLineNumbers w:val="0"/>
        <w:spacing w:before="0" w:beforeAutospacing="0" w:after="0" w:afterAutospacing="0"/>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p>
    <w:p>
      <w:pPr>
        <w:keepNext w:val="0"/>
        <w:keepLines w:val="0"/>
        <w:widowControl/>
        <w:suppressLineNumbers w:val="0"/>
        <w:spacing w:before="0" w:beforeAutospacing="0" w:after="0" w:afterAutospacing="0"/>
        <w:ind w:left="0" w:right="0"/>
        <w:jc w:val="center"/>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（投标人根据招标文件要求自行编制）</w:t>
      </w:r>
    </w:p>
    <w:p>
      <w:pPr>
        <w:keepNext w:val="0"/>
        <w:keepLines w:val="0"/>
        <w:widowControl/>
        <w:suppressLineNumbers w:val="0"/>
        <w:spacing w:before="0" w:beforeAutospacing="0" w:after="0" w:afterAutospacing="0"/>
        <w:ind w:left="0" w:right="0"/>
        <w:jc w:val="center"/>
        <w:rPr>
          <w:rFonts w:hint="eastAsia" w:ascii="宋体" w:hAnsi="宋体" w:eastAsia="宋体" w:cs="宋体"/>
          <w:b/>
          <w:sz w:val="36"/>
          <w:szCs w:val="36"/>
          <w:lang w:val="en-US"/>
        </w:rPr>
      </w:pPr>
      <w:r>
        <w:rPr>
          <w:rFonts w:hint="eastAsia" w:ascii="宋体" w:hAnsi="宋体" w:eastAsia="宋体" w:cs="宋体"/>
          <w:b/>
          <w:kern w:val="2"/>
          <w:sz w:val="36"/>
          <w:szCs w:val="36"/>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1、项目实施与培训</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我公司承诺严格按照采购方需求的软件及硬件的部署、调试，进行系统使用人员的操作、维护、使用等的技术培训，参与培训的人员由采购方确定。</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项目完成后，我公司将制定详细的培训计划(包括培训内容、时间、地点、参加人员等)，与项目使用单位磋商，并由项目使用单位签字确认，保证培训次数不低于8次或课时不低于16课时。</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2、项目运维</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我公司提供三年免费质量保障期及运维服务。</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运维阶段售后服务响应时间如下：</w:t>
      </w:r>
    </w:p>
    <w:tbl>
      <w:tblPr>
        <w:tblStyle w:val="2"/>
        <w:tblW w:w="863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
      <w:tblGrid>
        <w:gridCol w:w="1402"/>
        <w:gridCol w:w="2012"/>
        <w:gridCol w:w="1867"/>
        <w:gridCol w:w="1725"/>
        <w:gridCol w:w="1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1" w:hRule="atLeast"/>
          <w:jc w:val="center"/>
        </w:trPr>
        <w:tc>
          <w:tcPr>
            <w:tcW w:w="140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b/>
                <w:sz w:val="24"/>
                <w:szCs w:val="24"/>
                <w:bdr w:val="none" w:color="auto" w:sz="0" w:space="0"/>
                <w:lang w:val="en-US"/>
              </w:rPr>
            </w:pPr>
            <w:r>
              <w:rPr>
                <w:rFonts w:hint="eastAsia" w:ascii="华文仿宋" w:hAnsi="华文仿宋" w:eastAsia="宋体" w:cs="宋体"/>
                <w:b/>
                <w:kern w:val="2"/>
                <w:sz w:val="24"/>
                <w:szCs w:val="24"/>
                <w:bdr w:val="none" w:color="auto" w:sz="0" w:space="0"/>
                <w:lang w:val="en-US" w:eastAsia="zh-CN" w:bidi="ar"/>
              </w:rPr>
              <w:t>故障级别</w:t>
            </w:r>
          </w:p>
        </w:tc>
        <w:tc>
          <w:tcPr>
            <w:tcW w:w="201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b/>
                <w:sz w:val="24"/>
                <w:szCs w:val="24"/>
                <w:bdr w:val="none" w:color="auto" w:sz="0" w:space="0"/>
                <w:lang w:val="en-US"/>
              </w:rPr>
            </w:pPr>
            <w:r>
              <w:rPr>
                <w:rFonts w:hint="eastAsia" w:ascii="华文仿宋" w:hAnsi="华文仿宋" w:eastAsia="宋体" w:cs="宋体"/>
                <w:b/>
                <w:kern w:val="2"/>
                <w:sz w:val="24"/>
                <w:szCs w:val="24"/>
                <w:bdr w:val="none" w:color="auto" w:sz="0" w:space="0"/>
                <w:lang w:val="en-US" w:eastAsia="zh-CN" w:bidi="ar"/>
              </w:rPr>
              <w:t>故障受理</w:t>
            </w:r>
          </w:p>
        </w:tc>
        <w:tc>
          <w:tcPr>
            <w:tcW w:w="186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b/>
                <w:sz w:val="24"/>
                <w:szCs w:val="24"/>
                <w:bdr w:val="none" w:color="auto" w:sz="0" w:space="0"/>
                <w:lang w:val="en-US"/>
              </w:rPr>
            </w:pPr>
            <w:r>
              <w:rPr>
                <w:rFonts w:hint="eastAsia" w:ascii="华文仿宋" w:hAnsi="华文仿宋" w:eastAsia="宋体" w:cs="宋体"/>
                <w:b/>
                <w:kern w:val="2"/>
                <w:sz w:val="24"/>
                <w:szCs w:val="24"/>
                <w:bdr w:val="none" w:color="auto" w:sz="0" w:space="0"/>
                <w:lang w:val="en-US" w:eastAsia="zh-CN" w:bidi="ar"/>
              </w:rPr>
              <w:t>故障响应</w:t>
            </w:r>
          </w:p>
        </w:tc>
        <w:tc>
          <w:tcPr>
            <w:tcW w:w="172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b/>
                <w:sz w:val="24"/>
                <w:szCs w:val="24"/>
                <w:bdr w:val="none" w:color="auto" w:sz="0" w:space="0"/>
                <w:lang w:val="en-US"/>
              </w:rPr>
            </w:pPr>
            <w:r>
              <w:rPr>
                <w:rFonts w:hint="eastAsia" w:ascii="华文仿宋" w:hAnsi="华文仿宋" w:eastAsia="宋体" w:cs="宋体"/>
                <w:b/>
                <w:kern w:val="2"/>
                <w:sz w:val="24"/>
                <w:szCs w:val="24"/>
                <w:bdr w:val="none" w:color="auto" w:sz="0" w:space="0"/>
                <w:lang w:val="en-US" w:eastAsia="zh-CN" w:bidi="ar"/>
              </w:rPr>
              <w:t>到达现场</w:t>
            </w:r>
          </w:p>
        </w:tc>
        <w:tc>
          <w:tcPr>
            <w:tcW w:w="163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b/>
                <w:sz w:val="24"/>
                <w:szCs w:val="24"/>
                <w:bdr w:val="none" w:color="auto" w:sz="0" w:space="0"/>
                <w:lang w:val="en-US"/>
              </w:rPr>
            </w:pPr>
            <w:r>
              <w:rPr>
                <w:rFonts w:hint="eastAsia" w:ascii="华文仿宋" w:hAnsi="华文仿宋" w:eastAsia="宋体" w:cs="宋体"/>
                <w:b/>
                <w:kern w:val="2"/>
                <w:sz w:val="24"/>
                <w:szCs w:val="24"/>
                <w:bdr w:val="none" w:color="auto" w:sz="0" w:space="0"/>
                <w:lang w:val="en-US" w:eastAsia="zh-CN" w:bidi="ar"/>
              </w:rPr>
              <w:t>维修更换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315" w:hRule="atLeast"/>
          <w:jc w:val="center"/>
        </w:trPr>
        <w:tc>
          <w:tcPr>
            <w:tcW w:w="140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firstLine="560"/>
              <w:jc w:val="both"/>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P1</w:t>
            </w:r>
          </w:p>
        </w:tc>
        <w:tc>
          <w:tcPr>
            <w:tcW w:w="201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立即</w:t>
            </w:r>
          </w:p>
        </w:tc>
        <w:tc>
          <w:tcPr>
            <w:tcW w:w="186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15</w:t>
            </w:r>
            <w:r>
              <w:rPr>
                <w:rFonts w:hint="eastAsia" w:ascii="宋体" w:hAnsi="宋体" w:eastAsia="宋体" w:cs="宋体"/>
                <w:kern w:val="2"/>
                <w:sz w:val="24"/>
                <w:szCs w:val="24"/>
                <w:bdr w:val="none" w:color="auto" w:sz="0" w:space="0"/>
                <w:lang w:val="en-US" w:eastAsia="zh-CN" w:bidi="ar"/>
              </w:rPr>
              <w:t>分钟</w:t>
            </w:r>
          </w:p>
        </w:tc>
        <w:tc>
          <w:tcPr>
            <w:tcW w:w="172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w:t>
            </w:r>
            <w:r>
              <w:rPr>
                <w:rFonts w:hint="eastAsia" w:ascii="宋体" w:hAnsi="宋体" w:eastAsia="宋体" w:cs="宋体"/>
                <w:kern w:val="2"/>
                <w:sz w:val="24"/>
                <w:szCs w:val="24"/>
                <w:bdr w:val="none" w:color="auto" w:sz="0" w:space="0"/>
                <w:lang w:val="en-US" w:eastAsia="zh-CN" w:bidi="ar"/>
              </w:rPr>
              <w:t>小时</w:t>
            </w:r>
          </w:p>
        </w:tc>
        <w:tc>
          <w:tcPr>
            <w:tcW w:w="163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小于</w:t>
            </w:r>
            <w:r>
              <w:rPr>
                <w:rFonts w:hint="eastAsia" w:ascii="华文仿宋" w:hAnsi="华文仿宋" w:eastAsia="华文仿宋" w:cs="华文仿宋"/>
                <w:kern w:val="2"/>
                <w:sz w:val="24"/>
                <w:szCs w:val="24"/>
                <w:bdr w:val="none" w:color="auto" w:sz="0" w:space="0"/>
                <w:lang w:val="en-US" w:eastAsia="zh-CN" w:bidi="ar"/>
              </w:rPr>
              <w:t>12</w:t>
            </w:r>
            <w:r>
              <w:rPr>
                <w:rFonts w:hint="eastAsia" w:ascii="宋体" w:hAnsi="宋体" w:eastAsia="宋体" w:cs="宋体"/>
                <w:kern w:val="2"/>
                <w:sz w:val="24"/>
                <w:szCs w:val="24"/>
                <w:bdr w:val="none" w:color="auto" w:sz="0" w:space="0"/>
                <w:lang w:val="en-US" w:eastAsia="zh-CN" w:bidi="ar"/>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tblLayout w:type="fixed"/>
          <w:tblCellMar>
            <w:top w:w="0" w:type="dxa"/>
            <w:left w:w="108" w:type="dxa"/>
            <w:bottom w:w="0" w:type="dxa"/>
            <w:right w:w="108" w:type="dxa"/>
          </w:tblCellMar>
        </w:tblPrEx>
        <w:trPr>
          <w:trHeight w:val="315" w:hRule="atLeast"/>
          <w:jc w:val="center"/>
        </w:trPr>
        <w:tc>
          <w:tcPr>
            <w:tcW w:w="140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firstLine="560"/>
              <w:jc w:val="both"/>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P2</w:t>
            </w:r>
          </w:p>
        </w:tc>
        <w:tc>
          <w:tcPr>
            <w:tcW w:w="201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立即</w:t>
            </w:r>
          </w:p>
        </w:tc>
        <w:tc>
          <w:tcPr>
            <w:tcW w:w="186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15</w:t>
            </w:r>
            <w:r>
              <w:rPr>
                <w:rFonts w:hint="eastAsia" w:ascii="宋体" w:hAnsi="宋体" w:eastAsia="宋体" w:cs="宋体"/>
                <w:kern w:val="2"/>
                <w:sz w:val="24"/>
                <w:szCs w:val="24"/>
                <w:bdr w:val="none" w:color="auto" w:sz="0" w:space="0"/>
                <w:lang w:val="en-US" w:eastAsia="zh-CN" w:bidi="ar"/>
              </w:rPr>
              <w:t>分钟</w:t>
            </w:r>
          </w:p>
        </w:tc>
        <w:tc>
          <w:tcPr>
            <w:tcW w:w="172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w:t>
            </w:r>
            <w:r>
              <w:rPr>
                <w:rFonts w:hint="eastAsia" w:ascii="宋体" w:hAnsi="宋体" w:eastAsia="宋体" w:cs="宋体"/>
                <w:kern w:val="2"/>
                <w:sz w:val="24"/>
                <w:szCs w:val="24"/>
                <w:bdr w:val="none" w:color="auto" w:sz="0" w:space="0"/>
                <w:lang w:val="en-US" w:eastAsia="zh-CN" w:bidi="ar"/>
              </w:rPr>
              <w:t>小时</w:t>
            </w:r>
          </w:p>
        </w:tc>
        <w:tc>
          <w:tcPr>
            <w:tcW w:w="163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小于</w:t>
            </w:r>
            <w:r>
              <w:rPr>
                <w:rFonts w:hint="eastAsia" w:ascii="华文仿宋" w:hAnsi="华文仿宋" w:eastAsia="华文仿宋" w:cs="华文仿宋"/>
                <w:kern w:val="2"/>
                <w:sz w:val="24"/>
                <w:szCs w:val="24"/>
                <w:bdr w:val="none" w:color="auto" w:sz="0" w:space="0"/>
                <w:lang w:val="en-US" w:eastAsia="zh-CN" w:bidi="ar"/>
              </w:rPr>
              <w:t>12</w:t>
            </w:r>
            <w:r>
              <w:rPr>
                <w:rFonts w:hint="eastAsia" w:ascii="宋体" w:hAnsi="宋体" w:eastAsia="宋体" w:cs="宋体"/>
                <w:kern w:val="2"/>
                <w:sz w:val="24"/>
                <w:szCs w:val="24"/>
                <w:bdr w:val="none" w:color="auto" w:sz="0" w:space="0"/>
                <w:lang w:val="en-US" w:eastAsia="zh-CN" w:bidi="ar"/>
              </w:rPr>
              <w:t>小时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1402" w:type="dxa"/>
            <w:tcBorders>
              <w:top w:val="single" w:color="auto" w:sz="4" w:space="0"/>
              <w:left w:val="single" w:color="auto" w:sz="4" w:space="0"/>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firstLine="560"/>
              <w:jc w:val="both"/>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P3</w:t>
            </w:r>
          </w:p>
        </w:tc>
        <w:tc>
          <w:tcPr>
            <w:tcW w:w="201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工作时间</w:t>
            </w:r>
          </w:p>
        </w:tc>
        <w:tc>
          <w:tcPr>
            <w:tcW w:w="1867"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15</w:t>
            </w:r>
            <w:r>
              <w:rPr>
                <w:rFonts w:hint="eastAsia" w:ascii="宋体" w:hAnsi="宋体" w:eastAsia="宋体" w:cs="宋体"/>
                <w:kern w:val="2"/>
                <w:sz w:val="24"/>
                <w:szCs w:val="24"/>
                <w:bdr w:val="none" w:color="auto" w:sz="0" w:space="0"/>
                <w:lang w:val="en-US" w:eastAsia="zh-CN" w:bidi="ar"/>
              </w:rPr>
              <w:t>分钟</w:t>
            </w:r>
          </w:p>
        </w:tc>
        <w:tc>
          <w:tcPr>
            <w:tcW w:w="1725"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华文仿宋"/>
                <w:kern w:val="2"/>
                <w:sz w:val="24"/>
                <w:szCs w:val="24"/>
                <w:bdr w:val="none" w:color="auto" w:sz="0" w:space="0"/>
                <w:lang w:val="en-US" w:eastAsia="zh-CN" w:bidi="ar"/>
              </w:rPr>
              <w:t>1</w:t>
            </w:r>
            <w:r>
              <w:rPr>
                <w:rFonts w:hint="eastAsia" w:ascii="宋体" w:hAnsi="宋体" w:eastAsia="宋体" w:cs="宋体"/>
                <w:kern w:val="2"/>
                <w:sz w:val="24"/>
                <w:szCs w:val="24"/>
                <w:bdr w:val="none" w:color="auto" w:sz="0" w:space="0"/>
                <w:lang w:val="en-US" w:eastAsia="zh-CN" w:bidi="ar"/>
              </w:rPr>
              <w:t>小时</w:t>
            </w:r>
          </w:p>
        </w:tc>
        <w:tc>
          <w:tcPr>
            <w:tcW w:w="1632" w:type="dxa"/>
            <w:tcBorders>
              <w:top w:val="single" w:color="auto" w:sz="4" w:space="0"/>
              <w:left w:val="nil"/>
              <w:bottom w:val="single" w:color="auto" w:sz="4" w:space="0"/>
              <w:right w:val="single" w:color="auto" w:sz="4" w:space="0"/>
            </w:tcBorders>
            <w:shd w:val="clear"/>
            <w:vAlign w:val="center"/>
          </w:tcPr>
          <w:p>
            <w:pPr>
              <w:keepNext w:val="0"/>
              <w:keepLines w:val="0"/>
              <w:widowControl w:val="0"/>
              <w:suppressLineNumbers w:val="0"/>
              <w:snapToGrid w:val="0"/>
              <w:spacing w:before="0" w:beforeAutospacing="0" w:after="0" w:afterAutospacing="0" w:line="360" w:lineRule="auto"/>
              <w:ind w:left="0" w:right="0"/>
              <w:jc w:val="center"/>
              <w:rPr>
                <w:rFonts w:hint="eastAsia" w:ascii="华文仿宋" w:hAnsi="华文仿宋" w:eastAsia="宋体" w:cs="华文仿宋"/>
                <w:sz w:val="24"/>
                <w:szCs w:val="24"/>
                <w:bdr w:val="none" w:color="auto" w:sz="0" w:space="0"/>
                <w:lang w:val="en-US"/>
              </w:rPr>
            </w:pPr>
            <w:r>
              <w:rPr>
                <w:rFonts w:hint="eastAsia" w:ascii="华文仿宋" w:hAnsi="华文仿宋" w:eastAsia="宋体" w:cs="宋体"/>
                <w:kern w:val="2"/>
                <w:sz w:val="24"/>
                <w:szCs w:val="24"/>
                <w:bdr w:val="none" w:color="auto" w:sz="0" w:space="0"/>
                <w:lang w:val="en-US" w:eastAsia="zh-CN" w:bidi="ar"/>
              </w:rPr>
              <w:t>小于</w:t>
            </w:r>
            <w:r>
              <w:rPr>
                <w:rFonts w:hint="eastAsia" w:ascii="华文仿宋" w:hAnsi="华文仿宋" w:eastAsia="华文仿宋" w:cs="华文仿宋"/>
                <w:kern w:val="2"/>
                <w:sz w:val="24"/>
                <w:szCs w:val="24"/>
                <w:bdr w:val="none" w:color="auto" w:sz="0" w:space="0"/>
                <w:lang w:val="en-US" w:eastAsia="zh-CN" w:bidi="ar"/>
              </w:rPr>
              <w:t>12</w:t>
            </w:r>
            <w:r>
              <w:rPr>
                <w:rFonts w:hint="eastAsia" w:ascii="宋体" w:hAnsi="宋体" w:eastAsia="宋体" w:cs="宋体"/>
                <w:kern w:val="2"/>
                <w:sz w:val="24"/>
                <w:szCs w:val="24"/>
                <w:bdr w:val="none" w:color="auto" w:sz="0" w:space="0"/>
                <w:lang w:val="en-US" w:eastAsia="zh-CN" w:bidi="ar"/>
              </w:rPr>
              <w:t>小时</w:t>
            </w:r>
          </w:p>
        </w:tc>
      </w:tr>
    </w:tbl>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其中各种故障级别的含义如下：</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P1:整个系统瘫痪：服务端故障引起整个系统瘫痪，超过70%终端用户不能使用的故障。</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P2:局部设备故障：局部某个终端客户端故障，影响超过30%用户不能使用系统的故障。</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P3:小故障/常规应用功能问题：提供信息，打补丁、修改数据等。</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b/>
          <w:sz w:val="24"/>
          <w:szCs w:val="24"/>
          <w:lang w:val="en-US"/>
        </w:rPr>
      </w:pPr>
      <w:r>
        <w:rPr>
          <w:rFonts w:hint="eastAsia" w:ascii="宋体" w:hAnsi="宋体" w:eastAsia="宋体" w:cs="宋体"/>
          <w:b/>
          <w:kern w:val="2"/>
          <w:sz w:val="24"/>
          <w:szCs w:val="24"/>
          <w:lang w:val="en-US" w:eastAsia="zh-CN" w:bidi="ar"/>
        </w:rPr>
        <w:t>3、技术支持方式</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鄢陵县城市标准化社区项目-配套设施设备及智慧社区软件支撑平台（二次）（A包）运行维护涉及系统投入试运行以后的日常运行维护、开发方技术支持、开发方远程维护和开发方现场维护、平台维护等。对由本公司提供的支撑软件、应用软件等提供全面的技术支持服务，其范围包括安装调试、维护、培训、技术咨询、定期巡检、系统升级等。</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技术支持的方式包括：远程技术服务（提供如：技术服务热线，网络远程监控）、现场技术服务、定期巡查服务、技术升级服务等，主要以现场技术服务为主，且每次服务记录均由双方签字确认。    </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（1）日常运行维护</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建立系统运行日志，详细记录系统运行过程中出现的问题，分析可能的原因，以及采取的解决处理办法。</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定期检查系统安全（每月至少1次）。</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日常数据维护：包括数据资料的整理、修改、补录、校验等。</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（2）电话咨询服务</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提供服务专线咨询电话及热线寻呼，向用户提供快捷、准确、及时的热线支持。内容包括应用系统开发和维护；系统工程实施；企业业务流程优化咨询服务；企业系统建设咨询服务等。</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技术支持根据内容指派支持人员，系统开发维护方面问题由开发方项目经理或开发组人员直接处理；信息咨询由公司的咨询人员处理。</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（3）远程技术支持</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指开发方通过远程登录直接维护；或将维护方案通过E-mail发给用户方技术人员，由用户方技术人员实施。远程维护由开发方项目经理或工程实施组人员直接处理。</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（4）现场技术维护</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指开发方技术人员到用户现场进行维护，解决问题。</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现场维护由开发方采取统一派单的方法管理。</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（5）技术服务承诺</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承诺提供包括热线咨询、现场指导、需求调研、扩容设计咨询、现场故障排除、系统软件升级等各种技术服务。</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（5.1）保证提供的运维人员具有较好的沟通能力和表达能力，且具有3年以上系统实施或运维经验，工作态度良好，热情主动，积极为客户服务，随时响应关于本项目的技术咨询及联络需求。</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5.2）在项目期内，提供5×8现场值班，7×24电话值班的服务（节假日不间断），提供运维人员和其他技术支持人员的名单和联系方式，保证使用方可以随时找到相应的技术人员，如遇特殊紧急情况下，保证15分钟内到达现场，便于更加快捷地发现问题、解决问题，为客户提供优质的服务。</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（5.3）在项目期内，对于接到的故障报修或业务咨询，如在30分钟内无法确定解决方案或无实质性进展，将启动更高级别的响应服务，安排公司内部或外部专家于1小时内到达现场进行处理。</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（5.4）运维项目组将对每一个运维事件及其处理过程进行详细的跟踪管理，形成问题处理报告，定期完成用户操作日志、运维操</w:t>
      </w:r>
      <w:bookmarkStart w:id="0" w:name="_GoBack"/>
      <w:bookmarkEnd w:id="0"/>
      <w:r>
        <w:rPr>
          <w:rFonts w:hint="eastAsia" w:ascii="宋体" w:hAnsi="宋体" w:eastAsia="宋体" w:cs="宋体"/>
          <w:kern w:val="2"/>
          <w:sz w:val="24"/>
          <w:szCs w:val="24"/>
          <w:lang w:val="en-US" w:eastAsia="zh-CN" w:bidi="ar"/>
        </w:rPr>
        <w:t>作日志、数据库操作日志等审计分析，形成日志审计报告，确保各类操作行为轨迹可审计、可追溯，并定期汇报。对于故障处理，运维项目组将在故障处理完成后及时将故障处理报告以书面形式提交给相关部门。</w:t>
      </w:r>
    </w:p>
    <w:p>
      <w:pPr>
        <w:keepNext w:val="0"/>
        <w:keepLines w:val="0"/>
        <w:widowControl w:val="0"/>
        <w:suppressLineNumbers w:val="0"/>
        <w:snapToGrid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5.5）在系统运行维护或故障排除过程中，运维人员将严格遵守系统运维工作流程及规范，确保各项操作按照流程和规范执行。对于系统软件升级或计划检修，提前制定相关方案，包括系统备份、操作步骤和内容、系统测试等，在具体执行过程中1人负责具体操作，1人负责监督审核，避免技术人员工作程序和方法不当造成系统损坏或无法恢复。</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jc w:val="both"/>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 xml:space="preserve"> </w:t>
      </w:r>
    </w:p>
    <w:p>
      <w:pPr>
        <w:keepNext w:val="0"/>
        <w:keepLines w:val="0"/>
        <w:widowControl w:val="0"/>
        <w:suppressLineNumbers w:val="0"/>
        <w:snapToGrid w:val="0"/>
        <w:spacing w:before="0" w:beforeAutospacing="0" w:after="0" w:afterAutospacing="0" w:line="360" w:lineRule="auto"/>
        <w:ind w:left="0" w:right="0"/>
        <w:jc w:val="right"/>
        <w:rPr>
          <w:rFonts w:hint="eastAsia" w:ascii="宋体" w:hAnsi="宋体" w:eastAsia="宋体" w:cs="宋体"/>
          <w:sz w:val="24"/>
          <w:szCs w:val="24"/>
          <w:lang w:val="en-US"/>
        </w:rPr>
      </w:pPr>
      <w:r>
        <w:rPr>
          <w:rFonts w:hint="eastAsia" w:ascii="宋体" w:hAnsi="宋体" w:eastAsia="宋体" w:cs="宋体"/>
          <w:kern w:val="2"/>
          <w:sz w:val="24"/>
          <w:szCs w:val="24"/>
          <w:lang w:val="en-US" w:eastAsia="zh-CN" w:bidi="ar"/>
        </w:rPr>
        <w:t>河南新兵锋软件科技有限公司</w:t>
      </w:r>
    </w:p>
    <w:p>
      <w:pPr>
        <w:keepNext w:val="0"/>
        <w:keepLines w:val="0"/>
        <w:widowControl/>
        <w:suppressLineNumbers w:val="0"/>
        <w:jc w:val="right"/>
      </w:pPr>
      <w:r>
        <w:rPr>
          <w:rFonts w:hint="eastAsia" w:ascii="宋体" w:hAnsi="宋体" w:eastAsia="宋体" w:cs="Times New Roman"/>
          <w:kern w:val="2"/>
          <w:sz w:val="24"/>
          <w:szCs w:val="24"/>
          <w:lang w:val="en-US" w:eastAsia="zh-CN" w:bidi="ar"/>
        </w:rPr>
        <w:t xml:space="preserve">2019年3月22日  </w:t>
      </w:r>
    </w:p>
    <w:p/>
    <w:sectPr>
      <w:pgSz w:w="12240" w:h="15840"/>
      <w:pgMar w:top="1440" w:right="1800" w:bottom="1440" w:left="1800" w:header="720" w:footer="720" w:gutter="0"/>
      <w:paperSrc/>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Math">
    <w:panose1 w:val="02040503050406030204"/>
    <w:charset w:val="01"/>
    <w:family w:val="auto"/>
    <w:pitch w:val="variable"/>
    <w:sig w:usb0="E00006FF" w:usb1="420024FF" w:usb2="02000000" w:usb3="00000000" w:csb0="2000019F" w:csb1="00000000"/>
  </w:font>
  <w:font w:name="华文仿宋">
    <w:panose1 w:val="02010600040101010101"/>
    <w:charset w:val="86"/>
    <w:family w:val="auto"/>
    <w:pitch w:val="variable"/>
    <w:sig w:usb0="00000287" w:usb1="080F0000" w:usb2="00000000" w:usb3="00000000" w:csb0="0004009F" w:csb1="DFD70000"/>
  </w:font>
  <w:font w:name="@华文仿宋">
    <w:panose1 w:val="02010600040101010101"/>
    <w:charset w:val="86"/>
    <w:family w:val="auto"/>
    <w:pitch w:val="variable"/>
    <w:sig w:usb0="00000287" w:usb1="080F0000" w:usb2="00000000" w:usb3="00000000" w:csb0="0004009F" w:csb1="DFD70000"/>
  </w:font>
  <w:font w:name="@宋体">
    <w:panose1 w:val="02010600030101010101"/>
    <w:charset w:val="86"/>
    <w:family w:val="auto"/>
    <w:pitch w:val="variable"/>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843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2019-03-25T07:19:38Z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