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sz w:val="32"/>
          <w:szCs w:val="32"/>
        </w:rPr>
      </w:pPr>
      <w:bookmarkStart w:id="0" w:name="_Toc5882"/>
      <w:r>
        <w:rPr>
          <w:rFonts w:hint="eastAsia" w:ascii="微软雅黑" w:hAnsi="微软雅黑" w:eastAsia="微软雅黑" w:cs="微软雅黑"/>
          <w:b/>
          <w:sz w:val="32"/>
          <w:szCs w:val="32"/>
        </w:rPr>
        <w:t>第</w:t>
      </w:r>
      <w:r>
        <w:rPr>
          <w:rFonts w:hint="eastAsia" w:ascii="微软雅黑" w:hAnsi="微软雅黑" w:eastAsia="微软雅黑" w:cs="微软雅黑"/>
          <w:b/>
          <w:sz w:val="32"/>
          <w:szCs w:val="32"/>
          <w:lang w:eastAsia="zh-CN"/>
        </w:rPr>
        <w:t>三</w:t>
      </w:r>
      <w:r>
        <w:rPr>
          <w:rFonts w:hint="eastAsia" w:ascii="微软雅黑" w:hAnsi="微软雅黑" w:eastAsia="微软雅黑" w:cs="微软雅黑"/>
          <w:b/>
          <w:sz w:val="32"/>
          <w:szCs w:val="32"/>
        </w:rPr>
        <w:t>次报价一览表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outlineLvl w:val="9"/>
        <w:rPr>
          <w:rFonts w:hint="eastAsia" w:ascii="微软雅黑" w:hAnsi="微软雅黑" w:eastAsia="微软雅黑" w:cs="微软雅黑"/>
          <w:b/>
          <w:sz w:val="24"/>
          <w:szCs w:val="24"/>
        </w:rPr>
      </w:pPr>
    </w:p>
    <w:tbl>
      <w:tblPr>
        <w:tblStyle w:val="12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40" w:firstLineChars="100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项目名称</w:t>
            </w:r>
          </w:p>
        </w:tc>
        <w:tc>
          <w:tcPr>
            <w:tcW w:w="7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  <w:t>禹州市范坡镇千亩烟方园区烤房设备采购项目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40" w:firstLineChars="100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采购编号</w:t>
            </w:r>
          </w:p>
        </w:tc>
        <w:tc>
          <w:tcPr>
            <w:tcW w:w="7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  <w:t>YZCG-T201903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40" w:firstLineChars="100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谈判总报价</w:t>
            </w:r>
          </w:p>
        </w:tc>
        <w:tc>
          <w:tcPr>
            <w:tcW w:w="7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大写：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人民币叁拾陆万柒仟元整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小写：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¥367000.00元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40" w:firstLineChars="100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供货日期</w:t>
            </w:r>
          </w:p>
        </w:tc>
        <w:tc>
          <w:tcPr>
            <w:tcW w:w="7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9"/>
              <w:rPr>
                <w:rFonts w:hint="default" w:ascii="微软雅黑" w:hAnsi="微软雅黑" w:eastAsia="微软雅黑" w:cs="微软雅黑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合同生效后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10天内交货完毕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240" w:firstLineChars="100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备注</w:t>
            </w:r>
          </w:p>
        </w:tc>
        <w:tc>
          <w:tcPr>
            <w:tcW w:w="70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bookmarkStart w:id="12" w:name="_GoBack"/>
            <w:bookmarkEnd w:id="12"/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00" w:lineRule="exac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供应商名称（公章）：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eastAsia="zh-CN"/>
        </w:rPr>
        <w:t>郑州容大科技股份有限公司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default" w:ascii="微软雅黑" w:hAnsi="微软雅黑" w:eastAsia="微软雅黑" w:cs="微软雅黑"/>
          <w:sz w:val="24"/>
          <w:szCs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法定代表人 （或授权代表）签字：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                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</w:t>
      </w:r>
      <w:r>
        <w:rPr>
          <w:rFonts w:hint="eastAsia" w:ascii="微软雅黑" w:hAnsi="微软雅黑" w:eastAsia="微软雅黑" w:cs="微软雅黑"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03</w:t>
      </w:r>
      <w:r>
        <w:rPr>
          <w:rFonts w:hint="eastAsia" w:ascii="微软雅黑" w:hAnsi="微软雅黑" w:eastAsia="微软雅黑" w:cs="微软雅黑"/>
          <w:sz w:val="24"/>
          <w:szCs w:val="24"/>
        </w:rPr>
        <w:t>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sz w:val="24"/>
          <w:szCs w:val="24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bCs/>
          <w:sz w:val="32"/>
          <w:szCs w:val="32"/>
          <w:lang w:val="zh-CN"/>
        </w:rPr>
        <w:sectPr>
          <w:pgSz w:w="11906" w:h="16838"/>
          <w:pgMar w:top="1440" w:right="1803" w:bottom="1440" w:left="1803" w:header="851" w:footer="992" w:gutter="0"/>
          <w:paperSrc/>
          <w:cols w:space="0" w:num="1"/>
          <w:rtlGutter w:val="0"/>
          <w:docGrid w:type="lines" w:linePitch="322" w:charSpace="0"/>
        </w:sectPr>
      </w:pPr>
      <w:bookmarkStart w:id="1" w:name="_Toc491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bCs/>
          <w:sz w:val="32"/>
          <w:szCs w:val="32"/>
          <w:lang w:val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zh-CN"/>
        </w:rPr>
        <w:t>投标分项报价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一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zh-CN"/>
        </w:rPr>
        <w:t>览表</w:t>
      </w:r>
      <w:bookmarkEnd w:id="1"/>
    </w:p>
    <w:tbl>
      <w:tblPr>
        <w:tblStyle w:val="12"/>
        <w:tblW w:w="15105" w:type="dxa"/>
        <w:tblInd w:w="-7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65"/>
        <w:gridCol w:w="3240"/>
        <w:gridCol w:w="4830"/>
        <w:gridCol w:w="735"/>
        <w:gridCol w:w="780"/>
        <w:gridCol w:w="1035"/>
        <w:gridCol w:w="1365"/>
        <w:gridCol w:w="10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品牌、规格及型号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单 价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firstLine="120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20" w:hanging="120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20" w:hanging="120"/>
              <w:jc w:val="center"/>
              <w:outlineLvl w:val="9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供热设备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</w:rPr>
              <w:t>容大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</w:rPr>
              <w:t>HKL-40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供热设备用耐腐蚀性强的特定金属制作，由分体设计加工的换热器和炉体两部分组成。两部分对接的烟气管道与支撑架均采用螺栓紧固连接。换热器采用3—3—4自上而下三层10根换热管横列结构，其中下部7根翅片管，上部3根光管。炉体由椭圆形（或圆形）炉顶、圆柱形炉壁和圆形炉底焊接而成。炉顶和炉壁采用对接或套接方式满焊，炉壁和炉底采用对接方式满焊。炉顶和烟气管道加散热片。在炉门口两侧的炉壁对称位置各设置一根二次进风管。采用正压燃烧方式。炉底至火箱上沿总高度1856mm，其中炉体高度1165mm（不含炉顶翅片），底层翅片管翅片外缘距炉顶86mm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炉壁采用金属钢板卷制焊接，形成高920mm、外径760mm的圆柱形炉体，底部焊接金属炉底，高度圆度误差不超过5mm，焊缝严密、平整，无气孔无夹渣不漏气。在炉壁上开设炉门口、灰坑口和助燃鼓风口，在其两侧炉壁的对称位置各开设两个二次进风口（中心点分别距炉底230mm、860mm）各焊接1根二次进风管，管内径30mm×30mm，长650mm；在助燃鼓风口斜向焊接φ60mm长526mm助燃鼓风管，与灰坑口边框夹角为8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superscript"/>
              </w:rPr>
              <w:t>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，形成切向供风。炉壁和炉底采用4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.05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mm厚耐酸钢板制作；二次进风管和助燃鼓风管采用Q235钢制作，钢材符合GB/T221和GB/T15575规定。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403" w:firstLineChars="192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炉顶由封头、烟气管道、换热器支撑架、表面散热片构成。面向炉门，炉顶右侧开设烟气通道开口，焊接烟气管道，左侧焊接换热器支撑架，表面焊接散热片。封头采用实际厚度不低于5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.3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mm的09CuPCrNi耐候钢冲压制作（或铸钢铸造），钢材符合GB/T221和GB/T15575。烟气管道、换热器支撑架和表面散热片采用4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.05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mm厚耐酸钢制作。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315" w:firstLineChars="15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在炉壁上炉门口和灰坑口的开口位置焊接金属门框，安装炉门和灰坑门，炉门和灰坑门采用冲压成型加工方式，灰坑门为单层钢板结构，炉门为双层结构，外层钢板，内层扣板，层间内嵌厚度30mm隔热保温耐火材料。炉门边缘内翻与内层扣板形成宽17mm的凹槽，凹槽内填充耐高温密封材料。炉门框下底面焊接30mm×4mm扁铁、其他三面焊接30mm×30mm×4mm角铁，形成封闭的法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门与门框均采用4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.05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mm厚耐酸钢制作，采用轴插销锁式连接，销套外径16mm，销轴直径10mm。门扣采用手柄式。金属供热设备均采用耐高温、抗氧化、附着力强、不产生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危害烟叶质量物质的环保材料作表面防腐处理。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6100.00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183000.00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郑州/郑州容大科技股份有限公司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8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电机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</w:rPr>
              <w:t>华大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GKF7-6/4（三相）或GKF7-4（单相）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</w:rPr>
              <w:t>GKF7/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leftChars="0" w:right="0" w:rightChars="0" w:firstLine="403" w:firstLineChars="192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机座号100，额定频率50Hz，额定功率1.5kW或2.2kW，额定转速1440r/min。电压允许波动±20%。单相电源时采用额定电压为220V的单相电动机，电容耐温&gt;70℃。三相电源时采用额定电压为380V的4/6极三相高低速电动机，配套控制仪能够实现二极调速，转速为1440/960r/min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电机耐高温高湿；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电动机绝缘等级F级以上，防护等级IP54以上，润滑油滴点温度≥200℃。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变频调速电动机采用加厚漆膜—3铜漆包线，槽绝缘纸采用含有云母的新型槽绝缘纸，相间绝缘采用F级的DMD。普通电动机采用F级漆膜—2铜漆包线，槽绝缘纸采用F级DMD。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外壳采用ZL104铸造铝合金材料，主轴采用45号钢。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（3）使用寿命达10年以上。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1100.00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33000.00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eastAsia="zh-CN"/>
              </w:rPr>
              <w:t>福州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eastAsia="zh-CN"/>
              </w:rPr>
              <w:t>福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</w:rPr>
              <w:t>建华大电机有限公司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风机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华大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YD100L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-6/4（三相）或Y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Y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100L-4（单相）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jc w:val="left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7号轴流风机，4叶片。采用内置电动机直联结构，叶轮叶顶和风筒的间隙控制在5mm左右。在50Hz电网供电，转速1440r/min时循环风机性能参数为：风量15000m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/h以上，全压170Pa～250Pa，静压不低于70Pa，整机最高全压效率在70%以上。非变频调节装置效率（最高风机全压效率与电动机效率的乘积）不低于58%。风筒直径700mm，深度165mm，选用厚度1.8mm 以上的国标Q195冷轧钢板焊接而成。焊缝严密、平整，无气孔无夹渣不漏气。风筒外表面清洁、匀称、平整，涂防锈涂料和装饰性涂料，内表面涂防锈涂料。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 w:firstLine="210" w:firstLineChars="100"/>
              <w:textAlignment w:val="auto"/>
              <w:rPr>
                <w:rFonts w:hint="eastAsia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叶片截面形状为机翼型，单个风叶与叶柄整体铸成。叶轮由压铸铝合金叶片和压铸铝合金轮毂组成，采用带有防松的连接螺栓联结紧固，轮毂表面有不同安装角度的指示标记，方便调节。叶轮与风轮材料选用ZL104，铝合金铸件质量符合GB9438规定。铸件的内、外表面光滑，无气泡裂缝，厚度均匀，耐高温高湿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400.00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12000.00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eastAsia="zh-CN"/>
              </w:rPr>
              <w:t>福州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eastAsia="zh-CN"/>
              </w:rPr>
              <w:t>福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</w:rPr>
              <w:t>建华大电机有限公司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自控设备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容大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RD-S（三相）或RD-D（单相）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烘烤曲线及存储功能：配置可擦写工艺曲线存储器，存储量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K字节以上。在烘烤过程中对显示屏上的烘烤信息数据，每1h自动采集1次，存储以备查询。烘烤数据按烤次进行存贮，可连续存储10个烤次烘烤数据。记录数据包括：目标参数记录、实时检测记录、时间等显示器上的相关参数以及传感器故障、缺相、过载、停电、过压、欠压、温湿度超限等故障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控制方式：通过实时采集装烟室内干球和湿球温度传感器的值，控制循环风机、助燃风机、冷风门或排湿装置等执行器完成烘烤自动/手动控制。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面板显示、功能按键：采用段码LCD液晶显示屏，具有防紫外线功能；最高工作温度70℃，视角120°，规格168mm×92mm。背光亮度均匀、稳定，对比度满足户外工作要求。采用直径≥5mm高亮度状态指示灯。在显示屏下方共设置8个功能按键，按键采用轻触开关（tactswitch），型号1212h。单个按键机械寿命&gt;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00000次；按键响应灵敏，响应时间&lt;0.5s。详细按键操作说明见《产品配套说明书》。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机箱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①箱盖(面板)规格415mm×295mm，在箱盖(面板)开设液晶显示框，规格173mm×96mm；8个功能按键安装孔。箱盖(面板)表面整体覆盖PC面膜，规格350mm×228mm。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②在机箱侧面设置循环风机高低档转换旋钮。底部开设电源线进线孔、连接助燃鼓风机的标准两孔插座及多线共用进线孔。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③箱盖和箱底采用阻燃ABS塑料模具成型。阻燃达到民用V—1级，防护等级IP54，符合GB4208外壳防护等级规定，设有接地端子。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面板显示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①显示屏：采用段码LCD液晶显示屏，具有防紫外线功能；最高工作温度70℃，视角120°，规格168mm×92mm。背光亮度均匀、稳定，对比度满足户外工作要求。采用直径≥5mm高亮度状态指示灯。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②显示内容：LCD液晶显示包括实时显示、曲线显示、故障显示和运行状态显示。实时显示包括实时上/下棚干球温度与湿球温度、目标干球温度与湿球温度、阶段时间与总时间，升温时目标温度值显示取每30min时的设定计算值。曲线显示是通过对10个目标段的干球温度、湿球温度和对应运行时间的设置，提供曲线示意图。故障显示包括偏温、过载、缺相。运行状态显示包括自设、下部叶、中部叶、上部叶、助燃、排湿、电压、循环风速自动/高/低、烤次/日期时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③字符高度。字体显示清晰，大小便于观察、区分。实时显示的干球温度和湿球温度的显示值字符高度为12.6mm，目标干球温度与湿球温度、阶段时间、总时间的显示值为7.7mm，曲线显示部分的干球与湿球目标设定框内的显示值为6.4mm，运行时间设定目标设定框内的显示值为4.8mm，框外的文字、符号及数字均为4.0mm。故障显示和运行状态显示部分的自设、下部叶、中部叶和上部叶文字为4.7mm，其它文字均4.0mm，数字均为3.8m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功能按键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 w:firstLine="210" w:firstLineChars="10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在显示屏下方共设置8个功能按键， 按键采用轻触开关（tactswitch），型号1212h。单个按键机械寿命&gt;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00000次；按键响应灵敏，响应时间&lt;0.5s。详细按键操作说明见《产品配套说明书》。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1100.00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33000.00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郑州/郑州容大科技股份有限公司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冷进风门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瑞正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800mm×300mm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内尺寸800mm×300mm；边框使用25mm×70mm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×1.5mm方管，四个角均为90°，转动风叶采用厚度1.5mm冷轧钢标准板并设冲压加强筋。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（2）风门关闭严密。所有的面为平面，风叶能够在0～90°开启，并在任意角度保持稳定。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使用寿命达10年以上。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（3）转动风叶和边框表面采用喷塑处理，喷塑厚度不小于20μm，颜色纯正，无气泡、麻点、划痕和皱褶，焊缝平整，无虚焊，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关闭严密，操作方便，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开关灵活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能满足长期户外使用。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240.00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7200.00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沧州/沧州瑞正电子设备有限公司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百叶排湿窗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瑞正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  <w:t>400mm×400mm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 w:firstLine="210" w:firstLineChars="10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采用铝合金百叶窗结构，外框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规格4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0mm×4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0mm、2个/套在隔热墙顶端（气流上升式）或底端（气流下降式）两侧对称位置紧贴装烟室边墙各开设一个排湿口，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内框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规格400mm×400mm，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在排湿口安装排湿窗，排湿窗应设置8个铝合金叶片，叶片厚度0.5mm，外框应采用25mm×25 mm×1.2mm的铝合金方管焊接成型，表面处理光滑、无毛刺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，开关灵活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2700.00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沧州/沧州瑞正电子设备有限公司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助燃鼓风机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pacing w:val="-20"/>
                <w:sz w:val="21"/>
                <w:szCs w:val="21"/>
                <w:highlight w:val="none"/>
                <w:lang w:val="en-US" w:eastAsia="zh-CN"/>
              </w:rPr>
              <w:t>高工  CZR-KF150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离心式，钢板外壳，B级绝缘，额定电压220V，允许波动±20%。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额定功率150W，额定频率50Hz，风压≥490Pa，风量≥150m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/h。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default" w:ascii="微软雅黑" w:hAnsi="微软雅黑" w:eastAsia="微软雅黑" w:cs="微软雅黑"/>
                <w:sz w:val="21"/>
                <w:szCs w:val="21"/>
              </w:rPr>
              <w:t>电动机控制回路具有保护措施。插座安装可靠，电动机连接到插座的连线绝缘性能好，不漏电，具有防雨措施。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170.00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5100.00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-20"/>
                <w:sz w:val="21"/>
                <w:szCs w:val="21"/>
                <w:highlight w:val="none"/>
                <w:lang w:val="en-US" w:eastAsia="zh-CN"/>
              </w:rPr>
              <w:t>台州/台州高工电器有限公司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风机检修门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容大 1020×720mm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70Z型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2.0镀锌板扣槽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门扇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710*1010mm 50岩棉夹心板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50*50*30mm扣槽0.7镀锌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门铰链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L=100mm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门拉手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L=135mm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镀锌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30*3*200mm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扁铁门栓（含螺栓）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（6）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三元乙丙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密封条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汽车用门封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扇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650.00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19500.00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郑州/郑州容大科技股份有限公司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右清灰门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容大 920×720mm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70Z型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2.0扣槽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门扇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 xml:space="preserve">710*1010mm 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50岩棉夹心板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50*50*30mm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扣槽0.7镀锌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门铰链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L=100mm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门拉手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L=135mm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镀锌扁铁门栓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30*3*200mm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（含螺栓）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（6）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三元乙丙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汽车用门封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扇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550.00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16500.00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郑州/郑州容大科技股份有限公司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eastAsia="zh-CN"/>
              </w:rPr>
              <w:t>左清灰门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容大 920×520mm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70Z型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2.0扣槽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门扇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 xml:space="preserve">710*1010mm 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50岩棉夹心板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50*50*30mm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扣槽0.7镀锌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门铰链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L=100mm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门拉手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L=135mm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 w:rightChars="0"/>
              <w:textAlignment w:val="auto"/>
              <w:rPr>
                <w:rFonts w:hint="default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镀锌扁铁门栓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30*3*200mm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（含螺栓）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（6）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三元乙丙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汽车用门封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扇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450.00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13500.00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郑州/郑州容大科技股份有限公司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装烟大门</w:t>
            </w:r>
          </w:p>
        </w:tc>
        <w:tc>
          <w:tcPr>
            <w:tcW w:w="3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  <w:t>容大  2700×3050mm</w:t>
            </w:r>
          </w:p>
        </w:tc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门框方管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热镀锌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50*50*2.5mm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彩钢夹心板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950×50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双面0.426mm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门扇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镀锌1.5mm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U型扣槽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展开长L=160mm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密封固定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1.5*25-15-20mm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Z型材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镀锌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观察窗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50Y型1.0mm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铝型材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观察窗玻璃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800×300×5mm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钢化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观察窗门板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彩钢板加不锈钢矩管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垫板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1.5mm镀锌钢板（90*110mm）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耳板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4mm钢板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88" w:lineRule="auto"/>
              <w:jc w:val="lef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杠杆及及固定卡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镀锌φ26×3050mm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固定卡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  <w:tab/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铆钉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φ4mm铝铆钉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观察窗铰链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不锈钢L60mm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13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观察窗门栓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不锈钢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08"/>
                <w:tab w:val="left" w:pos="2283"/>
                <w:tab w:val="left" w:pos="3417"/>
                <w:tab w:val="left" w:pos="5322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line="288" w:lineRule="auto"/>
              <w:jc w:val="both"/>
              <w:textAlignment w:val="auto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镀锌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lang w:eastAsia="zh-CN"/>
              </w:rPr>
              <w:t>、螺栓螺帽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</w:rPr>
              <w:t>M8*65mm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扇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1383.33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41500.00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郑州/郑州容大科技股份有限公司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0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jc w:val="center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zh-CN"/>
              </w:rPr>
              <w:t>合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zh-CN"/>
              </w:rPr>
              <w:t>计</w:t>
            </w:r>
          </w:p>
        </w:tc>
        <w:tc>
          <w:tcPr>
            <w:tcW w:w="1302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80" w:lineRule="exact"/>
              <w:jc w:val="both"/>
              <w:outlineLvl w:val="9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zh-CN"/>
              </w:rPr>
              <w:t>大写：人民币叁拾陆万柒仟元整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¥367000.00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供应商名称（公章）：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eastAsia="zh-CN"/>
        </w:rPr>
        <w:t>郑州容大科技股份有限公司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default" w:ascii="微软雅黑" w:hAnsi="微软雅黑" w:eastAsia="微软雅黑" w:cs="微软雅黑"/>
          <w:sz w:val="24"/>
          <w:szCs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法定代表人 （或授权代表）签字：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rPr>
          <w:rFonts w:hint="eastAsia"/>
        </w:rPr>
        <w:sectPr>
          <w:pgSz w:w="16838" w:h="11906" w:orient="landscape"/>
          <w:pgMar w:top="1440" w:right="1803" w:bottom="1440" w:left="1803" w:header="851" w:footer="992" w:gutter="0"/>
          <w:paperSrc/>
          <w:cols w:space="0" w:num="1"/>
          <w:rtlGutter w:val="0"/>
          <w:docGrid w:type="lines" w:linePitch="32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outlineLvl w:val="0"/>
        <w:rPr>
          <w:rFonts w:hint="eastAsia"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售后服务承诺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1"/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highlight w:val="none"/>
          <w:lang w:val="en-US" w:eastAsia="zh-CN"/>
        </w:rPr>
      </w:pPr>
      <w:bookmarkStart w:id="2" w:name="_Toc28452"/>
      <w:bookmarkStart w:id="3" w:name="_Toc2246"/>
      <w:bookmarkStart w:id="4" w:name="_Toc16190"/>
      <w:bookmarkStart w:id="5" w:name="_Toc11749"/>
      <w:bookmarkStart w:id="6" w:name="_Toc1689"/>
      <w:bookmarkStart w:id="7" w:name="_Toc18952"/>
      <w:bookmarkStart w:id="8" w:name="_Toc26372"/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highlight w:val="none"/>
          <w:lang w:val="en-US" w:eastAsia="zh-CN"/>
        </w:rPr>
        <w:t>1、承诺书</w:t>
      </w:r>
      <w:bookmarkEnd w:id="2"/>
      <w:bookmarkEnd w:id="3"/>
      <w:bookmarkEnd w:id="4"/>
      <w:bookmarkEnd w:id="5"/>
      <w:bookmarkEnd w:id="6"/>
      <w:bookmarkEnd w:id="7"/>
      <w:bookmarkEnd w:id="8"/>
      <w:bookmarkStart w:id="9" w:name="_Toc29241"/>
      <w:bookmarkStart w:id="10" w:name="_Toc6552"/>
      <w:bookmarkStart w:id="11" w:name="_Toc9461"/>
    </w:p>
    <w:bookmarkEnd w:id="9"/>
    <w:bookmarkEnd w:id="10"/>
    <w:bookmarkEnd w:id="1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highlight w:val="none"/>
          <w:u w:val="singl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致：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禹州市政府采购中心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我方对于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>禹州市范坡镇千亩烟方园区烤房设备采购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u w:val="none"/>
          <w:lang w:val="en-US" w:eastAsia="zh-CN"/>
        </w:rPr>
        <w:t>项目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（1）质保期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300"/>
        <w:jc w:val="both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1）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（烤房）金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属供热设备保用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以上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720" w:firstLineChars="30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2）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所有设备质保期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2年</w:t>
      </w:r>
      <w:r>
        <w:rPr>
          <w:rFonts w:hint="eastAsia" w:ascii="微软雅黑" w:hAnsi="微软雅黑" w:eastAsia="微软雅黑" w:cs="微软雅黑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质保期从验收合格之日起计算；质保期内全免费上门维修、免费更换零部件；质保期过后提供终身维护。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（2）</w:t>
      </w:r>
      <w:r>
        <w:rPr>
          <w:rFonts w:hint="eastAsia" w:ascii="微软雅黑" w:hAnsi="微软雅黑" w:eastAsia="微软雅黑" w:cs="微软雅黑"/>
          <w:sz w:val="24"/>
          <w:szCs w:val="24"/>
        </w:rPr>
        <w:t>免费提供现场培训，培训内容包括设备的使用及操作、系统的日常维护和注意事项、烤房设备的检修等，培训时间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按</w:t>
      </w:r>
      <w:r>
        <w:rPr>
          <w:rFonts w:hint="eastAsia" w:ascii="微软雅黑" w:hAnsi="微软雅黑" w:eastAsia="微软雅黑" w:cs="微软雅黑"/>
          <w:sz w:val="24"/>
          <w:szCs w:val="24"/>
        </w:rPr>
        <w:t>要求在烤房安装调试时同时进行；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并</w:t>
      </w:r>
      <w:r>
        <w:rPr>
          <w:rFonts w:hint="eastAsia" w:ascii="微软雅黑" w:hAnsi="微软雅黑" w:eastAsia="微软雅黑" w:cs="微软雅黑"/>
          <w:sz w:val="24"/>
          <w:szCs w:val="24"/>
        </w:rPr>
        <w:t>保证有30人以上招标方指定的烟农、合作社成员或烟技员掌握烤房设备基本的维修、保养等知识。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（3）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交货期：签订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合同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后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日内供货完毕。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交货地点：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禹州市范坡镇人民政府指定地点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（5）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整机质保期时间为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u w:val="single"/>
          <w:lang w:val="en-US" w:eastAsia="zh-CN"/>
        </w:rPr>
        <w:t>2年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，其它主要部件质保时间按本合同及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方承诺执行。质保期从验收合格报告出具之日起计算。在质保期内，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将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对货物出现的质量及安全问题负责及时进行无偿的、免费的处理和解决，否则买方有权对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我方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追究违约责任，买方有权没收质保金，造成损失的，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将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赔偿买方和烟农的全部损失。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（6）我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方在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许昌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市各烟叶产区县以县为单位设立长期、固定的售后服务站。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方售后服务人员服从买方人员的管理，保证售后服务工作落实到位。在售后服务站设置固定电话作为售后热线电话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u w:val="none"/>
          <w:lang w:val="en-US" w:eastAsia="zh-CN"/>
        </w:rPr>
        <w:t>售后热线电话：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u w:val="none"/>
        </w:rPr>
        <w:t>400-822-9698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u w:val="none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，便于烟农咨询和技师取得联系，售后服务站24小时轮流值班，并配备具有专业技能的售后服务队伍，公布售后服务人员电话，保证24小时开机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也可登陆公司网站（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公司网站：</w:t>
      </w:r>
      <w:r>
        <w:rPr>
          <w:rFonts w:hint="eastAsia" w:ascii="微软雅黑" w:hAnsi="微软雅黑" w:eastAsia="微软雅黑" w:cs="微软雅黑"/>
          <w:bCs/>
          <w:color w:val="0000FF"/>
          <w:sz w:val="24"/>
          <w:szCs w:val="24"/>
          <w:u w:val="single"/>
        </w:rPr>
        <w:fldChar w:fldCharType="begin"/>
      </w:r>
      <w:r>
        <w:rPr>
          <w:rFonts w:hint="eastAsia" w:ascii="微软雅黑" w:hAnsi="微软雅黑" w:eastAsia="微软雅黑" w:cs="微软雅黑"/>
          <w:bCs/>
          <w:color w:val="0000FF"/>
          <w:sz w:val="24"/>
          <w:szCs w:val="24"/>
          <w:u w:val="single"/>
        </w:rPr>
        <w:instrText xml:space="preserve"> HYPERLINK "http://www.zzrongdakeji.com）获取需要的技术信息。" </w:instrText>
      </w:r>
      <w:r>
        <w:rPr>
          <w:rFonts w:hint="eastAsia" w:ascii="微软雅黑" w:hAnsi="微软雅黑" w:eastAsia="微软雅黑" w:cs="微软雅黑"/>
          <w:bCs/>
          <w:color w:val="0000FF"/>
          <w:sz w:val="24"/>
          <w:szCs w:val="24"/>
          <w:u w:val="single"/>
        </w:rPr>
        <w:fldChar w:fldCharType="separate"/>
      </w:r>
      <w:r>
        <w:rPr>
          <w:rStyle w:val="11"/>
          <w:rFonts w:hint="eastAsia" w:ascii="微软雅黑" w:hAnsi="微软雅黑" w:eastAsia="微软雅黑" w:cs="微软雅黑"/>
          <w:bCs/>
          <w:sz w:val="24"/>
          <w:szCs w:val="24"/>
        </w:rPr>
        <w:t>http://www.zzrongdakeji.com</w:t>
      </w:r>
      <w:r>
        <w:rPr>
          <w:rStyle w:val="11"/>
          <w:rFonts w:hint="eastAsia" w:ascii="微软雅黑" w:hAnsi="微软雅黑" w:eastAsia="微软雅黑" w:cs="微软雅黑"/>
          <w:sz w:val="24"/>
          <w:szCs w:val="24"/>
        </w:rPr>
        <w:t>）</w:t>
      </w:r>
      <w:r>
        <w:rPr>
          <w:rStyle w:val="11"/>
          <w:rFonts w:hint="eastAsia" w:ascii="微软雅黑" w:hAnsi="微软雅黑" w:eastAsia="微软雅黑" w:cs="微软雅黑"/>
          <w:color w:val="auto"/>
          <w:sz w:val="24"/>
          <w:szCs w:val="24"/>
          <w:u w:val="none" w:color="auto"/>
        </w:rPr>
        <w:t>获取需要的技术信息。</w:t>
      </w:r>
      <w:r>
        <w:rPr>
          <w:rFonts w:hint="eastAsia" w:ascii="微软雅黑" w:hAnsi="微软雅黑" w:eastAsia="微软雅黑" w:cs="微软雅黑"/>
          <w:bCs/>
          <w:color w:val="0000FF"/>
          <w:sz w:val="24"/>
          <w:szCs w:val="24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备品备件仓库的设置：在质保期内，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方保证各种易损及常用备品备件均按5%以上配备并充足供应。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（7）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售后服务的具体内容如下：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1）烟叶开烤前，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方免费对供应的设备（包含以往年份供应的还在质保期内的设备）进行全面检修、保养、维护及调试，直至设备正常运行。对买方的技术人员和当地使用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方设备的烟农进行设备操作和烘烤技术培训。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2）在烟叶烘烤季节期间，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方售后服务人员不间断的对设备使用点进行巡查，指导设备用户正确操作。设备正常使用过程中发生故障或质量问题，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方在接到买方或设备用户通知后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小时内到达买方或设备用户现场进行维修、更换。若遇故障不能及时排除，技术人员将随身携带的备用设备零件予以调换，保证烤烟正常进行。在设备使用过程中，如因设备质量问题造成烤坏烟叶损失的，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方承担因此造成的全部损失。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3）烟叶烘烤结束后，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方免费对供应的设备（包含以往年份供应的还在质保期内的设备）进行全面检查和养护，对备品备件进行检查更换与保管。其他服务内容按照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方在投标文件的承诺执行。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（8）我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方不仅要做好自己产品的售后服务工作，对烤房土建部分也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指导培训。对烟叶的采收、分类装炕，以及烤后烟叶的回潮、分级等给以指导和服务。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（9）我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方免费提供现场培训，培训内容包括设备的使用及操作、系统的日常维护和注意事项、烤房设备的检修等，培训时间在烤房安装调试时同时进行；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并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保证有30人以上招标方指定的烟农、合作社成员或烟技员掌握烤房设备基本的维修、保养等知识。</w:t>
      </w:r>
    </w:p>
    <w:p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240" w:firstLineChars="100"/>
        <w:jc w:val="both"/>
        <w:textAlignment w:val="auto"/>
        <w:outlineLvl w:val="9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（10）我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方对设备提供终身维修服务，</w:t>
      </w:r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u w:val="single"/>
          <w:lang w:val="en-US" w:eastAsia="zh-CN"/>
        </w:rPr>
        <w:t>2年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整机质保期届满后，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方承诺免费提供售后服务，更换损坏的配件只收配件成本费，直至设备正常运行。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40" w:firstLineChars="10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方未在各县设立售后服务点、安排售后服务人员及售后工作，由此造成的买方和烟农损失，由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方承担全部赔偿责任。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240" w:firstLineChars="10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</w:rPr>
        <w:t>如买方组织培训会，并通知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方派员到场进行培训指导，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方无法及时到场，导致买方自行培训，所产生的培训费用由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</w:rPr>
        <w:t>方承担。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59" w:leftChars="1028" w:right="0" w:rightChars="0" w:firstLine="480" w:firstLineChars="200"/>
        <w:jc w:val="both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供应商名称（公章）：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eastAsia="zh-CN"/>
        </w:rPr>
        <w:t>郑州容大科技股份有限公司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default" w:ascii="微软雅黑" w:hAnsi="微软雅黑" w:eastAsia="微软雅黑" w:cs="微软雅黑"/>
          <w:sz w:val="24"/>
          <w:szCs w:val="24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法定代表人 （或授权代表）签字：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500" w:lineRule="exact"/>
        <w:jc w:val="left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                                       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</w:t>
      </w:r>
      <w:r>
        <w:rPr>
          <w:rFonts w:hint="eastAsia" w:ascii="微软雅黑" w:hAnsi="微软雅黑" w:eastAsia="微软雅黑" w:cs="微软雅黑"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03</w:t>
      </w:r>
      <w:r>
        <w:rPr>
          <w:rFonts w:hint="eastAsia" w:ascii="微软雅黑" w:hAnsi="微软雅黑" w:eastAsia="微软雅黑" w:cs="微软雅黑"/>
          <w:sz w:val="24"/>
          <w:szCs w:val="24"/>
        </w:rPr>
        <w:t>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sz w:val="24"/>
          <w:szCs w:val="24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3" w:bottom="1440" w:left="1803" w:header="851" w:footer="992" w:gutter="0"/>
      <w:paperSrc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61758"/>
    <w:rsid w:val="0E943B37"/>
    <w:rsid w:val="102056F8"/>
    <w:rsid w:val="267C7B61"/>
    <w:rsid w:val="2E1E58CC"/>
    <w:rsid w:val="4B6E3DFC"/>
    <w:rsid w:val="58197A72"/>
    <w:rsid w:val="5C072042"/>
    <w:rsid w:val="5FFB621F"/>
    <w:rsid w:val="7CF9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99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link w:val="9"/>
    <w:semiHidden/>
    <w:uiPriority w:val="0"/>
    <w:rPr>
      <w:kern w:val="0"/>
    </w:rPr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  <w:style w:type="paragraph" w:styleId="3">
    <w:name w:val="Document Map"/>
    <w:basedOn w:val="1"/>
    <w:unhideWhenUsed/>
    <w:qFormat/>
    <w:uiPriority w:val="99"/>
    <w:rPr>
      <w:rFonts w:ascii="宋体" w:hAnsi="Times New Roman"/>
      <w:sz w:val="18"/>
      <w:szCs w:val="18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Date"/>
    <w:basedOn w:val="1"/>
    <w:next w:val="1"/>
    <w:qFormat/>
    <w:uiPriority w:val="0"/>
    <w:rPr>
      <w:rFonts w:ascii="Calibri" w:hAnsi="Calibri" w:eastAsia="楷体_GB2312"/>
      <w:kern w:val="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 Char1 Char Char"/>
    <w:basedOn w:val="3"/>
    <w:link w:val="8"/>
    <w:qFormat/>
    <w:uiPriority w:val="0"/>
    <w:pPr>
      <w:spacing w:line="360" w:lineRule="auto"/>
    </w:pPr>
    <w:rPr>
      <w:kern w:val="0"/>
    </w:rPr>
  </w:style>
  <w:style w:type="character" w:styleId="10">
    <w:name w:val="Strong"/>
    <w:basedOn w:val="8"/>
    <w:qFormat/>
    <w:uiPriority w:val="0"/>
    <w:rPr>
      <w:b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table" w:styleId="13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2019-03-21T07:18:00Z</cp:lastPrinted>
  <dcterms:modified xsi:type="dcterms:W3CDTF">2019-03-25T04:27:41Z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