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7" w:line="360" w:lineRule="auto"/>
        <w:jc w:val="center"/>
        <w:rPr>
          <w:rFonts w:hint="eastAsia" w:ascii="宋体" w:hAnsi="宋体" w:eastAsia="宋体" w:cs="Arial"/>
          <w:b/>
          <w:bCs/>
          <w:color w:val="000000"/>
          <w:kern w:val="0"/>
          <w:sz w:val="44"/>
          <w:szCs w:val="44"/>
          <w:lang w:eastAsia="zh-CN"/>
        </w:rPr>
      </w:pPr>
      <w:r>
        <w:rPr>
          <w:rFonts w:hint="eastAsia" w:ascii="宋体" w:hAnsi="宋体" w:eastAsia="宋体" w:cs="Arial"/>
          <w:b/>
          <w:bCs/>
          <w:color w:val="000000"/>
          <w:kern w:val="0"/>
          <w:sz w:val="44"/>
          <w:szCs w:val="44"/>
          <w:lang w:eastAsia="zh-CN"/>
        </w:rPr>
        <w:t>长招采</w:t>
      </w:r>
      <w:r>
        <w:rPr>
          <w:rFonts w:hint="eastAsia" w:ascii="宋体" w:hAnsi="宋体" w:cs="Arial"/>
          <w:b/>
          <w:bCs/>
          <w:color w:val="000000"/>
          <w:kern w:val="0"/>
          <w:sz w:val="44"/>
          <w:szCs w:val="44"/>
          <w:lang w:eastAsia="zh-CN"/>
        </w:rPr>
        <w:t>竞</w:t>
      </w:r>
      <w:r>
        <w:rPr>
          <w:rFonts w:hint="eastAsia" w:ascii="宋体" w:hAnsi="宋体" w:eastAsia="宋体" w:cs="Arial"/>
          <w:b/>
          <w:bCs/>
          <w:color w:val="000000"/>
          <w:kern w:val="0"/>
          <w:sz w:val="44"/>
          <w:szCs w:val="44"/>
          <w:lang w:eastAsia="zh-CN"/>
        </w:rPr>
        <w:t>字[201</w:t>
      </w:r>
      <w:r>
        <w:rPr>
          <w:rFonts w:hint="eastAsia" w:ascii="宋体" w:hAnsi="宋体" w:cs="Arial"/>
          <w:b/>
          <w:bCs/>
          <w:color w:val="000000"/>
          <w:kern w:val="0"/>
          <w:sz w:val="44"/>
          <w:szCs w:val="44"/>
          <w:lang w:val="en-US" w:eastAsia="zh-CN"/>
        </w:rPr>
        <w:t>9</w:t>
      </w:r>
      <w:r>
        <w:rPr>
          <w:rFonts w:hint="eastAsia" w:ascii="宋体" w:hAnsi="宋体" w:eastAsia="宋体" w:cs="Arial"/>
          <w:b/>
          <w:bCs/>
          <w:color w:val="000000"/>
          <w:kern w:val="0"/>
          <w:sz w:val="44"/>
          <w:szCs w:val="44"/>
          <w:lang w:eastAsia="zh-CN"/>
        </w:rPr>
        <w:t>]</w:t>
      </w:r>
      <w:r>
        <w:rPr>
          <w:rFonts w:hint="eastAsia" w:ascii="宋体" w:hAnsi="宋体" w:cs="Arial"/>
          <w:b/>
          <w:bCs/>
          <w:color w:val="000000"/>
          <w:kern w:val="0"/>
          <w:sz w:val="44"/>
          <w:szCs w:val="44"/>
          <w:lang w:val="en-US" w:eastAsia="zh-CN"/>
        </w:rPr>
        <w:t>016</w:t>
      </w:r>
      <w:r>
        <w:rPr>
          <w:rFonts w:hint="eastAsia" w:ascii="宋体" w:hAnsi="宋体" w:eastAsia="宋体" w:cs="Arial"/>
          <w:b/>
          <w:bCs/>
          <w:color w:val="000000"/>
          <w:kern w:val="0"/>
          <w:sz w:val="44"/>
          <w:szCs w:val="44"/>
          <w:lang w:eastAsia="zh-CN"/>
        </w:rPr>
        <w:t>号</w:t>
      </w:r>
    </w:p>
    <w:p>
      <w:pPr>
        <w:pStyle w:val="8"/>
        <w:spacing w:before="0" w:beforeAutospacing="0" w:after="0" w:afterAutospacing="0"/>
        <w:ind w:left="-210" w:leftChars="-100" w:right="-210" w:rightChars="-100" w:firstLine="663" w:firstLineChars="150"/>
        <w:jc w:val="center"/>
        <w:rPr>
          <w:rFonts w:hint="eastAsia" w:ascii="宋体" w:hAnsi="宋体" w:eastAsia="宋体" w:cs="Arial"/>
          <w:b/>
          <w:bCs/>
          <w:color w:val="000000"/>
          <w:kern w:val="0"/>
          <w:sz w:val="44"/>
          <w:szCs w:val="44"/>
          <w:lang w:eastAsia="zh-CN"/>
        </w:rPr>
      </w:pPr>
      <w:r>
        <w:rPr>
          <w:rFonts w:hint="eastAsia" w:ascii="宋体" w:hAnsi="宋体" w:eastAsia="宋体" w:cs="Arial"/>
          <w:b/>
          <w:bCs/>
          <w:color w:val="000000"/>
          <w:kern w:val="0"/>
          <w:sz w:val="44"/>
          <w:szCs w:val="44"/>
          <w:lang w:val="en-US" w:eastAsia="zh-CN" w:bidi="ar-SA"/>
        </w:rPr>
        <w:t>2018年长效机制项目预算编制费及勘察设计费评</w:t>
      </w:r>
      <w:r>
        <w:rPr>
          <w:rFonts w:hint="eastAsia" w:ascii="宋体" w:hAnsi="宋体" w:eastAsia="宋体" w:cs="Arial"/>
          <w:b/>
          <w:bCs/>
          <w:color w:val="000000"/>
          <w:kern w:val="0"/>
          <w:sz w:val="44"/>
          <w:szCs w:val="44"/>
          <w:lang w:eastAsia="zh-CN"/>
        </w:rPr>
        <w:t>审结果公告</w:t>
      </w:r>
    </w:p>
    <w:p>
      <w:pPr>
        <w:widowControl/>
        <w:shd w:val="clear" w:color="auto" w:fill="FFFFFF"/>
        <w:spacing w:before="227" w:line="360" w:lineRule="auto"/>
        <w:ind w:firstLine="640" w:firstLineChars="200"/>
        <w:contextualSpacing/>
        <w:jc w:val="left"/>
        <w:rPr>
          <w:rFonts w:ascii="黑体" w:hAnsi="黑体" w:eastAsia="黑体" w:cs="Arial"/>
          <w:color w:val="000000"/>
          <w:kern w:val="0"/>
          <w:sz w:val="32"/>
          <w:szCs w:val="32"/>
        </w:rPr>
      </w:pPr>
      <w:r>
        <w:rPr>
          <w:rFonts w:ascii="黑体" w:hAnsi="黑体" w:eastAsia="黑体" w:cs="Arial"/>
          <w:color w:val="000000"/>
          <w:kern w:val="0"/>
          <w:sz w:val="32"/>
          <w:szCs w:val="32"/>
        </w:rPr>
        <w:t>一、项目概况</w:t>
      </w:r>
    </w:p>
    <w:p>
      <w:pPr>
        <w:pStyle w:val="8"/>
        <w:spacing w:before="0" w:beforeAutospacing="0" w:after="0" w:afterAutospacing="0"/>
        <w:ind w:left="-210" w:leftChars="-100" w:right="-210" w:rightChars="-100" w:firstLine="480" w:firstLineChars="150"/>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（一）项目名称：</w:t>
      </w:r>
      <w:r>
        <w:rPr>
          <w:rFonts w:hint="eastAsia" w:ascii="仿宋" w:hAnsi="仿宋" w:eastAsia="仿宋" w:cs="Arial"/>
          <w:color w:val="000000"/>
          <w:kern w:val="0"/>
          <w:sz w:val="32"/>
          <w:szCs w:val="32"/>
          <w:lang w:eastAsia="zh-CN"/>
        </w:rPr>
        <w:t>2018年长效机制项目预算编制费及勘察设计费</w:t>
      </w:r>
    </w:p>
    <w:p>
      <w:pPr>
        <w:pStyle w:val="8"/>
        <w:spacing w:before="0" w:beforeAutospacing="0" w:after="0" w:afterAutospacing="0"/>
        <w:ind w:right="-210" w:rightChars="-100" w:firstLine="320" w:firstLineChars="100"/>
        <w:rPr>
          <w:rFonts w:ascii="仿宋" w:hAnsi="仿宋" w:eastAsia="仿宋" w:cs="Arial"/>
          <w:color w:val="000000"/>
          <w:kern w:val="0"/>
          <w:sz w:val="32"/>
          <w:szCs w:val="32"/>
        </w:rPr>
      </w:pPr>
      <w:r>
        <w:rPr>
          <w:rFonts w:ascii="仿宋" w:hAnsi="仿宋" w:eastAsia="仿宋" w:cs="Arial"/>
          <w:color w:val="000000"/>
          <w:kern w:val="0"/>
          <w:sz w:val="32"/>
          <w:szCs w:val="32"/>
        </w:rPr>
        <w:t>（二）项目编号：</w:t>
      </w:r>
      <w:r>
        <w:rPr>
          <w:rFonts w:hint="eastAsia" w:ascii="仿宋" w:hAnsi="仿宋" w:eastAsia="仿宋" w:cs="Arial"/>
          <w:color w:val="000000"/>
          <w:kern w:val="0"/>
          <w:sz w:val="32"/>
          <w:szCs w:val="32"/>
          <w:lang w:eastAsia="zh-CN"/>
        </w:rPr>
        <w:t>长招采竞字[201</w:t>
      </w:r>
      <w:r>
        <w:rPr>
          <w:rFonts w:hint="eastAsia" w:ascii="仿宋" w:hAnsi="仿宋" w:eastAsia="仿宋" w:cs="Arial"/>
          <w:color w:val="000000"/>
          <w:kern w:val="0"/>
          <w:sz w:val="32"/>
          <w:szCs w:val="32"/>
          <w:lang w:val="en-US" w:eastAsia="zh-CN"/>
        </w:rPr>
        <w:t>9</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016</w:t>
      </w:r>
      <w:r>
        <w:rPr>
          <w:rFonts w:hint="eastAsia" w:ascii="仿宋" w:hAnsi="仿宋" w:eastAsia="仿宋" w:cs="Arial"/>
          <w:color w:val="000000"/>
          <w:kern w:val="0"/>
          <w:sz w:val="32"/>
          <w:szCs w:val="32"/>
          <w:lang w:eastAsia="zh-CN"/>
        </w:rPr>
        <w:t>号</w:t>
      </w:r>
    </w:p>
    <w:p>
      <w:pPr>
        <w:widowControl/>
        <w:shd w:val="clear" w:color="auto" w:fill="FFFFFF"/>
        <w:spacing w:before="227" w:line="360" w:lineRule="auto"/>
        <w:ind w:firstLine="420"/>
        <w:contextualSpacing/>
        <w:jc w:val="left"/>
        <w:rPr>
          <w:rFonts w:hint="eastAsia" w:ascii="仿宋" w:hAnsi="仿宋" w:eastAsia="仿宋" w:cs="Arial"/>
          <w:color w:val="000000"/>
          <w:kern w:val="0"/>
          <w:sz w:val="32"/>
          <w:szCs w:val="32"/>
          <w:lang w:val="en-US" w:eastAsia="zh-CN"/>
        </w:rPr>
      </w:pPr>
      <w:r>
        <w:rPr>
          <w:rFonts w:ascii="仿宋" w:hAnsi="仿宋" w:eastAsia="仿宋" w:cs="Arial"/>
          <w:color w:val="000000"/>
          <w:kern w:val="0"/>
          <w:sz w:val="32"/>
          <w:szCs w:val="32"/>
        </w:rPr>
        <w:t>（三）招标公告发布日期：201</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3</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4日</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（四）变更公告发布日期：无</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ascii="仿宋" w:hAnsi="仿宋" w:eastAsia="仿宋" w:cs="Arial"/>
          <w:color w:val="000000"/>
          <w:kern w:val="0"/>
          <w:sz w:val="32"/>
          <w:szCs w:val="32"/>
        </w:rPr>
        <w:t>（五）开标日期：201</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3</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22</w:t>
      </w:r>
      <w:r>
        <w:rPr>
          <w:rFonts w:ascii="仿宋" w:hAnsi="仿宋" w:eastAsia="仿宋" w:cs="Arial"/>
          <w:color w:val="000000"/>
          <w:kern w:val="0"/>
          <w:sz w:val="32"/>
          <w:szCs w:val="32"/>
        </w:rPr>
        <w:t>日</w:t>
      </w:r>
      <w:r>
        <w:rPr>
          <w:rFonts w:hint="eastAsia" w:ascii="仿宋" w:hAnsi="仿宋" w:eastAsia="仿宋" w:cs="Arial"/>
          <w:color w:val="000000"/>
          <w:kern w:val="0"/>
          <w:sz w:val="32"/>
          <w:szCs w:val="32"/>
          <w:lang w:val="en-US" w:eastAsia="zh-CN"/>
        </w:rPr>
        <w:t>9</w:t>
      </w:r>
      <w:r>
        <w:rPr>
          <w:rFonts w:ascii="仿宋" w:hAnsi="仿宋" w:eastAsia="仿宋" w:cs="Arial"/>
          <w:color w:val="000000"/>
          <w:kern w:val="0"/>
          <w:sz w:val="32"/>
          <w:szCs w:val="32"/>
        </w:rPr>
        <w:t>时</w:t>
      </w:r>
      <w:r>
        <w:rPr>
          <w:rFonts w:hint="eastAsia" w:ascii="仿宋" w:hAnsi="仿宋" w:eastAsia="仿宋" w:cs="Arial"/>
          <w:color w:val="000000"/>
          <w:kern w:val="0"/>
          <w:sz w:val="32"/>
          <w:szCs w:val="32"/>
          <w:lang w:val="en-US" w:eastAsia="zh-CN"/>
        </w:rPr>
        <w:t>00分</w:t>
      </w:r>
    </w:p>
    <w:p>
      <w:pPr>
        <w:widowControl/>
        <w:shd w:val="clear" w:color="auto" w:fill="FFFFFF"/>
        <w:spacing w:before="227" w:line="360" w:lineRule="auto"/>
        <w:ind w:firstLine="420"/>
        <w:contextualSpacing/>
        <w:jc w:val="left"/>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（六）采购方式：</w:t>
      </w:r>
      <w:r>
        <w:rPr>
          <w:rFonts w:hint="eastAsia" w:ascii="仿宋" w:hAnsi="仿宋" w:eastAsia="仿宋" w:cs="Arial"/>
          <w:color w:val="000000"/>
          <w:kern w:val="0"/>
          <w:sz w:val="32"/>
          <w:szCs w:val="32"/>
          <w:lang w:eastAsia="zh-CN"/>
        </w:rPr>
        <w:t>竞争性谈判</w:t>
      </w:r>
    </w:p>
    <w:p>
      <w:pPr>
        <w:snapToGrid w:val="0"/>
        <w:spacing w:line="360" w:lineRule="auto"/>
        <w:ind w:firstLine="320" w:firstLineChars="100"/>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（七）最高限价：A包：61819.20</w:t>
      </w:r>
      <w:r>
        <w:rPr>
          <w:rFonts w:ascii="仿宋" w:hAnsi="仿宋" w:eastAsia="仿宋" w:cs="Arial"/>
          <w:color w:val="000000"/>
          <w:kern w:val="0"/>
          <w:sz w:val="32"/>
          <w:szCs w:val="32"/>
        </w:rPr>
        <w:t>元</w:t>
      </w:r>
      <w:r>
        <w:rPr>
          <w:rFonts w:hint="eastAsia" w:ascii="仿宋" w:hAnsi="仿宋" w:eastAsia="仿宋" w:cs="Arial"/>
          <w:color w:val="000000"/>
          <w:kern w:val="0"/>
          <w:sz w:val="32"/>
          <w:szCs w:val="32"/>
        </w:rPr>
        <w:t>，B包：336650.49 元</w:t>
      </w:r>
    </w:p>
    <w:p>
      <w:pPr>
        <w:widowControl/>
        <w:shd w:val="clear" w:color="auto" w:fill="FFFFFF"/>
        <w:spacing w:before="227" w:line="360" w:lineRule="auto"/>
        <w:ind w:firstLine="420"/>
        <w:contextualSpacing/>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（八）评标办法：</w:t>
      </w:r>
      <w:r>
        <w:rPr>
          <w:rFonts w:hint="eastAsia" w:ascii="仿宋" w:hAnsi="仿宋" w:eastAsia="仿宋" w:cs="Arial"/>
          <w:color w:val="000000"/>
          <w:kern w:val="0"/>
          <w:sz w:val="32"/>
          <w:szCs w:val="32"/>
          <w:lang w:eastAsia="zh-CN"/>
        </w:rPr>
        <w:t>最低评标价</w:t>
      </w:r>
      <w:r>
        <w:rPr>
          <w:rFonts w:hint="eastAsia" w:ascii="仿宋" w:hAnsi="仿宋" w:eastAsia="仿宋" w:cs="Arial"/>
          <w:color w:val="000000"/>
          <w:kern w:val="0"/>
          <w:sz w:val="32"/>
          <w:szCs w:val="32"/>
        </w:rPr>
        <w:t>法</w:t>
      </w:r>
    </w:p>
    <w:p>
      <w:pPr>
        <w:widowControl/>
        <w:shd w:val="clear" w:color="auto" w:fill="FFFFFF"/>
        <w:spacing w:before="227" w:line="360" w:lineRule="auto"/>
        <w:ind w:firstLine="420"/>
        <w:contextualSpacing/>
        <w:jc w:val="left"/>
        <w:rPr>
          <w:rFonts w:hint="eastAsia"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rPr>
        <w:t>（九）资格审查方式：资格后审</w:t>
      </w:r>
      <w:r>
        <w:rPr>
          <w:rFonts w:hint="eastAsia" w:ascii="仿宋" w:hAnsi="仿宋" w:eastAsia="仿宋" w:cs="Arial"/>
          <w:color w:val="000000"/>
          <w:kern w:val="0"/>
          <w:sz w:val="32"/>
          <w:szCs w:val="32"/>
          <w:lang w:val="en-US" w:eastAsia="zh-CN"/>
        </w:rPr>
        <w:t xml:space="preserve"> </w:t>
      </w:r>
    </w:p>
    <w:p>
      <w:pPr>
        <w:widowControl/>
        <w:shd w:val="clear" w:color="auto" w:fill="FFFFFF"/>
        <w:spacing w:before="227" w:beforeLines="0" w:line="360" w:lineRule="auto"/>
        <w:ind w:firstLine="320" w:firstLineChars="100"/>
        <w:contextualSpacing/>
        <w:jc w:val="left"/>
        <w:rPr>
          <w:rFonts w:hint="eastAsia" w:ascii="黑体" w:hAnsi="黑体" w:eastAsia="黑体" w:cs="Arial"/>
          <w:color w:val="000000"/>
          <w:kern w:val="0"/>
          <w:sz w:val="32"/>
          <w:szCs w:val="32"/>
          <w:lang w:val="en-US" w:eastAsia="zh-CN"/>
        </w:rPr>
      </w:pPr>
      <w:r>
        <w:rPr>
          <w:rFonts w:hint="eastAsia" w:ascii="黑体" w:hAnsi="黑体" w:eastAsia="黑体" w:cs="Arial"/>
          <w:color w:val="000000"/>
          <w:kern w:val="0"/>
          <w:sz w:val="32"/>
          <w:szCs w:val="32"/>
          <w:lang w:eastAsia="zh-CN"/>
        </w:rPr>
        <w:t>二</w:t>
      </w:r>
      <w:r>
        <w:rPr>
          <w:rFonts w:ascii="黑体" w:hAnsi="黑体" w:eastAsia="黑体" w:cs="Arial"/>
          <w:color w:val="000000"/>
          <w:kern w:val="0"/>
          <w:sz w:val="32"/>
          <w:szCs w:val="32"/>
        </w:rPr>
        <w:t>、</w:t>
      </w:r>
      <w:r>
        <w:rPr>
          <w:rFonts w:hint="eastAsia" w:ascii="黑体" w:hAnsi="黑体" w:eastAsia="黑体" w:cs="Arial"/>
          <w:color w:val="000000"/>
          <w:kern w:val="0"/>
          <w:sz w:val="32"/>
          <w:szCs w:val="32"/>
        </w:rPr>
        <w:t>资格审查</w:t>
      </w:r>
      <w:r>
        <w:rPr>
          <w:rFonts w:ascii="黑体" w:hAnsi="黑体" w:eastAsia="黑体" w:cs="Arial"/>
          <w:color w:val="000000"/>
          <w:kern w:val="0"/>
          <w:sz w:val="32"/>
          <w:szCs w:val="32"/>
        </w:rPr>
        <w:t>情况</w:t>
      </w:r>
      <w:r>
        <w:rPr>
          <w:rFonts w:hint="eastAsia" w:ascii="黑体" w:hAnsi="黑体" w:eastAsia="黑体" w:cs="Arial"/>
          <w:color w:val="000000"/>
          <w:kern w:val="0"/>
          <w:sz w:val="32"/>
          <w:szCs w:val="32"/>
          <w:lang w:val="en-US" w:eastAsia="zh-CN"/>
        </w:rPr>
        <w:t xml:space="preserve"> A包</w:t>
      </w:r>
    </w:p>
    <w:tbl>
      <w:tblPr>
        <w:tblStyle w:val="10"/>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6" w:hRule="atLeast"/>
        </w:trPr>
        <w:tc>
          <w:tcPr>
            <w:tcW w:w="630"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8517"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通过资格审查的</w:t>
            </w:r>
            <w:r>
              <w:rPr>
                <w:rFonts w:hint="eastAsia" w:ascii="宋体" w:hAnsi="宋体" w:eastAsia="宋体" w:cs="宋体"/>
                <w:kern w:val="0"/>
                <w:sz w:val="24"/>
                <w:szCs w:val="24"/>
                <w:lang w:eastAsia="zh-CN"/>
              </w:rPr>
              <w:t>供应商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A包</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630"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17" w:type="dxa"/>
            <w:tcMar>
              <w:top w:w="75" w:type="dxa"/>
              <w:left w:w="75" w:type="dxa"/>
              <w:bottom w:w="75" w:type="dxa"/>
              <w:right w:w="75" w:type="dxa"/>
            </w:tcMar>
            <w:vAlign w:val="center"/>
          </w:tcPr>
          <w:p>
            <w:pPr>
              <w:spacing w:line="600" w:lineRule="exact"/>
              <w:jc w:val="center"/>
              <w:rPr>
                <w:rFonts w:hint="eastAsia" w:ascii="宋体" w:hAnsi="宋体" w:eastAsia="宋体" w:cs="宋体"/>
                <w:kern w:val="0"/>
                <w:sz w:val="24"/>
                <w:szCs w:val="24"/>
                <w:lang w:eastAsia="zh-CN"/>
              </w:rPr>
            </w:pPr>
            <w:r>
              <w:rPr>
                <w:rFonts w:hint="eastAsia" w:ascii="宋体" w:hAnsi="宋体"/>
                <w:bCs/>
                <w:sz w:val="24"/>
              </w:rPr>
              <w:t>河南省伟信招标管理咨询有限公司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630"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517" w:type="dxa"/>
            <w:tcMar>
              <w:top w:w="75" w:type="dxa"/>
              <w:left w:w="75" w:type="dxa"/>
              <w:bottom w:w="75" w:type="dxa"/>
              <w:right w:w="75" w:type="dxa"/>
            </w:tcMar>
            <w:vAlign w:val="center"/>
          </w:tcPr>
          <w:p>
            <w:pPr>
              <w:spacing w:line="600" w:lineRule="exact"/>
              <w:jc w:val="center"/>
              <w:rPr>
                <w:rFonts w:hint="eastAsia" w:ascii="宋体" w:hAnsi="宋体" w:eastAsia="宋体" w:cs="宋体"/>
                <w:kern w:val="0"/>
                <w:sz w:val="24"/>
                <w:szCs w:val="24"/>
                <w:lang w:eastAsia="zh-CN"/>
              </w:rPr>
            </w:pPr>
            <w:r>
              <w:rPr>
                <w:rFonts w:hint="eastAsia" w:ascii="宋体" w:hAnsi="宋体"/>
                <w:bCs/>
                <w:sz w:val="24"/>
              </w:rPr>
              <w:t>河南立恒工程管理咨询有限公司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630"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8517" w:type="dxa"/>
            <w:tcMar>
              <w:top w:w="75" w:type="dxa"/>
              <w:left w:w="75" w:type="dxa"/>
              <w:bottom w:w="75" w:type="dxa"/>
              <w:right w:w="75" w:type="dxa"/>
            </w:tcMar>
            <w:vAlign w:val="center"/>
          </w:tcPr>
          <w:p>
            <w:pPr>
              <w:spacing w:line="600" w:lineRule="exact"/>
              <w:jc w:val="center"/>
              <w:rPr>
                <w:rFonts w:hint="eastAsia" w:ascii="宋体" w:hAnsi="宋体" w:eastAsia="宋体" w:cs="宋体"/>
                <w:kern w:val="0"/>
                <w:sz w:val="24"/>
                <w:szCs w:val="24"/>
                <w:lang w:eastAsia="zh-CN"/>
              </w:rPr>
            </w:pPr>
            <w:r>
              <w:rPr>
                <w:rFonts w:hint="eastAsia" w:ascii="宋体" w:hAnsi="宋体"/>
                <w:bCs/>
                <w:sz w:val="24"/>
              </w:rPr>
              <w:t>河南华威建设工程技术咨询事务所有限公司</w:t>
            </w:r>
          </w:p>
        </w:tc>
      </w:tr>
    </w:tbl>
    <w:p>
      <w:pPr>
        <w:snapToGrid w:val="0"/>
        <w:spacing w:line="360" w:lineRule="auto"/>
        <w:ind w:firstLine="643" w:firstLineChars="200"/>
        <w:rPr>
          <w:rFonts w:hint="eastAsia" w:ascii="仿宋" w:hAnsi="仿宋" w:eastAsia="仿宋" w:cs="Arial"/>
          <w:b/>
          <w:bCs/>
          <w:color w:val="000000"/>
          <w:kern w:val="0"/>
          <w:sz w:val="32"/>
          <w:szCs w:val="32"/>
          <w:lang w:eastAsia="zh-CN"/>
        </w:rPr>
      </w:pPr>
      <w:r>
        <w:rPr>
          <w:rFonts w:hint="eastAsia" w:ascii="仿宋" w:hAnsi="仿宋" w:eastAsia="仿宋" w:cs="Arial"/>
          <w:b/>
          <w:bCs/>
          <w:color w:val="000000"/>
          <w:kern w:val="0"/>
          <w:sz w:val="32"/>
          <w:szCs w:val="32"/>
          <w:lang w:eastAsia="zh-CN"/>
        </w:rPr>
        <w:t>未通过资格性审查情况：（无）</w:t>
      </w:r>
    </w:p>
    <w:p>
      <w:pPr>
        <w:widowControl/>
        <w:shd w:val="clear" w:color="auto" w:fill="FFFFFF"/>
        <w:spacing w:before="227" w:beforeLines="0" w:line="360" w:lineRule="auto"/>
        <w:ind w:firstLine="320" w:firstLineChars="100"/>
        <w:contextualSpacing/>
        <w:jc w:val="left"/>
        <w:rPr>
          <w:rFonts w:hint="eastAsia" w:ascii="黑体" w:hAnsi="黑体" w:eastAsia="黑体" w:cs="Arial"/>
          <w:color w:val="000000"/>
          <w:kern w:val="0"/>
          <w:sz w:val="32"/>
          <w:szCs w:val="32"/>
          <w:lang w:val="en-US" w:eastAsia="zh-CN"/>
        </w:rPr>
      </w:pPr>
      <w:r>
        <w:rPr>
          <w:rFonts w:hint="eastAsia" w:ascii="黑体" w:hAnsi="黑体" w:eastAsia="黑体" w:cs="Arial"/>
          <w:color w:val="000000"/>
          <w:kern w:val="0"/>
          <w:sz w:val="32"/>
          <w:szCs w:val="32"/>
        </w:rPr>
        <w:t>资格审查</w:t>
      </w:r>
      <w:r>
        <w:rPr>
          <w:rFonts w:ascii="黑体" w:hAnsi="黑体" w:eastAsia="黑体" w:cs="Arial"/>
          <w:color w:val="000000"/>
          <w:kern w:val="0"/>
          <w:sz w:val="32"/>
          <w:szCs w:val="32"/>
        </w:rPr>
        <w:t>情况</w:t>
      </w:r>
      <w:r>
        <w:rPr>
          <w:rFonts w:hint="eastAsia" w:ascii="黑体" w:hAnsi="黑体" w:eastAsia="黑体" w:cs="Arial"/>
          <w:color w:val="000000"/>
          <w:kern w:val="0"/>
          <w:sz w:val="32"/>
          <w:szCs w:val="32"/>
          <w:lang w:val="en-US" w:eastAsia="zh-CN"/>
        </w:rPr>
        <w:t xml:space="preserve"> B包</w:t>
      </w:r>
    </w:p>
    <w:tbl>
      <w:tblPr>
        <w:tblStyle w:val="10"/>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8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630"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8517"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通过资格审查的</w:t>
            </w:r>
            <w:r>
              <w:rPr>
                <w:rFonts w:hint="eastAsia" w:ascii="宋体" w:hAnsi="宋体" w:eastAsia="宋体" w:cs="宋体"/>
                <w:kern w:val="0"/>
                <w:sz w:val="24"/>
                <w:szCs w:val="24"/>
                <w:lang w:eastAsia="zh-CN"/>
              </w:rPr>
              <w:t>供应商</w:t>
            </w:r>
            <w:r>
              <w:rPr>
                <w:rFonts w:hint="eastAsia" w:ascii="宋体" w:hAnsi="宋体" w:cs="宋体"/>
                <w:kern w:val="0"/>
                <w:sz w:val="24"/>
                <w:szCs w:val="24"/>
                <w:lang w:eastAsia="zh-CN"/>
              </w:rPr>
              <w:t>（</w:t>
            </w:r>
            <w:r>
              <w:rPr>
                <w:rFonts w:hint="eastAsia" w:ascii="宋体" w:hAnsi="宋体" w:cs="宋体"/>
                <w:kern w:val="0"/>
                <w:sz w:val="24"/>
                <w:szCs w:val="24"/>
                <w:lang w:val="en-US" w:eastAsia="zh-CN"/>
              </w:rPr>
              <w:t>B包</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6" w:hRule="atLeast"/>
        </w:trPr>
        <w:tc>
          <w:tcPr>
            <w:tcW w:w="630"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517" w:type="dxa"/>
            <w:tcMar>
              <w:top w:w="75" w:type="dxa"/>
              <w:left w:w="75" w:type="dxa"/>
              <w:bottom w:w="75" w:type="dxa"/>
              <w:right w:w="75" w:type="dxa"/>
            </w:tcMar>
            <w:vAlign w:val="center"/>
          </w:tcPr>
          <w:p>
            <w:pPr>
              <w:spacing w:line="600" w:lineRule="exact"/>
              <w:jc w:val="center"/>
              <w:rPr>
                <w:rFonts w:hint="eastAsia" w:ascii="宋体" w:hAnsi="宋体" w:eastAsia="宋体" w:cs="宋体"/>
                <w:kern w:val="0"/>
                <w:sz w:val="24"/>
                <w:szCs w:val="24"/>
                <w:lang w:eastAsia="zh-CN"/>
              </w:rPr>
            </w:pPr>
            <w:r>
              <w:rPr>
                <w:rFonts w:ascii="宋体" w:hAnsi="宋体"/>
                <w:bCs/>
                <w:sz w:val="24"/>
              </w:rPr>
              <w:t>河南博纳建筑设计有限公司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6" w:hRule="atLeast"/>
        </w:trPr>
        <w:tc>
          <w:tcPr>
            <w:tcW w:w="630" w:type="dxa"/>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8517" w:type="dxa"/>
            <w:tcMar>
              <w:top w:w="75" w:type="dxa"/>
              <w:left w:w="75" w:type="dxa"/>
              <w:bottom w:w="75" w:type="dxa"/>
              <w:right w:w="75" w:type="dxa"/>
            </w:tcMar>
            <w:vAlign w:val="center"/>
          </w:tcPr>
          <w:p>
            <w:pPr>
              <w:spacing w:line="600" w:lineRule="exact"/>
              <w:jc w:val="center"/>
              <w:rPr>
                <w:rFonts w:hint="eastAsia" w:ascii="宋体" w:hAnsi="宋体" w:eastAsia="宋体" w:cs="宋体"/>
                <w:kern w:val="0"/>
                <w:sz w:val="24"/>
                <w:szCs w:val="24"/>
                <w:lang w:eastAsia="zh-CN"/>
              </w:rPr>
            </w:pPr>
            <w:r>
              <w:rPr>
                <w:rFonts w:ascii="宋体" w:hAnsi="宋体"/>
                <w:bCs/>
                <w:sz w:val="24"/>
              </w:rPr>
              <w:t>河南埃德莫菲建筑设计有限公司</w:t>
            </w:r>
          </w:p>
        </w:tc>
      </w:tr>
    </w:tbl>
    <w:p>
      <w:pPr>
        <w:snapToGrid w:val="0"/>
        <w:spacing w:line="360" w:lineRule="auto"/>
        <w:ind w:firstLine="643" w:firstLineChars="200"/>
        <w:rPr>
          <w:rFonts w:hint="eastAsia"/>
        </w:rPr>
      </w:pPr>
      <w:r>
        <w:rPr>
          <w:rFonts w:hint="eastAsia" w:ascii="仿宋" w:hAnsi="仿宋" w:eastAsia="仿宋" w:cs="Arial"/>
          <w:b/>
          <w:bCs/>
          <w:color w:val="000000"/>
          <w:kern w:val="0"/>
          <w:sz w:val="32"/>
          <w:szCs w:val="32"/>
          <w:lang w:eastAsia="zh-CN"/>
        </w:rPr>
        <w:t>未通过资格性审查情况：</w:t>
      </w:r>
      <w:r>
        <w:rPr>
          <w:rFonts w:hint="eastAsia" w:ascii="仿宋" w:hAnsi="仿宋" w:eastAsia="仿宋" w:cs="Arial"/>
          <w:color w:val="000000"/>
          <w:kern w:val="0"/>
          <w:sz w:val="32"/>
          <w:szCs w:val="32"/>
          <w:lang w:val="en-US" w:eastAsia="zh-CN" w:bidi="ar-SA"/>
        </w:rPr>
        <w:t>河南省机电设计院有限公司竞争性谈判响应文件未提供项目负责人职称证书复印件；广东鸿宇建筑与工程设计顾问有限公司竞争性谈判响应文件中财务审计报告无效（缺少一名注册会计师证书复印件）。</w:t>
      </w:r>
    </w:p>
    <w:p>
      <w:pPr>
        <w:widowControl/>
        <w:numPr>
          <w:ilvl w:val="0"/>
          <w:numId w:val="0"/>
        </w:numPr>
        <w:shd w:val="clear" w:color="auto" w:fill="FFFFFF"/>
        <w:spacing w:before="227" w:beforeLines="0" w:line="360" w:lineRule="auto"/>
        <w:ind w:firstLine="320" w:firstLineChars="100"/>
        <w:contextualSpacing/>
        <w:jc w:val="left"/>
        <w:rPr>
          <w:rFonts w:hint="eastAsia" w:ascii="黑体" w:hAnsi="黑体" w:eastAsia="黑体" w:cs="Arial"/>
          <w:color w:val="000000"/>
          <w:kern w:val="0"/>
          <w:sz w:val="32"/>
          <w:szCs w:val="32"/>
        </w:rPr>
      </w:pPr>
      <w:r>
        <w:rPr>
          <w:rFonts w:hint="eastAsia" w:ascii="黑体" w:hAnsi="黑体" w:eastAsia="黑体" w:cs="Arial"/>
          <w:color w:val="000000"/>
          <w:kern w:val="0"/>
          <w:sz w:val="32"/>
          <w:szCs w:val="32"/>
          <w:lang w:eastAsia="zh-CN"/>
        </w:rPr>
        <w:t>三、</w:t>
      </w:r>
      <w:r>
        <w:rPr>
          <w:rFonts w:hint="eastAsia" w:ascii="黑体" w:hAnsi="黑体" w:eastAsia="黑体" w:cs="Arial"/>
          <w:color w:val="000000"/>
          <w:kern w:val="0"/>
          <w:sz w:val="32"/>
          <w:szCs w:val="32"/>
        </w:rPr>
        <w:t>评审情况</w:t>
      </w:r>
    </w:p>
    <w:p>
      <w:pPr>
        <w:pStyle w:val="2"/>
        <w:numPr>
          <w:ilvl w:val="0"/>
          <w:numId w:val="0"/>
        </w:numPr>
        <w:outlineLvl w:val="0"/>
        <w:rPr>
          <w:rFonts w:hint="eastAsia" w:ascii="仿宋" w:hAnsi="仿宋" w:eastAsia="仿宋" w:cs="Arial"/>
          <w:color w:val="000000"/>
          <w:kern w:val="0"/>
          <w:sz w:val="32"/>
          <w:szCs w:val="32"/>
        </w:rPr>
      </w:pPr>
      <w:r>
        <w:rPr>
          <w:rFonts w:hint="eastAsia"/>
          <w:lang w:val="en-US" w:eastAsia="zh-CN"/>
        </w:rPr>
        <w:t xml:space="preserve">    </w:t>
      </w:r>
      <w:r>
        <w:rPr>
          <w:rFonts w:hint="eastAsia" w:ascii="仿宋" w:hAnsi="仿宋" w:eastAsia="仿宋" w:cs="Arial"/>
          <w:color w:val="000000"/>
          <w:kern w:val="0"/>
          <w:sz w:val="32"/>
          <w:szCs w:val="32"/>
        </w:rPr>
        <w:t>（一）符合性审查</w:t>
      </w:r>
    </w:p>
    <w:p>
      <w:pPr>
        <w:widowControl/>
        <w:shd w:val="clear" w:color="auto" w:fill="FFFFFF"/>
        <w:spacing w:before="227" w:beforeLines="0" w:line="360" w:lineRule="auto"/>
        <w:ind w:firstLine="420"/>
        <w:contextualSpacing/>
        <w:jc w:val="left"/>
        <w:rPr>
          <w:rFonts w:hint="eastAsia" w:ascii="仿宋" w:hAnsi="仿宋" w:eastAsia="仿宋" w:cs="仿宋"/>
          <w:color w:val="000000"/>
          <w:sz w:val="32"/>
          <w:szCs w:val="32"/>
          <w:u w:val="none"/>
          <w:shd w:val="clear" w:color="auto" w:fill="FFFFFF"/>
          <w:lang w:val="en-US" w:eastAsia="zh-CN"/>
        </w:rPr>
      </w:pPr>
      <w:r>
        <w:rPr>
          <w:rFonts w:hint="eastAsia" w:ascii="仿宋" w:hAnsi="仿宋" w:eastAsia="仿宋" w:cs="仿宋"/>
          <w:color w:val="000000"/>
          <w:sz w:val="32"/>
          <w:szCs w:val="32"/>
          <w:u w:val="none"/>
          <w:shd w:val="clear" w:color="auto" w:fill="FFFFFF"/>
          <w:lang w:val="en-US" w:eastAsia="zh-CN"/>
        </w:rPr>
        <w:t>A包</w:t>
      </w:r>
      <w:r>
        <w:rPr>
          <w:rFonts w:hint="eastAsia" w:ascii="仿宋" w:hAnsi="仿宋" w:eastAsia="仿宋" w:cs="仿宋"/>
          <w:color w:val="000000"/>
          <w:sz w:val="32"/>
          <w:szCs w:val="32"/>
          <w:u w:val="none"/>
          <w:shd w:val="clear" w:color="auto" w:fill="FFFFFF"/>
          <w:lang w:eastAsia="zh-CN"/>
        </w:rPr>
        <w:t>通过资格性审查供应商均通过符合性审查；</w:t>
      </w:r>
      <w:r>
        <w:rPr>
          <w:rFonts w:hint="eastAsia" w:ascii="仿宋" w:hAnsi="仿宋" w:eastAsia="仿宋" w:cs="仿宋"/>
          <w:color w:val="000000"/>
          <w:sz w:val="32"/>
          <w:szCs w:val="32"/>
          <w:u w:val="none"/>
          <w:shd w:val="clear" w:color="auto" w:fill="FFFFFF"/>
          <w:lang w:val="en-US" w:eastAsia="zh-CN"/>
        </w:rPr>
        <w:t>B包通过资格性审查不足3家，B包一次</w:t>
      </w:r>
      <w:bookmarkStart w:id="0" w:name="_GoBack"/>
      <w:bookmarkEnd w:id="0"/>
      <w:r>
        <w:rPr>
          <w:rFonts w:hint="eastAsia" w:ascii="仿宋" w:hAnsi="仿宋" w:eastAsia="仿宋" w:cs="仿宋"/>
          <w:color w:val="000000"/>
          <w:sz w:val="32"/>
          <w:szCs w:val="32"/>
          <w:u w:val="none"/>
          <w:shd w:val="clear" w:color="auto" w:fill="FFFFFF"/>
          <w:lang w:val="en-US" w:eastAsia="zh-CN"/>
        </w:rPr>
        <w:t>流标。</w:t>
      </w:r>
    </w:p>
    <w:p>
      <w:pPr>
        <w:widowControl/>
        <w:shd w:val="clear" w:color="auto" w:fill="FFFFFF"/>
        <w:spacing w:before="227" w:beforeLines="0" w:line="360" w:lineRule="auto"/>
        <w:ind w:firstLine="420"/>
        <w:contextualSpacing/>
        <w:jc w:val="left"/>
      </w:pPr>
      <w:r>
        <w:rPr>
          <w:rFonts w:hint="eastAsia" w:ascii="仿宋" w:hAnsi="仿宋" w:eastAsia="仿宋" w:cs="Arial"/>
          <w:color w:val="000000"/>
          <w:kern w:val="0"/>
          <w:sz w:val="32"/>
          <w:szCs w:val="32"/>
        </w:rPr>
        <w:t>（</w:t>
      </w:r>
      <w:r>
        <w:rPr>
          <w:rFonts w:hint="eastAsia" w:ascii="仿宋" w:hAnsi="仿宋" w:eastAsia="仿宋" w:cs="Arial"/>
          <w:color w:val="000000"/>
          <w:kern w:val="0"/>
          <w:sz w:val="32"/>
          <w:szCs w:val="32"/>
          <w:lang w:eastAsia="zh-CN"/>
        </w:rPr>
        <w:t>二</w:t>
      </w:r>
      <w:r>
        <w:rPr>
          <w:rFonts w:hint="eastAsia" w:ascii="仿宋" w:hAnsi="仿宋" w:eastAsia="仿宋" w:cs="Arial"/>
          <w:color w:val="000000"/>
          <w:kern w:val="0"/>
          <w:sz w:val="32"/>
          <w:szCs w:val="32"/>
        </w:rPr>
        <w:t>）</w:t>
      </w:r>
      <w:r>
        <w:rPr>
          <w:rFonts w:hint="eastAsia" w:ascii="仿宋" w:hAnsi="仿宋" w:eastAsia="仿宋" w:cs="Arial"/>
          <w:color w:val="000000"/>
          <w:kern w:val="0"/>
          <w:sz w:val="32"/>
          <w:szCs w:val="32"/>
          <w:lang w:eastAsia="zh-CN"/>
        </w:rPr>
        <w:t>比较与评审结果（</w:t>
      </w:r>
      <w:r>
        <w:rPr>
          <w:rFonts w:hint="eastAsia" w:ascii="仿宋" w:hAnsi="仿宋" w:eastAsia="仿宋" w:cs="Arial"/>
          <w:color w:val="000000"/>
          <w:kern w:val="0"/>
          <w:sz w:val="32"/>
          <w:szCs w:val="32"/>
          <w:lang w:val="en-US" w:eastAsia="zh-CN"/>
        </w:rPr>
        <w:t>A</w:t>
      </w:r>
      <w:r>
        <w:rPr>
          <w:rFonts w:hint="eastAsia" w:ascii="仿宋" w:hAnsi="仿宋" w:eastAsia="仿宋" w:cs="Arial"/>
          <w:color w:val="000000"/>
          <w:kern w:val="0"/>
          <w:sz w:val="32"/>
          <w:szCs w:val="32"/>
          <w:lang w:eastAsia="zh-CN"/>
        </w:rPr>
        <w:t>包）</w:t>
      </w:r>
    </w:p>
    <w:tbl>
      <w:tblPr>
        <w:tblStyle w:val="10"/>
        <w:tblW w:w="8865" w:type="dxa"/>
        <w:jc w:val="center"/>
        <w:tblInd w:w="6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22"/>
        <w:gridCol w:w="1753"/>
        <w:gridCol w:w="1753"/>
        <w:gridCol w:w="13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10" w:hRule="atLeast"/>
          <w:jc w:val="center"/>
        </w:trPr>
        <w:tc>
          <w:tcPr>
            <w:tcW w:w="402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供应商名称</w:t>
            </w:r>
          </w:p>
        </w:tc>
        <w:tc>
          <w:tcPr>
            <w:tcW w:w="1753" w:type="dxa"/>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投标报价（元）</w:t>
            </w:r>
          </w:p>
        </w:tc>
        <w:tc>
          <w:tcPr>
            <w:tcW w:w="1753"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最终报价（元）</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jc w:val="center"/>
        </w:trPr>
        <w:tc>
          <w:tcPr>
            <w:tcW w:w="4022" w:type="dxa"/>
            <w:vAlign w:val="center"/>
          </w:tcPr>
          <w:p>
            <w:pPr>
              <w:spacing w:line="600" w:lineRule="exact"/>
              <w:jc w:val="center"/>
              <w:rPr>
                <w:rFonts w:hint="eastAsia" w:ascii="宋体" w:hAnsi="宋体" w:eastAsia="宋体" w:cs="宋体"/>
                <w:kern w:val="0"/>
                <w:sz w:val="24"/>
                <w:szCs w:val="24"/>
                <w:lang w:val="en-US" w:eastAsia="zh-CN"/>
              </w:rPr>
            </w:pPr>
            <w:r>
              <w:rPr>
                <w:rFonts w:hint="eastAsia" w:ascii="宋体" w:hAnsi="宋体"/>
                <w:bCs/>
                <w:sz w:val="24"/>
              </w:rPr>
              <w:t>河南省伟信招标管理咨询有限公司</w:t>
            </w:r>
          </w:p>
        </w:tc>
        <w:tc>
          <w:tcPr>
            <w:tcW w:w="1753" w:type="dxa"/>
            <w:tcBorders>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cs="宋体"/>
                <w:bCs/>
                <w:sz w:val="24"/>
              </w:rPr>
              <w:t>61769.2</w:t>
            </w:r>
            <w:r>
              <w:rPr>
                <w:rFonts w:hint="eastAsia" w:ascii="宋体" w:hAnsi="宋体" w:cs="宋体"/>
                <w:bCs/>
                <w:sz w:val="24"/>
                <w:lang w:val="en-US" w:eastAsia="zh-CN"/>
              </w:rPr>
              <w:t>0</w:t>
            </w:r>
          </w:p>
        </w:tc>
        <w:tc>
          <w:tcPr>
            <w:tcW w:w="1753" w:type="dxa"/>
            <w:tcBorders>
              <w:lef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cs="宋体"/>
                <w:bCs/>
                <w:sz w:val="24"/>
              </w:rPr>
              <w:t>61600</w:t>
            </w:r>
            <w:r>
              <w:rPr>
                <w:rFonts w:hint="eastAsia" w:ascii="宋体" w:hAnsi="宋体" w:cs="宋体"/>
                <w:bCs/>
                <w:sz w:val="24"/>
                <w:lang w:val="en-US" w:eastAsia="zh-CN"/>
              </w:rPr>
              <w:t>.00</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4022" w:type="dxa"/>
            <w:vAlign w:val="center"/>
          </w:tcPr>
          <w:p>
            <w:pPr>
              <w:spacing w:line="600" w:lineRule="exact"/>
              <w:jc w:val="center"/>
              <w:rPr>
                <w:rFonts w:hint="eastAsia" w:ascii="宋体" w:hAnsi="宋体" w:eastAsia="宋体" w:cs="宋体"/>
                <w:kern w:val="0"/>
                <w:sz w:val="24"/>
                <w:szCs w:val="24"/>
                <w:lang w:val="en-US" w:eastAsia="zh-CN"/>
              </w:rPr>
            </w:pPr>
            <w:r>
              <w:rPr>
                <w:rFonts w:hint="eastAsia" w:ascii="宋体" w:hAnsi="宋体"/>
                <w:bCs/>
                <w:sz w:val="24"/>
              </w:rPr>
              <w:t>河南立恒工程管理咨询有限公司</w:t>
            </w:r>
          </w:p>
        </w:tc>
        <w:tc>
          <w:tcPr>
            <w:tcW w:w="1753" w:type="dxa"/>
            <w:tcBorders>
              <w:right w:val="single" w:color="auto" w:sz="4" w:space="0"/>
            </w:tcBorders>
            <w:vAlign w:val="center"/>
          </w:tcPr>
          <w:p>
            <w:pPr>
              <w:tabs>
                <w:tab w:val="left" w:pos="510"/>
              </w:tabs>
              <w:spacing w:line="400" w:lineRule="exact"/>
              <w:jc w:val="center"/>
              <w:rPr>
                <w:rFonts w:hint="eastAsia" w:ascii="宋体" w:hAnsi="宋体" w:eastAsia="宋体" w:cs="宋体"/>
                <w:kern w:val="0"/>
                <w:sz w:val="24"/>
                <w:szCs w:val="24"/>
                <w:lang w:val="en-US" w:eastAsia="zh-CN"/>
              </w:rPr>
            </w:pPr>
            <w:r>
              <w:rPr>
                <w:rFonts w:hint="eastAsia" w:ascii="宋体" w:hAnsi="宋体" w:cs="宋体"/>
                <w:bCs/>
                <w:sz w:val="24"/>
              </w:rPr>
              <w:t>61600</w:t>
            </w:r>
            <w:r>
              <w:rPr>
                <w:rFonts w:hint="eastAsia" w:ascii="宋体" w:hAnsi="宋体" w:cs="宋体"/>
                <w:bCs/>
                <w:sz w:val="24"/>
                <w:lang w:val="en-US" w:eastAsia="zh-CN"/>
              </w:rPr>
              <w:t>.00</w:t>
            </w:r>
          </w:p>
        </w:tc>
        <w:tc>
          <w:tcPr>
            <w:tcW w:w="1753" w:type="dxa"/>
            <w:tcBorders>
              <w:left w:val="single" w:color="auto" w:sz="4" w:space="0"/>
            </w:tcBorders>
            <w:vAlign w:val="center"/>
          </w:tcPr>
          <w:p>
            <w:pPr>
              <w:tabs>
                <w:tab w:val="left" w:pos="510"/>
              </w:tabs>
              <w:spacing w:line="400" w:lineRule="exact"/>
              <w:jc w:val="center"/>
              <w:rPr>
                <w:rFonts w:hint="eastAsia" w:ascii="宋体" w:hAnsi="宋体" w:eastAsia="宋体" w:cs="宋体"/>
                <w:kern w:val="0"/>
                <w:sz w:val="24"/>
                <w:szCs w:val="24"/>
                <w:lang w:val="en-US" w:eastAsia="zh-CN"/>
              </w:rPr>
            </w:pPr>
            <w:r>
              <w:rPr>
                <w:rFonts w:hint="eastAsia" w:ascii="宋体" w:hAnsi="宋体" w:cs="宋体"/>
                <w:bCs/>
                <w:sz w:val="24"/>
              </w:rPr>
              <w:t>61500</w:t>
            </w:r>
            <w:r>
              <w:rPr>
                <w:rFonts w:hint="eastAsia" w:ascii="宋体" w:hAnsi="宋体" w:cs="宋体"/>
                <w:bCs/>
                <w:sz w:val="24"/>
                <w:lang w:val="en-US" w:eastAsia="zh-CN"/>
              </w:rPr>
              <w:t>.00</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4022" w:type="dxa"/>
            <w:vAlign w:val="center"/>
          </w:tcPr>
          <w:p>
            <w:pPr>
              <w:spacing w:line="600" w:lineRule="exact"/>
              <w:jc w:val="center"/>
              <w:rPr>
                <w:rFonts w:hint="eastAsia" w:ascii="宋体" w:hAnsi="宋体" w:eastAsia="宋体" w:cs="宋体"/>
                <w:kern w:val="0"/>
                <w:sz w:val="24"/>
                <w:szCs w:val="24"/>
                <w:lang w:val="en-US" w:eastAsia="zh-CN"/>
              </w:rPr>
            </w:pPr>
            <w:r>
              <w:rPr>
                <w:rFonts w:hint="eastAsia" w:ascii="宋体" w:hAnsi="宋体"/>
                <w:bCs/>
                <w:sz w:val="24"/>
              </w:rPr>
              <w:t>河南华威建设工程技术咨询事务所有限公司</w:t>
            </w:r>
          </w:p>
        </w:tc>
        <w:tc>
          <w:tcPr>
            <w:tcW w:w="1753" w:type="dxa"/>
            <w:tcBorders>
              <w:righ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cs="宋体"/>
                <w:bCs/>
                <w:sz w:val="24"/>
              </w:rPr>
              <w:t>61719</w:t>
            </w:r>
            <w:r>
              <w:rPr>
                <w:rFonts w:hint="eastAsia" w:ascii="宋体" w:hAnsi="宋体" w:cs="宋体"/>
                <w:bCs/>
                <w:sz w:val="24"/>
                <w:lang w:val="en-US" w:eastAsia="zh-CN"/>
              </w:rPr>
              <w:t>.00</w:t>
            </w:r>
          </w:p>
        </w:tc>
        <w:tc>
          <w:tcPr>
            <w:tcW w:w="1753" w:type="dxa"/>
            <w:tcBorders>
              <w:left w:val="single" w:color="auto" w:sz="4"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cs="宋体"/>
                <w:bCs/>
                <w:sz w:val="24"/>
              </w:rPr>
              <w:t>61300</w:t>
            </w:r>
            <w:r>
              <w:rPr>
                <w:rFonts w:hint="eastAsia" w:ascii="宋体" w:hAnsi="宋体" w:cs="宋体"/>
                <w:bCs/>
                <w:sz w:val="24"/>
                <w:lang w:val="en-US" w:eastAsia="zh-CN"/>
              </w:rPr>
              <w:t>.00</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contextualSpacing/>
              <w:jc w:val="center"/>
              <w:textAlignment w:val="auto"/>
              <w:outlineLvl w:val="9"/>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r>
    </w:tbl>
    <w:p>
      <w:pPr>
        <w:widowControl/>
        <w:numPr>
          <w:ilvl w:val="0"/>
          <w:numId w:val="0"/>
        </w:numPr>
        <w:shd w:val="clear" w:color="auto" w:fill="FFFFFF"/>
        <w:spacing w:before="227" w:beforeLines="0" w:line="360" w:lineRule="auto"/>
        <w:ind w:firstLine="320" w:firstLineChars="100"/>
        <w:contextualSpacing/>
        <w:jc w:val="left"/>
        <w:rPr>
          <w:rFonts w:hint="eastAsia" w:ascii="黑体" w:hAnsi="黑体" w:eastAsia="黑体" w:cs="Arial"/>
          <w:color w:val="000000"/>
          <w:kern w:val="0"/>
          <w:sz w:val="32"/>
          <w:szCs w:val="32"/>
          <w:lang w:eastAsia="zh-CN"/>
        </w:rPr>
      </w:pPr>
      <w:r>
        <w:rPr>
          <w:rFonts w:hint="eastAsia" w:ascii="黑体" w:hAnsi="黑体" w:eastAsia="黑体" w:cs="Arial"/>
          <w:color w:val="000000"/>
          <w:kern w:val="0"/>
          <w:sz w:val="32"/>
          <w:szCs w:val="32"/>
          <w:lang w:eastAsia="zh-CN"/>
        </w:rPr>
        <w:t>四、谈判小组推荐成交候选人（或采购人授权确定成交供应商）情况</w:t>
      </w:r>
    </w:p>
    <w:p>
      <w:pPr>
        <w:pStyle w:val="2"/>
        <w:numPr>
          <w:ilvl w:val="0"/>
          <w:numId w:val="0"/>
        </w:numPr>
        <w:outlineLvl w:val="0"/>
        <w:rPr>
          <w:rFonts w:hint="eastAsia" w:ascii="黑体" w:hAnsi="黑体" w:eastAsia="黑体" w:cs="Arial"/>
          <w:color w:val="000000"/>
          <w:kern w:val="0"/>
          <w:sz w:val="32"/>
          <w:szCs w:val="32"/>
          <w:lang w:val="en-US" w:eastAsia="zh-CN" w:bidi="ar-SA"/>
        </w:rPr>
      </w:pPr>
      <w:r>
        <w:rPr>
          <w:rFonts w:hint="eastAsia" w:ascii="黑体" w:hAnsi="黑体" w:eastAsia="黑体" w:cs="Arial"/>
          <w:color w:val="000000"/>
          <w:kern w:val="0"/>
          <w:sz w:val="32"/>
          <w:szCs w:val="32"/>
          <w:lang w:val="en-US" w:eastAsia="zh-CN" w:bidi="ar-SA"/>
        </w:rPr>
        <w:t xml:space="preserve">     A包</w:t>
      </w:r>
    </w:p>
    <w:p>
      <w:pPr>
        <w:numPr>
          <w:ilvl w:val="0"/>
          <w:numId w:val="1"/>
        </w:numPr>
        <w:snapToGrid w:val="0"/>
        <w:spacing w:line="360" w:lineRule="auto"/>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成交候选</w:t>
      </w:r>
      <w:r>
        <w:rPr>
          <w:rFonts w:hint="eastAsia" w:ascii="仿宋" w:hAnsi="仿宋" w:eastAsia="仿宋" w:cs="仿宋"/>
          <w:color w:val="000000"/>
          <w:kern w:val="0"/>
          <w:sz w:val="32"/>
          <w:szCs w:val="32"/>
        </w:rPr>
        <w:t>人</w:t>
      </w:r>
      <w:r>
        <w:rPr>
          <w:rFonts w:hint="eastAsia" w:ascii="仿宋" w:hAnsi="仿宋" w:eastAsia="仿宋" w:cs="仿宋"/>
          <w:color w:val="000000"/>
          <w:kern w:val="0"/>
          <w:sz w:val="32"/>
          <w:szCs w:val="32"/>
          <w:lang w:eastAsia="zh-CN"/>
        </w:rPr>
        <w:t>（成交供应商）名称：河南华威建设工程技术咨询事务所有限公司</w:t>
      </w:r>
    </w:p>
    <w:p>
      <w:pPr>
        <w:numPr>
          <w:ilvl w:val="0"/>
          <w:numId w:val="1"/>
        </w:numPr>
        <w:snapToGrid w:val="0"/>
        <w:spacing w:line="360" w:lineRule="auto"/>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地址：</w:t>
      </w:r>
      <w:r>
        <w:rPr>
          <w:rFonts w:hint="eastAsia" w:ascii="仿宋" w:hAnsi="仿宋" w:eastAsia="仿宋" w:cs="仿宋"/>
          <w:color w:val="000000"/>
          <w:kern w:val="0"/>
          <w:sz w:val="32"/>
          <w:szCs w:val="32"/>
          <w:lang w:eastAsia="zh-CN"/>
        </w:rPr>
        <w:t>郑州市航海路淮南街交叉口19号楼2单元10层北2号</w:t>
      </w:r>
    </w:p>
    <w:p>
      <w:pPr>
        <w:numPr>
          <w:ilvl w:val="0"/>
          <w:numId w:val="1"/>
        </w:numPr>
        <w:snapToGrid w:val="0"/>
        <w:spacing w:line="360" w:lineRule="auto"/>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联系方式：</w:t>
      </w:r>
      <w:r>
        <w:rPr>
          <w:rFonts w:hint="eastAsia" w:ascii="仿宋" w:hAnsi="仿宋" w:eastAsia="仿宋" w:cs="仿宋"/>
          <w:color w:val="000000"/>
          <w:kern w:val="0"/>
          <w:sz w:val="32"/>
          <w:szCs w:val="32"/>
          <w:lang w:eastAsia="zh-CN"/>
        </w:rPr>
        <w:t>0371-60982728</w:t>
      </w:r>
    </w:p>
    <w:p>
      <w:pPr>
        <w:numPr>
          <w:ilvl w:val="0"/>
          <w:numId w:val="1"/>
        </w:numPr>
        <w:snapToGrid w:val="0"/>
        <w:spacing w:line="360" w:lineRule="auto"/>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成交金额：61300.00</w:t>
      </w:r>
    </w:p>
    <w:p>
      <w:pPr>
        <w:widowControl/>
        <w:shd w:val="clear" w:color="auto" w:fill="FFFFFF"/>
        <w:spacing w:before="227" w:beforeLines="0" w:line="360" w:lineRule="auto"/>
        <w:ind w:firstLine="640" w:firstLineChars="200"/>
        <w:contextualSpacing/>
        <w:jc w:val="left"/>
        <w:rPr>
          <w:rFonts w:hint="eastAsia" w:ascii="仿宋" w:hAnsi="仿宋" w:eastAsia="仿宋" w:cs="Arial"/>
          <w:color w:val="000000"/>
          <w:kern w:val="0"/>
          <w:sz w:val="32"/>
          <w:szCs w:val="32"/>
          <w:lang w:val="en-US" w:eastAsia="zh-CN"/>
        </w:rPr>
      </w:pPr>
      <w:r>
        <w:rPr>
          <w:rFonts w:hint="eastAsia" w:ascii="黑体" w:hAnsi="黑体" w:eastAsia="黑体" w:cs="Arial"/>
          <w:color w:val="000000"/>
          <w:kern w:val="0"/>
          <w:sz w:val="32"/>
          <w:szCs w:val="32"/>
          <w:lang w:eastAsia="zh-CN"/>
        </w:rPr>
        <w:t>五</w:t>
      </w:r>
      <w:r>
        <w:rPr>
          <w:rFonts w:ascii="黑体" w:hAnsi="黑体" w:eastAsia="黑体" w:cs="Arial"/>
          <w:color w:val="000000"/>
          <w:kern w:val="0"/>
          <w:sz w:val="32"/>
          <w:szCs w:val="32"/>
        </w:rPr>
        <w:t>、评标委员会成员名单</w:t>
      </w:r>
      <w:r>
        <w:rPr>
          <w:rFonts w:ascii="仿宋" w:hAnsi="仿宋" w:eastAsia="仿宋" w:cs="Arial"/>
          <w:color w:val="000000"/>
          <w:kern w:val="0"/>
          <w:sz w:val="32"/>
          <w:szCs w:val="32"/>
        </w:rPr>
        <w:t>：</w:t>
      </w:r>
      <w:r>
        <w:rPr>
          <w:rFonts w:hint="eastAsia" w:ascii="仿宋" w:hAnsi="仿宋" w:eastAsia="仿宋" w:cs="Arial"/>
          <w:color w:val="000000"/>
          <w:kern w:val="0"/>
          <w:sz w:val="32"/>
          <w:szCs w:val="32"/>
        </w:rPr>
        <w:t>查占杰</w:t>
      </w:r>
      <w:r>
        <w:rPr>
          <w:rFonts w:hint="eastAsia" w:ascii="仿宋" w:hAnsi="仿宋" w:eastAsia="仿宋" w:cs="Arial"/>
          <w:color w:val="000000"/>
          <w:kern w:val="0"/>
          <w:sz w:val="32"/>
          <w:szCs w:val="32"/>
          <w:lang w:eastAsia="zh-CN"/>
        </w:rPr>
        <w:t>（采购人代表）</w:t>
      </w:r>
      <w:r>
        <w:rPr>
          <w:rFonts w:hint="eastAsia" w:ascii="仿宋" w:hAnsi="仿宋" w:eastAsia="仿宋" w:cs="Arial"/>
          <w:color w:val="000000"/>
          <w:kern w:val="0"/>
          <w:sz w:val="32"/>
          <w:szCs w:val="32"/>
        </w:rPr>
        <w:t>赵吉贞</w:t>
      </w:r>
      <w:r>
        <w:rPr>
          <w:rFonts w:hint="eastAsia" w:ascii="仿宋" w:hAnsi="仿宋" w:eastAsia="仿宋" w:cs="Arial"/>
          <w:color w:val="000000"/>
          <w:kern w:val="0"/>
          <w:sz w:val="32"/>
          <w:szCs w:val="32"/>
          <w:lang w:val="en-US" w:eastAsia="zh-CN"/>
        </w:rPr>
        <w:t>（谈判小组组长）</w:t>
      </w:r>
      <w:r>
        <w:rPr>
          <w:rFonts w:hint="eastAsia" w:ascii="仿宋" w:hAnsi="仿宋" w:eastAsia="仿宋" w:cs="Arial"/>
          <w:color w:val="000000"/>
          <w:kern w:val="0"/>
          <w:sz w:val="32"/>
          <w:szCs w:val="32"/>
        </w:rPr>
        <w:t>桑石磊</w:t>
      </w:r>
    </w:p>
    <w:p>
      <w:pPr>
        <w:widowControl/>
        <w:shd w:val="clear" w:color="auto" w:fill="FFFFFF"/>
        <w:spacing w:before="227" w:beforeLines="0" w:line="360" w:lineRule="auto"/>
        <w:ind w:firstLine="629"/>
        <w:contextualSpacing/>
        <w:jc w:val="left"/>
        <w:rPr>
          <w:rFonts w:ascii="Arial" w:hAnsi="Arial" w:eastAsia="宋体" w:cs="Arial"/>
          <w:color w:val="000000"/>
          <w:kern w:val="0"/>
          <w:sz w:val="32"/>
          <w:szCs w:val="32"/>
        </w:rPr>
      </w:pPr>
      <w:r>
        <w:rPr>
          <w:rFonts w:hint="eastAsia" w:ascii="黑体" w:hAnsi="黑体" w:eastAsia="黑体" w:cs="Arial"/>
          <w:color w:val="000000"/>
          <w:kern w:val="0"/>
          <w:sz w:val="32"/>
          <w:szCs w:val="32"/>
          <w:lang w:eastAsia="zh-CN"/>
        </w:rPr>
        <w:t>六</w:t>
      </w:r>
      <w:r>
        <w:rPr>
          <w:rFonts w:ascii="黑体" w:hAnsi="黑体" w:eastAsia="黑体" w:cs="Arial"/>
          <w:color w:val="000000"/>
          <w:kern w:val="0"/>
          <w:sz w:val="32"/>
          <w:szCs w:val="32"/>
        </w:rPr>
        <w:t>、公告期限</w:t>
      </w:r>
    </w:p>
    <w:p>
      <w:pPr>
        <w:widowControl/>
        <w:shd w:val="clear" w:color="auto" w:fill="FFFFFF"/>
        <w:spacing w:before="227" w:beforeLines="0" w:line="360" w:lineRule="auto"/>
        <w:ind w:firstLine="629"/>
        <w:contextualSpacing/>
        <w:jc w:val="left"/>
        <w:rPr>
          <w:rFonts w:ascii="Arial" w:hAnsi="Arial" w:eastAsia="宋体" w:cs="Arial"/>
          <w:color w:val="000000"/>
          <w:kern w:val="0"/>
          <w:sz w:val="32"/>
          <w:szCs w:val="32"/>
        </w:rPr>
      </w:pPr>
      <w:r>
        <w:rPr>
          <w:rFonts w:ascii="仿宋" w:hAnsi="仿宋" w:eastAsia="仿宋" w:cs="Arial"/>
          <w:color w:val="000000"/>
          <w:kern w:val="0"/>
          <w:sz w:val="32"/>
          <w:szCs w:val="32"/>
        </w:rPr>
        <w:t>本</w:t>
      </w:r>
      <w:r>
        <w:rPr>
          <w:rFonts w:hint="eastAsia" w:ascii="仿宋" w:hAnsi="仿宋" w:eastAsia="仿宋" w:cs="Arial"/>
          <w:color w:val="000000"/>
          <w:kern w:val="0"/>
          <w:sz w:val="32"/>
          <w:szCs w:val="32"/>
          <w:lang w:eastAsia="zh-CN"/>
        </w:rPr>
        <w:t>结果</w:t>
      </w:r>
      <w:r>
        <w:rPr>
          <w:rFonts w:ascii="仿宋" w:hAnsi="仿宋" w:eastAsia="仿宋" w:cs="Arial"/>
          <w:color w:val="000000"/>
          <w:kern w:val="0"/>
          <w:sz w:val="32"/>
          <w:szCs w:val="32"/>
        </w:rPr>
        <w:t>公告自发布之日起公告期限为1个工作日。</w:t>
      </w:r>
    </w:p>
    <w:p>
      <w:pPr>
        <w:widowControl/>
        <w:shd w:val="clear" w:color="auto" w:fill="FFFFFF"/>
        <w:spacing w:before="227" w:beforeLines="0" w:line="360" w:lineRule="auto"/>
        <w:ind w:firstLine="641"/>
        <w:contextualSpacing/>
        <w:jc w:val="left"/>
        <w:rPr>
          <w:rFonts w:ascii="Arial" w:hAnsi="Arial" w:eastAsia="宋体" w:cs="Arial"/>
          <w:color w:val="000000"/>
          <w:kern w:val="0"/>
          <w:sz w:val="32"/>
          <w:szCs w:val="32"/>
        </w:rPr>
      </w:pPr>
      <w:r>
        <w:rPr>
          <w:rFonts w:hint="eastAsia" w:ascii="黑体" w:hAnsi="黑体" w:eastAsia="黑体" w:cs="Arial"/>
          <w:color w:val="000000"/>
          <w:kern w:val="0"/>
          <w:sz w:val="32"/>
          <w:szCs w:val="32"/>
          <w:lang w:eastAsia="zh-CN"/>
        </w:rPr>
        <w:t>七</w:t>
      </w:r>
      <w:r>
        <w:rPr>
          <w:rFonts w:ascii="黑体" w:hAnsi="黑体" w:eastAsia="黑体" w:cs="Arial"/>
          <w:color w:val="000000"/>
          <w:kern w:val="0"/>
          <w:sz w:val="32"/>
          <w:szCs w:val="32"/>
        </w:rPr>
        <w:t>、</w:t>
      </w:r>
      <w:r>
        <w:rPr>
          <w:rFonts w:hint="eastAsia" w:ascii="黑体" w:hAnsi="黑体" w:eastAsia="黑体" w:cs="Arial"/>
          <w:color w:val="000000"/>
          <w:kern w:val="0"/>
          <w:sz w:val="32"/>
          <w:szCs w:val="32"/>
        </w:rPr>
        <w:t>联系方式</w:t>
      </w:r>
    </w:p>
    <w:p>
      <w:pPr>
        <w:widowControl/>
        <w:shd w:val="clear" w:color="auto" w:fill="FFFFFF"/>
        <w:spacing w:before="227" w:beforeLines="0" w:line="360" w:lineRule="auto"/>
        <w:ind w:firstLine="641"/>
        <w:contextualSpacing/>
        <w:jc w:val="left"/>
        <w:rPr>
          <w:rFonts w:hint="eastAsia"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rPr>
        <w:t>采购人</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长葛市中小学校舍安全工程领导小组办公室</w:t>
      </w:r>
    </w:p>
    <w:p>
      <w:pPr>
        <w:widowControl/>
        <w:shd w:val="clear" w:color="auto" w:fill="FFFFFF"/>
        <w:spacing w:before="227" w:beforeLines="0" w:line="360" w:lineRule="auto"/>
        <w:ind w:firstLine="641"/>
        <w:contextualSpacing/>
        <w:jc w:val="left"/>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地址：长葛市</w:t>
      </w:r>
      <w:r>
        <w:rPr>
          <w:rFonts w:hint="eastAsia" w:ascii="仿宋" w:hAnsi="仿宋" w:eastAsia="仿宋" w:cs="Arial"/>
          <w:color w:val="000000"/>
          <w:kern w:val="0"/>
          <w:sz w:val="32"/>
          <w:szCs w:val="32"/>
          <w:lang w:eastAsia="zh-CN"/>
        </w:rPr>
        <w:t>葛天大道新区</w:t>
      </w:r>
      <w:r>
        <w:rPr>
          <w:rFonts w:hint="eastAsia" w:ascii="仿宋" w:hAnsi="仿宋" w:eastAsia="仿宋" w:cs="Arial"/>
          <w:color w:val="000000"/>
          <w:kern w:val="0"/>
          <w:sz w:val="32"/>
          <w:szCs w:val="32"/>
          <w:lang w:val="en-US" w:eastAsia="zh-CN"/>
        </w:rPr>
        <w:t>5号楼</w:t>
      </w:r>
      <w:r>
        <w:rPr>
          <w:rFonts w:hint="eastAsia" w:ascii="仿宋" w:hAnsi="仿宋" w:eastAsia="仿宋" w:cs="Arial"/>
          <w:color w:val="000000"/>
          <w:kern w:val="0"/>
          <w:sz w:val="32"/>
          <w:szCs w:val="32"/>
          <w:lang w:eastAsia="zh-CN"/>
        </w:rPr>
        <w:t xml:space="preserve"> </w:t>
      </w:r>
    </w:p>
    <w:p>
      <w:pPr>
        <w:widowControl/>
        <w:ind w:firstLine="640" w:firstLineChars="200"/>
        <w:jc w:val="left"/>
        <w:rPr>
          <w:rFonts w:hint="eastAsia" w:ascii="仿宋" w:hAnsi="仿宋" w:eastAsia="仿宋" w:cs="仿宋"/>
          <w:color w:val="000000"/>
          <w:sz w:val="32"/>
          <w:szCs w:val="32"/>
          <w:shd w:val="clear" w:color="auto" w:fill="FFFFFF"/>
          <w:lang w:val="en-US" w:eastAsia="zh-CN" w:bidi="ar"/>
        </w:rPr>
      </w:pPr>
      <w:r>
        <w:rPr>
          <w:rFonts w:hint="eastAsia" w:ascii="仿宋" w:hAnsi="仿宋" w:eastAsia="仿宋" w:cs="Arial"/>
          <w:color w:val="000000"/>
          <w:kern w:val="0"/>
          <w:sz w:val="32"/>
          <w:szCs w:val="32"/>
          <w:lang w:eastAsia="zh-CN"/>
        </w:rPr>
        <w:t>联系人及联系电话：</w:t>
      </w:r>
      <w:r>
        <w:rPr>
          <w:rFonts w:hint="eastAsia" w:ascii="仿宋" w:hAnsi="仿宋" w:eastAsia="仿宋" w:cs="Arial"/>
          <w:color w:val="000000"/>
          <w:kern w:val="0"/>
          <w:sz w:val="32"/>
          <w:szCs w:val="32"/>
          <w:lang w:val="en-US" w:eastAsia="zh-CN"/>
        </w:rPr>
        <w:t>朱</w:t>
      </w:r>
      <w:r>
        <w:rPr>
          <w:rFonts w:hint="default" w:ascii="仿宋" w:hAnsi="仿宋" w:eastAsia="仿宋" w:cs="Arial"/>
          <w:color w:val="000000"/>
          <w:kern w:val="0"/>
          <w:sz w:val="32"/>
          <w:szCs w:val="32"/>
          <w:lang w:val="en-US" w:eastAsia="zh-CN"/>
        </w:rPr>
        <w:t>先生</w:t>
      </w:r>
      <w:r>
        <w:rPr>
          <w:rFonts w:hint="eastAsia" w:ascii="仿宋" w:hAnsi="仿宋" w:eastAsia="仿宋" w:cs="仿宋"/>
          <w:color w:val="000000"/>
          <w:sz w:val="32"/>
          <w:szCs w:val="32"/>
          <w:shd w:val="clear" w:color="auto" w:fill="FFFFFF"/>
          <w:lang w:val="en-US" w:eastAsia="zh-CN" w:bidi="ar"/>
        </w:rPr>
        <w:t>13937496990</w:t>
      </w:r>
    </w:p>
    <w:p>
      <w:pPr>
        <w:widowControl/>
        <w:shd w:val="clear" w:color="auto" w:fill="FFFFFF"/>
        <w:spacing w:before="227" w:beforeLines="0" w:line="360" w:lineRule="auto"/>
        <w:ind w:firstLine="641"/>
        <w:contextualSpacing/>
        <w:jc w:val="left"/>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lang w:eastAsia="zh-CN"/>
        </w:rPr>
        <w:t>集中采购机构：长葛市公共资源交易中心</w:t>
      </w:r>
    </w:p>
    <w:p>
      <w:pPr>
        <w:widowControl/>
        <w:shd w:val="clear" w:color="auto" w:fill="FFFFFF"/>
        <w:spacing w:before="227" w:beforeLines="0" w:line="360" w:lineRule="auto"/>
        <w:ind w:firstLine="641"/>
        <w:contextualSpacing/>
        <w:jc w:val="left"/>
        <w:rPr>
          <w:rFonts w:hint="eastAsia"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rPr>
        <w:t>地址：</w:t>
      </w:r>
      <w:r>
        <w:rPr>
          <w:rFonts w:hint="eastAsia" w:ascii="仿宋" w:hAnsi="仿宋" w:eastAsia="仿宋" w:cs="Arial"/>
          <w:color w:val="000000"/>
          <w:kern w:val="0"/>
          <w:sz w:val="32"/>
          <w:szCs w:val="32"/>
          <w:lang w:eastAsia="zh-CN"/>
        </w:rPr>
        <w:t>长葛市葛天大道东段商务区</w:t>
      </w:r>
      <w:r>
        <w:rPr>
          <w:rFonts w:hint="eastAsia" w:ascii="仿宋" w:hAnsi="仿宋" w:eastAsia="仿宋" w:cs="Arial"/>
          <w:color w:val="000000"/>
          <w:kern w:val="0"/>
          <w:sz w:val="32"/>
          <w:szCs w:val="32"/>
          <w:lang w:val="en-US" w:eastAsia="zh-CN"/>
        </w:rPr>
        <w:t>6号楼</w:t>
      </w:r>
    </w:p>
    <w:p>
      <w:pPr>
        <w:widowControl/>
        <w:shd w:val="clear" w:color="auto" w:fill="FFFFFF"/>
        <w:spacing w:before="227" w:beforeLines="0" w:line="360" w:lineRule="auto"/>
        <w:ind w:firstLine="641"/>
        <w:contextualSpacing/>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联系</w:t>
      </w:r>
      <w:r>
        <w:rPr>
          <w:rFonts w:hint="eastAsia" w:ascii="仿宋" w:hAnsi="仿宋" w:eastAsia="仿宋" w:cs="Arial"/>
          <w:color w:val="000000"/>
          <w:kern w:val="0"/>
          <w:sz w:val="32"/>
          <w:szCs w:val="32"/>
          <w:lang w:eastAsia="zh-CN"/>
        </w:rPr>
        <w:t>电话</w:t>
      </w:r>
      <w:r>
        <w:rPr>
          <w:rFonts w:hint="eastAsia" w:ascii="仿宋" w:hAnsi="仿宋" w:eastAsia="仿宋" w:cs="Arial"/>
          <w:color w:val="000000"/>
          <w:kern w:val="0"/>
          <w:sz w:val="32"/>
          <w:szCs w:val="32"/>
        </w:rPr>
        <w:t>：  0374-</w:t>
      </w:r>
      <w:r>
        <w:rPr>
          <w:rFonts w:hint="eastAsia" w:ascii="仿宋" w:hAnsi="仿宋" w:eastAsia="仿宋" w:cs="Arial"/>
          <w:color w:val="000000"/>
          <w:kern w:val="0"/>
          <w:sz w:val="32"/>
          <w:szCs w:val="32"/>
          <w:lang w:val="en-US" w:eastAsia="zh-CN"/>
        </w:rPr>
        <w:t>6189667</w:t>
      </w:r>
      <w:r>
        <w:rPr>
          <w:rFonts w:hint="eastAsia" w:ascii="仿宋" w:hAnsi="仿宋" w:eastAsia="仿宋" w:cs="Arial"/>
          <w:color w:val="000000"/>
          <w:kern w:val="0"/>
          <w:sz w:val="32"/>
          <w:szCs w:val="32"/>
        </w:rPr>
        <w:t xml:space="preserve"> </w:t>
      </w:r>
      <w:r>
        <w:rPr>
          <w:rFonts w:hint="eastAsia" w:ascii="仿宋" w:hAnsi="仿宋" w:eastAsia="仿宋" w:cs="Arial"/>
          <w:color w:val="000000"/>
          <w:kern w:val="0"/>
          <w:sz w:val="32"/>
          <w:szCs w:val="32"/>
          <w:lang w:val="en-US" w:eastAsia="zh-CN"/>
        </w:rPr>
        <w:t xml:space="preserve">        </w:t>
      </w:r>
    </w:p>
    <w:p>
      <w:pPr>
        <w:widowControl/>
        <w:shd w:val="clear" w:color="auto" w:fill="FFFFFF"/>
        <w:spacing w:before="227" w:line="360" w:lineRule="auto"/>
        <w:ind w:firstLine="3520" w:firstLineChars="1100"/>
        <w:contextualSpacing/>
        <w:jc w:val="left"/>
        <w:rPr>
          <w:rFonts w:hint="eastAsia" w:ascii="仿宋" w:hAnsi="仿宋" w:eastAsia="仿宋" w:cs="Arial"/>
          <w:color w:val="000000"/>
          <w:kern w:val="0"/>
          <w:sz w:val="32"/>
          <w:szCs w:val="32"/>
        </w:rPr>
      </w:pPr>
    </w:p>
    <w:p>
      <w:pPr>
        <w:pStyle w:val="9"/>
        <w:rPr>
          <w:rFonts w:ascii="仿宋" w:hAnsi="仿宋" w:eastAsia="仿宋" w:cs="Arial"/>
          <w:color w:val="000000"/>
          <w:kern w:val="0"/>
          <w:sz w:val="32"/>
          <w:szCs w:val="32"/>
        </w:rPr>
      </w:pPr>
    </w:p>
    <w:p>
      <w:pPr>
        <w:pStyle w:val="9"/>
        <w:rPr>
          <w:rFonts w:ascii="仿宋" w:hAnsi="仿宋" w:eastAsia="仿宋" w:cs="Arial"/>
          <w:color w:val="000000"/>
          <w:kern w:val="0"/>
          <w:sz w:val="32"/>
          <w:szCs w:val="32"/>
        </w:rPr>
      </w:pPr>
    </w:p>
    <w:p>
      <w:pPr>
        <w:pStyle w:val="9"/>
        <w:rPr>
          <w:rFonts w:ascii="仿宋" w:hAnsi="仿宋" w:eastAsia="仿宋" w:cs="Arial"/>
          <w:color w:val="000000"/>
          <w:kern w:val="0"/>
          <w:sz w:val="32"/>
          <w:szCs w:val="32"/>
        </w:rPr>
      </w:pPr>
    </w:p>
    <w:p>
      <w:pPr>
        <w:widowControl/>
        <w:shd w:val="clear" w:color="auto" w:fill="FFFFFF"/>
        <w:spacing w:before="227" w:line="360" w:lineRule="auto"/>
        <w:contextualSpacing/>
        <w:jc w:val="left"/>
      </w:pPr>
    </w:p>
    <w:sectPr>
      <w:pgSz w:w="11906" w:h="16838"/>
      <w:pgMar w:top="2098" w:right="1474" w:bottom="192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F88D2"/>
    <w:multiLevelType w:val="singleLevel"/>
    <w:tmpl w:val="7E2F88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61ABD"/>
    <w:rsid w:val="119D1876"/>
    <w:rsid w:val="15C012D2"/>
    <w:rsid w:val="19827C99"/>
    <w:rsid w:val="211D5B5B"/>
    <w:rsid w:val="22FF0EFE"/>
    <w:rsid w:val="254E0337"/>
    <w:rsid w:val="25BF6B5D"/>
    <w:rsid w:val="2F957C6F"/>
    <w:rsid w:val="391B11F3"/>
    <w:rsid w:val="39F2684B"/>
    <w:rsid w:val="3D374F22"/>
    <w:rsid w:val="4EA71193"/>
    <w:rsid w:val="550264A1"/>
    <w:rsid w:val="56FE5181"/>
    <w:rsid w:val="676F1C8A"/>
    <w:rsid w:val="6C804F58"/>
    <w:rsid w:val="7024644F"/>
    <w:rsid w:val="72014D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wordWrap w:val="0"/>
      <w:spacing w:before="0" w:after="160" w:line="240" w:lineRule="auto"/>
      <w:ind w:left="0"/>
      <w:jc w:val="both"/>
    </w:pPr>
    <w:rPr>
      <w:sz w:val="28"/>
    </w:rPr>
  </w:style>
  <w:style w:type="character" w:default="1" w:styleId="11">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pPr>
      <w:adjustRightInd w:val="0"/>
      <w:spacing w:after="120" w:line="360" w:lineRule="atLeast"/>
      <w:jc w:val="left"/>
      <w:textAlignment w:val="baseline"/>
    </w:pPr>
    <w:rPr>
      <w:rFonts w:ascii="Times New Roman" w:hAnsi="Times New Roman" w:cs="Times New Roman"/>
      <w:kern w:val="0"/>
      <w:sz w:val="24"/>
      <w:szCs w:val="20"/>
    </w:rPr>
  </w:style>
  <w:style w:type="paragraph" w:styleId="4">
    <w:name w:val="Balloon Text"/>
    <w:basedOn w:val="1"/>
    <w:link w:val="20"/>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unhideWhenUsed/>
    <w:qFormat/>
    <w:uiPriority w:val="99"/>
    <w:pPr>
      <w:ind w:firstLine="420" w:firstLineChars="100"/>
    </w:pPr>
  </w:style>
  <w:style w:type="character" w:styleId="12">
    <w:name w:val="Strong"/>
    <w:basedOn w:val="11"/>
    <w:qFormat/>
    <w:uiPriority w:val="22"/>
    <w:rPr>
      <w:b/>
      <w:bCs/>
    </w:rPr>
  </w:style>
  <w:style w:type="character" w:styleId="13">
    <w:name w:val="FollowedHyperlink"/>
    <w:basedOn w:val="11"/>
    <w:unhideWhenUsed/>
    <w:qFormat/>
    <w:uiPriority w:val="99"/>
    <w:rPr>
      <w:color w:val="000000"/>
      <w:u w:val="none"/>
    </w:rPr>
  </w:style>
  <w:style w:type="character" w:styleId="14">
    <w:name w:val="Emphasis"/>
    <w:basedOn w:val="11"/>
    <w:qFormat/>
    <w:uiPriority w:val="20"/>
    <w:rPr>
      <w:i/>
      <w:iCs/>
    </w:rPr>
  </w:style>
  <w:style w:type="character" w:styleId="15">
    <w:name w:val="Hyperlink"/>
    <w:basedOn w:val="11"/>
    <w:unhideWhenUsed/>
    <w:qFormat/>
    <w:uiPriority w:val="99"/>
    <w:rPr>
      <w:color w:val="000000"/>
      <w:u w:val="none"/>
    </w:rPr>
  </w:style>
  <w:style w:type="paragraph" w:customStyle="1" w:styleId="16">
    <w:name w:val="List Paragraph"/>
    <w:basedOn w:val="1"/>
    <w:qFormat/>
    <w:uiPriority w:val="34"/>
    <w:pPr>
      <w:ind w:firstLine="420" w:firstLineChars="200"/>
    </w:pPr>
  </w:style>
  <w:style w:type="paragraph" w:customStyle="1" w:styleId="17">
    <w:name w:val="paragraphindent"/>
    <w:basedOn w:val="1"/>
    <w:qFormat/>
    <w:uiPriority w:val="0"/>
    <w:pPr>
      <w:widowControl/>
      <w:spacing w:before="75" w:after="75"/>
      <w:jc w:val="left"/>
    </w:pPr>
    <w:rPr>
      <w:rFonts w:ascii="宋体" w:hAnsi="宋体" w:eastAsia="宋体" w:cs="宋体"/>
      <w:kern w:val="0"/>
      <w:sz w:val="24"/>
      <w:szCs w:val="24"/>
    </w:rPr>
  </w:style>
  <w:style w:type="character" w:customStyle="1" w:styleId="18">
    <w:name w:val="页眉 Char Char"/>
    <w:basedOn w:val="11"/>
    <w:link w:val="6"/>
    <w:qFormat/>
    <w:uiPriority w:val="99"/>
    <w:rPr>
      <w:sz w:val="18"/>
      <w:szCs w:val="18"/>
    </w:rPr>
  </w:style>
  <w:style w:type="character" w:customStyle="1" w:styleId="19">
    <w:name w:val="页脚 Char Char"/>
    <w:basedOn w:val="11"/>
    <w:link w:val="5"/>
    <w:qFormat/>
    <w:uiPriority w:val="99"/>
    <w:rPr>
      <w:sz w:val="18"/>
      <w:szCs w:val="18"/>
    </w:rPr>
  </w:style>
  <w:style w:type="character" w:customStyle="1" w:styleId="20">
    <w:name w:val="批注框文本 Char Char"/>
    <w:basedOn w:val="11"/>
    <w:link w:val="4"/>
    <w:qFormat/>
    <w:uiPriority w:val="99"/>
    <w:rPr>
      <w:sz w:val="18"/>
      <w:szCs w:val="18"/>
    </w:rPr>
  </w:style>
  <w:style w:type="character" w:customStyle="1" w:styleId="21">
    <w:name w:val="green"/>
    <w:basedOn w:val="11"/>
    <w:qFormat/>
    <w:uiPriority w:val="0"/>
    <w:rPr>
      <w:color w:val="66AE00"/>
      <w:sz w:val="18"/>
      <w:szCs w:val="18"/>
    </w:rPr>
  </w:style>
  <w:style w:type="character" w:customStyle="1" w:styleId="22">
    <w:name w:val="green1"/>
    <w:basedOn w:val="11"/>
    <w:qFormat/>
    <w:uiPriority w:val="0"/>
    <w:rPr>
      <w:color w:val="66AE00"/>
      <w:sz w:val="18"/>
      <w:szCs w:val="18"/>
    </w:rPr>
  </w:style>
  <w:style w:type="character" w:customStyle="1" w:styleId="23">
    <w:name w:val="red"/>
    <w:basedOn w:val="11"/>
    <w:qFormat/>
    <w:uiPriority w:val="0"/>
    <w:rPr>
      <w:color w:val="FF0000"/>
      <w:sz w:val="18"/>
      <w:szCs w:val="18"/>
    </w:rPr>
  </w:style>
  <w:style w:type="character" w:customStyle="1" w:styleId="24">
    <w:name w:val="red1"/>
    <w:basedOn w:val="11"/>
    <w:qFormat/>
    <w:uiPriority w:val="0"/>
    <w:rPr>
      <w:color w:val="FF0000"/>
      <w:sz w:val="18"/>
      <w:szCs w:val="18"/>
    </w:rPr>
  </w:style>
  <w:style w:type="character" w:customStyle="1" w:styleId="25">
    <w:name w:val="red2"/>
    <w:basedOn w:val="11"/>
    <w:qFormat/>
    <w:uiPriority w:val="0"/>
    <w:rPr>
      <w:color w:val="FF0000"/>
    </w:rPr>
  </w:style>
  <w:style w:type="character" w:customStyle="1" w:styleId="26">
    <w:name w:val="hover25"/>
    <w:basedOn w:val="11"/>
    <w:qFormat/>
    <w:uiPriority w:val="0"/>
  </w:style>
  <w:style w:type="character" w:customStyle="1" w:styleId="27">
    <w:name w:val="gb-jt"/>
    <w:basedOn w:val="11"/>
    <w:qFormat/>
    <w:uiPriority w:val="0"/>
  </w:style>
  <w:style w:type="character" w:customStyle="1" w:styleId="28">
    <w:name w:val="blue"/>
    <w:basedOn w:val="11"/>
    <w:qFormat/>
    <w:uiPriority w:val="0"/>
    <w:rPr>
      <w:color w:val="0371C6"/>
      <w:sz w:val="21"/>
      <w:szCs w:val="21"/>
    </w:rPr>
  </w:style>
  <w:style w:type="character" w:customStyle="1" w:styleId="29">
    <w:name w:val="right"/>
    <w:basedOn w:val="11"/>
    <w:qFormat/>
    <w:uiPriority w:val="0"/>
    <w:rPr>
      <w:color w:val="999999"/>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331</Words>
  <Characters>1893</Characters>
  <Lines>15</Lines>
  <Paragraphs>4</Paragraphs>
  <TotalTime>8</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2017-10-12T03:31:00Z</dcterms:created>
  <dc:creator>许昌市公共资源交易中心:孟莉</dc:creator>
  <cp:lastModifiedBy>长葛市公共资源交易中心:周幸</cp:lastModifiedBy>
  <cp:lastPrinted>2017-11-21T03:09:00Z</cp:lastPrinted>
  <dcterms:modified xsi:type="dcterms:W3CDTF">2019-03-25T07:13:34Z</dcterms:modified>
  <dc:title>长招采公字[2017]xx号长葛市xxxxxxxx项目评审结果公告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