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lang w:eastAsia="zh-CN"/>
        </w:rPr>
        <w:t>许昌市森林病虫害防治检疫站“2019年飞机防治美国白蛾、杨树食叶害虫服务”项</w:t>
      </w:r>
      <w:r>
        <w:rPr>
          <w:rFonts w:hint="eastAsia" w:asciiTheme="majorEastAsia" w:hAnsiTheme="majorEastAsia" w:eastAsiaTheme="majorEastAsia" w:cstheme="majorEastAsia"/>
          <w:b/>
          <w:bCs/>
          <w:color w:val="000000"/>
          <w:sz w:val="44"/>
          <w:szCs w:val="44"/>
        </w:rPr>
        <w:t>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hint="eastAsia"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项目编号： ZFCG-G2019</w:t>
      </w:r>
      <w:r>
        <w:rPr>
          <w:rFonts w:hint="eastAsia" w:asciiTheme="majorEastAsia" w:hAnsiTheme="majorEastAsia" w:eastAsiaTheme="majorEastAsia" w:cstheme="majorEastAsia"/>
          <w:b/>
          <w:bCs/>
          <w:color w:val="000000"/>
          <w:sz w:val="36"/>
          <w:szCs w:val="36"/>
          <w:lang w:val="en-US" w:eastAsia="zh-CN"/>
        </w:rPr>
        <w:t>037</w:t>
      </w:r>
      <w:r>
        <w:rPr>
          <w:rFonts w:hint="eastAsia" w:asciiTheme="majorEastAsia" w:hAnsiTheme="majorEastAsia" w:eastAsiaTheme="majorEastAsia" w:cstheme="majorEastAsia"/>
          <w:b/>
          <w:bCs/>
          <w:color w:val="000000"/>
          <w:sz w:val="36"/>
          <w:szCs w:val="36"/>
        </w:rPr>
        <w:t>号</w:t>
      </w: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eastAsia="zh-CN"/>
        </w:rPr>
        <w:t>许昌市森林病虫害防治检疫站</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三</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二十</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18"/>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18"/>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18"/>
        <w:widowControl/>
        <w:shd w:val="clear" w:color="auto" w:fill="FFFFFF"/>
        <w:spacing w:line="360" w:lineRule="auto"/>
        <w:ind w:firstLine="472" w:firstLineChars="196"/>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w:t>
      </w:r>
      <w:r>
        <w:rPr>
          <w:rFonts w:hint="eastAsia" w:cs="仿宋_GB2312" w:asciiTheme="minorEastAsia" w:hAnsiTheme="minorEastAsia" w:eastAsiaTheme="minorEastAsia"/>
          <w:color w:val="000000"/>
          <w:shd w:val="clear" w:color="auto" w:fill="FFFFFF"/>
          <w:lang w:eastAsia="zh-CN"/>
        </w:rPr>
        <w:t>2019年飞机防治美国白蛾、杨树食叶害虫服务</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（二）项目编号：ZFCG-G2019</w:t>
      </w:r>
      <w:r>
        <w:rPr>
          <w:rFonts w:hint="eastAsia" w:cs="仿宋_GB2312" w:asciiTheme="minorEastAsia" w:hAnsiTheme="minorEastAsia" w:eastAsiaTheme="minorEastAsia"/>
          <w:color w:val="000000"/>
          <w:shd w:val="clear" w:color="auto" w:fill="FFFFFF"/>
          <w:lang w:val="en-US" w:eastAsia="zh-CN"/>
        </w:rPr>
        <w:t>037</w:t>
      </w:r>
      <w:r>
        <w:rPr>
          <w:rFonts w:hint="eastAsia" w:cs="仿宋_GB2312" w:asciiTheme="minorEastAsia" w:hAnsiTheme="minorEastAsia" w:eastAsiaTheme="minorEastAsia"/>
          <w:color w:val="000000"/>
          <w:shd w:val="clear" w:color="auto" w:fill="FFFFFF"/>
        </w:rPr>
        <w:t xml:space="preserve">号    </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（三）采购方式：公开招标</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rPr>
        <w:t>（四）采购需求：许昌市2019年飞机防治美国白蛾、杨树食叶害虫</w:t>
      </w:r>
      <w:r>
        <w:rPr>
          <w:rFonts w:hint="eastAsia" w:cs="仿宋_GB2312" w:asciiTheme="minorEastAsia" w:hAnsiTheme="minorEastAsia" w:eastAsiaTheme="minorEastAsia"/>
          <w:color w:val="000000"/>
          <w:shd w:val="clear" w:color="auto" w:fill="FFFFFF"/>
          <w:lang w:eastAsia="zh-CN"/>
        </w:rPr>
        <w:t>服务</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（五）预算金额（最高限价）：71.25万元；</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（六）交付（服务、完工）时间 ：签订合同后150天</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（七）交付（服务、完工）地点：许昌市各县（市、区）</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（八）分包：不允许。</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、支持</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18"/>
        <w:widowControl/>
        <w:shd w:val="clear" w:color="auto" w:fill="FFFFFF"/>
        <w:spacing w:line="360" w:lineRule="auto"/>
        <w:ind w:firstLine="420"/>
        <w:contextualSpacing/>
        <w:jc w:val="left"/>
        <w:rPr>
          <w:rFonts w:cs="宋体" w:asciiTheme="minorEastAsia" w:hAnsiTheme="minorEastAsia"/>
          <w:color w:val="000000"/>
          <w:kern w:val="0"/>
        </w:rPr>
      </w:pPr>
      <w:r>
        <w:rPr>
          <w:rFonts w:hint="eastAsia" w:cs="宋体" w:asciiTheme="minorEastAsia" w:hAnsiTheme="minorEastAsia"/>
          <w:color w:val="000000"/>
          <w:kern w:val="0"/>
          <w:lang w:val="zh-CN"/>
        </w:rPr>
        <w:t>（一）具备《政府采购法》第二十二条第一款规定条件并提供相关材料。</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FF0000"/>
          <w:shd w:val="clear" w:color="auto" w:fill="FFFFFF"/>
          <w:lang w:eastAsia="zh-CN"/>
        </w:rPr>
      </w:pPr>
      <w:r>
        <w:rPr>
          <w:rFonts w:hint="eastAsia" w:cs="宋体" w:asciiTheme="minorEastAsia" w:hAnsiTheme="minorEastAsia"/>
          <w:color w:val="000000"/>
          <w:kern w:val="0"/>
        </w:rPr>
        <w:t>（</w:t>
      </w:r>
      <w:r>
        <w:rPr>
          <w:rFonts w:hint="eastAsia" w:cs="宋体" w:asciiTheme="minorEastAsia" w:hAnsiTheme="minorEastAsia"/>
          <w:color w:val="000000"/>
          <w:kern w:val="0"/>
          <w:lang w:val="zh-CN"/>
        </w:rPr>
        <w:t>二）未被列入“信用中国”网站(www.creditchina.gov.cn)失信被执行人、重大税收违法案件当事人名单、政府采购严重违法失信名单的投标人；“中国政府采购网”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cs="宋体" w:asciiTheme="minorEastAsia" w:hAnsiTheme="minorEastAsia"/>
          <w:color w:val="000000"/>
          <w:kern w:val="0"/>
          <w:lang w:val="zh-CN" w:eastAsia="zh-CN"/>
        </w:rPr>
        <w:t>。</w:t>
      </w:r>
    </w:p>
    <w:p>
      <w:pPr>
        <w:pStyle w:val="18"/>
        <w:widowControl/>
        <w:shd w:val="clear" w:color="auto" w:fill="FFFFFF"/>
        <w:spacing w:line="360" w:lineRule="auto"/>
        <w:ind w:firstLine="420"/>
        <w:contextualSpacing/>
        <w:jc w:val="left"/>
        <w:rPr>
          <w:rFonts w:cs="宋体" w:asciiTheme="minorEastAsia" w:hAnsiTheme="minorEastAsia"/>
          <w:color w:val="000000"/>
          <w:kern w:val="0"/>
          <w:lang w:val="zh-CN"/>
        </w:rPr>
      </w:pPr>
      <w:r>
        <w:rPr>
          <w:rFonts w:hint="eastAsia" w:cs="宋体" w:asciiTheme="minorEastAsia" w:hAnsiTheme="minorEastAsia"/>
          <w:color w:val="000000"/>
          <w:kern w:val="0"/>
          <w:lang w:val="zh-CN"/>
        </w:rPr>
        <w:t>（三）本次招标不接受联合体投标。</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（一）投标截止及开标时间：2019年</w:t>
      </w:r>
      <w:r>
        <w:rPr>
          <w:rFonts w:hint="eastAsia" w:cs="仿宋_GB2312" w:asciiTheme="minorEastAsia" w:hAnsiTheme="minorEastAsia" w:eastAsiaTheme="minorEastAsia"/>
          <w:color w:val="000000"/>
          <w:lang w:val="en-US" w:eastAsia="zh-CN"/>
        </w:rPr>
        <w:t>4</w:t>
      </w:r>
      <w:r>
        <w:rPr>
          <w:rFonts w:hint="eastAsia" w:cs="仿宋_GB2312" w:asciiTheme="minorEastAsia" w:hAnsiTheme="minorEastAsia" w:eastAsiaTheme="minorEastAsia"/>
          <w:color w:val="000000"/>
        </w:rPr>
        <w:t>月</w:t>
      </w:r>
      <w:r>
        <w:rPr>
          <w:rFonts w:hint="eastAsia" w:cs="仿宋_GB2312" w:asciiTheme="minorEastAsia" w:hAnsiTheme="minorEastAsia" w:eastAsiaTheme="minorEastAsia"/>
          <w:color w:val="000000"/>
          <w:lang w:val="en-US" w:eastAsia="zh-CN"/>
        </w:rPr>
        <w:t>12</w:t>
      </w:r>
      <w:r>
        <w:rPr>
          <w:rFonts w:hint="eastAsia" w:cs="仿宋_GB2312" w:asciiTheme="minorEastAsia" w:hAnsiTheme="minorEastAsia" w:eastAsiaTheme="minorEastAsia"/>
          <w:color w:val="000000"/>
        </w:rPr>
        <w:t>日</w:t>
      </w:r>
      <w:r>
        <w:rPr>
          <w:rFonts w:hint="eastAsia" w:cs="仿宋_GB2312" w:asciiTheme="minorEastAsia" w:hAnsiTheme="minorEastAsia" w:eastAsiaTheme="minorEastAsia"/>
          <w:color w:val="000000"/>
          <w:lang w:val="en-US" w:eastAsia="zh-CN"/>
        </w:rPr>
        <w:t>9</w:t>
      </w:r>
      <w:r>
        <w:rPr>
          <w:rFonts w:hint="eastAsia" w:cs="仿宋_GB2312" w:asciiTheme="minorEastAsia" w:hAnsiTheme="minorEastAsia" w:eastAsiaTheme="minorEastAsia"/>
          <w:color w:val="000000"/>
        </w:rPr>
        <w:t>时</w:t>
      </w:r>
      <w:r>
        <w:rPr>
          <w:rFonts w:hint="eastAsia" w:cs="仿宋_GB2312" w:asciiTheme="minorEastAsia" w:hAnsiTheme="minorEastAsia" w:eastAsiaTheme="minorEastAsia"/>
          <w:color w:val="000000"/>
          <w:lang w:val="en-US" w:eastAsia="zh-CN"/>
        </w:rPr>
        <w:t>30</w:t>
      </w:r>
      <w:r>
        <w:rPr>
          <w:rFonts w:hint="eastAsia" w:cs="仿宋_GB2312" w:asciiTheme="minorEastAsia" w:hAnsiTheme="minorEastAsia" w:eastAsiaTheme="minorEastAsia"/>
          <w:color w:val="000000"/>
        </w:rPr>
        <w:t>分（北京时间），逾期提交或不符合规定的投标文件不予接受。</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w:t>
      </w:r>
      <w:r>
        <w:rPr>
          <w:rFonts w:cs="Arial" w:asciiTheme="minorEastAsia" w:hAnsiTheme="minorEastAsia" w:eastAsiaTheme="minorEastAsia"/>
          <w:color w:val="000000"/>
        </w:rPr>
        <w:t>龙兴路与竹林路交汇处</w:t>
      </w:r>
      <w:r>
        <w:rPr>
          <w:rFonts w:hint="eastAsia" w:cs="仿宋_GB2312" w:asciiTheme="minorEastAsia" w:hAnsiTheme="minorEastAsia" w:eastAsiaTheme="minorEastAsia"/>
          <w:color w:val="000000"/>
        </w:rPr>
        <w:t>公共资源大厦）三楼开标</w:t>
      </w:r>
      <w:r>
        <w:rPr>
          <w:rFonts w:hint="eastAsia" w:cs="仿宋_GB2312" w:asciiTheme="minorEastAsia" w:hAnsiTheme="minorEastAsia" w:eastAsiaTheme="minorEastAsia"/>
          <w:color w:val="000000"/>
          <w:lang w:eastAsia="zh-CN"/>
        </w:rPr>
        <w:t>三</w:t>
      </w:r>
      <w:r>
        <w:rPr>
          <w:rFonts w:hint="eastAsia" w:cs="仿宋_GB2312" w:asciiTheme="minorEastAsia" w:hAnsiTheme="minorEastAsia" w:eastAsiaTheme="minorEastAsia"/>
          <w:color w:val="000000"/>
        </w:rPr>
        <w:t>室。</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在投标截止时间（开标时间）前通过《全国公共资源交易平台(河南省▪许昌市)》公共资源交易系统成功上传。</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2、纸质投标文件（正本1份、副本1份）和备份文件1份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4"/>
        <w:shd w:val="clear" w:color="auto" w:fill="FFFFFF"/>
        <w:spacing w:after="156"/>
        <w:ind w:left="-6" w:firstLine="482" w:firstLineChars="200"/>
        <w:jc w:val="both"/>
        <w:rPr>
          <w:rFonts w:cs="黑体" w:asciiTheme="minorEastAsia" w:hAnsiTheme="minorEastAsia" w:eastAsiaTheme="minorEastAsia"/>
          <w:b w:val="0"/>
          <w:bCs/>
          <w:shd w:val="clear" w:color="auto" w:fill="FFFFFF"/>
        </w:rPr>
      </w:pPr>
      <w:r>
        <w:rPr>
          <w:rFonts w:hint="eastAsia" w:cs="黑体" w:asciiTheme="minorEastAsia" w:hAnsiTheme="minorEastAsia" w:eastAsiaTheme="minorEastAsia"/>
          <w:bCs/>
          <w:shd w:val="clear" w:color="auto" w:fill="FFFFFF"/>
        </w:rPr>
        <w:t>六、本次招标公告同时在《中国政府采购网》、《河南省政府采购网》、《许昌市政府采购网》、《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黑体" w:asciiTheme="minorEastAsia" w:hAnsiTheme="minorEastAsia" w:eastAsiaTheme="minorEastAsia"/>
          <w:bCs/>
          <w:shd w:val="clear" w:color="auto" w:fill="FFFFFF"/>
        </w:rPr>
        <w:t>中国·许昌许昌市政府网</w:t>
      </w:r>
      <w:r>
        <w:rPr>
          <w:rFonts w:cs="黑体" w:asciiTheme="minorEastAsia" w:hAnsiTheme="minorEastAsia" w:eastAsiaTheme="minorEastAsia"/>
          <w:bCs/>
          <w:shd w:val="clear" w:color="auto" w:fill="FFFFFF"/>
        </w:rPr>
        <w:fldChar w:fldCharType="end"/>
      </w:r>
      <w:r>
        <w:rPr>
          <w:rFonts w:hint="eastAsia" w:cs="黑体" w:asciiTheme="minorEastAsia" w:hAnsiTheme="minorEastAsia" w:eastAsiaTheme="minorEastAsia"/>
          <w:bCs/>
          <w:shd w:val="clear" w:color="auto" w:fill="FFFFFF"/>
        </w:rPr>
        <w:t>》、《全国公共资源交易平台（河南省·许昌市）》发布。</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自本公告发布之日起</w:t>
      </w:r>
      <w:r>
        <w:rPr>
          <w:rFonts w:cs="仿宋_GB2312" w:asciiTheme="minorEastAsia" w:hAnsiTheme="minorEastAsia" w:eastAsiaTheme="minorEastAsia"/>
          <w:color w:val="000000"/>
        </w:rPr>
        <w:t>5</w:t>
      </w:r>
      <w:r>
        <w:rPr>
          <w:rFonts w:hint="eastAsia" w:cs="仿宋_GB2312" w:asciiTheme="minorEastAsia" w:hAnsiTheme="minorEastAsia" w:eastAsiaTheme="minorEastAsia"/>
          <w:color w:val="000000"/>
        </w:rPr>
        <w:t>个工作日。</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采购人：</w:t>
      </w:r>
      <w:r>
        <w:rPr>
          <w:rFonts w:hint="eastAsia" w:cs="仿宋_GB2312" w:asciiTheme="minorEastAsia" w:hAnsiTheme="minorEastAsia" w:eastAsiaTheme="minorEastAsia"/>
          <w:color w:val="000000"/>
          <w:lang w:eastAsia="zh-CN"/>
        </w:rPr>
        <w:t>许昌市森林病虫害防治检疫站</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址：许昌市文峰路2003号</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联系人：董文辉               联系电话：13938916126</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代理机构：许昌市政府采购中心</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址：许昌市龙兴路与竹林路交汇处公共资源大厦</w:t>
      </w:r>
    </w:p>
    <w:p>
      <w:pPr>
        <w:pStyle w:val="18"/>
        <w:widowControl/>
        <w:shd w:val="clear" w:color="auto" w:fill="FFFFFF"/>
        <w:spacing w:line="360" w:lineRule="auto"/>
        <w:ind w:firstLine="420"/>
        <w:contextualSpacing/>
        <w:jc w:val="left"/>
        <w:rPr>
          <w:rFonts w:hint="default" w:cs="仿宋_GB2312" w:asciiTheme="minorEastAsia" w:hAnsiTheme="minorEastAsia" w:eastAsiaTheme="minorEastAsia"/>
          <w:color w:val="000000"/>
          <w:lang w:val="en-US" w:eastAsia="zh-CN"/>
        </w:rPr>
      </w:pPr>
      <w:r>
        <w:rPr>
          <w:rFonts w:hint="eastAsia" w:cs="仿宋_GB2312" w:asciiTheme="minorEastAsia" w:hAnsiTheme="minorEastAsia" w:eastAsiaTheme="minorEastAsia"/>
          <w:color w:val="000000"/>
        </w:rPr>
        <w:t>联系人：</w:t>
      </w:r>
      <w:r>
        <w:rPr>
          <w:rFonts w:hint="eastAsia" w:cs="仿宋_GB2312" w:asciiTheme="minorEastAsia" w:hAnsiTheme="minorEastAsia" w:eastAsiaTheme="minorEastAsia"/>
          <w:color w:val="000000"/>
          <w:lang w:eastAsia="zh-CN"/>
        </w:rPr>
        <w:t>杨</w:t>
      </w:r>
      <w:r>
        <w:rPr>
          <w:rFonts w:hint="eastAsia" w:cs="仿宋_GB2312" w:asciiTheme="minorEastAsia" w:hAnsiTheme="minorEastAsia" w:eastAsiaTheme="minorEastAsia"/>
          <w:color w:val="000000"/>
        </w:rPr>
        <w:t>女士              联系电话：0374-296</w:t>
      </w:r>
      <w:r>
        <w:rPr>
          <w:rFonts w:hint="eastAsia" w:cs="仿宋_GB2312" w:asciiTheme="minorEastAsia" w:hAnsiTheme="minorEastAsia" w:eastAsiaTheme="minorEastAsia"/>
          <w:color w:val="000000"/>
          <w:lang w:val="en-US" w:eastAsia="zh-CN"/>
        </w:rPr>
        <w:t>2805</w:t>
      </w:r>
    </w:p>
    <w:p>
      <w:pPr>
        <w:rPr>
          <w:rFonts w:asciiTheme="minorEastAsia" w:hAnsiTheme="minorEastAsia"/>
          <w:sz w:val="24"/>
          <w:szCs w:val="24"/>
        </w:rPr>
      </w:pPr>
    </w:p>
    <w:p>
      <w:pPr>
        <w:rPr>
          <w:rFonts w:cs="仿宋_GB2312" w:asciiTheme="minorEastAsia" w:hAnsiTheme="minorEastAsia"/>
          <w:color w:val="000000"/>
          <w:sz w:val="24"/>
          <w:szCs w:val="24"/>
          <w:shd w:val="clear" w:color="auto" w:fill="FFFFFF"/>
        </w:rPr>
      </w:pPr>
    </w:p>
    <w:p>
      <w:pPr>
        <w:pStyle w:val="18"/>
        <w:widowControl/>
        <w:shd w:val="clear" w:color="auto" w:fill="FFFFFF"/>
        <w:spacing w:line="360" w:lineRule="auto"/>
        <w:ind w:firstLine="4800" w:firstLineChars="2000"/>
        <w:contextualSpacing/>
        <w:jc w:val="left"/>
        <w:rPr>
          <w:rFonts w:hint="eastAsia" w:cs="仿宋_GB2312" w:asciiTheme="minorEastAsia" w:hAnsiTheme="minorEastAsia" w:eastAsiaTheme="minorEastAsia"/>
          <w:color w:val="000000"/>
          <w:lang w:eastAsia="zh-CN"/>
        </w:rPr>
      </w:pPr>
      <w:r>
        <w:rPr>
          <w:rFonts w:hint="eastAsia" w:cs="仿宋_GB2312" w:asciiTheme="minorEastAsia" w:hAnsiTheme="minorEastAsia" w:eastAsiaTheme="minorEastAsia"/>
          <w:color w:val="000000"/>
          <w:lang w:eastAsia="zh-CN"/>
        </w:rPr>
        <w:t>许昌市森林病虫害防治检疫站</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000000"/>
          <w:lang w:eastAsia="zh-CN"/>
        </w:rPr>
      </w:pPr>
      <w:r>
        <w:rPr>
          <w:rFonts w:hint="eastAsia" w:cs="仿宋_GB2312" w:asciiTheme="minorEastAsia" w:hAnsiTheme="minorEastAsia" w:eastAsiaTheme="minorEastAsia"/>
          <w:color w:val="000000"/>
          <w:lang w:eastAsia="zh-CN"/>
        </w:rPr>
        <w:t xml:space="preserve">                            </w:t>
      </w:r>
      <w:r>
        <w:rPr>
          <w:rFonts w:hint="eastAsia" w:cs="仿宋_GB2312" w:asciiTheme="minorEastAsia" w:hAnsiTheme="minorEastAsia" w:eastAsiaTheme="minorEastAsia"/>
          <w:color w:val="000000"/>
          <w:lang w:val="en-US" w:eastAsia="zh-CN"/>
        </w:rPr>
        <w:t xml:space="preserve">           </w:t>
      </w:r>
      <w:r>
        <w:rPr>
          <w:rFonts w:hint="eastAsia" w:cs="仿宋_GB2312" w:asciiTheme="minorEastAsia" w:hAnsiTheme="minorEastAsia" w:eastAsiaTheme="minorEastAsia"/>
          <w:color w:val="000000"/>
          <w:lang w:eastAsia="zh-CN"/>
        </w:rPr>
        <w:t xml:space="preserve">  二〇一九年三月二十日</w:t>
      </w: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19"/>
        <w:ind w:firstLine="320"/>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5"/>
          <w:rFonts w:hAnsi="宋体"/>
          <w:sz w:val="24"/>
          <w:szCs w:val="24"/>
        </w:rPr>
        <w:t>http://221.14.6.70:8088/ggzy/</w:t>
      </w:r>
      <w:r>
        <w:rPr>
          <w:rStyle w:val="25"/>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5"/>
          <w:rFonts w:hAnsi="宋体"/>
          <w:sz w:val="24"/>
          <w:szCs w:val="24"/>
        </w:rPr>
        <w:t>http://221.14.6.70:8088/ggzy/</w:t>
      </w:r>
      <w:r>
        <w:rPr>
          <w:rStyle w:val="25"/>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tabs>
          <w:tab w:val="left" w:pos="7095"/>
        </w:tabs>
        <w:spacing w:line="360" w:lineRule="auto"/>
        <w:ind w:firstLine="480" w:firstLineChars="200"/>
        <w:contextualSpacing/>
        <w:rPr>
          <w:rFonts w:hint="eastAsia" w:hAnsi="宋体"/>
          <w:color w:val="000000"/>
          <w:sz w:val="24"/>
          <w:szCs w:val="24"/>
          <w:lang w:val="zh-CN"/>
        </w:rPr>
      </w:pPr>
      <w:r>
        <w:rPr>
          <w:rFonts w:hint="eastAsia" w:hAnsi="宋体"/>
          <w:color w:val="000000"/>
          <w:sz w:val="24"/>
          <w:szCs w:val="24"/>
        </w:rPr>
        <w:t>防治美国白蛾、杨树食叶害虫等林木害虫，防控区域内林木叶片保存率达到85%以上。</w:t>
      </w:r>
    </w:p>
    <w:p>
      <w:pPr>
        <w:numPr>
          <w:ilvl w:val="0"/>
          <w:numId w:val="5"/>
        </w:numPr>
        <w:spacing w:line="360" w:lineRule="auto"/>
        <w:ind w:left="0" w:leftChars="0" w:firstLine="482" w:firstLineChars="200"/>
        <w:contextualSpacing/>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p>
      <w:pPr>
        <w:tabs>
          <w:tab w:val="left" w:pos="7095"/>
        </w:tabs>
        <w:spacing w:line="360" w:lineRule="auto"/>
        <w:ind w:firstLine="420" w:firstLineChars="200"/>
        <w:contextualSpacing/>
        <w:rPr>
          <w:rFonts w:hint="eastAsia" w:hAnsi="宋体"/>
          <w:color w:val="000000"/>
          <w:sz w:val="24"/>
          <w:szCs w:val="24"/>
        </w:rPr>
      </w:pPr>
      <w:r>
        <w:rPr>
          <w:rFonts w:hint="eastAsia"/>
          <w:color w:val="auto"/>
        </w:rPr>
        <w:t>　</w:t>
      </w:r>
      <w:r>
        <w:rPr>
          <w:rFonts w:hint="eastAsia" w:hAnsi="宋体"/>
          <w:color w:val="000000"/>
          <w:sz w:val="24"/>
          <w:szCs w:val="24"/>
        </w:rPr>
        <w:t>1、飞防对象及飞防面积</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许昌市2019年飞机防治美国白蛾、杨树食叶害虫，总面积根据中标单价确定（其中高速公路两侧林带在防治食叶害虫的同时，一并用药兼治杨树黑斑病，面积约2.2万亩）。</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2、飞防区域</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飞防区域涉及鄢陵县、长葛市、禹州市、襄城县、建安区、魏都区、东城区、开发区、城乡一体化示范区等共9个县（市、区）。具体区域为：高速公路林带、国道林带等重点道路林带、重点生态区域林木等。</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3、施用药剂</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3.6%烟碱·苦参碱、30%阿维·灭幼脲、25%甲维灭幼脲。（黑斑病推荐使用43%戊唑醇悬浮液），投标时必须为以上三种药剂之一。</w:t>
      </w:r>
    </w:p>
    <w:p>
      <w:pPr>
        <w:tabs>
          <w:tab w:val="left" w:pos="7095"/>
        </w:tabs>
        <w:spacing w:line="360" w:lineRule="auto"/>
        <w:ind w:firstLine="480" w:firstLineChars="200"/>
        <w:contextualSpacing/>
        <w:rPr>
          <w:rFonts w:hint="eastAsia" w:hAnsi="宋体"/>
          <w:color w:val="000000"/>
          <w:sz w:val="24"/>
          <w:szCs w:val="24"/>
          <w:lang w:val="zh-CN"/>
        </w:rPr>
      </w:pPr>
      <w:r>
        <w:rPr>
          <w:rFonts w:hint="eastAsia" w:hAnsi="宋体"/>
          <w:color w:val="000000"/>
          <w:sz w:val="24"/>
          <w:szCs w:val="24"/>
        </w:rPr>
        <w:t>4、飞防用药量不低于50g/亩，喷洒量不少于330g/亩。</w:t>
      </w:r>
      <w:r>
        <w:rPr>
          <w:rFonts w:hint="eastAsia" w:hAnsi="宋体"/>
          <w:color w:val="000000"/>
          <w:sz w:val="24"/>
          <w:szCs w:val="24"/>
          <w:lang w:val="zh-CN"/>
        </w:rPr>
        <w:t>作业区域内药剂喷洒均匀，施药位置准确，漏喷率控制在2%以内。</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5、计划飞防时间：6月25日到9月25日，具体时间根据虫情确定，提前2天通知。</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6、按采购人要求的调机时间调机（气象因素及政府禁令除外），按采购人划定飞行区域准备飞行，确保作业质量，按时完成飞防任务。</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7、设备要求</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中标人使用的飞机，应保证性能良好、安全，有航空适航证</w:t>
      </w:r>
      <w:r>
        <w:rPr>
          <w:rFonts w:hint="eastAsia" w:hAnsi="宋体"/>
          <w:color w:val="000000"/>
          <w:sz w:val="24"/>
          <w:szCs w:val="24"/>
          <w:lang w:eastAsia="zh-CN"/>
        </w:rPr>
        <w:t>，配备相应数量的飞行员、具有荷载的喷药设备，载药量不低于</w:t>
      </w:r>
      <w:r>
        <w:rPr>
          <w:rFonts w:hint="eastAsia" w:hAnsi="宋体"/>
          <w:color w:val="000000"/>
          <w:sz w:val="24"/>
          <w:szCs w:val="24"/>
          <w:lang w:val="en-US" w:eastAsia="zh-CN"/>
        </w:rPr>
        <w:t>160公斤/架次（含160公斤）。签订合同时需提供飞行员证件原件。</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8、作业要求</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1）飞行安全。中标人自行负责飞行安全保障，承担飞行空勤和地勤方面的全部安全责任；自行协调空管和民航的许可，不得违反《中华人民共和国民用航空法》、《中华人民共和国飞行基本规则》和《通用航空飞行管制条例》等有关航空飞行方面的法律法规规章，否则承担全部责任。</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2）飞行准备。中标人在采购人确定的开始飞行作业时间之前，负责及时做好空管和民航的许可手续办理、临时起降点的选择、调机以及落实药物、油料、配装药设备等各项飞行准备工作，保证按时开始飞防作业，并在规定的时间内高质量完成飞防作业。</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 xml:space="preserve"> 采购人可以协助中标人开展飞防用水准备、飞机临时起降点的选择和协调，有关费用由中标公司支付。</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（3）投标人负责制定具体飞防作业线路，编制飞防作业方案，在规定范围内选择药剂，并负责按招标方要求，配置施药浓度等技术问题。负责作业安全，保证按时完成飞防任务。</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（4）投标人报价应为承担完成飞防任务必须支出的所有费用，包括飞行费、航管手续费、飞机转场费、油料费、农药费、尿素费、装药费、保障人员费用、飞行方人员的食宿等相关的所有费用。</w:t>
      </w:r>
    </w:p>
    <w:p>
      <w:pPr>
        <w:numPr>
          <w:ilvl w:val="0"/>
          <w:numId w:val="0"/>
        </w:numPr>
        <w:spacing w:line="360" w:lineRule="auto"/>
        <w:ind w:leftChars="200"/>
        <w:contextualSpacing/>
        <w:rPr>
          <w:rFonts w:cs="微软雅黑" w:asciiTheme="minorEastAsia" w:hAnsiTheme="minorEastAsia"/>
          <w:b/>
          <w:color w:val="7030A0"/>
          <w:sz w:val="24"/>
          <w:szCs w:val="24"/>
        </w:rPr>
      </w:pPr>
      <w:r>
        <w:rPr>
          <w:rFonts w:hint="eastAsia" w:cs="微软雅黑" w:asciiTheme="minorEastAsia" w:hAnsiTheme="minorEastAsia"/>
          <w:b/>
          <w:color w:val="7030A0"/>
          <w:sz w:val="24"/>
          <w:szCs w:val="24"/>
        </w:rPr>
        <w:t>本采购清单中所列技术规格或主要参数为最低要求，不允许负偏离，否则将承担其投标被视为非实质性响应投标的风险。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三、验收标准</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1、飞防结束10天后，由市、县（区）森防部门与飞防公司联合开展防治效果验收，防治区林木叶片保存率达到85%以上，并且飞防区域不出现连片1亩以上的成灾现象（失叶率60%以上为成灾），出具合格验收报告书。</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2、如果防治区林木叶片保存率达不到85%以上，或者有连片1亩以上成灾现象的，中标人要按照采购人要求重新补防，直到防治效果验收合格，出具验收合格报告书后，采购人支付全部款项。</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四、资金支付</w:t>
      </w:r>
    </w:p>
    <w:p>
      <w:pPr>
        <w:wordWrap w:val="0"/>
        <w:topLinePunct/>
        <w:snapToGrid w:val="0"/>
        <w:spacing w:line="360" w:lineRule="auto"/>
        <w:ind w:firstLine="480" w:firstLineChars="200"/>
        <w:rPr>
          <w:rFonts w:hint="eastAsia" w:ascii="宋体" w:cs="宋体"/>
          <w:sz w:val="24"/>
          <w:lang w:val="zh-CN"/>
        </w:rPr>
      </w:pPr>
      <w:r>
        <w:rPr>
          <w:rFonts w:hint="eastAsia" w:ascii="宋体" w:cs="宋体"/>
          <w:sz w:val="24"/>
          <w:lang w:val="zh-CN"/>
        </w:rPr>
        <w:t>1、支付方式：银行转账</w:t>
      </w:r>
    </w:p>
    <w:p>
      <w:pPr>
        <w:wordWrap w:val="0"/>
        <w:topLinePunct/>
        <w:snapToGrid w:val="0"/>
        <w:spacing w:line="360" w:lineRule="auto"/>
        <w:ind w:firstLine="480" w:firstLineChars="200"/>
        <w:rPr>
          <w:rFonts w:hint="eastAsia" w:ascii="宋体" w:cs="宋体"/>
          <w:sz w:val="24"/>
          <w:lang w:val="zh-CN"/>
        </w:rPr>
      </w:pPr>
      <w:r>
        <w:rPr>
          <w:rFonts w:hint="eastAsia" w:ascii="宋体" w:cs="宋体"/>
          <w:sz w:val="24"/>
          <w:lang w:val="zh-CN"/>
        </w:rPr>
        <w:t>2、支付时间及条件：按照合同条款经验收合格后，采购人于2019年12月31日前支付</w:t>
      </w:r>
      <w:r>
        <w:rPr>
          <w:rFonts w:hint="eastAsia" w:ascii="宋体" w:cs="宋体"/>
          <w:sz w:val="24"/>
          <w:lang w:val="zh-CN" w:eastAsia="zh-CN"/>
        </w:rPr>
        <w:t>合同</w:t>
      </w:r>
      <w:r>
        <w:rPr>
          <w:rFonts w:hint="eastAsia" w:ascii="宋体" w:cs="宋体"/>
          <w:sz w:val="24"/>
          <w:lang w:val="zh-CN"/>
        </w:rPr>
        <w:t>全部款项。</w:t>
      </w:r>
    </w:p>
    <w:p>
      <w:pPr>
        <w:adjustRightInd w:val="0"/>
        <w:snapToGrid w:val="0"/>
        <w:spacing w:line="360" w:lineRule="auto"/>
        <w:ind w:firstLine="482" w:firstLineChars="200"/>
        <w:jc w:val="left"/>
        <w:rPr>
          <w:rFonts w:cs="宋体" w:asciiTheme="minorEastAsia" w:hAnsiTheme="minorEastAsia"/>
          <w:color w:val="000000"/>
          <w:kern w:val="0"/>
          <w:sz w:val="24"/>
          <w:szCs w:val="24"/>
          <w:lang w:val="zh-CN"/>
        </w:rPr>
      </w:pPr>
      <w:r>
        <w:rPr>
          <w:rFonts w:hint="eastAsia" w:cs="宋体" w:asciiTheme="minorEastAsia" w:hAnsiTheme="minorEastAsia"/>
          <w:b/>
          <w:color w:val="000000"/>
          <w:kern w:val="0"/>
          <w:sz w:val="24"/>
          <w:szCs w:val="24"/>
          <w:lang w:val="zh-CN"/>
        </w:rPr>
        <w:t>五、其他要求</w:t>
      </w:r>
    </w:p>
    <w:p>
      <w:pPr>
        <w:wordWrap w:val="0"/>
        <w:topLinePunct/>
        <w:snapToGrid w:val="0"/>
        <w:spacing w:line="360" w:lineRule="auto"/>
        <w:ind w:firstLine="480" w:firstLineChars="200"/>
        <w:rPr>
          <w:rFonts w:hint="eastAsia" w:ascii="宋体" w:cs="宋体"/>
          <w:sz w:val="24"/>
          <w:lang w:val="zh-CN"/>
        </w:rPr>
      </w:pPr>
      <w:r>
        <w:rPr>
          <w:rFonts w:hint="eastAsia" w:ascii="宋体" w:cs="宋体"/>
          <w:sz w:val="24"/>
          <w:lang w:val="en-US" w:eastAsia="zh-CN"/>
        </w:rPr>
        <w:t>1、</w:t>
      </w:r>
      <w:r>
        <w:rPr>
          <w:rFonts w:hint="eastAsia" w:ascii="宋体" w:cs="宋体"/>
          <w:sz w:val="24"/>
          <w:lang w:val="zh-CN"/>
        </w:rPr>
        <w:t>投标人投标文件中须有飞防作业方案，否则为无效投标。</w:t>
      </w:r>
    </w:p>
    <w:p>
      <w:pPr>
        <w:wordWrap w:val="0"/>
        <w:topLinePunct/>
        <w:snapToGrid w:val="0"/>
        <w:spacing w:line="360" w:lineRule="auto"/>
        <w:ind w:firstLine="480" w:firstLineChars="200"/>
        <w:rPr>
          <w:rFonts w:hint="eastAsia" w:ascii="宋体" w:cs="宋体"/>
          <w:sz w:val="24"/>
          <w:lang w:val="zh-CN"/>
        </w:rPr>
      </w:pPr>
      <w:r>
        <w:rPr>
          <w:rFonts w:hint="eastAsia" w:ascii="宋体" w:cs="宋体"/>
          <w:sz w:val="24"/>
          <w:lang w:val="zh-CN"/>
        </w:rPr>
        <w:t xml:space="preserve"> </w:t>
      </w:r>
      <w:r>
        <w:rPr>
          <w:rFonts w:hint="eastAsia" w:ascii="宋体" w:cs="宋体"/>
          <w:sz w:val="24"/>
          <w:lang w:val="en-US" w:eastAsia="zh-CN"/>
        </w:rPr>
        <w:t>2、</w:t>
      </w:r>
      <w:r>
        <w:rPr>
          <w:rFonts w:hint="eastAsia" w:ascii="宋体" w:cs="宋体"/>
          <w:sz w:val="24"/>
          <w:lang w:val="zh-CN"/>
        </w:rPr>
        <w:t>履约保证金：为确保中标人使用的飞机按采购人的要求按时到位、并按照本合同约定完成作业任务，本合同签订前3个工作日，中标人向采购人缴纳中标金额10%的履约保证金，到验收合格后退还（9月底之前已经飞防过的地方如果出现连片1亩以上成灾，中标人又不补防的，采购人将从履约保证金中扣除相应补防费用）；如延误调机时间或违约的，履约保证金概不退还。</w:t>
      </w:r>
    </w:p>
    <w:p>
      <w:pPr>
        <w:wordWrap w:val="0"/>
        <w:topLinePunct/>
        <w:snapToGrid w:val="0"/>
        <w:spacing w:line="360" w:lineRule="auto"/>
        <w:ind w:firstLine="480" w:firstLineChars="200"/>
        <w:rPr>
          <w:rFonts w:hint="eastAsia" w:ascii="宋体" w:cs="宋体"/>
          <w:sz w:val="24"/>
          <w:lang w:val="zh-CN"/>
        </w:rPr>
      </w:pPr>
      <w:r>
        <w:rPr>
          <w:rFonts w:hint="eastAsia" w:ascii="宋体" w:cs="宋体"/>
          <w:sz w:val="24"/>
          <w:lang w:val="en-US" w:eastAsia="zh-CN"/>
        </w:rPr>
        <w:t>3、</w:t>
      </w:r>
      <w:r>
        <w:rPr>
          <w:rFonts w:hint="eastAsia" w:ascii="宋体" w:cs="宋体"/>
          <w:sz w:val="24"/>
          <w:lang w:val="zh-CN"/>
        </w:rPr>
        <w:t>投标报价方式：投标人报价时应计算单价（每防治一亩林地人民币多少元）。</w:t>
      </w:r>
      <w:r>
        <w:rPr>
          <w:rFonts w:hint="eastAsia" w:ascii="宋体" w:cs="宋体"/>
          <w:sz w:val="24"/>
          <w:lang w:val="zh-CN" w:eastAsia="zh-CN"/>
        </w:rPr>
        <w:t>根据中标单价，预算资金如有结余，剩余资金将按照中标单价全部用于“2019年飞机防治美国白蛾、杨树食叶害虫服务”项目。</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en-US" w:eastAsia="zh-CN"/>
        </w:rPr>
        <w:t>4</w:t>
      </w:r>
      <w:r>
        <w:rPr>
          <w:rFonts w:hint="eastAsia" w:ascii="宋体" w:cs="宋体"/>
          <w:sz w:val="24"/>
          <w:lang w:val="zh-CN"/>
        </w:rPr>
        <w:t>、投标人应就</w:t>
      </w:r>
      <w:r>
        <w:rPr>
          <w:rFonts w:hint="eastAsia" w:ascii="宋体" w:cs="宋体"/>
          <w:color w:val="FF0000"/>
          <w:sz w:val="24"/>
          <w:lang w:val="zh-CN"/>
        </w:rPr>
        <w:t>该项目</w:t>
      </w:r>
      <w:r>
        <w:rPr>
          <w:rFonts w:hint="eastAsia" w:ascii="宋体" w:cs="宋体"/>
          <w:sz w:val="24"/>
          <w:lang w:val="zh-CN"/>
        </w:rPr>
        <w:t>完整投标，</w:t>
      </w:r>
      <w:r>
        <w:rPr>
          <w:rFonts w:hint="eastAsia" w:ascii="宋体" w:cs="宋体"/>
          <w:b/>
          <w:sz w:val="24"/>
          <w:lang w:val="zh-CN"/>
        </w:rPr>
        <w:t>否则为无效投标。</w:t>
      </w:r>
    </w:p>
    <w:p>
      <w:pPr>
        <w:wordWrap w:val="0"/>
        <w:topLinePunct/>
        <w:snapToGrid w:val="0"/>
        <w:spacing w:line="360" w:lineRule="auto"/>
        <w:ind w:firstLine="480" w:firstLineChars="200"/>
        <w:rPr>
          <w:rFonts w:ascii="宋体" w:cs="宋体"/>
          <w:b/>
          <w:sz w:val="24"/>
          <w:lang w:val="zh-CN"/>
        </w:rPr>
      </w:pPr>
      <w:r>
        <w:rPr>
          <w:rFonts w:hint="eastAsia" w:ascii="宋体" w:cs="宋体"/>
          <w:sz w:val="24"/>
          <w:lang w:val="en-US" w:eastAsia="zh-CN"/>
        </w:rPr>
        <w:t>5</w:t>
      </w:r>
      <w:r>
        <w:rPr>
          <w:rFonts w:hint="eastAsia" w:ascii="宋体" w:cs="宋体"/>
          <w:sz w:val="24"/>
          <w:lang w:val="zh-CN"/>
        </w:rPr>
        <w:t>、本项目为交钥匙工程。</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项目名称：2019年飞机防治美国白蛾、杨树食叶害虫服务</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项目编号：ZFCG-G2019</w:t>
            </w:r>
            <w:r>
              <w:rPr>
                <w:rFonts w:hint="eastAsia" w:cs="仿宋_GB2312" w:asciiTheme="minorEastAsia" w:hAnsiTheme="minorEastAsia"/>
                <w:sz w:val="24"/>
                <w:szCs w:val="24"/>
                <w:lang w:val="en-US" w:eastAsia="zh-CN"/>
              </w:rPr>
              <w:t>037</w:t>
            </w:r>
            <w:r>
              <w:rPr>
                <w:rFonts w:hint="eastAsia" w:cs="仿宋_GB2312" w:asciiTheme="minorEastAsia" w:hAnsiTheme="minorEastAsia"/>
                <w:sz w:val="24"/>
                <w:szCs w:val="24"/>
              </w:rPr>
              <w:t>号</w:t>
            </w:r>
          </w:p>
          <w:p>
            <w:pPr>
              <w:autoSpaceDE w:val="0"/>
              <w:autoSpaceDN w:val="0"/>
              <w:adjustRightInd w:val="0"/>
              <w:spacing w:line="360" w:lineRule="auto"/>
              <w:jc w:val="left"/>
              <w:rPr>
                <w:rFonts w:hint="eastAsia" w:cs="仿宋_GB2312" w:asciiTheme="minorEastAsia" w:hAnsiTheme="minorEastAsia"/>
                <w:sz w:val="24"/>
                <w:szCs w:val="24"/>
                <w:lang w:eastAsia="zh-CN"/>
              </w:rPr>
            </w:pPr>
            <w:r>
              <w:rPr>
                <w:rFonts w:hint="eastAsia" w:cs="仿宋_GB2312" w:asciiTheme="minorEastAsia" w:hAnsiTheme="minorEastAsia"/>
                <w:sz w:val="24"/>
                <w:szCs w:val="24"/>
              </w:rPr>
              <w:t>项目内容：许昌市2019年飞机防治美国白蛾、杨树食叶害虫</w:t>
            </w:r>
            <w:r>
              <w:rPr>
                <w:rFonts w:hint="eastAsia" w:cs="仿宋_GB2312" w:asciiTheme="minorEastAsia" w:hAnsiTheme="minorEastAsia"/>
                <w:sz w:val="24"/>
                <w:szCs w:val="24"/>
                <w:lang w:eastAsia="zh-CN"/>
              </w:rPr>
              <w:t>服务</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项目地址：许昌市各县（市、区）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名称：</w:t>
            </w:r>
            <w:r>
              <w:rPr>
                <w:rFonts w:hint="eastAsia" w:cs="仿宋_GB2312" w:asciiTheme="minorEastAsia" w:hAnsiTheme="minorEastAsia"/>
                <w:sz w:val="24"/>
                <w:szCs w:val="24"/>
                <w:lang w:eastAsia="zh-CN"/>
              </w:rPr>
              <w:t>许昌市森林病虫害防治检疫站</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地址：许昌市文峰路2003号</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联系人：董文辉                     电话：13938916126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杨</w:t>
            </w:r>
            <w:r>
              <w:rPr>
                <w:rFonts w:hint="eastAsia" w:cs="仿宋_GB2312" w:asciiTheme="minorEastAsia" w:hAnsiTheme="minorEastAsia"/>
                <w:sz w:val="24"/>
                <w:szCs w:val="24"/>
              </w:rPr>
              <w:t>女士                电话：0374-296</w:t>
            </w:r>
            <w:r>
              <w:rPr>
                <w:rFonts w:hint="eastAsia" w:cs="仿宋_GB2312" w:asciiTheme="minorEastAsia" w:hAnsiTheme="minorEastAsia"/>
                <w:sz w:val="24"/>
                <w:szCs w:val="24"/>
                <w:lang w:val="en-US" w:eastAsia="zh-CN"/>
              </w:rPr>
              <w:t>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2017或2018</w:t>
            </w:r>
            <w:r>
              <w:rPr>
                <w:rFonts w:hint="eastAsia" w:cs="宋体" w:asciiTheme="minorEastAsia" w:hAnsiTheme="minorEastAsia"/>
                <w:bCs/>
                <w:sz w:val="24"/>
                <w:szCs w:val="24"/>
                <w:lang w:val="zh-CN"/>
              </w:rPr>
              <w:t>年度的财务报告；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w:t>
            </w:r>
            <w:r>
              <w:rPr>
                <w:rFonts w:hint="eastAsia" w:cs="宋体" w:asciiTheme="minorEastAsia" w:hAnsiTheme="minorEastAsia"/>
                <w:bCs/>
                <w:color w:val="FF0000"/>
                <w:sz w:val="24"/>
                <w:szCs w:val="24"/>
                <w:lang w:val="zh-CN"/>
              </w:rPr>
              <w:t>四个</w:t>
            </w:r>
            <w:r>
              <w:rPr>
                <w:rFonts w:hint="eastAsia" w:cs="宋体" w:asciiTheme="minorEastAsia" w:hAnsiTheme="minorEastAsia"/>
                <w:bCs/>
                <w:sz w:val="24"/>
                <w:szCs w:val="24"/>
                <w:lang w:val="zh-CN"/>
              </w:rPr>
              <w:t>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七、未被列入“信用中国”网站</w:t>
            </w:r>
            <w:r>
              <w:rPr>
                <w:rFonts w:cs="宋体" w:asciiTheme="minorEastAsia" w:hAnsiTheme="minorEastAsia"/>
                <w:b/>
                <w:color w:val="FF0000"/>
                <w:kern w:val="0"/>
                <w:sz w:val="24"/>
                <w:szCs w:val="24"/>
                <w:lang w:val="zh-CN"/>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失信被执行人、重大税收违法案件当事人名单、政府采购严重违法失信名单的投标人；“中国政府采购网”</w:t>
            </w:r>
            <w:r>
              <w:rPr>
                <w:rFonts w:cs="宋体" w:asciiTheme="minorEastAsia" w:hAnsiTheme="minorEastAsia"/>
                <w:b/>
                <w:color w:val="FF0000"/>
                <w:kern w:val="0"/>
                <w:sz w:val="24"/>
                <w:szCs w:val="24"/>
                <w:lang w:val="zh-CN"/>
              </w:rPr>
              <w:t xml:space="preserve"> (www.ccgp.gov.cn)</w:t>
            </w:r>
            <w:r>
              <w:rPr>
                <w:rFonts w:hint="eastAsia" w:cs="宋体" w:asciiTheme="minorEastAsia" w:hAnsiTheme="minorEastAsia"/>
                <w:b/>
                <w:color w:val="FF0000"/>
                <w:kern w:val="0"/>
                <w:sz w:val="24"/>
                <w:szCs w:val="24"/>
                <w:lang w:val="zh-CN"/>
              </w:rPr>
              <w:t>政府采购严重违法失信行为记录名单的投标人；“国家企业信用公示系统”网站（</w:t>
            </w:r>
            <w:r>
              <w:rPr>
                <w:rFonts w:cs="宋体" w:asciiTheme="minorEastAsia" w:hAnsiTheme="minorEastAsia"/>
                <w:b/>
                <w:color w:val="FF0000"/>
                <w:kern w:val="0"/>
                <w:sz w:val="24"/>
                <w:szCs w:val="24"/>
                <w:lang w:val="zh-CN"/>
              </w:rPr>
              <w:t>www.gsxt.gov.cn</w:t>
            </w:r>
            <w:r>
              <w:rPr>
                <w:rFonts w:hint="eastAsia" w:cs="宋体" w:asciiTheme="minorEastAsia" w:hAnsiTheme="minor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zh-CN"/>
              </w:rPr>
              <w:t>71.25万元，超出最高限价的投标无效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zh-CN"/>
              </w:rPr>
              <w:t>2019年</w:t>
            </w:r>
            <w:r>
              <w:rPr>
                <w:rFonts w:hint="eastAsia" w:cs="宋体" w:asciiTheme="minorEastAsia" w:hAnsiTheme="minorEastAsia"/>
                <w:bCs/>
                <w:sz w:val="24"/>
                <w:szCs w:val="24"/>
                <w:lang w:val="en-US" w:eastAsia="zh-CN"/>
              </w:rPr>
              <w:t>4</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12</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30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许昌市公共资源交易中心三楼开标三室（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金额：壹万肆仟元（¥ </w:t>
            </w:r>
            <w:r>
              <w:rPr>
                <w:rFonts w:hint="eastAsia" w:cs="仿宋_GB2312" w:asciiTheme="minorEastAsia" w:hAnsiTheme="minorEastAsia"/>
                <w:sz w:val="24"/>
                <w:szCs w:val="24"/>
                <w:lang w:val="en-US" w:eastAsia="zh-CN"/>
              </w:rPr>
              <w:t>14000元</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 w:val="24"/>
                <w:szCs w:val="24"/>
              </w:rPr>
              <w:t>中国·许昌许昌市政府网</w:t>
            </w:r>
            <w:r>
              <w:rPr>
                <w:rFonts w:cs="宋体" w:asciiTheme="minorEastAsia" w:hAnsiTheme="minorEastAsia"/>
                <w:color w:val="000000"/>
                <w:sz w:val="24"/>
                <w:szCs w:val="24"/>
              </w:rPr>
              <w:fldChar w:fldCharType="end"/>
            </w:r>
            <w:r>
              <w:rPr>
                <w:rFonts w:hint="eastAsia" w:cs="宋体" w:asciiTheme="minorEastAsia" w:hAnsiTheme="minorEastAsia"/>
                <w:color w:val="000000"/>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wordWrap w:val="0"/>
              <w:topLinePunct/>
              <w:snapToGrid w:val="0"/>
              <w:spacing w:line="360" w:lineRule="auto"/>
              <w:rPr>
                <w:rFonts w:ascii="宋体"/>
                <w:color w:val="FF0000"/>
                <w:sz w:val="24"/>
                <w:szCs w:val="24"/>
              </w:rPr>
            </w:pPr>
            <w:r>
              <w:rPr>
                <w:rFonts w:hint="eastAsia" w:cs="宋体" w:asciiTheme="minorEastAsia" w:hAnsiTheme="minorEastAsia"/>
                <w:bCs/>
                <w:color w:val="FF0000"/>
                <w:sz w:val="24"/>
                <w:szCs w:val="24"/>
                <w:lang w:val="zh-CN"/>
              </w:rPr>
              <w:t>1、</w:t>
            </w:r>
            <w:r>
              <w:rPr>
                <w:rFonts w:hint="eastAsia" w:ascii="宋体" w:hAnsi="宋体"/>
                <w:color w:val="FF0000"/>
                <w:kern w:val="0"/>
                <w:sz w:val="24"/>
                <w:szCs w:val="24"/>
              </w:rPr>
              <w:t>中标人在向采购单位领取中标通知书时，须向采购单位提供</w:t>
            </w:r>
            <w:r>
              <w:rPr>
                <w:rFonts w:hint="eastAsia" w:ascii="宋体" w:hAnsi="宋体"/>
                <w:color w:val="FF0000"/>
                <w:sz w:val="24"/>
                <w:szCs w:val="24"/>
              </w:rPr>
              <w:t>法人营业执照、税务登记证副本及投标条件中要求的相关证件原件和招标文件</w:t>
            </w:r>
            <w:r>
              <w:rPr>
                <w:rFonts w:hint="eastAsia" w:ascii="宋体"/>
                <w:color w:val="FF0000"/>
                <w:sz w:val="24"/>
                <w:szCs w:val="24"/>
              </w:rPr>
              <w:t xml:space="preserve"> “其它要求”中要求的相关材料（如果本招标文件要求的话），</w:t>
            </w:r>
            <w:r>
              <w:rPr>
                <w:rFonts w:hint="eastAsia" w:ascii="宋体"/>
                <w:b/>
                <w:color w:val="FF0000"/>
                <w:sz w:val="24"/>
                <w:szCs w:val="24"/>
              </w:rPr>
              <w:t>否则取消其中标资格。</w:t>
            </w:r>
          </w:p>
          <w:p>
            <w:pPr>
              <w:autoSpaceDE w:val="0"/>
              <w:autoSpaceDN w:val="0"/>
              <w:adjustRightInd w:val="0"/>
              <w:spacing w:line="360" w:lineRule="auto"/>
              <w:rPr>
                <w:rFonts w:cs="宋体" w:asciiTheme="minorEastAsia" w:hAnsiTheme="minorEastAsia"/>
                <w:bCs/>
                <w:sz w:val="24"/>
                <w:szCs w:val="24"/>
              </w:rPr>
            </w:pPr>
            <w:r>
              <w:rPr>
                <w:rFonts w:hint="eastAsia" w:cs="宋体" w:asciiTheme="minorEastAsia" w:hAnsiTheme="minorEastAsia"/>
                <w:bCs/>
                <w:sz w:val="24"/>
                <w:szCs w:val="24"/>
              </w:rPr>
              <w:t>2</w:t>
            </w:r>
            <w:r>
              <w:rPr>
                <w:rFonts w:hint="eastAsia" w:cs="宋体" w:asciiTheme="minorEastAsia" w:hAnsiTheme="minorEastAsia"/>
                <w:bCs/>
                <w:sz w:val="24"/>
                <w:szCs w:val="24"/>
                <w:lang w:val="zh-CN"/>
              </w:rPr>
              <w:t>、中标人在接到中标通知时</w:t>
            </w:r>
            <w:r>
              <w:rPr>
                <w:rFonts w:hint="eastAsia" w:cs="宋体" w:asciiTheme="minorEastAsia" w:hAnsiTheme="minorEastAsia"/>
                <w:bCs/>
                <w:sz w:val="24"/>
                <w:szCs w:val="24"/>
              </w:rPr>
              <w:t>，</w:t>
            </w:r>
            <w:r>
              <w:rPr>
                <w:rFonts w:hint="eastAsia" w:cs="宋体" w:asciiTheme="minorEastAsia" w:hAnsiTheme="minorEastAsia"/>
                <w:bCs/>
                <w:sz w:val="24"/>
                <w:szCs w:val="24"/>
                <w:lang w:val="zh-CN"/>
              </w:rPr>
              <w:t>须向代理机构发送投标报价及分项报价一览表</w:t>
            </w:r>
            <w:r>
              <w:rPr>
                <w:rFonts w:hint="eastAsia" w:cs="宋体" w:asciiTheme="minorEastAsia" w:hAnsiTheme="minorEastAsia"/>
                <w:bCs/>
                <w:sz w:val="24"/>
                <w:szCs w:val="24"/>
              </w:rPr>
              <w:t>（</w:t>
            </w:r>
            <w:r>
              <w:rPr>
                <w:rFonts w:hint="eastAsia" w:cs="宋体" w:asciiTheme="minorEastAsia" w:hAnsiTheme="minorEastAsia"/>
                <w:bCs/>
                <w:sz w:val="24"/>
                <w:szCs w:val="24"/>
                <w:lang w:val="zh-CN"/>
              </w:rPr>
              <w:t>包含主要中标标的的名称、规格型号、数量、单价、服务要求等</w:t>
            </w:r>
            <w:r>
              <w:rPr>
                <w:rFonts w:hint="eastAsia" w:cs="宋体" w:asciiTheme="minorEastAsia" w:hAnsiTheme="minorEastAsia"/>
                <w:bCs/>
                <w:sz w:val="24"/>
                <w:szCs w:val="24"/>
              </w:rPr>
              <w:t>）</w:t>
            </w:r>
            <w:r>
              <w:rPr>
                <w:rFonts w:hint="eastAsia" w:cs="宋体" w:asciiTheme="minorEastAsia" w:hAnsiTheme="minorEastAsia"/>
                <w:bCs/>
                <w:sz w:val="24"/>
                <w:szCs w:val="24"/>
                <w:lang w:val="zh-CN"/>
              </w:rPr>
              <w:t>电子文档</w:t>
            </w:r>
            <w:r>
              <w:rPr>
                <w:rFonts w:hint="eastAsia" w:cs="宋体" w:asciiTheme="minorEastAsia" w:hAnsiTheme="minorEastAsia"/>
                <w:bCs/>
                <w:sz w:val="24"/>
                <w:szCs w:val="24"/>
              </w:rPr>
              <w:t>，</w:t>
            </w:r>
            <w:r>
              <w:rPr>
                <w:rFonts w:hint="eastAsia" w:cs="宋体" w:asciiTheme="minorEastAsia" w:hAnsiTheme="minorEastAsia"/>
                <w:bCs/>
                <w:sz w:val="24"/>
                <w:szCs w:val="24"/>
                <w:lang w:val="zh-CN"/>
              </w:rPr>
              <w:t>并同时通知交易见证部</w:t>
            </w:r>
            <w:r>
              <w:rPr>
                <w:rFonts w:hint="eastAsia" w:cs="宋体" w:asciiTheme="minorEastAsia" w:hAnsiTheme="minorEastAsia"/>
                <w:bCs/>
                <w:sz w:val="24"/>
                <w:szCs w:val="24"/>
              </w:rPr>
              <w:t>，</w:t>
            </w:r>
            <w:r>
              <w:rPr>
                <w:rFonts w:hint="eastAsia" w:cs="宋体" w:asciiTheme="minorEastAsia" w:hAnsiTheme="minorEastAsia"/>
                <w:bCs/>
                <w:sz w:val="24"/>
                <w:szCs w:val="24"/>
                <w:lang w:val="zh-CN"/>
              </w:rPr>
              <w:t>联系电话</w:t>
            </w:r>
            <w:r>
              <w:rPr>
                <w:rFonts w:hint="eastAsia" w:cs="宋体" w:asciiTheme="minorEastAsia" w:hAnsiTheme="minorEastAsia"/>
                <w:bCs/>
                <w:sz w:val="24"/>
                <w:szCs w:val="24"/>
              </w:rPr>
              <w:t>：</w:t>
            </w:r>
            <w:r>
              <w:rPr>
                <w:rFonts w:hint="eastAsia" w:cs="宋体" w:asciiTheme="minorEastAsia" w:hAnsiTheme="minorEastAsia"/>
                <w:bCs/>
                <w:color w:val="FF0000"/>
                <w:sz w:val="24"/>
                <w:szCs w:val="24"/>
              </w:rPr>
              <w:t>0374-2968027，</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：jzb2968027@163.com</w:t>
            </w:r>
            <w:r>
              <w:rPr>
                <w:rFonts w:hint="eastAsia" w:cs="宋体" w:asciiTheme="minorEastAsia" w:hAnsiTheme="minorEastAsia"/>
                <w:bCs/>
                <w:color w:val="FF000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FF0000"/>
                <w:sz w:val="24"/>
                <w:lang w:val="zh-CN"/>
              </w:rPr>
            </w:pPr>
            <w:r>
              <w:rPr>
                <w:rFonts w:cs="宋体" w:asciiTheme="minorEastAsia" w:hAnsiTheme="minorEastAsia"/>
                <w:b/>
                <w:color w:val="FF0000"/>
                <w:kern w:val="0"/>
                <w:sz w:val="24"/>
                <w:szCs w:val="24"/>
                <w:lang w:val="zh-CN"/>
              </w:rPr>
              <w:fldChar w:fldCharType="begin"/>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是。</w:t>
            </w:r>
            <w:r>
              <w:rPr>
                <w:rFonts w:hint="eastAsia" w:hAnsi="宋体" w:cs="宋体"/>
                <w:color w:val="FF0000"/>
                <w:sz w:val="24"/>
                <w:lang w:val="zh-CN"/>
              </w:rPr>
              <w:t>投标人投标时须提供加密电子投标文件、备份文件（使用电子介质存储）、纸质投标文件。评标标准中相关证明资料原件开标现场不再提供（招标文件有要求提供原件的除外）。</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3"/>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2符合本项目“投标邀请”和“投标人须知前附表”中规定的合格投标人所必须具备的条件。</w:t>
      </w:r>
    </w:p>
    <w:p>
      <w:pPr>
        <w:pStyle w:val="18"/>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kern w:val="0"/>
          <w:sz w:val="24"/>
          <w:szCs w:val="24"/>
        </w:rPr>
        <w:t>《</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kern w:val="0"/>
          <w:sz w:val="24"/>
          <w:szCs w:val="24"/>
        </w:rPr>
        <w:t>中国·许昌许昌市政府网</w:t>
      </w:r>
      <w:r>
        <w:rPr>
          <w:rFonts w:cs="宋体" w:asciiTheme="minorEastAsia" w:hAnsiTheme="minorEastAsia"/>
          <w:kern w:val="0"/>
          <w:sz w:val="24"/>
          <w:szCs w:val="24"/>
        </w:rPr>
        <w:fldChar w:fldCharType="end"/>
      </w:r>
      <w:r>
        <w:rPr>
          <w:rFonts w:hint="eastAsia" w:cs="黑体" w:asciiTheme="minorEastAsia" w:hAnsiTheme="minorEastAsia"/>
          <w:bCs/>
          <w:shd w:val="clear" w:color="auto" w:fill="FFFFFF"/>
        </w:rPr>
        <w:t>》</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不收取任何费用。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个工作日内退还未中标人的投标保证金。（交易见证部电话：0374-2968027）</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个工作日内退还中标人的投标保证金。（向交易见证部提交合同原件或者复印件）（交易见证部电话：0374-2968027）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hint="eastAsia" w:cs="仿宋_GB2312" w:asciiTheme="minorEastAsia" w:hAnsiTheme="minorEastAsia"/>
          <w:sz w:val="24"/>
          <w:szCs w:val="24"/>
          <w:lang w:val="zh-CN"/>
        </w:rPr>
        <w:t>（交易见证部电话：0374-2968027）</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2"/>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2"/>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2"/>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2"/>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2"/>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2"/>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2"/>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2"/>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2"/>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w:t>
      </w:r>
      <w:r>
        <w:rPr>
          <w:rFonts w:hint="eastAsia" w:cs="仿宋_GB2312" w:asciiTheme="minorEastAsia" w:hAnsiTheme="minorEastAsia"/>
          <w:color w:val="FF0000"/>
          <w:sz w:val="24"/>
          <w:szCs w:val="24"/>
          <w:lang w:val="zh-CN"/>
        </w:rPr>
        <w:t>对小型和微型企业产品的价格给予6%-10%的扣除，</w:t>
      </w:r>
      <w:r>
        <w:rPr>
          <w:rFonts w:hint="eastAsia" w:cs="仿宋_GB2312" w:asciiTheme="minorEastAsia" w:hAnsiTheme="minorEastAsia"/>
          <w:sz w:val="24"/>
          <w:szCs w:val="24"/>
          <w:lang w:val="zh-CN"/>
        </w:rPr>
        <w:t>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2"/>
        <w:spacing w:line="360" w:lineRule="auto"/>
        <w:contextualSpacing/>
        <w:rPr>
          <w:rFonts w:cs="仿宋_GB2312" w:asciiTheme="minorEastAsia" w:hAnsiTheme="minorEastAsia"/>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0"/>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w:t>
            </w:r>
            <w:r>
              <w:rPr>
                <w:rFonts w:hint="eastAsia" w:cs="仿宋_GB2312" w:asciiTheme="minorEastAsia" w:hAnsiTheme="minorEastAsia"/>
                <w:sz w:val="24"/>
                <w:szCs w:val="24"/>
                <w:lang w:val="en-US" w:eastAsia="zh-CN"/>
              </w:rPr>
              <w:t>2017或2018</w:t>
            </w:r>
            <w:r>
              <w:rPr>
                <w:rFonts w:hint="eastAsia" w:cs="宋体" w:asciiTheme="minorEastAsia" w:hAnsiTheme="minorEastAsia"/>
                <w:bCs/>
                <w:sz w:val="24"/>
                <w:szCs w:val="24"/>
                <w:lang w:val="zh-CN"/>
              </w:rPr>
              <w:t>年度</w:t>
            </w:r>
            <w:r>
              <w:rPr>
                <w:rFonts w:hint="eastAsia" w:asciiTheme="minorEastAsia" w:hAnsiTheme="minorEastAsia"/>
                <w:bCs/>
                <w:sz w:val="24"/>
                <w:szCs w:val="24"/>
              </w:rPr>
              <w:t>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w:t>
            </w:r>
            <w:bookmarkStart w:id="9" w:name="_GoBack"/>
            <w:bookmarkEnd w:id="9"/>
            <w:r>
              <w:rPr>
                <w:rFonts w:hint="eastAsia" w:asciiTheme="minorEastAsia" w:hAnsiTheme="minorEastAsia"/>
                <w:bCs/>
                <w:sz w:val="24"/>
                <w:szCs w:val="24"/>
              </w:rPr>
              <w:t>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w:t>
            </w:r>
            <w:r>
              <w:rPr>
                <w:rFonts w:hint="eastAsia" w:asciiTheme="minorEastAsia" w:hAnsiTheme="minorEastAsia"/>
                <w:bCs/>
                <w:color w:val="FF0000"/>
                <w:sz w:val="24"/>
                <w:szCs w:val="24"/>
              </w:rPr>
              <w:t>四个</w:t>
            </w:r>
            <w:r>
              <w:rPr>
                <w:rFonts w:hint="eastAsia" w:asciiTheme="minorEastAsia" w:hAnsiTheme="minorEastAsia"/>
                <w:bCs/>
                <w:sz w:val="24"/>
                <w:szCs w:val="24"/>
              </w:rPr>
              <w:t>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2"/>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2"/>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2"/>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2"/>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w:t>
      </w:r>
      <w:r>
        <w:rPr>
          <w:rFonts w:hint="eastAsia" w:cs="仿宋_GB2312" w:asciiTheme="minorEastAsia" w:hAnsiTheme="minorEastAsia" w:eastAsiaTheme="minorEastAsia"/>
          <w:color w:val="FF0000"/>
          <w:szCs w:val="24"/>
          <w:lang w:val="zh-CN"/>
        </w:rPr>
        <w:t>对小型和微型企业产品的投标价格给予6%的扣除</w:t>
      </w:r>
      <w:r>
        <w:rPr>
          <w:rFonts w:hint="eastAsia" w:cs="仿宋_GB2312" w:asciiTheme="minorEastAsia" w:hAnsiTheme="minorEastAsia" w:eastAsiaTheme="minor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2"/>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2"/>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2"/>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2"/>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2"/>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0"/>
        <w:tblW w:w="8716" w:type="dxa"/>
        <w:tblInd w:w="108" w:type="dxa"/>
        <w:tblLayout w:type="fixed"/>
        <w:tblCellMar>
          <w:top w:w="0" w:type="dxa"/>
          <w:left w:w="0" w:type="dxa"/>
          <w:bottom w:w="0" w:type="dxa"/>
          <w:right w:w="0" w:type="dxa"/>
        </w:tblCellMar>
      </w:tblPr>
      <w:tblGrid>
        <w:gridCol w:w="1411"/>
        <w:gridCol w:w="15"/>
        <w:gridCol w:w="5040"/>
        <w:gridCol w:w="2250"/>
      </w:tblGrid>
      <w:tr>
        <w:tblPrEx>
          <w:tblLayout w:type="fixed"/>
          <w:tblCellMar>
            <w:top w:w="0" w:type="dxa"/>
            <w:left w:w="0" w:type="dxa"/>
            <w:bottom w:w="0" w:type="dxa"/>
            <w:right w:w="0" w:type="dxa"/>
          </w:tblCellMar>
        </w:tblPrEx>
        <w:trPr>
          <w:trHeight w:val="1107" w:hRule="atLeast"/>
        </w:trPr>
        <w:tc>
          <w:tcPr>
            <w:tcW w:w="1426" w:type="dxa"/>
            <w:gridSpan w:val="2"/>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分值构成</w:t>
            </w:r>
          </w:p>
          <w:p>
            <w:pPr>
              <w:widowControl/>
              <w:autoSpaceDN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pacing w:val="-20"/>
                <w:kern w:val="0"/>
                <w:sz w:val="24"/>
                <w:szCs w:val="24"/>
              </w:rPr>
              <w:t>(总分100分)</w:t>
            </w:r>
          </w:p>
        </w:tc>
        <w:tc>
          <w:tcPr>
            <w:tcW w:w="7290" w:type="dxa"/>
            <w:gridSpan w:val="2"/>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400" w:lineRule="exact"/>
              <w:ind w:firstLine="48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价格分值：  </w:t>
            </w:r>
            <w:r>
              <w:rPr>
                <w:rFonts w:hint="eastAsia" w:ascii="宋体" w:hAnsi="宋体" w:eastAsia="宋体" w:cs="宋体"/>
                <w:color w:val="auto"/>
                <w:kern w:val="0"/>
                <w:sz w:val="24"/>
                <w:szCs w:val="24"/>
                <w:lang w:val="en-US" w:eastAsia="zh-CN"/>
              </w:rPr>
              <w:t>40</w:t>
            </w:r>
            <w:r>
              <w:rPr>
                <w:rFonts w:hint="eastAsia" w:ascii="宋体" w:hAnsi="宋体" w:eastAsia="宋体" w:cs="宋体"/>
                <w:color w:val="auto"/>
                <w:kern w:val="0"/>
                <w:sz w:val="24"/>
                <w:szCs w:val="24"/>
              </w:rPr>
              <w:t xml:space="preserve">    分</w:t>
            </w:r>
          </w:p>
          <w:p>
            <w:pPr>
              <w:widowControl/>
              <w:autoSpaceDN w:val="0"/>
              <w:spacing w:line="400" w:lineRule="exact"/>
              <w:ind w:firstLine="48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商务部分：  </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0    分</w:t>
            </w:r>
          </w:p>
          <w:p>
            <w:pPr>
              <w:widowControl/>
              <w:autoSpaceDN w:val="0"/>
              <w:spacing w:line="400" w:lineRule="exact"/>
              <w:ind w:firstLine="48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技术部分：  </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0    分</w:t>
            </w:r>
          </w:p>
        </w:tc>
      </w:tr>
      <w:tr>
        <w:tblPrEx>
          <w:tblLayout w:type="fixed"/>
          <w:tblCellMar>
            <w:top w:w="0" w:type="dxa"/>
            <w:left w:w="0" w:type="dxa"/>
            <w:bottom w:w="0" w:type="dxa"/>
            <w:right w:w="0" w:type="dxa"/>
          </w:tblCellMar>
        </w:tblPrEx>
        <w:trPr>
          <w:trHeight w:val="591" w:hRule="atLeast"/>
        </w:trPr>
        <w:tc>
          <w:tcPr>
            <w:tcW w:w="8716" w:type="dxa"/>
            <w:gridSpan w:val="4"/>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30" w:lineRule="atLeast"/>
              <w:jc w:val="center"/>
              <w:rPr>
                <w:rFonts w:hint="eastAsia" w:ascii="宋体" w:hAnsi="宋体" w:eastAsia="宋体" w:cs="宋体"/>
                <w:color w:val="auto"/>
                <w:sz w:val="24"/>
                <w:szCs w:val="24"/>
              </w:rPr>
            </w:pPr>
            <w:r>
              <w:rPr>
                <w:rFonts w:hint="eastAsia" w:ascii="宋体" w:hAnsi="宋体" w:eastAsia="宋体" w:cs="宋体"/>
                <w:b/>
                <w:color w:val="auto"/>
                <w:kern w:val="0"/>
                <w:sz w:val="24"/>
                <w:szCs w:val="24"/>
              </w:rPr>
              <w:t xml:space="preserve">一、价格部分（满分 </w:t>
            </w:r>
            <w:r>
              <w:rPr>
                <w:rFonts w:hint="eastAsia" w:ascii="宋体" w:hAnsi="宋体" w:eastAsia="宋体" w:cs="宋体"/>
                <w:b/>
                <w:color w:val="auto"/>
                <w:kern w:val="0"/>
                <w:sz w:val="24"/>
                <w:szCs w:val="24"/>
                <w:lang w:val="en-US" w:eastAsia="zh-CN"/>
              </w:rPr>
              <w:t>4</w:t>
            </w:r>
            <w:r>
              <w:rPr>
                <w:rFonts w:hint="eastAsia" w:ascii="宋体" w:hAnsi="宋体" w:eastAsia="宋体" w:cs="宋体"/>
                <w:b/>
                <w:color w:val="auto"/>
                <w:kern w:val="0"/>
                <w:sz w:val="24"/>
                <w:szCs w:val="24"/>
              </w:rPr>
              <w:t>0 分）</w:t>
            </w:r>
          </w:p>
        </w:tc>
      </w:tr>
      <w:tr>
        <w:tblPrEx>
          <w:tblLayout w:type="fixed"/>
          <w:tblCellMar>
            <w:top w:w="0" w:type="dxa"/>
            <w:left w:w="0" w:type="dxa"/>
            <w:bottom w:w="0" w:type="dxa"/>
            <w:right w:w="0" w:type="dxa"/>
          </w:tblCellMar>
        </w:tblPrEx>
        <w:trPr>
          <w:trHeight w:val="591" w:hRule="atLeast"/>
        </w:trPr>
        <w:tc>
          <w:tcPr>
            <w:tcW w:w="1426" w:type="dxa"/>
            <w:gridSpan w:val="2"/>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30" w:lineRule="atLeast"/>
              <w:jc w:val="center"/>
              <w:rPr>
                <w:rFonts w:hint="eastAsia" w:ascii="宋体" w:hAnsi="宋体" w:eastAsia="宋体" w:cs="宋体"/>
                <w:color w:val="auto"/>
                <w:sz w:val="24"/>
                <w:szCs w:val="24"/>
              </w:rPr>
            </w:pPr>
            <w:r>
              <w:rPr>
                <w:rFonts w:hint="eastAsia" w:ascii="宋体" w:hAnsi="宋体" w:eastAsia="宋体" w:cs="宋体"/>
                <w:b/>
                <w:color w:val="auto"/>
                <w:kern w:val="0"/>
                <w:sz w:val="24"/>
                <w:szCs w:val="24"/>
              </w:rPr>
              <w:t>评分因素</w:t>
            </w:r>
          </w:p>
        </w:tc>
        <w:tc>
          <w:tcPr>
            <w:tcW w:w="5040"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30" w:lineRule="atLeast"/>
              <w:jc w:val="center"/>
              <w:rPr>
                <w:rFonts w:hint="eastAsia" w:ascii="宋体" w:hAnsi="宋体" w:eastAsia="宋体" w:cs="宋体"/>
                <w:color w:val="auto"/>
                <w:sz w:val="24"/>
                <w:szCs w:val="24"/>
              </w:rPr>
            </w:pPr>
            <w:r>
              <w:rPr>
                <w:rFonts w:hint="eastAsia" w:ascii="宋体" w:hAnsi="宋体" w:eastAsia="宋体" w:cs="宋体"/>
                <w:b/>
                <w:color w:val="auto"/>
                <w:kern w:val="0"/>
                <w:sz w:val="24"/>
                <w:szCs w:val="24"/>
              </w:rPr>
              <w:t>评分标准</w:t>
            </w:r>
          </w:p>
        </w:tc>
        <w:tc>
          <w:tcPr>
            <w:tcW w:w="2250"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30" w:lineRule="atLeast"/>
              <w:jc w:val="center"/>
              <w:rPr>
                <w:rFonts w:hint="eastAsia" w:ascii="宋体" w:hAnsi="宋体" w:eastAsia="宋体" w:cs="宋体"/>
                <w:color w:val="auto"/>
                <w:sz w:val="24"/>
                <w:szCs w:val="24"/>
              </w:rPr>
            </w:pPr>
            <w:r>
              <w:rPr>
                <w:rFonts w:hint="eastAsia" w:ascii="宋体" w:hAnsi="宋体" w:eastAsia="宋体" w:cs="宋体"/>
                <w:b/>
                <w:color w:val="auto"/>
                <w:kern w:val="0"/>
                <w:sz w:val="24"/>
                <w:szCs w:val="24"/>
              </w:rPr>
              <w:t>分值</w:t>
            </w:r>
          </w:p>
        </w:tc>
      </w:tr>
      <w:tr>
        <w:tblPrEx>
          <w:tblLayout w:type="fixed"/>
          <w:tblCellMar>
            <w:top w:w="0" w:type="dxa"/>
            <w:left w:w="0" w:type="dxa"/>
            <w:bottom w:w="0" w:type="dxa"/>
            <w:right w:w="0" w:type="dxa"/>
          </w:tblCellMar>
        </w:tblPrEx>
        <w:trPr>
          <w:trHeight w:val="90" w:hRule="atLeast"/>
        </w:trPr>
        <w:tc>
          <w:tcPr>
            <w:tcW w:w="1426" w:type="dxa"/>
            <w:gridSpan w:val="2"/>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30" w:lineRule="atLeas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投标报价</w:t>
            </w:r>
          </w:p>
          <w:p>
            <w:pPr>
              <w:widowControl/>
              <w:autoSpaceDN w:val="0"/>
              <w:spacing w:line="330" w:lineRule="atLeas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评分标准</w:t>
            </w:r>
          </w:p>
        </w:tc>
        <w:tc>
          <w:tcPr>
            <w:tcW w:w="5040"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4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评标基准价：满足招标文件要求的有效投标报价中，最低的投标报价为评标基准价。</w:t>
            </w:r>
          </w:p>
          <w:p>
            <w:pPr>
              <w:widowControl/>
              <w:autoSpaceDN w:val="0"/>
              <w:spacing w:line="400" w:lineRule="exact"/>
              <w:jc w:val="left"/>
              <w:rPr>
                <w:rFonts w:hint="default" w:ascii="宋体" w:hAnsi="宋体" w:eastAsia="宋体" w:cs="宋体"/>
                <w:color w:val="FF0000"/>
                <w:sz w:val="24"/>
                <w:szCs w:val="24"/>
                <w:lang w:val="en-US" w:eastAsia="zh-CN"/>
              </w:rPr>
            </w:pPr>
            <w:r>
              <w:rPr>
                <w:rFonts w:hint="eastAsia" w:ascii="宋体" w:hAnsi="宋体" w:eastAsia="宋体" w:cs="宋体"/>
                <w:color w:val="FF0000"/>
                <w:kern w:val="0"/>
                <w:sz w:val="24"/>
                <w:szCs w:val="24"/>
                <w:lang w:val="en-US" w:eastAsia="zh-CN"/>
              </w:rPr>
              <w:t>(本项目的投标报价以</w:t>
            </w:r>
            <w:r>
              <w:rPr>
                <w:rFonts w:hint="eastAsia" w:ascii="宋体" w:cs="宋体"/>
                <w:color w:val="FF0000"/>
                <w:sz w:val="24"/>
                <w:lang w:val="zh-CN"/>
              </w:rPr>
              <w:t>每防治一亩林地人民币多少元计算</w:t>
            </w:r>
            <w:r>
              <w:rPr>
                <w:rFonts w:hint="eastAsia" w:ascii="宋体" w:hAnsi="宋体" w:eastAsia="宋体" w:cs="宋体"/>
                <w:color w:val="FF0000"/>
                <w:kern w:val="0"/>
                <w:sz w:val="24"/>
                <w:szCs w:val="24"/>
                <w:lang w:val="en-US" w:eastAsia="zh-CN"/>
              </w:rPr>
              <w:t>)</w:t>
            </w:r>
          </w:p>
          <w:p>
            <w:pPr>
              <w:widowControl/>
              <w:autoSpaceDN w:val="0"/>
              <w:spacing w:line="400" w:lineRule="exact"/>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投标报价得分=（评标基准价/投标报价）× </w:t>
            </w:r>
            <w:r>
              <w:rPr>
                <w:rFonts w:hint="eastAsia" w:ascii="宋体" w:hAnsi="宋体" w:eastAsia="宋体" w:cs="宋体"/>
                <w:color w:val="auto"/>
                <w:kern w:val="0"/>
                <w:sz w:val="24"/>
                <w:szCs w:val="24"/>
                <w:lang w:val="en-US" w:eastAsia="zh-CN"/>
              </w:rPr>
              <w:t>40</w:t>
            </w:r>
            <w:r>
              <w:rPr>
                <w:rFonts w:hint="eastAsia" w:ascii="宋体" w:hAnsi="宋体" w:eastAsia="宋体" w:cs="宋体"/>
                <w:color w:val="auto"/>
                <w:kern w:val="0"/>
                <w:sz w:val="24"/>
                <w:szCs w:val="24"/>
              </w:rPr>
              <w:t xml:space="preserve"> </w:t>
            </w:r>
          </w:p>
        </w:tc>
        <w:tc>
          <w:tcPr>
            <w:tcW w:w="2250"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30" w:lineRule="atLeas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40</w:t>
            </w:r>
            <w:r>
              <w:rPr>
                <w:rFonts w:hint="eastAsia" w:ascii="宋体" w:hAnsi="宋体" w:eastAsia="宋体" w:cs="宋体"/>
                <w:color w:val="auto"/>
                <w:kern w:val="0"/>
                <w:sz w:val="24"/>
                <w:szCs w:val="24"/>
              </w:rPr>
              <w:t>分</w:t>
            </w:r>
          </w:p>
        </w:tc>
      </w:tr>
      <w:tr>
        <w:tblPrEx>
          <w:tblLayout w:type="fixed"/>
          <w:tblCellMar>
            <w:top w:w="0" w:type="dxa"/>
            <w:left w:w="0" w:type="dxa"/>
            <w:bottom w:w="0" w:type="dxa"/>
            <w:right w:w="0" w:type="dxa"/>
          </w:tblCellMar>
        </w:tblPrEx>
        <w:trPr>
          <w:trHeight w:val="591" w:hRule="atLeast"/>
        </w:trPr>
        <w:tc>
          <w:tcPr>
            <w:tcW w:w="8716" w:type="dxa"/>
            <w:gridSpan w:val="4"/>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30" w:lineRule="atLeast"/>
              <w:jc w:val="center"/>
              <w:rPr>
                <w:rFonts w:hint="eastAsia" w:ascii="宋体" w:hAnsi="宋体" w:eastAsia="宋体" w:cs="宋体"/>
                <w:color w:val="auto"/>
                <w:sz w:val="24"/>
                <w:szCs w:val="24"/>
              </w:rPr>
            </w:pPr>
            <w:r>
              <w:rPr>
                <w:rFonts w:hint="eastAsia" w:ascii="宋体" w:hAnsi="宋体" w:eastAsia="宋体" w:cs="宋体"/>
                <w:b/>
                <w:color w:val="auto"/>
                <w:kern w:val="0"/>
                <w:sz w:val="24"/>
                <w:szCs w:val="24"/>
              </w:rPr>
              <w:t xml:space="preserve">二、商务部分（满分 </w:t>
            </w:r>
            <w:r>
              <w:rPr>
                <w:rFonts w:hint="eastAsia" w:ascii="宋体" w:hAnsi="宋体" w:eastAsia="宋体" w:cs="宋体"/>
                <w:b/>
                <w:color w:val="auto"/>
                <w:kern w:val="0"/>
                <w:sz w:val="24"/>
                <w:szCs w:val="24"/>
                <w:lang w:val="en-US" w:eastAsia="zh-CN"/>
              </w:rPr>
              <w:t>2</w:t>
            </w:r>
            <w:r>
              <w:rPr>
                <w:rFonts w:hint="eastAsia" w:ascii="宋体" w:hAnsi="宋体" w:eastAsia="宋体" w:cs="宋体"/>
                <w:b/>
                <w:color w:val="auto"/>
                <w:kern w:val="0"/>
                <w:sz w:val="24"/>
                <w:szCs w:val="24"/>
              </w:rPr>
              <w:t>0 分）</w:t>
            </w:r>
          </w:p>
        </w:tc>
      </w:tr>
      <w:tr>
        <w:tblPrEx>
          <w:tblLayout w:type="fixed"/>
          <w:tblCellMar>
            <w:top w:w="0" w:type="dxa"/>
            <w:left w:w="0" w:type="dxa"/>
            <w:bottom w:w="0" w:type="dxa"/>
            <w:right w:w="0" w:type="dxa"/>
          </w:tblCellMar>
        </w:tblPrEx>
        <w:trPr>
          <w:trHeight w:val="591" w:hRule="atLeast"/>
        </w:trPr>
        <w:tc>
          <w:tcPr>
            <w:tcW w:w="1411"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30" w:lineRule="atLeast"/>
              <w:jc w:val="center"/>
              <w:rPr>
                <w:rFonts w:hint="eastAsia" w:ascii="宋体" w:hAnsi="宋体" w:eastAsia="宋体" w:cs="宋体"/>
                <w:color w:val="auto"/>
                <w:sz w:val="24"/>
                <w:szCs w:val="24"/>
              </w:rPr>
            </w:pPr>
            <w:r>
              <w:rPr>
                <w:rFonts w:hint="eastAsia" w:ascii="宋体" w:hAnsi="宋体" w:eastAsia="宋体" w:cs="宋体"/>
                <w:b/>
                <w:color w:val="auto"/>
                <w:kern w:val="0"/>
                <w:sz w:val="24"/>
                <w:szCs w:val="24"/>
              </w:rPr>
              <w:t>评分因素</w:t>
            </w:r>
          </w:p>
        </w:tc>
        <w:tc>
          <w:tcPr>
            <w:tcW w:w="5055" w:type="dxa"/>
            <w:gridSpan w:val="2"/>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30" w:lineRule="atLeast"/>
              <w:jc w:val="center"/>
              <w:rPr>
                <w:rFonts w:hint="eastAsia" w:ascii="宋体" w:hAnsi="宋体" w:eastAsia="宋体" w:cs="宋体"/>
                <w:color w:val="auto"/>
                <w:sz w:val="24"/>
                <w:szCs w:val="24"/>
              </w:rPr>
            </w:pPr>
            <w:r>
              <w:rPr>
                <w:rFonts w:hint="eastAsia" w:ascii="宋体" w:hAnsi="宋体" w:eastAsia="宋体" w:cs="宋体"/>
                <w:b/>
                <w:color w:val="auto"/>
                <w:kern w:val="0"/>
                <w:sz w:val="24"/>
                <w:szCs w:val="24"/>
              </w:rPr>
              <w:t>评分标准</w:t>
            </w:r>
          </w:p>
        </w:tc>
        <w:tc>
          <w:tcPr>
            <w:tcW w:w="2250"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30" w:lineRule="atLeast"/>
              <w:jc w:val="center"/>
              <w:rPr>
                <w:rFonts w:hint="eastAsia" w:ascii="宋体" w:hAnsi="宋体" w:eastAsia="宋体" w:cs="宋体"/>
                <w:color w:val="auto"/>
                <w:sz w:val="24"/>
                <w:szCs w:val="24"/>
              </w:rPr>
            </w:pPr>
            <w:r>
              <w:rPr>
                <w:rFonts w:hint="eastAsia" w:ascii="宋体" w:hAnsi="宋体" w:eastAsia="宋体" w:cs="宋体"/>
                <w:b/>
                <w:color w:val="auto"/>
                <w:kern w:val="0"/>
                <w:sz w:val="24"/>
                <w:szCs w:val="24"/>
              </w:rPr>
              <w:t>分值</w:t>
            </w:r>
          </w:p>
        </w:tc>
      </w:tr>
      <w:tr>
        <w:tblPrEx>
          <w:tblLayout w:type="fixed"/>
          <w:tblCellMar>
            <w:top w:w="0" w:type="dxa"/>
            <w:left w:w="0" w:type="dxa"/>
            <w:bottom w:w="0" w:type="dxa"/>
            <w:right w:w="0" w:type="dxa"/>
          </w:tblCellMar>
        </w:tblPrEx>
        <w:trPr>
          <w:trHeight w:val="745" w:hRule="atLeast"/>
        </w:trPr>
        <w:tc>
          <w:tcPr>
            <w:tcW w:w="1411"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60" w:lineRule="atLeas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企业实力</w:t>
            </w:r>
          </w:p>
        </w:tc>
        <w:tc>
          <w:tcPr>
            <w:tcW w:w="5055" w:type="dxa"/>
            <w:gridSpan w:val="2"/>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400" w:lineRule="exact"/>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飞机数量及性能：</w:t>
            </w:r>
            <w:r>
              <w:rPr>
                <w:rFonts w:hint="eastAsia" w:ascii="宋体" w:hAnsi="宋体" w:eastAsia="宋体" w:cs="宋体"/>
                <w:color w:val="auto"/>
                <w:kern w:val="0"/>
                <w:sz w:val="24"/>
                <w:szCs w:val="24"/>
              </w:rPr>
              <w:t>具有</w:t>
            </w:r>
            <w:r>
              <w:rPr>
                <w:rFonts w:hint="eastAsia" w:ascii="宋体" w:hAnsi="宋体" w:eastAsia="宋体" w:cs="宋体"/>
                <w:color w:val="auto"/>
                <w:kern w:val="0"/>
                <w:sz w:val="24"/>
                <w:szCs w:val="24"/>
                <w:lang w:eastAsia="zh-CN"/>
              </w:rPr>
              <w:t>每架次载药量</w:t>
            </w:r>
            <w:r>
              <w:rPr>
                <w:rFonts w:hint="eastAsia" w:ascii="宋体" w:hAnsi="宋体" w:eastAsia="宋体" w:cs="宋体"/>
                <w:color w:val="auto"/>
                <w:kern w:val="0"/>
                <w:sz w:val="24"/>
                <w:szCs w:val="24"/>
                <w:lang w:val="en-US" w:eastAsia="zh-CN"/>
              </w:rPr>
              <w:t>160公斤以上，200公斤以下（不含200公斤）</w:t>
            </w:r>
            <w:r>
              <w:rPr>
                <w:rFonts w:hint="eastAsia" w:ascii="宋体" w:hAnsi="宋体" w:eastAsia="宋体" w:cs="宋体"/>
                <w:color w:val="auto"/>
                <w:kern w:val="0"/>
                <w:sz w:val="24"/>
                <w:szCs w:val="24"/>
              </w:rPr>
              <w:t>可用于飞防作业的</w:t>
            </w:r>
            <w:r>
              <w:rPr>
                <w:rFonts w:hint="eastAsia" w:ascii="宋体" w:hAnsi="宋体" w:eastAsia="宋体" w:cs="宋体"/>
                <w:color w:val="auto"/>
                <w:kern w:val="0"/>
                <w:sz w:val="24"/>
                <w:szCs w:val="24"/>
                <w:lang w:val="en-US" w:eastAsia="zh-CN"/>
              </w:rPr>
              <w:t>飞机，每架得1分；具有</w:t>
            </w:r>
            <w:r>
              <w:rPr>
                <w:rFonts w:hint="eastAsia" w:ascii="宋体" w:hAnsi="宋体" w:eastAsia="宋体" w:cs="宋体"/>
                <w:color w:val="auto"/>
                <w:kern w:val="0"/>
                <w:sz w:val="24"/>
                <w:szCs w:val="24"/>
                <w:lang w:eastAsia="zh-CN"/>
              </w:rPr>
              <w:t>每架次</w:t>
            </w:r>
            <w:r>
              <w:rPr>
                <w:rFonts w:hint="eastAsia" w:ascii="宋体" w:hAnsi="宋体" w:eastAsia="宋体" w:cs="宋体"/>
                <w:color w:val="auto"/>
                <w:kern w:val="0"/>
                <w:sz w:val="24"/>
                <w:szCs w:val="24"/>
                <w:lang w:val="en-US" w:eastAsia="zh-CN"/>
              </w:rPr>
              <w:t>载药量200公斤以上（含200公斤）</w:t>
            </w:r>
            <w:r>
              <w:rPr>
                <w:rFonts w:hint="eastAsia" w:ascii="宋体" w:hAnsi="宋体" w:eastAsia="宋体" w:cs="宋体"/>
                <w:color w:val="auto"/>
                <w:kern w:val="0"/>
                <w:sz w:val="24"/>
                <w:szCs w:val="24"/>
              </w:rPr>
              <w:t>可用于飞防作业的</w:t>
            </w:r>
            <w:r>
              <w:rPr>
                <w:rFonts w:hint="eastAsia" w:ascii="宋体" w:hAnsi="宋体" w:eastAsia="宋体" w:cs="宋体"/>
                <w:color w:val="auto"/>
                <w:kern w:val="0"/>
                <w:sz w:val="24"/>
                <w:szCs w:val="24"/>
                <w:lang w:val="en-US" w:eastAsia="zh-CN"/>
              </w:rPr>
              <w:t>飞机，每架得3分，满分9分；</w:t>
            </w:r>
          </w:p>
        </w:tc>
        <w:tc>
          <w:tcPr>
            <w:tcW w:w="2250"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30" w:lineRule="atLeas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rPr>
              <w:t>分</w:t>
            </w:r>
          </w:p>
        </w:tc>
      </w:tr>
      <w:tr>
        <w:tblPrEx>
          <w:tblLayout w:type="fixed"/>
          <w:tblCellMar>
            <w:top w:w="0" w:type="dxa"/>
            <w:left w:w="0" w:type="dxa"/>
            <w:bottom w:w="0" w:type="dxa"/>
            <w:right w:w="0" w:type="dxa"/>
          </w:tblCellMar>
        </w:tblPrEx>
        <w:trPr>
          <w:trHeight w:val="591" w:hRule="atLeast"/>
        </w:trPr>
        <w:tc>
          <w:tcPr>
            <w:tcW w:w="1411"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400" w:lineRule="atLeas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业绩</w:t>
            </w:r>
          </w:p>
        </w:tc>
        <w:tc>
          <w:tcPr>
            <w:tcW w:w="5055" w:type="dxa"/>
            <w:gridSpan w:val="2"/>
            <w:tcBorders>
              <w:bottom w:val="single" w:color="000000" w:sz="8" w:space="0"/>
              <w:right w:val="single" w:color="000000" w:sz="8" w:space="0"/>
            </w:tcBorders>
            <w:noWrap w:val="0"/>
            <w:tcMar>
              <w:top w:w="0" w:type="dxa"/>
              <w:left w:w="108" w:type="dxa"/>
              <w:bottom w:w="0" w:type="dxa"/>
              <w:right w:w="108" w:type="dxa"/>
            </w:tcMar>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kern w:val="0"/>
                <w:sz w:val="24"/>
                <w:szCs w:val="24"/>
              </w:rPr>
              <w:t>2016年以来具有飞机防治类似项目业绩，单项合同金额在40万</w:t>
            </w:r>
            <w:r>
              <w:rPr>
                <w:rFonts w:hint="eastAsia" w:ascii="宋体" w:hAnsi="宋体" w:eastAsia="宋体" w:cs="宋体"/>
                <w:color w:val="auto"/>
                <w:kern w:val="0"/>
                <w:sz w:val="24"/>
                <w:szCs w:val="24"/>
                <w:lang w:eastAsia="zh-CN"/>
              </w:rPr>
              <w:t>元</w:t>
            </w:r>
            <w:r>
              <w:rPr>
                <w:rFonts w:hint="eastAsia" w:ascii="宋体" w:hAnsi="宋体" w:eastAsia="宋体" w:cs="宋体"/>
                <w:color w:val="auto"/>
                <w:kern w:val="0"/>
                <w:sz w:val="24"/>
                <w:szCs w:val="24"/>
              </w:rPr>
              <w:t>以上（含40万</w:t>
            </w:r>
            <w:r>
              <w:rPr>
                <w:rFonts w:hint="eastAsia" w:ascii="宋体" w:hAnsi="宋体" w:eastAsia="宋体" w:cs="宋体"/>
                <w:color w:val="auto"/>
                <w:kern w:val="0"/>
                <w:sz w:val="24"/>
                <w:szCs w:val="24"/>
                <w:lang w:eastAsia="zh-CN"/>
              </w:rPr>
              <w:t>元</w:t>
            </w:r>
            <w:r>
              <w:rPr>
                <w:rFonts w:hint="eastAsia" w:ascii="宋体" w:hAnsi="宋体" w:eastAsia="宋体" w:cs="宋体"/>
                <w:color w:val="auto"/>
                <w:kern w:val="0"/>
                <w:sz w:val="24"/>
                <w:szCs w:val="24"/>
              </w:rPr>
              <w:t>），合同齐全的每个2分，满分8分（以合同日期为准）。</w:t>
            </w:r>
            <w:r>
              <w:rPr>
                <w:rFonts w:hint="eastAsia" w:ascii="宋体" w:hAnsi="宋体" w:eastAsia="宋体" w:cs="宋体"/>
                <w:color w:val="auto"/>
                <w:kern w:val="0"/>
                <w:sz w:val="24"/>
                <w:szCs w:val="24"/>
                <w:lang w:eastAsia="zh-CN"/>
              </w:rPr>
              <w:t>政府采购项目应提供中标通知书、合同、验收报告。</w:t>
            </w:r>
          </w:p>
        </w:tc>
        <w:tc>
          <w:tcPr>
            <w:tcW w:w="2250"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30" w:lineRule="atLeas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8分</w:t>
            </w:r>
          </w:p>
        </w:tc>
      </w:tr>
      <w:tr>
        <w:tblPrEx>
          <w:tblLayout w:type="fixed"/>
          <w:tblCellMar>
            <w:top w:w="0" w:type="dxa"/>
            <w:left w:w="0" w:type="dxa"/>
            <w:bottom w:w="0" w:type="dxa"/>
            <w:right w:w="0" w:type="dxa"/>
          </w:tblCellMar>
        </w:tblPrEx>
        <w:trPr>
          <w:trHeight w:val="591" w:hRule="atLeast"/>
        </w:trPr>
        <w:tc>
          <w:tcPr>
            <w:tcW w:w="1411"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荣誉</w:t>
            </w:r>
          </w:p>
        </w:tc>
        <w:tc>
          <w:tcPr>
            <w:tcW w:w="5055" w:type="dxa"/>
            <w:gridSpan w:val="2"/>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400" w:lineRule="exact"/>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根据投标人在本项目以前社会对其认可度以及行政主管部门、工商、银行、行业部门颁发的荣誉证书等情况，每提供一份相关荣誉证书得1分，满分3分，不提供不得分。</w:t>
            </w:r>
          </w:p>
        </w:tc>
        <w:tc>
          <w:tcPr>
            <w:tcW w:w="2250"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30" w:lineRule="atLeas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3分</w:t>
            </w:r>
          </w:p>
        </w:tc>
      </w:tr>
      <w:tr>
        <w:tblPrEx>
          <w:tblLayout w:type="fixed"/>
          <w:tblCellMar>
            <w:top w:w="0" w:type="dxa"/>
            <w:left w:w="0" w:type="dxa"/>
            <w:bottom w:w="0" w:type="dxa"/>
            <w:right w:w="0" w:type="dxa"/>
          </w:tblCellMar>
        </w:tblPrEx>
        <w:trPr>
          <w:trHeight w:val="623" w:hRule="atLeast"/>
        </w:trPr>
        <w:tc>
          <w:tcPr>
            <w:tcW w:w="8716" w:type="dxa"/>
            <w:gridSpan w:val="4"/>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30" w:lineRule="atLeast"/>
              <w:jc w:val="center"/>
              <w:rPr>
                <w:rFonts w:hint="eastAsia" w:ascii="宋体" w:hAnsi="宋体" w:eastAsia="宋体" w:cs="宋体"/>
                <w:color w:val="auto"/>
                <w:sz w:val="24"/>
                <w:szCs w:val="24"/>
              </w:rPr>
            </w:pPr>
            <w:r>
              <w:rPr>
                <w:rFonts w:hint="eastAsia" w:ascii="宋体" w:hAnsi="宋体" w:eastAsia="宋体" w:cs="宋体"/>
                <w:b/>
                <w:color w:val="auto"/>
                <w:kern w:val="0"/>
                <w:sz w:val="24"/>
                <w:szCs w:val="24"/>
              </w:rPr>
              <w:t xml:space="preserve">三、技术部分（满分 </w:t>
            </w:r>
            <w:r>
              <w:rPr>
                <w:rFonts w:hint="eastAsia" w:ascii="宋体" w:hAnsi="宋体" w:eastAsia="宋体" w:cs="宋体"/>
                <w:b/>
                <w:color w:val="auto"/>
                <w:kern w:val="0"/>
                <w:sz w:val="24"/>
                <w:szCs w:val="24"/>
                <w:lang w:val="en-US" w:eastAsia="zh-CN"/>
              </w:rPr>
              <w:t>4</w:t>
            </w:r>
            <w:r>
              <w:rPr>
                <w:rFonts w:hint="eastAsia" w:ascii="宋体" w:hAnsi="宋体" w:eastAsia="宋体" w:cs="宋体"/>
                <w:b/>
                <w:color w:val="auto"/>
                <w:kern w:val="0"/>
                <w:sz w:val="24"/>
                <w:szCs w:val="24"/>
              </w:rPr>
              <w:t>0 分）</w:t>
            </w:r>
          </w:p>
        </w:tc>
      </w:tr>
      <w:tr>
        <w:tblPrEx>
          <w:tblLayout w:type="fixed"/>
          <w:tblCellMar>
            <w:top w:w="0" w:type="dxa"/>
            <w:left w:w="0" w:type="dxa"/>
            <w:bottom w:w="0" w:type="dxa"/>
            <w:right w:w="0" w:type="dxa"/>
          </w:tblCellMar>
        </w:tblPrEx>
        <w:trPr>
          <w:trHeight w:val="591" w:hRule="atLeast"/>
        </w:trPr>
        <w:tc>
          <w:tcPr>
            <w:tcW w:w="1411"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30" w:lineRule="atLeast"/>
              <w:jc w:val="center"/>
              <w:rPr>
                <w:rFonts w:hint="eastAsia" w:ascii="宋体" w:hAnsi="宋体" w:eastAsia="宋体" w:cs="宋体"/>
                <w:color w:val="auto"/>
                <w:sz w:val="24"/>
                <w:szCs w:val="24"/>
              </w:rPr>
            </w:pPr>
            <w:r>
              <w:rPr>
                <w:rFonts w:hint="eastAsia" w:ascii="宋体" w:hAnsi="宋体" w:eastAsia="宋体" w:cs="宋体"/>
                <w:b/>
                <w:color w:val="auto"/>
                <w:kern w:val="0"/>
                <w:sz w:val="24"/>
                <w:szCs w:val="24"/>
              </w:rPr>
              <w:t>评分因素</w:t>
            </w:r>
          </w:p>
        </w:tc>
        <w:tc>
          <w:tcPr>
            <w:tcW w:w="5055" w:type="dxa"/>
            <w:gridSpan w:val="2"/>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30" w:lineRule="atLeast"/>
              <w:jc w:val="center"/>
              <w:rPr>
                <w:rFonts w:hint="eastAsia" w:ascii="宋体" w:hAnsi="宋体" w:eastAsia="宋体" w:cs="宋体"/>
                <w:color w:val="auto"/>
                <w:sz w:val="24"/>
                <w:szCs w:val="24"/>
              </w:rPr>
            </w:pPr>
            <w:r>
              <w:rPr>
                <w:rFonts w:hint="eastAsia" w:ascii="宋体" w:hAnsi="宋体" w:eastAsia="宋体" w:cs="宋体"/>
                <w:b/>
                <w:color w:val="auto"/>
                <w:kern w:val="0"/>
                <w:sz w:val="24"/>
                <w:szCs w:val="24"/>
              </w:rPr>
              <w:t>评分标准</w:t>
            </w:r>
          </w:p>
        </w:tc>
        <w:tc>
          <w:tcPr>
            <w:tcW w:w="2250"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30" w:lineRule="atLeast"/>
              <w:jc w:val="center"/>
              <w:rPr>
                <w:rFonts w:hint="eastAsia" w:ascii="宋体" w:hAnsi="宋体" w:eastAsia="宋体" w:cs="宋体"/>
                <w:color w:val="auto"/>
                <w:sz w:val="24"/>
                <w:szCs w:val="24"/>
              </w:rPr>
            </w:pPr>
            <w:r>
              <w:rPr>
                <w:rFonts w:hint="eastAsia" w:ascii="宋体" w:hAnsi="宋体" w:eastAsia="宋体" w:cs="宋体"/>
                <w:b/>
                <w:color w:val="auto"/>
                <w:kern w:val="0"/>
                <w:sz w:val="24"/>
                <w:szCs w:val="24"/>
              </w:rPr>
              <w:t>分值</w:t>
            </w:r>
          </w:p>
        </w:tc>
      </w:tr>
      <w:tr>
        <w:tblPrEx>
          <w:tblLayout w:type="fixed"/>
          <w:tblCellMar>
            <w:top w:w="0" w:type="dxa"/>
            <w:left w:w="0" w:type="dxa"/>
            <w:bottom w:w="0" w:type="dxa"/>
            <w:right w:w="0" w:type="dxa"/>
          </w:tblCellMar>
        </w:tblPrEx>
        <w:trPr>
          <w:trHeight w:val="1226" w:hRule="atLeast"/>
        </w:trPr>
        <w:tc>
          <w:tcPr>
            <w:tcW w:w="1411" w:type="dxa"/>
            <w:tcBorders>
              <w:left w:val="single" w:color="000000" w:sz="8" w:space="0"/>
              <w:bottom w:val="single" w:color="auto" w:sz="4" w:space="0"/>
              <w:right w:val="single" w:color="000000" w:sz="8" w:space="0"/>
            </w:tcBorders>
            <w:noWrap w:val="0"/>
            <w:tcMar>
              <w:top w:w="0" w:type="dxa"/>
              <w:left w:w="108" w:type="dxa"/>
              <w:bottom w:w="0" w:type="dxa"/>
              <w:right w:w="108" w:type="dxa"/>
            </w:tcMar>
            <w:vAlign w:val="center"/>
          </w:tcPr>
          <w:p>
            <w:pPr>
              <w:widowControl/>
              <w:autoSpaceDN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对招标文件响应程度</w:t>
            </w:r>
          </w:p>
        </w:tc>
        <w:tc>
          <w:tcPr>
            <w:tcW w:w="5055" w:type="dxa"/>
            <w:gridSpan w:val="2"/>
            <w:tcBorders>
              <w:bottom w:val="single" w:color="auto" w:sz="4" w:space="0"/>
              <w:right w:val="single" w:color="000000" w:sz="8" w:space="0"/>
            </w:tcBorders>
            <w:noWrap w:val="0"/>
            <w:tcMar>
              <w:top w:w="0" w:type="dxa"/>
              <w:left w:w="108" w:type="dxa"/>
              <w:bottom w:w="0" w:type="dxa"/>
              <w:right w:w="108" w:type="dxa"/>
            </w:tcMar>
            <w:vAlign w:val="center"/>
          </w:tcPr>
          <w:p>
            <w:pPr>
              <w:widowControl/>
              <w:autoSpaceDN w:val="0"/>
              <w:spacing w:line="400" w:lineRule="exact"/>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不满足招标文件技术指标要求和商务条款规定的为无效投标。</w:t>
            </w:r>
          </w:p>
        </w:tc>
        <w:tc>
          <w:tcPr>
            <w:tcW w:w="2250" w:type="dxa"/>
            <w:tcBorders>
              <w:bottom w:val="single" w:color="auto" w:sz="4" w:space="0"/>
              <w:right w:val="single" w:color="000000" w:sz="8" w:space="0"/>
            </w:tcBorders>
            <w:noWrap w:val="0"/>
            <w:tcMar>
              <w:top w:w="0" w:type="dxa"/>
              <w:left w:w="108" w:type="dxa"/>
              <w:bottom w:w="0" w:type="dxa"/>
              <w:right w:w="108" w:type="dxa"/>
            </w:tcMar>
            <w:vAlign w:val="center"/>
          </w:tcPr>
          <w:p>
            <w:pPr>
              <w:widowControl/>
              <w:autoSpaceDN w:val="0"/>
              <w:spacing w:line="330" w:lineRule="atLeast"/>
              <w:jc w:val="center"/>
              <w:rPr>
                <w:rFonts w:hint="eastAsia" w:ascii="宋体" w:hAnsi="宋体" w:eastAsia="宋体" w:cs="宋体"/>
                <w:color w:val="auto"/>
                <w:sz w:val="24"/>
                <w:szCs w:val="24"/>
              </w:rPr>
            </w:pPr>
          </w:p>
        </w:tc>
      </w:tr>
      <w:tr>
        <w:tblPrEx>
          <w:tblLayout w:type="fixed"/>
          <w:tblCellMar>
            <w:top w:w="0" w:type="dxa"/>
            <w:left w:w="0" w:type="dxa"/>
            <w:bottom w:w="0" w:type="dxa"/>
            <w:right w:w="0" w:type="dxa"/>
          </w:tblCellMar>
        </w:tblPrEx>
        <w:trPr>
          <w:trHeight w:val="760" w:hRule="atLeast"/>
        </w:trPr>
        <w:tc>
          <w:tcPr>
            <w:tcW w:w="1411" w:type="dxa"/>
            <w:tcBorders>
              <w:top w:val="single" w:color="auto" w:sz="4" w:space="0"/>
              <w:left w:val="single" w:color="000000" w:sz="8" w:space="0"/>
              <w:bottom w:val="single" w:color="auto" w:sz="4" w:space="0"/>
              <w:right w:val="single" w:color="000000" w:sz="8" w:space="0"/>
            </w:tcBorders>
            <w:noWrap w:val="0"/>
            <w:tcMar>
              <w:top w:w="0" w:type="dxa"/>
              <w:left w:w="108" w:type="dxa"/>
              <w:bottom w:w="0" w:type="dxa"/>
              <w:right w:w="108" w:type="dxa"/>
            </w:tcMar>
            <w:vAlign w:val="center"/>
          </w:tcPr>
          <w:p>
            <w:pPr>
              <w:widowControl/>
              <w:autoSpaceDN w:val="0"/>
              <w:spacing w:line="40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投标文件规范程度</w:t>
            </w:r>
          </w:p>
        </w:tc>
        <w:tc>
          <w:tcPr>
            <w:tcW w:w="5055" w:type="dxa"/>
            <w:gridSpan w:val="2"/>
            <w:tcBorders>
              <w:top w:val="single" w:color="auto" w:sz="4" w:space="0"/>
              <w:bottom w:val="single" w:color="auto" w:sz="4" w:space="0"/>
              <w:right w:val="single" w:color="000000" w:sz="8" w:space="0"/>
            </w:tcBorders>
            <w:noWrap w:val="0"/>
            <w:tcMar>
              <w:top w:w="0" w:type="dxa"/>
              <w:left w:w="108" w:type="dxa"/>
              <w:bottom w:w="0" w:type="dxa"/>
              <w:right w:w="108" w:type="dxa"/>
            </w:tcMar>
            <w:vAlign w:val="center"/>
          </w:tcPr>
          <w:p>
            <w:pPr>
              <w:widowControl/>
              <w:autoSpaceDN w:val="0"/>
              <w:spacing w:line="400" w:lineRule="exact"/>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投标文件装订规范、文字清晰、无差错</w:t>
            </w:r>
            <w:r>
              <w:rPr>
                <w:rFonts w:hint="eastAsia" w:ascii="宋体" w:hAnsi="宋体" w:eastAsia="宋体" w:cs="宋体"/>
                <w:color w:val="auto"/>
                <w:kern w:val="0"/>
                <w:sz w:val="24"/>
                <w:szCs w:val="24"/>
                <w:lang w:val="en-US" w:eastAsia="zh-CN"/>
              </w:rPr>
              <w:t>3分，所提供资料准确完整3分，否则不得分。</w:t>
            </w:r>
          </w:p>
        </w:tc>
        <w:tc>
          <w:tcPr>
            <w:tcW w:w="2250" w:type="dxa"/>
            <w:tcBorders>
              <w:top w:val="single" w:color="auto" w:sz="4" w:space="0"/>
              <w:bottom w:val="single" w:color="auto" w:sz="4" w:space="0"/>
              <w:right w:val="single" w:color="000000" w:sz="8" w:space="0"/>
            </w:tcBorders>
            <w:noWrap w:val="0"/>
            <w:tcMar>
              <w:top w:w="0" w:type="dxa"/>
              <w:left w:w="108" w:type="dxa"/>
              <w:bottom w:w="0" w:type="dxa"/>
              <w:right w:w="108" w:type="dxa"/>
            </w:tcMar>
            <w:vAlign w:val="center"/>
          </w:tcPr>
          <w:p>
            <w:pPr>
              <w:widowControl/>
              <w:autoSpaceDN w:val="0"/>
              <w:spacing w:line="330"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6分</w:t>
            </w:r>
          </w:p>
        </w:tc>
      </w:tr>
      <w:tr>
        <w:tblPrEx>
          <w:tblLayout w:type="fixed"/>
          <w:tblCellMar>
            <w:top w:w="0" w:type="dxa"/>
            <w:left w:w="0" w:type="dxa"/>
            <w:bottom w:w="0" w:type="dxa"/>
            <w:right w:w="0" w:type="dxa"/>
          </w:tblCellMar>
        </w:tblPrEx>
        <w:trPr>
          <w:trHeight w:val="760" w:hRule="atLeast"/>
        </w:trPr>
        <w:tc>
          <w:tcPr>
            <w:tcW w:w="1411" w:type="dxa"/>
            <w:tcBorders>
              <w:top w:val="single" w:color="auto" w:sz="4" w:space="0"/>
              <w:left w:val="single" w:color="000000" w:sz="8" w:space="0"/>
              <w:bottom w:val="single" w:color="auto" w:sz="4" w:space="0"/>
              <w:right w:val="single" w:color="000000" w:sz="8" w:space="0"/>
            </w:tcBorders>
            <w:noWrap w:val="0"/>
            <w:tcMar>
              <w:top w:w="0" w:type="dxa"/>
              <w:left w:w="108" w:type="dxa"/>
              <w:bottom w:w="0" w:type="dxa"/>
              <w:right w:w="108" w:type="dxa"/>
            </w:tcMar>
            <w:vAlign w:val="center"/>
          </w:tcPr>
          <w:p>
            <w:pPr>
              <w:widowControl/>
              <w:autoSpaceDN w:val="0"/>
              <w:spacing w:line="40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服务方案</w:t>
            </w:r>
          </w:p>
        </w:tc>
        <w:tc>
          <w:tcPr>
            <w:tcW w:w="5055" w:type="dxa"/>
            <w:gridSpan w:val="2"/>
            <w:tcBorders>
              <w:top w:val="single" w:color="auto" w:sz="4" w:space="0"/>
              <w:bottom w:val="single" w:color="auto" w:sz="4" w:space="0"/>
              <w:right w:val="single" w:color="000000" w:sz="8" w:space="0"/>
            </w:tcBorders>
            <w:noWrap w:val="0"/>
            <w:tcMar>
              <w:top w:w="0" w:type="dxa"/>
              <w:left w:w="108" w:type="dxa"/>
              <w:bottom w:w="0" w:type="dxa"/>
              <w:right w:w="108" w:type="dxa"/>
            </w:tcMar>
            <w:vAlign w:val="center"/>
          </w:tcPr>
          <w:p>
            <w:pPr>
              <w:widowControl/>
              <w:autoSpaceDN w:val="0"/>
              <w:spacing w:line="4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、具有管理服务方案</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分，不提供不得分；</w:t>
            </w:r>
          </w:p>
          <w:p>
            <w:pPr>
              <w:widowControl/>
              <w:autoSpaceDN w:val="0"/>
              <w:spacing w:line="400" w:lineRule="exact"/>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、具有服务及质量保障措施得</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分，不提供不得分。</w:t>
            </w:r>
          </w:p>
        </w:tc>
        <w:tc>
          <w:tcPr>
            <w:tcW w:w="2250" w:type="dxa"/>
            <w:tcBorders>
              <w:top w:val="single" w:color="auto" w:sz="4" w:space="0"/>
              <w:bottom w:val="single" w:color="auto" w:sz="4" w:space="0"/>
              <w:right w:val="single" w:color="000000" w:sz="8" w:space="0"/>
            </w:tcBorders>
            <w:noWrap w:val="0"/>
            <w:tcMar>
              <w:top w:w="0" w:type="dxa"/>
              <w:left w:w="108" w:type="dxa"/>
              <w:bottom w:w="0" w:type="dxa"/>
              <w:right w:w="108" w:type="dxa"/>
            </w:tcMar>
            <w:vAlign w:val="center"/>
          </w:tcPr>
          <w:p>
            <w:pPr>
              <w:widowControl/>
              <w:autoSpaceDN w:val="0"/>
              <w:spacing w:line="330"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10分</w:t>
            </w:r>
          </w:p>
        </w:tc>
      </w:tr>
      <w:tr>
        <w:tblPrEx>
          <w:tblLayout w:type="fixed"/>
          <w:tblCellMar>
            <w:top w:w="0" w:type="dxa"/>
            <w:left w:w="0" w:type="dxa"/>
            <w:bottom w:w="0" w:type="dxa"/>
            <w:right w:w="0" w:type="dxa"/>
          </w:tblCellMar>
        </w:tblPrEx>
        <w:trPr>
          <w:trHeight w:val="2850" w:hRule="atLeast"/>
        </w:trPr>
        <w:tc>
          <w:tcPr>
            <w:tcW w:w="1411" w:type="dxa"/>
            <w:tcBorders>
              <w:top w:val="single" w:color="auto" w:sz="4"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40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技术方案</w:t>
            </w:r>
          </w:p>
        </w:tc>
        <w:tc>
          <w:tcPr>
            <w:tcW w:w="5055" w:type="dxa"/>
            <w:gridSpan w:val="2"/>
            <w:tcBorders>
              <w:top w:val="single" w:color="auto" w:sz="4" w:space="0"/>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4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下列每具有一项得5分，满分20分。</w:t>
            </w:r>
          </w:p>
          <w:p>
            <w:pPr>
              <w:widowControl/>
              <w:autoSpaceDN w:val="0"/>
              <w:spacing w:line="4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防治作业方案；</w:t>
            </w:r>
          </w:p>
          <w:p>
            <w:pPr>
              <w:widowControl/>
              <w:autoSpaceDN w:val="0"/>
              <w:spacing w:line="4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确定飞机机型、数量和农药的选择及配比；</w:t>
            </w:r>
          </w:p>
          <w:p>
            <w:pPr>
              <w:widowControl/>
              <w:autoSpaceDN w:val="0"/>
              <w:spacing w:line="4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补防措施，确保整体防治效果；</w:t>
            </w:r>
          </w:p>
          <w:p>
            <w:pPr>
              <w:widowControl/>
              <w:autoSpaceDN w:val="0"/>
              <w:spacing w:line="4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飞防项目应急及突发事件的处理措施（包括飞行突发事故和防治过程可能造成的药物伤害等方面）。</w:t>
            </w:r>
          </w:p>
          <w:p>
            <w:pPr>
              <w:widowControl/>
              <w:autoSpaceDN w:val="0"/>
              <w:spacing w:line="4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不提供不得分。</w:t>
            </w:r>
          </w:p>
        </w:tc>
        <w:tc>
          <w:tcPr>
            <w:tcW w:w="2250" w:type="dxa"/>
            <w:tcBorders>
              <w:top w:val="single" w:color="auto" w:sz="4" w:space="0"/>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30"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20分</w:t>
            </w:r>
          </w:p>
        </w:tc>
      </w:tr>
      <w:tr>
        <w:tblPrEx>
          <w:tblLayout w:type="fixed"/>
          <w:tblCellMar>
            <w:top w:w="0" w:type="dxa"/>
            <w:left w:w="0" w:type="dxa"/>
            <w:bottom w:w="0" w:type="dxa"/>
            <w:right w:w="0" w:type="dxa"/>
          </w:tblCellMar>
        </w:tblPrEx>
        <w:trPr>
          <w:trHeight w:val="745" w:hRule="atLeast"/>
        </w:trPr>
        <w:tc>
          <w:tcPr>
            <w:tcW w:w="1411"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售后服务</w:t>
            </w:r>
          </w:p>
          <w:p>
            <w:pPr>
              <w:widowControl/>
              <w:autoSpaceDN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承诺</w:t>
            </w:r>
          </w:p>
        </w:tc>
        <w:tc>
          <w:tcPr>
            <w:tcW w:w="5055" w:type="dxa"/>
            <w:gridSpan w:val="2"/>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4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1、做出服务质量承诺得1分；</w:t>
            </w:r>
          </w:p>
          <w:p>
            <w:pPr>
              <w:widowControl/>
              <w:autoSpaceDN w:val="0"/>
              <w:spacing w:line="4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2、做出服务流程及服务态度承诺得1分；</w:t>
            </w:r>
          </w:p>
          <w:p>
            <w:pPr>
              <w:widowControl/>
              <w:autoSpaceDN w:val="0"/>
              <w:spacing w:line="4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3、做出服务时限承诺得1分；</w:t>
            </w:r>
          </w:p>
          <w:p>
            <w:pPr>
              <w:widowControl/>
              <w:autoSpaceDN w:val="0"/>
              <w:spacing w:line="4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4、做出服务安全承诺得1分；</w:t>
            </w:r>
          </w:p>
          <w:p>
            <w:pPr>
              <w:widowControl/>
              <w:autoSpaceDN w:val="0"/>
              <w:spacing w:line="4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不提供不得分。</w:t>
            </w:r>
          </w:p>
        </w:tc>
        <w:tc>
          <w:tcPr>
            <w:tcW w:w="2250" w:type="dxa"/>
            <w:tcBorders>
              <w:bottom w:val="single" w:color="000000" w:sz="8" w:space="0"/>
              <w:right w:val="single" w:color="000000" w:sz="8" w:space="0"/>
            </w:tcBorders>
            <w:noWrap w:val="0"/>
            <w:tcMar>
              <w:top w:w="0" w:type="dxa"/>
              <w:left w:w="108" w:type="dxa"/>
              <w:bottom w:w="0" w:type="dxa"/>
              <w:right w:w="108" w:type="dxa"/>
            </w:tcMar>
            <w:vAlign w:val="center"/>
          </w:tcPr>
          <w:p>
            <w:pPr>
              <w:widowControl/>
              <w:autoSpaceDN w:val="0"/>
              <w:spacing w:line="330" w:lineRule="atLeas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分</w:t>
            </w:r>
          </w:p>
        </w:tc>
      </w:tr>
    </w:tbl>
    <w:p>
      <w:pPr>
        <w:pStyle w:val="12"/>
        <w:spacing w:line="360" w:lineRule="auto"/>
        <w:ind w:firstLine="482" w:firstLineChars="200"/>
        <w:contextualSpacing/>
        <w:rPr>
          <w:rFonts w:hint="eastAsia" w:cs="仿宋_GB2312" w:asciiTheme="minorEastAsia" w:hAnsiTheme="minorEastAsia" w:eastAsiaTheme="minorEastAsia"/>
          <w:b/>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b/>
                <w:color w:val="FF0000"/>
                <w:sz w:val="24"/>
                <w:szCs w:val="24"/>
                <w:lang w:val="en-GB"/>
              </w:rPr>
            </w:pPr>
            <w:r>
              <w:rPr>
                <w:rFonts w:hint="eastAsia" w:ascii="宋体" w:hAnsi="宋体"/>
                <w:color w:val="FF0000"/>
                <w:sz w:val="24"/>
                <w:szCs w:val="24"/>
                <w:lang w:val="en-GB"/>
              </w:rPr>
              <w:t>非联合体投标人</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t>2</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2"/>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84023138"/>
      <w:bookmarkStart w:id="2" w:name="_Toc174185203"/>
      <w:bookmarkStart w:id="3" w:name="_Toc186274126"/>
      <w:r>
        <w:rPr>
          <w:rFonts w:cs="黑体" w:asciiTheme="minorEastAsia" w:hAnsiTheme="minorEastAsia"/>
          <w:sz w:val="36"/>
          <w:szCs w:val="36"/>
          <w:lang w:val="zh-CN"/>
        </w:rPr>
        <w:br w:type="page"/>
      </w: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vMerge w:val="restart"/>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color w:val="8064A2" w:themeColor="accent4"/>
                <w:kern w:val="0"/>
                <w:szCs w:val="24"/>
              </w:rPr>
            </w:pPr>
            <w:r>
              <w:rPr>
                <w:rFonts w:cs="宋体" w:asciiTheme="minorEastAsia" w:hAnsiTheme="minorEastAsia"/>
                <w:color w:val="8064A2" w:themeColor="accent4"/>
                <w:kern w:val="0"/>
                <w:szCs w:val="24"/>
              </w:rPr>
              <w:t>信息安全产品强制性认证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color w:val="8064A2" w:themeColor="accent4"/>
                <w:szCs w:val="24"/>
                <w:lang w:val="zh-CN"/>
              </w:rPr>
            </w:pPr>
            <w:r>
              <w:rPr>
                <w:rFonts w:hint="eastAsia" w:cs="宋体" w:asciiTheme="minorEastAsia" w:hAnsiTheme="minorEastAsia"/>
                <w:color w:val="8064A2" w:themeColor="accent4"/>
                <w:kern w:val="0"/>
                <w:szCs w:val="24"/>
              </w:rPr>
              <w:t>认证机构颁发的认证证书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84" w:hRule="atLeast"/>
        </w:trPr>
        <w:tc>
          <w:tcPr>
            <w:tcW w:w="468" w:type="dxa"/>
            <w:vMerge w:val="continue"/>
            <w:vAlign w:val="center"/>
          </w:tcPr>
          <w:p>
            <w:pPr>
              <w:adjustRightInd w:val="0"/>
              <w:snapToGrid w:val="0"/>
              <w:spacing w:line="400" w:lineRule="exact"/>
              <w:jc w:val="center"/>
              <w:textAlignment w:val="baseline"/>
              <w:rPr>
                <w:rFonts w:hint="eastAsia" w:ascii="宋体" w:hAnsi="宋体" w:cs="微软雅黑"/>
                <w:szCs w:val="21"/>
              </w:rPr>
            </w:pPr>
          </w:p>
        </w:tc>
        <w:tc>
          <w:tcPr>
            <w:tcW w:w="774" w:type="dxa"/>
            <w:vMerge w:val="continue"/>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color w:val="8064A2" w:themeColor="accent4"/>
                <w:kern w:val="0"/>
                <w:szCs w:val="24"/>
              </w:rPr>
            </w:pP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color w:val="8064A2" w:themeColor="accent4"/>
                <w:szCs w:val="24"/>
                <w:lang w:val="zh-CN"/>
              </w:rPr>
            </w:pPr>
            <w:r>
              <w:rPr>
                <w:rFonts w:hint="eastAsia" w:cs="宋体" w:asciiTheme="minorEastAsia" w:hAnsiTheme="minorEastAsia"/>
                <w:color w:val="8064A2" w:themeColor="accent4"/>
                <w:kern w:val="0"/>
                <w:szCs w:val="24"/>
              </w:rPr>
              <w:t>中国信息安全认证中心官网产品查询结果截图</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0"/>
        <w:tblW w:w="9228" w:type="dxa"/>
        <w:tblInd w:w="0" w:type="dxa"/>
        <w:tblLayout w:type="fixed"/>
        <w:tblCellMar>
          <w:top w:w="0" w:type="dxa"/>
          <w:left w:w="108" w:type="dxa"/>
          <w:bottom w:w="0" w:type="dxa"/>
          <w:right w:w="108" w:type="dxa"/>
        </w:tblCellMar>
      </w:tblPr>
      <w:tblGrid>
        <w:gridCol w:w="1843"/>
        <w:gridCol w:w="3685"/>
        <w:gridCol w:w="1843"/>
        <w:gridCol w:w="1857"/>
      </w:tblGrid>
      <w:tr>
        <w:tblPrEx>
          <w:tblLayout w:type="fixed"/>
          <w:tblCellMar>
            <w:top w:w="0" w:type="dxa"/>
            <w:left w:w="108" w:type="dxa"/>
            <w:bottom w:w="0" w:type="dxa"/>
            <w:right w:w="108" w:type="dxa"/>
          </w:tblCellMar>
        </w:tblPrEx>
        <w:trPr>
          <w:trHeight w:val="851" w:hRule="atLeast"/>
        </w:trPr>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185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857" w:type="dxa"/>
            <w:tcBorders>
              <w:top w:val="single" w:color="auto" w:sz="6" w:space="0"/>
              <w:left w:val="single" w:color="auto" w:sz="6" w:space="0"/>
              <w:bottom w:val="single" w:color="auto" w:sz="6" w:space="0"/>
              <w:right w:val="single" w:color="auto" w:sz="6" w:space="0"/>
            </w:tcBorders>
            <w:vAlign w:val="center"/>
          </w:tcPr>
          <w:p>
            <w:pPr>
              <w:widowControl/>
              <w:autoSpaceDN w:val="0"/>
              <w:spacing w:line="400" w:lineRule="exact"/>
              <w:jc w:val="left"/>
              <w:rPr>
                <w:rFonts w:cs="宋体" w:asciiTheme="minorEastAsia" w:hAnsiTheme="minorEastAsia"/>
                <w:sz w:val="24"/>
                <w:szCs w:val="24"/>
                <w:lang w:val="zh-CN"/>
              </w:rPr>
            </w:pPr>
            <w:r>
              <w:rPr>
                <w:rFonts w:hint="eastAsia" w:ascii="宋体" w:hAnsi="宋体" w:eastAsia="宋体" w:cs="宋体"/>
                <w:color w:val="FF0000"/>
                <w:kern w:val="0"/>
                <w:sz w:val="24"/>
                <w:szCs w:val="24"/>
                <w:lang w:val="en-US" w:eastAsia="zh-CN"/>
              </w:rPr>
              <w:t>(本项目的投标报价以</w:t>
            </w:r>
            <w:r>
              <w:rPr>
                <w:rFonts w:hint="eastAsia" w:ascii="宋体" w:cs="宋体"/>
                <w:color w:val="FF0000"/>
                <w:sz w:val="24"/>
                <w:lang w:val="zh-CN"/>
              </w:rPr>
              <w:t>每防治一亩林地人民币多少元填写</w:t>
            </w:r>
            <w:r>
              <w:rPr>
                <w:rFonts w:hint="eastAsia" w:ascii="宋体" w:hAnsi="宋体" w:eastAsia="宋体" w:cs="宋体"/>
                <w:color w:val="FF0000"/>
                <w:kern w:val="0"/>
                <w:sz w:val="24"/>
                <w:szCs w:val="24"/>
                <w:lang w:val="en-US" w:eastAsia="zh-CN"/>
              </w:rPr>
              <w:t>)</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color w:val="FF0000"/>
          <w:sz w:val="24"/>
          <w:szCs w:val="24"/>
          <w:lang w:val="zh-CN"/>
        </w:rPr>
      </w:pPr>
      <w:r>
        <w:rPr>
          <w:rFonts w:hint="eastAsia" w:cs="宋体" w:asciiTheme="minorEastAsia" w:hAnsiTheme="minorEastAsia"/>
          <w:color w:val="FF0000"/>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_（项目名称、项目编号）采购的招标公告及投标邀请，_______（姓名和职务）被正式授权并代表投标人（投标人名称、地址）提交。</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我方确认收到贵方提供的（项目名称、项目编号）招标文件的全部内容。</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w:t>
      </w:r>
      <w:r>
        <w:rPr>
          <w:rFonts w:hint="eastAsia" w:cs="Arial" w:asciiTheme="minorEastAsia" w:hAnsiTheme="minorEastAsia"/>
          <w:color w:val="FF0000"/>
          <w:sz w:val="24"/>
          <w:szCs w:val="24"/>
        </w:rPr>
        <w:t>四个</w:t>
      </w:r>
      <w:r>
        <w:rPr>
          <w:rFonts w:hint="eastAsia" w:cs="Arial" w:asciiTheme="minorEastAsia" w:hAnsiTheme="minorEastAsia"/>
          <w:sz w:val="24"/>
          <w:szCs w:val="24"/>
        </w:rPr>
        <w:t>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2"/>
        <w:adjustRightInd w:val="0"/>
        <w:snapToGrid w:val="0"/>
        <w:spacing w:line="360" w:lineRule="auto"/>
        <w:rPr>
          <w:rFonts w:asciiTheme="minorEastAsia" w:hAnsiTheme="minorEastAsia" w:eastAsiaTheme="minorEastAsia"/>
          <w:szCs w:val="24"/>
        </w:rPr>
      </w:pPr>
    </w:p>
    <w:p>
      <w:pPr>
        <w:pStyle w:val="1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  邮政编码：.</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  传    真：.</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  职    务：.</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hint="eastAsia" w:asciiTheme="minorEastAsia" w:hAnsiTheme="minorEastAsia"/>
          <w:color w:val="000000"/>
          <w:szCs w:val="24"/>
        </w:rPr>
        <w:t>的</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9"/>
        <w:spacing w:line="480" w:lineRule="auto"/>
        <w:ind w:firstLine="540" w:firstLineChars="225"/>
        <w:jc w:val="left"/>
        <w:rPr>
          <w:rFonts w:asciiTheme="minorEastAsia" w:hAnsiTheme="minorEastAsia"/>
          <w:color w:val="000000"/>
          <w:szCs w:val="24"/>
        </w:rPr>
      </w:pPr>
    </w:p>
    <w:p>
      <w:pPr>
        <w:pStyle w:val="39"/>
        <w:spacing w:line="480" w:lineRule="auto"/>
        <w:ind w:firstLine="540" w:firstLineChars="225"/>
        <w:jc w:val="left"/>
        <w:rPr>
          <w:rFonts w:asciiTheme="minorEastAsia" w:hAnsiTheme="minorEastAsia"/>
          <w:color w:val="000000"/>
          <w:szCs w:val="24"/>
        </w:rPr>
      </w:pPr>
    </w:p>
    <w:p>
      <w:pPr>
        <w:pStyle w:val="39"/>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9"/>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2"/>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1"/>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名称</w:t>
            </w:r>
          </w:p>
        </w:tc>
        <w:tc>
          <w:tcPr>
            <w:tcW w:w="1701"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7"/>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7"/>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7"/>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7"/>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hint="eastAsia" w:ascii="宋体" w:hAnsi="宋体" w:cs="Arial"/>
          <w:color w:val="FF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FF0000"/>
          <w:kern w:val="0"/>
          <w:sz w:val="24"/>
          <w:szCs w:val="24"/>
        </w:rPr>
        <w:br w:type="textWrapping"/>
      </w:r>
      <w:r>
        <w:rPr>
          <w:rFonts w:hint="eastAsia" w:ascii="宋体" w:hAnsi="宋体" w:cs="Arial"/>
          <w:color w:val="FF0000"/>
          <w:kern w:val="0"/>
          <w:sz w:val="24"/>
          <w:szCs w:val="24"/>
        </w:rPr>
        <w:t>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hint="eastAsia" w:ascii="宋体" w:hAnsi="宋体" w:cs="Arial"/>
          <w:color w:val="FF0000"/>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hint="eastAsia" w:ascii="宋体" w:hAnsi="宋体" w:cs="Arial"/>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hint="eastAsia" w:ascii="宋体" w:hAnsi="宋体" w:cs="Arial"/>
          <w:color w:val="FF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3"/>
      <w:bookmarkStart w:id="8" w:name="OLE_LINK14"/>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55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8A17C6"/>
    <w:multiLevelType w:val="singleLevel"/>
    <w:tmpl w:val="CF8A17C6"/>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F817C2"/>
    <w:multiLevelType w:val="singleLevel"/>
    <w:tmpl w:val="59F817C2"/>
    <w:lvl w:ilvl="0" w:tentative="0">
      <w:start w:val="2"/>
      <w:numFmt w:val="chineseCounting"/>
      <w:suff w:val="space"/>
      <w:lvlText w:val="第%1章"/>
      <w:lvlJc w:val="left"/>
    </w:lvl>
  </w:abstractNum>
  <w:abstractNum w:abstractNumId="5">
    <w:nsid w:val="59F817E8"/>
    <w:multiLevelType w:val="singleLevel"/>
    <w:tmpl w:val="59F817E8"/>
    <w:lvl w:ilvl="0" w:tentative="0">
      <w:start w:val="1"/>
      <w:numFmt w:val="chineseCounting"/>
      <w:pStyle w:val="48"/>
      <w:suff w:val="nothing"/>
      <w:lvlText w:val="%1、"/>
      <w:lvlJc w:val="left"/>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2470"/>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18D7"/>
    <w:rsid w:val="001829C2"/>
    <w:rsid w:val="00183EF7"/>
    <w:rsid w:val="00185ECD"/>
    <w:rsid w:val="0018761C"/>
    <w:rsid w:val="001948F5"/>
    <w:rsid w:val="0019505C"/>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0330F"/>
    <w:rsid w:val="002121A9"/>
    <w:rsid w:val="00212788"/>
    <w:rsid w:val="00216728"/>
    <w:rsid w:val="002232E0"/>
    <w:rsid w:val="00223E42"/>
    <w:rsid w:val="00225070"/>
    <w:rsid w:val="00235E0B"/>
    <w:rsid w:val="00242813"/>
    <w:rsid w:val="002435E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A6AAB"/>
    <w:rsid w:val="002B2BE8"/>
    <w:rsid w:val="002B659C"/>
    <w:rsid w:val="002B708E"/>
    <w:rsid w:val="002C08BF"/>
    <w:rsid w:val="002D0D13"/>
    <w:rsid w:val="002E3055"/>
    <w:rsid w:val="002E60F6"/>
    <w:rsid w:val="002E744B"/>
    <w:rsid w:val="002F225D"/>
    <w:rsid w:val="002F3EF8"/>
    <w:rsid w:val="002F4D45"/>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C67"/>
    <w:rsid w:val="003D6EA0"/>
    <w:rsid w:val="003E4CE5"/>
    <w:rsid w:val="003E5D20"/>
    <w:rsid w:val="003E7330"/>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4B40"/>
    <w:rsid w:val="00461772"/>
    <w:rsid w:val="0046214B"/>
    <w:rsid w:val="0046220D"/>
    <w:rsid w:val="00462244"/>
    <w:rsid w:val="004661DD"/>
    <w:rsid w:val="004661DE"/>
    <w:rsid w:val="004676F5"/>
    <w:rsid w:val="004713E9"/>
    <w:rsid w:val="00475975"/>
    <w:rsid w:val="00475BC1"/>
    <w:rsid w:val="00477E2A"/>
    <w:rsid w:val="00483BBC"/>
    <w:rsid w:val="0049069C"/>
    <w:rsid w:val="00497025"/>
    <w:rsid w:val="004A1281"/>
    <w:rsid w:val="004A35BF"/>
    <w:rsid w:val="004A3D12"/>
    <w:rsid w:val="004A69C6"/>
    <w:rsid w:val="004C00FF"/>
    <w:rsid w:val="004C15CA"/>
    <w:rsid w:val="004C3610"/>
    <w:rsid w:val="004D1A38"/>
    <w:rsid w:val="004D4539"/>
    <w:rsid w:val="004D7FCC"/>
    <w:rsid w:val="004E0CE8"/>
    <w:rsid w:val="004E3BC4"/>
    <w:rsid w:val="004F3FD7"/>
    <w:rsid w:val="004F551F"/>
    <w:rsid w:val="004F6FBD"/>
    <w:rsid w:val="004F797A"/>
    <w:rsid w:val="0050133C"/>
    <w:rsid w:val="00501632"/>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5840"/>
    <w:rsid w:val="005601D7"/>
    <w:rsid w:val="0056743F"/>
    <w:rsid w:val="0057088E"/>
    <w:rsid w:val="00570BD7"/>
    <w:rsid w:val="00572C46"/>
    <w:rsid w:val="005755F7"/>
    <w:rsid w:val="00576428"/>
    <w:rsid w:val="005813BD"/>
    <w:rsid w:val="00587160"/>
    <w:rsid w:val="005939AD"/>
    <w:rsid w:val="00594467"/>
    <w:rsid w:val="0059516F"/>
    <w:rsid w:val="005A1288"/>
    <w:rsid w:val="005A1C0C"/>
    <w:rsid w:val="005A3462"/>
    <w:rsid w:val="005B19F2"/>
    <w:rsid w:val="005B439F"/>
    <w:rsid w:val="005B6237"/>
    <w:rsid w:val="005C0C11"/>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25DD"/>
    <w:rsid w:val="006211BD"/>
    <w:rsid w:val="00621788"/>
    <w:rsid w:val="00622134"/>
    <w:rsid w:val="00622FF6"/>
    <w:rsid w:val="006341CB"/>
    <w:rsid w:val="00636AAD"/>
    <w:rsid w:val="00642D96"/>
    <w:rsid w:val="00644E97"/>
    <w:rsid w:val="00651415"/>
    <w:rsid w:val="006674B6"/>
    <w:rsid w:val="0066760C"/>
    <w:rsid w:val="00671218"/>
    <w:rsid w:val="006724D6"/>
    <w:rsid w:val="00680403"/>
    <w:rsid w:val="00681A9E"/>
    <w:rsid w:val="0068441A"/>
    <w:rsid w:val="00685CAE"/>
    <w:rsid w:val="00687238"/>
    <w:rsid w:val="0069117B"/>
    <w:rsid w:val="006951C7"/>
    <w:rsid w:val="006B3B14"/>
    <w:rsid w:val="006B7399"/>
    <w:rsid w:val="006C2B42"/>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8CE"/>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7597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7099"/>
    <w:rsid w:val="00A577F4"/>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80243"/>
    <w:rsid w:val="00B80C52"/>
    <w:rsid w:val="00B81C73"/>
    <w:rsid w:val="00B90F7B"/>
    <w:rsid w:val="00B91885"/>
    <w:rsid w:val="00B93E9A"/>
    <w:rsid w:val="00B95A20"/>
    <w:rsid w:val="00BB1EC0"/>
    <w:rsid w:val="00BB42A7"/>
    <w:rsid w:val="00BB51F6"/>
    <w:rsid w:val="00BB5686"/>
    <w:rsid w:val="00BB6CC2"/>
    <w:rsid w:val="00BC01E9"/>
    <w:rsid w:val="00BC05E7"/>
    <w:rsid w:val="00BC1187"/>
    <w:rsid w:val="00BC629E"/>
    <w:rsid w:val="00BD0FE7"/>
    <w:rsid w:val="00BD3AFF"/>
    <w:rsid w:val="00BE04C4"/>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4CC"/>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610BA"/>
    <w:rsid w:val="00D82403"/>
    <w:rsid w:val="00D85124"/>
    <w:rsid w:val="00D87AE5"/>
    <w:rsid w:val="00D87CA6"/>
    <w:rsid w:val="00D87DC1"/>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736"/>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124B"/>
    <w:rsid w:val="00FF4EA4"/>
    <w:rsid w:val="0F59070B"/>
    <w:rsid w:val="13A72FCE"/>
    <w:rsid w:val="222A329D"/>
    <w:rsid w:val="304F4FEC"/>
    <w:rsid w:val="31DB3DE3"/>
    <w:rsid w:val="416A750E"/>
    <w:rsid w:val="4D371688"/>
    <w:rsid w:val="5875375A"/>
    <w:rsid w:val="5DC44080"/>
    <w:rsid w:val="6AC927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5"/>
    <w:qFormat/>
    <w:uiPriority w:val="0"/>
    <w:rPr>
      <w:rFonts w:ascii="Times New Roman" w:hAnsi="Times New Roman" w:eastAsia="宋体" w:cs="Times New Roman"/>
      <w:color w:val="FF0000"/>
      <w:sz w:val="24"/>
      <w:szCs w:val="24"/>
    </w:rPr>
  </w:style>
  <w:style w:type="paragraph" w:styleId="9">
    <w:name w:val="Body Text"/>
    <w:basedOn w:val="1"/>
    <w:link w:val="49"/>
    <w:semiHidden/>
    <w:unhideWhenUsed/>
    <w:qFormat/>
    <w:uiPriority w:val="99"/>
    <w:pPr>
      <w:spacing w:after="120"/>
    </w:p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30"/>
    <w:qFormat/>
    <w:uiPriority w:val="0"/>
    <w:rPr>
      <w:rFonts w:eastAsia="宋体"/>
      <w:sz w:val="24"/>
    </w:rPr>
  </w:style>
  <w:style w:type="paragraph" w:styleId="13">
    <w:name w:val="Date"/>
    <w:basedOn w:val="1"/>
    <w:next w:val="1"/>
    <w:link w:val="31"/>
    <w:unhideWhenUsed/>
    <w:qFormat/>
    <w:uiPriority w:val="99"/>
    <w:pPr>
      <w:ind w:left="100" w:leftChars="2500"/>
    </w:p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7">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8">
    <w:name w:val="Normal (Web)"/>
    <w:basedOn w:val="1"/>
    <w:qFormat/>
    <w:uiPriority w:val="99"/>
    <w:rPr>
      <w:rFonts w:ascii="Calibri" w:hAnsi="Calibri" w:eastAsia="宋体" w:cs="Times New Roman"/>
      <w:sz w:val="24"/>
      <w:szCs w:val="24"/>
    </w:rPr>
  </w:style>
  <w:style w:type="paragraph" w:styleId="19">
    <w:name w:val="Body Text First Indent"/>
    <w:basedOn w:val="9"/>
    <w:link w:val="50"/>
    <w:qFormat/>
    <w:uiPriority w:val="0"/>
    <w:pPr>
      <w:ind w:firstLine="420" w:firstLineChars="100"/>
    </w:pPr>
    <w:rPr>
      <w:rFonts w:ascii="宋体" w:hAnsi="Times New Roman" w:eastAsia="宋体" w:cs="Times New Roman"/>
      <w:kern w:val="0"/>
      <w:sz w:val="34"/>
      <w:szCs w:val="20"/>
    </w:r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themeColor="followedHyperlink"/>
      <w:u w:val="single"/>
    </w:rPr>
  </w:style>
  <w:style w:type="character" w:styleId="24">
    <w:name w:val="Emphasis"/>
    <w:basedOn w:val="21"/>
    <w:qFormat/>
    <w:uiPriority w:val="20"/>
    <w:rPr>
      <w:i/>
      <w:iCs/>
    </w:rPr>
  </w:style>
  <w:style w:type="character" w:styleId="25">
    <w:name w:val="Hyperlink"/>
    <w:basedOn w:val="21"/>
    <w:unhideWhenUsed/>
    <w:qFormat/>
    <w:uiPriority w:val="99"/>
    <w:rPr>
      <w:color w:val="0000FF"/>
      <w:u w:val="single"/>
    </w:rPr>
  </w:style>
  <w:style w:type="character" w:customStyle="1" w:styleId="26">
    <w:name w:val="标题 1 Char"/>
    <w:basedOn w:val="21"/>
    <w:link w:val="2"/>
    <w:qFormat/>
    <w:uiPriority w:val="0"/>
    <w:rPr>
      <w:rFonts w:ascii="Calibri" w:hAnsi="Calibri" w:eastAsia="宋体" w:cs="Times New Roman"/>
      <w:b/>
      <w:bCs/>
      <w:kern w:val="44"/>
      <w:sz w:val="44"/>
      <w:szCs w:val="44"/>
    </w:rPr>
  </w:style>
  <w:style w:type="character" w:customStyle="1" w:styleId="27">
    <w:name w:val="标题 2 Char"/>
    <w:basedOn w:val="21"/>
    <w:link w:val="3"/>
    <w:qFormat/>
    <w:uiPriority w:val="0"/>
    <w:rPr>
      <w:rFonts w:ascii="Arial" w:hAnsi="Arial" w:eastAsia="黑体" w:cs="Times New Roman"/>
      <w:b/>
      <w:bCs/>
      <w:kern w:val="0"/>
      <w:sz w:val="32"/>
      <w:szCs w:val="32"/>
    </w:rPr>
  </w:style>
  <w:style w:type="character" w:customStyle="1" w:styleId="28">
    <w:name w:val="标题 3 Char"/>
    <w:basedOn w:val="21"/>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1"/>
    <w:link w:val="5"/>
    <w:qFormat/>
    <w:uiPriority w:val="0"/>
    <w:rPr>
      <w:rFonts w:ascii="Arial" w:hAnsi="Arial" w:eastAsia="黑体" w:cs="Times New Roman"/>
      <w:b/>
      <w:bCs/>
      <w:kern w:val="0"/>
      <w:sz w:val="28"/>
      <w:szCs w:val="28"/>
    </w:rPr>
  </w:style>
  <w:style w:type="character" w:customStyle="1" w:styleId="30">
    <w:name w:val="纯文本 Char"/>
    <w:basedOn w:val="21"/>
    <w:link w:val="12"/>
    <w:qFormat/>
    <w:uiPriority w:val="0"/>
    <w:rPr>
      <w:rFonts w:eastAsia="宋体"/>
      <w:sz w:val="24"/>
    </w:rPr>
  </w:style>
  <w:style w:type="character" w:customStyle="1" w:styleId="31">
    <w:name w:val="日期 Char"/>
    <w:basedOn w:val="21"/>
    <w:link w:val="13"/>
    <w:qFormat/>
    <w:uiPriority w:val="99"/>
  </w:style>
  <w:style w:type="character" w:customStyle="1" w:styleId="32">
    <w:name w:val="页脚 Char"/>
    <w:basedOn w:val="21"/>
    <w:link w:val="14"/>
    <w:qFormat/>
    <w:uiPriority w:val="99"/>
    <w:rPr>
      <w:sz w:val="18"/>
      <w:szCs w:val="18"/>
    </w:rPr>
  </w:style>
  <w:style w:type="character" w:customStyle="1" w:styleId="33">
    <w:name w:val="页眉 Char"/>
    <w:basedOn w:val="21"/>
    <w:link w:val="15"/>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1"/>
    <w:link w:val="8"/>
    <w:qFormat/>
    <w:uiPriority w:val="0"/>
    <w:rPr>
      <w:rFonts w:ascii="Times New Roman" w:hAnsi="Times New Roman" w:eastAsia="宋体" w:cs="Times New Roman"/>
      <w:color w:val="FF0000"/>
      <w:sz w:val="24"/>
      <w:szCs w:val="24"/>
    </w:rPr>
  </w:style>
  <w:style w:type="character" w:customStyle="1" w:styleId="46">
    <w:name w:val="edittexttarea"/>
    <w:basedOn w:val="21"/>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1"/>
    <w:link w:val="9"/>
    <w:semiHidden/>
    <w:qFormat/>
    <w:uiPriority w:val="99"/>
  </w:style>
  <w:style w:type="character" w:customStyle="1" w:styleId="50">
    <w:name w:val="正文首行缩进 Char"/>
    <w:basedOn w:val="49"/>
    <w:link w:val="19"/>
    <w:qFormat/>
    <w:uiPriority w:val="0"/>
    <w:rPr>
      <w:rFonts w:ascii="宋体" w:hAnsi="Times New Roman" w:eastAsia="宋体" w:cs="Times New Roman"/>
      <w:kern w:val="0"/>
      <w:sz w:val="34"/>
      <w:szCs w:val="20"/>
    </w:rPr>
  </w:style>
  <w:style w:type="character" w:customStyle="1" w:styleId="51">
    <w:name w:val="HTML 预设格式 Char"/>
    <w:basedOn w:val="21"/>
    <w:link w:val="17"/>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72</Pages>
  <Words>5823</Words>
  <Characters>33192</Characters>
  <Lines>276</Lines>
  <Paragraphs>77</Paragraphs>
  <TotalTime>0</TotalTime>
  <ScaleCrop>false</ScaleCrop>
  <LinksUpToDate>false</LinksUpToDate>
  <CharactersWithSpaces>38938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许昌市公共资源交易中心:黄莹莹</cp:lastModifiedBy>
  <cp:lastPrinted>2018-07-31T02:20:00Z</cp:lastPrinted>
  <dcterms:modified xsi:type="dcterms:W3CDTF">2019-03-19T06:26:48Z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