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color w:val="000000"/>
          <w:sz w:val="44"/>
          <w:szCs w:val="44"/>
        </w:rPr>
      </w:pPr>
      <w:bookmarkStart w:id="0" w:name="_Hlk519797089"/>
      <w:bookmarkStart w:id="1" w:name="_Hlk517774989"/>
      <w:r>
        <w:rPr>
          <w:rFonts w:hint="eastAsia" w:asciiTheme="majorEastAsia" w:hAnsiTheme="majorEastAsia" w:eastAsiaTheme="majorEastAsia" w:cstheme="majorEastAsia"/>
          <w:b/>
          <w:bCs/>
          <w:color w:val="000000"/>
          <w:sz w:val="44"/>
          <w:szCs w:val="44"/>
        </w:rPr>
        <w:t>许昌市中心医院南区医院“气囊式体外反搏</w:t>
      </w: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装置”采购项目</w:t>
      </w:r>
      <w:bookmarkEnd w:id="0"/>
    </w:p>
    <w:bookmarkEnd w:id="1"/>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w:t>
      </w:r>
      <w:r>
        <w:rPr>
          <w:rFonts w:asciiTheme="majorEastAsia" w:hAnsiTheme="majorEastAsia" w:eastAsiaTheme="majorEastAsia" w:cstheme="majorEastAsia"/>
          <w:b/>
          <w:bCs/>
          <w:color w:val="000000"/>
          <w:sz w:val="36"/>
          <w:szCs w:val="36"/>
        </w:rPr>
        <w:t>YLZB-G</w:t>
      </w:r>
      <w:r>
        <w:rPr>
          <w:rFonts w:hint="eastAsia" w:asciiTheme="majorEastAsia" w:hAnsiTheme="majorEastAsia" w:eastAsiaTheme="majorEastAsia" w:cstheme="majorEastAsia"/>
          <w:b/>
          <w:bCs/>
          <w:color w:val="000000"/>
          <w:sz w:val="36"/>
          <w:szCs w:val="36"/>
          <w:lang w:val="en-US" w:eastAsia="zh-CN"/>
        </w:rPr>
        <w:t>2019004-1</w:t>
      </w:r>
      <w:r>
        <w:rPr>
          <w:rFonts w:hint="eastAsia" w:asciiTheme="majorEastAsia" w:hAnsiTheme="majorEastAsia" w:eastAsiaTheme="majorEastAsia" w:cstheme="majorEastAsia"/>
          <w:b/>
          <w:bCs/>
          <w:color w:val="000000"/>
          <w:sz w:val="36"/>
          <w:szCs w:val="36"/>
        </w:rPr>
        <w:t>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采购单位：许昌市中心医院南区医院</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代理机构：中大国信工程管理有限公司</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二〇一九年</w:t>
      </w:r>
      <w:r>
        <w:rPr>
          <w:rFonts w:hint="eastAsia" w:asciiTheme="majorEastAsia" w:hAnsiTheme="majorEastAsia" w:eastAsiaTheme="majorEastAsia" w:cstheme="majorEastAsia"/>
          <w:b/>
          <w:bCs/>
          <w:color w:val="000000"/>
          <w:sz w:val="36"/>
          <w:szCs w:val="36"/>
          <w:lang w:eastAsia="zh-CN"/>
        </w:rPr>
        <w:t>三</w:t>
      </w:r>
      <w:r>
        <w:rPr>
          <w:rFonts w:hint="eastAsia" w:asciiTheme="majorEastAsia" w:hAnsiTheme="majorEastAsia" w:eastAsiaTheme="majorEastAsia" w:cstheme="majorEastAsia"/>
          <w:b/>
          <w:bCs/>
          <w:color w:val="000000"/>
          <w:sz w:val="36"/>
          <w:szCs w:val="36"/>
        </w:rPr>
        <w:t>月</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autoSpaceDE w:val="0"/>
        <w:autoSpaceDN w:val="0"/>
        <w:adjustRightInd w:val="0"/>
        <w:spacing w:line="700" w:lineRule="exact"/>
        <w:rPr>
          <w:rFonts w:cs="宋体" w:asciiTheme="majorEastAsia" w:hAnsiTheme="majorEastAsia" w:eastAsiaTheme="majorEastAsia"/>
          <w:b/>
          <w:kern w:val="0"/>
          <w:sz w:val="36"/>
          <w:szCs w:val="36"/>
        </w:rPr>
      </w:pPr>
    </w:p>
    <w:p>
      <w:pPr>
        <w:pStyle w:val="18"/>
        <w:widowControl/>
        <w:shd w:val="clear" w:color="auto" w:fill="FFFFFF"/>
        <w:spacing w:line="315" w:lineRule="atLeast"/>
        <w:jc w:val="center"/>
        <w:rPr>
          <w:rFonts w:ascii="宋体" w:hAnsi="宋体" w:cs="宋体"/>
          <w:b/>
          <w:color w:val="000000"/>
          <w:sz w:val="36"/>
          <w:szCs w:val="36"/>
        </w:rPr>
      </w:pPr>
      <w:r>
        <w:rPr>
          <w:rFonts w:hint="eastAsia" w:ascii="宋体" w:hAnsi="宋体" w:cs="宋体"/>
          <w:b/>
          <w:color w:val="000000"/>
          <w:sz w:val="36"/>
          <w:szCs w:val="36"/>
          <w:shd w:val="clear" w:color="auto" w:fill="FFFFFF"/>
        </w:rPr>
        <w:t>第一章 投标邀请</w:t>
      </w:r>
    </w:p>
    <w:p>
      <w:pPr>
        <w:pStyle w:val="18"/>
        <w:widowControl/>
        <w:shd w:val="clear" w:color="auto" w:fill="FFFFFF"/>
        <w:spacing w:line="360" w:lineRule="auto"/>
        <w:contextualSpacing/>
        <w:jc w:val="left"/>
        <w:rPr>
          <w:rFonts w:cs="黑体" w:asciiTheme="minorEastAsia" w:hAnsiTheme="minorEastAsia" w:eastAsiaTheme="minorEastAsia"/>
          <w:b/>
          <w:bCs/>
          <w:color w:val="000000"/>
        </w:rPr>
      </w:pPr>
      <w:r>
        <w:rPr>
          <w:rFonts w:hint="eastAsia" w:ascii="黑体" w:hAnsi="黑体" w:eastAsia="黑体" w:cs="黑体"/>
          <w:bCs/>
          <w:color w:val="000000"/>
          <w:sz w:val="32"/>
          <w:szCs w:val="32"/>
          <w:shd w:val="clear" w:color="auto" w:fill="FFFFFF"/>
        </w:rPr>
        <w:t xml:space="preserve">   </w:t>
      </w:r>
      <w:r>
        <w:rPr>
          <w:rFonts w:hint="eastAsia" w:ascii="黑体" w:hAnsi="黑体" w:eastAsia="黑体" w:cs="黑体"/>
          <w:bCs/>
          <w:color w:val="000000"/>
          <w:shd w:val="clear" w:color="auto" w:fill="FFFFFF"/>
        </w:rPr>
        <w:t xml:space="preserve"> </w:t>
      </w:r>
      <w:r>
        <w:rPr>
          <w:rFonts w:hint="eastAsia" w:cs="黑体" w:asciiTheme="minorEastAsia" w:hAnsiTheme="minorEastAsia" w:eastAsiaTheme="minorEastAsia"/>
          <w:b/>
          <w:bCs/>
          <w:color w:val="000000"/>
          <w:shd w:val="clear" w:color="auto" w:fill="FFFFFF"/>
        </w:rPr>
        <w:t>一、项目基本情况</w:t>
      </w:r>
    </w:p>
    <w:p>
      <w:pPr>
        <w:pStyle w:val="18"/>
        <w:widowControl/>
        <w:shd w:val="clear" w:color="auto" w:fill="FFFFFF"/>
        <w:spacing w:line="360" w:lineRule="auto"/>
        <w:ind w:firstLine="420"/>
        <w:contextualSpacing/>
        <w:jc w:val="left"/>
        <w:rPr>
          <w:rFonts w:cs="黑体" w:asciiTheme="minorEastAsia" w:hAnsiTheme="minorEastAsia" w:eastAsiaTheme="minorEastAsia"/>
          <w:color w:val="000000"/>
          <w:shd w:val="clear" w:color="auto" w:fill="FFFFFF"/>
        </w:rPr>
      </w:pPr>
      <w:r>
        <w:rPr>
          <w:rFonts w:hint="eastAsia" w:cs="黑体" w:asciiTheme="minorEastAsia" w:hAnsiTheme="minorEastAsia" w:eastAsiaTheme="minorEastAsia"/>
          <w:color w:val="000000"/>
          <w:shd w:val="clear" w:color="auto" w:fill="FFFFFF"/>
        </w:rPr>
        <w:t>（一）项目名称：气囊式体外反搏装置</w:t>
      </w:r>
    </w:p>
    <w:p>
      <w:pPr>
        <w:pStyle w:val="18"/>
        <w:widowControl/>
        <w:shd w:val="clear" w:color="auto" w:fill="FFFFFF"/>
        <w:spacing w:line="360" w:lineRule="auto"/>
        <w:ind w:firstLine="420"/>
        <w:contextualSpacing/>
        <w:jc w:val="left"/>
        <w:rPr>
          <w:rFonts w:cs="黑体" w:asciiTheme="minorEastAsia" w:hAnsiTheme="minorEastAsia" w:eastAsiaTheme="minorEastAsia"/>
          <w:color w:val="000000"/>
          <w:shd w:val="clear" w:color="auto" w:fill="FFFFFF"/>
        </w:rPr>
      </w:pPr>
      <w:r>
        <w:rPr>
          <w:rFonts w:hint="eastAsia" w:cs="黑体" w:asciiTheme="minorEastAsia" w:hAnsiTheme="minorEastAsia" w:eastAsiaTheme="minorEastAsia"/>
          <w:color w:val="000000"/>
          <w:shd w:val="clear" w:color="auto" w:fill="FFFFFF"/>
        </w:rPr>
        <w:t>（二）项目编号：</w:t>
      </w:r>
      <w:r>
        <w:rPr>
          <w:rFonts w:cs="黑体" w:asciiTheme="minorEastAsia" w:hAnsiTheme="minorEastAsia" w:eastAsiaTheme="minorEastAsia"/>
          <w:color w:val="000000"/>
          <w:shd w:val="clear" w:color="auto" w:fill="FFFFFF"/>
        </w:rPr>
        <w:t>YLZB-G</w:t>
      </w:r>
      <w:r>
        <w:rPr>
          <w:rFonts w:hint="eastAsia" w:cs="黑体" w:asciiTheme="minorEastAsia" w:hAnsiTheme="minorEastAsia" w:eastAsiaTheme="minorEastAsia"/>
          <w:color w:val="000000"/>
          <w:shd w:val="clear" w:color="auto" w:fill="FFFFFF"/>
        </w:rPr>
        <w:t>2019004</w:t>
      </w:r>
      <w:r>
        <w:rPr>
          <w:rFonts w:hint="eastAsia" w:cs="黑体" w:asciiTheme="minorEastAsia" w:hAnsiTheme="minorEastAsia" w:eastAsiaTheme="minorEastAsia"/>
          <w:color w:val="000000"/>
          <w:shd w:val="clear" w:color="auto" w:fill="FFFFFF"/>
          <w:lang w:val="en-US" w:eastAsia="zh-CN"/>
        </w:rPr>
        <w:t>-1</w:t>
      </w:r>
      <w:r>
        <w:rPr>
          <w:rFonts w:hint="eastAsia" w:cs="黑体" w:asciiTheme="minorEastAsia" w:hAnsiTheme="minorEastAsia" w:eastAsiaTheme="minorEastAsia"/>
          <w:color w:val="000000"/>
          <w:shd w:val="clear" w:color="auto" w:fill="FFFFFF"/>
        </w:rPr>
        <w:t xml:space="preserve">号    </w:t>
      </w:r>
    </w:p>
    <w:p>
      <w:pPr>
        <w:pStyle w:val="18"/>
        <w:widowControl/>
        <w:shd w:val="clear" w:color="auto" w:fill="FFFFFF"/>
        <w:spacing w:line="360" w:lineRule="auto"/>
        <w:ind w:firstLine="420"/>
        <w:contextualSpacing/>
        <w:jc w:val="left"/>
        <w:rPr>
          <w:rFonts w:cs="黑体" w:asciiTheme="minorEastAsia" w:hAnsiTheme="minorEastAsia" w:eastAsiaTheme="minorEastAsia"/>
          <w:color w:val="000000"/>
          <w:shd w:val="clear" w:color="auto" w:fill="FFFFFF"/>
        </w:rPr>
      </w:pPr>
      <w:r>
        <w:rPr>
          <w:rFonts w:hint="eastAsia" w:cs="黑体" w:asciiTheme="minorEastAsia" w:hAnsiTheme="minorEastAsia" w:eastAsiaTheme="minorEastAsia"/>
          <w:color w:val="000000"/>
          <w:shd w:val="clear" w:color="auto" w:fill="FFFFFF"/>
        </w:rPr>
        <w:t xml:space="preserve">（三）采购方式：公开招标                                                                                                                          </w:t>
      </w:r>
    </w:p>
    <w:p>
      <w:pPr>
        <w:pStyle w:val="18"/>
        <w:widowControl/>
        <w:shd w:val="clear" w:color="auto" w:fill="FFFFFF"/>
        <w:spacing w:line="360" w:lineRule="auto"/>
        <w:ind w:firstLine="420"/>
        <w:contextualSpacing/>
        <w:jc w:val="left"/>
        <w:rPr>
          <w:rFonts w:cs="黑体" w:asciiTheme="minorEastAsia" w:hAnsiTheme="minorEastAsia" w:eastAsiaTheme="minorEastAsia"/>
          <w:color w:val="000000"/>
          <w:shd w:val="clear" w:color="auto" w:fill="FFFFFF"/>
        </w:rPr>
      </w:pPr>
      <w:r>
        <w:rPr>
          <w:rFonts w:hint="eastAsia" w:cs="黑体" w:asciiTheme="minorEastAsia" w:hAnsiTheme="minorEastAsia" w:eastAsiaTheme="minorEastAsia"/>
          <w:color w:val="000000"/>
          <w:shd w:val="clear" w:color="auto" w:fill="FFFFFF"/>
        </w:rPr>
        <w:t>（四）项目主要内容、数量及要求：采购采气囊式体外反搏装置1台。</w:t>
      </w:r>
    </w:p>
    <w:p>
      <w:pPr>
        <w:pStyle w:val="18"/>
        <w:widowControl/>
        <w:shd w:val="clear" w:color="auto" w:fill="FFFFFF"/>
        <w:spacing w:line="360" w:lineRule="auto"/>
        <w:ind w:firstLine="420"/>
        <w:contextualSpacing/>
        <w:jc w:val="left"/>
        <w:rPr>
          <w:rFonts w:cs="黑体" w:asciiTheme="minorEastAsia" w:hAnsiTheme="minorEastAsia" w:eastAsiaTheme="minorEastAsia"/>
          <w:color w:val="000000"/>
          <w:shd w:val="clear" w:color="auto" w:fill="FFFFFF"/>
        </w:rPr>
      </w:pPr>
      <w:r>
        <w:rPr>
          <w:rFonts w:hint="eastAsia" w:cs="黑体" w:asciiTheme="minorEastAsia" w:hAnsiTheme="minorEastAsia" w:eastAsiaTheme="minorEastAsia"/>
          <w:color w:val="000000"/>
          <w:shd w:val="clear" w:color="auto" w:fill="FFFFFF"/>
        </w:rPr>
        <w:t>（五）预算金额： 280000.00元；最高限价： 280000.00元。</w:t>
      </w:r>
    </w:p>
    <w:p>
      <w:pPr>
        <w:pStyle w:val="18"/>
        <w:widowControl/>
        <w:shd w:val="clear" w:color="auto" w:fill="FFFFFF"/>
        <w:spacing w:line="360" w:lineRule="auto"/>
        <w:ind w:firstLine="420"/>
        <w:contextualSpacing/>
        <w:jc w:val="left"/>
        <w:rPr>
          <w:rFonts w:cs="黑体" w:asciiTheme="minorEastAsia" w:hAnsiTheme="minorEastAsia" w:eastAsiaTheme="minorEastAsia"/>
          <w:color w:val="000000"/>
          <w:shd w:val="clear" w:color="auto" w:fill="FFFFFF"/>
        </w:rPr>
      </w:pPr>
      <w:r>
        <w:rPr>
          <w:rFonts w:hint="eastAsia" w:cs="黑体" w:asciiTheme="minorEastAsia" w:hAnsiTheme="minorEastAsia" w:eastAsiaTheme="minorEastAsia"/>
          <w:color w:val="000000"/>
          <w:shd w:val="clear" w:color="auto" w:fill="FFFFFF"/>
        </w:rPr>
        <w:t>（六）交付时间 ：</w:t>
      </w:r>
      <w:r>
        <w:rPr>
          <w:rFonts w:hint="eastAsia" w:cs="黑体" w:asciiTheme="minorEastAsia" w:hAnsiTheme="minorEastAsia" w:eastAsiaTheme="minorEastAsia"/>
          <w:shd w:val="clear" w:color="auto" w:fill="FFFFFF"/>
        </w:rPr>
        <w:t>合同签订后30天内</w:t>
      </w:r>
    </w:p>
    <w:p>
      <w:pPr>
        <w:pStyle w:val="18"/>
        <w:widowControl/>
        <w:shd w:val="clear" w:color="auto" w:fill="FFFFFF"/>
        <w:spacing w:line="360" w:lineRule="auto"/>
        <w:ind w:firstLine="420"/>
        <w:contextualSpacing/>
        <w:jc w:val="left"/>
        <w:rPr>
          <w:rFonts w:cs="黑体" w:asciiTheme="minorEastAsia" w:hAnsiTheme="minorEastAsia" w:eastAsiaTheme="minorEastAsia"/>
          <w:color w:val="000000"/>
          <w:shd w:val="clear" w:color="auto" w:fill="FFFFFF"/>
        </w:rPr>
      </w:pPr>
      <w:r>
        <w:rPr>
          <w:rFonts w:hint="eastAsia" w:cs="黑体" w:asciiTheme="minorEastAsia" w:hAnsiTheme="minorEastAsia" w:eastAsiaTheme="minorEastAsia"/>
          <w:color w:val="000000"/>
          <w:shd w:val="clear" w:color="auto" w:fill="FFFFFF"/>
        </w:rPr>
        <w:t>（七）交付地点：许昌市中心医院南区医院</w:t>
      </w:r>
    </w:p>
    <w:p>
      <w:pPr>
        <w:pStyle w:val="18"/>
        <w:widowControl/>
        <w:shd w:val="clear" w:color="auto" w:fill="FFFFFF"/>
        <w:spacing w:line="360" w:lineRule="auto"/>
        <w:ind w:firstLine="420"/>
        <w:contextualSpacing/>
        <w:jc w:val="left"/>
        <w:rPr>
          <w:rFonts w:cs="黑体" w:asciiTheme="minorEastAsia" w:hAnsiTheme="minorEastAsia" w:eastAsiaTheme="minorEastAsia"/>
          <w:color w:val="000000"/>
          <w:shd w:val="clear" w:color="auto" w:fill="FFFFFF"/>
        </w:rPr>
      </w:pPr>
      <w:r>
        <w:rPr>
          <w:rFonts w:hint="eastAsia" w:cs="黑体" w:asciiTheme="minorEastAsia" w:hAnsiTheme="minorEastAsia" w:eastAsiaTheme="minorEastAsia"/>
          <w:color w:val="000000"/>
          <w:shd w:val="clear" w:color="auto" w:fill="FFFFFF"/>
        </w:rPr>
        <w:t>（八）分包：不允许。</w:t>
      </w:r>
    </w:p>
    <w:p>
      <w:pPr>
        <w:pStyle w:val="18"/>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二、需要落实的政府采购政策</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本项目落实</w:t>
      </w:r>
      <w:r>
        <w:rPr>
          <w:rFonts w:hint="eastAsia" w:cs="仿宋_GB2312" w:asciiTheme="minorEastAsia" w:hAnsiTheme="minorEastAsia" w:eastAsiaTheme="minorEastAsia"/>
          <w:color w:val="000000"/>
          <w:u w:val="single"/>
          <w:shd w:val="clear" w:color="auto" w:fill="FFFFFF"/>
        </w:rPr>
        <w:t>节能环保</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中小微型企业</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监狱企业</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残疾人福利性单位</w:t>
      </w:r>
      <w:r>
        <w:rPr>
          <w:rFonts w:hint="eastAsia" w:cs="仿宋_GB2312" w:asciiTheme="minorEastAsia" w:hAnsiTheme="minorEastAsia" w:eastAsiaTheme="minorEastAsia"/>
          <w:color w:val="000000"/>
          <w:shd w:val="clear" w:color="auto" w:fill="FFFFFF"/>
        </w:rPr>
        <w:t>扶持等相关政府采购政策。</w:t>
      </w:r>
    </w:p>
    <w:p>
      <w:pPr>
        <w:pStyle w:val="18"/>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三、投标人资格要求</w:t>
      </w:r>
    </w:p>
    <w:p>
      <w:pPr>
        <w:pStyle w:val="18"/>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（一）符合《中华人民共和国政府采购法》第二十二条之规定；</w:t>
      </w:r>
    </w:p>
    <w:p>
      <w:pPr>
        <w:pStyle w:val="18"/>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（二）具有相应范围的《医疗器械生产许可证》或《医疗器械经营许可证》经营范围涵盖所投包号产品；</w:t>
      </w:r>
    </w:p>
    <w:p>
      <w:pPr>
        <w:pStyle w:val="18"/>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(三) 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（四）本次招标不接受联合体投标。</w:t>
      </w:r>
    </w:p>
    <w:p>
      <w:pPr>
        <w:pStyle w:val="18"/>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四、招标文件的获取</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（一）网上下载招标文件</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（二）招标文件售价</w:t>
      </w:r>
      <w:r>
        <w:rPr>
          <w:rFonts w:hint="eastAsia" w:cs="仿宋_GB2312" w:asciiTheme="minorEastAsia" w:hAnsiTheme="minorEastAsia" w:eastAsiaTheme="minorEastAsia"/>
          <w:color w:val="000000"/>
          <w:u w:val="single"/>
          <w:shd w:val="clear" w:color="auto" w:fill="FFFFFF"/>
        </w:rPr>
        <w:t>300</w:t>
      </w:r>
      <w:r>
        <w:rPr>
          <w:rFonts w:hint="eastAsia" w:cs="仿宋_GB2312" w:asciiTheme="minorEastAsia" w:hAnsiTheme="minorEastAsia" w:eastAsiaTheme="minorEastAsia"/>
          <w:color w:val="000000"/>
          <w:shd w:val="clear" w:color="auto" w:fill="FFFFFF"/>
        </w:rPr>
        <w:t>元/套，投标人在递交投标文件时向采购代理机构交纳采购文件费用，售后不退。</w:t>
      </w:r>
    </w:p>
    <w:p>
      <w:pPr>
        <w:pStyle w:val="18"/>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五、投标截止时间、开标时间及地点</w:t>
      </w:r>
    </w:p>
    <w:p>
      <w:pPr>
        <w:pStyle w:val="18"/>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color w:val="000000"/>
        </w:rPr>
        <w:t>（一）</w:t>
      </w:r>
      <w:r>
        <w:rPr>
          <w:rFonts w:hint="eastAsia" w:cs="仿宋_GB2312" w:asciiTheme="minorEastAsia" w:hAnsiTheme="minorEastAsia" w:eastAsiaTheme="minorEastAsia"/>
        </w:rPr>
        <w:t>投标截止及开标时间：2019年</w:t>
      </w:r>
      <w:r>
        <w:rPr>
          <w:rFonts w:hint="eastAsia" w:cs="仿宋_GB2312" w:asciiTheme="minorEastAsia" w:hAnsiTheme="minorEastAsia" w:eastAsiaTheme="minorEastAsia"/>
          <w:u w:val="single"/>
          <w:lang w:val="en-US" w:eastAsia="zh-CN"/>
        </w:rPr>
        <w:t>4</w:t>
      </w:r>
      <w:r>
        <w:rPr>
          <w:rFonts w:hint="eastAsia" w:cs="仿宋_GB2312" w:asciiTheme="minorEastAsia" w:hAnsiTheme="minorEastAsia" w:eastAsiaTheme="minorEastAsia"/>
        </w:rPr>
        <w:t>月</w:t>
      </w:r>
      <w:r>
        <w:rPr>
          <w:rFonts w:hint="eastAsia" w:cs="仿宋_GB2312" w:asciiTheme="minorEastAsia" w:hAnsiTheme="minorEastAsia" w:eastAsiaTheme="minorEastAsia"/>
          <w:u w:val="single"/>
        </w:rPr>
        <w:t xml:space="preserve"> </w:t>
      </w:r>
      <w:r>
        <w:rPr>
          <w:rFonts w:hint="eastAsia" w:cs="仿宋_GB2312" w:asciiTheme="minorEastAsia" w:hAnsiTheme="minorEastAsia" w:eastAsiaTheme="minorEastAsia"/>
          <w:u w:val="single"/>
          <w:lang w:val="en-US" w:eastAsia="zh-CN"/>
        </w:rPr>
        <w:t>9</w:t>
      </w:r>
      <w:r>
        <w:rPr>
          <w:rFonts w:hint="eastAsia" w:cs="仿宋_GB2312" w:asciiTheme="minorEastAsia" w:hAnsiTheme="minorEastAsia" w:eastAsiaTheme="minorEastAsia"/>
        </w:rPr>
        <w:t>日</w:t>
      </w:r>
      <w:r>
        <w:rPr>
          <w:rFonts w:hint="eastAsia" w:cs="仿宋_GB2312" w:asciiTheme="minorEastAsia" w:hAnsiTheme="minorEastAsia" w:eastAsiaTheme="minorEastAsia"/>
          <w:lang w:val="en-US" w:eastAsia="zh-CN"/>
        </w:rPr>
        <w:t>9</w:t>
      </w:r>
      <w:r>
        <w:rPr>
          <w:rFonts w:hint="eastAsia" w:cs="仿宋_GB2312" w:asciiTheme="minorEastAsia" w:hAnsiTheme="minorEastAsia" w:eastAsiaTheme="minorEastAsia"/>
          <w:u w:val="single"/>
        </w:rPr>
        <w:t xml:space="preserve"> </w:t>
      </w:r>
      <w:r>
        <w:rPr>
          <w:rFonts w:hint="eastAsia" w:cs="仿宋_GB2312" w:asciiTheme="minorEastAsia" w:hAnsiTheme="minorEastAsia" w:eastAsiaTheme="minorEastAsia"/>
        </w:rPr>
        <w:t>时</w:t>
      </w:r>
      <w:r>
        <w:rPr>
          <w:rFonts w:hint="eastAsia" w:cs="仿宋_GB2312" w:asciiTheme="minorEastAsia" w:hAnsiTheme="minorEastAsia" w:eastAsiaTheme="minorEastAsia"/>
          <w:u w:val="single"/>
          <w:lang w:val="en-US" w:eastAsia="zh-CN"/>
        </w:rPr>
        <w:t xml:space="preserve"> 30 </w:t>
      </w:r>
      <w:r>
        <w:rPr>
          <w:rFonts w:hint="eastAsia" w:cs="仿宋_GB2312" w:asciiTheme="minorEastAsia" w:hAnsiTheme="minorEastAsia" w:eastAsiaTheme="minorEastAsia"/>
        </w:rPr>
        <w:t>分（北京时间），逾期提交或不符合规定的投标文件不予接受。</w:t>
      </w:r>
    </w:p>
    <w:p>
      <w:pPr>
        <w:pStyle w:val="18"/>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（二）开标地点：许昌市公共资源交易中心（</w:t>
      </w:r>
      <w:r>
        <w:rPr>
          <w:rFonts w:cs="Arial" w:asciiTheme="minorEastAsia" w:hAnsiTheme="minorEastAsia" w:eastAsiaTheme="minorEastAsia"/>
        </w:rPr>
        <w:t>龙兴路与竹林路交汇处</w:t>
      </w:r>
      <w:r>
        <w:rPr>
          <w:rFonts w:hint="eastAsia" w:cs="仿宋_GB2312" w:asciiTheme="minorEastAsia" w:hAnsiTheme="minorEastAsia" w:eastAsiaTheme="minorEastAsia"/>
        </w:rPr>
        <w:t>公共资源大厦）三楼开标</w:t>
      </w:r>
      <w:r>
        <w:rPr>
          <w:rFonts w:hint="eastAsia" w:cs="仿宋_GB2312" w:asciiTheme="minorEastAsia" w:hAnsiTheme="minorEastAsia" w:eastAsiaTheme="minorEastAsia"/>
          <w:u w:val="single"/>
        </w:rPr>
        <w:t xml:space="preserve"> </w:t>
      </w:r>
      <w:r>
        <w:rPr>
          <w:rFonts w:hint="eastAsia" w:cs="仿宋_GB2312" w:asciiTheme="minorEastAsia" w:hAnsiTheme="minorEastAsia" w:eastAsiaTheme="minorEastAsia"/>
          <w:u w:val="single"/>
          <w:lang w:val="en-US" w:eastAsia="zh-CN"/>
        </w:rPr>
        <w:t>三</w:t>
      </w:r>
      <w:r>
        <w:rPr>
          <w:rFonts w:hint="eastAsia" w:cs="仿宋_GB2312" w:asciiTheme="minorEastAsia" w:hAnsiTheme="minorEastAsia" w:eastAsiaTheme="minorEastAsia"/>
          <w:u w:val="single"/>
        </w:rPr>
        <w:t xml:space="preserve"> </w:t>
      </w:r>
      <w:r>
        <w:rPr>
          <w:rFonts w:hint="eastAsia" w:cs="仿宋_GB2312" w:asciiTheme="minorEastAsia" w:hAnsiTheme="minorEastAsia" w:eastAsiaTheme="minorEastAsia"/>
        </w:rPr>
        <w:t>室。</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（三） 本项目为全流程电子化交易项目，投标人须提交电子投标文件和纸质投标文件。</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1、加密电子投标文件</w:t>
      </w:r>
      <w:r>
        <w:rPr>
          <w:rFonts w:hint="eastAsia" w:cs="宋体" w:asciiTheme="minorEastAsia" w:hAnsiTheme="minorEastAsia"/>
          <w:color w:val="000000"/>
        </w:rPr>
        <w:t>（</w:t>
      </w:r>
      <w:r>
        <w:rPr>
          <w:rFonts w:asciiTheme="minorEastAsia" w:hAnsiTheme="minorEastAsia" w:eastAsiaTheme="minorEastAsia"/>
          <w:color w:val="000000"/>
        </w:rPr>
        <w:t>.file</w:t>
      </w:r>
      <w:r>
        <w:rPr>
          <w:rFonts w:hint="eastAsia" w:cs="宋体" w:asciiTheme="minorEastAsia" w:hAnsiTheme="minorEastAsia"/>
          <w:color w:val="000000"/>
        </w:rPr>
        <w:t>格式）须</w:t>
      </w:r>
      <w:r>
        <w:rPr>
          <w:rFonts w:hint="eastAsia" w:cs="仿宋_GB2312" w:asciiTheme="minorEastAsia" w:hAnsiTheme="minorEastAsia" w:eastAsiaTheme="minorEastAsia"/>
          <w:color w:val="000000"/>
        </w:rPr>
        <w:t>在投标截止时间（开标时间）前通过《全国公共资源交易平台(河南省▪许昌市)》公共资源交易系统成功上传。</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000000"/>
          <w:shd w:val="pct10" w:color="auto" w:fill="FFFFFF"/>
        </w:rPr>
      </w:pPr>
      <w:r>
        <w:rPr>
          <w:rFonts w:hint="eastAsia" w:cs="仿宋_GB2312" w:asciiTheme="minorEastAsia" w:hAnsiTheme="minorEastAsia" w:eastAsiaTheme="minorEastAsia"/>
          <w:color w:val="000000"/>
        </w:rPr>
        <w:t>2、纸质投标文件（正本、副本各1份）和备份文件1份</w:t>
      </w:r>
      <w:r>
        <w:rPr>
          <w:rFonts w:hint="eastAsia" w:hAnsi="宋体"/>
          <w:color w:val="000000"/>
        </w:rPr>
        <w:t>（使用电子介质存储）</w:t>
      </w:r>
      <w:r>
        <w:rPr>
          <w:rFonts w:hint="eastAsia" w:cs="仿宋_GB2312" w:asciiTheme="minorEastAsia" w:hAnsiTheme="minorEastAsia" w:eastAsiaTheme="minorEastAsia"/>
          <w:color w:val="000000"/>
        </w:rPr>
        <w:t>在投标截止时间（开标时间）前递交至本项目开标地点。</w:t>
      </w:r>
    </w:p>
    <w:p>
      <w:pPr>
        <w:pStyle w:val="18"/>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六、本次招标公告同时在《中国政府采购网》、《河南省政府采购网》、《许昌市政府采购网》、《全国公共资源交易平台（河南省·许昌市）》发布。</w:t>
      </w:r>
    </w:p>
    <w:p>
      <w:pPr>
        <w:pStyle w:val="18"/>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七、公告期限</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本招标公告自发布之日起公告期限为5个工作日。</w:t>
      </w:r>
    </w:p>
    <w:p>
      <w:pPr>
        <w:pStyle w:val="18"/>
        <w:widowControl/>
        <w:shd w:val="clear" w:color="auto" w:fill="FFFFFF"/>
        <w:spacing w:line="360" w:lineRule="auto"/>
        <w:ind w:firstLine="420"/>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rPr>
        <w:t>八、联系方式</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采购人：许昌市中心医院南区医院</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地  址：许昌市七一路中段</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联系人：吴英杰             联系电话：</w:t>
      </w:r>
      <w:r>
        <w:rPr>
          <w:rFonts w:cs="仿宋_GB2312" w:asciiTheme="minorEastAsia" w:hAnsiTheme="minorEastAsia" w:eastAsiaTheme="minorEastAsia"/>
          <w:color w:val="000000"/>
        </w:rPr>
        <w:t>1</w:t>
      </w:r>
      <w:r>
        <w:rPr>
          <w:rFonts w:hint="eastAsia" w:cs="仿宋_GB2312" w:asciiTheme="minorEastAsia" w:hAnsiTheme="minorEastAsia" w:eastAsiaTheme="minorEastAsia"/>
          <w:color w:val="000000"/>
        </w:rPr>
        <w:t>3733602226</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代理机构：中大国信工程管理有限公司</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地  址：许昌市万象春天2号楼3单元2001</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联系人：颜先生               联系电话：</w:t>
      </w:r>
      <w:r>
        <w:rPr>
          <w:rFonts w:cs="仿宋_GB2312" w:asciiTheme="minorEastAsia" w:hAnsiTheme="minorEastAsia" w:eastAsiaTheme="minorEastAsia"/>
          <w:color w:val="000000"/>
        </w:rPr>
        <w:t>18339017985</w:t>
      </w:r>
    </w:p>
    <w:p>
      <w:pPr>
        <w:rPr>
          <w:rFonts w:asciiTheme="minorEastAsia" w:hAnsiTheme="minorEastAsia"/>
          <w:sz w:val="24"/>
          <w:szCs w:val="24"/>
        </w:rPr>
      </w:pPr>
    </w:p>
    <w:p>
      <w:pPr>
        <w:rPr>
          <w:rFonts w:cs="仿宋_GB2312" w:asciiTheme="minorEastAsia" w:hAnsiTheme="minorEastAsia"/>
          <w:color w:val="000000"/>
          <w:sz w:val="24"/>
          <w:szCs w:val="24"/>
          <w:shd w:val="clear" w:color="auto" w:fill="FFFFFF"/>
        </w:rPr>
      </w:pPr>
    </w:p>
    <w:p>
      <w:pPr>
        <w:autoSpaceDE w:val="0"/>
        <w:autoSpaceDN w:val="0"/>
        <w:adjustRightInd w:val="0"/>
        <w:spacing w:line="700" w:lineRule="exact"/>
        <w:ind w:firstLine="560"/>
        <w:rPr>
          <w:rFonts w:cs="仿宋_GB2312" w:asciiTheme="minorEastAsia" w:hAnsiTheme="minorEastAsia"/>
          <w:color w:val="000000"/>
          <w:sz w:val="24"/>
          <w:szCs w:val="24"/>
        </w:rPr>
      </w:pPr>
      <w:r>
        <w:rPr>
          <w:rFonts w:hint="eastAsia" w:asciiTheme="minorEastAsia" w:hAnsiTheme="minorEastAsia" w:cstheme="majorEastAsia"/>
          <w:sz w:val="24"/>
          <w:szCs w:val="24"/>
          <w:lang w:val="zh-CN"/>
        </w:rPr>
        <w:t xml:space="preserve">                            </w:t>
      </w:r>
      <w:r>
        <w:rPr>
          <w:rFonts w:hint="eastAsia" w:asciiTheme="minorEastAsia" w:hAnsiTheme="minorEastAsia" w:cstheme="majorEastAsia"/>
          <w:sz w:val="24"/>
          <w:szCs w:val="24"/>
        </w:rPr>
        <w:t xml:space="preserve">                </w:t>
      </w:r>
      <w:r>
        <w:rPr>
          <w:rFonts w:hint="eastAsia" w:asciiTheme="minorEastAsia" w:hAnsiTheme="minorEastAsia" w:cstheme="majorEastAsia"/>
          <w:sz w:val="24"/>
          <w:szCs w:val="24"/>
          <w:lang w:val="zh-CN"/>
        </w:rPr>
        <w:t xml:space="preserve">  许昌市中心医院南区医院</w:t>
      </w:r>
    </w:p>
    <w:p>
      <w:pPr>
        <w:autoSpaceDE w:val="0"/>
        <w:autoSpaceDN w:val="0"/>
        <w:adjustRightInd w:val="0"/>
        <w:spacing w:line="700" w:lineRule="exact"/>
        <w:ind w:firstLine="560"/>
        <w:rPr>
          <w:rFonts w:hAnsi="宋体"/>
          <w:b/>
          <w:sz w:val="28"/>
          <w:szCs w:val="28"/>
        </w:rPr>
      </w:pPr>
      <w:r>
        <w:rPr>
          <w:rFonts w:hint="eastAsia" w:cs="仿宋_GB2312" w:asciiTheme="minorEastAsia" w:hAnsiTheme="minorEastAsia"/>
          <w:color w:val="000000"/>
          <w:sz w:val="24"/>
          <w:szCs w:val="24"/>
        </w:rPr>
        <w:t xml:space="preserve">                                            </w:t>
      </w:r>
    </w:p>
    <w:p>
      <w:pPr>
        <w:spacing w:line="360" w:lineRule="auto"/>
        <w:rPr>
          <w:rFonts w:hAnsi="宋体"/>
          <w:b/>
          <w:sz w:val="32"/>
          <w:szCs w:val="32"/>
        </w:rPr>
      </w:pPr>
    </w:p>
    <w:p>
      <w:pPr>
        <w:spacing w:line="360" w:lineRule="auto"/>
        <w:rPr>
          <w:rFonts w:hAnsi="宋体"/>
          <w:b/>
          <w:sz w:val="32"/>
          <w:szCs w:val="32"/>
        </w:rPr>
      </w:pPr>
    </w:p>
    <w:p>
      <w:pPr>
        <w:spacing w:line="360" w:lineRule="auto"/>
        <w:rPr>
          <w:rFonts w:hAnsi="宋体"/>
          <w:b/>
          <w:sz w:val="32"/>
          <w:szCs w:val="32"/>
        </w:rPr>
      </w:pPr>
    </w:p>
    <w:p>
      <w:pPr>
        <w:spacing w:line="360" w:lineRule="auto"/>
        <w:rPr>
          <w:rFonts w:hAnsi="宋体"/>
          <w:b/>
          <w:sz w:val="32"/>
          <w:szCs w:val="32"/>
        </w:rPr>
      </w:pPr>
    </w:p>
    <w:p>
      <w:pPr>
        <w:spacing w:line="360" w:lineRule="auto"/>
        <w:rPr>
          <w:rFonts w:hAnsi="宋体"/>
          <w:b/>
          <w:sz w:val="32"/>
          <w:szCs w:val="32"/>
        </w:rPr>
      </w:pPr>
    </w:p>
    <w:p>
      <w:pPr>
        <w:spacing w:line="360" w:lineRule="auto"/>
        <w:rPr>
          <w:rFonts w:hAnsi="宋体"/>
          <w:b/>
          <w:sz w:val="32"/>
          <w:szCs w:val="32"/>
        </w:rPr>
      </w:pPr>
    </w:p>
    <w:p>
      <w:pPr>
        <w:spacing w:line="360" w:lineRule="auto"/>
        <w:rPr>
          <w:rFonts w:hAnsi="宋体"/>
          <w:b/>
          <w:sz w:val="32"/>
          <w:szCs w:val="32"/>
        </w:rPr>
      </w:pPr>
    </w:p>
    <w:p>
      <w:pPr>
        <w:spacing w:line="360" w:lineRule="auto"/>
        <w:rPr>
          <w:rFonts w:hAnsi="宋体"/>
          <w:b/>
          <w:sz w:val="32"/>
          <w:szCs w:val="32"/>
        </w:rPr>
      </w:pPr>
    </w:p>
    <w:p>
      <w:pPr>
        <w:spacing w:line="360" w:lineRule="auto"/>
        <w:rPr>
          <w:rFonts w:hAnsi="宋体"/>
          <w:b/>
          <w:sz w:val="32"/>
          <w:szCs w:val="32"/>
        </w:rPr>
      </w:pPr>
    </w:p>
    <w:p>
      <w:pPr>
        <w:spacing w:line="360" w:lineRule="auto"/>
        <w:rPr>
          <w:rFonts w:hAnsi="宋体"/>
          <w:b/>
          <w:sz w:val="32"/>
          <w:szCs w:val="32"/>
        </w:rPr>
      </w:pPr>
    </w:p>
    <w:p>
      <w:pPr>
        <w:spacing w:line="360" w:lineRule="auto"/>
        <w:rPr>
          <w:rFonts w:hAnsi="宋体"/>
          <w:b/>
          <w:sz w:val="32"/>
          <w:szCs w:val="32"/>
        </w:rPr>
      </w:pPr>
    </w:p>
    <w:p>
      <w:pPr>
        <w:spacing w:line="360" w:lineRule="auto"/>
        <w:rPr>
          <w:rFonts w:hAnsi="宋体"/>
          <w:b/>
          <w:sz w:val="32"/>
          <w:szCs w:val="32"/>
        </w:rPr>
      </w:pPr>
    </w:p>
    <w:p>
      <w:pPr>
        <w:spacing w:line="360" w:lineRule="auto"/>
        <w:rPr>
          <w:rFonts w:hAnsi="宋体"/>
          <w:b/>
          <w:sz w:val="32"/>
          <w:szCs w:val="32"/>
        </w:rPr>
      </w:pPr>
    </w:p>
    <w:p>
      <w:pPr>
        <w:spacing w:line="360" w:lineRule="auto"/>
        <w:rPr>
          <w:rFonts w:hAnsi="宋体"/>
          <w:b/>
          <w:sz w:val="32"/>
          <w:szCs w:val="32"/>
        </w:rPr>
      </w:pPr>
    </w:p>
    <w:p>
      <w:pPr>
        <w:spacing w:line="360" w:lineRule="auto"/>
        <w:rPr>
          <w:rFonts w:hint="eastAsia" w:hAnsi="宋体"/>
          <w:b/>
          <w:sz w:val="32"/>
          <w:szCs w:val="32"/>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5"/>
          <w:rFonts w:hAnsi="宋体"/>
          <w:sz w:val="24"/>
          <w:szCs w:val="24"/>
        </w:rPr>
        <w:t>http://221.14.6.70:8088/ggzy/</w:t>
      </w:r>
      <w:r>
        <w:rPr>
          <w:rStyle w:val="25"/>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5"/>
          <w:rFonts w:hAnsi="宋体"/>
          <w:sz w:val="24"/>
          <w:szCs w:val="24"/>
        </w:rPr>
        <w:t>http://221.14.6.70:8088/ggzy/</w:t>
      </w:r>
      <w:r>
        <w:rPr>
          <w:rStyle w:val="25"/>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rPr>
          <w:rFonts w:cs="宋体" w:asciiTheme="majorEastAsia" w:hAnsiTheme="majorEastAsia" w:eastAsiaTheme="majorEastAsia"/>
          <w:b/>
          <w:kern w:val="0"/>
          <w:sz w:val="36"/>
          <w:szCs w:val="36"/>
        </w:rPr>
      </w:pPr>
    </w:p>
    <w:p>
      <w:pPr>
        <w:pStyle w:val="37"/>
        <w:numPr>
          <w:ilvl w:val="0"/>
          <w:numId w:val="4"/>
        </w:numPr>
        <w:ind w:firstLineChars="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rPr>
          <w:rFonts w:cs="宋体" w:asciiTheme="majorEastAsia" w:hAnsiTheme="majorEastAsia" w:eastAsiaTheme="majorEastAsia"/>
          <w:b/>
          <w:kern w:val="0"/>
          <w:sz w:val="32"/>
          <w:szCs w:val="32"/>
        </w:rPr>
      </w:pPr>
    </w:p>
    <w:p>
      <w:pPr>
        <w:widowControl/>
        <w:numPr>
          <w:ilvl w:val="0"/>
          <w:numId w:val="5"/>
        </w:numPr>
        <w:shd w:val="clear" w:color="auto" w:fill="FFFFFF"/>
        <w:spacing w:line="360" w:lineRule="auto"/>
        <w:ind w:firstLine="482" w:firstLineChars="200"/>
        <w:contextualSpacing/>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采购清单：采气囊式体外反搏装置1台。</w:t>
      </w:r>
    </w:p>
    <w:p>
      <w:pPr>
        <w:widowControl/>
        <w:numPr>
          <w:ilvl w:val="0"/>
          <w:numId w:val="5"/>
        </w:numPr>
        <w:shd w:val="clear" w:color="auto" w:fill="FFFFFF"/>
        <w:spacing w:line="360" w:lineRule="auto"/>
        <w:ind w:firstLine="482" w:firstLineChars="200"/>
        <w:contextualSpacing/>
        <w:jc w:val="left"/>
        <w:rPr>
          <w:rFonts w:cs="黑体" w:asciiTheme="minorEastAsia" w:hAnsiTheme="minorEastAsia"/>
          <w:b/>
          <w:bCs/>
          <w:color w:val="000000"/>
          <w:sz w:val="24"/>
          <w:szCs w:val="24"/>
          <w:shd w:val="clear" w:color="auto" w:fill="FFFFFF"/>
          <w:lang w:val="zh-CN"/>
        </w:rPr>
      </w:pPr>
      <w:r>
        <w:rPr>
          <w:rFonts w:hint="eastAsia" w:cs="黑体" w:asciiTheme="minorEastAsia" w:hAnsiTheme="minorEastAsia"/>
          <w:b/>
          <w:bCs/>
          <w:color w:val="000000"/>
          <w:sz w:val="24"/>
          <w:szCs w:val="24"/>
          <w:shd w:val="clear" w:color="auto" w:fill="FFFFFF"/>
          <w:lang w:val="zh-CN"/>
        </w:rPr>
        <w:t>技术参数：</w:t>
      </w:r>
    </w:p>
    <w:tbl>
      <w:tblPr>
        <w:tblStyle w:val="20"/>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b/>
                <w:bCs/>
                <w:sz w:val="20"/>
                <w:szCs w:val="20"/>
              </w:rPr>
            </w:pPr>
            <w:r>
              <w:rPr>
                <w:rFonts w:hint="eastAsia" w:ascii="宋体" w:hAnsi="宋体"/>
                <w:b/>
                <w:bCs/>
                <w:sz w:val="20"/>
                <w:szCs w:val="20"/>
              </w:rPr>
              <w:t>序号</w:t>
            </w:r>
          </w:p>
        </w:tc>
        <w:tc>
          <w:tcPr>
            <w:tcW w:w="827" w:type="dxa"/>
            <w:tcBorders>
              <w:top w:val="single" w:color="auto" w:sz="4" w:space="0"/>
              <w:left w:val="nil"/>
              <w:bottom w:val="single" w:color="auto" w:sz="4" w:space="0"/>
              <w:right w:val="single" w:color="auto" w:sz="4" w:space="0"/>
            </w:tcBorders>
            <w:vAlign w:val="center"/>
          </w:tcPr>
          <w:p>
            <w:pPr>
              <w:jc w:val="center"/>
              <w:rPr>
                <w:rFonts w:ascii="宋体" w:hAnsi="Calibri" w:eastAsia="宋体"/>
                <w:b/>
                <w:bCs/>
                <w:sz w:val="20"/>
                <w:szCs w:val="20"/>
              </w:rPr>
            </w:pPr>
            <w:r>
              <w:rPr>
                <w:rFonts w:hint="eastAsia" w:ascii="宋体" w:hAnsi="宋体"/>
                <w:b/>
                <w:bCs/>
                <w:sz w:val="20"/>
                <w:szCs w:val="20"/>
              </w:rPr>
              <w:t>名称</w:t>
            </w:r>
          </w:p>
        </w:tc>
        <w:tc>
          <w:tcPr>
            <w:tcW w:w="6737" w:type="dxa"/>
            <w:tcBorders>
              <w:top w:val="single" w:color="auto" w:sz="4" w:space="0"/>
              <w:left w:val="nil"/>
              <w:bottom w:val="single" w:color="auto" w:sz="4" w:space="0"/>
              <w:right w:val="single" w:color="auto" w:sz="4" w:space="0"/>
            </w:tcBorders>
            <w:vAlign w:val="center"/>
          </w:tcPr>
          <w:p>
            <w:pPr>
              <w:jc w:val="center"/>
              <w:rPr>
                <w:rFonts w:ascii="宋体" w:hAnsi="Calibri" w:eastAsia="宋体"/>
                <w:b/>
                <w:bCs/>
                <w:sz w:val="20"/>
                <w:szCs w:val="20"/>
              </w:rPr>
            </w:pPr>
            <w:r>
              <w:rPr>
                <w:rFonts w:hint="eastAsia" w:ascii="宋体" w:hAnsi="宋体"/>
                <w:b/>
                <w:bCs/>
                <w:sz w:val="20"/>
                <w:szCs w:val="20"/>
              </w:rPr>
              <w:t>技术规格</w:t>
            </w:r>
          </w:p>
        </w:tc>
        <w:tc>
          <w:tcPr>
            <w:tcW w:w="552" w:type="dxa"/>
            <w:tcBorders>
              <w:top w:val="single" w:color="auto" w:sz="4" w:space="0"/>
              <w:left w:val="nil"/>
              <w:bottom w:val="single" w:color="auto" w:sz="4" w:space="0"/>
              <w:right w:val="single" w:color="auto" w:sz="4" w:space="0"/>
            </w:tcBorders>
            <w:vAlign w:val="center"/>
          </w:tcPr>
          <w:p>
            <w:pPr>
              <w:jc w:val="center"/>
              <w:rPr>
                <w:rFonts w:ascii="宋体" w:hAnsi="Calibri" w:eastAsia="宋体"/>
                <w:b/>
                <w:bCs/>
                <w:sz w:val="20"/>
                <w:szCs w:val="20"/>
              </w:rPr>
            </w:pPr>
            <w:r>
              <w:rPr>
                <w:rFonts w:hint="eastAsia" w:ascii="宋体" w:hAnsi="宋体"/>
                <w:b/>
                <w:bCs/>
                <w:sz w:val="20"/>
                <w:szCs w:val="20"/>
              </w:rPr>
              <w:t>单位</w:t>
            </w:r>
          </w:p>
        </w:tc>
        <w:tc>
          <w:tcPr>
            <w:tcW w:w="663" w:type="dxa"/>
            <w:tcBorders>
              <w:top w:val="single" w:color="auto" w:sz="4" w:space="0"/>
              <w:left w:val="nil"/>
              <w:bottom w:val="single" w:color="auto" w:sz="4" w:space="0"/>
              <w:right w:val="single" w:color="auto" w:sz="4" w:space="0"/>
            </w:tcBorders>
            <w:vAlign w:val="center"/>
          </w:tcPr>
          <w:p>
            <w:pPr>
              <w:jc w:val="center"/>
              <w:rPr>
                <w:rFonts w:ascii="宋体" w:hAnsi="Calibri" w:eastAsia="宋体"/>
                <w:b/>
                <w:bCs/>
                <w:sz w:val="20"/>
                <w:szCs w:val="20"/>
              </w:rPr>
            </w:pPr>
            <w:r>
              <w:rPr>
                <w:rFonts w:hint="eastAsia" w:ascii="宋体" w:hAnsi="宋体"/>
                <w:b/>
                <w:bCs/>
                <w:sz w:val="20"/>
                <w:szCs w:val="20"/>
              </w:rPr>
              <w:t>数量</w:t>
            </w:r>
          </w:p>
        </w:tc>
        <w:tc>
          <w:tcPr>
            <w:tcW w:w="663" w:type="dxa"/>
            <w:tcBorders>
              <w:top w:val="single" w:color="auto" w:sz="4" w:space="0"/>
              <w:left w:val="nil"/>
              <w:bottom w:val="single" w:color="auto" w:sz="4" w:space="0"/>
              <w:right w:val="single" w:color="auto" w:sz="4" w:space="0"/>
            </w:tcBorders>
          </w:tcPr>
          <w:p>
            <w:pPr>
              <w:jc w:val="center"/>
              <w:rPr>
                <w:rFonts w:ascii="宋体" w:hAnsi="宋体"/>
                <w:b/>
                <w:bCs/>
                <w:sz w:val="20"/>
                <w:szCs w:val="20"/>
              </w:rPr>
            </w:pPr>
            <w:r>
              <w:rPr>
                <w:rFonts w:hint="eastAsia" w:ascii="宋体" w:hAnsi="宋体"/>
                <w:b/>
                <w:bCs/>
                <w:sz w:val="20"/>
                <w:szCs w:val="20"/>
              </w:rPr>
              <w:t>是否为</w:t>
            </w:r>
          </w:p>
          <w:p>
            <w:pPr>
              <w:jc w:val="center"/>
              <w:rPr>
                <w:rFonts w:ascii="宋体" w:hAnsi="宋体" w:eastAsia="宋体"/>
                <w:b/>
                <w:bCs/>
                <w:sz w:val="20"/>
                <w:szCs w:val="20"/>
              </w:rPr>
            </w:pPr>
            <w:r>
              <w:rPr>
                <w:rFonts w:hint="eastAsia" w:ascii="宋体" w:hAnsi="宋体"/>
                <w:b/>
                <w:bCs/>
                <w:sz w:val="20"/>
                <w:szCs w:val="20"/>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olor w:val="000000"/>
                <w:sz w:val="20"/>
                <w:szCs w:val="20"/>
              </w:rPr>
            </w:pPr>
            <w:r>
              <w:rPr>
                <w:rFonts w:hint="eastAsia" w:ascii="宋体" w:hAnsi="宋体"/>
                <w:color w:val="000000"/>
                <w:sz w:val="20"/>
                <w:szCs w:val="20"/>
              </w:rPr>
              <w:t>1</w:t>
            </w:r>
          </w:p>
        </w:tc>
        <w:tc>
          <w:tcPr>
            <w:tcW w:w="827" w:type="dxa"/>
            <w:tcBorders>
              <w:top w:val="single" w:color="auto" w:sz="4" w:space="0"/>
              <w:left w:val="nil"/>
              <w:bottom w:val="single" w:color="auto" w:sz="4" w:space="0"/>
              <w:right w:val="single" w:color="auto" w:sz="4" w:space="0"/>
            </w:tcBorders>
            <w:vAlign w:val="center"/>
          </w:tcPr>
          <w:p>
            <w:pPr>
              <w:rPr>
                <w:rFonts w:ascii="宋体" w:hAnsi="宋体" w:eastAsia="宋体"/>
                <w:color w:val="000000"/>
                <w:sz w:val="22"/>
              </w:rPr>
            </w:pPr>
            <w:r>
              <w:rPr>
                <w:rFonts w:hint="eastAsia" w:ascii="宋体" w:hAnsi="宋体"/>
                <w:color w:val="000000"/>
                <w:sz w:val="22"/>
              </w:rPr>
              <w:t>气囊式体外反搏装置</w:t>
            </w:r>
          </w:p>
        </w:tc>
        <w:tc>
          <w:tcPr>
            <w:tcW w:w="6737" w:type="dxa"/>
            <w:tcBorders>
              <w:top w:val="single" w:color="auto" w:sz="4" w:space="0"/>
              <w:left w:val="nil"/>
              <w:bottom w:val="single" w:color="auto" w:sz="4" w:space="0"/>
              <w:right w:val="single" w:color="auto" w:sz="4" w:space="0"/>
            </w:tcBorders>
            <w:vAlign w:val="center"/>
          </w:tcPr>
          <w:p>
            <w:pPr>
              <w:rPr>
                <w:rFonts w:ascii="宋体" w:hAnsi="宋体"/>
                <w:color w:val="000000"/>
                <w:sz w:val="22"/>
              </w:rPr>
            </w:pPr>
            <w:r>
              <w:rPr>
                <w:rFonts w:hint="eastAsia" w:ascii="宋体" w:hAnsi="宋体"/>
                <w:color w:val="000000"/>
                <w:sz w:val="22"/>
              </w:rPr>
              <w:t>1、以心电R波为触发信号，以QRS波为判别依据，充气、排气和心动周期同步。</w:t>
            </w:r>
          </w:p>
          <w:p>
            <w:pPr>
              <w:rPr>
                <w:rFonts w:hint="eastAsia" w:ascii="宋体" w:hAnsi="宋体"/>
                <w:color w:val="000000"/>
                <w:sz w:val="22"/>
              </w:rPr>
            </w:pPr>
            <w:r>
              <w:rPr>
                <w:rFonts w:hint="eastAsia" w:ascii="宋体" w:hAnsi="宋体"/>
                <w:color w:val="000000"/>
                <w:sz w:val="22"/>
              </w:rPr>
              <w:t>2、具有氧饱和度监测功能，在治疗中实时显示指脉波、反搏波及其比值（D/S比值）反映治疗效果，并实时显示面积的比值（P)；血氧饱和度监测范围70%～100%，精度±2%。</w:t>
            </w:r>
          </w:p>
          <w:p>
            <w:pPr>
              <w:rPr>
                <w:rFonts w:hint="eastAsia" w:ascii="宋体" w:hAnsi="宋体"/>
                <w:color w:val="000000"/>
                <w:sz w:val="22"/>
              </w:rPr>
            </w:pPr>
            <w:r>
              <w:rPr>
                <w:rFonts w:hint="eastAsia" w:ascii="宋体" w:hAnsi="宋体"/>
                <w:color w:val="000000"/>
                <w:sz w:val="22"/>
              </w:rPr>
              <w:t>3、采用工控触摸显示器，可旋转调节，便于观察和操作。</w:t>
            </w:r>
          </w:p>
          <w:p>
            <w:pPr>
              <w:rPr>
                <w:rFonts w:hint="eastAsia" w:ascii="宋体" w:hAnsi="宋体"/>
                <w:color w:val="000000"/>
                <w:sz w:val="22"/>
              </w:rPr>
            </w:pPr>
            <w:r>
              <w:rPr>
                <w:rFonts w:hint="eastAsia" w:ascii="宋体" w:hAnsi="宋体"/>
                <w:color w:val="000000"/>
                <w:sz w:val="22"/>
              </w:rPr>
              <w:t>4、显示界面实时显示心率、氧饱和度、设定压力值、当前时间、治疗剩余时间等。</w:t>
            </w:r>
          </w:p>
          <w:p>
            <w:pPr>
              <w:rPr>
                <w:rFonts w:hint="eastAsia" w:ascii="宋体" w:hAnsi="宋体"/>
                <w:color w:val="000000"/>
                <w:sz w:val="22"/>
              </w:rPr>
            </w:pPr>
            <w:r>
              <w:rPr>
                <w:rFonts w:hint="eastAsia" w:ascii="宋体" w:hAnsi="宋体"/>
                <w:color w:val="000000"/>
                <w:sz w:val="22"/>
              </w:rPr>
              <w:t>5、设备具有超静音设计，噪音≤65db</w:t>
            </w:r>
          </w:p>
          <w:p>
            <w:pPr>
              <w:rPr>
                <w:rFonts w:hint="eastAsia" w:ascii="宋体" w:hAnsi="宋体"/>
                <w:color w:val="000000"/>
                <w:sz w:val="22"/>
              </w:rPr>
            </w:pPr>
            <w:r>
              <w:rPr>
                <w:rFonts w:hint="eastAsia" w:ascii="宋体" w:hAnsi="宋体"/>
                <w:color w:val="000000"/>
                <w:sz w:val="22"/>
              </w:rPr>
              <w:t>6、反搏比率： 1：1或1：2；共模抑制比≥80dB； QRS波检测门限0.25mV。</w:t>
            </w:r>
          </w:p>
          <w:p>
            <w:pPr>
              <w:rPr>
                <w:rFonts w:hint="eastAsia" w:ascii="宋体" w:hAnsi="宋体"/>
                <w:color w:val="000000"/>
                <w:sz w:val="22"/>
              </w:rPr>
            </w:pPr>
            <w:r>
              <w:rPr>
                <w:rFonts w:hint="eastAsia" w:ascii="宋体" w:hAnsi="宋体"/>
                <w:color w:val="000000"/>
                <w:sz w:val="22"/>
              </w:rPr>
              <w:t>7、基本结构为下肢加臀部三级序贯式的加压。</w:t>
            </w:r>
          </w:p>
          <w:p>
            <w:pPr>
              <w:rPr>
                <w:rFonts w:hint="eastAsia" w:ascii="宋体" w:hAnsi="宋体"/>
                <w:color w:val="000000"/>
                <w:sz w:val="22"/>
              </w:rPr>
            </w:pPr>
            <w:r>
              <w:rPr>
                <w:rFonts w:hint="eastAsia" w:ascii="宋体" w:hAnsi="宋体"/>
                <w:color w:val="000000"/>
                <w:sz w:val="22"/>
              </w:rPr>
              <w:t>8、心率超过反搏限值（成人心率低于35bpm或高于125bpm）时具有自动停止反搏功能，心率正常时自动恢复反搏。</w:t>
            </w:r>
          </w:p>
          <w:p>
            <w:pPr>
              <w:rPr>
                <w:rFonts w:hint="eastAsia" w:ascii="宋体" w:hAnsi="宋体"/>
                <w:color w:val="000000"/>
                <w:sz w:val="22"/>
              </w:rPr>
            </w:pPr>
            <w:r>
              <w:rPr>
                <w:rFonts w:hint="eastAsia" w:ascii="宋体" w:hAnsi="宋体"/>
                <w:color w:val="000000"/>
                <w:sz w:val="22"/>
              </w:rPr>
              <w:t>9、管道连接使用快速接头，轻巧灵便，操作者容易更换</w:t>
            </w:r>
          </w:p>
          <w:p>
            <w:pPr>
              <w:rPr>
                <w:rFonts w:hint="eastAsia" w:ascii="宋体" w:hAnsi="宋体"/>
                <w:color w:val="000000"/>
                <w:sz w:val="22"/>
              </w:rPr>
            </w:pPr>
            <w:r>
              <w:rPr>
                <w:rFonts w:hint="eastAsia" w:ascii="宋体" w:hAnsi="宋体"/>
                <w:color w:val="000000"/>
                <w:sz w:val="22"/>
              </w:rPr>
              <w:t>10、早搏触发排气保护、过早充气和过迟排气保护等多重安全保护措施，充分保证安全治疗。</w:t>
            </w:r>
          </w:p>
          <w:p>
            <w:pPr>
              <w:rPr>
                <w:rFonts w:ascii="宋体" w:hAnsi="宋体" w:eastAsia="宋体"/>
                <w:color w:val="000000"/>
                <w:sz w:val="22"/>
              </w:rPr>
            </w:pPr>
            <w:r>
              <w:rPr>
                <w:rFonts w:hint="eastAsia" w:ascii="宋体" w:hAnsi="宋体"/>
                <w:color w:val="000000"/>
                <w:sz w:val="22"/>
              </w:rPr>
              <w:t>11、SFDA</w:t>
            </w:r>
            <w:r>
              <w:rPr>
                <w:rFonts w:hint="eastAsia" w:ascii="宋体" w:hAnsi="宋体"/>
                <w:color w:val="000000"/>
                <w:sz w:val="22"/>
                <w:lang w:eastAsia="zh-CN"/>
              </w:rPr>
              <w:t>、</w:t>
            </w:r>
            <w:r>
              <w:rPr>
                <w:rFonts w:hint="eastAsia" w:ascii="宋体" w:hAnsi="宋体"/>
                <w:color w:val="000000"/>
                <w:sz w:val="22"/>
              </w:rPr>
              <w:t>CFDA、CE、ISO13485认证。</w:t>
            </w:r>
          </w:p>
        </w:tc>
        <w:tc>
          <w:tcPr>
            <w:tcW w:w="552" w:type="dxa"/>
            <w:tcBorders>
              <w:top w:val="single" w:color="auto" w:sz="4" w:space="0"/>
              <w:left w:val="nil"/>
              <w:bottom w:val="single" w:color="auto" w:sz="4" w:space="0"/>
              <w:right w:val="single" w:color="auto" w:sz="4" w:space="0"/>
            </w:tcBorders>
            <w:vAlign w:val="center"/>
          </w:tcPr>
          <w:p>
            <w:pPr>
              <w:jc w:val="center"/>
              <w:rPr>
                <w:rFonts w:ascii="宋体" w:hAnsi="Calibri" w:eastAsia="宋体"/>
                <w:color w:val="000000"/>
                <w:sz w:val="20"/>
                <w:szCs w:val="20"/>
              </w:rPr>
            </w:pPr>
            <w:r>
              <w:rPr>
                <w:rFonts w:hint="eastAsia" w:ascii="宋体" w:hAnsi="宋体"/>
                <w:color w:val="000000"/>
                <w:sz w:val="20"/>
                <w:szCs w:val="20"/>
              </w:rPr>
              <w:t>台</w:t>
            </w:r>
          </w:p>
        </w:tc>
        <w:tc>
          <w:tcPr>
            <w:tcW w:w="663" w:type="dxa"/>
            <w:tcBorders>
              <w:top w:val="single" w:color="auto" w:sz="4" w:space="0"/>
              <w:left w:val="nil"/>
              <w:bottom w:val="single" w:color="auto" w:sz="4" w:space="0"/>
              <w:right w:val="single" w:color="auto" w:sz="4" w:space="0"/>
            </w:tcBorders>
            <w:vAlign w:val="center"/>
          </w:tcPr>
          <w:p>
            <w:pPr>
              <w:jc w:val="center"/>
              <w:rPr>
                <w:rFonts w:ascii="宋体" w:hAnsi="Calibri" w:eastAsia="宋体"/>
                <w:color w:val="000000"/>
                <w:sz w:val="20"/>
                <w:szCs w:val="20"/>
              </w:rPr>
            </w:pPr>
            <w:r>
              <w:rPr>
                <w:rFonts w:hint="eastAsia" w:ascii="宋体"/>
                <w:color w:val="000000"/>
                <w:sz w:val="20"/>
                <w:szCs w:val="20"/>
              </w:rPr>
              <w:t>1</w:t>
            </w:r>
          </w:p>
        </w:tc>
        <w:tc>
          <w:tcPr>
            <w:tcW w:w="663" w:type="dxa"/>
            <w:tcBorders>
              <w:top w:val="single" w:color="auto" w:sz="4" w:space="0"/>
              <w:left w:val="nil"/>
              <w:bottom w:val="single" w:color="auto" w:sz="4" w:space="0"/>
              <w:right w:val="single" w:color="auto" w:sz="4" w:space="0"/>
            </w:tcBorders>
          </w:tcPr>
          <w:p>
            <w:pPr>
              <w:jc w:val="center"/>
              <w:rPr>
                <w:rFonts w:ascii="宋体"/>
                <w:color w:val="000000"/>
                <w:sz w:val="20"/>
                <w:szCs w:val="20"/>
              </w:rPr>
            </w:pPr>
          </w:p>
          <w:p>
            <w:pPr>
              <w:jc w:val="center"/>
              <w:rPr>
                <w:rFonts w:hint="eastAsia" w:ascii="宋体"/>
                <w:color w:val="000000"/>
                <w:sz w:val="20"/>
                <w:szCs w:val="20"/>
              </w:rPr>
            </w:pPr>
          </w:p>
          <w:p>
            <w:pPr>
              <w:jc w:val="center"/>
              <w:rPr>
                <w:rFonts w:hint="eastAsia" w:ascii="宋体"/>
                <w:color w:val="000000"/>
                <w:sz w:val="20"/>
                <w:szCs w:val="20"/>
              </w:rPr>
            </w:pPr>
          </w:p>
          <w:p>
            <w:pPr>
              <w:jc w:val="center"/>
              <w:rPr>
                <w:rFonts w:hint="eastAsia" w:ascii="宋体"/>
                <w:color w:val="000000"/>
                <w:sz w:val="20"/>
                <w:szCs w:val="20"/>
              </w:rPr>
            </w:pPr>
          </w:p>
          <w:p>
            <w:pPr>
              <w:jc w:val="center"/>
              <w:rPr>
                <w:rFonts w:hint="eastAsia" w:ascii="宋体"/>
                <w:color w:val="000000"/>
                <w:sz w:val="20"/>
                <w:szCs w:val="20"/>
              </w:rPr>
            </w:pPr>
          </w:p>
          <w:p>
            <w:pPr>
              <w:jc w:val="center"/>
              <w:rPr>
                <w:rFonts w:hint="eastAsia" w:ascii="宋体"/>
                <w:color w:val="000000"/>
                <w:sz w:val="20"/>
                <w:szCs w:val="20"/>
              </w:rPr>
            </w:pPr>
          </w:p>
          <w:p>
            <w:pPr>
              <w:jc w:val="center"/>
              <w:rPr>
                <w:rFonts w:hint="eastAsia" w:ascii="宋体"/>
                <w:color w:val="000000"/>
                <w:sz w:val="20"/>
                <w:szCs w:val="20"/>
              </w:rPr>
            </w:pPr>
          </w:p>
          <w:p>
            <w:pPr>
              <w:jc w:val="center"/>
              <w:rPr>
                <w:rFonts w:hint="eastAsia" w:ascii="宋体"/>
                <w:color w:val="000000"/>
                <w:sz w:val="20"/>
                <w:szCs w:val="20"/>
              </w:rPr>
            </w:pPr>
            <w:r>
              <w:rPr>
                <w:rFonts w:hint="eastAsia" w:ascii="宋体"/>
                <w:color w:val="000000"/>
                <w:sz w:val="20"/>
                <w:szCs w:val="20"/>
              </w:rPr>
              <w:t> </w:t>
            </w:r>
          </w:p>
          <w:p>
            <w:pPr>
              <w:ind w:firstLine="100" w:firstLineChars="50"/>
              <w:rPr>
                <w:rFonts w:ascii="宋体" w:hAnsi="Calibri" w:eastAsia="宋体"/>
                <w:color w:val="000000"/>
                <w:sz w:val="20"/>
                <w:szCs w:val="20"/>
              </w:rPr>
            </w:pPr>
            <w:r>
              <w:rPr>
                <w:rFonts w:hint="eastAsia" w:ascii="宋体"/>
                <w:color w:val="000000"/>
                <w:sz w:val="20"/>
                <w:szCs w:val="20"/>
              </w:rPr>
              <w:t>是</w:t>
            </w:r>
          </w:p>
        </w:tc>
      </w:tr>
    </w:tbl>
    <w:p>
      <w:pPr>
        <w:spacing w:line="360" w:lineRule="auto"/>
        <w:ind w:firstLine="482" w:firstLineChars="200"/>
        <w:contextualSpacing/>
        <w:rPr>
          <w:rFonts w:cs="微软雅黑" w:asciiTheme="minorEastAsia" w:hAnsiTheme="minorEastAsia"/>
          <w:b/>
          <w:sz w:val="24"/>
          <w:szCs w:val="24"/>
        </w:rPr>
      </w:pPr>
      <w:r>
        <w:rPr>
          <w:rFonts w:hint="eastAsia" w:cs="微软雅黑" w:asciiTheme="minorEastAsia" w:hAnsiTheme="minorEastAsia"/>
          <w:b/>
          <w:sz w:val="24"/>
          <w:szCs w:val="24"/>
        </w:rPr>
        <w:t>本采购清单中所列技术规格或主要参数为最低要求，不允许负偏离，否则将承担其投标被视为非实质性响应投标的风险。</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
          <w:color w:val="000000"/>
          <w:kern w:val="0"/>
          <w:sz w:val="24"/>
          <w:szCs w:val="24"/>
          <w:lang w:val="zh-CN"/>
        </w:rPr>
        <w:t>三、采购标的的其他技术、服务等要求</w:t>
      </w:r>
    </w:p>
    <w:p>
      <w:pPr>
        <w:widowControl/>
        <w:numPr>
          <w:ilvl w:val="0"/>
          <w:numId w:val="6"/>
        </w:numPr>
        <w:shd w:val="clear" w:color="auto" w:fill="FFFFFF"/>
        <w:spacing w:line="360" w:lineRule="auto"/>
        <w:ind w:firstLine="482" w:firstLineChars="200"/>
        <w:contextualSpacing/>
        <w:jc w:val="left"/>
        <w:rPr>
          <w:rFonts w:cs="宋体" w:asciiTheme="minorEastAsia" w:hAnsiTheme="minorEastAsia"/>
          <w:b/>
          <w:bCs/>
          <w:color w:val="000000"/>
          <w:kern w:val="0"/>
          <w:sz w:val="24"/>
          <w:szCs w:val="24"/>
        </w:rPr>
      </w:pPr>
      <w:r>
        <w:rPr>
          <w:rFonts w:hint="eastAsia" w:cs="宋体" w:asciiTheme="minorEastAsia" w:hAnsiTheme="minorEastAsia"/>
          <w:b/>
          <w:bCs/>
          <w:color w:val="000000"/>
          <w:kern w:val="0"/>
          <w:sz w:val="24"/>
          <w:szCs w:val="24"/>
        </w:rPr>
        <w:t>其它要求</w:t>
      </w:r>
    </w:p>
    <w:p>
      <w:pPr>
        <w:widowControl/>
        <w:shd w:val="clear" w:color="auto" w:fill="FFFFFF"/>
        <w:spacing w:line="360" w:lineRule="auto"/>
        <w:ind w:firstLine="482" w:firstLineChars="200"/>
        <w:contextualSpacing/>
        <w:jc w:val="left"/>
        <w:rPr>
          <w:rFonts w:hint="eastAsia" w:cs="宋体" w:asciiTheme="minorEastAsia" w:hAnsiTheme="minorEastAsia"/>
          <w:bCs/>
          <w:color w:val="000000"/>
          <w:kern w:val="0"/>
          <w:sz w:val="24"/>
          <w:szCs w:val="24"/>
        </w:rPr>
      </w:pPr>
      <w:r>
        <w:rPr>
          <w:rFonts w:hint="eastAsia" w:cs="微软雅黑" w:asciiTheme="minorEastAsia" w:hAnsiTheme="minorEastAsia"/>
          <w:b/>
          <w:color w:val="FF0000"/>
          <w:sz w:val="24"/>
          <w:szCs w:val="24"/>
        </w:rPr>
        <w:t>★</w:t>
      </w:r>
      <w:r>
        <w:rPr>
          <w:rFonts w:hint="eastAsia" w:cs="宋体" w:asciiTheme="minorEastAsia" w:hAnsiTheme="minorEastAsia"/>
          <w:bCs/>
          <w:color w:val="000000"/>
          <w:kern w:val="0"/>
          <w:sz w:val="24"/>
          <w:szCs w:val="24"/>
        </w:rPr>
        <w:t>1、投标人</w:t>
      </w:r>
      <w:r>
        <w:rPr>
          <w:rFonts w:hint="eastAsia" w:cs="宋体" w:asciiTheme="minorEastAsia" w:hAnsiTheme="minorEastAsia"/>
          <w:bCs/>
          <w:color w:val="000000"/>
          <w:kern w:val="0"/>
          <w:sz w:val="24"/>
          <w:szCs w:val="24"/>
          <w:lang w:val="en-US" w:eastAsia="zh-CN"/>
        </w:rPr>
        <w:t>(生产商)或投标人（供应商）</w:t>
      </w:r>
      <w:r>
        <w:rPr>
          <w:rFonts w:hint="eastAsia" w:cs="宋体" w:asciiTheme="minorEastAsia" w:hAnsiTheme="minorEastAsia"/>
          <w:bCs/>
          <w:color w:val="000000"/>
          <w:kern w:val="0"/>
          <w:sz w:val="24"/>
          <w:szCs w:val="24"/>
        </w:rPr>
        <w:t>未被“国家企业信用公示系统”网站（www.gsxt.gov.cn）处罚（以网页查询结果为准）</w:t>
      </w:r>
    </w:p>
    <w:p>
      <w:pPr>
        <w:widowControl/>
        <w:shd w:val="clear" w:color="auto" w:fill="FFFFFF"/>
        <w:spacing w:line="360" w:lineRule="auto"/>
        <w:ind w:firstLine="480" w:firstLineChars="200"/>
        <w:contextualSpacing/>
        <w:jc w:val="left"/>
        <w:rPr>
          <w:rFonts w:hint="eastAsia"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2、本项目为交钥匙工程（包括设备、材料、元件等购置、安装调试、验收、与其它施工单位协作所产生的费用等）。投标文件中须承诺送货到指定地点，并指导安装调试。</w:t>
      </w:r>
    </w:p>
    <w:p>
      <w:pPr>
        <w:widowControl/>
        <w:shd w:val="clear" w:color="auto" w:fill="FFFFFF"/>
        <w:spacing w:line="360" w:lineRule="auto"/>
        <w:ind w:firstLine="480" w:firstLineChars="200"/>
        <w:contextualSpacing/>
        <w:jc w:val="left"/>
        <w:rPr>
          <w:rFonts w:hint="eastAsia"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3、投标人须明确产品的厂家、产地、品牌、型号、详细参数，否则为无效投标。</w:t>
      </w:r>
    </w:p>
    <w:p>
      <w:pPr>
        <w:widowControl/>
        <w:shd w:val="clear" w:color="auto" w:fill="FFFFFF"/>
        <w:spacing w:line="360" w:lineRule="auto"/>
        <w:ind w:firstLine="480" w:firstLineChars="200"/>
        <w:contextualSpacing/>
        <w:jc w:val="left"/>
        <w:rPr>
          <w:rFonts w:hint="eastAsia"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4、投标人应就该项目每包进行完整投标，否则为无效投标。</w:t>
      </w:r>
    </w:p>
    <w:p>
      <w:pPr>
        <w:widowControl/>
        <w:shd w:val="clear" w:color="auto" w:fill="FFFFFF"/>
        <w:spacing w:line="360" w:lineRule="auto"/>
        <w:ind w:firstLine="480" w:firstLineChars="200"/>
        <w:contextualSpacing/>
        <w:jc w:val="left"/>
        <w:rPr>
          <w:rFonts w:hint="eastAsia"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5、本招标文件所列需求为最低要求，投标产品不得低于最低要求，否则为无效投标。</w:t>
      </w:r>
    </w:p>
    <w:p>
      <w:pPr>
        <w:widowControl/>
        <w:shd w:val="clear" w:color="auto" w:fill="FFFFFF"/>
        <w:spacing w:line="360" w:lineRule="auto"/>
        <w:ind w:firstLine="480" w:firstLineChars="200"/>
        <w:contextualSpacing/>
        <w:jc w:val="left"/>
        <w:rPr>
          <w:rFonts w:hint="eastAsia"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 xml:space="preserve">6、专利权：投标人应保证用户在使用该货物或其任何一部分时不受第三方提出侵犯其专利权、商标权和工业设计权等的起诉。 </w:t>
      </w:r>
    </w:p>
    <w:p>
      <w:pPr>
        <w:widowControl/>
        <w:shd w:val="clear" w:color="auto" w:fill="FFFFFF"/>
        <w:spacing w:line="360" w:lineRule="auto"/>
        <w:ind w:firstLine="480" w:firstLineChars="200"/>
        <w:contextualSpacing/>
        <w:jc w:val="left"/>
        <w:rPr>
          <w:rFonts w:hint="eastAsia"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7、质量要求：合格。设备必须符合国家质量检测标准和本招标文件规定标准的全新正品现货，提供随货物《产品合格证》及其它相关质量、技术及技术证明文件；进口产品须提供海关进货单（复印件备查）。</w:t>
      </w:r>
    </w:p>
    <w:p>
      <w:pPr>
        <w:widowControl/>
        <w:shd w:val="clear" w:color="auto" w:fill="FFFFFF"/>
        <w:spacing w:line="360" w:lineRule="auto"/>
        <w:ind w:firstLine="480" w:firstLineChars="200"/>
        <w:contextualSpacing/>
        <w:jc w:val="left"/>
        <w:rPr>
          <w:rFonts w:hint="eastAsia"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8、维修响应时间不超过1小时，上门时间6小时，要求工程师须有中标产品公司培训合格证明，持证明服务。</w:t>
      </w:r>
    </w:p>
    <w:p>
      <w:pPr>
        <w:widowControl/>
        <w:shd w:val="clear" w:color="auto" w:fill="FFFFFF"/>
        <w:spacing w:line="360" w:lineRule="auto"/>
        <w:ind w:firstLine="480" w:firstLineChars="200"/>
        <w:contextualSpacing/>
        <w:jc w:val="left"/>
        <w:rPr>
          <w:rFonts w:hint="eastAsia"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9、中标人提供现场技术培训，保证使用人员能够正确操作、使用设备的各种功能。</w:t>
      </w:r>
    </w:p>
    <w:p>
      <w:pPr>
        <w:widowControl/>
        <w:shd w:val="clear" w:color="auto" w:fill="FFFFFF"/>
        <w:spacing w:line="360" w:lineRule="auto"/>
        <w:ind w:firstLine="480" w:firstLineChars="200"/>
        <w:contextualSpacing/>
        <w:jc w:val="left"/>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10、免费质保期三年，不响应的为无效投标</w:t>
      </w:r>
      <w:r>
        <w:rPr>
          <w:rFonts w:hint="eastAsia" w:cs="宋体" w:asciiTheme="minorEastAsia" w:hAnsiTheme="minorEastAsia"/>
          <w:bCs/>
          <w:color w:val="000000"/>
          <w:kern w:val="0"/>
          <w:sz w:val="24"/>
          <w:szCs w:val="24"/>
          <w:lang w:val="zh-CN"/>
        </w:rPr>
        <w:t>。</w:t>
      </w:r>
    </w:p>
    <w:p>
      <w:pPr>
        <w:widowControl/>
        <w:shd w:val="clear" w:color="auto" w:fill="FFFFFF"/>
        <w:spacing w:line="360" w:lineRule="auto"/>
        <w:ind w:firstLine="482" w:firstLineChars="200"/>
        <w:contextualSpacing/>
        <w:jc w:val="left"/>
        <w:rPr>
          <w:rFonts w:ascii="楷体" w:hAnsi="楷体" w:eastAsia="楷体" w:cs="宋体"/>
          <w:color w:val="000000"/>
          <w:kern w:val="0"/>
          <w:sz w:val="28"/>
          <w:szCs w:val="28"/>
          <w:lang w:val="zh-CN"/>
        </w:rPr>
      </w:pPr>
      <w:r>
        <w:rPr>
          <w:rFonts w:hint="eastAsia" w:cs="微软雅黑" w:asciiTheme="minorEastAsia" w:hAnsiTheme="minorEastAsia"/>
          <w:b/>
          <w:color w:val="FF0000"/>
          <w:sz w:val="24"/>
          <w:szCs w:val="24"/>
        </w:rPr>
        <w:t>★</w:t>
      </w:r>
      <w:r>
        <w:rPr>
          <w:rFonts w:hint="eastAsia" w:cs="宋体" w:asciiTheme="minorEastAsia" w:hAnsiTheme="minorEastAsia"/>
          <w:b/>
          <w:color w:val="000000"/>
          <w:kern w:val="0"/>
          <w:sz w:val="24"/>
          <w:szCs w:val="24"/>
          <w:lang w:val="zh-CN"/>
        </w:rPr>
        <w:t>四、验收标准</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2、本项目采用现场运行、测试验收方式验收。投标人完成的项目应达到的质量标准应符合国家和履约地相关安全质量标准；行业技术规范标准；环保节能标准；强制认证相关标准。</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3、按照招标文件要求、投标文件响应和承诺验收。</w:t>
      </w:r>
    </w:p>
    <w:p>
      <w:pPr>
        <w:pStyle w:val="18"/>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微软雅黑" w:asciiTheme="minorEastAsia" w:hAnsiTheme="minorEastAsia" w:eastAsiaTheme="minorEastAsia"/>
          <w:b/>
          <w:color w:val="FF0000"/>
        </w:rPr>
        <w:t>★</w:t>
      </w:r>
      <w:r>
        <w:rPr>
          <w:rFonts w:hint="eastAsia" w:cs="黑体" w:asciiTheme="minorEastAsia" w:hAnsiTheme="minorEastAsia" w:eastAsiaTheme="minorEastAsia"/>
          <w:b/>
          <w:bCs/>
          <w:color w:val="000000"/>
          <w:shd w:val="clear" w:color="auto" w:fill="FFFFFF"/>
        </w:rPr>
        <w:t>六、本项目预算金额：28万元；最高限价：28万元。</w:t>
      </w:r>
      <w:r>
        <w:rPr>
          <w:rFonts w:hint="eastAsia" w:cs="宋体" w:asciiTheme="minorEastAsia" w:hAnsiTheme="minorEastAsia" w:eastAsiaTheme="minorEastAsia"/>
          <w:b/>
          <w:color w:val="000000"/>
          <w:kern w:val="0"/>
          <w:lang w:val="zh-CN"/>
        </w:rPr>
        <w:t>超出最高限价的投标无效。</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
          <w:color w:val="000000"/>
          <w:kern w:val="0"/>
          <w:sz w:val="24"/>
          <w:szCs w:val="24"/>
          <w:lang w:val="zh-CN"/>
        </w:rPr>
        <w:t>七、资金支付</w:t>
      </w:r>
    </w:p>
    <w:p>
      <w:pPr>
        <w:autoSpaceDE w:val="0"/>
        <w:autoSpaceDN w:val="0"/>
        <w:adjustRightInd w:val="0"/>
        <w:jc w:val="left"/>
        <w:rPr>
          <w:rFonts w:hint="eastAsia" w:cs="黑体" w:asciiTheme="minorEastAsia" w:hAnsiTheme="minorEastAsia"/>
          <w:color w:val="000000"/>
          <w:kern w:val="0"/>
          <w:sz w:val="24"/>
          <w:szCs w:val="24"/>
        </w:rPr>
      </w:pPr>
      <w:r>
        <w:rPr>
          <w:rFonts w:hint="eastAsia" w:cs="黑体" w:asciiTheme="minorEastAsia" w:hAnsiTheme="minorEastAsia"/>
          <w:color w:val="000000"/>
          <w:kern w:val="0"/>
          <w:sz w:val="24"/>
          <w:szCs w:val="24"/>
        </w:rPr>
        <w:t>1、支付方式：银行转账</w:t>
      </w:r>
    </w:p>
    <w:p>
      <w:pPr>
        <w:autoSpaceDE w:val="0"/>
        <w:autoSpaceDN w:val="0"/>
        <w:adjustRightInd w:val="0"/>
        <w:jc w:val="left"/>
        <w:rPr>
          <w:rFonts w:cs="宋体" w:asciiTheme="majorEastAsia" w:hAnsiTheme="majorEastAsia" w:eastAsiaTheme="majorEastAsia"/>
          <w:b/>
          <w:kern w:val="0"/>
          <w:sz w:val="36"/>
          <w:szCs w:val="36"/>
        </w:rPr>
      </w:pPr>
      <w:r>
        <w:rPr>
          <w:rFonts w:hint="eastAsia" w:cs="黑体" w:asciiTheme="minorEastAsia" w:hAnsiTheme="minorEastAsia"/>
          <w:color w:val="000000"/>
          <w:kern w:val="0"/>
          <w:sz w:val="24"/>
          <w:szCs w:val="24"/>
        </w:rPr>
        <w:t>2、支付时间及条件：设备安装调试无误后付80%，培训结束付10%，剩余10%一年之后付清。</w:t>
      </w:r>
      <w:r>
        <w:rPr>
          <w:rFonts w:cs="宋体" w:asciiTheme="majorEastAsia" w:hAnsiTheme="majorEastAsia" w:eastAsiaTheme="majorEastAsia"/>
          <w:b/>
          <w:kern w:val="0"/>
          <w:sz w:val="36"/>
          <w:szCs w:val="36"/>
        </w:rPr>
        <w:br w:type="page"/>
      </w: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0"/>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项目名称：气囊式体外反搏装置</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项目编号：</w:t>
            </w:r>
            <w:r>
              <w:rPr>
                <w:rFonts w:cs="仿宋_GB2312" w:asciiTheme="minorEastAsia" w:hAnsiTheme="minorEastAsia"/>
                <w:szCs w:val="21"/>
              </w:rPr>
              <w:t>YLZB-G</w:t>
            </w:r>
            <w:r>
              <w:rPr>
                <w:rFonts w:hint="eastAsia" w:cs="仿宋_GB2312" w:asciiTheme="minorEastAsia" w:hAnsiTheme="minorEastAsia"/>
                <w:szCs w:val="21"/>
              </w:rPr>
              <w:t>2019004</w:t>
            </w:r>
            <w:r>
              <w:rPr>
                <w:rFonts w:hint="eastAsia" w:cs="仿宋_GB2312" w:asciiTheme="minorEastAsia" w:hAnsiTheme="minorEastAsia"/>
                <w:szCs w:val="21"/>
                <w:lang w:val="en-US" w:eastAsia="zh-CN"/>
              </w:rPr>
              <w:t>-1</w:t>
            </w:r>
            <w:r>
              <w:rPr>
                <w:rFonts w:hint="eastAsia" w:cs="仿宋_GB2312" w:asciiTheme="minorEastAsia" w:hAnsiTheme="minorEastAsia"/>
                <w:szCs w:val="21"/>
              </w:rPr>
              <w:t>号</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项目内容：气囊式体外反搏装置1台。</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项目地址：许昌市中心医院南区医院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采购人：许昌市中心医院南区医院</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  址：许昌市七一路中段</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联系人：吴英杰             联系电话：</w:t>
            </w:r>
            <w:r>
              <w:rPr>
                <w:rFonts w:cs="仿宋_GB2312" w:asciiTheme="minorEastAsia" w:hAnsiTheme="minorEastAsia"/>
                <w:szCs w:val="21"/>
              </w:rPr>
              <w:t>1</w:t>
            </w:r>
            <w:r>
              <w:rPr>
                <w:rFonts w:hint="eastAsia" w:cs="仿宋_GB2312" w:asciiTheme="minorEastAsia" w:hAnsiTheme="minorEastAsia"/>
                <w:szCs w:val="21"/>
              </w:rPr>
              <w:t>3733602226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代理机构：中大国信工程管理有限公司</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  址：许昌市万象春天2号楼3单元2001</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联系人：颜先生               联系电话：</w:t>
            </w:r>
            <w:r>
              <w:rPr>
                <w:rFonts w:cs="仿宋_GB2312" w:asciiTheme="minorEastAsia" w:hAnsiTheme="minorEastAsia"/>
                <w:szCs w:val="21"/>
              </w:rPr>
              <w:t>18339017985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Cs w:val="21"/>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szCs w:val="21"/>
              </w:rPr>
              <w:t>1、</w:t>
            </w:r>
            <w:r>
              <w:rPr>
                <w:rFonts w:hint="eastAsia" w:cs="宋体" w:asciiTheme="minorEastAsia" w:hAnsiTheme="minorEastAsia"/>
                <w:bCs/>
                <w:szCs w:val="21"/>
                <w:lang w:val="zh-CN"/>
              </w:rPr>
              <w:t>2016年度经审计的财务报告，包括资产负债表、利润表、现金流量表、所有者权益变动表及其附注；</w:t>
            </w:r>
            <w:r>
              <w:rPr>
                <w:rFonts w:hint="eastAsia" w:cs="宋体" w:asciiTheme="minorEastAsia" w:hAnsiTheme="minorEastAsia"/>
                <w:bCs/>
                <w:color w:val="FF0000"/>
                <w:szCs w:val="21"/>
                <w:lang w:val="zh-CN"/>
              </w:rPr>
              <w:t>或</w:t>
            </w:r>
            <w:r>
              <w:rPr>
                <w:rFonts w:hint="eastAsia" w:cs="宋体" w:asciiTheme="minorEastAsia" w:hAnsiTheme="minorEastAsia"/>
                <w:bCs/>
                <w:szCs w:val="21"/>
                <w:lang w:val="zh-CN"/>
              </w:rPr>
              <w:t>基本开户银行出具的资信证明；</w:t>
            </w:r>
            <w:r>
              <w:rPr>
                <w:rFonts w:hint="eastAsia" w:cs="宋体" w:asciiTheme="minorEastAsia" w:hAnsiTheme="minorEastAsia"/>
                <w:bCs/>
                <w:color w:val="FF0000"/>
                <w:szCs w:val="21"/>
                <w:lang w:val="zh-CN"/>
              </w:rPr>
              <w:t>或</w:t>
            </w:r>
            <w:r>
              <w:rPr>
                <w:rFonts w:hint="eastAsia" w:cs="宋体" w:asciiTheme="minorEastAsia" w:hAnsiTheme="minorEastAsia"/>
                <w:bCs/>
                <w:szCs w:val="21"/>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szCs w:val="21"/>
              </w:rPr>
              <w:t>2、</w:t>
            </w:r>
            <w:r>
              <w:rPr>
                <w:rFonts w:hint="eastAsia" w:cs="宋体" w:asciiTheme="minorEastAsia" w:hAnsiTheme="minorEastAsia"/>
                <w:bCs/>
                <w:szCs w:val="21"/>
                <w:lang w:val="zh-CN"/>
              </w:rPr>
              <w:t>银行出具的资信证明；</w:t>
            </w:r>
            <w:r>
              <w:rPr>
                <w:rFonts w:hint="eastAsia" w:cs="宋体" w:asciiTheme="minorEastAsia" w:hAnsiTheme="minorEastAsia"/>
                <w:bCs/>
                <w:color w:val="FF0000"/>
                <w:szCs w:val="21"/>
                <w:lang w:val="zh-CN"/>
              </w:rPr>
              <w:t>或</w:t>
            </w:r>
            <w:r>
              <w:rPr>
                <w:rFonts w:hint="eastAsia" w:cs="宋体" w:asciiTheme="minorEastAsia" w:hAnsiTheme="minorEastAsia"/>
                <w:bCs/>
                <w:szCs w:val="21"/>
                <w:lang w:val="zh-CN"/>
              </w:rPr>
              <w:t>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Cs w:val="21"/>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Cs w:val="21"/>
              </w:rPr>
            </w:pPr>
            <w:r>
              <w:rPr>
                <w:rFonts w:hint="eastAsia" w:cs="宋体" w:asciiTheme="minorEastAsia" w:hAnsiTheme="minorEastAsia"/>
                <w:bCs/>
                <w:szCs w:val="21"/>
                <w:lang w:val="zh-CN"/>
              </w:rPr>
              <w:t>相关设备的购置发票、专业技术人员职称证书、用工合同等或者</w:t>
            </w:r>
            <w:r>
              <w:rPr>
                <w:rFonts w:hint="eastAsia" w:cs="宋体" w:asciiTheme="minorEastAsia" w:hAnsiTheme="minorEastAsia"/>
                <w:kern w:val="0"/>
                <w:szCs w:val="21"/>
              </w:rPr>
              <w:t>附投标人相关承诺函或声明。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autoSpaceDE w:val="0"/>
              <w:autoSpaceDN w:val="0"/>
              <w:adjustRightInd w:val="0"/>
              <w:spacing w:line="360" w:lineRule="auto"/>
              <w:ind w:right="-11"/>
              <w:rPr>
                <w:rFonts w:cs="宋体" w:asciiTheme="minorEastAsia" w:hAnsiTheme="minorEastAsia"/>
                <w:b/>
                <w:kern w:val="0"/>
                <w:szCs w:val="21"/>
              </w:rPr>
            </w:pPr>
            <w:r>
              <w:rPr>
                <w:rFonts w:hint="eastAsia" w:cs="宋体" w:asciiTheme="minorEastAsia" w:hAnsiTheme="minorEastAsia"/>
                <w:b/>
                <w:kern w:val="0"/>
                <w:szCs w:val="21"/>
                <w:lang w:val="zh-CN"/>
              </w:rPr>
              <w:t>七、具有相应范围的《医疗器械生产许可证》或《医疗器械经营许可证》经营范围涵盖所投包号产品</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八、未被列入“信用中国”网站(www.creditchina.gov.cn)失信被执行人、重大税收违法案件当事人名单、政府采购严重违法失信名单的投标人；“中国政府采购网”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r>
              <w:rPr>
                <w:rFonts w:hint="eastAsia" w:cs="宋体" w:asciiTheme="minorEastAsia" w:hAnsiTheme="minorEastAsia"/>
                <w:kern w:val="0"/>
                <w:szCs w:val="21"/>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）和“中国政府采购网”（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zh-CN"/>
              </w:rPr>
              <w:t>28万元，超出最高限价的投标无效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hint="eastAsia" w:cs="宋体" w:asciiTheme="minorEastAsia" w:hAnsiTheme="minorEastAsia"/>
                <w:bCs/>
                <w:szCs w:val="21"/>
                <w:lang w:val="zh-CN"/>
              </w:rPr>
              <w:t xml:space="preserve">□不允许    </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eastAsiaTheme="minorEastAsia"/>
              </w:rPr>
              <w:t>2019年</w:t>
            </w:r>
            <w:r>
              <w:rPr>
                <w:rFonts w:hint="eastAsia" w:cs="仿宋_GB2312" w:asciiTheme="minorEastAsia" w:hAnsiTheme="minorEastAsia"/>
                <w:u w:val="single"/>
                <w:lang w:val="en-US" w:eastAsia="zh-CN"/>
              </w:rPr>
              <w:t>4</w:t>
            </w:r>
            <w:r>
              <w:rPr>
                <w:rFonts w:hint="eastAsia" w:cs="仿宋_GB2312" w:asciiTheme="minorEastAsia" w:hAnsiTheme="minorEastAsia" w:eastAsiaTheme="minorEastAsia"/>
              </w:rPr>
              <w:t>月</w:t>
            </w:r>
            <w:r>
              <w:rPr>
                <w:rFonts w:hint="eastAsia" w:cs="仿宋_GB2312" w:asciiTheme="minorEastAsia" w:hAnsiTheme="minorEastAsia"/>
                <w:lang w:val="en-US" w:eastAsia="zh-CN"/>
              </w:rPr>
              <w:t>9</w:t>
            </w:r>
            <w:r>
              <w:rPr>
                <w:rFonts w:hint="eastAsia" w:cs="仿宋_GB2312" w:asciiTheme="minorEastAsia" w:hAnsiTheme="minorEastAsia" w:eastAsiaTheme="minorEastAsia"/>
                <w:u w:val="single"/>
              </w:rPr>
              <w:t xml:space="preserve"> </w:t>
            </w:r>
            <w:r>
              <w:rPr>
                <w:rFonts w:hint="eastAsia" w:cs="仿宋_GB2312" w:asciiTheme="minorEastAsia" w:hAnsiTheme="minorEastAsia" w:eastAsiaTheme="minorEastAsia"/>
              </w:rPr>
              <w:t>日</w:t>
            </w:r>
            <w:r>
              <w:rPr>
                <w:rFonts w:hint="eastAsia" w:cs="仿宋_GB2312" w:asciiTheme="minorEastAsia" w:hAnsiTheme="minorEastAsia" w:eastAsiaTheme="minorEastAsia"/>
                <w:u w:val="single"/>
              </w:rPr>
              <w:t xml:space="preserve"> </w:t>
            </w:r>
            <w:r>
              <w:rPr>
                <w:rFonts w:hint="eastAsia" w:cs="仿宋_GB2312" w:asciiTheme="minorEastAsia" w:hAnsiTheme="minorEastAsia"/>
                <w:u w:val="single"/>
                <w:lang w:val="en-US" w:eastAsia="zh-CN"/>
              </w:rPr>
              <w:t xml:space="preserve"> 9 </w:t>
            </w:r>
            <w:r>
              <w:rPr>
                <w:rFonts w:hint="eastAsia" w:cs="仿宋_GB2312" w:asciiTheme="minorEastAsia" w:hAnsiTheme="minorEastAsia" w:eastAsiaTheme="minorEastAsia"/>
                <w:u w:val="single"/>
              </w:rPr>
              <w:t xml:space="preserve"> </w:t>
            </w:r>
            <w:r>
              <w:rPr>
                <w:rFonts w:hint="eastAsia" w:cs="仿宋_GB2312" w:asciiTheme="minorEastAsia" w:hAnsiTheme="minorEastAsia" w:eastAsiaTheme="minorEastAsia"/>
              </w:rPr>
              <w:t>时</w:t>
            </w:r>
            <w:r>
              <w:rPr>
                <w:rFonts w:hint="eastAsia" w:cs="仿宋_GB2312" w:asciiTheme="minorEastAsia" w:hAnsiTheme="minorEastAsia"/>
                <w:lang w:val="en-US" w:eastAsia="zh-CN"/>
              </w:rPr>
              <w:t>30</w:t>
            </w:r>
            <w:r>
              <w:rPr>
                <w:rFonts w:hint="eastAsia" w:cs="仿宋_GB2312" w:asciiTheme="minorEastAsia" w:hAnsiTheme="minorEastAsia"/>
                <w:u w:val="single"/>
                <w:lang w:val="en-US" w:eastAsia="zh-CN"/>
              </w:rPr>
              <w:t xml:space="preserve">  </w:t>
            </w:r>
            <w:r>
              <w:rPr>
                <w:rFonts w:hint="eastAsia" w:cs="仿宋_GB2312" w:asciiTheme="minorEastAsia" w:hAnsiTheme="minorEastAsia" w:eastAsiaTheme="minorEastAsia"/>
              </w:rPr>
              <w:t>分</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递交投标文件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及开标地点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许昌市公共资源交易中心三楼开标</w:t>
            </w:r>
            <w:r>
              <w:rPr>
                <w:rFonts w:hint="eastAsia" w:cs="宋体" w:asciiTheme="minorEastAsia" w:hAnsiTheme="minorEastAsia"/>
                <w:bCs/>
                <w:szCs w:val="21"/>
                <w:u w:val="single"/>
                <w:lang w:val="zh-CN"/>
              </w:rPr>
              <w:t xml:space="preserve"> </w:t>
            </w:r>
            <w:r>
              <w:rPr>
                <w:rFonts w:hint="eastAsia" w:cs="宋体" w:asciiTheme="minorEastAsia" w:hAnsiTheme="minorEastAsia"/>
                <w:bCs/>
                <w:szCs w:val="21"/>
                <w:u w:val="single"/>
                <w:lang w:val="en-US" w:eastAsia="zh-CN"/>
              </w:rPr>
              <w:t>三</w:t>
            </w:r>
            <w:bookmarkStart w:id="16" w:name="_GoBack"/>
            <w:bookmarkEnd w:id="16"/>
            <w:r>
              <w:rPr>
                <w:rFonts w:hint="eastAsia" w:cs="宋体" w:asciiTheme="minorEastAsia" w:hAnsiTheme="minorEastAsia"/>
                <w:bCs/>
                <w:szCs w:val="21"/>
                <w:u w:val="single"/>
                <w:lang w:val="en-US" w:eastAsia="zh-CN"/>
              </w:rPr>
              <w:t xml:space="preserve"> </w:t>
            </w:r>
            <w:r>
              <w:rPr>
                <w:rFonts w:hint="eastAsia" w:cs="宋体" w:asciiTheme="minorEastAsia" w:hAnsiTheme="minorEastAsia"/>
                <w:bCs/>
                <w:szCs w:val="21"/>
                <w:u w:val="single"/>
                <w:lang w:val="zh-CN"/>
              </w:rPr>
              <w:t xml:space="preserve"> </w:t>
            </w:r>
            <w:r>
              <w:rPr>
                <w:rFonts w:hint="eastAsia" w:cs="宋体" w:asciiTheme="minorEastAsia" w:hAnsiTheme="minorEastAsia"/>
                <w:bCs/>
                <w:szCs w:val="21"/>
                <w:lang w:val="zh-CN"/>
              </w:rPr>
              <w:t>室（</w:t>
            </w:r>
            <w:r>
              <w:rPr>
                <w:rFonts w:cs="宋体" w:asciiTheme="minorEastAsia" w:hAnsiTheme="minorEastAsia"/>
                <w:bCs/>
                <w:szCs w:val="21"/>
                <w:lang w:val="zh-CN"/>
              </w:rPr>
              <w:t>龙兴路与竹林路交汇处</w:t>
            </w:r>
            <w:r>
              <w:rPr>
                <w:rFonts w:hint="eastAsia" w:cs="宋体" w:asciiTheme="minorEastAsia" w:hAnsiTheme="minorEastAsia"/>
                <w:bCs/>
                <w:szCs w:val="21"/>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金额：伍仟元整（¥ 5000.00）</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三、投标保证金缴纳方式：</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Cs w:val="21"/>
                <w:lang w:val="zh-CN"/>
              </w:rPr>
              <w:t>http://221.14.6.70:8088/ggzy</w:t>
            </w:r>
            <w:r>
              <w:rPr>
                <w:rFonts w:hint="eastAsia" w:cs="仿宋_GB2312" w:asciiTheme="minorEastAsia" w:hAnsiTheme="minorEastAsia"/>
                <w:szCs w:val="21"/>
                <w:lang w:val="zh-CN"/>
              </w:rPr>
              <w:fldChar w:fldCharType="end"/>
            </w:r>
            <w:r>
              <w:rPr>
                <w:rFonts w:hint="eastAsia" w:cs="仿宋_GB2312" w:asciiTheme="minorEastAsia" w:hAnsiTheme="minorEastAsia"/>
                <w:szCs w:val="21"/>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w:t>
            </w:r>
            <w:r>
              <w:rPr>
                <w:rFonts w:hint="eastAsia" w:cs="仿宋_GB2312" w:asciiTheme="minorEastAsia" w:hAnsiTheme="minorEastAsia"/>
                <w:szCs w:val="21"/>
                <w:u w:val="single"/>
              </w:rPr>
              <w:t xml:space="preserve"> 一 </w:t>
            </w:r>
            <w:r>
              <w:rPr>
                <w:rFonts w:hint="eastAsia" w:cs="仿宋_GB2312" w:asciiTheme="minorEastAsia" w:hAnsiTheme="minorEastAsia"/>
                <w:szCs w:val="21"/>
              </w:rPr>
              <w:t>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要求提交。履约保证金的数额为合同金额的</w:t>
            </w:r>
            <w:r>
              <w:rPr>
                <w:rFonts w:hint="eastAsia" w:cs="宋体" w:asciiTheme="minorEastAsia" w:hAnsiTheme="minorEastAsia"/>
                <w:color w:val="333333"/>
                <w:szCs w:val="21"/>
                <w:u w:val="single"/>
              </w:rPr>
              <w:t xml:space="preserve">   </w:t>
            </w:r>
            <w:r>
              <w:rPr>
                <w:rFonts w:hint="eastAsia" w:cs="宋体" w:asciiTheme="minorEastAsia" w:hAnsiTheme="minorEastAsia"/>
                <w:color w:val="333333"/>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不收取</w:t>
            </w:r>
          </w:p>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收取中标人。</w:t>
            </w:r>
            <w:r>
              <w:rPr>
                <w:rFonts w:hint="eastAsia" w:cs="宋体" w:asciiTheme="minorEastAsia" w:hAnsiTheme="minorEastAsia"/>
                <w:b/>
                <w:bCs/>
                <w:szCs w:val="21"/>
                <w:lang w:val="zh-CN"/>
              </w:rPr>
              <w:t>□</w:t>
            </w:r>
            <w:r>
              <w:rPr>
                <w:rFonts w:hint="eastAsia" w:cs="宋体" w:asciiTheme="minorEastAsia" w:hAnsiTheme="minorEastAsia"/>
                <w:bCs/>
                <w:szCs w:val="21"/>
                <w:lang w:val="zh-CN"/>
              </w:rPr>
              <w:t>收取采购人。</w:t>
            </w:r>
            <w:r>
              <w:rPr>
                <w:rFonts w:hint="eastAsia" w:cs="宋体" w:asciiTheme="minorEastAsia" w:hAnsiTheme="minorEastAsia"/>
                <w:color w:val="333333"/>
                <w:szCs w:val="21"/>
              </w:rPr>
              <w:t>收取标准:中标合同金额的</w:t>
            </w:r>
            <w:r>
              <w:rPr>
                <w:rFonts w:cs="宋体" w:asciiTheme="minorEastAsia" w:hAnsiTheme="minorEastAsia"/>
                <w:color w:val="333333"/>
                <w:szCs w:val="21"/>
                <w:u w:val="single"/>
              </w:rPr>
              <w:t>1.5</w:t>
            </w:r>
            <w:r>
              <w:rPr>
                <w:rFonts w:hint="eastAsia" w:cs="宋体" w:asciiTheme="minorEastAsia" w:hAnsiTheme="minorEastAsia"/>
                <w:color w:val="333333"/>
                <w:szCs w:val="21"/>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cs="宋体" w:asciiTheme="minorEastAsia" w:hAnsiTheme="minorEastAsia"/>
                <w:bCs/>
                <w:szCs w:val="21"/>
              </w:rPr>
              <w:t>1305934642@qq.com</w:t>
            </w:r>
            <w:r>
              <w:rPr>
                <w:rFonts w:hint="eastAsia" w:cs="宋体" w:asciiTheme="minorEastAsia" w:hAnsiTheme="minorEastAsia"/>
                <w:bCs/>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bl>
    <w:p>
      <w:pPr>
        <w:autoSpaceDE w:val="0"/>
        <w:autoSpaceDN w:val="0"/>
        <w:adjustRightInd w:val="0"/>
        <w:spacing w:line="360" w:lineRule="auto"/>
        <w:ind w:right="-11"/>
        <w:jc w:val="left"/>
        <w:rPr>
          <w:rFonts w:cs="宋体" w:asciiTheme="minorEastAsia" w:hAnsiTheme="minorEastAsia"/>
          <w:b/>
          <w:kern w:val="0"/>
          <w:sz w:val="24"/>
          <w:szCs w:val="24"/>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bookmarkStart w:id="2" w:name="_Hlk519835457"/>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7"/>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7"/>
        <w:autoSpaceDE w:val="0"/>
        <w:autoSpaceDN w:val="0"/>
        <w:spacing w:line="360" w:lineRule="auto"/>
        <w:ind w:left="780" w:firstLine="0" w:firstLineChars="0"/>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7"/>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“节能产品”或者“环保产品”：财政部发布的《节能产品政府采购清单》或者《环境标志产品政府采购清单》的产品。</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pStyle w:val="37"/>
        <w:numPr>
          <w:ilvl w:val="1"/>
          <w:numId w:val="9"/>
        </w:numPr>
        <w:autoSpaceDE w:val="0"/>
        <w:autoSpaceDN w:val="0"/>
        <w:spacing w:line="360" w:lineRule="auto"/>
        <w:ind w:left="1327" w:hanging="907" w:firstLineChars="0"/>
        <w:contextualSpacing/>
        <w:rPr>
          <w:rFonts w:cs="宋体" w:asciiTheme="minorEastAsia" w:hAnsiTheme="minorEastAsia"/>
          <w:kern w:val="0"/>
          <w:szCs w:val="21"/>
        </w:rPr>
      </w:pPr>
      <w:r>
        <w:rPr>
          <w:rFonts w:cs="宋体" w:asciiTheme="minorEastAsia" w:hAnsiTheme="minorEastAsia"/>
          <w:kern w:val="0"/>
          <w:szCs w:val="21"/>
        </w:rPr>
        <w:t>招标文件列明不允许或未列明允许进口产品参加投标的，均视为拒绝进口产品参加投标。</w:t>
      </w:r>
    </w:p>
    <w:p>
      <w:pPr>
        <w:pStyle w:val="37"/>
        <w:numPr>
          <w:ilvl w:val="1"/>
          <w:numId w:val="10"/>
        </w:numPr>
        <w:autoSpaceDE w:val="0"/>
        <w:autoSpaceDN w:val="0"/>
        <w:spacing w:line="360" w:lineRule="auto"/>
        <w:ind w:left="1327" w:hanging="907" w:firstLineChars="0"/>
        <w:contextualSpacing/>
        <w:rPr>
          <w:rFonts w:cs="宋体" w:asciiTheme="minorEastAsia" w:hAnsiTheme="minorEastAsia"/>
          <w:kern w:val="0"/>
          <w:szCs w:val="21"/>
        </w:rPr>
      </w:pP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招标文件中凡标有“★”的条款均系实质性要求条款。</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7"/>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政府采购严重违法失信行为记录名单（联合体形式投标的，联合体成员存在不良信用记录，视同联合体存在不良信用记录）。</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单位负责人为同一人或者存在直接控股、管理关系的不同供应商，不得参加同一合同项下的政府采购活动；</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除单一来源采购项目外，为采购项目提供整体设计、规范编制或者项目管理、监理、检测等服务的供应商，不得再参加该采购项目的其他采购活动。</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7"/>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投标人所投产品如被列入财政部与国家主管部门颁发的节能产品目录或环境标志产品目录，应提供相关证明，在评标时予以优先采购。</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37"/>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收取标准:按照中标合同金额的比例收取。详见投标人须知前附表。</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收取方式：一次性以银行划账、电汇、汇票或支票的形式支付。</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7"/>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7"/>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7"/>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7"/>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37"/>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7"/>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投标有效期内投标人撤销投标文件的，招标人将不退还投标保证金。</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7"/>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37"/>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37"/>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（2）投标保证金用于避免和减少本次招标由于投标人的行为而给采购人带来的损失。</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（5）投标保证金缴纳方式：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投标人网上下载招标文件后，登录</w:t>
      </w:r>
      <w:r>
        <w:fldChar w:fldCharType="begin"/>
      </w:r>
      <w:r>
        <w:instrText xml:space="preserve"> HYPERLINK "http://221.14.6.70:8088/ggzy" </w:instrText>
      </w:r>
      <w:r>
        <w:fldChar w:fldCharType="separate"/>
      </w:r>
      <w:r>
        <w:rPr>
          <w:rFonts w:hint="eastAsia" w:cs="宋体" w:asciiTheme="minorEastAsia" w:hAnsiTheme="minorEastAsia"/>
          <w:kern w:val="0"/>
          <w:szCs w:val="21"/>
        </w:rPr>
        <w:t>http://221.14.6.70:8088/ggzy</w:t>
      </w:r>
      <w:r>
        <w:rPr>
          <w:rFonts w:hint="eastAsia" w:cs="宋体" w:asciiTheme="minorEastAsia" w:hAnsiTheme="minorEastAsia"/>
          <w:kern w:val="0"/>
          <w:szCs w:val="21"/>
        </w:rPr>
        <w:fldChar w:fldCharType="end"/>
      </w:r>
      <w:r>
        <w:rPr>
          <w:rFonts w:hint="eastAsia" w:cs="宋体" w:asciiTheme="minorEastAsia" w:hAnsiTheme="minorEastAsia"/>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成功缴纳后重新登录前述系统，依次点击“会员向导”→“参与投标”→“保证金绑定”→“绑定”进行投标保证金绑定。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szCs w:val="21"/>
          <w:lang w:val="zh-CN"/>
        </w:rPr>
      </w:pPr>
      <w:r>
        <w:rPr>
          <w:rFonts w:hint="eastAsia" w:cs="宋体" w:asciiTheme="minorEastAsia" w:hAnsiTheme="minor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每个投标人每个项目每个标段只有唯一缴纳账号，切勿重复缴纳或错误缴纳。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 不同投标人的投标保证金不得从同一单位或者个人的账户转出。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 未按上述规定操作引起的无效投标，由投标人自行负责。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（10） 汇款凭证无需备注项目编号和项目名称。</w:t>
      </w:r>
    </w:p>
    <w:p>
      <w:pPr>
        <w:pStyle w:val="37"/>
        <w:numPr>
          <w:ilvl w:val="1"/>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退还投标保证金时，区别中标与否，按不同时序由银行按来款途径退还原账户。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自中标通知书发出之日起</w:t>
      </w:r>
      <w:r>
        <w:rPr>
          <w:rFonts w:cs="宋体" w:asciiTheme="minorEastAsia" w:hAnsiTheme="minorEastAsia"/>
          <w:kern w:val="0"/>
          <w:szCs w:val="21"/>
        </w:rPr>
        <w:t>5</w:t>
      </w:r>
      <w:r>
        <w:rPr>
          <w:rFonts w:hint="eastAsia" w:cs="宋体" w:asciiTheme="minorEastAsia" w:hAnsiTheme="minorEastAsia"/>
          <w:kern w:val="0"/>
          <w:szCs w:val="21"/>
        </w:rPr>
        <w:t>个工作日内退还未中标人的投标保证金。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自采购合同签订之日起</w:t>
      </w:r>
      <w:r>
        <w:rPr>
          <w:rFonts w:cs="宋体" w:asciiTheme="minorEastAsia" w:hAnsiTheme="minorEastAsia"/>
          <w:kern w:val="0"/>
          <w:szCs w:val="21"/>
        </w:rPr>
        <w:t>5</w:t>
      </w:r>
      <w:r>
        <w:rPr>
          <w:rFonts w:hint="eastAsia" w:cs="宋体" w:asciiTheme="minorEastAsia" w:hAnsiTheme="minorEastAsia"/>
          <w:kern w:val="0"/>
          <w:szCs w:val="21"/>
        </w:rPr>
        <w:t>个工作日内退还中标人的投标保证金。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因投标人自身原因无法及时退还投标保证金，滞留三年以上的，投标保证金上缴财政。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有下列情形之一的，投标保证金不予退还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投标有效期内投标人撤销投标文件的；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投标人在投标文件中提供虚假材料的；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除因不可抗力或招标文件认可的情形以外，中标人不与采购人签订合同的；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投标人与采购人、其他投标人或者采购代理机构恶意串通的；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e. 法律法规及招标文件规定的其他情形。</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37"/>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37"/>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37"/>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37"/>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投标人不得在投标有效期内撤销投标文件，否则招标人将不退还其投标保证金。</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37"/>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（1）电子投标文件的解密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电子投标文件解密异常情况处理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因电子交易系统异常无法解密电子投标文件的，使用纸质投标文件以人工方式进行。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37"/>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（1）采购预算金额在1000万元以上；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（2）技术复杂；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（3）社会影响较大。</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（3）与供应商有其他可能影响政府采购活动公平、公正进行的关系。</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7"/>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7"/>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7"/>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（1）未按照招标文件的规定提交投标保证金的；</w:t>
      </w:r>
      <w:r>
        <w:rPr>
          <w:rFonts w:cs="宋体" w:asciiTheme="minorEastAsia" w:hAnsiTheme="minorEastAsia"/>
          <w:kern w:val="0"/>
          <w:szCs w:val="21"/>
        </w:rPr>
        <w:t xml:space="preserve">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不同投标人的投标文件相互混装；</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不同投标人的投标保证金从同一单位或者个人的账户转出。</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p>
    <w:p>
      <w:pPr>
        <w:pStyle w:val="37"/>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7"/>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最低评标价法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综合评分法，是指投标文件满足招标文件全部实质性要求，且按照评审因素的量化指标评审得分最高的投标人为中标候选人的评标方法。</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因落实政府采购政策进行价格调整的，以调整后的价格计算评标基准价和投标报价。</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7"/>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7"/>
        <w:numPr>
          <w:ilvl w:val="0"/>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7"/>
        <w:numPr>
          <w:ilvl w:val="0"/>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7"/>
        <w:numPr>
          <w:ilvl w:val="0"/>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7"/>
        <w:numPr>
          <w:ilvl w:val="0"/>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供应商认为采购文件、采购过程和中标结果使自己的权益受到损害的，可以依法向采购人、采购代理机构提出质疑。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通过《全国公共资源交易平台（河南省·许昌市）》一次性提出，如未提出视为全面接受；</w:t>
      </w:r>
      <w:r>
        <w:rPr>
          <w:rFonts w:hint="eastAsia" w:cs="宋体" w:asciiTheme="minorEastAsia" w:hAnsiTheme="minorEastAsia"/>
          <w:kern w:val="0"/>
          <w:szCs w:val="21"/>
        </w:rPr>
        <w:br w:type="textWrapping"/>
      </w:r>
      <w:r>
        <w:rPr>
          <w:rFonts w:hint="eastAsia" w:cs="宋体" w:asciiTheme="minorEastAsia" w:hAnsiTheme="minorEastAsia"/>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kern w:val="0"/>
          <w:szCs w:val="21"/>
        </w:rPr>
        <w:br w:type="textWrapping"/>
      </w:r>
      <w:r>
        <w:rPr>
          <w:rFonts w:hint="eastAsia" w:cs="宋体" w:asciiTheme="minorEastAsia" w:hAnsiTheme="minorEastAsia"/>
          <w:kern w:val="0"/>
          <w:szCs w:val="21"/>
        </w:rPr>
        <w:t>（3） 对中标结果提出质疑的，为中标结果公告期限届满之日起七个工作日内，以书面形式向采购人和采购代理机构一次性提出。</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2"/>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2"/>
        <w:spacing w:line="360" w:lineRule="auto"/>
        <w:ind w:firstLine="420" w:firstLineChars="200"/>
        <w:contextualSpacing/>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2"/>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sz w:val="21"/>
          <w:szCs w:val="21"/>
        </w:rPr>
        <w:t>并加盖投标人公章的原件扫描件（或图片）</w:t>
      </w:r>
      <w:r>
        <w:rPr>
          <w:rFonts w:hint="eastAsia" w:cs="仿宋_GB2312" w:asciiTheme="minorEastAsia" w:hAnsiTheme="minorEastAsia" w:eastAsiaTheme="minorEastAsia"/>
          <w:sz w:val="21"/>
          <w:szCs w:val="21"/>
          <w:lang w:val="zh-CN"/>
        </w:rPr>
        <w:t>。投标人所投其他产品若属于“节能产品政府采购清单”优先采购产品，在同等条件下，优先采购清单中的产品。</w:t>
      </w:r>
    </w:p>
    <w:p>
      <w:pPr>
        <w:pStyle w:val="12"/>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3、对于同时列入环保清单和节能产品政府采购清单的产品，应当优先于只列入其中一个清单的产品。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4、上述“节能产品政府采购清单”、“环境标志产品政府采购清单”，在采购公告发布前已经过期的以及尚在公示期的均不得作为评标时的依据。</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二、促进中小企业发展</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3" w:name="OLE_LINK6"/>
      <w:r>
        <w:rPr>
          <w:rFonts w:hint="eastAsia" w:cs="仿宋_GB2312" w:asciiTheme="minorEastAsia" w:hAnsiTheme="minorEastAsia"/>
          <w:szCs w:val="21"/>
          <w:lang w:val="zh-CN"/>
        </w:rPr>
        <w:t>财库[2014]68号</w:t>
      </w:r>
      <w:bookmarkEnd w:id="3"/>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2"/>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2"/>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2"/>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2"/>
        <w:spacing w:line="360" w:lineRule="auto"/>
        <w:contextualSpacing/>
        <w:rPr>
          <w:rFonts w:cs="仿宋_GB2312" w:asciiTheme="minorEastAsia" w:hAnsiTheme="minorEastAsia"/>
          <w:lang w:val="zh-CN"/>
        </w:rPr>
      </w:pPr>
    </w:p>
    <w:p>
      <w:pPr>
        <w:pStyle w:val="12"/>
        <w:spacing w:line="360" w:lineRule="auto"/>
        <w:contextualSpacing/>
        <w:rPr>
          <w:rFonts w:cs="仿宋_GB2312" w:asciiTheme="minorEastAsia" w:hAnsiTheme="minorEastAsia" w:eastAsiaTheme="minorEastAsia"/>
          <w:b/>
          <w:sz w:val="21"/>
          <w:szCs w:val="21"/>
          <w:lang w:val="zh-CN"/>
        </w:rPr>
      </w:pPr>
      <w:r>
        <w:rPr>
          <w:rFonts w:cs="仿宋_GB2312" w:asciiTheme="minorEastAsia" w:hAnsiTheme="minorEastAsia" w:eastAsiaTheme="minorEastAsia"/>
          <w:b/>
          <w:sz w:val="21"/>
          <w:szCs w:val="21"/>
          <w:lang w:val="zh-CN"/>
        </w:rPr>
        <w:t>一、资格审查</w:t>
      </w:r>
    </w:p>
    <w:p>
      <w:pPr>
        <w:pStyle w:val="12"/>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（一）</w:t>
      </w:r>
      <w:r>
        <w:rPr>
          <w:rFonts w:cs="仿宋_GB2312" w:asciiTheme="minorEastAsia" w:hAnsiTheme="minorEastAsia" w:eastAsiaTheme="minorEastAsia"/>
          <w:sz w:val="21"/>
          <w:szCs w:val="21"/>
          <w:lang w:val="zh-CN"/>
        </w:rPr>
        <w:t>开标结束后，</w:t>
      </w:r>
      <w:r>
        <w:rPr>
          <w:rFonts w:hint="eastAsia" w:cs="仿宋_GB2312" w:asciiTheme="minorEastAsia" w:hAnsiTheme="minorEastAsia" w:eastAsiaTheme="minorEastAsia"/>
          <w:sz w:val="21"/>
          <w:szCs w:val="21"/>
          <w:lang w:val="zh-CN"/>
        </w:rPr>
        <w:t>采购人依法对投标人资格进行审查</w:t>
      </w:r>
      <w:r>
        <w:rPr>
          <w:rFonts w:cs="仿宋_GB2312" w:asciiTheme="minorEastAsia" w:hAnsiTheme="minorEastAsia" w:eastAsiaTheme="minorEastAsia"/>
          <w:sz w:val="21"/>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0"/>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Cs w:val="21"/>
              </w:rPr>
            </w:pPr>
            <w:r>
              <w:rPr>
                <w:rFonts w:hint="eastAsia" w:asciiTheme="minorEastAsia" w:hAnsiTheme="minorEastAsia"/>
                <w:b/>
                <w:szCs w:val="21"/>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2、法人或者其他组织的营业执照等证明文件，自然人的身份证明</w:t>
            </w:r>
          </w:p>
          <w:p>
            <w:pPr>
              <w:spacing w:line="360" w:lineRule="auto"/>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rPr>
                <w:rFonts w:asciiTheme="minorEastAsia" w:hAnsiTheme="minorEastAsia"/>
                <w:bCs/>
                <w:szCs w:val="21"/>
              </w:rPr>
            </w:pPr>
            <w:r>
              <w:rPr>
                <w:rFonts w:hint="eastAsia" w:asciiTheme="minorEastAsia" w:hAnsiTheme="minorEastAsia"/>
                <w:bCs/>
                <w:szCs w:val="21"/>
              </w:rPr>
              <w:t>（3）执业许可证。（非专业服务机构投标提供）</w:t>
            </w:r>
          </w:p>
          <w:p>
            <w:pPr>
              <w:spacing w:line="360" w:lineRule="auto"/>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rPr>
                <w:rFonts w:asciiTheme="minorEastAsia" w:hAnsiTheme="minorEastAsia"/>
                <w:b/>
                <w:szCs w:val="21"/>
              </w:rPr>
            </w:pPr>
            <w:r>
              <w:rPr>
                <w:rFonts w:hint="eastAsia" w:asciiTheme="minorEastAsia" w:hAnsiTheme="minorEastAsia"/>
                <w:bCs/>
                <w:szCs w:val="21"/>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3、财务状况报告相关材料</w:t>
            </w:r>
          </w:p>
          <w:p>
            <w:pPr>
              <w:spacing w:line="360" w:lineRule="auto"/>
              <w:rPr>
                <w:rFonts w:asciiTheme="minorEastAsia" w:hAnsiTheme="minorEastAsia"/>
                <w:bCs/>
                <w:szCs w:val="21"/>
              </w:rPr>
            </w:pPr>
            <w:r>
              <w:rPr>
                <w:rFonts w:hint="eastAsia" w:asciiTheme="minorEastAsia" w:hAnsiTheme="minorEastAsia"/>
                <w:bCs/>
                <w:szCs w:val="21"/>
              </w:rPr>
              <w:t>（1）2016年度经审计的财务报告，包括资产负债表、利润表、现金流量表、所有者权益变动表及其附注；</w:t>
            </w:r>
            <w:r>
              <w:rPr>
                <w:rFonts w:hint="eastAsia" w:asciiTheme="minorEastAsia" w:hAnsiTheme="minorEastAsia"/>
                <w:bCs/>
                <w:color w:val="FF0000"/>
                <w:szCs w:val="21"/>
              </w:rPr>
              <w:t>或</w:t>
            </w:r>
            <w:r>
              <w:rPr>
                <w:rFonts w:hint="eastAsia" w:asciiTheme="minorEastAsia" w:hAnsiTheme="minorEastAsia"/>
                <w:bCs/>
                <w:szCs w:val="21"/>
              </w:rPr>
              <w:t>基本开户银行出具的资信证明；</w:t>
            </w:r>
            <w:r>
              <w:rPr>
                <w:rFonts w:hint="eastAsia" w:asciiTheme="minorEastAsia" w:hAnsiTheme="minorEastAsia"/>
                <w:bCs/>
                <w:color w:val="FF0000"/>
                <w:szCs w:val="21"/>
              </w:rPr>
              <w:t>或</w:t>
            </w:r>
            <w:r>
              <w:rPr>
                <w:rFonts w:hint="eastAsia" w:asciiTheme="minorEastAsia" w:hAnsiTheme="minorEastAsia"/>
                <w:bCs/>
                <w:szCs w:val="21"/>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Cs w:val="21"/>
              </w:rPr>
            </w:pPr>
            <w:r>
              <w:rPr>
                <w:rFonts w:hint="eastAsia" w:asciiTheme="minorEastAsia" w:hAnsiTheme="minorEastAsia"/>
                <w:bCs/>
                <w:szCs w:val="21"/>
              </w:rPr>
              <w:t>（2）银行出具的资信证明；</w:t>
            </w:r>
            <w:r>
              <w:rPr>
                <w:rFonts w:hint="eastAsia" w:asciiTheme="minorEastAsia" w:hAnsiTheme="minorEastAsia"/>
                <w:bCs/>
                <w:color w:val="FF0000"/>
                <w:szCs w:val="21"/>
              </w:rPr>
              <w:t>或</w:t>
            </w:r>
            <w:r>
              <w:rPr>
                <w:rFonts w:hint="eastAsia" w:asciiTheme="minorEastAsia" w:hAnsiTheme="minorEastAsia"/>
                <w:bCs/>
                <w:szCs w:val="21"/>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4、依法缴纳税收相关材料</w:t>
            </w:r>
          </w:p>
          <w:p>
            <w:pPr>
              <w:spacing w:line="360" w:lineRule="auto"/>
              <w:rPr>
                <w:rFonts w:asciiTheme="minorEastAsia" w:hAnsiTheme="minorEastAsia"/>
                <w:b/>
                <w:szCs w:val="21"/>
              </w:rPr>
            </w:pPr>
            <w:r>
              <w:rPr>
                <w:rFonts w:hint="eastAsia" w:asciiTheme="minorEastAsia" w:hAnsiTheme="minorEastAsia"/>
                <w:bCs/>
                <w:szCs w:val="21"/>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5、依法缴纳社会保障资金的证明材料</w:t>
            </w:r>
          </w:p>
          <w:p>
            <w:pPr>
              <w:spacing w:line="360" w:lineRule="auto"/>
              <w:rPr>
                <w:rFonts w:asciiTheme="minorEastAsia" w:hAnsiTheme="minorEastAsia"/>
                <w:bCs/>
                <w:szCs w:val="21"/>
              </w:rPr>
            </w:pPr>
            <w:r>
              <w:rPr>
                <w:rFonts w:hint="eastAsia" w:asciiTheme="minorEastAsia" w:hAnsiTheme="minorEastAsia"/>
                <w:bCs/>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6、履行合同所必须的设备和专业技术能力的证明材料</w:t>
            </w:r>
          </w:p>
          <w:p>
            <w:pPr>
              <w:spacing w:line="360" w:lineRule="auto"/>
              <w:rPr>
                <w:rFonts w:asciiTheme="minorEastAsia" w:hAnsiTheme="minorEastAsia"/>
                <w:b/>
                <w:szCs w:val="21"/>
              </w:rPr>
            </w:pPr>
            <w:r>
              <w:rPr>
                <w:rFonts w:hint="eastAsia" w:asciiTheme="minorEastAsia" w:hAnsiTheme="minorEastAsia"/>
                <w:bCs/>
                <w:szCs w:val="21"/>
              </w:rPr>
              <w:t>相关设备的购置发票、专业技术人员职称证书、用工合同等</w:t>
            </w:r>
            <w:r>
              <w:rPr>
                <w:rFonts w:hint="eastAsia" w:asciiTheme="minorEastAsia" w:hAnsiTheme="minorEastAsia"/>
                <w:bCs/>
                <w:color w:val="FF0000"/>
                <w:szCs w:val="21"/>
              </w:rPr>
              <w:t>或者</w:t>
            </w:r>
            <w:r>
              <w:rPr>
                <w:rFonts w:hint="eastAsia" w:asciiTheme="minorEastAsia" w:hAnsiTheme="minorEastAsia"/>
                <w:bCs/>
                <w:szCs w:val="21"/>
              </w:rPr>
              <w:t>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7、参加政府采购活动前3年内在经营活动中没有重大违法记录的声明</w:t>
            </w:r>
          </w:p>
          <w:p>
            <w:pPr>
              <w:spacing w:line="360" w:lineRule="auto"/>
              <w:rPr>
                <w:rFonts w:asciiTheme="minorEastAsia" w:hAnsiTheme="minorEastAsia"/>
                <w:bCs/>
                <w:szCs w:val="21"/>
              </w:rPr>
            </w:pP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8、未被列入“信用中国”网站(www.creditchina.gov.cn)失信被执行人、重大税收违法案件当事人名单、政府采购严重违法失信名单的投标人；“中国政府采购网”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p>
          <w:p>
            <w:pPr>
              <w:spacing w:line="360" w:lineRule="auto"/>
              <w:rPr>
                <w:rFonts w:asciiTheme="minorEastAsia" w:hAnsiTheme="minorEastAsia"/>
                <w:bCs/>
                <w:szCs w:val="21"/>
              </w:rPr>
            </w:pPr>
            <w:r>
              <w:rPr>
                <w:rFonts w:hint="eastAsia" w:asciiTheme="minorEastAsia" w:hAnsiTheme="minorEastAsia"/>
                <w:bCs/>
                <w:szCs w:val="21"/>
              </w:rPr>
              <w:t>注：政府采购活动中查询及使用投标人信用记录的具体要求为：投标人未被列入失信被执行人、重大税收违法案件当事人名单、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、政府采购严重违法失信行为记录名单（联合体形式投标的，联合体成员存在不良信用记录，视同联合体存在不良信用记录）。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（1）查询渠道：“信用中国”网站（www.creditchina.gov.cn）和“中国政府采购网”（www.ccgp.gov.cn）；</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Cs w:val="21"/>
                <w:lang w:val="zh-CN"/>
              </w:rPr>
            </w:pPr>
            <w:r>
              <w:rPr>
                <w:rFonts w:hint="eastAsia" w:asciiTheme="minorEastAsia" w:hAnsiTheme="minorEastAsia"/>
                <w:b/>
                <w:bCs/>
                <w:szCs w:val="21"/>
              </w:rPr>
              <w:t>9、</w:t>
            </w:r>
            <w:r>
              <w:rPr>
                <w:rFonts w:hint="eastAsia" w:cs="仿宋_GB2312" w:asciiTheme="minorEastAsia" w:hAnsiTheme="minorEastAsia"/>
                <w:b/>
                <w:szCs w:val="21"/>
                <w:lang w:val="zh-CN"/>
              </w:rPr>
              <w:t>报价</w:t>
            </w:r>
          </w:p>
          <w:p>
            <w:pPr>
              <w:spacing w:line="360" w:lineRule="auto"/>
              <w:rPr>
                <w:rFonts w:asciiTheme="minorEastAsia" w:hAnsiTheme="minorEastAsia"/>
                <w:b/>
                <w:bCs/>
                <w:szCs w:val="21"/>
              </w:rPr>
            </w:pPr>
            <w:r>
              <w:rPr>
                <w:rFonts w:hint="eastAsia" w:cs="仿宋_GB2312" w:asciiTheme="minorEastAsia" w:hAnsiTheme="minorEastAsia"/>
                <w:szCs w:val="21"/>
                <w:lang w:val="zh-CN"/>
              </w:rPr>
              <w:t>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10、联合体协议</w:t>
            </w:r>
          </w:p>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Cs w:val="21"/>
              </w:rPr>
            </w:pPr>
            <w:r>
              <w:rPr>
                <w:rFonts w:hint="eastAsia" w:asciiTheme="minorEastAsia" w:hAnsiTheme="minorEastAsia"/>
                <w:b/>
                <w:szCs w:val="21"/>
              </w:rPr>
              <w:t>11、投标保证金</w:t>
            </w:r>
          </w:p>
          <w:p>
            <w:pPr>
              <w:spacing w:line="360" w:lineRule="auto"/>
              <w:rPr>
                <w:rFonts w:asciiTheme="minorEastAsia" w:hAnsiTheme="minorEastAsia"/>
                <w:szCs w:val="21"/>
              </w:rPr>
            </w:pPr>
            <w:r>
              <w:rPr>
                <w:rFonts w:hint="eastAsia" w:asciiTheme="minorEastAsia" w:hAnsiTheme="minorEastAsia"/>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12、法定代表人身份证明或提供法定代表人授权委托书及被授权人身份证明。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1</w:t>
            </w:r>
            <w:r>
              <w:rPr>
                <w:rFonts w:asciiTheme="minorEastAsia" w:hAnsiTheme="minorEastAsia"/>
                <w:b/>
                <w:szCs w:val="21"/>
              </w:rPr>
              <w:t>3</w:t>
            </w:r>
            <w:r>
              <w:rPr>
                <w:rFonts w:hint="eastAsia" w:asciiTheme="minorEastAsia" w:hAnsiTheme="minorEastAsia"/>
                <w:b/>
                <w:szCs w:val="21"/>
              </w:rPr>
              <w:t>、具有相应范围的《医疗器械生产许可证》或《医疗器械经营许可证》经营范围涵盖所投包号产品；</w:t>
            </w:r>
          </w:p>
        </w:tc>
      </w:tr>
    </w:tbl>
    <w:p>
      <w:pPr>
        <w:pStyle w:val="12"/>
        <w:spacing w:line="360" w:lineRule="auto"/>
        <w:ind w:firstLine="482" w:firstLineChars="200"/>
        <w:contextualSpacing/>
        <w:rPr>
          <w:rFonts w:cs="仿宋_GB2312" w:asciiTheme="minorEastAsia" w:hAnsiTheme="minorEastAsia" w:eastAsiaTheme="minorEastAsia"/>
          <w:b/>
          <w:szCs w:val="24"/>
          <w:lang w:val="zh-CN"/>
        </w:rPr>
      </w:pPr>
    </w:p>
    <w:p>
      <w:pPr>
        <w:pStyle w:val="12"/>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2"/>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2"/>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2"/>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2"/>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2"/>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2"/>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2"/>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2"/>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2"/>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2"/>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2"/>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2"/>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2"/>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2"/>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2"/>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2"/>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2"/>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（2）强制采购节能产品和优先采购节能产品、优先采购环保产品</w:t>
      </w:r>
    </w:p>
    <w:p>
      <w:pPr>
        <w:pStyle w:val="12"/>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2"/>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投标人所投其他产品若属于“节能产品政府采购清单”优先采购产品，</w:t>
      </w:r>
      <w:r>
        <w:rPr>
          <w:rFonts w:hint="eastAsia" w:cs="仿宋_GB2312" w:asciiTheme="minorEastAsia" w:hAnsiTheme="minorEastAsia"/>
          <w:sz w:val="21"/>
          <w:szCs w:val="21"/>
          <w:lang w:val="zh-CN"/>
        </w:rPr>
        <w:t>投标文件中须提供最新一期《节能产品政府采购清单》中产品所在页并加盖投标人公章的原件扫描件（或图片），评标委员会根据本项目评标标准予以判定并赋分。</w:t>
      </w:r>
    </w:p>
    <w:p>
      <w:pPr>
        <w:pStyle w:val="12"/>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sz w:val="21"/>
          <w:szCs w:val="21"/>
          <w:lang w:val="zh-CN"/>
        </w:rPr>
        <w:t>评标委员会根据本项目评标标准予以判定并赋分。</w:t>
      </w:r>
    </w:p>
    <w:p>
      <w:pPr>
        <w:pStyle w:val="12"/>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关于相同品牌产品</w:t>
      </w:r>
    </w:p>
    <w:p>
      <w:pPr>
        <w:pStyle w:val="12"/>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2"/>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2"/>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）产品查询结果截图并加盖投标人公章或中国信息安全认证中心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2"/>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（6）评标标准</w:t>
      </w:r>
    </w:p>
    <w:tbl>
      <w:tblPr>
        <w:tblStyle w:val="20"/>
        <w:tblW w:w="89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41"/>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kern w:val="0"/>
                <w:sz w:val="24"/>
                <w:szCs w:val="24"/>
                <w:shd w:val="clear" w:color="auto" w:fill="FFFFFF"/>
              </w:rPr>
            </w:pPr>
            <w:r>
              <w:rPr>
                <w:rFonts w:hint="eastAsia" w:ascii="宋体" w:hAnsi="宋体" w:cs="仿宋_GB2312"/>
                <w:kern w:val="0"/>
                <w:sz w:val="24"/>
                <w:szCs w:val="24"/>
                <w:shd w:val="clear" w:color="auto" w:fill="FFFFFF"/>
              </w:rPr>
              <w:t>分值构成</w:t>
            </w:r>
          </w:p>
          <w:p>
            <w:pPr>
              <w:spacing w:line="360" w:lineRule="auto"/>
              <w:jc w:val="center"/>
              <w:rPr>
                <w:rFonts w:ascii="宋体" w:hAnsi="宋体" w:eastAsia="宋体" w:cs="仿宋_GB2312"/>
                <w:kern w:val="0"/>
                <w:sz w:val="24"/>
                <w:szCs w:val="24"/>
                <w:shd w:val="clear" w:color="auto" w:fill="FFFFFF"/>
              </w:rPr>
            </w:pPr>
            <w:r>
              <w:rPr>
                <w:rFonts w:hint="eastAsia" w:ascii="宋体" w:hAnsi="宋体" w:cs="仿宋_GB2312"/>
                <w:kern w:val="0"/>
                <w:sz w:val="24"/>
                <w:szCs w:val="24"/>
                <w:shd w:val="clear" w:color="auto" w:fill="FFFFFF"/>
              </w:rPr>
              <w:t>(总分100分)</w:t>
            </w:r>
          </w:p>
        </w:tc>
        <w:tc>
          <w:tcPr>
            <w:tcW w:w="7208" w:type="dxa"/>
            <w:gridSpan w:val="2"/>
            <w:tcBorders>
              <w:top w:val="single" w:color="auto" w:sz="4" w:space="0"/>
              <w:left w:val="nil"/>
              <w:bottom w:val="single" w:color="auto" w:sz="4" w:space="0"/>
              <w:right w:val="single" w:color="auto" w:sz="4" w:space="0"/>
            </w:tcBorders>
            <w:vAlign w:val="center"/>
          </w:tcPr>
          <w:p>
            <w:pPr>
              <w:spacing w:line="360" w:lineRule="auto"/>
              <w:ind w:firstLine="480" w:firstLineChars="200"/>
              <w:rPr>
                <w:rFonts w:ascii="宋体" w:hAnsi="宋体" w:cs="仿宋_GB2312"/>
                <w:kern w:val="0"/>
                <w:sz w:val="24"/>
                <w:szCs w:val="24"/>
                <w:shd w:val="clear" w:color="auto" w:fill="FFFFFF"/>
              </w:rPr>
            </w:pPr>
            <w:r>
              <w:rPr>
                <w:rFonts w:hint="eastAsia" w:ascii="宋体" w:hAnsi="宋体" w:cs="仿宋_GB2312"/>
                <w:kern w:val="0"/>
                <w:sz w:val="24"/>
                <w:szCs w:val="24"/>
                <w:shd w:val="clear" w:color="auto" w:fill="FFFFFF"/>
              </w:rPr>
              <w:t>价格分值：40分</w:t>
            </w:r>
          </w:p>
          <w:p>
            <w:pPr>
              <w:spacing w:line="360" w:lineRule="auto"/>
              <w:ind w:firstLine="480" w:firstLineChars="200"/>
              <w:rPr>
                <w:rFonts w:hint="eastAsia" w:ascii="宋体" w:hAnsi="宋体" w:cs="仿宋_GB2312"/>
                <w:kern w:val="0"/>
                <w:sz w:val="24"/>
                <w:szCs w:val="24"/>
                <w:shd w:val="clear" w:color="auto" w:fill="FFFFFF"/>
              </w:rPr>
            </w:pPr>
            <w:r>
              <w:rPr>
                <w:rFonts w:hint="eastAsia" w:ascii="宋体" w:hAnsi="宋体" w:cs="仿宋_GB2312"/>
                <w:kern w:val="0"/>
                <w:sz w:val="24"/>
                <w:szCs w:val="24"/>
                <w:shd w:val="clear" w:color="auto" w:fill="FFFFFF"/>
              </w:rPr>
              <w:t>商务部分：18分</w:t>
            </w:r>
          </w:p>
          <w:p>
            <w:pPr>
              <w:spacing w:line="360" w:lineRule="auto"/>
              <w:ind w:firstLine="480" w:firstLineChars="200"/>
              <w:rPr>
                <w:rFonts w:ascii="宋体" w:hAnsi="宋体" w:eastAsia="宋体" w:cs="仿宋_GB2312"/>
                <w:kern w:val="0"/>
                <w:sz w:val="24"/>
                <w:szCs w:val="24"/>
                <w:shd w:val="clear" w:color="auto" w:fill="FFFFFF"/>
              </w:rPr>
            </w:pPr>
            <w:r>
              <w:rPr>
                <w:rFonts w:hint="eastAsia" w:ascii="宋体" w:hAnsi="宋体" w:cs="仿宋_GB2312"/>
                <w:kern w:val="0"/>
                <w:sz w:val="24"/>
                <w:szCs w:val="24"/>
                <w:shd w:val="clear" w:color="auto" w:fill="FFFFFF"/>
              </w:rPr>
              <w:t>技术部分：42分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897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kern w:val="0"/>
                <w:sz w:val="24"/>
                <w:szCs w:val="24"/>
                <w:shd w:val="clear" w:color="auto" w:fill="FFFFFF"/>
              </w:rPr>
            </w:pPr>
            <w:r>
              <w:rPr>
                <w:rFonts w:hint="eastAsia" w:ascii="宋体" w:hAnsi="宋体" w:cs="仿宋_GB2312"/>
                <w:kern w:val="0"/>
                <w:sz w:val="24"/>
                <w:szCs w:val="24"/>
                <w:shd w:val="clear" w:color="auto" w:fill="FFFFFF"/>
              </w:rPr>
              <w:t>价格部分（满分40分）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kern w:val="0"/>
                <w:sz w:val="24"/>
                <w:szCs w:val="24"/>
                <w:shd w:val="clear" w:color="auto" w:fill="FFFFFF"/>
              </w:rPr>
            </w:pPr>
            <w:r>
              <w:rPr>
                <w:rFonts w:hint="eastAsia" w:ascii="宋体" w:hAnsi="宋体" w:cs="仿宋_GB2312"/>
                <w:kern w:val="0"/>
                <w:sz w:val="24"/>
                <w:szCs w:val="24"/>
                <w:shd w:val="clear" w:color="auto" w:fill="FFFFFF"/>
              </w:rPr>
              <w:t>评分因素</w:t>
            </w:r>
          </w:p>
        </w:tc>
        <w:tc>
          <w:tcPr>
            <w:tcW w:w="6241" w:type="dxa"/>
            <w:tcBorders>
              <w:top w:val="single" w:color="auto" w:sz="4" w:space="0"/>
              <w:left w:val="nil"/>
              <w:bottom w:val="single" w:color="auto" w:sz="4" w:space="0"/>
              <w:right w:val="single" w:color="auto" w:sz="4" w:space="0"/>
            </w:tcBorders>
            <w:vAlign w:val="center"/>
          </w:tcPr>
          <w:p>
            <w:pPr>
              <w:jc w:val="center"/>
              <w:rPr>
                <w:rFonts w:ascii="宋体" w:hAnsi="宋体" w:eastAsia="宋体" w:cs="仿宋_GB2312"/>
                <w:kern w:val="0"/>
                <w:sz w:val="24"/>
                <w:szCs w:val="24"/>
                <w:shd w:val="clear" w:color="auto" w:fill="FFFFFF"/>
              </w:rPr>
            </w:pPr>
            <w:r>
              <w:rPr>
                <w:rFonts w:hint="eastAsia" w:ascii="宋体" w:hAnsi="宋体" w:cs="仿宋_GB2312"/>
                <w:kern w:val="0"/>
                <w:sz w:val="24"/>
                <w:szCs w:val="24"/>
                <w:shd w:val="clear" w:color="auto" w:fill="FFFFFF"/>
              </w:rPr>
              <w:t>评标标准</w:t>
            </w:r>
          </w:p>
        </w:tc>
        <w:tc>
          <w:tcPr>
            <w:tcW w:w="967" w:type="dxa"/>
            <w:tcBorders>
              <w:top w:val="single" w:color="auto" w:sz="4" w:space="0"/>
              <w:left w:val="nil"/>
              <w:bottom w:val="single" w:color="auto" w:sz="4" w:space="0"/>
              <w:right w:val="single" w:color="auto" w:sz="4" w:space="0"/>
            </w:tcBorders>
            <w:vAlign w:val="center"/>
          </w:tcPr>
          <w:p>
            <w:pPr>
              <w:jc w:val="center"/>
              <w:rPr>
                <w:rFonts w:ascii="宋体" w:hAnsi="宋体" w:eastAsia="宋体" w:cs="仿宋_GB2312"/>
                <w:kern w:val="0"/>
                <w:sz w:val="24"/>
                <w:szCs w:val="24"/>
                <w:shd w:val="clear" w:color="auto" w:fill="FFFFFF"/>
              </w:rPr>
            </w:pPr>
            <w:r>
              <w:rPr>
                <w:rFonts w:hint="eastAsia" w:ascii="宋体" w:hAnsi="宋体" w:cs="仿宋_GB2312"/>
                <w:kern w:val="0"/>
                <w:sz w:val="24"/>
                <w:szCs w:val="24"/>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kern w:val="0"/>
                <w:sz w:val="24"/>
                <w:szCs w:val="24"/>
                <w:shd w:val="clear" w:color="auto" w:fill="FFFFFF"/>
              </w:rPr>
            </w:pPr>
            <w:r>
              <w:rPr>
                <w:rFonts w:hint="eastAsia" w:ascii="宋体" w:hAnsi="宋体" w:cs="仿宋_GB2312"/>
                <w:kern w:val="0"/>
                <w:sz w:val="24"/>
                <w:szCs w:val="24"/>
                <w:shd w:val="clear" w:color="auto" w:fill="FFFFFF"/>
              </w:rPr>
              <w:t>投标报价</w:t>
            </w:r>
          </w:p>
          <w:p>
            <w:pPr>
              <w:spacing w:line="360" w:lineRule="auto"/>
              <w:jc w:val="center"/>
              <w:rPr>
                <w:rFonts w:ascii="宋体" w:hAnsi="宋体" w:eastAsia="宋体" w:cs="仿宋_GB2312"/>
                <w:kern w:val="0"/>
                <w:sz w:val="24"/>
                <w:szCs w:val="24"/>
                <w:shd w:val="clear" w:color="auto" w:fill="FFFFFF"/>
              </w:rPr>
            </w:pPr>
            <w:r>
              <w:rPr>
                <w:rFonts w:hint="eastAsia" w:ascii="宋体" w:hAnsi="宋体" w:cs="仿宋_GB2312"/>
                <w:kern w:val="0"/>
                <w:sz w:val="24"/>
                <w:szCs w:val="24"/>
                <w:shd w:val="clear" w:color="auto" w:fill="FFFFFF"/>
              </w:rPr>
              <w:t>评分标准</w:t>
            </w:r>
          </w:p>
        </w:tc>
        <w:tc>
          <w:tcPr>
            <w:tcW w:w="6241" w:type="dxa"/>
            <w:tcBorders>
              <w:top w:val="single" w:color="auto" w:sz="4" w:space="0"/>
              <w:left w:val="nil"/>
              <w:bottom w:val="single" w:color="auto" w:sz="4" w:space="0"/>
              <w:right w:val="single" w:color="auto" w:sz="4" w:space="0"/>
            </w:tcBorders>
            <w:vAlign w:val="center"/>
          </w:tcPr>
          <w:p>
            <w:pPr>
              <w:spacing w:line="360" w:lineRule="auto"/>
              <w:rPr>
                <w:rFonts w:ascii="宋体" w:hAnsi="宋体" w:cs="仿宋_GB2312"/>
                <w:kern w:val="0"/>
                <w:sz w:val="24"/>
                <w:szCs w:val="24"/>
                <w:shd w:val="clear" w:color="auto" w:fill="FFFFFF"/>
              </w:rPr>
            </w:pPr>
            <w:r>
              <w:rPr>
                <w:rFonts w:hint="eastAsia" w:ascii="宋体" w:hAnsi="宋体" w:cs="仿宋_GB2312"/>
                <w:kern w:val="0"/>
                <w:sz w:val="24"/>
                <w:szCs w:val="24"/>
                <w:shd w:val="clear" w:color="auto" w:fill="FFFFFF"/>
              </w:rPr>
              <w:t>评标基准价：满足招标文件要求的有效投标报价中，最低的投标报价为评标基准价。</w:t>
            </w:r>
          </w:p>
          <w:p>
            <w:pPr>
              <w:spacing w:line="360" w:lineRule="auto"/>
              <w:rPr>
                <w:rFonts w:ascii="宋体" w:hAnsi="宋体" w:eastAsia="宋体" w:cs="仿宋_GB2312"/>
                <w:kern w:val="0"/>
                <w:sz w:val="24"/>
                <w:szCs w:val="24"/>
                <w:shd w:val="clear" w:color="auto" w:fill="FFFFFF"/>
              </w:rPr>
            </w:pPr>
            <w:r>
              <w:rPr>
                <w:rFonts w:hint="eastAsia" w:ascii="宋体" w:hAnsi="宋体" w:cs="仿宋_GB2312"/>
                <w:kern w:val="0"/>
                <w:sz w:val="24"/>
                <w:szCs w:val="24"/>
                <w:shd w:val="clear" w:color="auto" w:fill="FFFFFF"/>
              </w:rPr>
              <w:t>投标报价得分=（评标基准价/投标报价）×40</w:t>
            </w:r>
          </w:p>
        </w:tc>
        <w:tc>
          <w:tcPr>
            <w:tcW w:w="967" w:type="dxa"/>
            <w:tcBorders>
              <w:top w:val="single" w:color="auto" w:sz="4" w:space="0"/>
              <w:left w:val="nil"/>
              <w:bottom w:val="single" w:color="auto" w:sz="4" w:space="0"/>
              <w:right w:val="single" w:color="auto" w:sz="4" w:space="0"/>
            </w:tcBorders>
            <w:vAlign w:val="center"/>
          </w:tcPr>
          <w:p>
            <w:pPr>
              <w:jc w:val="center"/>
              <w:rPr>
                <w:rFonts w:ascii="宋体" w:hAnsi="宋体" w:eastAsia="宋体" w:cs="仿宋_GB2312"/>
                <w:kern w:val="0"/>
                <w:sz w:val="24"/>
                <w:szCs w:val="24"/>
                <w:shd w:val="clear" w:color="auto" w:fill="FFFFFF"/>
              </w:rPr>
            </w:pPr>
            <w:r>
              <w:rPr>
                <w:rFonts w:hint="eastAsia" w:ascii="宋体" w:hAnsi="宋体" w:cs="仿宋_GB2312"/>
                <w:kern w:val="0"/>
                <w:sz w:val="24"/>
                <w:szCs w:val="24"/>
                <w:shd w:val="clear" w:color="auto" w:fill="FFFFFF"/>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897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kern w:val="0"/>
                <w:sz w:val="24"/>
                <w:szCs w:val="24"/>
                <w:shd w:val="clear" w:color="auto" w:fill="FFFFFF"/>
              </w:rPr>
            </w:pPr>
            <w:r>
              <w:rPr>
                <w:rFonts w:hint="eastAsia" w:ascii="宋体" w:hAnsi="宋体" w:cs="仿宋_GB2312"/>
                <w:kern w:val="0"/>
                <w:sz w:val="24"/>
                <w:szCs w:val="24"/>
                <w:shd w:val="clear" w:color="auto" w:fill="FFFFFF"/>
              </w:rPr>
              <w:t>商务部分（满分18分）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7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kern w:val="0"/>
                <w:sz w:val="24"/>
                <w:szCs w:val="24"/>
                <w:shd w:val="clear" w:color="auto" w:fill="FFFFFF"/>
              </w:rPr>
            </w:pPr>
            <w:r>
              <w:rPr>
                <w:rFonts w:hint="eastAsia" w:ascii="宋体" w:hAnsi="宋体" w:cs="仿宋_GB2312"/>
                <w:kern w:val="0"/>
                <w:sz w:val="24"/>
                <w:szCs w:val="24"/>
                <w:shd w:val="clear" w:color="auto" w:fill="FFFFFF"/>
              </w:rPr>
              <w:t>评分因素</w:t>
            </w:r>
          </w:p>
        </w:tc>
        <w:tc>
          <w:tcPr>
            <w:tcW w:w="6241" w:type="dxa"/>
            <w:tcBorders>
              <w:top w:val="single" w:color="auto" w:sz="4" w:space="0"/>
              <w:left w:val="nil"/>
              <w:bottom w:val="single" w:color="auto" w:sz="4" w:space="0"/>
              <w:right w:val="single" w:color="auto" w:sz="4" w:space="0"/>
            </w:tcBorders>
            <w:vAlign w:val="center"/>
          </w:tcPr>
          <w:p>
            <w:pPr>
              <w:jc w:val="center"/>
              <w:rPr>
                <w:rFonts w:ascii="宋体" w:hAnsi="宋体" w:eastAsia="宋体" w:cs="仿宋_GB2312"/>
                <w:kern w:val="0"/>
                <w:sz w:val="24"/>
                <w:szCs w:val="24"/>
                <w:shd w:val="clear" w:color="auto" w:fill="FFFFFF"/>
              </w:rPr>
            </w:pPr>
            <w:r>
              <w:rPr>
                <w:rFonts w:hint="eastAsia" w:ascii="宋体" w:hAnsi="宋体" w:cs="仿宋_GB2312"/>
                <w:kern w:val="0"/>
                <w:sz w:val="24"/>
                <w:szCs w:val="24"/>
                <w:shd w:val="clear" w:color="auto" w:fill="FFFFFF"/>
              </w:rPr>
              <w:t>评标标准</w:t>
            </w:r>
          </w:p>
        </w:tc>
        <w:tc>
          <w:tcPr>
            <w:tcW w:w="967" w:type="dxa"/>
            <w:tcBorders>
              <w:top w:val="single" w:color="auto" w:sz="4" w:space="0"/>
              <w:left w:val="nil"/>
              <w:bottom w:val="single" w:color="auto" w:sz="4" w:space="0"/>
              <w:right w:val="single" w:color="auto" w:sz="4" w:space="0"/>
            </w:tcBorders>
            <w:vAlign w:val="center"/>
          </w:tcPr>
          <w:p>
            <w:pPr>
              <w:jc w:val="center"/>
              <w:rPr>
                <w:rFonts w:ascii="宋体" w:hAnsi="宋体" w:eastAsia="宋体" w:cs="仿宋_GB2312"/>
                <w:kern w:val="0"/>
                <w:sz w:val="24"/>
                <w:szCs w:val="24"/>
                <w:shd w:val="clear" w:color="auto" w:fill="FFFFFF"/>
              </w:rPr>
            </w:pPr>
            <w:r>
              <w:rPr>
                <w:rFonts w:hint="eastAsia" w:ascii="宋体" w:hAnsi="宋体" w:cs="仿宋_GB2312"/>
                <w:kern w:val="0"/>
                <w:sz w:val="24"/>
                <w:szCs w:val="24"/>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仿宋_GB2312"/>
                <w:kern w:val="0"/>
                <w:sz w:val="24"/>
                <w:szCs w:val="24"/>
                <w:shd w:val="clear" w:color="auto" w:fill="FFFFFF"/>
              </w:rPr>
            </w:pPr>
          </w:p>
          <w:p>
            <w:pPr>
              <w:spacing w:line="360" w:lineRule="exact"/>
              <w:jc w:val="center"/>
              <w:rPr>
                <w:rFonts w:hint="eastAsia" w:ascii="宋体" w:hAnsi="宋体" w:cs="仿宋_GB2312"/>
                <w:kern w:val="0"/>
                <w:sz w:val="24"/>
                <w:szCs w:val="24"/>
                <w:shd w:val="clear" w:color="auto" w:fill="FFFFFF"/>
              </w:rPr>
            </w:pPr>
          </w:p>
          <w:p>
            <w:pPr>
              <w:spacing w:line="360" w:lineRule="exact"/>
              <w:jc w:val="center"/>
              <w:rPr>
                <w:rFonts w:hint="eastAsia" w:ascii="宋体" w:hAnsi="宋体" w:cs="仿宋_GB2312"/>
                <w:kern w:val="0"/>
                <w:sz w:val="24"/>
                <w:szCs w:val="24"/>
                <w:shd w:val="clear" w:color="auto" w:fill="FFFFFF"/>
              </w:rPr>
            </w:pPr>
          </w:p>
          <w:p>
            <w:pPr>
              <w:spacing w:line="430" w:lineRule="exact"/>
              <w:rPr>
                <w:rFonts w:hint="eastAsia" w:ascii="宋体" w:hAnsi="宋体" w:cs="仿宋_GB2312"/>
                <w:kern w:val="0"/>
                <w:sz w:val="24"/>
                <w:szCs w:val="24"/>
                <w:shd w:val="clear" w:color="auto" w:fill="FFFFFF"/>
              </w:rPr>
            </w:pPr>
            <w:r>
              <w:rPr>
                <w:rFonts w:hint="eastAsia" w:ascii="宋体" w:hAnsi="宋体" w:cs="仿宋_GB2312"/>
                <w:kern w:val="0"/>
                <w:sz w:val="24"/>
                <w:szCs w:val="24"/>
                <w:shd w:val="clear" w:color="auto" w:fill="FFFFFF"/>
              </w:rPr>
              <w:t>节约能源、保护环境政策加分</w:t>
            </w:r>
          </w:p>
          <w:p>
            <w:pPr>
              <w:spacing w:line="360" w:lineRule="exact"/>
              <w:jc w:val="center"/>
              <w:rPr>
                <w:rFonts w:ascii="宋体" w:hAnsi="宋体" w:eastAsia="宋体" w:cs="仿宋_GB2312"/>
                <w:kern w:val="0"/>
                <w:sz w:val="24"/>
                <w:szCs w:val="24"/>
                <w:shd w:val="clear" w:color="auto" w:fill="FFFFFF"/>
              </w:rPr>
            </w:pPr>
          </w:p>
        </w:tc>
        <w:tc>
          <w:tcPr>
            <w:tcW w:w="6241" w:type="dxa"/>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s="仿宋_GB2312"/>
                <w:kern w:val="0"/>
                <w:sz w:val="24"/>
                <w:szCs w:val="24"/>
                <w:shd w:val="clear" w:color="auto" w:fill="FFFFFF"/>
              </w:rPr>
            </w:pPr>
            <w:r>
              <w:rPr>
                <w:rFonts w:hint="eastAsia" w:ascii="宋体" w:hAnsi="宋体" w:cs="仿宋_GB2312"/>
                <w:kern w:val="0"/>
                <w:sz w:val="24"/>
                <w:szCs w:val="24"/>
                <w:shd w:val="clear" w:color="auto" w:fill="FFFFFF"/>
              </w:rPr>
              <w:t>1、除政府强制采购的节能产品外，投标人所投其他产品属于“节能产品政府采购清单”优先采购产品，投标文件中须提供最新一期《节能产品政府采购清单》中产品所在页复印件加盖投标人公章。每项0.5分，满分1分。</w:t>
            </w:r>
          </w:p>
          <w:p>
            <w:pPr>
              <w:spacing w:line="360" w:lineRule="auto"/>
              <w:jc w:val="left"/>
              <w:rPr>
                <w:rFonts w:hint="eastAsia" w:ascii="宋体" w:hAnsi="宋体" w:cs="仿宋_GB2312"/>
                <w:kern w:val="0"/>
                <w:sz w:val="24"/>
                <w:szCs w:val="24"/>
                <w:shd w:val="clear" w:color="auto" w:fill="FFFFFF"/>
              </w:rPr>
            </w:pPr>
            <w:r>
              <w:rPr>
                <w:rFonts w:hint="eastAsia" w:ascii="宋体" w:hAnsi="宋体" w:cs="仿宋_GB2312"/>
                <w:kern w:val="0"/>
                <w:sz w:val="24"/>
                <w:szCs w:val="24"/>
                <w:shd w:val="clear" w:color="auto" w:fill="FFFFFF"/>
              </w:rPr>
              <w:t>2、投标人所投产品属于“环境标志产品政府采购清单”内产品，投标文件中须提供最新一期《环保产品政府采购清单》中产品所在页复印件加盖投标人公章。每项0.5分，满分1分。</w:t>
            </w:r>
          </w:p>
          <w:p>
            <w:pPr>
              <w:spacing w:line="360" w:lineRule="auto"/>
              <w:rPr>
                <w:rFonts w:ascii="宋体" w:hAnsi="宋体" w:eastAsia="宋体" w:cs="仿宋_GB2312"/>
                <w:kern w:val="0"/>
                <w:sz w:val="24"/>
                <w:szCs w:val="24"/>
                <w:shd w:val="clear" w:color="auto" w:fill="FFFFFF"/>
              </w:rPr>
            </w:pPr>
            <w:r>
              <w:rPr>
                <w:rFonts w:hint="eastAsia" w:ascii="宋体" w:hAnsi="宋体" w:cs="仿宋_GB2312"/>
                <w:kern w:val="0"/>
                <w:sz w:val="24"/>
                <w:szCs w:val="24"/>
                <w:shd w:val="clear" w:color="auto" w:fill="FFFFFF"/>
              </w:rPr>
              <w:t>注：对于同时列入环保清单和节能产品政府采购清单的产品，应当优先于只列入其中一个清单的产品。</w:t>
            </w:r>
          </w:p>
        </w:tc>
        <w:tc>
          <w:tcPr>
            <w:tcW w:w="967" w:type="dxa"/>
            <w:tcBorders>
              <w:top w:val="single" w:color="auto" w:sz="4" w:space="0"/>
              <w:left w:val="nil"/>
              <w:bottom w:val="single" w:color="auto" w:sz="4" w:space="0"/>
              <w:right w:val="single" w:color="auto" w:sz="4" w:space="0"/>
            </w:tcBorders>
            <w:vAlign w:val="center"/>
          </w:tcPr>
          <w:p>
            <w:pPr>
              <w:jc w:val="center"/>
              <w:rPr>
                <w:rFonts w:ascii="宋体" w:hAnsi="宋体" w:eastAsia="宋体" w:cs="仿宋_GB2312"/>
                <w:kern w:val="0"/>
                <w:sz w:val="24"/>
                <w:szCs w:val="24"/>
                <w:shd w:val="clear" w:color="auto" w:fill="FFFFFF"/>
              </w:rPr>
            </w:pPr>
            <w:r>
              <w:rPr>
                <w:rFonts w:hint="eastAsia" w:ascii="宋体" w:hAnsi="宋体" w:cs="仿宋_GB2312"/>
                <w:kern w:val="0"/>
                <w:sz w:val="24"/>
                <w:szCs w:val="24"/>
                <w:shd w:val="clear" w:color="auto" w:fill="FFFFFF"/>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vAlign w:val="center"/>
          </w:tcPr>
          <w:p>
            <w:pPr>
              <w:spacing w:line="430" w:lineRule="exact"/>
              <w:ind w:firstLine="480" w:firstLineChars="200"/>
              <w:rPr>
                <w:rFonts w:ascii="宋体" w:hAnsi="宋体" w:cs="仿宋_GB2312"/>
                <w:kern w:val="0"/>
                <w:sz w:val="24"/>
                <w:szCs w:val="24"/>
                <w:shd w:val="clear" w:color="auto" w:fill="FFFFFF"/>
              </w:rPr>
            </w:pPr>
            <w:r>
              <w:rPr>
                <w:rFonts w:hint="eastAsia" w:ascii="宋体" w:hAnsi="宋体" w:cs="仿宋_GB2312"/>
                <w:kern w:val="0"/>
                <w:sz w:val="24"/>
                <w:szCs w:val="24"/>
                <w:shd w:val="clear" w:color="auto" w:fill="FFFFFF"/>
              </w:rPr>
              <w:t xml:space="preserve"> 业绩</w:t>
            </w:r>
          </w:p>
          <w:p>
            <w:pPr>
              <w:spacing w:line="430" w:lineRule="exact"/>
              <w:ind w:firstLine="480" w:firstLineChars="200"/>
              <w:rPr>
                <w:rFonts w:ascii="宋体" w:hAnsi="宋体" w:eastAsia="宋体" w:cs="仿宋_GB2312"/>
                <w:kern w:val="0"/>
                <w:sz w:val="24"/>
                <w:szCs w:val="24"/>
                <w:shd w:val="clear" w:color="auto" w:fill="FFFFFF"/>
              </w:rPr>
            </w:pPr>
          </w:p>
        </w:tc>
        <w:tc>
          <w:tcPr>
            <w:tcW w:w="624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30" w:lineRule="exact"/>
              <w:rPr>
                <w:rFonts w:ascii="宋体" w:hAnsi="宋体" w:eastAsia="宋体" w:cs="仿宋_GB2312"/>
                <w:kern w:val="0"/>
                <w:sz w:val="24"/>
                <w:szCs w:val="24"/>
                <w:shd w:val="clear" w:color="auto" w:fill="FFFFFF"/>
              </w:rPr>
            </w:pPr>
            <w:r>
              <w:rPr>
                <w:rFonts w:hint="eastAsia" w:ascii="宋体" w:hAnsi="宋体" w:cs="仿宋_GB2312"/>
                <w:kern w:val="0"/>
                <w:sz w:val="24"/>
                <w:szCs w:val="24"/>
                <w:shd w:val="clear" w:color="auto" w:fill="FFFFFF"/>
              </w:rPr>
              <w:t>投标人2015年1月1日以来，具有类似项目业绩单次合同金额在：28万元以上（含28万元）。合同及验收报告齐全，每提供一份得5分，最多得5分，不提供者为0分。</w:t>
            </w:r>
          </w:p>
        </w:tc>
        <w:tc>
          <w:tcPr>
            <w:tcW w:w="967" w:type="dxa"/>
            <w:tcBorders>
              <w:top w:val="single" w:color="auto" w:sz="4" w:space="0"/>
              <w:left w:val="nil"/>
              <w:bottom w:val="single" w:color="auto" w:sz="4" w:space="0"/>
              <w:right w:val="single" w:color="auto" w:sz="4" w:space="0"/>
            </w:tcBorders>
            <w:vAlign w:val="center"/>
          </w:tcPr>
          <w:p>
            <w:pPr>
              <w:jc w:val="center"/>
              <w:rPr>
                <w:rFonts w:ascii="宋体" w:hAnsi="宋体" w:eastAsia="宋体" w:cs="仿宋_GB2312"/>
                <w:kern w:val="0"/>
                <w:sz w:val="24"/>
                <w:szCs w:val="24"/>
                <w:shd w:val="clear" w:color="auto" w:fill="FFFFFF"/>
              </w:rPr>
            </w:pPr>
            <w:r>
              <w:rPr>
                <w:rFonts w:hint="eastAsia" w:ascii="宋体" w:hAnsi="宋体" w:cs="仿宋_GB2312"/>
                <w:kern w:val="0"/>
                <w:sz w:val="24"/>
                <w:szCs w:val="24"/>
                <w:shd w:val="clear" w:color="auto" w:fill="FFFFFF"/>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仿宋_GB2312"/>
                <w:kern w:val="0"/>
                <w:sz w:val="24"/>
                <w:szCs w:val="24"/>
                <w:shd w:val="clear" w:color="auto" w:fill="FFFFFF"/>
              </w:rPr>
            </w:pPr>
            <w:r>
              <w:rPr>
                <w:rFonts w:hint="eastAsia" w:ascii="宋体" w:hAnsi="宋体" w:cs="仿宋_GB2312"/>
                <w:kern w:val="0"/>
                <w:sz w:val="24"/>
                <w:szCs w:val="24"/>
                <w:shd w:val="clear" w:color="auto" w:fill="FFFFFF"/>
              </w:rPr>
              <w:t>综合实力</w:t>
            </w:r>
          </w:p>
        </w:tc>
        <w:tc>
          <w:tcPr>
            <w:tcW w:w="6241" w:type="dxa"/>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eastAsia="宋体" w:cs="仿宋_GB2312"/>
                <w:kern w:val="0"/>
                <w:sz w:val="24"/>
                <w:szCs w:val="24"/>
                <w:shd w:val="clear" w:color="auto" w:fill="FFFFFF"/>
              </w:rPr>
            </w:pPr>
            <w:r>
              <w:rPr>
                <w:rFonts w:hint="eastAsia" w:ascii="宋体" w:hAnsi="宋体" w:cs="仿宋_GB2312"/>
                <w:kern w:val="0"/>
                <w:sz w:val="24"/>
                <w:szCs w:val="24"/>
                <w:shd w:val="clear" w:color="auto" w:fill="FFFFFF"/>
              </w:rPr>
              <w:t>1、</w:t>
            </w:r>
            <w:r>
              <w:rPr>
                <w:rFonts w:hint="eastAsia" w:ascii="宋体" w:hAnsi="宋体" w:cs="仿宋_GB2312"/>
                <w:kern w:val="0"/>
                <w:sz w:val="24"/>
                <w:szCs w:val="24"/>
                <w:shd w:val="clear" w:color="auto" w:fill="FFFFFF"/>
              </w:rPr>
              <w:tab/>
            </w:r>
            <w:r>
              <w:rPr>
                <w:rFonts w:hint="eastAsia" w:ascii="宋体" w:hAnsi="宋体" w:cs="仿宋_GB2312"/>
                <w:kern w:val="0"/>
                <w:sz w:val="24"/>
                <w:szCs w:val="24"/>
                <w:shd w:val="clear" w:color="auto" w:fill="FFFFFF"/>
              </w:rPr>
              <w:t>生产厂家提供ISO9001质量管理体系认证证书，得3分，满分3分，不提供不得分。</w:t>
            </w:r>
          </w:p>
        </w:tc>
        <w:tc>
          <w:tcPr>
            <w:tcW w:w="967" w:type="dxa"/>
            <w:tcBorders>
              <w:top w:val="single" w:color="auto" w:sz="4" w:space="0"/>
              <w:left w:val="nil"/>
              <w:bottom w:val="single" w:color="auto" w:sz="4" w:space="0"/>
              <w:right w:val="single" w:color="auto" w:sz="4" w:space="0"/>
            </w:tcBorders>
            <w:vAlign w:val="center"/>
          </w:tcPr>
          <w:p>
            <w:pPr>
              <w:jc w:val="center"/>
              <w:rPr>
                <w:rFonts w:ascii="宋体" w:hAnsi="宋体" w:eastAsia="宋体" w:cs="仿宋_GB2312"/>
                <w:kern w:val="0"/>
                <w:sz w:val="24"/>
                <w:szCs w:val="24"/>
                <w:shd w:val="clear" w:color="auto" w:fill="FFFFFF"/>
              </w:rPr>
            </w:pPr>
            <w:r>
              <w:rPr>
                <w:rFonts w:hint="eastAsia" w:ascii="宋体" w:hAnsi="宋体" w:cs="仿宋_GB2312"/>
                <w:kern w:val="0"/>
                <w:sz w:val="24"/>
                <w:szCs w:val="24"/>
                <w:shd w:val="clear" w:color="auto" w:fill="FFFFFF"/>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vAlign w:val="center"/>
          </w:tcPr>
          <w:p>
            <w:pPr>
              <w:spacing w:line="430" w:lineRule="exact"/>
              <w:jc w:val="center"/>
              <w:rPr>
                <w:rFonts w:ascii="宋体" w:hAnsi="宋体" w:cs="仿宋_GB2312"/>
                <w:kern w:val="0"/>
                <w:sz w:val="24"/>
                <w:szCs w:val="24"/>
                <w:shd w:val="clear" w:color="auto" w:fill="FFFFFF"/>
              </w:rPr>
            </w:pPr>
            <w:r>
              <w:rPr>
                <w:rFonts w:hint="eastAsia" w:ascii="宋体" w:hAnsi="宋体" w:cs="仿宋_GB2312"/>
                <w:kern w:val="0"/>
                <w:sz w:val="24"/>
                <w:szCs w:val="24"/>
                <w:shd w:val="clear" w:color="auto" w:fill="FFFFFF"/>
              </w:rPr>
              <w:t>售后服务</w:t>
            </w:r>
          </w:p>
          <w:p>
            <w:pPr>
              <w:spacing w:line="430" w:lineRule="exact"/>
              <w:jc w:val="center"/>
              <w:rPr>
                <w:rFonts w:hint="eastAsia" w:ascii="宋体" w:hAnsi="宋体" w:cs="仿宋_GB2312"/>
                <w:kern w:val="0"/>
                <w:sz w:val="24"/>
                <w:szCs w:val="24"/>
                <w:shd w:val="clear" w:color="auto" w:fill="FFFFFF"/>
              </w:rPr>
            </w:pPr>
            <w:r>
              <w:rPr>
                <w:rFonts w:hint="eastAsia" w:ascii="宋体" w:hAnsi="宋体" w:cs="仿宋_GB2312"/>
                <w:kern w:val="0"/>
                <w:sz w:val="24"/>
                <w:szCs w:val="24"/>
                <w:shd w:val="clear" w:color="auto" w:fill="FFFFFF"/>
              </w:rPr>
              <w:t>及培训</w:t>
            </w:r>
          </w:p>
          <w:p>
            <w:pPr>
              <w:spacing w:line="430" w:lineRule="exact"/>
              <w:jc w:val="center"/>
              <w:rPr>
                <w:rFonts w:ascii="宋体" w:hAnsi="宋体" w:eastAsia="宋体" w:cs="仿宋_GB2312"/>
                <w:kern w:val="0"/>
                <w:sz w:val="24"/>
                <w:szCs w:val="24"/>
                <w:shd w:val="clear" w:color="auto" w:fill="FFFFFF"/>
              </w:rPr>
            </w:pPr>
          </w:p>
        </w:tc>
        <w:tc>
          <w:tcPr>
            <w:tcW w:w="6241" w:type="dxa"/>
            <w:tcBorders>
              <w:top w:val="single" w:color="auto" w:sz="4" w:space="0"/>
              <w:left w:val="nil"/>
              <w:bottom w:val="single" w:color="auto" w:sz="4" w:space="0"/>
              <w:right w:val="single" w:color="auto" w:sz="4" w:space="0"/>
            </w:tcBorders>
            <w:vAlign w:val="center"/>
          </w:tcPr>
          <w:p>
            <w:pPr>
              <w:spacing w:line="360" w:lineRule="auto"/>
              <w:rPr>
                <w:rFonts w:ascii="宋体" w:hAnsi="宋体" w:eastAsia="宋体" w:cs="仿宋_GB2312"/>
                <w:kern w:val="0"/>
                <w:sz w:val="24"/>
                <w:szCs w:val="24"/>
                <w:shd w:val="clear" w:color="auto" w:fill="FFFFFF"/>
              </w:rPr>
            </w:pPr>
            <w:r>
              <w:rPr>
                <w:rFonts w:hint="eastAsia" w:ascii="宋体" w:hAnsi="宋体" w:cs="仿宋_GB2312"/>
                <w:kern w:val="0"/>
                <w:sz w:val="24"/>
                <w:szCs w:val="24"/>
                <w:shd w:val="clear" w:color="auto" w:fill="FFFFFF"/>
              </w:rPr>
              <w:t>制有售后服务计划的得1分；生产厂家在河南设有售后服务站的得2分；有专职维修人员、备有常用备件的得2分；售后服务系统完善、能提供全天24小时上门服务的得2分；能免费提供业技术培训、为采购方培养合格的操作人员的得2分。不满足不得分。</w:t>
            </w:r>
          </w:p>
        </w:tc>
        <w:tc>
          <w:tcPr>
            <w:tcW w:w="967" w:type="dxa"/>
            <w:tcBorders>
              <w:top w:val="single" w:color="auto" w:sz="4" w:space="0"/>
              <w:left w:val="nil"/>
              <w:bottom w:val="single" w:color="auto" w:sz="4" w:space="0"/>
              <w:right w:val="single" w:color="auto" w:sz="4" w:space="0"/>
            </w:tcBorders>
            <w:vAlign w:val="center"/>
          </w:tcPr>
          <w:p>
            <w:pPr>
              <w:jc w:val="center"/>
              <w:rPr>
                <w:rFonts w:ascii="宋体" w:hAnsi="宋体" w:eastAsia="宋体" w:cs="仿宋_GB2312"/>
                <w:kern w:val="0"/>
                <w:sz w:val="24"/>
                <w:szCs w:val="24"/>
                <w:shd w:val="clear" w:color="auto" w:fill="FFFFFF"/>
              </w:rPr>
            </w:pPr>
            <w:r>
              <w:rPr>
                <w:rFonts w:hint="eastAsia" w:ascii="宋体" w:hAnsi="宋体" w:cs="仿宋_GB2312"/>
                <w:kern w:val="0"/>
                <w:sz w:val="24"/>
                <w:szCs w:val="24"/>
                <w:shd w:val="clear" w:color="auto" w:fill="FFFFFF"/>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7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kern w:val="0"/>
                <w:sz w:val="24"/>
                <w:szCs w:val="24"/>
                <w:shd w:val="clear" w:color="auto" w:fill="FFFFFF"/>
              </w:rPr>
            </w:pPr>
            <w:r>
              <w:rPr>
                <w:rFonts w:hint="eastAsia" w:ascii="宋体" w:hAnsi="宋体" w:cs="仿宋_GB2312"/>
                <w:kern w:val="0"/>
                <w:sz w:val="24"/>
                <w:szCs w:val="24"/>
                <w:shd w:val="clear" w:color="auto" w:fill="FFFFFF"/>
              </w:rPr>
              <w:t>技术部分（满分42分）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kern w:val="0"/>
                <w:sz w:val="24"/>
                <w:szCs w:val="24"/>
                <w:shd w:val="clear" w:color="auto" w:fill="FFFFFF"/>
              </w:rPr>
            </w:pPr>
            <w:r>
              <w:rPr>
                <w:rFonts w:hint="eastAsia" w:ascii="宋体" w:hAnsi="宋体" w:cs="仿宋_GB2312"/>
                <w:kern w:val="0"/>
                <w:sz w:val="24"/>
                <w:szCs w:val="24"/>
                <w:shd w:val="clear" w:color="auto" w:fill="FFFFFF"/>
              </w:rPr>
              <w:t>评分因素</w:t>
            </w:r>
          </w:p>
        </w:tc>
        <w:tc>
          <w:tcPr>
            <w:tcW w:w="6241" w:type="dxa"/>
            <w:tcBorders>
              <w:top w:val="single" w:color="auto" w:sz="4" w:space="0"/>
              <w:left w:val="nil"/>
              <w:bottom w:val="single" w:color="auto" w:sz="4" w:space="0"/>
              <w:right w:val="single" w:color="auto" w:sz="4" w:space="0"/>
            </w:tcBorders>
            <w:vAlign w:val="center"/>
          </w:tcPr>
          <w:p>
            <w:pPr>
              <w:jc w:val="center"/>
              <w:rPr>
                <w:rFonts w:ascii="宋体" w:hAnsi="宋体" w:eastAsia="宋体" w:cs="仿宋_GB2312"/>
                <w:kern w:val="0"/>
                <w:sz w:val="24"/>
                <w:szCs w:val="24"/>
                <w:shd w:val="clear" w:color="auto" w:fill="FFFFFF"/>
              </w:rPr>
            </w:pPr>
            <w:r>
              <w:rPr>
                <w:rFonts w:hint="eastAsia" w:ascii="宋体" w:hAnsi="宋体" w:cs="仿宋_GB2312"/>
                <w:kern w:val="0"/>
                <w:sz w:val="24"/>
                <w:szCs w:val="24"/>
                <w:shd w:val="clear" w:color="auto" w:fill="FFFFFF"/>
              </w:rPr>
              <w:t>评标标准</w:t>
            </w:r>
          </w:p>
        </w:tc>
        <w:tc>
          <w:tcPr>
            <w:tcW w:w="967" w:type="dxa"/>
            <w:tcBorders>
              <w:top w:val="single" w:color="auto" w:sz="4" w:space="0"/>
              <w:left w:val="nil"/>
              <w:bottom w:val="single" w:color="auto" w:sz="4" w:space="0"/>
              <w:right w:val="single" w:color="auto" w:sz="4" w:space="0"/>
            </w:tcBorders>
            <w:vAlign w:val="center"/>
          </w:tcPr>
          <w:p>
            <w:pPr>
              <w:jc w:val="center"/>
              <w:rPr>
                <w:rFonts w:ascii="宋体" w:hAnsi="宋体" w:eastAsia="宋体" w:cs="仿宋_GB2312"/>
                <w:kern w:val="0"/>
                <w:sz w:val="24"/>
                <w:szCs w:val="24"/>
                <w:shd w:val="clear" w:color="auto" w:fill="FFFFFF"/>
              </w:rPr>
            </w:pPr>
            <w:r>
              <w:rPr>
                <w:rFonts w:hint="eastAsia" w:ascii="宋体" w:hAnsi="宋体" w:cs="仿宋_GB2312"/>
                <w:kern w:val="0"/>
                <w:sz w:val="24"/>
                <w:szCs w:val="24"/>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仿宋_GB2312"/>
                <w:kern w:val="0"/>
                <w:sz w:val="24"/>
                <w:szCs w:val="24"/>
                <w:shd w:val="clear" w:color="auto" w:fill="FFFFFF"/>
              </w:rPr>
            </w:pPr>
            <w:r>
              <w:rPr>
                <w:rFonts w:hint="eastAsia" w:ascii="宋体" w:hAnsi="宋体" w:cs="仿宋_GB2312"/>
                <w:kern w:val="0"/>
                <w:sz w:val="24"/>
                <w:szCs w:val="24"/>
                <w:shd w:val="clear" w:color="auto" w:fill="FFFFFF"/>
              </w:rPr>
              <w:t>投标文件的规范程度</w:t>
            </w:r>
          </w:p>
          <w:p>
            <w:pPr>
              <w:jc w:val="center"/>
              <w:rPr>
                <w:rFonts w:ascii="宋体" w:hAnsi="宋体" w:eastAsia="宋体" w:cs="仿宋_GB2312"/>
                <w:kern w:val="0"/>
                <w:sz w:val="24"/>
                <w:szCs w:val="24"/>
                <w:shd w:val="clear" w:color="auto" w:fill="FFFFFF"/>
              </w:rPr>
            </w:pPr>
          </w:p>
        </w:tc>
        <w:tc>
          <w:tcPr>
            <w:tcW w:w="6241"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仿宋_GB2312"/>
                <w:kern w:val="0"/>
                <w:sz w:val="24"/>
                <w:szCs w:val="24"/>
                <w:shd w:val="clear" w:color="auto" w:fill="FFFFFF"/>
              </w:rPr>
            </w:pPr>
            <w:r>
              <w:rPr>
                <w:rFonts w:hint="eastAsia" w:ascii="宋体" w:hAnsi="宋体" w:cs="仿宋_GB2312"/>
                <w:kern w:val="0"/>
                <w:sz w:val="24"/>
                <w:szCs w:val="24"/>
                <w:shd w:val="clear" w:color="auto" w:fill="FFFFFF"/>
              </w:rPr>
              <w:t>1、投标文件的编制符合招标文件的规定，装订整齐规范的，得</w:t>
            </w:r>
            <w:r>
              <w:rPr>
                <w:rFonts w:hint="eastAsia" w:ascii="宋体" w:hAnsi="宋体" w:cs="仿宋_GB2312"/>
                <w:kern w:val="0"/>
                <w:sz w:val="24"/>
                <w:szCs w:val="24"/>
                <w:shd w:val="clear" w:color="auto" w:fill="FFFFFF"/>
                <w:lang w:val="en-US" w:eastAsia="zh-CN"/>
              </w:rPr>
              <w:t>1</w:t>
            </w:r>
            <w:r>
              <w:rPr>
                <w:rFonts w:hint="eastAsia" w:ascii="宋体" w:hAnsi="宋体" w:cs="仿宋_GB2312"/>
                <w:kern w:val="0"/>
                <w:sz w:val="24"/>
                <w:szCs w:val="24"/>
                <w:shd w:val="clear" w:color="auto" w:fill="FFFFFF"/>
              </w:rPr>
              <w:t>分，否则不得分。</w:t>
            </w:r>
          </w:p>
        </w:tc>
        <w:tc>
          <w:tcPr>
            <w:tcW w:w="967" w:type="dxa"/>
            <w:tcBorders>
              <w:top w:val="single" w:color="auto" w:sz="4" w:space="0"/>
              <w:left w:val="nil"/>
              <w:bottom w:val="single" w:color="auto" w:sz="4" w:space="0"/>
              <w:right w:val="single" w:color="auto" w:sz="4" w:space="0"/>
            </w:tcBorders>
            <w:vAlign w:val="center"/>
          </w:tcPr>
          <w:p>
            <w:pPr>
              <w:jc w:val="center"/>
              <w:rPr>
                <w:rFonts w:ascii="宋体" w:hAnsi="宋体" w:eastAsia="宋体" w:cs="仿宋_GB2312"/>
                <w:kern w:val="0"/>
                <w:sz w:val="24"/>
                <w:szCs w:val="24"/>
                <w:shd w:val="clear" w:color="auto" w:fill="FFFFFF"/>
              </w:rPr>
            </w:pPr>
            <w:r>
              <w:rPr>
                <w:rFonts w:hint="eastAsia" w:ascii="宋体" w:hAnsi="宋体" w:cs="仿宋_GB2312"/>
                <w:kern w:val="0"/>
                <w:sz w:val="24"/>
                <w:szCs w:val="24"/>
                <w:shd w:val="clear" w:color="auto" w:fill="FFFFFF"/>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仿宋_GB2312"/>
                <w:kern w:val="0"/>
                <w:sz w:val="24"/>
                <w:szCs w:val="24"/>
                <w:shd w:val="clear" w:color="auto" w:fill="FFFFFF"/>
              </w:rPr>
            </w:pPr>
          </w:p>
        </w:tc>
        <w:tc>
          <w:tcPr>
            <w:tcW w:w="6241" w:type="dxa"/>
            <w:tcBorders>
              <w:top w:val="single" w:color="auto" w:sz="4" w:space="0"/>
              <w:left w:val="nil"/>
              <w:bottom w:val="single" w:color="auto" w:sz="4" w:space="0"/>
              <w:right w:val="single" w:color="auto" w:sz="4" w:space="0"/>
            </w:tcBorders>
            <w:vAlign w:val="center"/>
          </w:tcPr>
          <w:p>
            <w:pPr>
              <w:spacing w:line="360" w:lineRule="exact"/>
              <w:rPr>
                <w:rFonts w:ascii="宋体" w:hAnsi="宋体" w:eastAsia="宋体" w:cs="仿宋_GB2312"/>
                <w:kern w:val="0"/>
                <w:sz w:val="24"/>
                <w:szCs w:val="24"/>
                <w:shd w:val="clear" w:color="auto" w:fill="FFFFFF"/>
              </w:rPr>
            </w:pPr>
            <w:r>
              <w:rPr>
                <w:rFonts w:hint="eastAsia" w:ascii="宋体" w:hAnsi="宋体" w:cs="仿宋_GB2312"/>
                <w:kern w:val="0"/>
                <w:sz w:val="24"/>
                <w:szCs w:val="24"/>
                <w:shd w:val="clear" w:color="auto" w:fill="FFFFFF"/>
              </w:rPr>
              <w:t>2、投标人编制投标文件逻辑严紧、描述规范、无文字错误的，得</w:t>
            </w:r>
            <w:r>
              <w:rPr>
                <w:rFonts w:hint="eastAsia" w:ascii="宋体" w:hAnsi="宋体" w:cs="仿宋_GB2312"/>
                <w:kern w:val="0"/>
                <w:sz w:val="24"/>
                <w:szCs w:val="24"/>
                <w:shd w:val="clear" w:color="auto" w:fill="FFFFFF"/>
                <w:lang w:val="en-US" w:eastAsia="zh-CN"/>
              </w:rPr>
              <w:t>1</w:t>
            </w:r>
            <w:r>
              <w:rPr>
                <w:rFonts w:hint="eastAsia" w:ascii="宋体" w:hAnsi="宋体" w:cs="仿宋_GB2312"/>
                <w:kern w:val="0"/>
                <w:sz w:val="24"/>
                <w:szCs w:val="24"/>
                <w:shd w:val="clear" w:color="auto" w:fill="FFFFFF"/>
              </w:rPr>
              <w:t>分，否则不得分。</w:t>
            </w:r>
          </w:p>
        </w:tc>
        <w:tc>
          <w:tcPr>
            <w:tcW w:w="967" w:type="dxa"/>
            <w:tcBorders>
              <w:top w:val="single" w:color="auto" w:sz="4" w:space="0"/>
              <w:left w:val="nil"/>
              <w:bottom w:val="single" w:color="auto" w:sz="4" w:space="0"/>
              <w:right w:val="single" w:color="auto" w:sz="4" w:space="0"/>
            </w:tcBorders>
            <w:vAlign w:val="center"/>
          </w:tcPr>
          <w:p>
            <w:pPr>
              <w:jc w:val="center"/>
              <w:rPr>
                <w:rFonts w:ascii="宋体" w:hAnsi="宋体" w:eastAsia="宋体" w:cs="仿宋_GB2312"/>
                <w:kern w:val="0"/>
                <w:sz w:val="24"/>
                <w:szCs w:val="24"/>
                <w:shd w:val="clear" w:color="auto" w:fill="FFFFFF"/>
              </w:rPr>
            </w:pPr>
            <w:r>
              <w:rPr>
                <w:rFonts w:hint="eastAsia" w:ascii="宋体" w:hAnsi="宋体" w:cs="仿宋_GB2312"/>
                <w:kern w:val="0"/>
                <w:sz w:val="24"/>
                <w:szCs w:val="24"/>
                <w:shd w:val="clear" w:color="auto" w:fill="FFFFFF"/>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762" w:type="dxa"/>
            <w:vMerge w:val="restart"/>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仿宋_GB2312"/>
                <w:kern w:val="0"/>
                <w:sz w:val="24"/>
                <w:szCs w:val="24"/>
                <w:shd w:val="clear" w:color="auto" w:fill="FFFFFF"/>
              </w:rPr>
            </w:pPr>
            <w:r>
              <w:rPr>
                <w:rFonts w:hint="eastAsia" w:ascii="宋体" w:hAnsi="宋体" w:cs="仿宋_GB2312"/>
                <w:kern w:val="0"/>
                <w:sz w:val="24"/>
                <w:szCs w:val="24"/>
                <w:shd w:val="clear" w:color="auto" w:fill="FFFFFF"/>
              </w:rPr>
              <w:t>对招标文件的响应程度</w:t>
            </w:r>
          </w:p>
          <w:p>
            <w:pPr>
              <w:spacing w:line="360" w:lineRule="exact"/>
              <w:jc w:val="center"/>
              <w:rPr>
                <w:rFonts w:ascii="宋体" w:hAnsi="宋体" w:eastAsia="宋体" w:cs="仿宋_GB2312"/>
                <w:kern w:val="0"/>
                <w:sz w:val="24"/>
                <w:szCs w:val="24"/>
                <w:shd w:val="clear" w:color="auto" w:fill="FFFFFF"/>
              </w:rPr>
            </w:pPr>
          </w:p>
        </w:tc>
        <w:tc>
          <w:tcPr>
            <w:tcW w:w="7208"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仿宋_GB2312"/>
                <w:kern w:val="0"/>
                <w:sz w:val="24"/>
                <w:szCs w:val="24"/>
                <w:shd w:val="clear" w:color="auto" w:fill="FFFFFF"/>
              </w:rPr>
            </w:pPr>
            <w:r>
              <w:rPr>
                <w:rFonts w:hint="eastAsia" w:ascii="宋体" w:hAnsi="宋体" w:cs="仿宋_GB2312"/>
                <w:kern w:val="0"/>
                <w:sz w:val="24"/>
                <w:szCs w:val="24"/>
                <w:shd w:val="clear" w:color="auto" w:fill="FFFFFF"/>
              </w:rPr>
              <w:t>不满足招标文件技术指标要求和商务条款规定的为无效投标。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仿宋_GB2312"/>
                <w:kern w:val="0"/>
                <w:sz w:val="24"/>
                <w:szCs w:val="24"/>
                <w:shd w:val="clear" w:color="auto" w:fill="FFFFFF"/>
              </w:rPr>
            </w:pPr>
          </w:p>
        </w:tc>
        <w:tc>
          <w:tcPr>
            <w:tcW w:w="6241" w:type="dxa"/>
            <w:tcBorders>
              <w:top w:val="single" w:color="auto" w:sz="4" w:space="0"/>
              <w:left w:val="nil"/>
              <w:bottom w:val="single" w:color="auto" w:sz="4" w:space="0"/>
              <w:right w:val="single" w:color="auto" w:sz="4" w:space="0"/>
            </w:tcBorders>
            <w:vAlign w:val="center"/>
          </w:tcPr>
          <w:p>
            <w:pPr>
              <w:spacing w:line="360" w:lineRule="auto"/>
              <w:rPr>
                <w:rFonts w:ascii="宋体" w:hAnsi="宋体" w:eastAsia="宋体" w:cs="仿宋_GB2312"/>
                <w:kern w:val="0"/>
                <w:sz w:val="24"/>
                <w:szCs w:val="24"/>
                <w:shd w:val="clear" w:color="auto" w:fill="FFFFFF"/>
              </w:rPr>
            </w:pPr>
            <w:r>
              <w:rPr>
                <w:rFonts w:hint="eastAsia" w:ascii="宋体" w:hAnsi="宋体" w:cs="仿宋_GB2312"/>
                <w:kern w:val="0"/>
                <w:sz w:val="24"/>
                <w:szCs w:val="24"/>
                <w:shd w:val="clear" w:color="auto" w:fill="FFFFFF"/>
              </w:rPr>
              <w:t>根据投标人对所投产品配置的成熟性、稳定性、可维修性及产品性能与配置等情况，根据情况在15分至40分范围内进行打分</w:t>
            </w:r>
            <w:r>
              <w:rPr>
                <w:rFonts w:hint="eastAsia" w:ascii="宋体" w:hAnsi="宋体" w:cs="仿宋_GB2312"/>
                <w:kern w:val="0"/>
                <w:sz w:val="24"/>
                <w:szCs w:val="24"/>
                <w:highlight w:val="none"/>
                <w:shd w:val="clear" w:color="auto" w:fill="FFFFFF"/>
              </w:rPr>
              <w:t>（以投标人提供产品检测报告为准）</w:t>
            </w:r>
            <w:r>
              <w:rPr>
                <w:rFonts w:hint="eastAsia" w:ascii="宋体" w:hAnsi="宋体" w:cs="仿宋_GB2312"/>
                <w:kern w:val="0"/>
                <w:sz w:val="24"/>
                <w:szCs w:val="24"/>
                <w:shd w:val="clear" w:color="auto" w:fill="FFFFFF"/>
              </w:rPr>
              <w:t>。</w:t>
            </w:r>
          </w:p>
        </w:tc>
        <w:tc>
          <w:tcPr>
            <w:tcW w:w="967" w:type="dxa"/>
            <w:tcBorders>
              <w:top w:val="single" w:color="auto" w:sz="4" w:space="0"/>
              <w:left w:val="nil"/>
              <w:bottom w:val="single" w:color="auto" w:sz="4" w:space="0"/>
              <w:right w:val="single" w:color="auto" w:sz="4" w:space="0"/>
            </w:tcBorders>
            <w:vAlign w:val="center"/>
          </w:tcPr>
          <w:p>
            <w:pPr>
              <w:jc w:val="center"/>
              <w:rPr>
                <w:rFonts w:ascii="宋体" w:hAnsi="宋体" w:eastAsia="宋体" w:cs="仿宋_GB2312"/>
                <w:kern w:val="0"/>
                <w:sz w:val="24"/>
                <w:szCs w:val="24"/>
                <w:shd w:val="clear" w:color="auto" w:fill="FFFFFF"/>
              </w:rPr>
            </w:pPr>
            <w:r>
              <w:rPr>
                <w:rFonts w:hint="eastAsia" w:ascii="宋体" w:hAnsi="宋体" w:cs="仿宋_GB2312"/>
                <w:kern w:val="0"/>
                <w:sz w:val="24"/>
                <w:szCs w:val="24"/>
                <w:shd w:val="clear" w:color="auto" w:fill="FFFFFF"/>
              </w:rPr>
              <w:t>40分</w:t>
            </w:r>
          </w:p>
        </w:tc>
      </w:tr>
    </w:tbl>
    <w:p>
      <w:pPr>
        <w:spacing w:line="360" w:lineRule="auto"/>
        <w:ind w:firstLine="482" w:firstLineChars="200"/>
        <w:rPr>
          <w:rFonts w:cs="仿宋_GB2312" w:asciiTheme="minorEastAsia" w:hAnsiTheme="minorEastAsia"/>
          <w:b/>
          <w:sz w:val="24"/>
          <w:szCs w:val="24"/>
          <w:lang w:val="zh-CN"/>
        </w:rPr>
      </w:pPr>
    </w:p>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0"/>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sz w:val="24"/>
          <w:szCs w:val="24"/>
          <w:lang w:val="en-GB"/>
        </w:rPr>
      </w:pPr>
      <w:r>
        <w:rPr>
          <w:rFonts w:hint="eastAsia" w:ascii="宋体" w:hAnsi="宋体"/>
          <w:bCs/>
          <w:sz w:val="24"/>
          <w:szCs w:val="24"/>
          <w:lang w:val="en-GB"/>
        </w:rPr>
        <w:t>备注：</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a、不接受联合体投标的项目，本表中第2项、第3项情形不适用。</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b、小型和微型企业产品包括货物及其提供的服务与工程。</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d、残疾人福利性单位属于小型、微型企业的，不重复享受政策。</w:t>
      </w:r>
    </w:p>
    <w:p>
      <w:pPr>
        <w:pStyle w:val="12"/>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确定中标候选人名单，以及根据采购人委托直接确定中标人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2"/>
        <w:spacing w:line="360" w:lineRule="auto"/>
        <w:contextualSpacing/>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br w:type="page"/>
      </w:r>
    </w:p>
    <w:p>
      <w:pPr>
        <w:pStyle w:val="12"/>
        <w:spacing w:line="360" w:lineRule="auto"/>
        <w:contextualSpacing/>
        <w:jc w:val="center"/>
        <w:rPr>
          <w:rFonts w:ascii="宋体" w:hAnsi="宋体" w:cs="宋体"/>
          <w:b/>
          <w:kern w:val="0"/>
          <w:sz w:val="36"/>
          <w:szCs w:val="36"/>
        </w:rPr>
      </w:pPr>
      <w:r>
        <w:rPr>
          <w:rFonts w:hint="eastAsia" w:cs="宋体" w:asciiTheme="majorEastAsia" w:hAnsiTheme="majorEastAsia" w:eastAsiaTheme="majorEastAsia"/>
          <w:b/>
          <w:kern w:val="0"/>
          <w:sz w:val="36"/>
          <w:szCs w:val="36"/>
        </w:rPr>
        <w:t>第七章合同条款及格式</w:t>
      </w:r>
      <w:r>
        <w:rPr>
          <w:rFonts w:hint="eastAsia" w:cs="宋体" w:asciiTheme="majorEastAsia" w:hAnsiTheme="majorEastAsia" w:eastAsiaTheme="majorEastAsia"/>
          <w:b/>
          <w:kern w:val="0"/>
          <w:sz w:val="36"/>
          <w:szCs w:val="36"/>
        </w:rPr>
        <w:br w:type="textWrapping"/>
      </w:r>
      <w:r>
        <w:rPr>
          <w:rFonts w:hint="eastAsia" w:ascii="宋体" w:hAnsi="宋体" w:cs="宋体"/>
          <w:b/>
          <w:kern w:val="0"/>
          <w:sz w:val="36"/>
          <w:szCs w:val="36"/>
        </w:rPr>
        <w:t>（一）合同一般条款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r>
        <w:rPr>
          <w:rFonts w:hint="eastAsia" w:ascii="宋体" w:hAnsi="宋体" w:eastAsia="宋体" w:cs="宋体"/>
          <w:b/>
          <w:kern w:val="0"/>
          <w:sz w:val="36"/>
          <w:szCs w:val="36"/>
          <w:lang w:val="zh-CN"/>
        </w:rPr>
        <w:t>（二）合同特殊条款</w:t>
      </w:r>
    </w:p>
    <w:p>
      <w:pPr>
        <w:wordWrap w:val="0"/>
        <w:topLinePunct/>
        <w:autoSpaceDE w:val="0"/>
        <w:autoSpaceDN w:val="0"/>
        <w:adjustRightInd w:val="0"/>
        <w:snapToGrid w:val="0"/>
        <w:spacing w:line="360" w:lineRule="auto"/>
        <w:jc w:val="center"/>
        <w:rPr>
          <w:rFonts w:ascii="宋体" w:cs="宋体"/>
          <w:b/>
          <w:bCs/>
          <w:sz w:val="30"/>
          <w:szCs w:val="30"/>
          <w:lang w:val="zh-CN"/>
        </w:rPr>
      </w:pP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合同特殊条款是合同一般条款的补充和修改。如果两者之间有抵触，应以特殊条款为准。</w:t>
      </w:r>
    </w:p>
    <w:p>
      <w:pPr>
        <w:pStyle w:val="12"/>
        <w:spacing w:line="360" w:lineRule="auto"/>
        <w:contextualSpacing/>
        <w:rPr>
          <w:rFonts w:ascii="宋体" w:hAnsi="宋体" w:cs="宋体"/>
          <w:b/>
          <w:kern w:val="0"/>
          <w:sz w:val="36"/>
          <w:szCs w:val="36"/>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r>
        <w:rPr>
          <w:rFonts w:hint="eastAsia" w:ascii="宋体" w:hAnsi="宋体" w:eastAsia="宋体" w:cs="宋体"/>
          <w:b/>
          <w:kern w:val="0"/>
          <w:sz w:val="36"/>
          <w:szCs w:val="36"/>
          <w:lang w:val="zh-CN"/>
        </w:rPr>
        <w:t>合同书 （参考样本）</w:t>
      </w:r>
    </w:p>
    <w:p>
      <w:pPr>
        <w:wordWrap w:val="0"/>
        <w:topLinePunct/>
        <w:autoSpaceDE w:val="0"/>
        <w:autoSpaceDN w:val="0"/>
        <w:adjustRightInd w:val="0"/>
        <w:snapToGrid w:val="0"/>
        <w:spacing w:line="360" w:lineRule="auto"/>
        <w:rPr>
          <w:rFonts w:ascii="宋体" w:hAnsi="宋体"/>
          <w:sz w:val="24"/>
          <w:szCs w:val="24"/>
        </w:rPr>
      </w:pPr>
      <w:r>
        <w:rPr>
          <w:rFonts w:hint="eastAsia" w:ascii="宋体" w:hAnsi="宋体"/>
          <w:sz w:val="24"/>
          <w:szCs w:val="24"/>
        </w:rPr>
        <w:t>合同编号：</w:t>
      </w:r>
    </w:p>
    <w:p>
      <w:pPr>
        <w:wordWrap w:val="0"/>
        <w:topLinePunct/>
        <w:autoSpaceDE w:val="0"/>
        <w:autoSpaceDN w:val="0"/>
        <w:adjustRightInd w:val="0"/>
        <w:snapToGrid w:val="0"/>
        <w:spacing w:line="360" w:lineRule="auto"/>
        <w:rPr>
          <w:rFonts w:ascii="宋体" w:hAnsi="宋体"/>
          <w:sz w:val="24"/>
          <w:szCs w:val="24"/>
        </w:rPr>
      </w:pPr>
      <w:r>
        <w:rPr>
          <w:rFonts w:hint="eastAsia" w:ascii="宋体" w:hAnsi="宋体"/>
          <w:sz w:val="24"/>
          <w:szCs w:val="24"/>
        </w:rPr>
        <w:t>供方：</w:t>
      </w:r>
      <w:r>
        <w:rPr>
          <w:rFonts w:ascii="宋体" w:hAnsi="宋体"/>
          <w:sz w:val="24"/>
          <w:szCs w:val="24"/>
        </w:rPr>
        <w:t xml:space="preserve">                                  </w:t>
      </w:r>
      <w:r>
        <w:rPr>
          <w:rFonts w:hint="eastAsia" w:ascii="宋体" w:hAnsi="宋体"/>
          <w:sz w:val="24"/>
          <w:szCs w:val="24"/>
        </w:rPr>
        <w:t>需方：</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供、需双方根据</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日招标人签发的中标通知书和招投标文件，并经双方协商一致，在平等互利的基础上，达成以下合同条款：</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一、招标文件、投标文件、澄清文件及材料（如果有的话）、中标通知书、合同条款、补充协议（如果有的话）均为合同不可分割的部分。</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二、货物名称、数量、规格、型号、金额及交货期</w:t>
      </w:r>
    </w:p>
    <w:tbl>
      <w:tblPr>
        <w:tblStyle w:val="20"/>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名称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单位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数量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单价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sz w:val="24"/>
              </w:rPr>
            </w:pPr>
            <w:r>
              <w:rPr>
                <w:rFonts w:hint="eastAsia" w:ascii="宋体" w:cs="宋体"/>
                <w:sz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sz w:val="24"/>
              </w:rPr>
            </w:pPr>
            <w:r>
              <w:rPr>
                <w:rFonts w:hint="eastAsia" w:ascii="宋体" w:cs="宋体"/>
                <w:sz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合计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sz w:val="24"/>
                <w:lang w:val="zh-CN"/>
              </w:rPr>
            </w:pPr>
            <w:r>
              <w:rPr>
                <w:rFonts w:hint="eastAsia" w:ascii="宋体" w:cs="宋体"/>
                <w:sz w:val="24"/>
                <w:lang w:val="zh-CN"/>
              </w:rPr>
              <w:t>大写：　　　　　　小写：</w:t>
            </w:r>
          </w:p>
        </w:tc>
      </w:tr>
    </w:tbl>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三、设备质量要求及供方对质量负责的条件和期限</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hint="eastAsia" w:ascii="宋体" w:hAnsi="宋体"/>
          <w:sz w:val="24"/>
          <w:szCs w:val="24"/>
        </w:rPr>
        <w:t>、供方提供的货物须是全新的且保证不是库存或积压品</w:t>
      </w:r>
      <w:r>
        <w:rPr>
          <w:rFonts w:ascii="宋体" w:hAnsi="宋体"/>
          <w:sz w:val="24"/>
          <w:szCs w:val="24"/>
        </w:rPr>
        <w:t>(</w:t>
      </w:r>
      <w:r>
        <w:rPr>
          <w:rFonts w:hint="eastAsia" w:ascii="宋体" w:hAnsi="宋体"/>
          <w:sz w:val="24"/>
          <w:szCs w:val="24"/>
        </w:rPr>
        <w:t>包括零部件</w:t>
      </w:r>
      <w:r>
        <w:rPr>
          <w:rFonts w:ascii="宋体" w:hAnsi="宋体"/>
          <w:sz w:val="24"/>
          <w:szCs w:val="24"/>
        </w:rPr>
        <w:t>)</w:t>
      </w:r>
      <w:r>
        <w:rPr>
          <w:rFonts w:hint="eastAsia" w:ascii="宋体" w:hAnsi="宋体"/>
          <w:sz w:val="24"/>
          <w:szCs w:val="24"/>
        </w:rPr>
        <w:t>，符合国家、部委或地方相关标准以及该产品的出厂标准。</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hint="eastAsia" w:ascii="宋体" w:hAnsi="宋体"/>
          <w:sz w:val="24"/>
          <w:szCs w:val="24"/>
        </w:rPr>
        <w:t>、供方应在产品使用期限内，承担所提供的货物因自身质量原因产生的责任。</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四、交货时间、地点、方式：</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日前，供方负责将货物按需方规定的地点交货、安装、调试完毕，并具备验收条件。</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五、货物标志、包装、运输：按招标文件办理。供方将货物直接运至规定的地点，运费自理。</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六、技术资料及技术服务：供方在交货时应执行招标文件中有关技术资料、技术服务的规定，向需方交付技术资料并进行技术培训。</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七、货物验收：验收标准按招标文件规定执行。需方有权对供方所交货物抽样做试运行实验、实验室检查。</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八、售后服务：按招标文件及投标文件相应条款执行。</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九、结算方式：设</w:t>
      </w:r>
      <w:r>
        <w:rPr>
          <w:rFonts w:hint="eastAsia" w:ascii="宋体" w:hAnsi="宋体"/>
          <w:color w:val="000000"/>
          <w:sz w:val="24"/>
          <w:szCs w:val="24"/>
        </w:rPr>
        <w:t>设备安装完成</w:t>
      </w:r>
      <w:r>
        <w:rPr>
          <w:rFonts w:hint="eastAsia" w:ascii="宋体" w:hAnsi="宋体"/>
          <w:sz w:val="24"/>
          <w:szCs w:val="24"/>
        </w:rPr>
        <w:t>经验收合格后付总价的</w:t>
      </w:r>
      <w:r>
        <w:rPr>
          <w:rFonts w:ascii="宋体" w:hAnsi="宋体"/>
          <w:sz w:val="24"/>
          <w:szCs w:val="24"/>
        </w:rPr>
        <w:t xml:space="preserve">   %</w:t>
      </w:r>
      <w:r>
        <w:rPr>
          <w:rFonts w:hint="eastAsia" w:ascii="宋体" w:hAnsi="宋体"/>
          <w:sz w:val="24"/>
          <w:szCs w:val="24"/>
        </w:rPr>
        <w:t>，剩余</w:t>
      </w:r>
      <w:r>
        <w:rPr>
          <w:rFonts w:ascii="宋体" w:hAnsi="宋体"/>
          <w:sz w:val="24"/>
          <w:szCs w:val="24"/>
        </w:rPr>
        <w:t xml:space="preserve">    %</w:t>
      </w:r>
      <w:r>
        <w:rPr>
          <w:rFonts w:hint="eastAsia" w:ascii="宋体" w:hAnsi="宋体"/>
          <w:sz w:val="24"/>
          <w:szCs w:val="24"/>
        </w:rPr>
        <w:t>满一年无质量问题一次付清。</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十、法律责任</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hint="eastAsia" w:ascii="宋体" w:hAnsi="宋体"/>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2</w:t>
      </w:r>
      <w:r>
        <w:rPr>
          <w:rFonts w:hint="eastAsia" w:ascii="宋体" w:hAnsi="宋体"/>
          <w:sz w:val="24"/>
          <w:szCs w:val="24"/>
        </w:rPr>
        <w:t>、供方逾期交付货物，应向需方每日支付逾期交货部分货款总值</w:t>
      </w:r>
      <w:r>
        <w:rPr>
          <w:rFonts w:ascii="宋体" w:hAnsi="宋体"/>
          <w:sz w:val="24"/>
          <w:szCs w:val="24"/>
        </w:rPr>
        <w:t>5%</w:t>
      </w:r>
      <w:r>
        <w:rPr>
          <w:rFonts w:hint="eastAsia" w:ascii="宋体" w:hAnsi="宋体"/>
          <w:sz w:val="24"/>
          <w:szCs w:val="24"/>
        </w:rPr>
        <w:t>的违约金；在合同规定的交货期满</w:t>
      </w:r>
      <w:r>
        <w:rPr>
          <w:rFonts w:ascii="宋体" w:hAnsi="宋体"/>
          <w:sz w:val="24"/>
          <w:szCs w:val="24"/>
        </w:rPr>
        <w:t>15</w:t>
      </w:r>
      <w:r>
        <w:rPr>
          <w:rFonts w:hint="eastAsia" w:ascii="宋体" w:hAnsi="宋体"/>
          <w:sz w:val="24"/>
          <w:szCs w:val="24"/>
        </w:rPr>
        <w:t>日仍未全部交货，按不能交货处理。仅支付已验收货物的货款，供方应承担由此发生的全部费用。</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3</w:t>
      </w:r>
      <w:r>
        <w:rPr>
          <w:rFonts w:hint="eastAsia" w:ascii="宋体" w:hAnsi="宋体"/>
          <w:sz w:val="24"/>
          <w:szCs w:val="24"/>
        </w:rPr>
        <w:t>、供方在本合同规定的交货期内不能交货，应向需方支付全部合同金额</w:t>
      </w:r>
      <w:r>
        <w:rPr>
          <w:rFonts w:ascii="宋体" w:hAnsi="宋体"/>
          <w:sz w:val="24"/>
          <w:szCs w:val="24"/>
        </w:rPr>
        <w:t>5%</w:t>
      </w:r>
      <w:r>
        <w:rPr>
          <w:rFonts w:hint="eastAsia" w:ascii="宋体" w:hAnsi="宋体"/>
          <w:sz w:val="24"/>
          <w:szCs w:val="24"/>
        </w:rPr>
        <w:t>的违约金，需方有权终止合同。</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4</w:t>
      </w:r>
      <w:r>
        <w:rPr>
          <w:rFonts w:hint="eastAsia" w:ascii="宋体" w:hAnsi="宋体"/>
          <w:sz w:val="24"/>
          <w:szCs w:val="24"/>
        </w:rPr>
        <w:t>、需方无正当理由拒收设备，应向供方支付无正当理由拒收设备金额</w:t>
      </w:r>
      <w:r>
        <w:rPr>
          <w:rFonts w:ascii="宋体" w:hAnsi="宋体"/>
          <w:sz w:val="24"/>
          <w:szCs w:val="24"/>
        </w:rPr>
        <w:t>5%</w:t>
      </w:r>
      <w:r>
        <w:rPr>
          <w:rFonts w:hint="eastAsia" w:ascii="宋体" w:hAnsi="宋体"/>
          <w:sz w:val="24"/>
          <w:szCs w:val="24"/>
        </w:rPr>
        <w:t>的违约金。</w:t>
      </w:r>
      <w:r>
        <w:rPr>
          <w:rFonts w:ascii="宋体" w:hAnsi="宋体"/>
          <w:sz w:val="24"/>
          <w:szCs w:val="24"/>
        </w:rPr>
        <w:t xml:space="preserve"> </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5</w:t>
      </w:r>
      <w:r>
        <w:rPr>
          <w:rFonts w:hint="eastAsia" w:ascii="宋体" w:hAnsi="宋体"/>
          <w:sz w:val="24"/>
          <w:szCs w:val="24"/>
        </w:rPr>
        <w:t>、因供方原因造成逾期付款，需方不承担责任。</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十一、质量鉴定：因质量问题发生争议，由许昌市技术监督局或其指定的机构进行质量鉴定，该鉴定结论是终局的，供需双方均应当接受鉴定结论。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十二、合同生效及其它：本合同经双方法定代表人或委托代理人签字并加盖公章后生效。本合同一式　份，供需双方各一份、相关部门　份。</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供方：</w:t>
      </w:r>
      <w:r>
        <w:rPr>
          <w:rFonts w:ascii="宋体" w:hAnsi="宋体"/>
          <w:sz w:val="24"/>
          <w:szCs w:val="24"/>
        </w:rPr>
        <w:t xml:space="preserve">                              </w:t>
      </w:r>
      <w:r>
        <w:rPr>
          <w:rFonts w:hint="eastAsia" w:ascii="宋体" w:hAnsi="宋体"/>
          <w:sz w:val="24"/>
          <w:szCs w:val="24"/>
        </w:rPr>
        <w:t>需方：</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地址：</w:t>
      </w:r>
      <w:r>
        <w:rPr>
          <w:rFonts w:ascii="宋体" w:hAnsi="宋体"/>
          <w:sz w:val="24"/>
          <w:szCs w:val="24"/>
        </w:rPr>
        <w:t xml:space="preserve">                              </w:t>
      </w:r>
      <w:r>
        <w:rPr>
          <w:rFonts w:hint="eastAsia" w:ascii="宋体" w:hAnsi="宋体"/>
          <w:sz w:val="24"/>
          <w:szCs w:val="24"/>
        </w:rPr>
        <w:t>地址：</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法定代表人：</w:t>
      </w:r>
      <w:r>
        <w:rPr>
          <w:rFonts w:ascii="宋体" w:hAnsi="宋体"/>
          <w:sz w:val="24"/>
          <w:szCs w:val="24"/>
        </w:rPr>
        <w:t xml:space="preserve">                        </w:t>
      </w:r>
      <w:r>
        <w:rPr>
          <w:rFonts w:hint="eastAsia" w:ascii="宋体" w:hAnsi="宋体"/>
          <w:sz w:val="24"/>
          <w:szCs w:val="24"/>
        </w:rPr>
        <w:t>法定代表人：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委托代理人：</w:t>
      </w:r>
      <w:r>
        <w:rPr>
          <w:rFonts w:ascii="宋体" w:hAnsi="宋体"/>
          <w:sz w:val="24"/>
          <w:szCs w:val="24"/>
        </w:rPr>
        <w:t xml:space="preserve">                        </w:t>
      </w:r>
      <w:r>
        <w:rPr>
          <w:rFonts w:hint="eastAsia" w:ascii="宋体" w:hAnsi="宋体"/>
          <w:sz w:val="24"/>
          <w:szCs w:val="24"/>
        </w:rPr>
        <w:t>委托代理人：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电话：</w:t>
      </w:r>
      <w:r>
        <w:rPr>
          <w:rFonts w:ascii="宋体" w:hAnsi="宋体"/>
          <w:sz w:val="24"/>
          <w:szCs w:val="24"/>
        </w:rPr>
        <w:t xml:space="preserve">                              </w:t>
      </w:r>
      <w:r>
        <w:rPr>
          <w:rFonts w:hint="eastAsia" w:ascii="宋体" w:hAnsi="宋体"/>
          <w:sz w:val="24"/>
          <w:szCs w:val="24"/>
        </w:rPr>
        <w:t>电话：</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开户银行：</w:t>
      </w:r>
      <w:r>
        <w:rPr>
          <w:rFonts w:ascii="宋体" w:hAnsi="宋体"/>
          <w:sz w:val="24"/>
          <w:szCs w:val="24"/>
        </w:rPr>
        <w:t xml:space="preserve">                          </w:t>
      </w:r>
      <w:r>
        <w:rPr>
          <w:rFonts w:hint="eastAsia" w:ascii="宋体" w:hAnsi="宋体"/>
          <w:sz w:val="24"/>
          <w:szCs w:val="24"/>
        </w:rPr>
        <w:t>开户银行：</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帐号：</w:t>
      </w:r>
      <w:r>
        <w:rPr>
          <w:rFonts w:ascii="宋体" w:hAnsi="宋体"/>
          <w:sz w:val="24"/>
          <w:szCs w:val="24"/>
        </w:rPr>
        <w:t xml:space="preserve">                              </w:t>
      </w:r>
      <w:r>
        <w:rPr>
          <w:rFonts w:hint="eastAsia" w:ascii="宋体" w:hAnsi="宋体"/>
          <w:sz w:val="24"/>
          <w:szCs w:val="24"/>
        </w:rPr>
        <w:t>帐号：</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税务登记证号：</w:t>
      </w:r>
      <w:r>
        <w:rPr>
          <w:rFonts w:ascii="宋体" w:hAnsi="宋体"/>
          <w:sz w:val="24"/>
          <w:szCs w:val="24"/>
        </w:rPr>
        <w:t xml:space="preserve">                      </w:t>
      </w:r>
      <w:r>
        <w:rPr>
          <w:rFonts w:hint="eastAsia" w:ascii="宋体" w:hAnsi="宋体"/>
          <w:sz w:val="24"/>
          <w:szCs w:val="24"/>
        </w:rPr>
        <w:t>签定时间：</w:t>
      </w:r>
    </w:p>
    <w:p>
      <w:pPr>
        <w:pStyle w:val="12"/>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r>
        <w:rPr>
          <w:rFonts w:hint="eastAsia" w:cs="宋体" w:asciiTheme="majorEastAsia" w:hAnsiTheme="majorEastAsia" w:eastAsiaTheme="majorEastAsia"/>
          <w:b/>
          <w:kern w:val="0"/>
          <w:sz w:val="36"/>
          <w:szCs w:val="36"/>
        </w:rPr>
        <w:br w:type="textWrapping"/>
      </w:r>
    </w:p>
    <w:p>
      <w:pPr>
        <w:jc w:val="left"/>
        <w:rPr>
          <w:rStyle w:val="27"/>
          <w:rFonts w:ascii="宋体" w:hAnsi="宋体" w:eastAsia="宋体"/>
        </w:rPr>
      </w:pPr>
      <w:bookmarkStart w:id="4" w:name="_Toc184023138"/>
      <w:bookmarkStart w:id="5" w:name="_Toc186274126"/>
      <w:bookmarkStart w:id="6" w:name="_Toc174185203"/>
      <w:r>
        <w:rPr>
          <w:rStyle w:val="27"/>
          <w:rFonts w:hint="eastAsia" w:ascii="宋体" w:hAnsi="宋体" w:eastAsia="宋体"/>
        </w:rPr>
        <w:t>投标文件封皮格式</w:t>
      </w:r>
      <w:bookmarkStart w:id="7" w:name="_Toc16238"/>
      <w:bookmarkStart w:id="8" w:name="_Toc12595"/>
      <w:bookmarkStart w:id="9" w:name="_Toc14398"/>
      <w:bookmarkStart w:id="10" w:name="_Toc5131"/>
    </w:p>
    <w:p>
      <w:pPr>
        <w:pStyle w:val="19"/>
        <w:ind w:firstLine="340"/>
      </w:pPr>
    </w:p>
    <w:p>
      <w:pPr>
        <w:jc w:val="right"/>
        <w:rPr>
          <w:rStyle w:val="27"/>
          <w:rFonts w:ascii="宋体" w:hAnsi="宋体" w:eastAsia="宋体"/>
        </w:rPr>
      </w:pPr>
      <w:r>
        <w:rPr>
          <w:rStyle w:val="27"/>
          <w:rFonts w:hint="eastAsia" w:ascii="宋体" w:hAnsi="宋体" w:eastAsia="宋体"/>
        </w:rPr>
        <w:t>正本/副本</w:t>
      </w:r>
    </w:p>
    <w:bookmarkEnd w:id="7"/>
    <w:bookmarkEnd w:id="8"/>
    <w:bookmarkEnd w:id="9"/>
    <w:bookmarkEnd w:id="10"/>
    <w:p>
      <w:pPr>
        <w:jc w:val="left"/>
        <w:rPr>
          <w:rStyle w:val="27"/>
          <w:rFonts w:ascii="宋体" w:hAnsi="宋体" w:eastAsia="宋体"/>
        </w:rPr>
      </w:pPr>
    </w:p>
    <w:p>
      <w:pPr>
        <w:rPr>
          <w:rFonts w:ascii="宋体" w:hAnsi="宋体" w:eastAsia="宋体" w:cs="微软雅黑"/>
          <w:sz w:val="28"/>
          <w:szCs w:val="28"/>
          <w:u w:val="single"/>
        </w:rPr>
      </w:pPr>
    </w:p>
    <w:p>
      <w:pPr>
        <w:spacing w:line="276" w:lineRule="auto"/>
        <w:jc w:val="center"/>
        <w:rPr>
          <w:rFonts w:ascii="宋体" w:hAnsi="宋体" w:eastAsia="宋体" w:cs="宋体"/>
          <w:b/>
          <w:bCs/>
          <w:sz w:val="40"/>
          <w:szCs w:val="40"/>
          <w:u w:val="single"/>
        </w:rPr>
      </w:pPr>
      <w:r>
        <w:rPr>
          <w:rFonts w:hint="eastAsia" w:ascii="宋体" w:hAnsi="宋体" w:eastAsia="宋体" w:cs="宋体"/>
          <w:b/>
          <w:bCs/>
          <w:sz w:val="40"/>
          <w:szCs w:val="40"/>
          <w:u w:val="single"/>
        </w:rPr>
        <w:t>（项目名称）</w:t>
      </w:r>
    </w:p>
    <w:p>
      <w:pPr>
        <w:jc w:val="center"/>
        <w:rPr>
          <w:rFonts w:ascii="宋体" w:hAnsi="宋体" w:eastAsia="宋体" w:cs="微软雅黑"/>
          <w:sz w:val="28"/>
          <w:szCs w:val="28"/>
          <w:u w:val="single"/>
        </w:rPr>
      </w:pPr>
    </w:p>
    <w:p>
      <w:pPr>
        <w:rPr>
          <w:rFonts w:ascii="宋体" w:hAnsi="宋体" w:eastAsia="宋体" w:cs="微软雅黑"/>
          <w:sz w:val="20"/>
          <w:szCs w:val="20"/>
        </w:rPr>
      </w:pPr>
    </w:p>
    <w:p>
      <w:pPr>
        <w:rPr>
          <w:rFonts w:ascii="宋体" w:hAnsi="宋体" w:eastAsia="宋体" w:cs="微软雅黑"/>
          <w:sz w:val="20"/>
          <w:szCs w:val="20"/>
        </w:rPr>
      </w:pPr>
    </w:p>
    <w:p>
      <w:pPr>
        <w:jc w:val="center"/>
        <w:rPr>
          <w:rFonts w:ascii="宋体" w:hAnsi="宋体" w:eastAsia="宋体" w:cs="微软雅黑"/>
          <w:sz w:val="72"/>
          <w:szCs w:val="72"/>
        </w:rPr>
      </w:pPr>
      <w:r>
        <w:rPr>
          <w:rFonts w:hint="eastAsia" w:ascii="宋体" w:hAnsi="宋体" w:eastAsia="宋体" w:cs="微软雅黑"/>
          <w:sz w:val="72"/>
          <w:szCs w:val="72"/>
        </w:rPr>
        <w:t>投 标 文 件</w:t>
      </w:r>
    </w:p>
    <w:p>
      <w:pPr>
        <w:rPr>
          <w:rFonts w:ascii="宋体" w:hAnsi="宋体" w:eastAsia="宋体" w:cs="微软雅黑"/>
          <w:sz w:val="28"/>
          <w:szCs w:val="28"/>
        </w:rPr>
      </w:pPr>
    </w:p>
    <w:p>
      <w:pPr>
        <w:ind w:firstLine="3080" w:firstLineChars="1100"/>
        <w:rPr>
          <w:rFonts w:ascii="宋体" w:hAnsi="宋体" w:eastAsia="宋体" w:cs="微软雅黑"/>
          <w:sz w:val="28"/>
          <w:szCs w:val="28"/>
        </w:rPr>
      </w:pPr>
      <w:r>
        <w:rPr>
          <w:rFonts w:hint="eastAsia" w:ascii="宋体" w:hAnsi="宋体" w:eastAsia="宋体" w:cs="微软雅黑"/>
          <w:sz w:val="28"/>
          <w:szCs w:val="28"/>
        </w:rPr>
        <w:t>项目编号：</w:t>
      </w:r>
    </w:p>
    <w:p>
      <w:pPr>
        <w:rPr>
          <w:rFonts w:ascii="宋体" w:hAnsi="宋体" w:eastAsia="宋体" w:cs="微软雅黑"/>
          <w:sz w:val="28"/>
          <w:szCs w:val="28"/>
        </w:rPr>
      </w:pPr>
    </w:p>
    <w:p>
      <w:pPr>
        <w:rPr>
          <w:rFonts w:ascii="宋体" w:hAnsi="宋体" w:eastAsia="宋体" w:cs="微软雅黑"/>
          <w:sz w:val="28"/>
          <w:szCs w:val="28"/>
        </w:rPr>
      </w:pPr>
    </w:p>
    <w:p>
      <w:pPr>
        <w:rPr>
          <w:rFonts w:ascii="宋体" w:hAnsi="宋体" w:eastAsia="宋体" w:cs="微软雅黑"/>
          <w:sz w:val="28"/>
          <w:szCs w:val="28"/>
        </w:rPr>
      </w:pPr>
    </w:p>
    <w:p>
      <w:pPr>
        <w:ind w:left="1079" w:leftChars="514"/>
        <w:jc w:val="left"/>
        <w:rPr>
          <w:rFonts w:ascii="宋体" w:hAnsi="宋体" w:eastAsia="宋体" w:cs="微软雅黑"/>
          <w:sz w:val="28"/>
          <w:szCs w:val="28"/>
          <w:u w:val="single"/>
        </w:rPr>
      </w:pPr>
      <w:r>
        <w:rPr>
          <w:rFonts w:hint="eastAsia" w:ascii="宋体" w:hAnsi="宋体" w:eastAsia="宋体" w:cs="微软雅黑"/>
          <w:sz w:val="28"/>
          <w:szCs w:val="28"/>
        </w:rPr>
        <w:t>投  标  人：（盖单位章）</w:t>
      </w:r>
    </w:p>
    <w:p>
      <w:pPr>
        <w:ind w:left="1079" w:leftChars="514"/>
        <w:jc w:val="left"/>
        <w:rPr>
          <w:rFonts w:ascii="宋体" w:hAnsi="宋体" w:eastAsia="宋体" w:cs="微软雅黑"/>
          <w:sz w:val="28"/>
          <w:szCs w:val="28"/>
        </w:rPr>
      </w:pPr>
      <w:r>
        <w:rPr>
          <w:rFonts w:hint="eastAsia" w:ascii="宋体" w:hAnsi="宋体" w:eastAsia="宋体" w:cs="微软雅黑"/>
          <w:sz w:val="28"/>
          <w:szCs w:val="28"/>
        </w:rPr>
        <w:t>法定代表人或其委托代理人：（签字或盖章）</w:t>
      </w:r>
    </w:p>
    <w:p>
      <w:pPr>
        <w:ind w:firstLine="3360" w:firstLineChars="1200"/>
        <w:rPr>
          <w:rFonts w:ascii="宋体" w:hAnsi="宋体" w:cs="黑体"/>
          <w:b/>
          <w:bCs/>
          <w:sz w:val="44"/>
          <w:szCs w:val="44"/>
          <w:lang w:val="zh-CN"/>
        </w:rPr>
      </w:pPr>
      <w:r>
        <w:rPr>
          <w:rFonts w:hint="eastAsia" w:ascii="宋体" w:hAnsi="宋体" w:eastAsia="宋体" w:cs="微软雅黑"/>
          <w:sz w:val="28"/>
          <w:szCs w:val="28"/>
        </w:rPr>
        <w:t>年  月  日</w:t>
      </w:r>
    </w:p>
    <w:p>
      <w:pPr>
        <w:pStyle w:val="48"/>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bookmarkEnd w:id="4"/>
      <w:bookmarkEnd w:id="5"/>
      <w:bookmarkEnd w:id="6"/>
    </w:p>
    <w:tbl>
      <w:tblPr>
        <w:tblStyle w:val="20"/>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4"/>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2"/>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2"/>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2"/>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2"/>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2"/>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3"/>
            <w:tcBorders>
              <w:left w:val="single" w:color="auto" w:sz="6"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kern w:val="0"/>
                <w:szCs w:val="24"/>
              </w:rPr>
            </w:pPr>
          </w:p>
        </w:tc>
        <w:tc>
          <w:tcPr>
            <w:tcW w:w="2977" w:type="dxa"/>
            <w:gridSpan w:val="3"/>
            <w:tcBorders>
              <w:left w:val="single" w:color="auto" w:sz="6" w:space="0"/>
            </w:tcBorders>
            <w:vAlign w:val="center"/>
          </w:tcPr>
          <w:p>
            <w:pPr>
              <w:pStyle w:val="12"/>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2"/>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2"/>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2"/>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977" w:type="dxa"/>
            <w:gridSpan w:val="3"/>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2"/>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2"/>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4"/>
            <w:vAlign w:val="center"/>
          </w:tcPr>
          <w:p>
            <w:pPr>
              <w:pStyle w:val="12"/>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4"/>
            <w:tcBorders>
              <w:top w:val="doub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4"/>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2"/>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2"/>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tcBorders>
              <w:right w:val="sing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693" w:type="dxa"/>
            <w:gridSpan w:val="2"/>
            <w:tcBorders>
              <w:left w:val="sing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所投产品符合国家强制性要求承诺函</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1058" w:type="dxa"/>
            <w:gridSpan w:val="2"/>
            <w:vMerge w:val="restart"/>
            <w:tcBorders>
              <w:right w:val="single" w:color="auto" w:sz="4" w:space="0"/>
            </w:tcBorders>
            <w:vAlign w:val="center"/>
          </w:tcPr>
          <w:p>
            <w:pPr>
              <w:pStyle w:val="12"/>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693" w:type="dxa"/>
            <w:gridSpan w:val="2"/>
            <w:tcBorders>
              <w:left w:val="single" w:color="auto" w:sz="4" w:space="0"/>
            </w:tcBorders>
            <w:vAlign w:val="center"/>
          </w:tcPr>
          <w:p>
            <w:pPr>
              <w:pStyle w:val="12"/>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认证机构颁发的认证证书</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2"/>
              <w:kinsoku w:val="0"/>
              <w:overflowPunct w:val="0"/>
              <w:autoSpaceDE w:val="0"/>
              <w:autoSpaceDN w:val="0"/>
              <w:spacing w:line="320" w:lineRule="exact"/>
              <w:rPr>
                <w:rFonts w:asciiTheme="majorEastAsia" w:hAnsiTheme="majorEastAsia" w:eastAsiaTheme="majorEastAsia" w:cstheme="majorEastAsia"/>
                <w:bCs/>
                <w:szCs w:val="24"/>
                <w:lang w:val="zh-CN"/>
              </w:rPr>
            </w:pPr>
          </w:p>
        </w:tc>
        <w:tc>
          <w:tcPr>
            <w:tcW w:w="2693" w:type="dxa"/>
            <w:gridSpan w:val="2"/>
            <w:tcBorders>
              <w:left w:val="single" w:color="auto" w:sz="4" w:space="0"/>
            </w:tcBorders>
            <w:vAlign w:val="center"/>
          </w:tcPr>
          <w:p>
            <w:pPr>
              <w:pStyle w:val="12"/>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中国信息安全认证中心官网产品查询结果截图</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4"/>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pPr>
              <w:pStyle w:val="12"/>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0"/>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2"/>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w:t>
      </w:r>
      <w:r>
        <w:rPr>
          <w:rFonts w:hint="eastAsia" w:asciiTheme="minorEastAsia" w:hAnsiTheme="minorEastAsia"/>
          <w:b/>
          <w:snapToGrid w:val="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_（项目名称、招标编号）采购的招标公告及投标邀请，_______（姓名和职务）被正式授权并代表投标人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2"/>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（项目名称、招标编号）招标文件的全部内容。</w:t>
      </w:r>
    </w:p>
    <w:p>
      <w:pPr>
        <w:pStyle w:val="12"/>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8"/>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8"/>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8"/>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8"/>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pStyle w:val="18"/>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12"/>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2"/>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2"/>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2"/>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2"/>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2"/>
        <w:adjustRightInd w:val="0"/>
        <w:snapToGrid w:val="0"/>
        <w:spacing w:line="360" w:lineRule="auto"/>
        <w:rPr>
          <w:rFonts w:asciiTheme="minorEastAsia" w:hAnsiTheme="minorEastAsia" w:eastAsiaTheme="minorEastAsia"/>
          <w:szCs w:val="24"/>
        </w:rPr>
      </w:pPr>
    </w:p>
    <w:p>
      <w:pPr>
        <w:pStyle w:val="12"/>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39"/>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加贵方招</w:t>
      </w:r>
      <w:r>
        <w:rPr>
          <w:rFonts w:asciiTheme="minorEastAsia" w:hAnsiTheme="minorEastAsia"/>
          <w:color w:val="000000"/>
          <w:szCs w:val="24"/>
        </w:rPr>
        <w:t>标编号为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39"/>
        <w:spacing w:line="480" w:lineRule="auto"/>
        <w:ind w:firstLine="540" w:firstLineChars="225"/>
        <w:jc w:val="left"/>
        <w:rPr>
          <w:rFonts w:asciiTheme="minorEastAsia" w:hAnsiTheme="minorEastAsia"/>
          <w:color w:val="000000"/>
          <w:szCs w:val="24"/>
        </w:rPr>
      </w:pPr>
    </w:p>
    <w:p>
      <w:pPr>
        <w:pStyle w:val="39"/>
        <w:spacing w:line="480" w:lineRule="auto"/>
        <w:ind w:firstLine="540" w:firstLineChars="225"/>
        <w:jc w:val="left"/>
        <w:rPr>
          <w:rFonts w:asciiTheme="minorEastAsia" w:hAnsiTheme="minorEastAsia"/>
          <w:color w:val="000000"/>
          <w:szCs w:val="24"/>
        </w:rPr>
      </w:pPr>
    </w:p>
    <w:p>
      <w:pPr>
        <w:pStyle w:val="39"/>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39"/>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2"/>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1"/>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0"/>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11" w:name="_资格证明文件"/>
            <w:bookmarkEnd w:id="11"/>
            <w:bookmarkStart w:id="12" w:name="_Toc364329026"/>
            <w:r>
              <w:rPr>
                <w:rFonts w:hint="eastAsia" w:asciiTheme="minorEastAsia" w:hAnsiTheme="minorEastAsia"/>
                <w:sz w:val="24"/>
                <w:szCs w:val="24"/>
              </w:rPr>
              <w:t>法定代表人授权代表身份证（正面）</w:t>
            </w:r>
            <w:bookmarkEnd w:id="12"/>
          </w:p>
        </w:tc>
        <w:tc>
          <w:tcPr>
            <w:tcW w:w="4492" w:type="dxa"/>
            <w:gridSpan w:val="2"/>
            <w:vAlign w:val="center"/>
          </w:tcPr>
          <w:p>
            <w:pPr>
              <w:jc w:val="center"/>
              <w:rPr>
                <w:rFonts w:asciiTheme="minorEastAsia" w:hAnsiTheme="minorEastAsia"/>
                <w:sz w:val="24"/>
                <w:szCs w:val="24"/>
              </w:rPr>
            </w:pPr>
            <w:bookmarkStart w:id="13" w:name="_Toc364329027"/>
            <w:r>
              <w:rPr>
                <w:rFonts w:hint="eastAsia" w:asciiTheme="minorEastAsia" w:hAnsiTheme="minorEastAsia"/>
                <w:sz w:val="24"/>
                <w:szCs w:val="24"/>
              </w:rPr>
              <w:t>法定代表人授权代表身份证（反面）</w:t>
            </w:r>
            <w:bookmarkEnd w:id="13"/>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0"/>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0"/>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货物服务</w:t>
            </w:r>
          </w:p>
          <w:p>
            <w:pPr>
              <w:pStyle w:val="7"/>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7"/>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7"/>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0"/>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7"/>
              <w:spacing w:line="360" w:lineRule="auto"/>
              <w:rPr>
                <w:rFonts w:ascii="宋体" w:hAnsi="宋体" w:eastAsia="宋体" w:cs="Times New Roman"/>
                <w:sz w:val="24"/>
                <w:szCs w:val="24"/>
              </w:rPr>
            </w:pPr>
          </w:p>
        </w:tc>
        <w:tc>
          <w:tcPr>
            <w:tcW w:w="3579" w:type="dxa"/>
            <w:vAlign w:val="center"/>
          </w:tcPr>
          <w:p>
            <w:pPr>
              <w:pStyle w:val="7"/>
              <w:spacing w:line="360" w:lineRule="auto"/>
              <w:rPr>
                <w:rFonts w:ascii="宋体" w:hAnsi="宋体" w:eastAsia="宋体" w:cs="Times New Roman"/>
                <w:sz w:val="24"/>
                <w:szCs w:val="24"/>
              </w:rPr>
            </w:pPr>
          </w:p>
        </w:tc>
        <w:tc>
          <w:tcPr>
            <w:tcW w:w="1440" w:type="dxa"/>
            <w:vAlign w:val="center"/>
          </w:tcPr>
          <w:p>
            <w:pPr>
              <w:pStyle w:val="7"/>
              <w:spacing w:line="360" w:lineRule="auto"/>
              <w:rPr>
                <w:rFonts w:ascii="宋体" w:hAnsi="宋体" w:eastAsia="宋体" w:cs="Times New Roman"/>
                <w:sz w:val="24"/>
                <w:szCs w:val="24"/>
              </w:rPr>
            </w:pPr>
          </w:p>
        </w:tc>
        <w:tc>
          <w:tcPr>
            <w:tcW w:w="1706" w:type="dxa"/>
            <w:vAlign w:val="center"/>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7"/>
              <w:spacing w:line="360" w:lineRule="auto"/>
              <w:rPr>
                <w:rFonts w:ascii="宋体" w:hAnsi="宋体" w:eastAsia="宋体" w:cs="Times New Roman"/>
                <w:sz w:val="24"/>
                <w:szCs w:val="24"/>
              </w:rPr>
            </w:pPr>
          </w:p>
        </w:tc>
        <w:tc>
          <w:tcPr>
            <w:tcW w:w="3579" w:type="dxa"/>
            <w:vAlign w:val="center"/>
          </w:tcPr>
          <w:p>
            <w:pPr>
              <w:pStyle w:val="7"/>
              <w:spacing w:line="360" w:lineRule="auto"/>
              <w:rPr>
                <w:rFonts w:ascii="宋体" w:hAnsi="宋体" w:eastAsia="宋体" w:cs="Times New Roman"/>
                <w:sz w:val="24"/>
                <w:szCs w:val="24"/>
              </w:rPr>
            </w:pPr>
          </w:p>
        </w:tc>
        <w:tc>
          <w:tcPr>
            <w:tcW w:w="1440" w:type="dxa"/>
            <w:vAlign w:val="center"/>
          </w:tcPr>
          <w:p>
            <w:pPr>
              <w:pStyle w:val="7"/>
              <w:spacing w:line="360" w:lineRule="auto"/>
              <w:rPr>
                <w:rFonts w:ascii="宋体" w:hAnsi="宋体" w:eastAsia="宋体" w:cs="Times New Roman"/>
                <w:sz w:val="24"/>
                <w:szCs w:val="24"/>
              </w:rPr>
            </w:pPr>
          </w:p>
        </w:tc>
        <w:tc>
          <w:tcPr>
            <w:tcW w:w="1706" w:type="dxa"/>
            <w:vAlign w:val="center"/>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7"/>
              <w:spacing w:line="360" w:lineRule="auto"/>
              <w:rPr>
                <w:rFonts w:ascii="宋体" w:hAnsi="宋体" w:eastAsia="宋体" w:cs="Times New Roman"/>
                <w:sz w:val="24"/>
                <w:szCs w:val="24"/>
              </w:rPr>
            </w:pPr>
          </w:p>
        </w:tc>
        <w:tc>
          <w:tcPr>
            <w:tcW w:w="3579" w:type="dxa"/>
            <w:vAlign w:val="center"/>
          </w:tcPr>
          <w:p>
            <w:pPr>
              <w:pStyle w:val="7"/>
              <w:spacing w:line="360" w:lineRule="auto"/>
              <w:rPr>
                <w:rFonts w:ascii="宋体" w:hAnsi="宋体" w:eastAsia="宋体" w:cs="Times New Roman"/>
                <w:sz w:val="24"/>
                <w:szCs w:val="24"/>
              </w:rPr>
            </w:pPr>
          </w:p>
        </w:tc>
        <w:tc>
          <w:tcPr>
            <w:tcW w:w="1440" w:type="dxa"/>
            <w:vAlign w:val="center"/>
          </w:tcPr>
          <w:p>
            <w:pPr>
              <w:pStyle w:val="7"/>
              <w:spacing w:line="360" w:lineRule="auto"/>
              <w:rPr>
                <w:rFonts w:ascii="宋体" w:hAnsi="宋体" w:eastAsia="宋体" w:cs="Times New Roman"/>
                <w:sz w:val="24"/>
                <w:szCs w:val="24"/>
              </w:rPr>
            </w:pPr>
          </w:p>
        </w:tc>
        <w:tc>
          <w:tcPr>
            <w:tcW w:w="1706" w:type="dxa"/>
            <w:vAlign w:val="center"/>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jc w:val="center"/>
        <w:rPr>
          <w:rFonts w:ascii="宋体" w:hAnsi="宋体"/>
          <w:b/>
          <w:bCs/>
          <w:color w:val="000000"/>
          <w:sz w:val="36"/>
          <w:szCs w:val="36"/>
        </w:rPr>
      </w:pPr>
    </w:p>
    <w:p>
      <w:pPr>
        <w:jc w:val="center"/>
        <w:rPr>
          <w:rFonts w:ascii="宋体" w:hAnsi="宋体"/>
          <w:b/>
          <w:bCs/>
          <w:color w:val="000000"/>
          <w:sz w:val="36"/>
          <w:szCs w:val="36"/>
        </w:rPr>
      </w:pPr>
      <w:r>
        <w:rPr>
          <w:rFonts w:hint="eastAsia" w:ascii="宋体" w:hAnsi="宋体"/>
          <w:b/>
          <w:bCs/>
          <w:color w:val="000000"/>
          <w:sz w:val="36"/>
          <w:szCs w:val="36"/>
        </w:rPr>
        <w:t>4.6“节能产品政府采购清单”强制节能产品情况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7"/>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7"/>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7"/>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br w:type="page"/>
      </w:r>
    </w:p>
    <w:p>
      <w:pPr>
        <w:spacing w:line="360" w:lineRule="auto"/>
        <w:jc w:val="center"/>
        <w:rPr>
          <w:rFonts w:ascii="宋体" w:hAnsi="宋体"/>
          <w:b/>
          <w:bCs/>
          <w:color w:val="000000"/>
          <w:sz w:val="36"/>
          <w:szCs w:val="36"/>
        </w:rPr>
      </w:pPr>
      <w:r>
        <w:rPr>
          <w:rFonts w:hint="eastAsia" w:ascii="宋体" w:hAnsi="宋体"/>
          <w:b/>
          <w:bCs/>
          <w:color w:val="000000"/>
          <w:sz w:val="36"/>
          <w:szCs w:val="36"/>
        </w:rPr>
        <w:t>4.7 “节能产品政府采购清单”优先采购产品情况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7"/>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7"/>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7"/>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4.8 “环境标志产品政府采购清单”优先采购产品情况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7"/>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7"/>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4.9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14" w:name="OLE_LINK14"/>
      <w:bookmarkStart w:id="15" w:name="OLE_LINK13"/>
      <w:r>
        <w:rPr>
          <w:rFonts w:hint="eastAsia" w:ascii="宋体" w:hAnsi="宋体"/>
          <w:b/>
          <w:bCs/>
          <w:color w:val="000000"/>
          <w:sz w:val="36"/>
          <w:szCs w:val="36"/>
        </w:rPr>
        <w:t>4.10 残疾人福利性单位声明函</w:t>
      </w:r>
    </w:p>
    <w:bookmarkEnd w:id="14"/>
    <w:bookmarkEnd w:id="15"/>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4.11 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bookmarkEnd w:id="2"/>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4"/>
                </w:pPr>
                <w:r>
                  <w:fldChar w:fldCharType="begin"/>
                </w:r>
                <w:r>
                  <w:instrText xml:space="preserve"> PAGE  \* MERGEFORMAT </w:instrText>
                </w:r>
                <w:r>
                  <w:fldChar w:fldCharType="separate"/>
                </w:r>
                <w:r>
                  <w:t>8</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BEF46D"/>
    <w:multiLevelType w:val="singleLevel"/>
    <w:tmpl w:val="F0BEF46D"/>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7A02724"/>
    <w:multiLevelType w:val="multilevel"/>
    <w:tmpl w:val="37A02724"/>
    <w:lvl w:ilvl="0" w:tentative="0">
      <w:start w:val="2"/>
      <w:numFmt w:val="japaneseCounting"/>
      <w:lvlText w:val="第%1章、"/>
      <w:lvlJc w:val="left"/>
      <w:pPr>
        <w:ind w:left="1500" w:hanging="1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6207351"/>
    <w:multiLevelType w:val="multilevel"/>
    <w:tmpl w:val="46207351"/>
    <w:lvl w:ilvl="0" w:tentative="0">
      <w:start w:val="2"/>
      <w:numFmt w:val="decimal"/>
      <w:lvlText w:val="%1."/>
      <w:lvlJc w:val="left"/>
      <w:pPr>
        <w:ind w:left="420" w:hanging="420"/>
      </w:pPr>
      <w:rPr>
        <w:rFonts w:hint="eastAsia"/>
      </w:rPr>
    </w:lvl>
    <w:lvl w:ilvl="1" w:tentative="0">
      <w:start w:val="2"/>
      <w:numFmt w:val="decimal"/>
      <w:lvlText w:val="%2.8.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4">
    <w:nsid w:val="563B5F73"/>
    <w:multiLevelType w:val="multilevel"/>
    <w:tmpl w:val="563B5F73"/>
    <w:lvl w:ilvl="0" w:tentative="0">
      <w:start w:val="33"/>
      <w:numFmt w:val="decimal"/>
      <w:lvlText w:val="%1.1 "/>
      <w:lvlJc w:val="left"/>
      <w:pPr>
        <w:ind w:left="970" w:hanging="544"/>
      </w:pPr>
      <w:rPr>
        <w:rFonts w:hint="eastAsia"/>
      </w:rPr>
    </w:lvl>
    <w:lvl w:ilvl="1" w:tentative="0">
      <w:start w:val="1"/>
      <w:numFmt w:val="lowerLetter"/>
      <w:lvlText w:val="%2)"/>
      <w:lvlJc w:val="left"/>
      <w:pPr>
        <w:ind w:left="846" w:hanging="420"/>
      </w:pPr>
    </w:lvl>
    <w:lvl w:ilvl="2" w:tentative="0">
      <w:start w:val="1"/>
      <w:numFmt w:val="lowerRoman"/>
      <w:lvlText w:val="%3."/>
      <w:lvlJc w:val="right"/>
      <w:pPr>
        <w:ind w:left="1266" w:hanging="420"/>
      </w:pPr>
    </w:lvl>
    <w:lvl w:ilvl="3" w:tentative="0">
      <w:start w:val="1"/>
      <w:numFmt w:val="decimal"/>
      <w:lvlText w:val="%4."/>
      <w:lvlJc w:val="left"/>
      <w:pPr>
        <w:ind w:left="1686" w:hanging="420"/>
      </w:pPr>
    </w:lvl>
    <w:lvl w:ilvl="4" w:tentative="0">
      <w:start w:val="1"/>
      <w:numFmt w:val="lowerLetter"/>
      <w:lvlText w:val="%5)"/>
      <w:lvlJc w:val="left"/>
      <w:pPr>
        <w:ind w:left="2106" w:hanging="420"/>
      </w:pPr>
    </w:lvl>
    <w:lvl w:ilvl="5" w:tentative="0">
      <w:start w:val="1"/>
      <w:numFmt w:val="lowerRoman"/>
      <w:lvlText w:val="%6."/>
      <w:lvlJc w:val="right"/>
      <w:pPr>
        <w:ind w:left="2526" w:hanging="420"/>
      </w:pPr>
    </w:lvl>
    <w:lvl w:ilvl="6" w:tentative="0">
      <w:start w:val="1"/>
      <w:numFmt w:val="decimal"/>
      <w:lvlText w:val="%7."/>
      <w:lvlJc w:val="left"/>
      <w:pPr>
        <w:ind w:left="2946" w:hanging="420"/>
      </w:pPr>
    </w:lvl>
    <w:lvl w:ilvl="7" w:tentative="0">
      <w:start w:val="1"/>
      <w:numFmt w:val="lowerLetter"/>
      <w:lvlText w:val="%8)"/>
      <w:lvlJc w:val="left"/>
      <w:pPr>
        <w:ind w:left="3366" w:hanging="420"/>
      </w:pPr>
    </w:lvl>
    <w:lvl w:ilvl="8" w:tentative="0">
      <w:start w:val="1"/>
      <w:numFmt w:val="lowerRoman"/>
      <w:lvlText w:val="%9."/>
      <w:lvlJc w:val="right"/>
      <w:pPr>
        <w:ind w:left="3786" w:hanging="420"/>
      </w:pPr>
    </w:lvl>
  </w:abstractNum>
  <w:abstractNum w:abstractNumId="15">
    <w:nsid w:val="59F817E8"/>
    <w:multiLevelType w:val="singleLevel"/>
    <w:tmpl w:val="59F817E8"/>
    <w:lvl w:ilvl="0" w:tentative="0">
      <w:start w:val="1"/>
      <w:numFmt w:val="chineseCounting"/>
      <w:pStyle w:val="48"/>
      <w:suff w:val="nothing"/>
      <w:lvlText w:val="%1、"/>
      <w:lvlJc w:val="left"/>
    </w:lvl>
  </w:abstractNum>
  <w:abstractNum w:abstractNumId="16">
    <w:nsid w:val="61460C64"/>
    <w:multiLevelType w:val="multilevel"/>
    <w:tmpl w:val="61460C64"/>
    <w:lvl w:ilvl="0" w:tentative="0">
      <w:start w:val="7"/>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707C01F4"/>
    <w:multiLevelType w:val="multilevel"/>
    <w:tmpl w:val="707C01F4"/>
    <w:lvl w:ilvl="0" w:tentative="0">
      <w:start w:val="2"/>
      <w:numFmt w:val="decimal"/>
      <w:lvlText w:val="%1."/>
      <w:lvlJc w:val="left"/>
      <w:pPr>
        <w:ind w:left="420" w:hanging="420"/>
      </w:pPr>
      <w:rPr>
        <w:rFonts w:hint="eastAsia"/>
      </w:rPr>
    </w:lvl>
    <w:lvl w:ilvl="1" w:tentative="0">
      <w:start w:val="2"/>
      <w:numFmt w:val="decimal"/>
      <w:lvlText w:val="%2.8.1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9">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5"/>
  </w:num>
  <w:num w:numId="4">
    <w:abstractNumId w:val="10"/>
  </w:num>
  <w:num w:numId="5">
    <w:abstractNumId w:val="0"/>
  </w:num>
  <w:num w:numId="6">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7"/>
  </w:num>
  <w:num w:numId="9">
    <w:abstractNumId w:val="18"/>
  </w:num>
  <w:num w:numId="10">
    <w:abstractNumId w:val="13"/>
  </w:num>
  <w:num w:numId="11">
    <w:abstractNumId w:val="9"/>
  </w:num>
  <w:num w:numId="12">
    <w:abstractNumId w:val="5"/>
  </w:num>
  <w:num w:numId="13">
    <w:abstractNumId w:val="6"/>
  </w:num>
  <w:num w:numId="14">
    <w:abstractNumId w:val="20"/>
  </w:num>
  <w:num w:numId="15">
    <w:abstractNumId w:val="12"/>
  </w:num>
  <w:num w:numId="16">
    <w:abstractNumId w:val="19"/>
  </w:num>
  <w:num w:numId="17">
    <w:abstractNumId w:val="4"/>
  </w:num>
  <w:num w:numId="18">
    <w:abstractNumId w:val="7"/>
  </w:num>
  <w:num w:numId="19">
    <w:abstractNumId w:val="14"/>
  </w:num>
  <w:num w:numId="20">
    <w:abstractNumId w:val="1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E678E"/>
    <w:rsid w:val="00002C4C"/>
    <w:rsid w:val="00002D3D"/>
    <w:rsid w:val="00003DBE"/>
    <w:rsid w:val="00013791"/>
    <w:rsid w:val="000329D2"/>
    <w:rsid w:val="000663F7"/>
    <w:rsid w:val="000858CE"/>
    <w:rsid w:val="000954CE"/>
    <w:rsid w:val="000A2344"/>
    <w:rsid w:val="000B201C"/>
    <w:rsid w:val="000F40BE"/>
    <w:rsid w:val="000F58D4"/>
    <w:rsid w:val="00130E25"/>
    <w:rsid w:val="00160D27"/>
    <w:rsid w:val="00195997"/>
    <w:rsid w:val="001C0A71"/>
    <w:rsid w:val="001C3E6D"/>
    <w:rsid w:val="00201BCA"/>
    <w:rsid w:val="00215B36"/>
    <w:rsid w:val="00227E3C"/>
    <w:rsid w:val="00237E92"/>
    <w:rsid w:val="002462B8"/>
    <w:rsid w:val="0025041B"/>
    <w:rsid w:val="002A39A2"/>
    <w:rsid w:val="002A7EAE"/>
    <w:rsid w:val="002C1175"/>
    <w:rsid w:val="002D7CA3"/>
    <w:rsid w:val="002F21EF"/>
    <w:rsid w:val="003337FB"/>
    <w:rsid w:val="00333968"/>
    <w:rsid w:val="00346382"/>
    <w:rsid w:val="003503CA"/>
    <w:rsid w:val="00363726"/>
    <w:rsid w:val="0036404A"/>
    <w:rsid w:val="00397A66"/>
    <w:rsid w:val="003C1CEA"/>
    <w:rsid w:val="00450C1D"/>
    <w:rsid w:val="00460A21"/>
    <w:rsid w:val="00493D07"/>
    <w:rsid w:val="00496923"/>
    <w:rsid w:val="004C11B6"/>
    <w:rsid w:val="004D15DE"/>
    <w:rsid w:val="004E5043"/>
    <w:rsid w:val="004E6C8B"/>
    <w:rsid w:val="00505787"/>
    <w:rsid w:val="0051397E"/>
    <w:rsid w:val="005463FC"/>
    <w:rsid w:val="00556ADC"/>
    <w:rsid w:val="0057038A"/>
    <w:rsid w:val="005A1EA3"/>
    <w:rsid w:val="005A269C"/>
    <w:rsid w:val="005E646F"/>
    <w:rsid w:val="005F46D2"/>
    <w:rsid w:val="00635DAF"/>
    <w:rsid w:val="00636AAD"/>
    <w:rsid w:val="00641007"/>
    <w:rsid w:val="00641558"/>
    <w:rsid w:val="00685B99"/>
    <w:rsid w:val="00694DB2"/>
    <w:rsid w:val="006E678E"/>
    <w:rsid w:val="006F1C15"/>
    <w:rsid w:val="007054C2"/>
    <w:rsid w:val="00713175"/>
    <w:rsid w:val="00724D13"/>
    <w:rsid w:val="0076324F"/>
    <w:rsid w:val="0078154E"/>
    <w:rsid w:val="00791557"/>
    <w:rsid w:val="007D329B"/>
    <w:rsid w:val="00817120"/>
    <w:rsid w:val="008570DB"/>
    <w:rsid w:val="00885877"/>
    <w:rsid w:val="008B1C25"/>
    <w:rsid w:val="008B3AF4"/>
    <w:rsid w:val="008D07A8"/>
    <w:rsid w:val="009079DF"/>
    <w:rsid w:val="00933EBF"/>
    <w:rsid w:val="00937BDE"/>
    <w:rsid w:val="009434C1"/>
    <w:rsid w:val="009538D9"/>
    <w:rsid w:val="0097065A"/>
    <w:rsid w:val="00976CF0"/>
    <w:rsid w:val="0099010A"/>
    <w:rsid w:val="009B281D"/>
    <w:rsid w:val="009C12AB"/>
    <w:rsid w:val="009D27F1"/>
    <w:rsid w:val="009E06B8"/>
    <w:rsid w:val="00A3752F"/>
    <w:rsid w:val="00A43CF8"/>
    <w:rsid w:val="00A4670A"/>
    <w:rsid w:val="00A5072A"/>
    <w:rsid w:val="00A57254"/>
    <w:rsid w:val="00AA2DD4"/>
    <w:rsid w:val="00AD60E2"/>
    <w:rsid w:val="00AF2871"/>
    <w:rsid w:val="00B04A9B"/>
    <w:rsid w:val="00B07A0D"/>
    <w:rsid w:val="00B276C2"/>
    <w:rsid w:val="00B34275"/>
    <w:rsid w:val="00B71241"/>
    <w:rsid w:val="00BB1986"/>
    <w:rsid w:val="00BB4DE7"/>
    <w:rsid w:val="00BC7951"/>
    <w:rsid w:val="00BE561A"/>
    <w:rsid w:val="00BF7BB6"/>
    <w:rsid w:val="00C118B0"/>
    <w:rsid w:val="00C430DA"/>
    <w:rsid w:val="00C5487D"/>
    <w:rsid w:val="00C5783D"/>
    <w:rsid w:val="00C72F20"/>
    <w:rsid w:val="00C9124E"/>
    <w:rsid w:val="00CA460D"/>
    <w:rsid w:val="00CA48FB"/>
    <w:rsid w:val="00CD2486"/>
    <w:rsid w:val="00CD277F"/>
    <w:rsid w:val="00CD3054"/>
    <w:rsid w:val="00CD47B7"/>
    <w:rsid w:val="00CD6AED"/>
    <w:rsid w:val="00CE38EA"/>
    <w:rsid w:val="00D3540D"/>
    <w:rsid w:val="00D53665"/>
    <w:rsid w:val="00D81A59"/>
    <w:rsid w:val="00D86948"/>
    <w:rsid w:val="00DE647B"/>
    <w:rsid w:val="00E84EA0"/>
    <w:rsid w:val="00EA2836"/>
    <w:rsid w:val="00EC72EB"/>
    <w:rsid w:val="00ED546F"/>
    <w:rsid w:val="00EF6C6E"/>
    <w:rsid w:val="00F71CA7"/>
    <w:rsid w:val="00F93D1B"/>
    <w:rsid w:val="00F942F5"/>
    <w:rsid w:val="00FC2ACE"/>
    <w:rsid w:val="00FC40F1"/>
    <w:rsid w:val="00FE647D"/>
    <w:rsid w:val="01382ADE"/>
    <w:rsid w:val="04764B88"/>
    <w:rsid w:val="05A66782"/>
    <w:rsid w:val="06032CF4"/>
    <w:rsid w:val="06D9242F"/>
    <w:rsid w:val="088E3594"/>
    <w:rsid w:val="0E0411E0"/>
    <w:rsid w:val="1007750D"/>
    <w:rsid w:val="101F07CA"/>
    <w:rsid w:val="159107EC"/>
    <w:rsid w:val="16120009"/>
    <w:rsid w:val="18274E5F"/>
    <w:rsid w:val="19AE47E0"/>
    <w:rsid w:val="1B0E1351"/>
    <w:rsid w:val="1B5C7908"/>
    <w:rsid w:val="1D2D6726"/>
    <w:rsid w:val="204A499F"/>
    <w:rsid w:val="25B142AB"/>
    <w:rsid w:val="2721479F"/>
    <w:rsid w:val="28F025A3"/>
    <w:rsid w:val="29827945"/>
    <w:rsid w:val="2A1D6C96"/>
    <w:rsid w:val="2B955B97"/>
    <w:rsid w:val="2C6005F6"/>
    <w:rsid w:val="2F1B757B"/>
    <w:rsid w:val="2FA17A5F"/>
    <w:rsid w:val="312C3F38"/>
    <w:rsid w:val="32C361F8"/>
    <w:rsid w:val="33C24A64"/>
    <w:rsid w:val="34A92AD6"/>
    <w:rsid w:val="35A93202"/>
    <w:rsid w:val="35AF6283"/>
    <w:rsid w:val="36977DC0"/>
    <w:rsid w:val="3B936B68"/>
    <w:rsid w:val="3C57548F"/>
    <w:rsid w:val="3D615F3F"/>
    <w:rsid w:val="3D8C41B7"/>
    <w:rsid w:val="410A3CF0"/>
    <w:rsid w:val="436D082F"/>
    <w:rsid w:val="44813CAF"/>
    <w:rsid w:val="4488486F"/>
    <w:rsid w:val="450B2124"/>
    <w:rsid w:val="4716340D"/>
    <w:rsid w:val="4716538E"/>
    <w:rsid w:val="479F493E"/>
    <w:rsid w:val="49810E90"/>
    <w:rsid w:val="4B570E56"/>
    <w:rsid w:val="4B7A650B"/>
    <w:rsid w:val="4C170B35"/>
    <w:rsid w:val="4F3B1AD7"/>
    <w:rsid w:val="505D42CC"/>
    <w:rsid w:val="5109643F"/>
    <w:rsid w:val="517A09DD"/>
    <w:rsid w:val="52B3711D"/>
    <w:rsid w:val="54F42526"/>
    <w:rsid w:val="555A4F1D"/>
    <w:rsid w:val="556632E1"/>
    <w:rsid w:val="56AD14CC"/>
    <w:rsid w:val="57204064"/>
    <w:rsid w:val="57F57718"/>
    <w:rsid w:val="58524E8B"/>
    <w:rsid w:val="5BD21553"/>
    <w:rsid w:val="5D287C15"/>
    <w:rsid w:val="5DA440F6"/>
    <w:rsid w:val="5FFD2427"/>
    <w:rsid w:val="6428471C"/>
    <w:rsid w:val="6504685B"/>
    <w:rsid w:val="65DF7BD7"/>
    <w:rsid w:val="67740EFF"/>
    <w:rsid w:val="67EF097B"/>
    <w:rsid w:val="681B1C02"/>
    <w:rsid w:val="6BD579B3"/>
    <w:rsid w:val="6EDC67D8"/>
    <w:rsid w:val="710E20B6"/>
    <w:rsid w:val="719E0453"/>
    <w:rsid w:val="728D5BBC"/>
    <w:rsid w:val="748E2E4F"/>
    <w:rsid w:val="75323C2B"/>
    <w:rsid w:val="79C93A0A"/>
    <w:rsid w:val="7C202ED8"/>
    <w:rsid w:val="7C4B5BB7"/>
    <w:rsid w:val="7D7A0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2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1">
    <w:name w:val="Default Paragraph Font"/>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5"/>
    <w:qFormat/>
    <w:uiPriority w:val="0"/>
    <w:rPr>
      <w:rFonts w:ascii="Times New Roman" w:hAnsi="Times New Roman" w:eastAsia="宋体" w:cs="Times New Roman"/>
      <w:color w:val="FF0000"/>
      <w:sz w:val="24"/>
      <w:szCs w:val="24"/>
    </w:rPr>
  </w:style>
  <w:style w:type="paragraph" w:styleId="9">
    <w:name w:val="Body Text"/>
    <w:basedOn w:val="1"/>
    <w:link w:val="49"/>
    <w:semiHidden/>
    <w:unhideWhenUsed/>
    <w:qFormat/>
    <w:uiPriority w:val="99"/>
    <w:pPr>
      <w:spacing w:after="120"/>
    </w:pPr>
  </w:style>
  <w:style w:type="paragraph" w:styleId="10">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1">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2">
    <w:name w:val="Plain Text"/>
    <w:basedOn w:val="1"/>
    <w:link w:val="30"/>
    <w:qFormat/>
    <w:uiPriority w:val="0"/>
    <w:rPr>
      <w:rFonts w:eastAsia="宋体"/>
      <w:sz w:val="24"/>
    </w:rPr>
  </w:style>
  <w:style w:type="paragraph" w:styleId="13">
    <w:name w:val="Date"/>
    <w:basedOn w:val="1"/>
    <w:next w:val="1"/>
    <w:link w:val="31"/>
    <w:unhideWhenUsed/>
    <w:qFormat/>
    <w:uiPriority w:val="99"/>
    <w:pPr>
      <w:ind w:left="100" w:leftChars="2500"/>
    </w:pPr>
  </w:style>
  <w:style w:type="paragraph" w:styleId="14">
    <w:name w:val="footer"/>
    <w:basedOn w:val="1"/>
    <w:link w:val="32"/>
    <w:unhideWhenUsed/>
    <w:qFormat/>
    <w:uiPriority w:val="99"/>
    <w:pPr>
      <w:tabs>
        <w:tab w:val="center" w:pos="4153"/>
        <w:tab w:val="right" w:pos="8306"/>
      </w:tabs>
      <w:snapToGrid w:val="0"/>
      <w:jc w:val="left"/>
    </w:pPr>
    <w:rPr>
      <w:sz w:val="18"/>
      <w:szCs w:val="18"/>
    </w:rPr>
  </w:style>
  <w:style w:type="paragraph" w:styleId="15">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7">
    <w:name w:val="HTML Preformatted"/>
    <w:basedOn w:val="1"/>
    <w:link w:val="5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8">
    <w:name w:val="Normal (Web)"/>
    <w:basedOn w:val="1"/>
    <w:qFormat/>
    <w:uiPriority w:val="99"/>
    <w:rPr>
      <w:rFonts w:ascii="Calibri" w:hAnsi="Calibri" w:eastAsia="宋体" w:cs="Times New Roman"/>
      <w:sz w:val="24"/>
      <w:szCs w:val="24"/>
    </w:rPr>
  </w:style>
  <w:style w:type="paragraph" w:styleId="19">
    <w:name w:val="Body Text First Indent"/>
    <w:basedOn w:val="9"/>
    <w:link w:val="50"/>
    <w:qFormat/>
    <w:uiPriority w:val="0"/>
    <w:pPr>
      <w:ind w:firstLine="420" w:firstLineChars="100"/>
    </w:pPr>
    <w:rPr>
      <w:rFonts w:ascii="宋体" w:hAnsi="Times New Roman" w:eastAsia="宋体" w:cs="Times New Roman"/>
      <w:kern w:val="0"/>
      <w:sz w:val="34"/>
      <w:szCs w:val="20"/>
    </w:rPr>
  </w:style>
  <w:style w:type="character" w:styleId="22">
    <w:name w:val="Strong"/>
    <w:basedOn w:val="21"/>
    <w:qFormat/>
    <w:uiPriority w:val="22"/>
    <w:rPr>
      <w:b/>
      <w:bCs/>
    </w:rPr>
  </w:style>
  <w:style w:type="character" w:styleId="23">
    <w:name w:val="FollowedHyperlink"/>
    <w:basedOn w:val="21"/>
    <w:semiHidden/>
    <w:unhideWhenUsed/>
    <w:qFormat/>
    <w:uiPriority w:val="99"/>
    <w:rPr>
      <w:color w:val="800080" w:themeColor="followedHyperlink"/>
      <w:u w:val="single"/>
    </w:rPr>
  </w:style>
  <w:style w:type="character" w:styleId="24">
    <w:name w:val="Emphasis"/>
    <w:basedOn w:val="21"/>
    <w:qFormat/>
    <w:uiPriority w:val="20"/>
  </w:style>
  <w:style w:type="character" w:styleId="25">
    <w:name w:val="Hyperlink"/>
    <w:basedOn w:val="21"/>
    <w:unhideWhenUsed/>
    <w:qFormat/>
    <w:uiPriority w:val="99"/>
    <w:rPr>
      <w:color w:val="000000"/>
      <w:u w:val="none"/>
    </w:rPr>
  </w:style>
  <w:style w:type="character" w:customStyle="1" w:styleId="26">
    <w:name w:val="标题 1 Char"/>
    <w:basedOn w:val="21"/>
    <w:link w:val="2"/>
    <w:qFormat/>
    <w:uiPriority w:val="0"/>
    <w:rPr>
      <w:rFonts w:ascii="Calibri" w:hAnsi="Calibri" w:eastAsia="宋体" w:cs="Times New Roman"/>
      <w:b/>
      <w:bCs/>
      <w:kern w:val="44"/>
      <w:sz w:val="44"/>
      <w:szCs w:val="44"/>
    </w:rPr>
  </w:style>
  <w:style w:type="character" w:customStyle="1" w:styleId="27">
    <w:name w:val="标题 2 Char"/>
    <w:basedOn w:val="21"/>
    <w:link w:val="3"/>
    <w:qFormat/>
    <w:uiPriority w:val="0"/>
    <w:rPr>
      <w:rFonts w:ascii="Arial" w:hAnsi="Arial" w:eastAsia="黑体" w:cs="Times New Roman"/>
      <w:b/>
      <w:bCs/>
      <w:kern w:val="0"/>
      <w:sz w:val="32"/>
      <w:szCs w:val="32"/>
    </w:rPr>
  </w:style>
  <w:style w:type="character" w:customStyle="1" w:styleId="28">
    <w:name w:val="标题 3 Char"/>
    <w:basedOn w:val="21"/>
    <w:link w:val="4"/>
    <w:qFormat/>
    <w:uiPriority w:val="0"/>
    <w:rPr>
      <w:rFonts w:ascii="宋体" w:hAnsi="宋体" w:eastAsia="宋体" w:cs="Times New Roman"/>
      <w:b/>
      <w:color w:val="000000"/>
      <w:kern w:val="0"/>
      <w:sz w:val="24"/>
      <w:szCs w:val="20"/>
      <w:lang w:val="en-GB"/>
    </w:rPr>
  </w:style>
  <w:style w:type="character" w:customStyle="1" w:styleId="29">
    <w:name w:val="标题 4 Char"/>
    <w:basedOn w:val="21"/>
    <w:link w:val="5"/>
    <w:qFormat/>
    <w:uiPriority w:val="0"/>
    <w:rPr>
      <w:rFonts w:ascii="Arial" w:hAnsi="Arial" w:eastAsia="黑体" w:cs="Times New Roman"/>
      <w:b/>
      <w:bCs/>
      <w:kern w:val="0"/>
      <w:sz w:val="28"/>
      <w:szCs w:val="28"/>
    </w:rPr>
  </w:style>
  <w:style w:type="character" w:customStyle="1" w:styleId="30">
    <w:name w:val="纯文本 Char"/>
    <w:basedOn w:val="21"/>
    <w:link w:val="12"/>
    <w:qFormat/>
    <w:uiPriority w:val="0"/>
    <w:rPr>
      <w:rFonts w:eastAsia="宋体"/>
      <w:sz w:val="24"/>
    </w:rPr>
  </w:style>
  <w:style w:type="character" w:customStyle="1" w:styleId="31">
    <w:name w:val="日期 Char"/>
    <w:basedOn w:val="21"/>
    <w:link w:val="13"/>
    <w:qFormat/>
    <w:uiPriority w:val="99"/>
  </w:style>
  <w:style w:type="character" w:customStyle="1" w:styleId="32">
    <w:name w:val="页脚 Char"/>
    <w:basedOn w:val="21"/>
    <w:link w:val="14"/>
    <w:qFormat/>
    <w:uiPriority w:val="99"/>
    <w:rPr>
      <w:sz w:val="18"/>
      <w:szCs w:val="18"/>
    </w:rPr>
  </w:style>
  <w:style w:type="character" w:customStyle="1" w:styleId="33">
    <w:name w:val="页眉 Char"/>
    <w:basedOn w:val="21"/>
    <w:link w:val="15"/>
    <w:qFormat/>
    <w:uiPriority w:val="99"/>
    <w:rPr>
      <w:sz w:val="18"/>
      <w:szCs w:val="18"/>
    </w:rPr>
  </w:style>
  <w:style w:type="character" w:customStyle="1" w:styleId="34">
    <w:name w:val="纯文本 Char1"/>
    <w:qFormat/>
    <w:uiPriority w:val="0"/>
    <w:rPr>
      <w:rFonts w:eastAsia="宋体"/>
      <w:sz w:val="24"/>
    </w:rPr>
  </w:style>
  <w:style w:type="paragraph" w:customStyle="1" w:styleId="35">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6">
    <w:name w:val="列出段落1"/>
    <w:basedOn w:val="1"/>
    <w:qFormat/>
    <w:uiPriority w:val="34"/>
    <w:pPr>
      <w:ind w:firstLine="420" w:firstLineChars="200"/>
    </w:pPr>
  </w:style>
  <w:style w:type="paragraph" w:styleId="37">
    <w:name w:val="List Paragraph"/>
    <w:basedOn w:val="1"/>
    <w:unhideWhenUsed/>
    <w:qFormat/>
    <w:uiPriority w:val="99"/>
    <w:pPr>
      <w:ind w:firstLine="420" w:firstLineChars="200"/>
    </w:pPr>
  </w:style>
  <w:style w:type="character" w:customStyle="1" w:styleId="38">
    <w:name w:val="正文文本缩进 Char Char"/>
    <w:link w:val="39"/>
    <w:qFormat/>
    <w:uiPriority w:val="0"/>
    <w:rPr>
      <w:rFonts w:ascii="宋体"/>
      <w:sz w:val="24"/>
    </w:rPr>
  </w:style>
  <w:style w:type="paragraph" w:customStyle="1" w:styleId="39">
    <w:name w:val="正文文本缩进1"/>
    <w:basedOn w:val="1"/>
    <w:link w:val="38"/>
    <w:qFormat/>
    <w:uiPriority w:val="0"/>
    <w:pPr>
      <w:spacing w:line="360" w:lineRule="auto"/>
      <w:ind w:firstLine="480" w:firstLineChars="200"/>
    </w:pPr>
    <w:rPr>
      <w:rFonts w:ascii="宋体"/>
      <w:sz w:val="24"/>
    </w:rPr>
  </w:style>
  <w:style w:type="character" w:customStyle="1" w:styleId="40">
    <w:name w:val="日期 Char Char"/>
    <w:link w:val="41"/>
    <w:qFormat/>
    <w:uiPriority w:val="0"/>
    <w:rPr>
      <w:sz w:val="24"/>
    </w:rPr>
  </w:style>
  <w:style w:type="paragraph" w:customStyle="1" w:styleId="41">
    <w:name w:val="日期1"/>
    <w:basedOn w:val="1"/>
    <w:next w:val="1"/>
    <w:link w:val="40"/>
    <w:qFormat/>
    <w:uiPriority w:val="0"/>
    <w:rPr>
      <w:sz w:val="24"/>
    </w:rPr>
  </w:style>
  <w:style w:type="paragraph" w:customStyle="1" w:styleId="4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5">
    <w:name w:val="正文文本 3 Char"/>
    <w:basedOn w:val="21"/>
    <w:link w:val="8"/>
    <w:qFormat/>
    <w:uiPriority w:val="0"/>
    <w:rPr>
      <w:rFonts w:ascii="Times New Roman" w:hAnsi="Times New Roman" w:eastAsia="宋体" w:cs="Times New Roman"/>
      <w:color w:val="FF0000"/>
      <w:sz w:val="24"/>
      <w:szCs w:val="24"/>
    </w:rPr>
  </w:style>
  <w:style w:type="character" w:customStyle="1" w:styleId="46">
    <w:name w:val="edittexttarea"/>
    <w:basedOn w:val="21"/>
    <w:qFormat/>
    <w:uiPriority w:val="0"/>
  </w:style>
  <w:style w:type="paragraph" w:customStyle="1" w:styleId="47">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9">
    <w:name w:val="正文文本 Char"/>
    <w:basedOn w:val="21"/>
    <w:link w:val="9"/>
    <w:semiHidden/>
    <w:qFormat/>
    <w:uiPriority w:val="99"/>
  </w:style>
  <w:style w:type="character" w:customStyle="1" w:styleId="50">
    <w:name w:val="正文首行缩进 Char"/>
    <w:basedOn w:val="49"/>
    <w:link w:val="19"/>
    <w:qFormat/>
    <w:uiPriority w:val="0"/>
    <w:rPr>
      <w:rFonts w:ascii="宋体" w:hAnsi="Times New Roman" w:eastAsia="宋体" w:cs="Times New Roman"/>
      <w:kern w:val="0"/>
      <w:sz w:val="34"/>
      <w:szCs w:val="20"/>
    </w:rPr>
  </w:style>
  <w:style w:type="character" w:customStyle="1" w:styleId="51">
    <w:name w:val="HTML 预设格式 Char"/>
    <w:basedOn w:val="21"/>
    <w:link w:val="17"/>
    <w:semiHidden/>
    <w:qFormat/>
    <w:uiPriority w:val="99"/>
    <w:rPr>
      <w:rFonts w:ascii="宋体" w:hAnsi="宋体" w:eastAsia="宋体" w:cs="宋体"/>
      <w:kern w:val="0"/>
      <w:sz w:val="24"/>
      <w:szCs w:val="24"/>
    </w:rPr>
  </w:style>
  <w:style w:type="character" w:customStyle="1" w:styleId="52">
    <w:name w:val="green"/>
    <w:basedOn w:val="21"/>
    <w:uiPriority w:val="0"/>
    <w:rPr>
      <w:color w:val="66AE00"/>
      <w:sz w:val="18"/>
      <w:szCs w:val="18"/>
    </w:rPr>
  </w:style>
  <w:style w:type="character" w:customStyle="1" w:styleId="53">
    <w:name w:val="green1"/>
    <w:basedOn w:val="21"/>
    <w:qFormat/>
    <w:uiPriority w:val="0"/>
    <w:rPr>
      <w:color w:val="66AE00"/>
      <w:sz w:val="18"/>
      <w:szCs w:val="18"/>
    </w:rPr>
  </w:style>
  <w:style w:type="character" w:customStyle="1" w:styleId="54">
    <w:name w:val="red"/>
    <w:basedOn w:val="21"/>
    <w:qFormat/>
    <w:uiPriority w:val="0"/>
    <w:rPr>
      <w:color w:val="FF0000"/>
      <w:sz w:val="18"/>
      <w:szCs w:val="18"/>
    </w:rPr>
  </w:style>
  <w:style w:type="character" w:customStyle="1" w:styleId="55">
    <w:name w:val="red1"/>
    <w:basedOn w:val="21"/>
    <w:qFormat/>
    <w:uiPriority w:val="0"/>
    <w:rPr>
      <w:color w:val="FF0000"/>
      <w:sz w:val="18"/>
      <w:szCs w:val="18"/>
    </w:rPr>
  </w:style>
  <w:style w:type="character" w:customStyle="1" w:styleId="56">
    <w:name w:val="red2"/>
    <w:basedOn w:val="21"/>
    <w:qFormat/>
    <w:uiPriority w:val="0"/>
    <w:rPr>
      <w:color w:val="CC0000"/>
    </w:rPr>
  </w:style>
  <w:style w:type="character" w:customStyle="1" w:styleId="57">
    <w:name w:val="red3"/>
    <w:basedOn w:val="21"/>
    <w:qFormat/>
    <w:uiPriority w:val="0"/>
    <w:rPr>
      <w:color w:val="FF0000"/>
    </w:rPr>
  </w:style>
  <w:style w:type="character" w:customStyle="1" w:styleId="58">
    <w:name w:val="hover25"/>
    <w:basedOn w:val="21"/>
    <w:uiPriority w:val="0"/>
  </w:style>
  <w:style w:type="character" w:customStyle="1" w:styleId="59">
    <w:name w:val="blue"/>
    <w:basedOn w:val="21"/>
    <w:qFormat/>
    <w:uiPriority w:val="0"/>
    <w:rPr>
      <w:color w:val="0371C6"/>
      <w:sz w:val="21"/>
      <w:szCs w:val="21"/>
    </w:rPr>
  </w:style>
  <w:style w:type="character" w:customStyle="1" w:styleId="60">
    <w:name w:val="right"/>
    <w:basedOn w:val="21"/>
    <w:qFormat/>
    <w:uiPriority w:val="0"/>
    <w:rPr>
      <w:color w:val="999999"/>
      <w:sz w:val="18"/>
      <w:szCs w:val="18"/>
    </w:rPr>
  </w:style>
  <w:style w:type="character" w:customStyle="1" w:styleId="61">
    <w:name w:val="gb-jt"/>
    <w:basedOn w:val="21"/>
    <w:qFormat/>
    <w:uiPriority w:val="0"/>
  </w:style>
  <w:style w:type="character" w:customStyle="1" w:styleId="62">
    <w:name w:val="hover24"/>
    <w:basedOn w:val="2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71</Pages>
  <Words>5795</Words>
  <Characters>33037</Characters>
  <Lines>275</Lines>
  <Paragraphs>77</Paragraphs>
  <TotalTime>5</TotalTime>
  <ScaleCrop>false</ScaleCrop>
  <LinksUpToDate>false</LinksUpToDate>
  <CharactersWithSpaces>38755</CharactersWithSpaces>
  <Application>WPS Office_11.1.0.8515_F1E327BC-269C-435d-A152-05C5408002CA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2018-05-14T01:56:00Z</dcterms:created>
  <dc:creator>许昌市公共资源交易中心:孟莉</dc:creator>
  <cp:lastModifiedBy>Administrator</cp:lastModifiedBy>
  <cp:lastPrinted>2019-02-18T00:49:00Z</cp:lastPrinted>
  <dcterms:modified xsi:type="dcterms:W3CDTF">2019-03-11T07:38:05Z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