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宋体" w:hAnsi="宋体" w:cs="宋体"/>
          <w:b/>
          <w:bCs/>
          <w:sz w:val="48"/>
          <w:szCs w:val="48"/>
        </w:rPr>
      </w:pPr>
      <w:r>
        <w:rPr>
          <w:rFonts w:hint="eastAsia" w:ascii="宋体" w:hAnsi="宋体" w:cs="宋体"/>
          <w:b/>
          <w:bCs/>
          <w:sz w:val="48"/>
          <w:szCs w:val="48"/>
        </w:rPr>
        <w:t>建安区国储林示范基地森林教育营地</w:t>
      </w:r>
    </w:p>
    <w:p>
      <w:pPr>
        <w:jc w:val="center"/>
        <w:rPr>
          <w:rFonts w:ascii="宋体" w:hAnsi="宋体" w:eastAsia="宋体" w:cs="宋体"/>
          <w:b/>
          <w:bCs/>
          <w:sz w:val="48"/>
          <w:szCs w:val="48"/>
        </w:rPr>
      </w:pPr>
      <w:r>
        <w:rPr>
          <w:rFonts w:hint="eastAsia" w:ascii="宋体" w:hAnsi="宋体" w:cs="宋体"/>
          <w:b/>
          <w:bCs/>
          <w:sz w:val="48"/>
          <w:szCs w:val="48"/>
        </w:rPr>
        <w:t>规划设计项目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项目编号：GZCG-G2019002号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采购单位：许昌吉象文化旅游开发有限公司</w:t>
      </w:r>
    </w:p>
    <w:p>
      <w:pPr>
        <w:ind w:firstLine="108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6"/>
          <w:szCs w:val="36"/>
        </w:rPr>
        <w:t>代理机构：中建山河建设工程管理有限责任公司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二〇一九年三月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20"/>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0"/>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（一）项目名称：建安区国储林示范基地森林教育营地规划设计项目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（二）项目编号：GZCG-G2019002号</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（四）项目主要内容及要求：对建安区国储林示范基地森林教育营地进行规划设计, 规划设计面积约704亩，服务内容包括后期施工过程中所必要的现场指导。</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asciiTheme="minorEastAsia" w:hAnsiTheme="minorEastAsia" w:eastAsiaTheme="minorEastAsia" w:cstheme="minorEastAsia"/>
          <w:shd w:val="clear" w:color="auto" w:fill="FFFFFF"/>
        </w:rPr>
        <w:t>920000.00 元</w:t>
      </w:r>
      <w:r>
        <w:rPr>
          <w:rFonts w:hint="eastAsia" w:cs="仿宋_GB2312" w:asciiTheme="minorEastAsia" w:hAnsiTheme="minorEastAsia" w:eastAsiaTheme="minorEastAsia"/>
          <w:shd w:val="clear" w:color="auto" w:fill="FFFFFF"/>
        </w:rPr>
        <w:t>。最高限价：</w:t>
      </w:r>
      <w:r>
        <w:rPr>
          <w:rFonts w:hint="eastAsia" w:asciiTheme="minorEastAsia" w:hAnsiTheme="minorEastAsia" w:eastAsiaTheme="minorEastAsia" w:cstheme="minorEastAsia"/>
          <w:shd w:val="clear" w:color="auto" w:fill="FFFFFF"/>
        </w:rPr>
        <w:t>920000.00元</w:t>
      </w:r>
      <w:r>
        <w:rPr>
          <w:rFonts w:hint="eastAsia" w:cs="仿宋_GB2312" w:asciiTheme="minorEastAsia" w:hAnsiTheme="minorEastAsia" w:eastAsiaTheme="minorEastAsia"/>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（六）服务时间：自合同签订后15天内。</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w:t>
      </w:r>
      <w:r>
        <w:rPr>
          <w:rFonts w:hint="eastAsia" w:ascii="宋体" w:cs="宋体"/>
          <w:shd w:val="clear" w:color="auto" w:fill="FFFFFF"/>
        </w:rPr>
        <w:t>质量要求：符合国家现行规范、规程、规定、标准的要求。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（八）服务地点：河南省许昌市新元大道与新建107国道交叉口南2公里处（国储林基地项目所在地）。</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（一）符合《政府采购法》第二十二条第一款规定条件并提供相关材料；</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（二）投标人须具有城乡规划设计乙级或风景园林工程设计乙级或旅游规划设计</w:t>
      </w:r>
      <w:r>
        <w:rPr>
          <w:rFonts w:hint="eastAsia" w:cs="仿宋_GB2312" w:asciiTheme="minorEastAsia" w:hAnsiTheme="minorEastAsia"/>
          <w:shd w:val="clear" w:color="auto" w:fill="FFFFFF"/>
        </w:rPr>
        <w:t>乙</w:t>
      </w:r>
      <w:r>
        <w:rPr>
          <w:rFonts w:hint="eastAsia" w:cs="仿宋_GB2312" w:asciiTheme="minorEastAsia" w:hAnsiTheme="minorEastAsia" w:eastAsiaTheme="minorEastAsia"/>
          <w:shd w:val="clear" w:color="auto" w:fill="FFFFFF"/>
        </w:rPr>
        <w:t>级及以上资质，并在人员、设备、资金等方面具有相应的能力。拟派项目负责人具有相关专业高级及以上职称；</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w:t>
      </w:r>
      <w:r>
        <w:rPr>
          <w:rFonts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中国政府采购网</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(www.ccgp.gov.cn)政府采购严重违法失信行为记录名单的投标人</w:t>
      </w:r>
      <w:r>
        <w:rPr>
          <w:rFonts w:hint="eastAsia" w:cs="仿宋_GB2312" w:asciiTheme="minorEastAsia" w:hAnsiTheme="minorEastAsia" w:eastAsiaTheme="minorEastAsia"/>
          <w:shd w:val="clear" w:color="auto" w:fill="FFFFFF"/>
        </w:rPr>
        <w:t>；“国家企业信用公示系统”网站（www.gsxt.gov.cn）严重违法失信企业名单（黑名单）的投标人；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（一）投标截止及开标时间：2019年4月10日10时30分（北京时间），逾期提交或不符合规定的投标文件不予接受。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公共资源大厦）三楼开标二室。</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招 标 人：许昌吉象文化旅游开发有限公司  </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址：许昌市八一东路3799号</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 系 人：冯  斌</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联系电话： 0374-6069077/18039901698</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代理机构：中建山河建设工程管理有限责任公司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址：郑州市金水区经五路与红专路交叉口南50米</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项目负责人：郭鹏威</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联系电话：13569917698</w:t>
      </w:r>
    </w:p>
    <w:p>
      <w:pPr>
        <w:autoSpaceDE w:val="0"/>
        <w:autoSpaceDN w:val="0"/>
        <w:adjustRightInd w:val="0"/>
        <w:spacing w:line="700" w:lineRule="exact"/>
        <w:ind w:firstLine="560"/>
        <w:jc w:val="right"/>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许昌吉象文化旅游开发有限公司</w:t>
      </w:r>
    </w:p>
    <w:p>
      <w:pPr>
        <w:wordWrap w:val="0"/>
        <w:autoSpaceDE w:val="0"/>
        <w:autoSpaceDN w:val="0"/>
        <w:adjustRightInd w:val="0"/>
        <w:spacing w:line="700" w:lineRule="exact"/>
        <w:ind w:firstLine="560"/>
        <w:jc w:val="right"/>
        <w:rPr>
          <w:rFonts w:hAnsi="宋体"/>
          <w:b/>
          <w:sz w:val="28"/>
          <w:szCs w:val="28"/>
        </w:rPr>
      </w:pPr>
      <w:r>
        <w:rPr>
          <w:rFonts w:hint="eastAsia" w:cs="仿宋_GB2312" w:asciiTheme="minorEastAsia" w:hAnsiTheme="minorEastAsia"/>
          <w:sz w:val="24"/>
          <w:szCs w:val="24"/>
        </w:rPr>
        <w:t xml:space="preserve">                              二〇一九年三月十八日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widowControl/>
        <w:jc w:val="left"/>
        <w:rPr>
          <w:rFonts w:cs="仿宋_GB2312" w:asciiTheme="minorEastAsia" w:hAnsiTheme="minorEastAsia"/>
          <w:sz w:val="24"/>
          <w:szCs w:val="24"/>
        </w:rPr>
      </w:pPr>
      <w:r>
        <w:rPr>
          <w:rFonts w:cs="仿宋_GB2312" w:asciiTheme="minorEastAsia" w:hAnsiTheme="minorEastAsia"/>
          <w:sz w:val="24"/>
          <w:szCs w:val="24"/>
        </w:rP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widowControl/>
        <w:numPr>
          <w:ilvl w:val="0"/>
          <w:numId w:val="4"/>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pStyle w:val="2"/>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对建安区国储林示范基地森林教育营地进行规划设计, 规划设计面积约704亩，服务内容包括后期施工过程中所必要的现场指导。</w:t>
      </w:r>
    </w:p>
    <w:p>
      <w:pPr>
        <w:widowControl/>
        <w:numPr>
          <w:ilvl w:val="0"/>
          <w:numId w:val="4"/>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项目概况</w:t>
      </w:r>
    </w:p>
    <w:p>
      <w:pPr>
        <w:pStyle w:val="2"/>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建安区国储林示范基地森林教育营地项目位于许昌市建安区国储林示范基地内，毗邻107国道和G4京港澳高速，属于城郊地块，交通便利，国储林示范基地内树木丛生，河流穿行，环境优美，具备建设休闲农业和农业教育的条件。届时将形成教育研学，户外运动体验，农事体验，农业观光、林下种植等于一体的综合性休闲农业项目。</w:t>
      </w:r>
    </w:p>
    <w:p>
      <w:pPr>
        <w:spacing w:line="360" w:lineRule="auto"/>
        <w:ind w:firstLine="241" w:firstLineChars="100"/>
        <w:contextualSpacing/>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rPr>
        <w:t>三、验收标准</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lang w:val="zh-CN"/>
        </w:rPr>
      </w:pPr>
      <w:r>
        <w:rPr>
          <w:rFonts w:hint="eastAsia" w:cs="黑体" w:asciiTheme="minorEastAsia" w:hAnsiTheme="minorEastAsia"/>
          <w:b/>
          <w:bCs/>
          <w:sz w:val="24"/>
          <w:szCs w:val="24"/>
          <w:shd w:val="clear" w:color="auto" w:fill="FFFFFF"/>
          <w:lang w:val="zh-CN"/>
        </w:rPr>
        <w:t>四、其他要求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1、规划</w:t>
      </w:r>
      <w:r>
        <w:rPr>
          <w:rFonts w:hint="eastAsia" w:cs="宋体" w:asciiTheme="minorEastAsia" w:hAnsiTheme="minorEastAsia"/>
          <w:kern w:val="0"/>
          <w:sz w:val="24"/>
          <w:szCs w:val="24"/>
          <w:lang w:eastAsia="zh-CN"/>
        </w:rPr>
        <w:t>设计</w:t>
      </w:r>
      <w:r>
        <w:rPr>
          <w:rFonts w:hint="eastAsia" w:cs="宋体" w:asciiTheme="minorEastAsia" w:hAnsiTheme="minorEastAsia"/>
          <w:kern w:val="0"/>
          <w:sz w:val="24"/>
          <w:szCs w:val="24"/>
        </w:rPr>
        <w:t>应遵循以下几个方面的原则:①规划的系统性与前瞻性；②创意、创新与可行性；③美观与合理性；④功能性；⑤充分体现“教育营地”的理念；⑥经济性。</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 xml:space="preserve">  2、</w:t>
      </w:r>
      <w:r>
        <w:rPr>
          <w:rFonts w:hint="eastAsia" w:cs="宋体" w:asciiTheme="minorEastAsia" w:hAnsiTheme="minorEastAsia"/>
          <w:kern w:val="0"/>
          <w:sz w:val="24"/>
          <w:szCs w:val="24"/>
          <w:lang w:val="zh-CN"/>
        </w:rPr>
        <w:t>各阶段文件完整齐全，内容、深度符合规定，文字说明和图面均应符合标准，表达清晰、准确，全部文件必须严格效验，不应出现各种差错。</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 xml:space="preserve">  3、</w:t>
      </w:r>
      <w:r>
        <w:rPr>
          <w:rFonts w:hint="eastAsia" w:cs="宋体" w:asciiTheme="minorEastAsia" w:hAnsiTheme="minorEastAsia"/>
          <w:kern w:val="0"/>
          <w:sz w:val="24"/>
          <w:szCs w:val="24"/>
          <w:lang w:val="zh-CN"/>
        </w:rPr>
        <w:t>对所有成果文件(包括书面和电子文件等)，采购人不仅具有使用权，还有在为非施工中标单位的情况下，对施工过程中的图纸优化修改的权利。同时中标人有义务完成施工过程中的技术支持，包括对经优化修改文件的审核和签章等。</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4、所有成果文件还必须满足政府相关的报建要求。</w:t>
      </w:r>
    </w:p>
    <w:p>
      <w:pPr>
        <w:spacing w:line="360" w:lineRule="auto"/>
        <w:ind w:firstLine="241" w:firstLineChars="100"/>
        <w:contextualSpacing/>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rPr>
        <w:t>五、资金支付</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spacing w:line="360" w:lineRule="auto"/>
        <w:ind w:firstLine="480" w:firstLineChars="200"/>
        <w:rPr>
          <w:rFonts w:ascii="宋体" w:hAnsi="宋体"/>
          <w:sz w:val="24"/>
        </w:rPr>
      </w:pPr>
      <w:r>
        <w:rPr>
          <w:rFonts w:hint="eastAsia" w:cs="宋体" w:asciiTheme="minorEastAsia" w:hAnsiTheme="minorEastAsia"/>
          <w:kern w:val="0"/>
          <w:sz w:val="24"/>
          <w:szCs w:val="24"/>
          <w:lang w:val="zh-CN"/>
        </w:rPr>
        <w:t>2、支付时间及条件：</w:t>
      </w:r>
      <w:r>
        <w:rPr>
          <w:rFonts w:hint="eastAsia" w:ascii="宋体" w:hAnsi="宋体"/>
          <w:sz w:val="24"/>
        </w:rPr>
        <w:t>合同签订5个工作日内，委托人付设计人合同总价的20%,；设计成果初步完成，设计人向委托人汇报且得到委托人认可后，委托人付设计人合同总价的50%；最终设计成果提交（包括纸质版和电子版，最终设计成果质量需符合国家相关规范要求）15个工作日内，委托人付设计人合同总价的20%；后期跟踪服务结束，余款一次付清。</w:t>
      </w:r>
    </w:p>
    <w:p>
      <w:pPr>
        <w:spacing w:line="360" w:lineRule="auto"/>
        <w:ind w:firstLine="480" w:firstLineChars="200"/>
        <w:contextualSpacing/>
        <w:rPr>
          <w:rFonts w:cs="宋体" w:asciiTheme="minorEastAsia" w:hAnsiTheme="minorEastAsia"/>
          <w:kern w:val="0"/>
          <w:sz w:val="24"/>
          <w:szCs w:val="24"/>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项目名称：建安区国储林示范基地森林教育营地规划设计项目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项目编号：GZCG-G2019</w:t>
            </w:r>
            <w:r>
              <w:rPr>
                <w:rFonts w:hint="eastAsia" w:cs="仿宋_GB2312" w:asciiTheme="minorEastAsia" w:hAnsiTheme="minorEastAsia"/>
                <w:sz w:val="24"/>
                <w:szCs w:val="24"/>
                <w:lang w:val="en-US" w:eastAsia="zh-CN"/>
              </w:rPr>
              <w:t>002</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宋体" w:asciiTheme="minorEastAsia" w:hAnsiTheme="minorEastAsia"/>
                <w:kern w:val="0"/>
                <w:sz w:val="24"/>
                <w:szCs w:val="24"/>
              </w:rPr>
              <w:t>对建安区国储林示范基地森林教育营地进行规划设计, 规划设计面积约704亩，服务内容包括后期施工过程中所必要的现场指导。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项目地址：河南省许昌市新元大道与新建107国道交叉口南2公里处（国储林基地项目所在地）。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招 标 人：许昌吉象文化旅游开发有限公司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址：许昌市八一东路3799号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 系 人：冯  斌</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 0374-6069077/18039901698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代理机构：中建山河建设工程管理有限责任公司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址：郑州市金水区经五路与红专路交叉口南50米</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项目负责人：郭鹏威</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w:t>
            </w:r>
            <w:r>
              <w:rPr>
                <w:rFonts w:hint="eastAsia" w:cs="宋体" w:asciiTheme="minorEastAsia" w:hAnsiTheme="minorEastAsia"/>
                <w:bCs/>
                <w:sz w:val="24"/>
                <w:szCs w:val="24"/>
              </w:rPr>
              <w:t>7</w:t>
            </w:r>
            <w:r>
              <w:rPr>
                <w:rFonts w:hint="eastAsia" w:cs="宋体" w:asciiTheme="minorEastAsia" w:hAnsi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b/>
                <w:sz w:val="24"/>
                <w:szCs w:val="24"/>
                <w:shd w:val="clear" w:color="auto" w:fill="FFFFFF"/>
                <w:lang w:val="zh-CN"/>
              </w:rPr>
            </w:pPr>
            <w:r>
              <w:rPr>
                <w:rFonts w:hint="eastAsia" w:cs="仿宋_GB2312" w:asciiTheme="minorEastAsia" w:hAnsiTheme="minorEastAsia"/>
                <w:b/>
                <w:sz w:val="24"/>
                <w:szCs w:val="24"/>
                <w:shd w:val="clear" w:color="auto" w:fill="FFFFFF"/>
                <w:lang w:val="zh-CN"/>
              </w:rPr>
              <w:t>七、投标人须具有城乡规划设计乙级或风景园林工程设计乙级或旅游规划设计乙级及以上资质。</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仿宋_GB2312" w:asciiTheme="minorEastAsia" w:hAnsiTheme="minorEastAsia"/>
                <w:b/>
                <w:sz w:val="24"/>
                <w:szCs w:val="24"/>
                <w:shd w:val="clear" w:color="auto" w:fill="FFFFFF"/>
              </w:rPr>
              <w:t>；“国家企业信用公示系统”网站（www.gsxt.gov.cn）严重违法失信企业名单（黑名单）的投标人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）和“国家企业信用公示系统”网站（www.gsxt.gov.cn）；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920000.00元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10</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金额：壹万捌仟元整（¥</w:t>
            </w:r>
            <w:r>
              <w:rPr>
                <w:rFonts w:hint="eastAsia" w:cs="仿宋_GB2312" w:asciiTheme="minorEastAsia" w:hAnsiTheme="minorEastAsia"/>
                <w:sz w:val="24"/>
                <w:szCs w:val="24"/>
              </w:rPr>
              <w:t>18000.00元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10</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shanheguanli@163.com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ageBreakBefore/>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ind w:firstLine="340"/>
        <w:contextualSpacing/>
        <w:rPr>
          <w:rFonts w:cs="仿宋_GB2312" w:asciiTheme="minorEastAsia" w:hAnsiTheme="minorEastAsia"/>
          <w:lang w:val="zh-CN"/>
        </w:rPr>
      </w:pPr>
    </w:p>
    <w:p>
      <w:pPr>
        <w:pStyle w:val="13"/>
        <w:spacing w:line="360" w:lineRule="auto"/>
        <w:ind w:firstLine="211"/>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仿宋_GB2312" w:asciiTheme="minorEastAsia" w:hAnsiTheme="minorEastAsia"/>
                <w:b/>
                <w:szCs w:val="21"/>
                <w:shd w:val="clear" w:color="auto" w:fill="FFFFFF"/>
              </w:rPr>
              <w:t>；“国家企业信用公示系统”网站（www.gsxt.gov.cn）严重违法失信企业名单（黑名单）的投标人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w:t>
            </w:r>
            <w:r>
              <w:rPr>
                <w:rFonts w:hint="eastAsia" w:asciiTheme="minorEastAsia" w:hAnsiTheme="minorEastAsia"/>
                <w:bCs/>
                <w:szCs w:val="21"/>
                <w:lang w:eastAsia="zh-CN"/>
              </w:rPr>
              <w:t>、</w:t>
            </w:r>
            <w:r>
              <w:rPr>
                <w:rFonts w:hint="eastAsia" w:asciiTheme="minorEastAsia" w:hAnsiTheme="minorEastAsia"/>
                <w:bCs/>
                <w:szCs w:val="21"/>
              </w:rPr>
              <w:t>“中国政府采购网”（www.ccgp.gov.cn）和“国家企业信用公示系统”网站（www.gsxt.gov.cn）；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13、投标人须具备城乡规划设计乙级或风景园林工程设计乙级或旅游规划设计乙级及以上资质。</w:t>
            </w: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4" w:type="dxa"/>
            <w:gridSpan w:val="2"/>
            <w:vAlign w:val="center"/>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20</w:t>
            </w:r>
            <w:r>
              <w:rPr>
                <w:rFonts w:hint="eastAsia" w:ascii="宋体" w:hAnsi="宋体" w:eastAsia="宋体" w:cs="宋体"/>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30</w:t>
            </w:r>
            <w:r>
              <w:rPr>
                <w:rFonts w:hint="eastAsia" w:ascii="宋体" w:hAnsi="宋体" w:eastAsia="宋体" w:cs="宋体"/>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50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bCs/>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评分因素</w:t>
            </w:r>
          </w:p>
        </w:tc>
        <w:tc>
          <w:tcPr>
            <w:tcW w:w="6237" w:type="dxa"/>
            <w:tcBorders>
              <w:top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ascii="宋体" w:hAnsi="宋体" w:eastAsia="宋体" w:cs="宋体"/>
                <w:sz w:val="24"/>
                <w:szCs w:val="24"/>
              </w:rPr>
            </w:pPr>
            <w:r>
              <w:rPr>
                <w:rFonts w:hint="eastAsia" w:ascii="宋体" w:hAnsi="宋体" w:eastAsia="宋体" w:cs="宋体"/>
                <w:sz w:val="24"/>
                <w:szCs w:val="24"/>
              </w:rPr>
              <w:t>评分标准</w:t>
            </w:r>
          </w:p>
        </w:tc>
        <w:tc>
          <w:tcPr>
            <w:tcW w:w="6237" w:type="dxa"/>
            <w:tcBorders>
              <w:top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sz w:val="24"/>
                <w:szCs w:val="24"/>
              </w:rPr>
            </w:pPr>
            <w:r>
              <w:rPr>
                <w:rFonts w:hint="eastAsia" w:ascii="宋体" w:hAnsi="宋体" w:eastAsia="宋体" w:cs="宋体"/>
                <w:sz w:val="24"/>
                <w:szCs w:val="24"/>
              </w:rPr>
              <w:t>投标报价得分=（评标基准价/投标报价）×20</w:t>
            </w:r>
          </w:p>
        </w:tc>
        <w:tc>
          <w:tcPr>
            <w:tcW w:w="967" w:type="dxa"/>
            <w:tcBorders>
              <w:top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30</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企业综合实力、荣誉及诚信</w:t>
            </w:r>
          </w:p>
        </w:tc>
        <w:tc>
          <w:tcPr>
            <w:tcW w:w="6237"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1、企业通过ISO质量、环境、职业健康安全管理体系认证的得3分。</w:t>
            </w:r>
          </w:p>
          <w:p>
            <w:pPr>
              <w:spacing w:line="360" w:lineRule="auto"/>
              <w:rPr>
                <w:rFonts w:ascii="宋体" w:hAnsi="宋体" w:eastAsia="宋体" w:cs="宋体"/>
                <w:sz w:val="24"/>
                <w:szCs w:val="24"/>
              </w:rPr>
            </w:pPr>
            <w:r>
              <w:rPr>
                <w:rFonts w:hint="eastAsia" w:ascii="宋体" w:hAnsi="宋体" w:eastAsia="宋体" w:cs="宋体"/>
                <w:sz w:val="24"/>
                <w:szCs w:val="24"/>
              </w:rPr>
              <w:t>2、投标人近三年有规划或相关设计项目获得相关主管部门颁发的奖项的，国家级的，得4分，省级的，得2分，市级的，得1分，本项最高得6分。</w:t>
            </w:r>
          </w:p>
        </w:tc>
        <w:tc>
          <w:tcPr>
            <w:tcW w:w="967" w:type="dxa"/>
            <w:vAlign w:val="center"/>
          </w:tcPr>
          <w:p>
            <w:pPr>
              <w:spacing w:line="360" w:lineRule="auto"/>
              <w:jc w:val="center"/>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企业类似项目业绩</w:t>
            </w:r>
          </w:p>
        </w:tc>
        <w:tc>
          <w:tcPr>
            <w:tcW w:w="6237" w:type="dxa"/>
          </w:tcPr>
          <w:p>
            <w:pPr>
              <w:spacing w:line="360" w:lineRule="auto"/>
              <w:rPr>
                <w:rFonts w:ascii="宋体" w:hAnsi="宋体" w:eastAsia="宋体" w:cs="宋体"/>
                <w:sz w:val="24"/>
                <w:szCs w:val="24"/>
              </w:rPr>
            </w:pPr>
            <w:r>
              <w:rPr>
                <w:rFonts w:hint="eastAsia" w:ascii="宋体" w:hAnsi="宋体" w:eastAsia="宋体" w:cs="宋体"/>
                <w:sz w:val="24"/>
                <w:szCs w:val="24"/>
              </w:rPr>
              <w:t>投标人自2015年1月1日至今具有类似项目业绩20万以上的每项得2分，本项最高6分。（注：投标文件中需提供业绩复印件或图片扫描件，否则不得分）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项目负责人业绩</w:t>
            </w:r>
          </w:p>
        </w:tc>
        <w:tc>
          <w:tcPr>
            <w:tcW w:w="6237" w:type="dxa"/>
          </w:tcPr>
          <w:p>
            <w:pPr>
              <w:pStyle w:val="2"/>
              <w:spacing w:line="360" w:lineRule="auto"/>
              <w:rPr>
                <w:rFonts w:ascii="宋体" w:hAnsi="宋体" w:eastAsia="宋体" w:cs="宋体"/>
                <w:sz w:val="24"/>
                <w:szCs w:val="24"/>
              </w:rPr>
            </w:pPr>
            <w:r>
              <w:rPr>
                <w:rFonts w:hint="eastAsia" w:ascii="宋体" w:hAnsi="宋体" w:eastAsia="宋体" w:cs="宋体"/>
                <w:sz w:val="24"/>
                <w:szCs w:val="24"/>
              </w:rPr>
              <w:t>2015年1月1日以来项目负责人参加过的规划或设计类项目获得国家级奖项的得4分，省级的，得2分，市级的，得1分，本项最高6分。</w:t>
            </w:r>
          </w:p>
          <w:p>
            <w:pPr>
              <w:spacing w:line="360" w:lineRule="auto"/>
              <w:rPr>
                <w:rFonts w:ascii="宋体" w:hAnsi="宋体" w:eastAsia="宋体" w:cs="宋体"/>
                <w:sz w:val="24"/>
                <w:szCs w:val="24"/>
              </w:rPr>
            </w:pPr>
            <w:r>
              <w:rPr>
                <w:rFonts w:hint="eastAsia" w:ascii="宋体" w:hAnsi="宋体" w:eastAsia="宋体" w:cs="宋体"/>
                <w:sz w:val="24"/>
                <w:szCs w:val="24"/>
              </w:rPr>
              <w:t>获奖明确写有负责人姓名，否则不得分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项目组人员配备</w:t>
            </w:r>
          </w:p>
        </w:tc>
        <w:tc>
          <w:tcPr>
            <w:tcW w:w="6237" w:type="dxa"/>
          </w:tcPr>
          <w:p>
            <w:pPr>
              <w:spacing w:line="360" w:lineRule="auto"/>
              <w:rPr>
                <w:rFonts w:ascii="宋体" w:hAnsi="宋体" w:eastAsia="宋体" w:cs="宋体"/>
                <w:sz w:val="24"/>
                <w:szCs w:val="24"/>
              </w:rPr>
            </w:pPr>
            <w:r>
              <w:rPr>
                <w:rFonts w:hint="eastAsia" w:ascii="宋体" w:hAnsi="宋体" w:eastAsia="宋体" w:cs="宋体"/>
                <w:sz w:val="24"/>
                <w:szCs w:val="24"/>
              </w:rPr>
              <w:t xml:space="preserve"> 投标人拟派项目组人员配备：</w:t>
            </w:r>
          </w:p>
          <w:p>
            <w:pPr>
              <w:spacing w:line="360" w:lineRule="auto"/>
              <w:jc w:val="left"/>
              <w:rPr>
                <w:rFonts w:ascii="宋体" w:hAnsi="宋体" w:eastAsia="宋体" w:cs="宋体"/>
                <w:sz w:val="24"/>
                <w:szCs w:val="24"/>
              </w:rPr>
            </w:pPr>
            <w:r>
              <w:rPr>
                <w:rFonts w:hint="eastAsia" w:ascii="宋体" w:hAnsi="宋体" w:eastAsia="宋体" w:cs="宋体"/>
                <w:sz w:val="24"/>
                <w:szCs w:val="24"/>
              </w:rPr>
              <w:t>1、项目负责人为高级及以上职称的得3分；</w:t>
            </w:r>
          </w:p>
          <w:p>
            <w:pPr>
              <w:spacing w:line="360" w:lineRule="auto"/>
              <w:jc w:val="left"/>
              <w:rPr>
                <w:rFonts w:eastAsia="宋体"/>
              </w:rPr>
            </w:pPr>
            <w:r>
              <w:rPr>
                <w:rFonts w:hint="eastAsia" w:ascii="宋体" w:hAnsi="宋体" w:eastAsia="宋体" w:cs="宋体"/>
                <w:sz w:val="24"/>
                <w:szCs w:val="24"/>
              </w:rPr>
              <w:t>2、投标单位项目班子配备中具有中级职称者得1分，高级职称者得2分，本项最高得6分。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66" w:type="dxa"/>
            <w:gridSpan w:val="3"/>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1762"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项目规划</w:t>
            </w:r>
            <w:r>
              <w:rPr>
                <w:rFonts w:hint="eastAsia" w:ascii="宋体" w:hAnsi="宋体" w:eastAsia="宋体" w:cs="宋体"/>
                <w:sz w:val="24"/>
                <w:szCs w:val="24"/>
                <w:lang w:eastAsia="zh-CN"/>
              </w:rPr>
              <w:t>设计</w:t>
            </w:r>
            <w:r>
              <w:rPr>
                <w:rFonts w:hint="eastAsia" w:ascii="宋体" w:hAnsi="宋体" w:eastAsia="宋体" w:cs="宋体"/>
                <w:sz w:val="24"/>
                <w:szCs w:val="24"/>
              </w:rPr>
              <w:t>方案</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自行进行现场勘测，按规范要求设计文本，并满足以下要求：</w:t>
            </w:r>
          </w:p>
          <w:p>
            <w:pPr>
              <w:spacing w:line="360" w:lineRule="auto"/>
              <w:rPr>
                <w:rFonts w:ascii="宋体" w:hAnsi="宋体" w:eastAsia="宋体" w:cs="宋体"/>
                <w:sz w:val="24"/>
                <w:szCs w:val="24"/>
              </w:rPr>
            </w:pPr>
            <w:r>
              <w:rPr>
                <w:rFonts w:hint="eastAsia" w:ascii="宋体" w:hAnsi="宋体" w:eastAsia="宋体" w:cs="宋体"/>
                <w:sz w:val="24"/>
                <w:szCs w:val="24"/>
              </w:rPr>
              <w:t>（1）规划</w:t>
            </w:r>
            <w:r>
              <w:rPr>
                <w:rFonts w:hint="eastAsia" w:ascii="宋体" w:hAnsi="宋体" w:eastAsia="宋体" w:cs="宋体"/>
                <w:sz w:val="24"/>
                <w:szCs w:val="24"/>
                <w:lang w:eastAsia="zh-CN"/>
              </w:rPr>
              <w:t>设计</w:t>
            </w:r>
            <w:r>
              <w:rPr>
                <w:rFonts w:hint="eastAsia" w:ascii="宋体" w:hAnsi="宋体" w:eastAsia="宋体" w:cs="宋体"/>
                <w:sz w:val="24"/>
                <w:szCs w:val="24"/>
              </w:rPr>
              <w:t>方案。总体科学合理可行的得4分，有的得2分，没有的不得分；</w:t>
            </w:r>
          </w:p>
          <w:p>
            <w:pPr>
              <w:spacing w:line="360" w:lineRule="auto"/>
              <w:rPr>
                <w:rFonts w:ascii="宋体" w:hAnsi="宋体" w:eastAsia="宋体" w:cs="宋体"/>
                <w:sz w:val="24"/>
                <w:szCs w:val="24"/>
              </w:rPr>
            </w:pPr>
            <w:r>
              <w:rPr>
                <w:rFonts w:hint="eastAsia" w:ascii="宋体" w:hAnsi="宋体" w:eastAsia="宋体" w:cs="宋体"/>
                <w:sz w:val="24"/>
                <w:szCs w:val="24"/>
              </w:rPr>
              <w:t>（2）技术标总规划中文本具有以下项目内容；每项3分，每缺其中一项得0分，有得2分，满足规范得3分，本项最高得27分。</w:t>
            </w:r>
          </w:p>
          <w:p>
            <w:pPr>
              <w:pStyle w:val="39"/>
              <w:spacing w:line="360" w:lineRule="auto"/>
              <w:ind w:firstLine="0" w:firstLineChars="0"/>
              <w:rPr>
                <w:sz w:val="24"/>
                <w:szCs w:val="24"/>
              </w:rPr>
            </w:pPr>
            <w:r>
              <w:rPr>
                <w:rFonts w:hint="eastAsia"/>
                <w:bCs/>
                <w:sz w:val="24"/>
                <w:szCs w:val="24"/>
              </w:rPr>
              <w:t xml:space="preserve">1、研学教育区    </w:t>
            </w:r>
            <w:r>
              <w:rPr>
                <w:rFonts w:hint="eastAsia"/>
                <w:sz w:val="24"/>
                <w:szCs w:val="24"/>
              </w:rPr>
              <w:t>2、亲子体验区    3、农事体验区</w:t>
            </w:r>
          </w:p>
          <w:p>
            <w:pPr>
              <w:spacing w:before="156" w:beforeLines="50" w:after="156" w:afterLines="50" w:line="360" w:lineRule="auto"/>
              <w:rPr>
                <w:sz w:val="24"/>
                <w:szCs w:val="24"/>
              </w:rPr>
            </w:pPr>
            <w:r>
              <w:rPr>
                <w:rFonts w:hint="eastAsia"/>
                <w:sz w:val="24"/>
                <w:szCs w:val="24"/>
              </w:rPr>
              <w:t>4、户外运动区    5、美食体验区    6、特色体验区</w:t>
            </w:r>
          </w:p>
          <w:p>
            <w:pPr>
              <w:spacing w:before="156" w:beforeLines="50" w:after="156" w:afterLines="50" w:line="360" w:lineRule="auto"/>
              <w:rPr>
                <w:rFonts w:ascii="宋体" w:hAnsi="宋体" w:eastAsia="宋体" w:cs="宋体"/>
                <w:sz w:val="24"/>
                <w:szCs w:val="24"/>
              </w:rPr>
            </w:pPr>
            <w:r>
              <w:rPr>
                <w:rFonts w:hint="eastAsia"/>
                <w:sz w:val="24"/>
                <w:szCs w:val="24"/>
              </w:rPr>
              <w:t>7、特色种植区    8、观光体验区    9、游乐嬉戏区</w:t>
            </w:r>
          </w:p>
        </w:tc>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商业计划书</w:t>
            </w:r>
          </w:p>
        </w:tc>
        <w:tc>
          <w:tcPr>
            <w:tcW w:w="6237" w:type="dxa"/>
            <w:vAlign w:val="center"/>
          </w:tcPr>
          <w:p>
            <w:pPr>
              <w:spacing w:line="360" w:lineRule="auto"/>
              <w:jc w:val="left"/>
              <w:rPr>
                <w:rFonts w:ascii="宋体" w:hAnsi="宋体" w:eastAsia="宋体" w:cs="宋体"/>
                <w:sz w:val="24"/>
                <w:szCs w:val="24"/>
              </w:rPr>
            </w:pPr>
            <w:r>
              <w:rPr>
                <w:rFonts w:hint="eastAsia" w:ascii="宋体" w:hAnsi="宋体" w:eastAsia="宋体" w:cs="宋体"/>
                <w:bCs/>
                <w:sz w:val="24"/>
                <w:szCs w:val="24"/>
              </w:rPr>
              <w:t>所提供完善的商业计划书，详细、可行、科学的得4-6分（不含6分）；基本详细、可行、科学的得2-4分（不含4分）；有缺陷的得0-2分。缺项不得分。</w:t>
            </w:r>
            <w:r>
              <w:rPr>
                <w:rFonts w:hint="eastAsia" w:ascii="宋体" w:hAnsi="宋体" w:eastAsia="宋体" w:cs="宋体"/>
                <w:sz w:val="24"/>
                <w:szCs w:val="24"/>
              </w:rPr>
              <w:t>本项最高得6分。</w:t>
            </w:r>
          </w:p>
        </w:tc>
        <w:tc>
          <w:tcPr>
            <w:tcW w:w="967" w:type="dxa"/>
            <w:tcBorders>
              <w:top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项目详规</w:t>
            </w:r>
          </w:p>
        </w:tc>
        <w:tc>
          <w:tcPr>
            <w:tcW w:w="6237" w:type="dxa"/>
            <w:vAlign w:val="center"/>
          </w:tcPr>
          <w:p>
            <w:pPr>
              <w:spacing w:line="360" w:lineRule="auto"/>
              <w:rPr>
                <w:rFonts w:ascii="宋体" w:hAnsi="宋体" w:eastAsia="宋体" w:cs="宋体"/>
                <w:sz w:val="24"/>
                <w:szCs w:val="24"/>
              </w:rPr>
            </w:pPr>
            <w:r>
              <w:rPr>
                <w:rFonts w:hint="eastAsia" w:ascii="宋体" w:hAnsi="宋体" w:eastAsia="宋体" w:cs="宋体"/>
                <w:bCs/>
                <w:sz w:val="24"/>
                <w:szCs w:val="24"/>
              </w:rPr>
              <w:t>所提供的项目详规，详细、可行、科学的得4-6分（不含6分）；基本详细、可行、科学的得2-4分（不含4分）；有缺陷的得0-2分。缺项不得分。</w:t>
            </w:r>
            <w:r>
              <w:rPr>
                <w:rFonts w:hint="eastAsia" w:ascii="宋体" w:hAnsi="宋体" w:eastAsia="宋体" w:cs="宋体"/>
                <w:sz w:val="24"/>
                <w:szCs w:val="24"/>
              </w:rPr>
              <w:t>本项最高得6分。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售后服务方案</w:t>
            </w:r>
          </w:p>
          <w:p>
            <w:pPr>
              <w:spacing w:line="360" w:lineRule="auto"/>
              <w:jc w:val="center"/>
              <w:rPr>
                <w:rFonts w:ascii="宋体" w:hAnsi="宋体" w:eastAsia="宋体" w:cs="宋体"/>
                <w:sz w:val="24"/>
                <w:szCs w:val="24"/>
              </w:rPr>
            </w:pPr>
            <w:r>
              <w:rPr>
                <w:rFonts w:hint="eastAsia" w:ascii="宋体" w:hAnsi="宋体" w:eastAsia="宋体" w:cs="宋体"/>
                <w:sz w:val="24"/>
                <w:szCs w:val="24"/>
              </w:rPr>
              <w:t>及承诺</w:t>
            </w:r>
          </w:p>
        </w:tc>
        <w:tc>
          <w:tcPr>
            <w:tcW w:w="6237"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投标人针对招标项目的特点和要求，结合自身条件和潜力为招标人排忧解难，有优惠承诺者由评委进行综合评分，在0—5分范围内进行打分。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投标文件的规范程度</w:t>
            </w:r>
          </w:p>
        </w:tc>
        <w:tc>
          <w:tcPr>
            <w:tcW w:w="6237" w:type="dxa"/>
            <w:vAlign w:val="center"/>
          </w:tcPr>
          <w:p>
            <w:pPr>
              <w:spacing w:line="360" w:lineRule="auto"/>
              <w:jc w:val="left"/>
              <w:rPr>
                <w:rFonts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投标文件的编制符合招标文件的规定，装订整齐规范的，得1分；不满足不得分。</w:t>
            </w:r>
          </w:p>
          <w:p>
            <w:pPr>
              <w:spacing w:line="360"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投标人编制投标文件逻辑严紧、描述规范、无文字错误的，得1分；不满足不得分。</w:t>
            </w:r>
          </w:p>
        </w:tc>
        <w:tc>
          <w:tcPr>
            <w:tcW w:w="9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2分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5.价格和付款方式</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rPr>
          <w:rFonts w:ascii="宋体" w:hAnsi="宋体" w:cs="微软雅黑"/>
          <w:b/>
          <w:bCs/>
          <w:sz w:val="24"/>
          <w:szCs w:val="24"/>
        </w:rPr>
      </w:pPr>
      <w:r>
        <w:rPr>
          <w:rFonts w:hint="eastAsia" w:ascii="宋体" w:hAnsi="宋体"/>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w:t>
      </w:r>
      <w:r>
        <w:rPr>
          <w:rFonts w:hint="eastAsia" w:cs="宋体" w:asciiTheme="minorEastAsia" w:hAnsiTheme="minorEastAsia"/>
          <w:sz w:val="24"/>
          <w:szCs w:val="24"/>
          <w:lang w:val="en-US" w:eastAsia="zh-CN"/>
        </w:rPr>
        <w:t xml:space="preserve"> </w:t>
      </w:r>
      <w:bookmarkStart w:id="9" w:name="_GoBack"/>
      <w:bookmarkEnd w:id="9"/>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r>
        <w:rPr>
          <w:rFonts w:hint="eastAsia" w:ascii="宋体" w:cs="宋体"/>
          <w:sz w:val="24"/>
          <w:lang w:val="zh-CN"/>
        </w:rPr>
        <w:t>注：服务时间指完成该项目的最终时间。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         日期：   年   月   日</w:t>
      </w: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asciiTheme="minorEastAsia" w:hAnsiTheme="minorEastAsia"/>
          <w:i/>
          <w:snapToGrid w:val="0"/>
          <w:sz w:val="24"/>
          <w:szCs w:val="24"/>
          <w:u w:val="single"/>
          <w:lang w:val="en-US" w:eastAsia="zh-CN"/>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项目技术方案（规划</w:t>
      </w:r>
      <w:r>
        <w:rPr>
          <w:rFonts w:hint="eastAsia" w:hAnsi="宋体" w:eastAsia="宋体"/>
          <w:b/>
          <w:snapToGrid w:val="0"/>
          <w:kern w:val="0"/>
          <w:sz w:val="36"/>
          <w:szCs w:val="36"/>
          <w:lang w:eastAsia="zh-CN"/>
        </w:rPr>
        <w:t>设计</w:t>
      </w:r>
      <w:r>
        <w:rPr>
          <w:rFonts w:hint="eastAsia" w:hAnsi="宋体" w:eastAsia="宋体"/>
          <w:b/>
          <w:snapToGrid w:val="0"/>
          <w:kern w:val="0"/>
          <w:sz w:val="36"/>
          <w:szCs w:val="36"/>
        </w:rPr>
        <w:t>方案）</w:t>
      </w:r>
    </w:p>
    <w:p>
      <w:pPr>
        <w:autoSpaceDE w:val="0"/>
        <w:autoSpaceDN w:val="0"/>
        <w:adjustRightInd w:val="0"/>
        <w:spacing w:line="480" w:lineRule="auto"/>
        <w:ind w:firstLine="600" w:firstLineChars="250"/>
        <w:rPr>
          <w:rFonts w:cs="宋体" w:asciiTheme="minorEastAsia" w:hAnsiTheme="minorEastAsia"/>
          <w:sz w:val="24"/>
          <w:szCs w:val="24"/>
          <w:lang w:val="zh-CN"/>
        </w:rPr>
      </w:pPr>
    </w:p>
    <w:p>
      <w:pPr>
        <w:snapToGrid w:val="0"/>
        <w:spacing w:line="360" w:lineRule="auto"/>
        <w:ind w:firstLine="564" w:firstLineChars="235"/>
        <w:jc w:val="left"/>
        <w:rPr>
          <w:rFonts w:cs="宋体" w:asciiTheme="minorEastAsia" w:hAnsiTheme="minorEastAsia"/>
          <w:sz w:val="24"/>
          <w:szCs w:val="24"/>
          <w:lang w:val="zh-CN"/>
        </w:rPr>
      </w:pPr>
      <w:r>
        <w:rPr>
          <w:rFonts w:hint="eastAsia" w:cs="宋体" w:asciiTheme="minorEastAsia" w:hAnsiTheme="minorEastAsia"/>
          <w:sz w:val="24"/>
          <w:szCs w:val="24"/>
          <w:lang w:val="zh-CN"/>
        </w:rPr>
        <w:t>投标人所编制规划方案内容需包含：</w:t>
      </w:r>
      <w:r>
        <w:rPr>
          <w:rFonts w:hint="eastAsia" w:hAnsi="宋体" w:eastAsia="宋体"/>
          <w:b/>
          <w:snapToGrid w:val="0"/>
          <w:kern w:val="0"/>
          <w:sz w:val="22"/>
          <w:szCs w:val="36"/>
        </w:rPr>
        <w:t>背景分析、规划理念、总体规划、投资运营</w:t>
      </w:r>
      <w:r>
        <w:rPr>
          <w:rFonts w:hint="eastAsia" w:cs="宋体" w:asciiTheme="minorEastAsia" w:hAnsiTheme="minorEastAsia"/>
          <w:sz w:val="24"/>
          <w:szCs w:val="24"/>
          <w:lang w:val="zh-CN"/>
        </w:rPr>
        <w:t>，但不仅限于此内容，其他要求的内容投标人根据招标文件要求结合自身情况自行编制。</w:t>
      </w:r>
    </w:p>
    <w:p>
      <w:pPr>
        <w:widowControl/>
        <w:jc w:val="left"/>
        <w:rPr>
          <w:rFonts w:ascii="宋体" w:hAnsi="宋体"/>
          <w:b/>
          <w:bCs/>
          <w:sz w:val="36"/>
          <w:szCs w:val="36"/>
        </w:rPr>
      </w:pPr>
      <w:r>
        <w:rPr>
          <w:rFonts w:ascii="宋体" w:hAnsi="宋体"/>
          <w:b/>
          <w:bCs/>
          <w:sz w:val="36"/>
          <w:szCs w:val="36"/>
        </w:rPr>
        <w:br w:type="page"/>
      </w: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4.2</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4.4中小企业声明函</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6"/>
          <w:szCs w:val="36"/>
        </w:rPr>
      </w:pPr>
      <w:bookmarkStart w:id="7" w:name="OLE_LINK13"/>
      <w:bookmarkStart w:id="8" w:name="OLE_LINK14"/>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4.5残疾人福利性单位声明函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025"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5A4CF89E"/>
    <w:multiLevelType w:val="singleLevel"/>
    <w:tmpl w:val="5A4CF89E"/>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1C4"/>
    <w:rsid w:val="00013791"/>
    <w:rsid w:val="00015620"/>
    <w:rsid w:val="0005273C"/>
    <w:rsid w:val="00076B59"/>
    <w:rsid w:val="000A3C3F"/>
    <w:rsid w:val="000B201C"/>
    <w:rsid w:val="000E32CC"/>
    <w:rsid w:val="000F083B"/>
    <w:rsid w:val="000F1499"/>
    <w:rsid w:val="000F40BE"/>
    <w:rsid w:val="000F58D4"/>
    <w:rsid w:val="00117FB8"/>
    <w:rsid w:val="00137343"/>
    <w:rsid w:val="0014024F"/>
    <w:rsid w:val="0014134B"/>
    <w:rsid w:val="001556FF"/>
    <w:rsid w:val="00160D27"/>
    <w:rsid w:val="00166B81"/>
    <w:rsid w:val="00172980"/>
    <w:rsid w:val="00187214"/>
    <w:rsid w:val="00193F33"/>
    <w:rsid w:val="001A5628"/>
    <w:rsid w:val="001B69F1"/>
    <w:rsid w:val="001C3E6D"/>
    <w:rsid w:val="001D65BA"/>
    <w:rsid w:val="001E2D6D"/>
    <w:rsid w:val="001E6E67"/>
    <w:rsid w:val="00215B36"/>
    <w:rsid w:val="00216F7C"/>
    <w:rsid w:val="00221D15"/>
    <w:rsid w:val="00275FDD"/>
    <w:rsid w:val="002A39A2"/>
    <w:rsid w:val="002A7EAE"/>
    <w:rsid w:val="002B54A3"/>
    <w:rsid w:val="002C1175"/>
    <w:rsid w:val="002F032B"/>
    <w:rsid w:val="002F21EF"/>
    <w:rsid w:val="00343BA4"/>
    <w:rsid w:val="00363726"/>
    <w:rsid w:val="00397A66"/>
    <w:rsid w:val="003B26E2"/>
    <w:rsid w:val="003C1CEA"/>
    <w:rsid w:val="003D6286"/>
    <w:rsid w:val="003E340A"/>
    <w:rsid w:val="004161F3"/>
    <w:rsid w:val="00425D85"/>
    <w:rsid w:val="00450C1D"/>
    <w:rsid w:val="0045388F"/>
    <w:rsid w:val="00460A21"/>
    <w:rsid w:val="00491732"/>
    <w:rsid w:val="00496923"/>
    <w:rsid w:val="004A0FFF"/>
    <w:rsid w:val="004C1EC4"/>
    <w:rsid w:val="004D0EAE"/>
    <w:rsid w:val="004F4DCD"/>
    <w:rsid w:val="00504173"/>
    <w:rsid w:val="00505787"/>
    <w:rsid w:val="00512783"/>
    <w:rsid w:val="0051397E"/>
    <w:rsid w:val="0052568F"/>
    <w:rsid w:val="0054241D"/>
    <w:rsid w:val="0057038A"/>
    <w:rsid w:val="00575A8F"/>
    <w:rsid w:val="005A0B8B"/>
    <w:rsid w:val="005C214B"/>
    <w:rsid w:val="005D4CCB"/>
    <w:rsid w:val="005D6751"/>
    <w:rsid w:val="005E5B6F"/>
    <w:rsid w:val="005E646F"/>
    <w:rsid w:val="005F22BC"/>
    <w:rsid w:val="005F7E07"/>
    <w:rsid w:val="006120E0"/>
    <w:rsid w:val="00636AAD"/>
    <w:rsid w:val="00647E38"/>
    <w:rsid w:val="006564DA"/>
    <w:rsid w:val="00685B99"/>
    <w:rsid w:val="00692A48"/>
    <w:rsid w:val="00694DB2"/>
    <w:rsid w:val="006E0774"/>
    <w:rsid w:val="006E678E"/>
    <w:rsid w:val="006F1C15"/>
    <w:rsid w:val="007054C2"/>
    <w:rsid w:val="00713175"/>
    <w:rsid w:val="00724CEC"/>
    <w:rsid w:val="00743028"/>
    <w:rsid w:val="00760701"/>
    <w:rsid w:val="0076324F"/>
    <w:rsid w:val="00765221"/>
    <w:rsid w:val="00767D29"/>
    <w:rsid w:val="0078154E"/>
    <w:rsid w:val="00792801"/>
    <w:rsid w:val="007A2903"/>
    <w:rsid w:val="007A38BD"/>
    <w:rsid w:val="007B1FA3"/>
    <w:rsid w:val="007D329B"/>
    <w:rsid w:val="007D3BF9"/>
    <w:rsid w:val="007D7B83"/>
    <w:rsid w:val="00803F2E"/>
    <w:rsid w:val="00821AC9"/>
    <w:rsid w:val="00845144"/>
    <w:rsid w:val="008570DB"/>
    <w:rsid w:val="008753E2"/>
    <w:rsid w:val="00884858"/>
    <w:rsid w:val="00885877"/>
    <w:rsid w:val="00887D7A"/>
    <w:rsid w:val="008B3AF4"/>
    <w:rsid w:val="008D07A8"/>
    <w:rsid w:val="008D692E"/>
    <w:rsid w:val="008D6F6B"/>
    <w:rsid w:val="008E0151"/>
    <w:rsid w:val="00915DD2"/>
    <w:rsid w:val="00923176"/>
    <w:rsid w:val="009238FB"/>
    <w:rsid w:val="00924D0B"/>
    <w:rsid w:val="0093177E"/>
    <w:rsid w:val="00933EBF"/>
    <w:rsid w:val="00934C0E"/>
    <w:rsid w:val="009434C1"/>
    <w:rsid w:val="00950BAF"/>
    <w:rsid w:val="0097065A"/>
    <w:rsid w:val="00983695"/>
    <w:rsid w:val="009B490D"/>
    <w:rsid w:val="009C12AB"/>
    <w:rsid w:val="009D27F1"/>
    <w:rsid w:val="009D6138"/>
    <w:rsid w:val="009E1E3D"/>
    <w:rsid w:val="009E4E6C"/>
    <w:rsid w:val="00A019E2"/>
    <w:rsid w:val="00A3752F"/>
    <w:rsid w:val="00A4670A"/>
    <w:rsid w:val="00A56FA9"/>
    <w:rsid w:val="00A57254"/>
    <w:rsid w:val="00A700D5"/>
    <w:rsid w:val="00A7537F"/>
    <w:rsid w:val="00A877A8"/>
    <w:rsid w:val="00A92FDB"/>
    <w:rsid w:val="00A93AC3"/>
    <w:rsid w:val="00A945CF"/>
    <w:rsid w:val="00AA5394"/>
    <w:rsid w:val="00AD16DA"/>
    <w:rsid w:val="00AD4EA0"/>
    <w:rsid w:val="00AD4EB0"/>
    <w:rsid w:val="00AD60E2"/>
    <w:rsid w:val="00AE22BD"/>
    <w:rsid w:val="00AF090D"/>
    <w:rsid w:val="00AF2871"/>
    <w:rsid w:val="00AF3619"/>
    <w:rsid w:val="00B07A0D"/>
    <w:rsid w:val="00B15226"/>
    <w:rsid w:val="00B20B19"/>
    <w:rsid w:val="00B641D4"/>
    <w:rsid w:val="00B65A59"/>
    <w:rsid w:val="00B95CEE"/>
    <w:rsid w:val="00BA1C66"/>
    <w:rsid w:val="00BE7CA3"/>
    <w:rsid w:val="00BF407B"/>
    <w:rsid w:val="00BF7BB6"/>
    <w:rsid w:val="00C115EF"/>
    <w:rsid w:val="00C118B0"/>
    <w:rsid w:val="00C2359A"/>
    <w:rsid w:val="00C47494"/>
    <w:rsid w:val="00C7426B"/>
    <w:rsid w:val="00C757EB"/>
    <w:rsid w:val="00C85A4D"/>
    <w:rsid w:val="00C969B4"/>
    <w:rsid w:val="00C977DC"/>
    <w:rsid w:val="00CA48C2"/>
    <w:rsid w:val="00CB1A13"/>
    <w:rsid w:val="00CD277F"/>
    <w:rsid w:val="00CD3054"/>
    <w:rsid w:val="00CD47B7"/>
    <w:rsid w:val="00CD56F0"/>
    <w:rsid w:val="00CD7B69"/>
    <w:rsid w:val="00CE38EA"/>
    <w:rsid w:val="00D516C7"/>
    <w:rsid w:val="00D5270B"/>
    <w:rsid w:val="00D53665"/>
    <w:rsid w:val="00D71B7B"/>
    <w:rsid w:val="00D81A59"/>
    <w:rsid w:val="00D84B73"/>
    <w:rsid w:val="00D85E6F"/>
    <w:rsid w:val="00D86948"/>
    <w:rsid w:val="00D877EB"/>
    <w:rsid w:val="00DC47DD"/>
    <w:rsid w:val="00DD04B9"/>
    <w:rsid w:val="00DD2B5E"/>
    <w:rsid w:val="00DE647B"/>
    <w:rsid w:val="00E043A2"/>
    <w:rsid w:val="00E3740C"/>
    <w:rsid w:val="00E40DD6"/>
    <w:rsid w:val="00E42CD0"/>
    <w:rsid w:val="00E44F3C"/>
    <w:rsid w:val="00E5451D"/>
    <w:rsid w:val="00E64E96"/>
    <w:rsid w:val="00E66D0F"/>
    <w:rsid w:val="00E700CA"/>
    <w:rsid w:val="00E8347E"/>
    <w:rsid w:val="00E84EA0"/>
    <w:rsid w:val="00E94133"/>
    <w:rsid w:val="00EA2836"/>
    <w:rsid w:val="00EB020B"/>
    <w:rsid w:val="00ED173B"/>
    <w:rsid w:val="00ED2B7A"/>
    <w:rsid w:val="00ED546F"/>
    <w:rsid w:val="00EE1EF0"/>
    <w:rsid w:val="00EE78B0"/>
    <w:rsid w:val="00EF15A6"/>
    <w:rsid w:val="00F30B37"/>
    <w:rsid w:val="00F42D6F"/>
    <w:rsid w:val="00F60B04"/>
    <w:rsid w:val="00F70DCB"/>
    <w:rsid w:val="00F71CA7"/>
    <w:rsid w:val="00F77997"/>
    <w:rsid w:val="00F81566"/>
    <w:rsid w:val="00F87153"/>
    <w:rsid w:val="00FC40F1"/>
    <w:rsid w:val="00FD2D72"/>
    <w:rsid w:val="00FD3B84"/>
    <w:rsid w:val="00FD7EED"/>
    <w:rsid w:val="00FE3924"/>
    <w:rsid w:val="00FE58EF"/>
    <w:rsid w:val="01392F69"/>
    <w:rsid w:val="013D6051"/>
    <w:rsid w:val="016D1552"/>
    <w:rsid w:val="023C0E43"/>
    <w:rsid w:val="03BC2B62"/>
    <w:rsid w:val="03F11DDA"/>
    <w:rsid w:val="041122F1"/>
    <w:rsid w:val="055532AD"/>
    <w:rsid w:val="057B4035"/>
    <w:rsid w:val="05AE2502"/>
    <w:rsid w:val="05E165C2"/>
    <w:rsid w:val="06130470"/>
    <w:rsid w:val="068D06E4"/>
    <w:rsid w:val="06E6231D"/>
    <w:rsid w:val="07401BA1"/>
    <w:rsid w:val="08C873BE"/>
    <w:rsid w:val="09ED39B0"/>
    <w:rsid w:val="0A09076D"/>
    <w:rsid w:val="0A4A7606"/>
    <w:rsid w:val="0BA469BE"/>
    <w:rsid w:val="0C997530"/>
    <w:rsid w:val="0CBF7A63"/>
    <w:rsid w:val="0CEB684F"/>
    <w:rsid w:val="0E0816FB"/>
    <w:rsid w:val="0E155D23"/>
    <w:rsid w:val="0FE11616"/>
    <w:rsid w:val="10763E9B"/>
    <w:rsid w:val="11982C17"/>
    <w:rsid w:val="121543F0"/>
    <w:rsid w:val="13897456"/>
    <w:rsid w:val="13F515BB"/>
    <w:rsid w:val="14091AFB"/>
    <w:rsid w:val="14B93FBA"/>
    <w:rsid w:val="14C9312A"/>
    <w:rsid w:val="14D24AE5"/>
    <w:rsid w:val="14DA4A7D"/>
    <w:rsid w:val="157A1FFD"/>
    <w:rsid w:val="1634273D"/>
    <w:rsid w:val="16CF0C74"/>
    <w:rsid w:val="172D1EAF"/>
    <w:rsid w:val="17381C6C"/>
    <w:rsid w:val="17B17959"/>
    <w:rsid w:val="17C42761"/>
    <w:rsid w:val="18103525"/>
    <w:rsid w:val="18175A3A"/>
    <w:rsid w:val="1923419C"/>
    <w:rsid w:val="197700AE"/>
    <w:rsid w:val="1A8F6DB5"/>
    <w:rsid w:val="1AB55F89"/>
    <w:rsid w:val="1B0E5593"/>
    <w:rsid w:val="1BFD7EFA"/>
    <w:rsid w:val="1CA55911"/>
    <w:rsid w:val="1CC31D54"/>
    <w:rsid w:val="1CC73663"/>
    <w:rsid w:val="1D2A2655"/>
    <w:rsid w:val="1D985FF9"/>
    <w:rsid w:val="1DF81DF2"/>
    <w:rsid w:val="1E432412"/>
    <w:rsid w:val="1EC65FB1"/>
    <w:rsid w:val="1F0D01EA"/>
    <w:rsid w:val="1FBA2E37"/>
    <w:rsid w:val="207074AE"/>
    <w:rsid w:val="211D76FF"/>
    <w:rsid w:val="21DF0C6E"/>
    <w:rsid w:val="2237674F"/>
    <w:rsid w:val="224A2D7A"/>
    <w:rsid w:val="22DE7CC5"/>
    <w:rsid w:val="230B67CB"/>
    <w:rsid w:val="23352E19"/>
    <w:rsid w:val="236E1275"/>
    <w:rsid w:val="24184AB2"/>
    <w:rsid w:val="25FA65AC"/>
    <w:rsid w:val="266917DD"/>
    <w:rsid w:val="27026A4A"/>
    <w:rsid w:val="27722926"/>
    <w:rsid w:val="27CF5747"/>
    <w:rsid w:val="27ED4C57"/>
    <w:rsid w:val="28185281"/>
    <w:rsid w:val="285B1528"/>
    <w:rsid w:val="288C7E38"/>
    <w:rsid w:val="290F43CC"/>
    <w:rsid w:val="299169FB"/>
    <w:rsid w:val="2AC20B63"/>
    <w:rsid w:val="2AE827FA"/>
    <w:rsid w:val="2BB26D09"/>
    <w:rsid w:val="2C704A09"/>
    <w:rsid w:val="2D74179A"/>
    <w:rsid w:val="2DC274BC"/>
    <w:rsid w:val="2E1409C7"/>
    <w:rsid w:val="2E245EDE"/>
    <w:rsid w:val="2ECE42C1"/>
    <w:rsid w:val="2F0747E3"/>
    <w:rsid w:val="2F2F45A9"/>
    <w:rsid w:val="2F3C0ED0"/>
    <w:rsid w:val="2FD220F5"/>
    <w:rsid w:val="2FE33184"/>
    <w:rsid w:val="304333D2"/>
    <w:rsid w:val="33FC2073"/>
    <w:rsid w:val="34D65B8A"/>
    <w:rsid w:val="35494C2F"/>
    <w:rsid w:val="36D80324"/>
    <w:rsid w:val="37725A7C"/>
    <w:rsid w:val="37F108AB"/>
    <w:rsid w:val="380860CC"/>
    <w:rsid w:val="3A876708"/>
    <w:rsid w:val="3B25506F"/>
    <w:rsid w:val="3B893F47"/>
    <w:rsid w:val="3E6A4C19"/>
    <w:rsid w:val="3EED1F91"/>
    <w:rsid w:val="3F754C12"/>
    <w:rsid w:val="400A2FE1"/>
    <w:rsid w:val="40983E9F"/>
    <w:rsid w:val="41275331"/>
    <w:rsid w:val="42DE1A3B"/>
    <w:rsid w:val="44813CAF"/>
    <w:rsid w:val="44991154"/>
    <w:rsid w:val="45CC5F91"/>
    <w:rsid w:val="46565354"/>
    <w:rsid w:val="46DD4D34"/>
    <w:rsid w:val="47385F96"/>
    <w:rsid w:val="477463BC"/>
    <w:rsid w:val="479F493E"/>
    <w:rsid w:val="48552C8E"/>
    <w:rsid w:val="48971FF0"/>
    <w:rsid w:val="48D60749"/>
    <w:rsid w:val="4AFF537E"/>
    <w:rsid w:val="4C4977A8"/>
    <w:rsid w:val="4C5B183F"/>
    <w:rsid w:val="4CB91FE1"/>
    <w:rsid w:val="4DD66FAF"/>
    <w:rsid w:val="4E3A6034"/>
    <w:rsid w:val="4F016809"/>
    <w:rsid w:val="4F3B1395"/>
    <w:rsid w:val="4FDD62D6"/>
    <w:rsid w:val="50502604"/>
    <w:rsid w:val="5082405D"/>
    <w:rsid w:val="52843537"/>
    <w:rsid w:val="528B1967"/>
    <w:rsid w:val="534D4BE1"/>
    <w:rsid w:val="53F05AB3"/>
    <w:rsid w:val="543D3316"/>
    <w:rsid w:val="54914BC4"/>
    <w:rsid w:val="54BD7B49"/>
    <w:rsid w:val="57857097"/>
    <w:rsid w:val="57B15431"/>
    <w:rsid w:val="57D71414"/>
    <w:rsid w:val="57DE1812"/>
    <w:rsid w:val="589441DC"/>
    <w:rsid w:val="596F7F85"/>
    <w:rsid w:val="5A582BC7"/>
    <w:rsid w:val="5A920CBA"/>
    <w:rsid w:val="5AC73F4B"/>
    <w:rsid w:val="5AED159E"/>
    <w:rsid w:val="5BAD7659"/>
    <w:rsid w:val="5BB76809"/>
    <w:rsid w:val="5BD32C3A"/>
    <w:rsid w:val="5CA03716"/>
    <w:rsid w:val="5E1D7AEE"/>
    <w:rsid w:val="5E293ED3"/>
    <w:rsid w:val="5E740BA6"/>
    <w:rsid w:val="5ED011A4"/>
    <w:rsid w:val="5FE63965"/>
    <w:rsid w:val="60260182"/>
    <w:rsid w:val="615E318F"/>
    <w:rsid w:val="629E4346"/>
    <w:rsid w:val="62CC7E38"/>
    <w:rsid w:val="63896233"/>
    <w:rsid w:val="642C0167"/>
    <w:rsid w:val="656658F4"/>
    <w:rsid w:val="660C6F4D"/>
    <w:rsid w:val="66772B30"/>
    <w:rsid w:val="66EA5A3C"/>
    <w:rsid w:val="68A14895"/>
    <w:rsid w:val="69A3533E"/>
    <w:rsid w:val="69CA0F0B"/>
    <w:rsid w:val="69EA41FA"/>
    <w:rsid w:val="6A884B42"/>
    <w:rsid w:val="6BBA244A"/>
    <w:rsid w:val="6BE000B8"/>
    <w:rsid w:val="6D504CF1"/>
    <w:rsid w:val="6D867776"/>
    <w:rsid w:val="6D9D14D9"/>
    <w:rsid w:val="6E6015C6"/>
    <w:rsid w:val="6E614CEE"/>
    <w:rsid w:val="6E873118"/>
    <w:rsid w:val="6F4403E7"/>
    <w:rsid w:val="6FDA1EAC"/>
    <w:rsid w:val="7061191F"/>
    <w:rsid w:val="707F7D02"/>
    <w:rsid w:val="710A6AF7"/>
    <w:rsid w:val="71405FB7"/>
    <w:rsid w:val="71C719D5"/>
    <w:rsid w:val="72974C5C"/>
    <w:rsid w:val="73F371F3"/>
    <w:rsid w:val="743D6662"/>
    <w:rsid w:val="74666D0E"/>
    <w:rsid w:val="76962537"/>
    <w:rsid w:val="76D6625A"/>
    <w:rsid w:val="772A5AFE"/>
    <w:rsid w:val="77E00C26"/>
    <w:rsid w:val="77E86122"/>
    <w:rsid w:val="78C30048"/>
    <w:rsid w:val="79B32792"/>
    <w:rsid w:val="7A8619F1"/>
    <w:rsid w:val="7A8A7F78"/>
    <w:rsid w:val="7A9109D2"/>
    <w:rsid w:val="7B9A0CC6"/>
    <w:rsid w:val="7D0E317C"/>
    <w:rsid w:val="7DC132DF"/>
    <w:rsid w:val="7DD171A5"/>
    <w:rsid w:val="7E757AE0"/>
    <w:rsid w:val="7F5A2357"/>
    <w:rsid w:val="7F5A25CC"/>
    <w:rsid w:val="7FF25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5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65"/>
    <w:semiHidden/>
    <w:unhideWhenUsed/>
    <w:qFormat/>
    <w:uiPriority w:val="99"/>
    <w:rPr>
      <w:rFonts w:ascii="宋体" w:eastAsia="宋体"/>
      <w:sz w:val="18"/>
      <w:szCs w:val="18"/>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2"/>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标题 2 Char1"/>
    <w:basedOn w:val="23"/>
    <w:link w:val="4"/>
    <w:qFormat/>
    <w:uiPriority w:val="0"/>
    <w:rPr>
      <w:rFonts w:ascii="Arial" w:hAnsi="Arial" w:eastAsia="黑体" w:cs="Times New Roman"/>
      <w:b/>
      <w:bCs/>
      <w:kern w:val="0"/>
      <w:sz w:val="32"/>
      <w:szCs w:val="32"/>
    </w:rPr>
  </w:style>
  <w:style w:type="character" w:customStyle="1" w:styleId="55">
    <w:name w:val="hover25"/>
    <w:basedOn w:val="23"/>
    <w:qFormat/>
    <w:uiPriority w:val="0"/>
  </w:style>
  <w:style w:type="character" w:customStyle="1" w:styleId="56">
    <w:name w:val="green"/>
    <w:basedOn w:val="23"/>
    <w:qFormat/>
    <w:uiPriority w:val="0"/>
    <w:rPr>
      <w:color w:val="66AE00"/>
      <w:sz w:val="18"/>
      <w:szCs w:val="18"/>
    </w:rPr>
  </w:style>
  <w:style w:type="character" w:customStyle="1" w:styleId="57">
    <w:name w:val="green1"/>
    <w:basedOn w:val="23"/>
    <w:qFormat/>
    <w:uiPriority w:val="0"/>
    <w:rPr>
      <w:color w:val="66AE00"/>
      <w:sz w:val="18"/>
      <w:szCs w:val="18"/>
    </w:rPr>
  </w:style>
  <w:style w:type="character" w:customStyle="1" w:styleId="58">
    <w:name w:val="red"/>
    <w:basedOn w:val="23"/>
    <w:qFormat/>
    <w:uiPriority w:val="0"/>
    <w:rPr>
      <w:color w:val="FF0000"/>
      <w:sz w:val="18"/>
      <w:szCs w:val="18"/>
    </w:rPr>
  </w:style>
  <w:style w:type="character" w:customStyle="1" w:styleId="59">
    <w:name w:val="red1"/>
    <w:basedOn w:val="23"/>
    <w:qFormat/>
    <w:uiPriority w:val="0"/>
    <w:rPr>
      <w:color w:val="FF0000"/>
      <w:sz w:val="18"/>
      <w:szCs w:val="18"/>
    </w:rPr>
  </w:style>
  <w:style w:type="character" w:customStyle="1" w:styleId="60">
    <w:name w:val="red2"/>
    <w:basedOn w:val="23"/>
    <w:qFormat/>
    <w:uiPriority w:val="0"/>
    <w:rPr>
      <w:color w:val="FF0000"/>
    </w:rPr>
  </w:style>
  <w:style w:type="character" w:customStyle="1" w:styleId="61">
    <w:name w:val="blue"/>
    <w:basedOn w:val="23"/>
    <w:qFormat/>
    <w:uiPriority w:val="0"/>
    <w:rPr>
      <w:color w:val="0371C6"/>
      <w:sz w:val="21"/>
      <w:szCs w:val="21"/>
    </w:rPr>
  </w:style>
  <w:style w:type="character" w:customStyle="1" w:styleId="62">
    <w:name w:val="right"/>
    <w:basedOn w:val="23"/>
    <w:qFormat/>
    <w:uiPriority w:val="0"/>
    <w:rPr>
      <w:color w:val="999999"/>
      <w:sz w:val="18"/>
      <w:szCs w:val="18"/>
    </w:rPr>
  </w:style>
  <w:style w:type="character" w:customStyle="1" w:styleId="63">
    <w:name w:val="gb-jt"/>
    <w:basedOn w:val="23"/>
    <w:qFormat/>
    <w:uiPriority w:val="0"/>
  </w:style>
  <w:style w:type="paragraph" w:customStyle="1" w:styleId="64">
    <w:name w:val="Table Paragraph"/>
    <w:basedOn w:val="1"/>
    <w:qFormat/>
    <w:uiPriority w:val="1"/>
    <w:rPr>
      <w:rFonts w:ascii="宋体" w:hAnsi="宋体" w:cs="宋体"/>
      <w:lang w:val="zh-CN" w:bidi="zh-CN"/>
    </w:rPr>
  </w:style>
  <w:style w:type="character" w:customStyle="1" w:styleId="65">
    <w:name w:val="文档结构图 Char"/>
    <w:basedOn w:val="23"/>
    <w:link w:val="9"/>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F8C95-4A55-4D6A-8A7E-E03FEEF8A9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5358</Words>
  <Characters>30546</Characters>
  <Lines>254</Lines>
  <Paragraphs>71</Paragraphs>
  <TotalTime>46</TotalTime>
  <ScaleCrop>false</ScaleCrop>
  <LinksUpToDate>false</LinksUpToDate>
  <CharactersWithSpaces>35833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2019-03-18T00:50:00Z</dcterms:created>
  <dc:creator>许昌市公共资源交易中心:孟莉</dc:creator>
  <cp:lastModifiedBy>Administrator</cp:lastModifiedBy>
  <cp:lastPrinted>2018-12-13T06:47:00Z</cp:lastPrinted>
  <dcterms:modified xsi:type="dcterms:W3CDTF">2019-03-18T07:34:04Z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