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
          <w:color w:val="auto"/>
          <w:sz w:val="36"/>
          <w:szCs w:val="36"/>
          <w:highlight w:val="none"/>
        </w:rPr>
      </w:pPr>
    </w:p>
    <w:p>
      <w:pPr>
        <w:jc w:val="center"/>
        <w:rPr>
          <w:rFonts w:ascii="黑体" w:hAnsi="华文中宋" w:eastAsia="黑体"/>
          <w:b/>
          <w:color w:val="auto"/>
          <w:sz w:val="36"/>
          <w:szCs w:val="36"/>
          <w:highlight w:val="none"/>
        </w:rPr>
      </w:pPr>
    </w:p>
    <w:p>
      <w:pPr>
        <w:jc w:val="center"/>
        <w:rPr>
          <w:rFonts w:ascii="宋体" w:hAnsi="宋体"/>
          <w:color w:val="auto"/>
          <w:sz w:val="72"/>
          <w:szCs w:val="72"/>
          <w:highlight w:val="none"/>
        </w:rPr>
      </w:pPr>
      <w:bookmarkStart w:id="0" w:name="_Toc234382569"/>
      <w:r>
        <w:rPr>
          <w:rFonts w:hint="eastAsia" w:ascii="宋体" w:hAnsi="宋体"/>
          <w:color w:val="auto"/>
          <w:sz w:val="72"/>
          <w:szCs w:val="72"/>
          <w:highlight w:val="none"/>
        </w:rPr>
        <w:t>建安区</w:t>
      </w:r>
      <w:r>
        <w:rPr>
          <w:rFonts w:ascii="宋体" w:hAnsi="宋体"/>
          <w:color w:val="auto"/>
          <w:sz w:val="72"/>
          <w:szCs w:val="72"/>
          <w:highlight w:val="none"/>
        </w:rPr>
        <w:t>建设工程</w:t>
      </w:r>
    </w:p>
    <w:p>
      <w:pPr>
        <w:jc w:val="center"/>
        <w:rPr>
          <w:rFonts w:eastAsia="华文中宋"/>
          <w:color w:val="auto"/>
          <w:sz w:val="84"/>
          <w:szCs w:val="84"/>
          <w:highlight w:val="none"/>
        </w:rPr>
      </w:pPr>
    </w:p>
    <w:p>
      <w:pPr>
        <w:jc w:val="center"/>
        <w:rPr>
          <w:rFonts w:eastAsia="华文中宋"/>
          <w:color w:val="auto"/>
          <w:sz w:val="84"/>
          <w:szCs w:val="84"/>
          <w:highlight w:val="none"/>
        </w:rPr>
      </w:pPr>
    </w:p>
    <w:p>
      <w:pPr>
        <w:jc w:val="center"/>
        <w:rPr>
          <w:rFonts w:ascii="宋体" w:hAnsi="宋体"/>
          <w:color w:val="auto"/>
          <w:sz w:val="72"/>
          <w:szCs w:val="72"/>
          <w:highlight w:val="none"/>
        </w:rPr>
      </w:pPr>
      <w:r>
        <w:rPr>
          <w:rFonts w:ascii="宋体" w:hAnsi="宋体"/>
          <w:color w:val="auto"/>
          <w:sz w:val="72"/>
          <w:szCs w:val="72"/>
          <w:highlight w:val="none"/>
        </w:rPr>
        <w:t>招</w:t>
      </w:r>
    </w:p>
    <w:p>
      <w:pPr>
        <w:jc w:val="center"/>
        <w:rPr>
          <w:rFonts w:ascii="宋体" w:hAnsi="宋体"/>
          <w:color w:val="auto"/>
          <w:sz w:val="72"/>
          <w:szCs w:val="72"/>
          <w:highlight w:val="none"/>
        </w:rPr>
      </w:pPr>
      <w:r>
        <w:rPr>
          <w:rFonts w:ascii="宋体" w:hAnsi="宋体"/>
          <w:color w:val="auto"/>
          <w:sz w:val="72"/>
          <w:szCs w:val="72"/>
          <w:highlight w:val="none"/>
        </w:rPr>
        <w:t>标</w:t>
      </w:r>
    </w:p>
    <w:p>
      <w:pPr>
        <w:jc w:val="center"/>
        <w:rPr>
          <w:rFonts w:ascii="宋体" w:hAnsi="宋体"/>
          <w:color w:val="auto"/>
          <w:sz w:val="72"/>
          <w:szCs w:val="72"/>
          <w:highlight w:val="none"/>
        </w:rPr>
      </w:pPr>
      <w:r>
        <w:rPr>
          <w:rFonts w:ascii="宋体" w:hAnsi="宋体"/>
          <w:color w:val="auto"/>
          <w:sz w:val="72"/>
          <w:szCs w:val="72"/>
          <w:highlight w:val="none"/>
        </w:rPr>
        <w:t>文</w:t>
      </w:r>
    </w:p>
    <w:p>
      <w:pPr>
        <w:jc w:val="center"/>
        <w:rPr>
          <w:rFonts w:ascii="宋体" w:hAnsi="宋体"/>
          <w:color w:val="auto"/>
          <w:sz w:val="72"/>
          <w:szCs w:val="72"/>
          <w:highlight w:val="none"/>
        </w:rPr>
      </w:pPr>
      <w:r>
        <w:rPr>
          <w:rFonts w:ascii="宋体" w:hAnsi="宋体"/>
          <w:color w:val="auto"/>
          <w:sz w:val="72"/>
          <w:szCs w:val="72"/>
          <w:highlight w:val="none"/>
        </w:rPr>
        <w:t>件</w:t>
      </w: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hAnsi="华文中宋" w:eastAsia="华文中宋"/>
          <w:sz w:val="32"/>
          <w:szCs w:val="32"/>
        </w:rPr>
      </w:pPr>
    </w:p>
    <w:p>
      <w:pPr>
        <w:spacing w:line="360" w:lineRule="auto"/>
        <w:rPr>
          <w:rFonts w:hint="eastAsia" w:ascii="Times New Roman" w:hAnsi="华文中宋" w:eastAsia="华文中宋" w:cs="Times New Roman"/>
          <w:sz w:val="32"/>
          <w:szCs w:val="32"/>
          <w:lang w:val="zh-CN" w:eastAsia="zh-CN"/>
        </w:rPr>
      </w:pPr>
      <w:r>
        <w:rPr>
          <w:rFonts w:hint="eastAsia" w:hAnsi="华文中宋" w:eastAsia="华文中宋"/>
          <w:sz w:val="32"/>
          <w:szCs w:val="32"/>
        </w:rPr>
        <w:t xml:space="preserve">    </w:t>
      </w:r>
      <w:r>
        <w:rPr>
          <w:rFonts w:hint="eastAsia" w:hAnsi="华文中宋" w:eastAsia="华文中宋"/>
          <w:sz w:val="32"/>
          <w:szCs w:val="32"/>
          <w:highlight w:val="none"/>
        </w:rPr>
        <w:t xml:space="preserve">  </w:t>
      </w:r>
      <w:r>
        <w:rPr>
          <w:rFonts w:hint="eastAsia" w:hAnsi="华文中宋" w:eastAsia="华文中宋"/>
          <w:sz w:val="32"/>
          <w:szCs w:val="32"/>
          <w:highlight w:val="none"/>
          <w:lang w:val="en-US" w:eastAsia="zh-CN"/>
        </w:rPr>
        <w:t xml:space="preserve"> </w:t>
      </w:r>
      <w:r>
        <w:rPr>
          <w:rFonts w:hAnsi="华文中宋" w:eastAsia="华文中宋"/>
          <w:sz w:val="32"/>
          <w:szCs w:val="32"/>
          <w:highlight w:val="none"/>
        </w:rPr>
        <w:t>项目编</w:t>
      </w:r>
      <w:r>
        <w:rPr>
          <w:rFonts w:hint="eastAsia" w:ascii="Times New Roman" w:hAnsi="华文中宋" w:eastAsia="华文中宋" w:cs="Times New Roman"/>
          <w:sz w:val="32"/>
          <w:szCs w:val="32"/>
          <w:lang w:val="zh-CN" w:eastAsia="zh-CN"/>
        </w:rPr>
        <w:t>号：建安建工公字〔201</w:t>
      </w:r>
      <w:r>
        <w:rPr>
          <w:rFonts w:hint="eastAsia" w:ascii="Times New Roman" w:hAnsi="华文中宋" w:eastAsia="华文中宋" w:cs="Times New Roman"/>
          <w:sz w:val="32"/>
          <w:szCs w:val="32"/>
          <w:lang w:val="en-US" w:eastAsia="zh-CN"/>
        </w:rPr>
        <w:t>9</w:t>
      </w:r>
      <w:r>
        <w:rPr>
          <w:rFonts w:hint="eastAsia" w:ascii="Times New Roman" w:hAnsi="华文中宋" w:eastAsia="华文中宋" w:cs="Times New Roman"/>
          <w:sz w:val="32"/>
          <w:szCs w:val="32"/>
          <w:lang w:val="zh-CN" w:eastAsia="zh-CN"/>
        </w:rPr>
        <w:t>〕</w:t>
      </w:r>
      <w:r>
        <w:rPr>
          <w:rFonts w:hint="eastAsia" w:ascii="Times New Roman" w:hAnsi="华文中宋" w:eastAsia="华文中宋" w:cs="Times New Roman"/>
          <w:sz w:val="32"/>
          <w:szCs w:val="32"/>
          <w:lang w:val="en-US" w:eastAsia="zh-CN"/>
        </w:rPr>
        <w:t>46</w:t>
      </w:r>
      <w:r>
        <w:rPr>
          <w:rFonts w:hint="eastAsia" w:ascii="Times New Roman" w:hAnsi="华文中宋" w:eastAsia="华文中宋" w:cs="Times New Roman"/>
          <w:sz w:val="32"/>
          <w:szCs w:val="32"/>
          <w:lang w:val="zh-CN" w:eastAsia="zh-CN"/>
        </w:rPr>
        <w:t>号</w:t>
      </w:r>
    </w:p>
    <w:p>
      <w:pPr>
        <w:spacing w:line="360" w:lineRule="auto"/>
        <w:rPr>
          <w:rFonts w:hint="eastAsia" w:ascii="Times New Roman" w:hAnsi="华文中宋" w:eastAsia="华文中宋" w:cs="Times New Roman"/>
          <w:sz w:val="32"/>
          <w:szCs w:val="32"/>
          <w:lang w:val="zh-CN" w:eastAsia="zh-CN"/>
        </w:rPr>
      </w:pPr>
      <w:r>
        <w:rPr>
          <w:rFonts w:hint="eastAsia" w:ascii="Times New Roman" w:hAnsi="华文中宋" w:eastAsia="华文中宋" w:cs="Times New Roman"/>
          <w:sz w:val="32"/>
          <w:szCs w:val="32"/>
          <w:lang w:val="zh-CN" w:eastAsia="zh-CN"/>
        </w:rPr>
        <w:t xml:space="preserve">     </w:t>
      </w:r>
      <w:r>
        <w:rPr>
          <w:rFonts w:hint="eastAsia" w:ascii="Times New Roman" w:hAnsi="华文中宋" w:eastAsia="华文中宋" w:cs="Times New Roman"/>
          <w:sz w:val="32"/>
          <w:szCs w:val="32"/>
          <w:lang w:val="en-US" w:eastAsia="zh-CN"/>
        </w:rPr>
        <w:t xml:space="preserve">  </w:t>
      </w:r>
      <w:r>
        <w:rPr>
          <w:rFonts w:hint="eastAsia" w:ascii="Times New Roman" w:hAnsi="华文中宋" w:eastAsia="华文中宋" w:cs="Times New Roman"/>
          <w:sz w:val="32"/>
          <w:szCs w:val="32"/>
          <w:lang w:val="zh-CN" w:eastAsia="zh-CN"/>
        </w:rPr>
        <w:t>项目名称：</w:t>
      </w:r>
      <w:r>
        <w:rPr>
          <w:rFonts w:hint="eastAsia" w:ascii="Times New Roman" w:hAnsi="华文中宋" w:eastAsia="华文中宋" w:cs="Times New Roman"/>
          <w:sz w:val="32"/>
          <w:szCs w:val="32"/>
          <w:lang w:val="en-US" w:eastAsia="zh-CN"/>
        </w:rPr>
        <w:t>河街乡</w:t>
      </w:r>
      <w:r>
        <w:rPr>
          <w:rFonts w:hint="eastAsia" w:hAnsi="华文中宋" w:eastAsia="华文中宋" w:cs="Times New Roman"/>
          <w:sz w:val="32"/>
          <w:szCs w:val="32"/>
          <w:lang w:val="en-US" w:eastAsia="zh-CN"/>
        </w:rPr>
        <w:t>、五女店镇农村道路建设工程</w:t>
      </w:r>
    </w:p>
    <w:p>
      <w:pPr>
        <w:spacing w:line="360" w:lineRule="auto"/>
        <w:rPr>
          <w:rFonts w:hint="eastAsia" w:ascii="Times New Roman" w:hAnsi="华文中宋" w:eastAsia="华文中宋" w:cs="Times New Roman"/>
          <w:sz w:val="32"/>
          <w:szCs w:val="32"/>
          <w:lang w:val="zh-CN" w:eastAsia="zh-CN"/>
        </w:rPr>
      </w:pPr>
      <w:r>
        <w:rPr>
          <w:rFonts w:hint="eastAsia" w:ascii="Times New Roman" w:hAnsi="华文中宋" w:eastAsia="华文中宋" w:cs="Times New Roman"/>
          <w:sz w:val="32"/>
          <w:szCs w:val="32"/>
          <w:lang w:val="zh-CN" w:eastAsia="zh-CN"/>
        </w:rPr>
        <w:t xml:space="preserve">     </w:t>
      </w:r>
      <w:r>
        <w:rPr>
          <w:rFonts w:hint="eastAsia" w:ascii="Times New Roman" w:hAnsi="华文中宋" w:eastAsia="华文中宋" w:cs="Times New Roman"/>
          <w:sz w:val="32"/>
          <w:szCs w:val="32"/>
          <w:lang w:val="en-US" w:eastAsia="zh-CN"/>
        </w:rPr>
        <w:t xml:space="preserve"> </w:t>
      </w:r>
      <w:r>
        <w:rPr>
          <w:rFonts w:hint="eastAsia" w:ascii="Times New Roman" w:hAnsi="华文中宋" w:eastAsia="华文中宋" w:cs="Times New Roman"/>
          <w:sz w:val="32"/>
          <w:szCs w:val="32"/>
          <w:lang w:val="zh-CN" w:eastAsia="zh-CN"/>
        </w:rPr>
        <w:t xml:space="preserve"> 招 标 人：许昌市建安区交通运输局</w:t>
      </w:r>
    </w:p>
    <w:p>
      <w:pPr>
        <w:spacing w:line="360" w:lineRule="auto"/>
        <w:rPr>
          <w:rFonts w:hint="eastAsia" w:hAnsi="华文中宋" w:eastAsia="华文中宋"/>
          <w:sz w:val="32"/>
          <w:szCs w:val="32"/>
          <w:lang w:val="zh-CN" w:eastAsia="zh-CN"/>
        </w:rPr>
      </w:pPr>
      <w:r>
        <w:rPr>
          <w:rFonts w:hint="eastAsia" w:hAnsi="华文中宋" w:eastAsia="华文中宋"/>
          <w:sz w:val="32"/>
          <w:szCs w:val="32"/>
        </w:rPr>
        <w:t xml:space="preserve">      </w:t>
      </w:r>
      <w:r>
        <w:rPr>
          <w:rFonts w:hint="eastAsia" w:hAnsi="华文中宋" w:eastAsia="华文中宋"/>
          <w:sz w:val="32"/>
          <w:szCs w:val="32"/>
          <w:lang w:val="en-US" w:eastAsia="zh-CN"/>
        </w:rPr>
        <w:t xml:space="preserve"> </w:t>
      </w:r>
      <w:r>
        <w:rPr>
          <w:rFonts w:hAnsi="华文中宋" w:eastAsia="华文中宋"/>
          <w:sz w:val="32"/>
          <w:szCs w:val="32"/>
        </w:rPr>
        <w:t>代理机构：</w:t>
      </w:r>
      <w:r>
        <w:rPr>
          <w:rFonts w:hint="eastAsia" w:hAnsi="华文中宋" w:eastAsia="华文中宋"/>
          <w:sz w:val="32"/>
          <w:szCs w:val="32"/>
          <w:lang w:val="zh-CN" w:eastAsia="zh-CN"/>
        </w:rPr>
        <w:t>永明项目管理有限公司</w:t>
      </w:r>
    </w:p>
    <w:p>
      <w:pPr>
        <w:spacing w:line="360" w:lineRule="auto"/>
        <w:ind w:firstLine="2880" w:firstLineChars="900"/>
        <w:rPr>
          <w:rFonts w:ascii="宋体" w:hAnsi="宋体"/>
          <w:color w:val="auto"/>
          <w:sz w:val="24"/>
          <w:highlight w:val="none"/>
        </w:rPr>
      </w:pPr>
      <w:r>
        <w:rPr>
          <w:rFonts w:hint="eastAsia" w:hAnsi="华文中宋" w:eastAsia="华文中宋"/>
          <w:sz w:val="32"/>
          <w:szCs w:val="32"/>
        </w:rPr>
        <w:t>二〇一</w:t>
      </w:r>
      <w:r>
        <w:rPr>
          <w:rFonts w:hint="eastAsia" w:hAnsi="华文中宋" w:eastAsia="华文中宋"/>
          <w:sz w:val="32"/>
          <w:szCs w:val="32"/>
          <w:lang w:eastAsia="zh-CN"/>
        </w:rPr>
        <w:t>九</w:t>
      </w:r>
      <w:r>
        <w:rPr>
          <w:rFonts w:hint="eastAsia" w:hAnsi="华文中宋" w:eastAsia="华文中宋"/>
          <w:sz w:val="32"/>
          <w:szCs w:val="32"/>
        </w:rPr>
        <w:t>年</w:t>
      </w:r>
      <w:r>
        <w:rPr>
          <w:rFonts w:hint="eastAsia" w:hAnsi="华文中宋" w:eastAsia="华文中宋"/>
          <w:sz w:val="32"/>
          <w:szCs w:val="32"/>
          <w:lang w:eastAsia="zh-CN"/>
        </w:rPr>
        <w:t>三</w:t>
      </w:r>
      <w:r>
        <w:rPr>
          <w:rFonts w:hint="eastAsia" w:hAnsi="华文中宋" w:eastAsia="华文中宋"/>
          <w:sz w:val="32"/>
          <w:szCs w:val="32"/>
        </w:rPr>
        <w:t xml:space="preserve">月 </w:t>
      </w:r>
    </w:p>
    <w:p>
      <w:pPr>
        <w:rPr>
          <w:rFonts w:ascii="宋体" w:hAnsi="宋体"/>
          <w:color w:val="auto"/>
          <w:sz w:val="24"/>
          <w:highlight w:val="none"/>
        </w:rPr>
      </w:pPr>
    </w:p>
    <w:p>
      <w:pPr>
        <w:spacing w:line="360" w:lineRule="auto"/>
        <w:jc w:val="center"/>
        <w:sectPr>
          <w:headerReference r:id="rId4" w:type="default"/>
          <w:footerReference r:id="rId5" w:type="default"/>
          <w:footnotePr>
            <w:numFmt w:val="decimalEnclosedCircleChinese"/>
            <w:numRestart w:val="eachPage"/>
          </w:footnotePr>
          <w:pgSz w:w="11907" w:h="16840"/>
          <w:pgMar w:top="1440" w:right="1304" w:bottom="1440" w:left="1304" w:header="720" w:footer="907" w:gutter="0"/>
          <w:pgNumType w:fmt="decimal" w:start="1"/>
          <w:cols w:space="720" w:num="1"/>
        </w:sectPr>
      </w:pPr>
    </w:p>
    <w:p>
      <w:pPr>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rPr>
        <w:t>目  录</w:t>
      </w:r>
    </w:p>
    <w:p>
      <w:pPr>
        <w:pStyle w:val="8"/>
        <w:tabs>
          <w:tab w:val="right" w:leader="dot" w:pos="9299"/>
        </w:tabs>
        <w:spacing w:line="360" w:lineRule="auto"/>
        <w:rPr>
          <w:rFonts w:ascii="宋体" w:hAnsi="宋体" w:eastAsia="宋体" w:cs="宋体"/>
          <w:color w:val="auto"/>
          <w:sz w:val="28"/>
          <w:szCs w:val="28"/>
          <w:highlight w:val="none"/>
        </w:rPr>
      </w:pPr>
      <w:r>
        <w:rPr>
          <w:rFonts w:ascii="宋体" w:hAnsi="宋体"/>
          <w:color w:val="auto"/>
          <w:sz w:val="52"/>
          <w:szCs w:val="52"/>
          <w:highlight w:val="none"/>
        </w:rPr>
        <w:fldChar w:fldCharType="begin"/>
      </w:r>
      <w:r>
        <w:rPr>
          <w:rFonts w:ascii="宋体" w:hAnsi="宋体"/>
          <w:color w:val="auto"/>
          <w:sz w:val="52"/>
          <w:szCs w:val="52"/>
          <w:highlight w:val="none"/>
        </w:rPr>
        <w:instrText xml:space="preserve"> TOC \o "1-1" \h \z \u </w:instrText>
      </w:r>
      <w:r>
        <w:rPr>
          <w:rFonts w:ascii="宋体" w:hAnsi="宋体"/>
          <w:color w:val="auto"/>
          <w:sz w:val="52"/>
          <w:szCs w:val="52"/>
          <w:highlight w:val="none"/>
        </w:rPr>
        <w:fldChar w:fldCharType="separate"/>
      </w:r>
      <w:r>
        <w:rPr>
          <w:color w:val="auto"/>
          <w:highlight w:val="none"/>
        </w:rPr>
        <w:fldChar w:fldCharType="begin"/>
      </w:r>
      <w:r>
        <w:rPr>
          <w:color w:val="auto"/>
          <w:highlight w:val="none"/>
        </w:rPr>
        <w:instrText xml:space="preserve"> HYPERLINK \l "_Toc240" </w:instrText>
      </w:r>
      <w:r>
        <w:rPr>
          <w:color w:val="auto"/>
          <w:highlight w:val="none"/>
        </w:rPr>
        <w:fldChar w:fldCharType="separate"/>
      </w:r>
      <w:r>
        <w:rPr>
          <w:rFonts w:hint="eastAsia" w:ascii="宋体" w:hAnsi="宋体" w:eastAsia="宋体" w:cs="宋体"/>
          <w:bCs/>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"_Toc30837" </w:instrText>
      </w:r>
      <w:r>
        <w:rPr>
          <w:color w:val="auto"/>
          <w:highlight w:val="none"/>
        </w:rPr>
        <w:fldChar w:fldCharType="separate"/>
      </w:r>
      <w:r>
        <w:rPr>
          <w:rFonts w:hint="eastAsia" w:ascii="宋体" w:hAnsi="宋体" w:eastAsia="宋体" w:cs="宋体"/>
          <w:bCs/>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_Toc30837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"_Toc28210" </w:instrText>
      </w:r>
      <w:r>
        <w:rPr>
          <w:color w:val="auto"/>
          <w:highlight w:val="none"/>
        </w:rPr>
        <w:fldChar w:fldCharType="separate"/>
      </w:r>
      <w:r>
        <w:rPr>
          <w:rFonts w:hint="eastAsia" w:ascii="宋体" w:hAnsi="宋体" w:eastAsia="宋体" w:cs="宋体"/>
          <w:bCs/>
          <w:color w:val="auto"/>
          <w:sz w:val="28"/>
          <w:szCs w:val="28"/>
          <w:highlight w:val="none"/>
        </w:rPr>
        <w:t>第三章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"_Toc13221" </w:instrText>
      </w:r>
      <w:r>
        <w:rPr>
          <w:color w:val="auto"/>
          <w:highlight w:val="none"/>
        </w:rPr>
        <w:fldChar w:fldCharType="separate"/>
      </w:r>
      <w:r>
        <w:rPr>
          <w:rFonts w:hint="eastAsia" w:ascii="宋体" w:hAnsi="宋体" w:eastAsia="宋体" w:cs="宋体"/>
          <w:color w:val="auto"/>
          <w:sz w:val="28"/>
          <w:szCs w:val="28"/>
          <w:highlight w:val="none"/>
        </w:rPr>
        <w:t>第四章 合同条款及格式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8"/>
        <w:tabs>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"_Toc5321" </w:instrText>
      </w:r>
      <w:r>
        <w:rPr>
          <w:color w:val="auto"/>
          <w:highlight w:val="none"/>
        </w:rPr>
        <w:fldChar w:fldCharType="separate"/>
      </w:r>
      <w:r>
        <w:rPr>
          <w:rFonts w:hint="eastAsia" w:ascii="宋体" w:hAnsi="宋体" w:eastAsia="宋体" w:cs="宋体"/>
          <w:color w:val="auto"/>
          <w:sz w:val="28"/>
          <w:szCs w:val="28"/>
          <w:highlight w:val="none"/>
        </w:rPr>
        <w:t>第五章 工程量清单</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pPr>
        <w:pStyle w:val="8"/>
        <w:tabs>
          <w:tab w:val="right" w:pos="2400"/>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"_Toc20155" </w:instrText>
      </w:r>
      <w:r>
        <w:rPr>
          <w:color w:val="auto"/>
          <w:highlight w:val="none"/>
        </w:rPr>
        <w:fldChar w:fldCharType="separate"/>
      </w:r>
      <w:r>
        <w:rPr>
          <w:rFonts w:hint="eastAsia" w:ascii="宋体" w:hAnsi="宋体" w:eastAsia="宋体" w:cs="宋体"/>
          <w:bCs/>
          <w:color w:val="auto"/>
          <w:sz w:val="28"/>
          <w:szCs w:val="28"/>
          <w:highlight w:val="none"/>
        </w:rPr>
        <w:t xml:space="preserve">第六章 </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图纸（另附）</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pPr>
        <w:pStyle w:val="8"/>
        <w:tabs>
          <w:tab w:val="right" w:pos="2400"/>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"_Toc18036" </w:instrText>
      </w:r>
      <w:r>
        <w:rPr>
          <w:color w:val="auto"/>
          <w:highlight w:val="none"/>
        </w:rPr>
        <w:fldChar w:fldCharType="separate"/>
      </w:r>
      <w:r>
        <w:rPr>
          <w:rFonts w:hint="eastAsia" w:ascii="宋体" w:hAnsi="宋体" w:eastAsia="宋体" w:cs="宋体"/>
          <w:bCs/>
          <w:color w:val="auto"/>
          <w:sz w:val="28"/>
          <w:szCs w:val="28"/>
          <w:highlight w:val="none"/>
        </w:rPr>
        <w:t>第七章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 xml:space="preserve"> 技术规范（另册出版）</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00</w:t>
      </w:r>
    </w:p>
    <w:p>
      <w:pPr>
        <w:pStyle w:val="8"/>
        <w:tabs>
          <w:tab w:val="right" w:pos="2400"/>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"_Toc27978" </w:instrText>
      </w:r>
      <w:r>
        <w:rPr>
          <w:color w:val="auto"/>
          <w:highlight w:val="none"/>
        </w:rPr>
        <w:fldChar w:fldCharType="separate"/>
      </w:r>
      <w:r>
        <w:rPr>
          <w:rFonts w:hint="eastAsia" w:ascii="宋体" w:hAnsi="宋体" w:eastAsia="宋体" w:cs="宋体"/>
          <w:bCs/>
          <w:color w:val="auto"/>
          <w:sz w:val="28"/>
          <w:szCs w:val="28"/>
          <w:highlight w:val="none"/>
        </w:rPr>
        <w:t>第八章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 xml:space="preserve"> 投标文件格式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01</w:t>
      </w:r>
    </w:p>
    <w:p>
      <w:pPr>
        <w:pStyle w:val="8"/>
        <w:tabs>
          <w:tab w:val="right" w:leader="dot" w:pos="9299"/>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"_Toc12556" </w:instrText>
      </w:r>
      <w:r>
        <w:rPr>
          <w:color w:val="auto"/>
          <w:highlight w:val="none"/>
        </w:rPr>
        <w:fldChar w:fldCharType="separate"/>
      </w:r>
      <w:r>
        <w:rPr>
          <w:rFonts w:hint="eastAsia" w:ascii="宋体" w:hAnsi="宋体" w:eastAsia="宋体" w:cs="宋体"/>
          <w:bCs/>
          <w:color w:val="auto"/>
          <w:sz w:val="28"/>
          <w:szCs w:val="28"/>
          <w:highlight w:val="none"/>
        </w:rPr>
        <w:t>第九章 投标人须知前附表规定的其他材料</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36</w:t>
      </w:r>
    </w:p>
    <w:p>
      <w:pPr>
        <w:rPr>
          <w:rFonts w:ascii="宋体" w:hAnsi="宋体"/>
          <w:color w:val="auto"/>
          <w:sz w:val="52"/>
          <w:szCs w:val="52"/>
          <w:highlight w:val="none"/>
        </w:rPr>
      </w:pPr>
      <w:r>
        <w:rPr>
          <w:rFonts w:ascii="宋体" w:hAnsi="宋体"/>
          <w:color w:val="auto"/>
          <w:szCs w:val="52"/>
          <w:highlight w:val="none"/>
        </w:rPr>
        <w:fldChar w:fldCharType="end"/>
      </w: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jc w:val="both"/>
        <w:outlineLvl w:val="0"/>
        <w:rPr>
          <w:rFonts w:ascii="黑体" w:eastAsia="黑体"/>
          <w:bCs/>
          <w:color w:val="auto"/>
          <w:sz w:val="44"/>
          <w:szCs w:val="44"/>
          <w:highlight w:val="none"/>
        </w:rPr>
      </w:pPr>
      <w:bookmarkStart w:id="1" w:name="_Toc240"/>
    </w:p>
    <w:p>
      <w:pPr>
        <w:jc w:val="both"/>
        <w:outlineLvl w:val="0"/>
        <w:rPr>
          <w:rFonts w:ascii="黑体" w:eastAsia="黑体"/>
          <w:bCs/>
          <w:color w:val="auto"/>
          <w:sz w:val="44"/>
          <w:szCs w:val="44"/>
          <w:highlight w:val="none"/>
        </w:rPr>
      </w:pPr>
    </w:p>
    <w:p>
      <w:pPr>
        <w:keepNext w:val="0"/>
        <w:keepLines w:val="0"/>
        <w:pageBreakBefore w:val="0"/>
        <w:widowControl w:val="0"/>
        <w:kinsoku/>
        <w:wordWrap/>
        <w:overflowPunct/>
        <w:topLinePunct w:val="0"/>
        <w:bidi w:val="0"/>
        <w:snapToGrid/>
        <w:spacing w:line="312" w:lineRule="auto"/>
        <w:jc w:val="center"/>
        <w:textAlignment w:val="auto"/>
        <w:outlineLvl w:val="0"/>
        <w:rPr>
          <w:rFonts w:ascii="黑体" w:hAnsi="宋体" w:eastAsia="黑体"/>
          <w:bCs/>
          <w:color w:val="auto"/>
          <w:sz w:val="44"/>
          <w:szCs w:val="44"/>
          <w:highlight w:val="none"/>
        </w:rPr>
      </w:pPr>
      <w:r>
        <w:rPr>
          <w:rFonts w:hint="eastAsia" w:ascii="黑体" w:eastAsia="黑体"/>
          <w:bCs/>
          <w:color w:val="auto"/>
          <w:sz w:val="44"/>
          <w:szCs w:val="44"/>
          <w:highlight w:val="none"/>
        </w:rPr>
        <w:t>第一章  招标公告</w:t>
      </w:r>
      <w:bookmarkEnd w:id="0"/>
      <w:bookmarkEnd w:id="1"/>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eastAsia="宋体" w:cs="Times New Roman"/>
          <w:b/>
          <w:color w:val="auto"/>
          <w:sz w:val="32"/>
          <w:szCs w:val="32"/>
          <w:highlight w:val="none"/>
          <w:lang w:val="zh-CN" w:eastAsia="zh-CN"/>
        </w:rPr>
      </w:pPr>
      <w:r>
        <w:rPr>
          <w:rFonts w:hint="eastAsia" w:ascii="宋体" w:hAnsi="宋体" w:eastAsia="宋体" w:cs="Times New Roman"/>
          <w:b/>
          <w:color w:val="auto"/>
          <w:sz w:val="32"/>
          <w:szCs w:val="32"/>
          <w:highlight w:val="none"/>
          <w:lang w:eastAsia="zh-CN"/>
        </w:rPr>
        <w:t>建安建工公</w:t>
      </w:r>
      <w:r>
        <w:rPr>
          <w:rFonts w:hint="eastAsia" w:ascii="宋体" w:hAnsi="宋体" w:eastAsia="宋体" w:cs="Times New Roman"/>
          <w:b/>
          <w:color w:val="auto"/>
          <w:sz w:val="32"/>
          <w:szCs w:val="32"/>
          <w:highlight w:val="none"/>
          <w:lang w:val="zh-CN" w:eastAsia="zh-CN"/>
        </w:rPr>
        <w:t>字〔201</w:t>
      </w:r>
      <w:r>
        <w:rPr>
          <w:rFonts w:hint="eastAsia" w:ascii="宋体" w:hAnsi="宋体" w:eastAsia="宋体" w:cs="Times New Roman"/>
          <w:b/>
          <w:color w:val="auto"/>
          <w:sz w:val="32"/>
          <w:szCs w:val="32"/>
          <w:highlight w:val="none"/>
          <w:lang w:val="en-US" w:eastAsia="zh-CN"/>
        </w:rPr>
        <w:t>9</w:t>
      </w:r>
      <w:r>
        <w:rPr>
          <w:rFonts w:hint="eastAsia" w:ascii="宋体" w:hAnsi="宋体" w:eastAsia="宋体" w:cs="Times New Roman"/>
          <w:b/>
          <w:color w:val="auto"/>
          <w:sz w:val="32"/>
          <w:szCs w:val="32"/>
          <w:highlight w:val="none"/>
          <w:lang w:val="zh-CN" w:eastAsia="zh-CN"/>
        </w:rPr>
        <w:t>〕</w:t>
      </w:r>
      <w:r>
        <w:rPr>
          <w:rFonts w:hint="eastAsia" w:ascii="宋体" w:hAnsi="宋体" w:eastAsia="宋体" w:cs="Times New Roman"/>
          <w:b/>
          <w:color w:val="auto"/>
          <w:sz w:val="32"/>
          <w:szCs w:val="32"/>
          <w:highlight w:val="none"/>
          <w:lang w:val="en-US" w:eastAsia="zh-CN"/>
        </w:rPr>
        <w:t xml:space="preserve">46 </w:t>
      </w:r>
      <w:r>
        <w:rPr>
          <w:rFonts w:hint="eastAsia" w:ascii="宋体" w:hAnsi="宋体" w:eastAsia="宋体" w:cs="Times New Roman"/>
          <w:b/>
          <w:color w:val="auto"/>
          <w:sz w:val="32"/>
          <w:szCs w:val="32"/>
          <w:highlight w:val="none"/>
          <w:lang w:val="zh-CN" w:eastAsia="zh-CN"/>
        </w:rPr>
        <w:t>号</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eastAsia="宋体" w:cs="Times New Roman"/>
          <w:b/>
          <w:color w:val="auto"/>
          <w:sz w:val="32"/>
          <w:szCs w:val="32"/>
          <w:highlight w:val="none"/>
          <w:lang w:val="zh-CN" w:eastAsia="zh-CN"/>
        </w:rPr>
      </w:pPr>
      <w:r>
        <w:rPr>
          <w:rFonts w:hint="eastAsia" w:ascii="宋体" w:hAnsi="宋体" w:eastAsia="宋体" w:cs="Times New Roman"/>
          <w:b/>
          <w:color w:val="auto"/>
          <w:sz w:val="32"/>
          <w:szCs w:val="32"/>
          <w:highlight w:val="none"/>
          <w:lang w:val="zh-CN" w:eastAsia="zh-CN"/>
        </w:rPr>
        <w:t>许昌市建安区交通运输局</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b/>
          <w:color w:val="auto"/>
          <w:sz w:val="32"/>
          <w:szCs w:val="32"/>
          <w:highlight w:val="none"/>
          <w:lang w:eastAsia="zh-CN"/>
        </w:rPr>
      </w:pPr>
      <w:r>
        <w:rPr>
          <w:rFonts w:hint="eastAsia" w:ascii="宋体" w:hAnsi="宋体"/>
          <w:b/>
          <w:color w:val="auto"/>
          <w:sz w:val="32"/>
          <w:szCs w:val="32"/>
          <w:highlight w:val="none"/>
          <w:lang w:val="en-US" w:eastAsia="zh-CN"/>
        </w:rPr>
        <w:t>河街乡、五女店镇农村道路建设工程</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公开招标公告</w:t>
      </w:r>
    </w:p>
    <w:p>
      <w:pPr>
        <w:keepNext w:val="0"/>
        <w:keepLines w:val="0"/>
        <w:pageBreakBefore w:val="0"/>
        <w:widowControl w:val="0"/>
        <w:kinsoku/>
        <w:wordWrap/>
        <w:overflowPunct/>
        <w:topLinePunct w:val="0"/>
        <w:bidi w:val="0"/>
        <w:adjustRightInd/>
        <w:snapToGrid/>
        <w:spacing w:line="312" w:lineRule="auto"/>
        <w:ind w:left="0" w:leftChars="0" w:right="0"/>
        <w:textAlignment w:val="auto"/>
        <w:outlineLvl w:val="9"/>
        <w:rPr>
          <w:rFonts w:ascii="宋体" w:hAnsi="宋体"/>
          <w:b/>
          <w:color w:val="auto"/>
          <w:sz w:val="24"/>
          <w:highlight w:val="none"/>
        </w:rPr>
      </w:pPr>
      <w:r>
        <w:rPr>
          <w:rFonts w:hint="eastAsia" w:ascii="宋体" w:hAnsi="宋体"/>
          <w:b/>
          <w:color w:val="auto"/>
          <w:sz w:val="24"/>
          <w:highlight w:val="none"/>
        </w:rPr>
        <w:t>一、项目概况</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1、项目编号：建安建工公字〔2019〕46号</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2、项目名称：</w:t>
      </w:r>
      <w:r>
        <w:rPr>
          <w:rFonts w:hint="eastAsia" w:ascii="宋体" w:hAnsi="宋体" w:eastAsia="宋体" w:cs="Times New Roman"/>
          <w:color w:val="auto"/>
          <w:sz w:val="24"/>
          <w:highlight w:val="none"/>
          <w:lang w:val="en-US" w:eastAsia="zh-CN"/>
        </w:rPr>
        <w:t>河街乡、五女店镇农村道路建设工程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3、招标单位：</w:t>
      </w:r>
      <w:r>
        <w:rPr>
          <w:rFonts w:hint="eastAsia" w:ascii="宋体" w:hAnsi="宋体" w:eastAsia="宋体" w:cs="Times New Roman"/>
          <w:color w:val="auto"/>
          <w:sz w:val="24"/>
          <w:highlight w:val="none"/>
          <w:lang w:val="zh-CN" w:eastAsia="zh-CN"/>
        </w:rPr>
        <w:t>许昌市建安区交通运输局</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w:t>
      </w:r>
      <w:r>
        <w:rPr>
          <w:rFonts w:hint="eastAsia" w:ascii="宋体" w:hAnsi="宋体" w:cs="Times New Roman"/>
          <w:color w:val="auto"/>
          <w:sz w:val="24"/>
          <w:highlight w:val="none"/>
          <w:lang w:val="en-US" w:eastAsia="zh-CN"/>
        </w:rPr>
        <w:t>标段划分</w:t>
      </w:r>
      <w:r>
        <w:rPr>
          <w:rFonts w:hint="eastAsia" w:ascii="宋体" w:hAnsi="宋体" w:eastAsia="宋体" w:cs="Times New Roman"/>
          <w:color w:val="auto"/>
          <w:sz w:val="24"/>
          <w:highlight w:val="none"/>
          <w:lang w:val="zh-CN" w:eastAsia="zh-CN"/>
        </w:rPr>
        <w:t>：</w:t>
      </w:r>
      <w:r>
        <w:rPr>
          <w:rFonts w:hint="eastAsia" w:ascii="宋体" w:hAnsi="宋体" w:eastAsia="宋体" w:cs="Times New Roman"/>
          <w:color w:val="auto"/>
          <w:sz w:val="24"/>
          <w:highlight w:val="none"/>
          <w:lang w:val="en-US" w:eastAsia="zh-CN"/>
        </w:rPr>
        <w:t>该项目</w:t>
      </w:r>
      <w:r>
        <w:rPr>
          <w:rFonts w:hint="eastAsia" w:ascii="宋体" w:hAnsi="宋体" w:cs="Times New Roman"/>
          <w:color w:val="auto"/>
          <w:sz w:val="24"/>
          <w:highlight w:val="none"/>
          <w:lang w:val="en-US" w:eastAsia="zh-CN"/>
        </w:rPr>
        <w:t>共划分为两个标段，分别是：</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一标段：河街乡白兔寺-逯寨村道路建设、河街乡逯寨村道路建设；</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二标段：五女店镇Y004-丁庄村道路建设、五女店镇丁庄村道路建设。</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5、建设规模：</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outlineLvl w:val="9"/>
        <w:rPr>
          <w:rFonts w:hint="eastAsia" w:ascii="宋体" w:hAnsi="宋体"/>
          <w:color w:val="auto"/>
          <w:sz w:val="24"/>
          <w:highlight w:val="none"/>
          <w:lang w:val="en-US"/>
        </w:rPr>
      </w:pPr>
      <w:r>
        <w:rPr>
          <w:rFonts w:hint="eastAsia" w:ascii="宋体" w:hAnsi="宋体" w:cs="Times New Roman"/>
          <w:color w:val="auto"/>
          <w:sz w:val="24"/>
          <w:highlight w:val="none"/>
          <w:lang w:val="en-US" w:eastAsia="zh-CN"/>
        </w:rPr>
        <w:t>一标段：建设内容包括河街乡白兔寺-逯寨村道路全长0.929公里，1#路段路基宽度为5米，行车道宽度4.0米，土路肩宽度为2*0.5米；2#路段路面宽度为4.0米；河街乡逯寨村道路全长1.179公里，1-2#路段路基宽度为5米，行车道宽度4.0米，土路肩宽度为2*0.5米；1-1#、2#、3#路段路面宽度为4.0米</w:t>
      </w:r>
    </w:p>
    <w:p>
      <w:pPr>
        <w:keepNext w:val="0"/>
        <w:keepLines w:val="0"/>
        <w:pageBreakBefore w:val="0"/>
        <w:widowControl w:val="0"/>
        <w:kinsoku/>
        <w:wordWrap/>
        <w:overflowPunct/>
        <w:topLinePunct w:val="0"/>
        <w:bidi w:val="0"/>
        <w:adjustRightInd/>
        <w:snapToGrid/>
        <w:spacing w:line="312" w:lineRule="auto"/>
        <w:ind w:left="0" w:leftChars="0" w:right="0" w:firstLine="480" w:firstLineChars="200"/>
        <w:textAlignment w:val="auto"/>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eastAsia="zh-CN"/>
        </w:rPr>
        <w:t>二标段：</w:t>
      </w:r>
      <w:r>
        <w:rPr>
          <w:rFonts w:hint="eastAsia" w:ascii="宋体" w:hAnsi="宋体" w:cs="Times New Roman"/>
          <w:color w:val="auto"/>
          <w:sz w:val="24"/>
          <w:highlight w:val="none"/>
          <w:lang w:val="en-US" w:eastAsia="zh-CN"/>
        </w:rPr>
        <w:t>五女店镇Y004-丁庄村道路全长1.003公里。1#路段路基宽度为6米，行车道宽度4.5米，土路肩宽度为2*0.75米；2#、3#路段路面宽度为4.5米；五女店镇丁庄村道路全长1.197公里，1#、3#路段路基宽度为6米，行车道宽度4.5米，土路肩宽度为2*0.5米；2#路段路面宽度为3.5米。</w:t>
      </w:r>
    </w:p>
    <w:p>
      <w:pPr>
        <w:keepNext w:val="0"/>
        <w:keepLines w:val="0"/>
        <w:pageBreakBefore w:val="0"/>
        <w:widowControl w:val="0"/>
        <w:kinsoku/>
        <w:wordWrap/>
        <w:overflowPunct/>
        <w:topLinePunct w:val="0"/>
        <w:bidi w:val="0"/>
        <w:adjustRightInd/>
        <w:snapToGrid/>
        <w:spacing w:line="312" w:lineRule="auto"/>
        <w:ind w:left="0" w:leftChars="0" w:right="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、资金预算</w:t>
      </w: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一标段：1356886.98元；二标段：1673998.89元</w:t>
      </w:r>
      <w:r>
        <w:rPr>
          <w:rFonts w:hint="eastAsia" w:ascii="宋体" w:hAnsi="宋体" w:eastAsia="宋体" w:cs="Times New Roman"/>
          <w:color w:val="auto"/>
          <w:sz w:val="24"/>
          <w:highlight w:val="none"/>
          <w:lang w:val="en-US" w:eastAsia="zh-CN"/>
        </w:rPr>
        <w:t>（财政资金）</w:t>
      </w:r>
      <w:r>
        <w:rPr>
          <w:rFonts w:hint="eastAsia" w:ascii="宋体" w:hAnsi="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7</w:t>
      </w:r>
      <w:r>
        <w:rPr>
          <w:rFonts w:hint="eastAsia" w:ascii="宋体" w:hAnsi="宋体" w:eastAsia="宋体" w:cs="Times New Roman"/>
          <w:color w:val="auto"/>
          <w:sz w:val="24"/>
          <w:highlight w:val="none"/>
          <w:lang w:val="en-US" w:eastAsia="zh-CN"/>
        </w:rPr>
        <w:t>、计划工期：</w:t>
      </w:r>
      <w:r>
        <w:rPr>
          <w:rFonts w:hint="eastAsia" w:ascii="宋体" w:hAnsi="宋体" w:cs="Times New Roman"/>
          <w:color w:val="auto"/>
          <w:sz w:val="24"/>
          <w:highlight w:val="none"/>
          <w:lang w:val="en-US" w:eastAsia="zh-CN"/>
        </w:rPr>
        <w:t>一、二标段均为30</w:t>
      </w:r>
      <w:r>
        <w:rPr>
          <w:rFonts w:hint="eastAsia" w:ascii="宋体" w:hAnsi="宋体" w:eastAsia="宋体" w:cs="Times New Roman"/>
          <w:color w:val="auto"/>
          <w:sz w:val="24"/>
          <w:highlight w:val="none"/>
          <w:lang w:val="en-US" w:eastAsia="zh-CN"/>
        </w:rPr>
        <w:t>日历天</w:t>
      </w:r>
    </w:p>
    <w:p>
      <w:pPr>
        <w:keepNext w:val="0"/>
        <w:keepLines w:val="0"/>
        <w:pageBreakBefore w:val="0"/>
        <w:widowControl w:val="0"/>
        <w:kinsoku/>
        <w:wordWrap/>
        <w:overflowPunct/>
        <w:topLinePunct w:val="0"/>
        <w:bidi w:val="0"/>
        <w:adjustRightInd/>
        <w:snapToGrid/>
        <w:spacing w:line="312" w:lineRule="auto"/>
        <w:ind w:left="0" w:leftChars="0" w:right="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、质量要求：合格</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、不组织勘察施工现场。</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olor w:val="auto"/>
          <w:sz w:val="24"/>
          <w:highlight w:val="none"/>
          <w:lang w:eastAsia="zh-CN"/>
        </w:rPr>
      </w:pPr>
      <w:r>
        <w:rPr>
          <w:rFonts w:hint="eastAsia" w:ascii="宋体" w:hAnsi="宋体"/>
          <w:b/>
          <w:color w:val="auto"/>
          <w:sz w:val="24"/>
          <w:highlight w:val="none"/>
        </w:rPr>
        <w:t>二、投标人资格要求</w:t>
      </w:r>
    </w:p>
    <w:p>
      <w:pPr>
        <w:keepNext w:val="0"/>
        <w:keepLines w:val="0"/>
        <w:pageBreakBefore w:val="0"/>
        <w:widowControl w:val="0"/>
        <w:kinsoku/>
        <w:wordWrap/>
        <w:overflowPunct/>
        <w:topLinePunct w:val="0"/>
        <w:bidi w:val="0"/>
        <w:snapToGrid/>
        <w:spacing w:line="312" w:lineRule="auto"/>
        <w:ind w:firstLine="482" w:firstLineChars="200"/>
        <w:textAlignment w:val="auto"/>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eastAsia="zh-CN"/>
        </w:rPr>
        <w:t>适用于一、二标段</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color w:val="auto"/>
          <w:sz w:val="24"/>
          <w:highlight w:val="yellow"/>
        </w:rPr>
      </w:pPr>
      <w:r>
        <w:rPr>
          <w:rFonts w:hint="eastAsia" w:ascii="宋体" w:hAnsi="宋体"/>
          <w:color w:val="auto"/>
          <w:sz w:val="24"/>
          <w:highlight w:val="none"/>
        </w:rPr>
        <w:t>2.1 须具备独立法人资格；</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2.2须具备建设行政主管部门颁发的公路工程施工总承包三级及以上资质，并具备有效的企业安全生产许可证，在人员、设备、资金等方面具有相应的施工能力</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3</w:t>
      </w:r>
      <w:r>
        <w:rPr>
          <w:rFonts w:hint="eastAsia" w:ascii="宋体" w:hAnsi="宋体"/>
          <w:color w:val="auto"/>
          <w:sz w:val="24"/>
          <w:highlight w:val="none"/>
        </w:rPr>
        <w:t>拟派建造师须具备贰级及以上公路工程专业注册建造师执业资格，具备有效的安全生产考核合格证书，且未担任其他在施建设项目的项目经理。拟派项目总工</w:t>
      </w:r>
      <w:r>
        <w:rPr>
          <w:rFonts w:hint="eastAsia" w:ascii="宋体" w:hAnsi="宋体"/>
          <w:color w:val="auto"/>
          <w:sz w:val="24"/>
          <w:highlight w:val="none"/>
          <w:lang w:eastAsia="zh-CN"/>
        </w:rPr>
        <w:t>须</w:t>
      </w:r>
      <w:r>
        <w:rPr>
          <w:rFonts w:hint="eastAsia" w:ascii="宋体" w:hAnsi="宋体"/>
          <w:color w:val="auto"/>
          <w:sz w:val="24"/>
          <w:highlight w:val="none"/>
        </w:rPr>
        <w:t>具备中级及以上相关专业技术职称</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根据《河南省公路建设市场从业单位及人员信用管理办法》第二十一条“对信用考核定级为D级即黑名单的从业单位，”不得参与本项目投标。</w:t>
      </w:r>
    </w:p>
    <w:p>
      <w:pPr>
        <w:keepNext w:val="0"/>
        <w:keepLines w:val="0"/>
        <w:pageBreakBefore w:val="0"/>
        <w:widowControl w:val="0"/>
        <w:kinsoku/>
        <w:wordWrap/>
        <w:overflowPunct/>
        <w:topLinePunct w:val="0"/>
        <w:bidi w:val="0"/>
        <w:snapToGrid/>
        <w:spacing w:line="312" w:lineRule="auto"/>
        <w:ind w:firstLine="480" w:firstLineChars="200"/>
        <w:jc w:val="left"/>
        <w:textAlignment w:val="auto"/>
        <w:outlineLvl w:val="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新宋体" w:hAnsi="新宋体" w:eastAsia="新宋体" w:cs="新宋体"/>
          <w:sz w:val="24"/>
          <w:szCs w:val="22"/>
          <w:lang w:eastAsia="zh-CN"/>
        </w:rPr>
        <w:t>不接受</w:t>
      </w:r>
      <w:r>
        <w:rPr>
          <w:rFonts w:hint="eastAsia" w:ascii="新宋体" w:hAnsi="新宋体" w:eastAsia="新宋体" w:cs="新宋体"/>
          <w:sz w:val="24"/>
          <w:szCs w:val="22"/>
        </w:rPr>
        <w:t>被</w:t>
      </w:r>
      <w:r>
        <w:rPr>
          <w:rFonts w:hint="eastAsia" w:ascii="新宋体" w:hAnsi="新宋体" w:eastAsia="新宋体" w:cs="新宋体"/>
          <w:sz w:val="24"/>
          <w:szCs w:val="22"/>
          <w:lang w:eastAsia="zh-CN"/>
        </w:rPr>
        <w:t>列入</w:t>
      </w:r>
      <w:r>
        <w:rPr>
          <w:rFonts w:hint="eastAsia" w:ascii="新宋体" w:hAnsi="新宋体" w:eastAsia="新宋体" w:cs="新宋体"/>
          <w:sz w:val="24"/>
          <w:szCs w:val="22"/>
        </w:rPr>
        <w:t>国家发改委等部门联合惩戒备忘录（黑名单）</w:t>
      </w:r>
      <w:r>
        <w:rPr>
          <w:rFonts w:hint="eastAsia" w:ascii="新宋体" w:hAnsi="新宋体" w:eastAsia="新宋体" w:cs="新宋体"/>
          <w:sz w:val="24"/>
          <w:szCs w:val="22"/>
          <w:lang w:eastAsia="zh-CN"/>
        </w:rPr>
        <w:t>及</w:t>
      </w:r>
      <w:r>
        <w:rPr>
          <w:rFonts w:hint="default" w:ascii="新宋体" w:hAnsi="新宋体" w:eastAsia="新宋体" w:cs="新宋体"/>
          <w:sz w:val="24"/>
          <w:szCs w:val="22"/>
        </w:rPr>
        <w:t>“信用中国”</w:t>
      </w:r>
      <w:r>
        <w:rPr>
          <w:rFonts w:hint="eastAsia" w:ascii="新宋体" w:hAnsi="新宋体" w:eastAsia="新宋体" w:cs="新宋体"/>
          <w:sz w:val="24"/>
          <w:szCs w:val="22"/>
          <w:lang w:val="en-US" w:eastAsia="zh-CN"/>
        </w:rPr>
        <w:t>（www.creditchina.gov.cn）</w:t>
      </w:r>
      <w:r>
        <w:rPr>
          <w:rFonts w:hint="default" w:ascii="新宋体" w:hAnsi="新宋体" w:eastAsia="新宋体" w:cs="新宋体"/>
          <w:sz w:val="24"/>
          <w:szCs w:val="22"/>
        </w:rPr>
        <w:t>和“信用河南”</w:t>
      </w:r>
      <w:r>
        <w:rPr>
          <w:rFonts w:hint="eastAsia" w:ascii="新宋体" w:hAnsi="新宋体" w:eastAsia="新宋体" w:cs="新宋体"/>
          <w:sz w:val="24"/>
          <w:szCs w:val="22"/>
          <w:lang w:eastAsia="zh-CN"/>
        </w:rPr>
        <w:t>（http://www.xyhn.gov.cn）</w:t>
      </w:r>
      <w:r>
        <w:rPr>
          <w:rFonts w:hint="default" w:ascii="新宋体" w:hAnsi="新宋体" w:eastAsia="新宋体" w:cs="新宋体"/>
          <w:sz w:val="24"/>
          <w:szCs w:val="22"/>
        </w:rPr>
        <w:t>网站信用信息栏黑名单</w:t>
      </w:r>
      <w:r>
        <w:rPr>
          <w:rFonts w:hint="eastAsia" w:ascii="新宋体" w:hAnsi="新宋体" w:eastAsia="新宋体" w:cs="新宋体"/>
          <w:sz w:val="24"/>
          <w:szCs w:val="22"/>
          <w:lang w:eastAsia="zh-CN"/>
        </w:rPr>
        <w:t>、</w:t>
      </w:r>
      <w:r>
        <w:rPr>
          <w:rFonts w:hint="default" w:ascii="新宋体" w:hAnsi="新宋体" w:eastAsia="新宋体" w:cs="新宋体"/>
          <w:sz w:val="24"/>
          <w:szCs w:val="22"/>
        </w:rPr>
        <w:t>“国家企业信用信息公示系统”</w:t>
      </w:r>
      <w:r>
        <w:rPr>
          <w:rFonts w:hint="eastAsia" w:ascii="新宋体" w:hAnsi="新宋体" w:eastAsia="新宋体" w:cs="新宋体"/>
          <w:sz w:val="24"/>
          <w:szCs w:val="22"/>
          <w:lang w:val="en-US" w:eastAsia="zh-CN"/>
        </w:rPr>
        <w:t>（www.gsxt.gov.cn）</w:t>
      </w:r>
      <w:r>
        <w:rPr>
          <w:rFonts w:hint="default" w:ascii="新宋体" w:hAnsi="新宋体" w:eastAsia="新宋体" w:cs="新宋体"/>
          <w:sz w:val="24"/>
          <w:szCs w:val="22"/>
        </w:rPr>
        <w:t>经营异常名录或严重失信黑名单</w:t>
      </w:r>
      <w:r>
        <w:rPr>
          <w:rFonts w:hint="eastAsia" w:ascii="新宋体" w:hAnsi="新宋体" w:eastAsia="新宋体" w:cs="新宋体"/>
          <w:sz w:val="24"/>
          <w:szCs w:val="22"/>
          <w:lang w:eastAsia="zh-CN"/>
        </w:rPr>
        <w:t>的投标单位</w:t>
      </w:r>
      <w:r>
        <w:rPr>
          <w:rFonts w:hint="eastAsia" w:ascii="宋体" w:hAnsi="宋体"/>
          <w:color w:val="auto"/>
          <w:sz w:val="24"/>
          <w:highlight w:val="none"/>
        </w:rPr>
        <w:t>。</w:t>
      </w:r>
    </w:p>
    <w:p>
      <w:pPr>
        <w:keepNext w:val="0"/>
        <w:keepLines w:val="0"/>
        <w:pageBreakBefore w:val="0"/>
        <w:widowControl w:val="0"/>
        <w:kinsoku/>
        <w:wordWrap/>
        <w:overflowPunct/>
        <w:topLinePunct w:val="0"/>
        <w:bidi w:val="0"/>
        <w:snapToGrid/>
        <w:spacing w:line="312" w:lineRule="auto"/>
        <w:ind w:firstLine="480" w:firstLineChars="200"/>
        <w:jc w:val="left"/>
        <w:textAlignment w:val="auto"/>
        <w:outlineLvl w:val="0"/>
        <w:rPr>
          <w:rFonts w:hint="eastAsia" w:ascii="新宋体" w:hAnsi="新宋体" w:eastAsia="新宋体" w:cs="新宋体"/>
          <w:sz w:val="24"/>
          <w:szCs w:val="22"/>
          <w:lang w:val="en-US" w:eastAsia="zh-CN"/>
        </w:rPr>
      </w:pPr>
      <w:r>
        <w:rPr>
          <w:rFonts w:hint="eastAsia" w:ascii="新宋体" w:hAnsi="新宋体" w:eastAsia="新宋体" w:cs="新宋体"/>
          <w:sz w:val="24"/>
          <w:szCs w:val="22"/>
          <w:lang w:val="en-US" w:eastAsia="zh-CN"/>
        </w:rPr>
        <w:t>2.6</w:t>
      </w:r>
      <w:r>
        <w:rPr>
          <w:rFonts w:hint="eastAsia" w:ascii="新宋体" w:hAnsi="新宋体" w:eastAsia="新宋体" w:cs="新宋体"/>
          <w:sz w:val="24"/>
          <w:szCs w:val="22"/>
        </w:rPr>
        <w:t>本次招标不接受联合体投标。</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三、投标报名时间及方式</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1</w:t>
      </w:r>
      <w:r>
        <w:rPr>
          <w:rFonts w:hint="eastAsia" w:ascii="Times New Roman" w:hAnsi="宋体" w:eastAsia="宋体" w:cs="Times New Roman"/>
          <w:color w:val="000000"/>
          <w:sz w:val="24"/>
          <w:highlight w:val="none"/>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2</w:t>
      </w:r>
      <w:r>
        <w:rPr>
          <w:rFonts w:hint="eastAsia" w:ascii="Times New Roman" w:hAnsi="宋体" w:eastAsia="宋体" w:cs="Times New Roman"/>
          <w:color w:val="000000"/>
          <w:sz w:val="24"/>
          <w:highlight w:val="none"/>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四、招标文件和施工图纸的获取</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招标文件和工程量清单的获取：投标人于投</w:t>
      </w:r>
      <w:r>
        <w:rPr>
          <w:rFonts w:hint="eastAsia" w:hAnsi="宋体" w:cs="宋体"/>
          <w:sz w:val="24"/>
          <w:szCs w:val="24"/>
          <w:lang w:val="en-US" w:eastAsia="zh-CN"/>
        </w:rPr>
        <w:t>P</w:t>
      </w:r>
      <w:r>
        <w:rPr>
          <w:rFonts w:hint="eastAsia" w:hAnsi="宋体" w:cs="宋体"/>
          <w:sz w:val="24"/>
          <w:szCs w:val="24"/>
        </w:rPr>
        <w:t>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keepNext w:val="0"/>
        <w:keepLines w:val="0"/>
        <w:pageBreakBefore w:val="0"/>
        <w:widowControl w:val="0"/>
        <w:kinsoku/>
        <w:wordWrap/>
        <w:overflowPunct/>
        <w:topLinePunct w:val="0"/>
        <w:bidi w:val="0"/>
        <w:snapToGrid/>
        <w:spacing w:line="312" w:lineRule="auto"/>
        <w:ind w:firstLine="480" w:firstLineChars="200"/>
        <w:jc w:val="left"/>
        <w:textAlignment w:val="auto"/>
        <w:rPr>
          <w:rFonts w:hAnsi="宋体" w:cs="宋体"/>
          <w:sz w:val="24"/>
          <w:szCs w:val="24"/>
        </w:rPr>
      </w:pPr>
      <w:r>
        <w:rPr>
          <w:rFonts w:hint="eastAsia" w:hAnsi="宋体" w:cs="宋体"/>
          <w:sz w:val="24"/>
          <w:szCs w:val="24"/>
          <w:lang w:val="en-US" w:eastAsia="zh-CN"/>
        </w:rPr>
        <w:t>2、</w:t>
      </w:r>
      <w:r>
        <w:rPr>
          <w:rFonts w:hint="eastAsia" w:hAnsi="宋体" w:cs="宋体"/>
          <w:sz w:val="24"/>
          <w:szCs w:val="24"/>
        </w:rPr>
        <w:t>招标文件每套售价300元，于递交投标文件时缴纳给招标代理机构，售后不退。</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五、投标文件的递交</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1、投标文件递交的</w:t>
      </w:r>
      <w:r>
        <w:rPr>
          <w:rFonts w:hint="eastAsia" w:hAnsi="宋体" w:cs="宋体"/>
          <w:sz w:val="24"/>
          <w:szCs w:val="24"/>
        </w:rPr>
        <w:t>截止时</w:t>
      </w:r>
      <w:r>
        <w:rPr>
          <w:rFonts w:hint="eastAsia" w:ascii="Times New Roman" w:hAnsi="宋体" w:cs="宋体"/>
          <w:sz w:val="24"/>
          <w:szCs w:val="24"/>
        </w:rPr>
        <w:t>间为201</w:t>
      </w:r>
      <w:r>
        <w:rPr>
          <w:rFonts w:hint="eastAsia" w:ascii="Times New Roman" w:hAnsi="宋体" w:cs="宋体"/>
          <w:sz w:val="24"/>
          <w:szCs w:val="24"/>
          <w:lang w:val="en-US" w:eastAsia="zh-CN"/>
        </w:rPr>
        <w:t>9</w:t>
      </w:r>
      <w:r>
        <w:rPr>
          <w:rFonts w:hint="eastAsia" w:ascii="Times New Roman" w:hAnsi="宋体" w:cs="宋体"/>
          <w:sz w:val="24"/>
          <w:szCs w:val="24"/>
        </w:rPr>
        <w:t>年</w:t>
      </w:r>
      <w:r>
        <w:rPr>
          <w:rFonts w:hint="eastAsia" w:ascii="Times New Roman" w:hAnsi="宋体" w:cs="宋体"/>
          <w:sz w:val="24"/>
          <w:szCs w:val="24"/>
          <w:lang w:val="en-US" w:eastAsia="zh-CN"/>
        </w:rPr>
        <w:t xml:space="preserve">4 </w:t>
      </w:r>
      <w:r>
        <w:rPr>
          <w:rFonts w:hint="eastAsia" w:ascii="Times New Roman" w:hAnsi="宋体" w:cs="宋体"/>
          <w:sz w:val="24"/>
          <w:szCs w:val="24"/>
        </w:rPr>
        <w:t>月</w:t>
      </w:r>
      <w:r>
        <w:rPr>
          <w:rFonts w:hint="eastAsia" w:ascii="Times New Roman" w:hAnsi="宋体" w:cs="宋体"/>
          <w:sz w:val="24"/>
          <w:szCs w:val="24"/>
          <w:lang w:val="en-US" w:eastAsia="zh-CN"/>
        </w:rPr>
        <w:t>10</w:t>
      </w:r>
      <w:r>
        <w:rPr>
          <w:rFonts w:hint="eastAsia" w:ascii="Times New Roman" w:hAnsi="宋体" w:cs="宋体"/>
          <w:sz w:val="24"/>
          <w:szCs w:val="24"/>
        </w:rPr>
        <w:t>日</w:t>
      </w:r>
      <w:r>
        <w:rPr>
          <w:rFonts w:hint="eastAsia" w:ascii="Times New Roman" w:hAnsi="宋体" w:cs="宋体"/>
          <w:sz w:val="24"/>
          <w:szCs w:val="24"/>
          <w:lang w:val="en-US" w:eastAsia="zh-CN"/>
        </w:rPr>
        <w:t xml:space="preserve"> 9 </w:t>
      </w:r>
      <w:r>
        <w:rPr>
          <w:rFonts w:hint="eastAsia" w:ascii="Times New Roman" w:hAnsi="宋体" w:cs="宋体"/>
          <w:sz w:val="24"/>
          <w:szCs w:val="24"/>
        </w:rPr>
        <w:t>时</w:t>
      </w:r>
      <w:r>
        <w:rPr>
          <w:rFonts w:hint="eastAsia" w:ascii="Times New Roman" w:hAnsi="宋体" w:cs="宋体"/>
          <w:sz w:val="24"/>
          <w:szCs w:val="24"/>
          <w:lang w:val="en-US" w:eastAsia="zh-CN"/>
        </w:rPr>
        <w:t xml:space="preserve"> 30</w:t>
      </w:r>
      <w:r>
        <w:rPr>
          <w:rFonts w:hint="eastAsia" w:ascii="Times New Roman" w:hAnsi="宋体" w:cs="宋体"/>
          <w:sz w:val="24"/>
          <w:szCs w:val="24"/>
        </w:rPr>
        <w:t>分，地点</w:t>
      </w:r>
      <w:r>
        <w:rPr>
          <w:rFonts w:hint="eastAsia" w:hAnsi="宋体"/>
          <w:color w:val="000000"/>
          <w:sz w:val="24"/>
          <w:highlight w:val="none"/>
        </w:rPr>
        <w:t>为许昌市建安区新元大道兴业大厦4楼</w:t>
      </w:r>
      <w:r>
        <w:rPr>
          <w:rFonts w:hint="eastAsia" w:hAnsi="宋体"/>
          <w:color w:val="000000"/>
          <w:sz w:val="24"/>
          <w:highlight w:val="none"/>
          <w:lang w:val="en-US" w:eastAsia="zh-CN"/>
        </w:rPr>
        <w:t>4167</w:t>
      </w:r>
      <w:r>
        <w:rPr>
          <w:rFonts w:hint="eastAsia" w:hAnsi="宋体"/>
          <w:color w:val="000000"/>
          <w:sz w:val="24"/>
          <w:highlight w:val="none"/>
        </w:rPr>
        <w:t>室。</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2、逾期送达的或者未送达指定地点的投标文件，招标人不予受理。</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3、未通过《全国公共资源交易平台（河南省·许昌市）》下载招标文件的投标人，其投标文件不予受理。</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六、发布公告的媒介</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本公告同时在《全国公共资源交易平台(河南省▪许昌市)》、《河南省电子招标投标公共服务平台》上发布。</w:t>
      </w:r>
    </w:p>
    <w:p>
      <w:pPr>
        <w:keepNext w:val="0"/>
        <w:keepLines w:val="0"/>
        <w:pageBreakBefore w:val="0"/>
        <w:widowControl w:val="0"/>
        <w:kinsoku/>
        <w:wordWrap/>
        <w:overflowPunct/>
        <w:topLinePunct w:val="0"/>
        <w:bidi w:val="0"/>
        <w:snapToGrid/>
        <w:spacing w:line="312" w:lineRule="auto"/>
        <w:textAlignment w:val="auto"/>
        <w:rPr>
          <w:rFonts w:ascii="宋体" w:hAnsi="宋体"/>
          <w:b/>
          <w:color w:val="auto"/>
          <w:sz w:val="24"/>
          <w:highlight w:val="none"/>
        </w:rPr>
      </w:pPr>
      <w:r>
        <w:rPr>
          <w:rFonts w:hint="eastAsia" w:ascii="宋体" w:hAnsi="宋体"/>
          <w:b/>
          <w:color w:val="auto"/>
          <w:sz w:val="24"/>
          <w:highlight w:val="none"/>
        </w:rPr>
        <w:t>七、联系方式</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招  标  人：</w:t>
      </w:r>
      <w:r>
        <w:rPr>
          <w:rFonts w:hint="eastAsia" w:ascii="Times New Roman" w:hAnsi="宋体" w:eastAsia="宋体" w:cs="Times New Roman"/>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lang w:eastAsia="zh-CN"/>
        </w:rPr>
      </w:pPr>
      <w:r>
        <w:rPr>
          <w:rFonts w:hint="eastAsia" w:ascii="Times New Roman" w:hAnsi="宋体" w:eastAsia="宋体" w:cs="Times New Roman"/>
          <w:color w:val="000000"/>
          <w:sz w:val="24"/>
          <w:highlight w:val="none"/>
        </w:rPr>
        <w:t>项目负责人：</w:t>
      </w:r>
      <w:r>
        <w:rPr>
          <w:rFonts w:hint="eastAsia" w:ascii="Times New Roman" w:hAnsi="宋体" w:eastAsia="宋体" w:cs="Times New Roman"/>
          <w:color w:val="000000"/>
          <w:sz w:val="24"/>
          <w:highlight w:val="none"/>
          <w:lang w:eastAsia="zh-CN"/>
        </w:rPr>
        <w:t>黄向远</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电      话：</w:t>
      </w:r>
      <w:r>
        <w:rPr>
          <w:rFonts w:hint="eastAsia" w:ascii="Times New Roman" w:hAnsi="宋体" w:eastAsia="宋体" w:cs="Times New Roman"/>
          <w:color w:val="000000"/>
          <w:sz w:val="24"/>
          <w:highlight w:val="none"/>
          <w:lang w:val="en-US" w:eastAsia="zh-CN"/>
        </w:rPr>
        <w:t>18803743200</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代理  机构：</w:t>
      </w:r>
      <w:r>
        <w:rPr>
          <w:rFonts w:hint="eastAsia" w:ascii="Times New Roman" w:hAnsi="宋体" w:eastAsia="宋体" w:cs="Times New Roman"/>
          <w:color w:val="000000"/>
          <w:sz w:val="24"/>
          <w:highlight w:val="none"/>
          <w:lang w:eastAsia="zh-CN"/>
        </w:rPr>
        <w:t>永明项目管理有限公司</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项目负责人：</w:t>
      </w:r>
      <w:r>
        <w:rPr>
          <w:rFonts w:hint="eastAsia" w:ascii="Times New Roman" w:hAnsi="宋体" w:eastAsia="宋体" w:cs="Times New Roman"/>
          <w:color w:val="000000"/>
          <w:sz w:val="24"/>
          <w:highlight w:val="none"/>
          <w:lang w:eastAsia="zh-CN"/>
        </w:rPr>
        <w:t>徐会娇</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lang w:eastAsia="zh-CN"/>
        </w:rPr>
      </w:pPr>
      <w:r>
        <w:rPr>
          <w:rFonts w:hint="eastAsia" w:ascii="Times New Roman" w:hAnsi="宋体" w:eastAsia="宋体" w:cs="Times New Roman"/>
          <w:color w:val="000000"/>
          <w:sz w:val="24"/>
          <w:highlight w:val="none"/>
        </w:rPr>
        <w:t>电    话：</w:t>
      </w:r>
      <w:r>
        <w:rPr>
          <w:rFonts w:hint="eastAsia" w:ascii="Times New Roman" w:hAnsi="宋体" w:eastAsia="宋体" w:cs="Times New Roman"/>
          <w:color w:val="000000"/>
          <w:sz w:val="24"/>
          <w:highlight w:val="none"/>
          <w:lang w:val="en-US" w:eastAsia="zh-CN"/>
        </w:rPr>
        <w:t>13333991768</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color w:val="auto"/>
          <w:sz w:val="24"/>
          <w:highlight w:val="none"/>
        </w:rPr>
      </w:pPr>
    </w:p>
    <w:p>
      <w:pPr>
        <w:keepNext w:val="0"/>
        <w:keepLines w:val="0"/>
        <w:pageBreakBefore w:val="0"/>
        <w:widowControl w:val="0"/>
        <w:kinsoku/>
        <w:wordWrap/>
        <w:overflowPunct/>
        <w:topLinePunct w:val="0"/>
        <w:bidi w:val="0"/>
        <w:snapToGrid/>
        <w:spacing w:line="312" w:lineRule="auto"/>
        <w:ind w:firstLine="480" w:firstLineChars="200"/>
        <w:jc w:val="right"/>
        <w:textAlignment w:val="auto"/>
        <w:rPr>
          <w:rFonts w:hint="eastAsia" w:hAnsi="宋体"/>
          <w:color w:val="000000"/>
          <w:sz w:val="24"/>
          <w:highlight w:val="none"/>
          <w:lang w:val="zh-CN"/>
        </w:rPr>
      </w:pPr>
      <w:r>
        <w:rPr>
          <w:rFonts w:hint="eastAsia" w:hAnsi="宋体"/>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ind w:firstLine="480" w:firstLineChars="200"/>
        <w:jc w:val="right"/>
        <w:textAlignment w:val="auto"/>
        <w:rPr>
          <w:rFonts w:hint="eastAsia" w:hAnsi="宋体" w:eastAsia="宋体"/>
          <w:color w:val="000000"/>
          <w:sz w:val="24"/>
          <w:highlight w:val="none"/>
          <w:lang w:val="en-US" w:eastAsia="zh-CN"/>
        </w:rPr>
      </w:pPr>
      <w:r>
        <w:rPr>
          <w:rFonts w:hint="eastAsia" w:hAnsi="宋体"/>
          <w:color w:val="000000"/>
          <w:sz w:val="24"/>
          <w:highlight w:val="none"/>
          <w:lang w:val="en-US" w:eastAsia="zh-CN"/>
        </w:rPr>
        <w:t>2019年3月18 日</w:t>
      </w:r>
    </w:p>
    <w:p>
      <w:pPr>
        <w:spacing w:line="360" w:lineRule="auto"/>
        <w:ind w:firstLine="480" w:firstLineChars="200"/>
        <w:jc w:val="right"/>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rPr>
          <w:rFonts w:hint="eastAsia" w:ascii="宋体" w:hAnsi="宋体"/>
          <w:color w:val="auto"/>
          <w:sz w:val="24"/>
          <w:highlight w:val="none"/>
        </w:rPr>
      </w:pPr>
    </w:p>
    <w:p>
      <w:pPr>
        <w:jc w:val="center"/>
        <w:outlineLvl w:val="0"/>
        <w:rPr>
          <w:rFonts w:hint="eastAsia" w:ascii="黑体" w:eastAsia="黑体"/>
          <w:b/>
          <w:bCs w:val="0"/>
          <w:color w:val="auto"/>
          <w:sz w:val="44"/>
          <w:szCs w:val="44"/>
          <w:highlight w:val="none"/>
        </w:rPr>
      </w:pPr>
      <w:bookmarkStart w:id="2" w:name="_Toc30837"/>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hint="eastAsia" w:ascii="黑体" w:eastAsia="黑体"/>
          <w:b/>
          <w:bCs w:val="0"/>
          <w:color w:val="auto"/>
          <w:sz w:val="44"/>
          <w:szCs w:val="44"/>
          <w:highlight w:val="none"/>
        </w:rPr>
      </w:pPr>
    </w:p>
    <w:p>
      <w:pPr>
        <w:jc w:val="center"/>
        <w:outlineLvl w:val="0"/>
        <w:rPr>
          <w:rFonts w:ascii="宋体" w:hAnsi="宋体"/>
          <w:b/>
          <w:bCs w:val="0"/>
          <w:color w:val="auto"/>
          <w:sz w:val="44"/>
          <w:szCs w:val="44"/>
          <w:highlight w:val="none"/>
        </w:rPr>
      </w:pPr>
      <w:r>
        <w:rPr>
          <w:rFonts w:hint="eastAsia" w:ascii="黑体" w:eastAsia="黑体"/>
          <w:b/>
          <w:bCs w:val="0"/>
          <w:color w:val="auto"/>
          <w:sz w:val="44"/>
          <w:szCs w:val="44"/>
          <w:highlight w:val="none"/>
        </w:rPr>
        <w:t>第二章  投标人须知</w:t>
      </w:r>
      <w:bookmarkEnd w:id="2"/>
    </w:p>
    <w:p>
      <w:pPr>
        <w:spacing w:line="360" w:lineRule="auto"/>
        <w:jc w:val="center"/>
        <w:rPr>
          <w:rFonts w:ascii="宋体" w:hAnsi="宋体"/>
          <w:b/>
          <w:bCs w:val="0"/>
          <w:color w:val="auto"/>
          <w:sz w:val="24"/>
          <w:highlight w:val="none"/>
        </w:rPr>
      </w:pPr>
      <w:bookmarkStart w:id="3" w:name="_Toc234382587"/>
      <w:r>
        <w:rPr>
          <w:rFonts w:hint="eastAsia" w:ascii="黑体" w:eastAsia="黑体"/>
          <w:b/>
          <w:bCs w:val="0"/>
          <w:color w:val="auto"/>
          <w:sz w:val="30"/>
          <w:szCs w:val="30"/>
          <w:highlight w:val="none"/>
        </w:rPr>
        <w:t>投标人须知前附表</w:t>
      </w:r>
      <w:bookmarkEnd w:id="3"/>
      <w:bookmarkStart w:id="4" w:name="_Hlt111980600"/>
      <w:bookmarkEnd w:id="4"/>
    </w:p>
    <w:tbl>
      <w:tblPr>
        <w:tblStyle w:val="10"/>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29"/>
        <w:gridCol w:w="2004"/>
        <w:gridCol w:w="579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53" w:type="dxa"/>
            <w:vAlign w:val="top"/>
          </w:tcPr>
          <w:p>
            <w:pPr>
              <w:spacing w:line="360" w:lineRule="auto"/>
              <w:jc w:val="center"/>
              <w:rPr>
                <w:rFonts w:ascii="宋体" w:hAnsi="宋体"/>
                <w:color w:val="auto"/>
                <w:sz w:val="24"/>
                <w:highlight w:val="none"/>
              </w:rPr>
            </w:pPr>
            <w:r>
              <w:rPr>
                <w:rFonts w:hint="eastAsia" w:ascii="宋体" w:hAnsi="宋体"/>
                <w:color w:val="auto"/>
                <w:sz w:val="24"/>
                <w:highlight w:val="none"/>
              </w:rPr>
              <w:t>条款号</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条 款 名 称</w:t>
            </w:r>
          </w:p>
        </w:tc>
        <w:tc>
          <w:tcPr>
            <w:tcW w:w="5805"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w:t>
            </w:r>
          </w:p>
        </w:tc>
        <w:tc>
          <w:tcPr>
            <w:tcW w:w="5805" w:type="dxa"/>
            <w:gridSpan w:val="2"/>
            <w:tcBorders>
              <w:bottom w:val="single" w:color="auto" w:sz="4" w:space="0"/>
            </w:tcBorders>
            <w:vAlign w:val="center"/>
          </w:tcPr>
          <w:p>
            <w:pPr>
              <w:keepNext w:val="0"/>
              <w:keepLines w:val="0"/>
              <w:pageBreakBefore w:val="0"/>
              <w:widowControl w:val="0"/>
              <w:kinsoku/>
              <w:wordWrap/>
              <w:overflowPunct/>
              <w:topLinePunct w:val="0"/>
              <w:bidi w:val="0"/>
              <w:snapToGrid/>
              <w:spacing w:line="312" w:lineRule="auto"/>
              <w:textAlignment w:val="auto"/>
              <w:rPr>
                <w:rFonts w:hint="eastAsia" w:ascii="Times New Roman" w:hAnsi="宋体" w:eastAsia="宋体" w:cs="Times New Roman"/>
                <w:color w:val="000000"/>
                <w:sz w:val="24"/>
                <w:highlight w:val="none"/>
              </w:rPr>
            </w:pPr>
            <w:r>
              <w:rPr>
                <w:rFonts w:hint="eastAsia" w:hAnsi="宋体"/>
                <w:color w:val="000000"/>
                <w:sz w:val="24"/>
                <w:highlight w:val="none"/>
              </w:rPr>
              <w:t xml:space="preserve">招 </w:t>
            </w:r>
            <w:r>
              <w:rPr>
                <w:rFonts w:hint="eastAsia" w:ascii="Times New Roman" w:hAnsi="宋体" w:eastAsia="宋体" w:cs="Times New Roman"/>
                <w:color w:val="000000"/>
                <w:sz w:val="24"/>
                <w:highlight w:val="none"/>
              </w:rPr>
              <w:t xml:space="preserve"> 标  人：</w:t>
            </w:r>
            <w:r>
              <w:rPr>
                <w:rFonts w:hint="eastAsia" w:ascii="Times New Roman" w:hAnsi="宋体" w:eastAsia="宋体" w:cs="Times New Roman"/>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textAlignment w:val="auto"/>
              <w:rPr>
                <w:rFonts w:hint="eastAsia" w:ascii="Times New Roman" w:hAnsi="宋体" w:eastAsia="宋体" w:cs="Times New Roman"/>
                <w:color w:val="000000"/>
                <w:sz w:val="24"/>
                <w:highlight w:val="none"/>
                <w:lang w:eastAsia="zh-CN"/>
              </w:rPr>
            </w:pPr>
            <w:r>
              <w:rPr>
                <w:rFonts w:hint="eastAsia" w:ascii="Times New Roman" w:hAnsi="宋体" w:eastAsia="宋体" w:cs="Times New Roman"/>
                <w:color w:val="000000"/>
                <w:sz w:val="24"/>
                <w:highlight w:val="none"/>
              </w:rPr>
              <w:t>项目负责人：</w:t>
            </w:r>
            <w:r>
              <w:rPr>
                <w:rFonts w:hint="eastAsia" w:ascii="Times New Roman" w:hAnsi="宋体" w:eastAsia="宋体" w:cs="Times New Roman"/>
                <w:color w:val="000000"/>
                <w:sz w:val="24"/>
                <w:highlight w:val="none"/>
                <w:lang w:eastAsia="zh-CN"/>
              </w:rPr>
              <w:t>黄向远</w:t>
            </w:r>
          </w:p>
          <w:p>
            <w:pPr>
              <w:keepNext w:val="0"/>
              <w:keepLines w:val="0"/>
              <w:pageBreakBefore w:val="0"/>
              <w:widowControl w:val="0"/>
              <w:kinsoku/>
              <w:wordWrap/>
              <w:overflowPunct/>
              <w:topLinePunct w:val="0"/>
              <w:bidi w:val="0"/>
              <w:snapToGrid/>
              <w:spacing w:line="312" w:lineRule="auto"/>
              <w:textAlignment w:val="auto"/>
              <w:rPr>
                <w:rFonts w:ascii="宋体" w:hAnsi="宋体"/>
                <w:color w:val="auto"/>
                <w:sz w:val="24"/>
                <w:highlight w:val="none"/>
                <w:u w:val="single"/>
              </w:rPr>
            </w:pPr>
            <w:r>
              <w:rPr>
                <w:rFonts w:hint="eastAsia" w:ascii="Times New Roman" w:hAnsi="宋体" w:eastAsia="宋体" w:cs="Times New Roman"/>
                <w:color w:val="000000"/>
                <w:sz w:val="24"/>
                <w:highlight w:val="none"/>
              </w:rPr>
              <w:t>电      话：</w:t>
            </w:r>
            <w:r>
              <w:rPr>
                <w:rFonts w:hint="eastAsia" w:ascii="Times New Roman" w:hAnsi="宋体" w:eastAsia="宋体" w:cs="Times New Roman"/>
                <w:color w:val="000000"/>
                <w:sz w:val="24"/>
                <w:highlight w:val="none"/>
                <w:lang w:val="en-US" w:eastAsia="zh-CN"/>
              </w:rPr>
              <w:t>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招标代理机构</w:t>
            </w:r>
          </w:p>
        </w:tc>
        <w:tc>
          <w:tcPr>
            <w:tcW w:w="5805" w:type="dxa"/>
            <w:gridSpan w:val="2"/>
            <w:tcBorders>
              <w:bottom w:val="single" w:color="auto" w:sz="4" w:space="0"/>
            </w:tcBorders>
            <w:vAlign w:val="center"/>
          </w:tcPr>
          <w:p>
            <w:pPr>
              <w:autoSpaceDE w:val="0"/>
              <w:autoSpaceDN w:val="0"/>
              <w:adjustRightInd w:val="0"/>
              <w:spacing w:line="360" w:lineRule="exact"/>
              <w:rPr>
                <w:rFonts w:hint="eastAsia" w:hAnsi="宋体" w:cs="宋体"/>
                <w:sz w:val="24"/>
                <w:szCs w:val="24"/>
                <w:lang w:eastAsia="zh-CN"/>
              </w:rPr>
            </w:pPr>
            <w:r>
              <w:rPr>
                <w:rFonts w:hint="eastAsia" w:hAnsi="宋体"/>
                <w:sz w:val="24"/>
              </w:rPr>
              <w:t>招标代理机构名称：</w:t>
            </w:r>
            <w:r>
              <w:rPr>
                <w:rFonts w:hint="eastAsia" w:hAnsi="宋体" w:cs="宋体"/>
                <w:sz w:val="24"/>
                <w:szCs w:val="24"/>
                <w:lang w:eastAsia="zh-CN"/>
              </w:rPr>
              <w:t>永明项目管理有限公司</w:t>
            </w:r>
          </w:p>
          <w:p>
            <w:pPr>
              <w:autoSpaceDE w:val="0"/>
              <w:autoSpaceDN w:val="0"/>
              <w:adjustRightInd w:val="0"/>
              <w:spacing w:line="360" w:lineRule="exact"/>
              <w:rPr>
                <w:rFonts w:hint="eastAsia" w:hAnsi="宋体"/>
                <w:sz w:val="24"/>
              </w:rPr>
            </w:pPr>
            <w:r>
              <w:rPr>
                <w:rFonts w:hint="eastAsia" w:hAnsi="宋体"/>
                <w:sz w:val="24"/>
              </w:rPr>
              <w:t>项目负责人：</w:t>
            </w:r>
            <w:r>
              <w:rPr>
                <w:rFonts w:hint="eastAsia" w:hAnsi="宋体"/>
                <w:sz w:val="24"/>
                <w:lang w:eastAsia="zh-CN"/>
              </w:rPr>
              <w:t>徐会娇</w:t>
            </w:r>
          </w:p>
          <w:p>
            <w:pPr>
              <w:tabs>
                <w:tab w:val="left" w:pos="4536"/>
              </w:tabs>
              <w:spacing w:line="500" w:lineRule="exact"/>
              <w:rPr>
                <w:rFonts w:ascii="宋体" w:hAnsi="宋体"/>
                <w:color w:val="auto"/>
                <w:sz w:val="24"/>
                <w:highlight w:val="none"/>
              </w:rPr>
            </w:pPr>
            <w:r>
              <w:rPr>
                <w:rFonts w:hint="eastAsia" w:hAnsi="宋体"/>
                <w:sz w:val="24"/>
              </w:rPr>
              <w:t>电    话</w:t>
            </w:r>
            <w:r>
              <w:rPr>
                <w:rFonts w:hint="eastAsia" w:hAnsi="宋体" w:cs="宋体"/>
                <w:sz w:val="24"/>
                <w:szCs w:val="24"/>
                <w:lang w:eastAsia="zh-CN"/>
              </w:rPr>
              <w:t>：</w:t>
            </w:r>
            <w:r>
              <w:rPr>
                <w:rFonts w:hint="eastAsia" w:hAnsi="宋体" w:cs="宋体"/>
                <w:sz w:val="24"/>
                <w:szCs w:val="24"/>
                <w:lang w:val="en-US" w:eastAsia="zh-CN"/>
              </w:rPr>
              <w:t>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1.1.3</w:t>
            </w:r>
          </w:p>
        </w:tc>
        <w:tc>
          <w:tcPr>
            <w:tcW w:w="2233" w:type="dxa"/>
            <w:gridSpan w:val="2"/>
            <w:tcBorders>
              <w:right w:val="single" w:color="auto" w:sz="4" w:space="0"/>
            </w:tcBorders>
            <w:vAlign w:val="center"/>
          </w:tcPr>
          <w:p>
            <w:pPr>
              <w:spacing w:line="360" w:lineRule="auto"/>
              <w:ind w:firstLine="480" w:firstLineChars="200"/>
              <w:rPr>
                <w:rFonts w:hint="eastAsia" w:hAnsi="宋体" w:cs="宋体"/>
                <w:sz w:val="24"/>
                <w:szCs w:val="24"/>
                <w:lang w:val="zh-CN" w:eastAsia="zh-CN"/>
              </w:rPr>
            </w:pPr>
            <w:r>
              <w:rPr>
                <w:rFonts w:hint="eastAsia" w:hAnsi="宋体" w:cs="宋体"/>
                <w:sz w:val="24"/>
                <w:szCs w:val="24"/>
                <w:lang w:val="zh-CN" w:eastAsia="zh-CN"/>
              </w:rPr>
              <w:t>项目名称</w:t>
            </w:r>
          </w:p>
        </w:tc>
        <w:tc>
          <w:tcPr>
            <w:tcW w:w="5805" w:type="dxa"/>
            <w:gridSpan w:val="2"/>
            <w:tcBorders>
              <w:left w:val="single" w:color="auto" w:sz="4" w:space="0"/>
              <w:right w:val="single" w:color="auto" w:sz="4" w:space="0"/>
            </w:tcBorders>
            <w:vAlign w:val="center"/>
          </w:tcPr>
          <w:p>
            <w:pPr>
              <w:spacing w:line="360" w:lineRule="auto"/>
              <w:rPr>
                <w:rFonts w:hint="eastAsia" w:hAnsi="宋体" w:cs="宋体"/>
                <w:sz w:val="24"/>
                <w:szCs w:val="24"/>
                <w:lang w:val="zh-CN" w:eastAsia="zh-CN"/>
              </w:rPr>
            </w:pPr>
            <w:r>
              <w:rPr>
                <w:rFonts w:hint="eastAsia" w:hAnsi="宋体" w:cs="宋体"/>
                <w:sz w:val="24"/>
                <w:szCs w:val="24"/>
                <w:lang w:val="en-US" w:eastAsia="zh-CN"/>
              </w:rPr>
              <w:t xml:space="preserve">河街乡、五女店镇农村道路建设工程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1.1.4</w:t>
            </w:r>
          </w:p>
        </w:tc>
        <w:tc>
          <w:tcPr>
            <w:tcW w:w="2233"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建设地点</w:t>
            </w:r>
          </w:p>
        </w:tc>
        <w:tc>
          <w:tcPr>
            <w:tcW w:w="5805" w:type="dxa"/>
            <w:gridSpan w:val="2"/>
            <w:tcBorders>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hAnsi="宋体" w:cs="宋体"/>
                <w:sz w:val="24"/>
                <w:szCs w:val="24"/>
                <w:lang w:val="zh-CN"/>
              </w:rPr>
              <w:t>位于</w:t>
            </w:r>
            <w:r>
              <w:rPr>
                <w:rFonts w:hint="eastAsia" w:hAnsi="宋体" w:cs="宋体"/>
                <w:sz w:val="24"/>
                <w:szCs w:val="24"/>
                <w:lang w:eastAsia="zh-CN"/>
              </w:rPr>
              <w:t>许昌市建安区</w:t>
            </w:r>
            <w:r>
              <w:rPr>
                <w:rFonts w:hint="eastAsia" w:hAnsi="宋体" w:cs="宋体"/>
                <w:sz w:val="24"/>
                <w:szCs w:val="24"/>
                <w:lang w:val="en-US" w:eastAsia="zh-CN"/>
              </w:rPr>
              <w:t>河街乡、五女店镇</w:t>
            </w:r>
            <w:r>
              <w:rPr>
                <w:rFonts w:hint="eastAsia" w:hAnsi="宋体" w:cs="宋体"/>
                <w:sz w:val="24"/>
                <w:szCs w:val="24"/>
                <w:lang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1.1.5</w:t>
            </w:r>
          </w:p>
        </w:tc>
        <w:tc>
          <w:tcPr>
            <w:tcW w:w="2233"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资金来源</w:t>
            </w:r>
          </w:p>
        </w:tc>
        <w:tc>
          <w:tcPr>
            <w:tcW w:w="5805" w:type="dxa"/>
            <w:gridSpan w:val="2"/>
            <w:tcBorders>
              <w:left w:val="single" w:color="auto" w:sz="4" w:space="0"/>
              <w:bottom w:val="single" w:color="auto" w:sz="4" w:space="0"/>
              <w:right w:val="single" w:color="auto" w:sz="4" w:space="0"/>
            </w:tcBorders>
            <w:vAlign w:val="center"/>
          </w:tcPr>
          <w:p>
            <w:pPr>
              <w:pStyle w:val="16"/>
              <w:snapToGrid w:val="0"/>
              <w:spacing w:line="0" w:lineRule="atLeast"/>
              <w:textAlignment w:val="auto"/>
              <w:outlineLvl w:val="9"/>
              <w:rPr>
                <w:rFonts w:ascii="宋体" w:hAnsi="宋体"/>
                <w:color w:val="auto"/>
                <w:sz w:val="24"/>
                <w:highlight w:val="none"/>
              </w:rPr>
            </w:pPr>
            <w:r>
              <w:rPr>
                <w:rFonts w:hint="eastAsia" w:ascii="宋体" w:hAnsi="宋体" w:cs="宋体"/>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val="en-US" w:eastAsia="zh-CN"/>
              </w:rPr>
              <w:t>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出资比例</w:t>
            </w:r>
          </w:p>
        </w:tc>
        <w:tc>
          <w:tcPr>
            <w:tcW w:w="5805" w:type="dxa"/>
            <w:gridSpan w:val="2"/>
            <w:tcBorders>
              <w:top w:val="single" w:color="auto" w:sz="4" w:space="0"/>
            </w:tcBorders>
            <w:vAlign w:val="center"/>
          </w:tcPr>
          <w:p>
            <w:pPr>
              <w:spacing w:line="500" w:lineRule="exact"/>
              <w:rPr>
                <w:rFonts w:ascii="宋体" w:hAnsi="宋体"/>
                <w:color w:val="auto"/>
                <w:sz w:val="24"/>
                <w:highlight w:val="none"/>
              </w:rPr>
            </w:pPr>
            <w:r>
              <w:rPr>
                <w:rFonts w:hint="eastAsia" w:ascii="宋体" w:hAnsi="宋体"/>
                <w:bCs/>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1.2.2</w:t>
            </w:r>
          </w:p>
        </w:tc>
        <w:tc>
          <w:tcPr>
            <w:tcW w:w="2233" w:type="dxa"/>
            <w:gridSpan w:val="2"/>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资金落实情况</w:t>
            </w:r>
          </w:p>
        </w:tc>
        <w:tc>
          <w:tcPr>
            <w:tcW w:w="5805" w:type="dxa"/>
            <w:gridSpan w:val="2"/>
            <w:tcBorders>
              <w:top w:val="single" w:color="auto" w:sz="4" w:space="0"/>
            </w:tcBorders>
            <w:vAlign w:val="center"/>
          </w:tcPr>
          <w:p>
            <w:pPr>
              <w:spacing w:line="500" w:lineRule="exact"/>
              <w:rPr>
                <w:rFonts w:hint="eastAsia" w:ascii="宋体" w:hAnsi="宋体"/>
                <w:bCs/>
                <w:color w:val="auto"/>
                <w:sz w:val="24"/>
                <w:highlight w:val="none"/>
              </w:rPr>
            </w:pPr>
            <w:r>
              <w:rPr>
                <w:rFonts w:hint="eastAsia" w:ascii="宋体" w:hAnsi="宋体"/>
                <w:color w:val="auto"/>
                <w:sz w:val="24"/>
                <w:highlight w:val="none"/>
              </w:rPr>
              <w:t>建设资金已落实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1.2.3</w:t>
            </w:r>
          </w:p>
        </w:tc>
        <w:tc>
          <w:tcPr>
            <w:tcW w:w="2233" w:type="dxa"/>
            <w:gridSpan w:val="2"/>
            <w:vAlign w:val="center"/>
          </w:tcPr>
          <w:p>
            <w:pPr>
              <w:pStyle w:val="16"/>
              <w:snapToGrid w:val="0"/>
              <w:spacing w:line="0" w:lineRule="atLeast"/>
              <w:jc w:val="center"/>
              <w:textAlignment w:val="auto"/>
              <w:outlineLvl w:val="9"/>
              <w:rPr>
                <w:rFonts w:ascii="宋体" w:hAnsi="宋体"/>
                <w:color w:val="auto"/>
                <w:sz w:val="24"/>
                <w:highlight w:val="none"/>
              </w:rPr>
            </w:pPr>
            <w:r>
              <w:rPr>
                <w:rFonts w:hint="eastAsia" w:ascii="宋体" w:hAnsi="宋体" w:cs="宋体"/>
                <w:sz w:val="24"/>
                <w:szCs w:val="24"/>
              </w:rPr>
              <w:t>批准文号</w:t>
            </w:r>
          </w:p>
        </w:tc>
        <w:tc>
          <w:tcPr>
            <w:tcW w:w="5805" w:type="dxa"/>
            <w:gridSpan w:val="2"/>
            <w:vAlign w:val="center"/>
          </w:tcPr>
          <w:p>
            <w:pPr>
              <w:pStyle w:val="16"/>
              <w:snapToGrid w:val="0"/>
              <w:spacing w:line="0" w:lineRule="atLeast"/>
              <w:jc w:val="center"/>
              <w:textAlignment w:val="auto"/>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招标范围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s="宋体"/>
                <w:color w:val="auto"/>
                <w:kern w:val="0"/>
                <w:sz w:val="24"/>
                <w:highlight w:val="none"/>
                <w:shd w:val="clear" w:color="auto" w:fill="FFFFFF"/>
              </w:rPr>
              <w:t>招标文件、工程量清单、施工图、设计变更及答疑纪要</w:t>
            </w:r>
            <w:r>
              <w:rPr>
                <w:rFonts w:hint="eastAsia" w:ascii="宋体" w:hAnsi="宋体" w:cs="宋体"/>
                <w:color w:val="auto"/>
                <w:kern w:val="0"/>
                <w:sz w:val="24"/>
                <w:highlight w:val="none"/>
                <w:shd w:val="clear" w:color="auto" w:fill="FFFFFF"/>
                <w:lang w:eastAsia="zh-CN"/>
              </w:rPr>
              <w:t>（如有）</w:t>
            </w:r>
            <w:r>
              <w:rPr>
                <w:rFonts w:hint="eastAsia" w:ascii="宋体" w:hAnsi="宋体" w:cs="宋体"/>
                <w:color w:val="auto"/>
                <w:kern w:val="0"/>
                <w:sz w:val="24"/>
                <w:highlight w:val="none"/>
                <w:shd w:val="clear" w:color="auto" w:fill="FFFFFF"/>
              </w:rPr>
              <w:t>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1.3.2</w:t>
            </w:r>
          </w:p>
        </w:tc>
        <w:tc>
          <w:tcPr>
            <w:tcW w:w="2233" w:type="dxa"/>
            <w:gridSpan w:val="2"/>
            <w:vAlign w:val="center"/>
          </w:tcPr>
          <w:p>
            <w:pPr>
              <w:spacing w:line="500" w:lineRule="exact"/>
              <w:jc w:val="center"/>
              <w:rPr>
                <w:rFonts w:hint="eastAsia" w:ascii="宋体" w:hAnsi="宋体" w:cs="宋体"/>
                <w:color w:val="auto"/>
                <w:kern w:val="0"/>
                <w:sz w:val="24"/>
                <w:highlight w:val="none"/>
                <w:shd w:val="clear" w:color="auto" w:fill="FFFFFF"/>
                <w:lang w:eastAsia="zh-CN"/>
              </w:rPr>
            </w:pPr>
            <w:r>
              <w:rPr>
                <w:rFonts w:hint="eastAsia" w:ascii="宋体" w:hAnsi="宋体" w:cs="宋体"/>
                <w:color w:val="auto"/>
                <w:kern w:val="0"/>
                <w:sz w:val="24"/>
                <w:highlight w:val="none"/>
                <w:shd w:val="clear" w:color="auto" w:fill="FFFFFF"/>
                <w:lang w:eastAsia="zh-CN"/>
              </w:rPr>
              <w:t>工期要求</w:t>
            </w:r>
          </w:p>
        </w:tc>
        <w:tc>
          <w:tcPr>
            <w:tcW w:w="5805" w:type="dxa"/>
            <w:gridSpan w:val="2"/>
            <w:vAlign w:val="center"/>
          </w:tcPr>
          <w:p>
            <w:pPr>
              <w:spacing w:line="500" w:lineRule="exact"/>
              <w:jc w:val="center"/>
              <w:rPr>
                <w:rFonts w:hint="eastAsia" w:ascii="宋体" w:hAnsi="宋体" w:cs="宋体"/>
                <w:color w:val="auto"/>
                <w:kern w:val="0"/>
                <w:sz w:val="24"/>
                <w:highlight w:val="none"/>
                <w:shd w:val="clear" w:color="auto" w:fill="FFFFFF"/>
                <w:lang w:eastAsia="zh-CN"/>
              </w:rPr>
            </w:pPr>
            <w:r>
              <w:rPr>
                <w:rFonts w:hint="eastAsia" w:ascii="宋体" w:hAnsi="宋体" w:cs="宋体"/>
                <w:color w:val="auto"/>
                <w:kern w:val="0"/>
                <w:sz w:val="24"/>
                <w:highlight w:val="none"/>
                <w:shd w:val="clear" w:color="auto" w:fill="FFFFFF"/>
                <w:lang w:val="en-US" w:eastAsia="zh-CN"/>
              </w:rPr>
              <w:t xml:space="preserve">一、二标段均为30 </w:t>
            </w:r>
            <w:r>
              <w:rPr>
                <w:rFonts w:hint="eastAsia" w:ascii="宋体" w:hAnsi="宋体" w:cs="宋体"/>
                <w:color w:val="auto"/>
                <w:kern w:val="0"/>
                <w:sz w:val="24"/>
                <w:highlight w:val="none"/>
                <w:shd w:val="clear" w:color="auto" w:fill="FFFFFF"/>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质量要求</w:t>
            </w:r>
          </w:p>
        </w:tc>
        <w:tc>
          <w:tcPr>
            <w:tcW w:w="5805" w:type="dxa"/>
            <w:gridSpan w:val="2"/>
            <w:vAlign w:val="center"/>
          </w:tcPr>
          <w:p>
            <w:pPr>
              <w:tabs>
                <w:tab w:val="right" w:leader="dot" w:pos="8295"/>
              </w:tabs>
              <w:spacing w:line="500" w:lineRule="exact"/>
              <w:rPr>
                <w:color w:val="auto"/>
                <w:sz w:val="24"/>
                <w:highlight w:val="none"/>
                <w:u w:val="single"/>
              </w:rPr>
            </w:pPr>
            <w:r>
              <w:rPr>
                <w:rFonts w:hint="eastAsia"/>
                <w:color w:val="auto"/>
                <w:sz w:val="24"/>
                <w:highlight w:val="none"/>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053" w:type="dxa"/>
            <w:tcBorders>
              <w:top w:val="single" w:color="auto" w:sz="4" w:space="0"/>
              <w:left w:val="single" w:color="auto" w:sz="4" w:space="0"/>
            </w:tcBorders>
            <w:vAlign w:val="center"/>
          </w:tcPr>
          <w:p>
            <w:pPr>
              <w:spacing w:line="500" w:lineRule="exact"/>
              <w:jc w:val="center"/>
              <w:rPr>
                <w:rFonts w:ascii="宋体" w:hAnsi="宋体"/>
                <w:color w:val="auto"/>
                <w:sz w:val="24"/>
                <w:highlight w:val="none"/>
                <w:vertAlign w:val="superscript"/>
              </w:rPr>
            </w:pPr>
            <w:r>
              <w:rPr>
                <w:rFonts w:ascii="宋体" w:hAnsi="宋体"/>
                <w:color w:val="auto"/>
                <w:sz w:val="24"/>
                <w:highlight w:val="none"/>
              </w:rPr>
              <w:t>1.4.</w:t>
            </w:r>
            <w:r>
              <w:rPr>
                <w:rFonts w:hint="eastAsia" w:ascii="宋体" w:hAnsi="宋体"/>
                <w:color w:val="auto"/>
                <w:sz w:val="24"/>
                <w:highlight w:val="none"/>
              </w:rPr>
              <w:t>1</w:t>
            </w:r>
            <w:r>
              <w:rPr>
                <w:rFonts w:hint="eastAsia" w:ascii="宋体" w:hAnsi="宋体"/>
                <w:color w:val="auto"/>
                <w:sz w:val="24"/>
                <w:highlight w:val="none"/>
                <w:vertAlign w:val="superscript"/>
              </w:rPr>
              <w:t xml:space="preserve"> </w:t>
            </w:r>
          </w:p>
        </w:tc>
        <w:tc>
          <w:tcPr>
            <w:tcW w:w="2233" w:type="dxa"/>
            <w:gridSpan w:val="2"/>
            <w:tcBorders>
              <w:top w:val="single" w:color="auto" w:sz="4" w:space="0"/>
            </w:tcBorders>
            <w:vAlign w:val="center"/>
          </w:tcPr>
          <w:p>
            <w:pPr>
              <w:spacing w:line="500" w:lineRule="exact"/>
              <w:jc w:val="center"/>
              <w:rPr>
                <w:rFonts w:ascii="宋体" w:hAnsi="宋体"/>
                <w:color w:val="auto"/>
                <w:sz w:val="24"/>
                <w:highlight w:val="none"/>
              </w:rPr>
            </w:pPr>
            <w:r>
              <w:rPr>
                <w:rFonts w:ascii="宋体" w:hAnsi="宋体"/>
                <w:color w:val="auto"/>
                <w:sz w:val="24"/>
                <w:highlight w:val="none"/>
              </w:rPr>
              <w:t>投标人资质条件、能力和信誉</w:t>
            </w:r>
          </w:p>
        </w:tc>
        <w:tc>
          <w:tcPr>
            <w:tcW w:w="5805" w:type="dxa"/>
            <w:gridSpan w:val="2"/>
            <w:tcBorders>
              <w:right w:val="single" w:color="auto" w:sz="4" w:space="0"/>
            </w:tcBorders>
            <w:vAlign w:val="center"/>
          </w:tcPr>
          <w:p>
            <w:pPr>
              <w:spacing w:line="500" w:lineRule="exact"/>
              <w:rPr>
                <w:rFonts w:ascii="宋体" w:hAnsi="宋体"/>
                <w:color w:val="auto"/>
                <w:sz w:val="24"/>
                <w:highlight w:val="none"/>
              </w:rPr>
            </w:pPr>
            <w:r>
              <w:rPr>
                <w:rFonts w:ascii="宋体" w:hAnsi="宋体"/>
                <w:color w:val="auto"/>
                <w:sz w:val="24"/>
                <w:highlight w:val="none"/>
              </w:rPr>
              <w:t>资质条件：</w:t>
            </w:r>
            <w:r>
              <w:rPr>
                <w:rFonts w:hint="eastAsia" w:ascii="宋体" w:hAnsi="宋体"/>
                <w:color w:val="auto"/>
                <w:sz w:val="24"/>
                <w:highlight w:val="none"/>
              </w:rPr>
              <w:t>见附录1</w:t>
            </w:r>
          </w:p>
          <w:p>
            <w:pPr>
              <w:spacing w:line="500" w:lineRule="exact"/>
              <w:rPr>
                <w:rFonts w:ascii="宋体" w:hAnsi="宋体"/>
                <w:color w:val="auto"/>
                <w:sz w:val="24"/>
                <w:highlight w:val="none"/>
              </w:rPr>
            </w:pPr>
            <w:r>
              <w:rPr>
                <w:rFonts w:ascii="宋体" w:hAnsi="宋体"/>
                <w:color w:val="auto"/>
                <w:sz w:val="24"/>
                <w:highlight w:val="none"/>
              </w:rPr>
              <w:t>财务要求：</w:t>
            </w:r>
            <w:r>
              <w:rPr>
                <w:rFonts w:hint="eastAsia" w:ascii="宋体" w:hAnsi="宋体"/>
                <w:color w:val="auto"/>
                <w:sz w:val="24"/>
                <w:highlight w:val="none"/>
              </w:rPr>
              <w:t>见附录2</w:t>
            </w:r>
          </w:p>
          <w:p>
            <w:pPr>
              <w:spacing w:line="500" w:lineRule="exact"/>
              <w:rPr>
                <w:rFonts w:ascii="宋体" w:hAnsi="宋体"/>
                <w:color w:val="auto"/>
                <w:sz w:val="24"/>
                <w:highlight w:val="none"/>
              </w:rPr>
            </w:pPr>
            <w:r>
              <w:rPr>
                <w:rFonts w:ascii="宋体" w:hAnsi="宋体"/>
                <w:color w:val="auto"/>
                <w:sz w:val="24"/>
                <w:highlight w:val="none"/>
              </w:rPr>
              <w:t>业绩要求：</w:t>
            </w:r>
            <w:r>
              <w:rPr>
                <w:rFonts w:hint="eastAsia" w:ascii="宋体" w:hAnsi="宋体"/>
                <w:color w:val="auto"/>
                <w:sz w:val="24"/>
                <w:highlight w:val="none"/>
              </w:rPr>
              <w:t>见附录3</w:t>
            </w:r>
          </w:p>
          <w:p>
            <w:pPr>
              <w:spacing w:line="500" w:lineRule="exact"/>
              <w:rPr>
                <w:rFonts w:ascii="宋体" w:hAnsi="宋体"/>
                <w:color w:val="auto"/>
                <w:sz w:val="24"/>
                <w:highlight w:val="none"/>
              </w:rPr>
            </w:pPr>
            <w:r>
              <w:rPr>
                <w:rFonts w:hint="eastAsia" w:ascii="宋体" w:hAnsi="宋体"/>
                <w:color w:val="auto"/>
                <w:sz w:val="24"/>
                <w:highlight w:val="none"/>
              </w:rPr>
              <w:t>信誉要求：见附录4</w:t>
            </w:r>
          </w:p>
          <w:p>
            <w:pPr>
              <w:spacing w:line="500" w:lineRule="exact"/>
              <w:rPr>
                <w:rFonts w:ascii="宋体" w:hAnsi="宋体"/>
                <w:color w:val="auto"/>
                <w:sz w:val="24"/>
                <w:highlight w:val="none"/>
              </w:rPr>
            </w:pPr>
            <w:r>
              <w:rPr>
                <w:rFonts w:hint="eastAsia" w:ascii="宋体" w:hAnsi="宋体"/>
                <w:color w:val="auto"/>
                <w:sz w:val="24"/>
                <w:highlight w:val="none"/>
              </w:rPr>
              <w:t>项目经理和项目总工资格：见附录5</w:t>
            </w:r>
          </w:p>
          <w:p>
            <w:pPr>
              <w:spacing w:line="500" w:lineRule="exact"/>
              <w:rPr>
                <w:rFonts w:ascii="宋体" w:hAnsi="宋体"/>
                <w:color w:val="auto"/>
                <w:sz w:val="24"/>
                <w:highlight w:val="none"/>
              </w:rPr>
            </w:pPr>
            <w:r>
              <w:rPr>
                <w:rFonts w:hint="eastAsia" w:ascii="宋体" w:hAnsi="宋体"/>
                <w:color w:val="auto"/>
                <w:sz w:val="24"/>
                <w:highlight w:val="none"/>
              </w:rPr>
              <w:t>其他要求：见附录6和7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1.9.1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踏勘现场</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投标预备会</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投标人提出问题的截止时间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递交投标文件的截止之日10日前以书面形式</w:t>
            </w:r>
            <w:r>
              <w:rPr>
                <w:rFonts w:hint="eastAsia" w:ascii="宋体" w:hAnsi="宋体"/>
                <w:color w:val="auto"/>
                <w:sz w:val="24"/>
                <w:highlight w:val="none"/>
                <w:lang w:eastAsia="zh-CN"/>
              </w:rPr>
              <w:t>一次性</w:t>
            </w:r>
            <w:r>
              <w:rPr>
                <w:rFonts w:hint="eastAsia" w:ascii="宋体" w:hAnsi="宋体"/>
                <w:color w:val="auto"/>
                <w:sz w:val="24"/>
                <w:highlight w:val="none"/>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招标人书面澄清的时间</w:t>
            </w:r>
          </w:p>
        </w:tc>
        <w:tc>
          <w:tcPr>
            <w:tcW w:w="5805" w:type="dxa"/>
            <w:gridSpan w:val="2"/>
            <w:vAlign w:val="center"/>
          </w:tcPr>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递交投标文件的截止之日15日前以书面形式</w:t>
            </w:r>
            <w:r>
              <w:rPr>
                <w:rFonts w:hint="eastAsia" w:ascii="宋体" w:hAnsi="宋体"/>
                <w:color w:val="auto"/>
                <w:sz w:val="24"/>
                <w:highlight w:val="none"/>
                <w:lang w:eastAsia="zh-CN"/>
              </w:rPr>
              <w:t>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偏离</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投标人要求澄清招标文件的截止时间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2.2.2</w:t>
            </w:r>
          </w:p>
        </w:tc>
        <w:tc>
          <w:tcPr>
            <w:tcW w:w="2233" w:type="dxa"/>
            <w:gridSpan w:val="2"/>
            <w:vAlign w:val="center"/>
          </w:tcPr>
          <w:p>
            <w:pPr>
              <w:spacing w:line="500" w:lineRule="exact"/>
              <w:rPr>
                <w:rFonts w:hint="eastAsia" w:ascii="宋体" w:hAnsi="宋体"/>
                <w:color w:val="auto"/>
                <w:sz w:val="24"/>
                <w:highlight w:val="none"/>
              </w:rPr>
            </w:pPr>
            <w:r>
              <w:rPr>
                <w:rFonts w:hint="eastAsia" w:ascii="宋体" w:hAnsi="宋体"/>
                <w:color w:val="auto"/>
                <w:sz w:val="24"/>
                <w:highlight w:val="none"/>
              </w:rPr>
              <w:t>投标截止时间</w:t>
            </w:r>
          </w:p>
        </w:tc>
        <w:tc>
          <w:tcPr>
            <w:tcW w:w="5805" w:type="dxa"/>
            <w:gridSpan w:val="2"/>
            <w:vAlign w:val="center"/>
          </w:tcPr>
          <w:p>
            <w:pPr>
              <w:spacing w:line="500" w:lineRule="exact"/>
              <w:rPr>
                <w:rFonts w:hint="eastAsia" w:ascii="宋体" w:hAnsi="宋体"/>
                <w:color w:val="auto"/>
                <w:sz w:val="24"/>
                <w:highlight w:val="none"/>
              </w:rPr>
            </w:pPr>
            <w:r>
              <w:rPr>
                <w:rFonts w:hint="eastAsia" w:ascii="宋体" w:hAnsi="宋体" w:cs="Times New Roman"/>
                <w:color w:val="auto"/>
                <w:sz w:val="24"/>
                <w:highlight w:val="none"/>
              </w:rPr>
              <w:t>201</w:t>
            </w:r>
            <w:r>
              <w:rPr>
                <w:rFonts w:hint="eastAsia" w:ascii="宋体" w:hAnsi="宋体" w:cs="Times New Roman"/>
                <w:color w:val="auto"/>
                <w:sz w:val="24"/>
                <w:highlight w:val="none"/>
                <w:lang w:val="en-US" w:eastAsia="zh-CN"/>
              </w:rPr>
              <w:t>9</w:t>
            </w:r>
            <w:r>
              <w:rPr>
                <w:rFonts w:hint="eastAsia" w:ascii="宋体" w:hAnsi="宋体" w:cs="Times New Roman"/>
                <w:color w:val="auto"/>
                <w:sz w:val="24"/>
                <w:highlight w:val="none"/>
              </w:rPr>
              <w:t>年</w:t>
            </w:r>
            <w:r>
              <w:rPr>
                <w:rFonts w:hint="eastAsia" w:ascii="宋体" w:hAnsi="宋体" w:cs="Times New Roman"/>
                <w:color w:val="auto"/>
                <w:sz w:val="24"/>
                <w:highlight w:val="none"/>
                <w:lang w:val="en-US" w:eastAsia="zh-CN"/>
              </w:rPr>
              <w:t>4</w:t>
            </w:r>
            <w:r>
              <w:rPr>
                <w:rFonts w:hint="eastAsia" w:ascii="宋体" w:hAnsi="宋体" w:cs="Times New Roman"/>
                <w:color w:val="auto"/>
                <w:sz w:val="24"/>
                <w:highlight w:val="none"/>
              </w:rPr>
              <w:t>月</w:t>
            </w:r>
            <w:r>
              <w:rPr>
                <w:rFonts w:hint="eastAsia" w:ascii="宋体" w:hAnsi="宋体" w:cs="Times New Roman"/>
                <w:color w:val="auto"/>
                <w:sz w:val="24"/>
                <w:highlight w:val="none"/>
                <w:lang w:val="en-US" w:eastAsia="zh-CN"/>
              </w:rPr>
              <w:t xml:space="preserve">10日9 </w:t>
            </w:r>
            <w:r>
              <w:rPr>
                <w:rFonts w:hint="eastAsia" w:ascii="宋体" w:hAnsi="宋体" w:cs="Times New Roman"/>
                <w:color w:val="auto"/>
                <w:sz w:val="24"/>
                <w:highlight w:val="none"/>
              </w:rPr>
              <w:t>时</w:t>
            </w:r>
            <w:r>
              <w:rPr>
                <w:rFonts w:hint="eastAsia" w:ascii="宋体" w:hAnsi="宋体" w:cs="Times New Roman"/>
                <w:color w:val="auto"/>
                <w:sz w:val="24"/>
                <w:highlight w:val="none"/>
                <w:lang w:val="en-US" w:eastAsia="zh-CN"/>
              </w:rPr>
              <w:t xml:space="preserve"> 30 </w:t>
            </w:r>
            <w:r>
              <w:rPr>
                <w:rFonts w:hint="eastAsia" w:ascii="宋体" w:hAnsi="宋体"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投标人确认收到招标文件澄清的时间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2.3.2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投标人确认收到招标文件修改的时间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收到修改后</w:t>
            </w:r>
            <w:r>
              <w:rPr>
                <w:rFonts w:hint="eastAsia" w:ascii="宋体" w:hAnsi="宋体"/>
                <w:color w:val="auto"/>
                <w:sz w:val="24"/>
                <w:highlight w:val="none"/>
                <w:u w:val="single"/>
              </w:rPr>
              <w:t>24</w:t>
            </w:r>
            <w:r>
              <w:rPr>
                <w:rFonts w:hint="eastAsia" w:ascii="宋体" w:hAnsi="宋体"/>
                <w:color w:val="auto"/>
                <w:sz w:val="24"/>
                <w:highlight w:val="none"/>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构成投标文件的其他材料</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（1）投标人认为其它需要补充的内容</w:t>
            </w:r>
          </w:p>
          <w:p>
            <w:pPr>
              <w:spacing w:line="500" w:lineRule="exact"/>
              <w:rPr>
                <w:rFonts w:ascii="宋体" w:hAnsi="宋体"/>
                <w:b/>
                <w:color w:val="auto"/>
                <w:sz w:val="24"/>
                <w:highlight w:val="none"/>
              </w:rPr>
            </w:pPr>
            <w:r>
              <w:rPr>
                <w:rFonts w:hint="eastAsia" w:ascii="宋体" w:hAnsi="宋体"/>
                <w:color w:val="auto"/>
                <w:sz w:val="24"/>
                <w:highlight w:val="none"/>
              </w:rPr>
              <w:t>（2）本项目所发出的补遗书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6" w:hRule="atLeast"/>
          <w:jc w:val="center"/>
        </w:trPr>
        <w:tc>
          <w:tcPr>
            <w:tcW w:w="1053" w:type="dxa"/>
            <w:tcBorders>
              <w:left w:val="single" w:color="auto" w:sz="4" w:space="0"/>
            </w:tcBorders>
            <w:vAlign w:val="center"/>
          </w:tcPr>
          <w:p>
            <w:pPr>
              <w:adjustRightInd w:val="0"/>
              <w:snapToGrid w:val="0"/>
              <w:spacing w:line="500" w:lineRule="exact"/>
              <w:jc w:val="center"/>
              <w:rPr>
                <w:color w:val="auto"/>
                <w:sz w:val="24"/>
                <w:highlight w:val="none"/>
              </w:rPr>
            </w:pPr>
            <w:r>
              <w:rPr>
                <w:color w:val="auto"/>
                <w:sz w:val="24"/>
                <w:highlight w:val="none"/>
              </w:rPr>
              <w:t>3.2.4</w:t>
            </w:r>
          </w:p>
        </w:tc>
        <w:tc>
          <w:tcPr>
            <w:tcW w:w="2233" w:type="dxa"/>
            <w:gridSpan w:val="2"/>
            <w:vAlign w:val="center"/>
          </w:tcPr>
          <w:p>
            <w:pPr>
              <w:adjustRightInd w:val="0"/>
              <w:snapToGrid w:val="0"/>
              <w:spacing w:line="500" w:lineRule="exact"/>
              <w:jc w:val="center"/>
              <w:rPr>
                <w:color w:val="auto"/>
                <w:sz w:val="24"/>
                <w:highlight w:val="none"/>
              </w:rPr>
            </w:pPr>
            <w:r>
              <w:rPr>
                <w:color w:val="auto"/>
                <w:sz w:val="24"/>
                <w:highlight w:val="none"/>
              </w:rPr>
              <w:t>近年完成的类似项目的年份要求</w:t>
            </w:r>
          </w:p>
        </w:tc>
        <w:tc>
          <w:tcPr>
            <w:tcW w:w="5805" w:type="dxa"/>
            <w:gridSpan w:val="2"/>
            <w:tcBorders>
              <w:right w:val="single" w:color="auto" w:sz="4" w:space="0"/>
            </w:tcBorders>
            <w:vAlign w:val="center"/>
          </w:tcPr>
          <w:p>
            <w:pPr>
              <w:adjustRightInd w:val="0"/>
              <w:snapToGrid w:val="0"/>
              <w:spacing w:line="500" w:lineRule="exact"/>
              <w:rPr>
                <w:color w:val="auto"/>
                <w:sz w:val="24"/>
                <w:highlight w:val="none"/>
              </w:rPr>
            </w:pPr>
            <w:r>
              <w:rPr>
                <w:rFonts w:hint="eastAsia" w:ascii="宋体" w:hAnsi="宋体"/>
                <w:color w:val="auto"/>
                <w:sz w:val="24"/>
                <w:highlight w:val="none"/>
              </w:rPr>
              <w:t>201</w:t>
            </w:r>
            <w:r>
              <w:rPr>
                <w:rFonts w:hint="eastAsia" w:ascii="宋体" w:hAnsi="宋体"/>
                <w:color w:val="auto"/>
                <w:sz w:val="24"/>
                <w:highlight w:val="none"/>
                <w:lang w:val="en-US" w:eastAsia="zh-CN"/>
              </w:rPr>
              <w:t>6</w:t>
            </w:r>
            <w:r>
              <w:rPr>
                <w:rFonts w:hint="eastAsia" w:ascii="宋体" w:hAnsi="宋体"/>
                <w:color w:val="auto"/>
                <w:sz w:val="24"/>
                <w:highlight w:val="none"/>
              </w:rPr>
              <w:t>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3.2.9</w:t>
            </w:r>
          </w:p>
        </w:tc>
        <w:tc>
          <w:tcPr>
            <w:tcW w:w="2233"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调价函</w:t>
            </w:r>
          </w:p>
        </w:tc>
        <w:tc>
          <w:tcPr>
            <w:tcW w:w="5805" w:type="dxa"/>
            <w:gridSpan w:val="2"/>
            <w:tcBorders>
              <w:bottom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3.3.1</w:t>
            </w:r>
          </w:p>
        </w:tc>
        <w:tc>
          <w:tcPr>
            <w:tcW w:w="2233"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投标有效期</w:t>
            </w:r>
          </w:p>
        </w:tc>
        <w:tc>
          <w:tcPr>
            <w:tcW w:w="5805" w:type="dxa"/>
            <w:gridSpan w:val="2"/>
            <w:tcBorders>
              <w:bottom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tcBorders>
              <w:top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3.6</w:t>
            </w:r>
          </w:p>
        </w:tc>
        <w:tc>
          <w:tcPr>
            <w:tcW w:w="2233" w:type="dxa"/>
            <w:gridSpan w:val="2"/>
            <w:tcBorders>
              <w:top w:val="single" w:color="auto" w:sz="4" w:space="0"/>
            </w:tcBorders>
            <w:vAlign w:val="center"/>
          </w:tcPr>
          <w:p>
            <w:pPr>
              <w:spacing w:line="360" w:lineRule="auto"/>
              <w:ind w:left="5" w:leftChars="-67" w:right="-107" w:rightChars="-51" w:hanging="146" w:hangingChars="61"/>
              <w:jc w:val="center"/>
              <w:rPr>
                <w:rFonts w:ascii="宋体" w:hAnsi="宋体"/>
                <w:color w:val="auto"/>
                <w:sz w:val="24"/>
                <w:highlight w:val="none"/>
              </w:rPr>
            </w:pPr>
            <w:r>
              <w:rPr>
                <w:rFonts w:hint="eastAsia" w:ascii="宋体" w:hAnsi="宋体"/>
                <w:color w:val="auto"/>
                <w:sz w:val="24"/>
                <w:highlight w:val="none"/>
              </w:rPr>
              <w:t>是否允许递交备选投标方案</w:t>
            </w:r>
          </w:p>
        </w:tc>
        <w:tc>
          <w:tcPr>
            <w:tcW w:w="5805" w:type="dxa"/>
            <w:gridSpan w:val="2"/>
            <w:tcBorders>
              <w:top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3.7.3</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签字或盖章要求</w:t>
            </w:r>
          </w:p>
        </w:tc>
        <w:tc>
          <w:tcPr>
            <w:tcW w:w="5805" w:type="dxa"/>
            <w:gridSpan w:val="2"/>
            <w:vAlign w:val="center"/>
          </w:tcPr>
          <w:p>
            <w:pPr>
              <w:rPr>
                <w:rFonts w:hint="eastAsia" w:ascii="宋体" w:hAnsi="宋体"/>
                <w:color w:val="auto"/>
                <w:sz w:val="24"/>
                <w:highlight w:val="none"/>
              </w:rPr>
            </w:pPr>
            <w:r>
              <w:rPr>
                <w:rFonts w:hint="eastAsia" w:ascii="宋体" w:hAnsi="宋体"/>
                <w:color w:val="auto"/>
                <w:sz w:val="24"/>
                <w:highlight w:val="none"/>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3.7.4</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投标文件及电子版本的份数</w:t>
            </w:r>
          </w:p>
        </w:tc>
        <w:tc>
          <w:tcPr>
            <w:tcW w:w="5805" w:type="dxa"/>
            <w:gridSpan w:val="2"/>
            <w:vAlign w:val="center"/>
          </w:tcPr>
          <w:p>
            <w:pPr>
              <w:rPr>
                <w:rFonts w:ascii="宋体" w:hAnsi="宋体"/>
                <w:color w:val="auto"/>
                <w:sz w:val="24"/>
                <w:highlight w:val="none"/>
              </w:rPr>
            </w:pPr>
            <w:r>
              <w:rPr>
                <w:rFonts w:hint="eastAsia" w:ascii="宋体" w:hAnsi="宋体"/>
                <w:color w:val="auto"/>
                <w:sz w:val="24"/>
                <w:highlight w:val="none"/>
              </w:rPr>
              <w:t>正本1份，副本4份，</w:t>
            </w:r>
            <w:r>
              <w:rPr>
                <w:rFonts w:hint="eastAsia" w:ascii="宋体" w:hAnsi="宋体"/>
                <w:color w:val="auto"/>
                <w:sz w:val="24"/>
                <w:szCs w:val="28"/>
                <w:highlight w:val="none"/>
              </w:rPr>
              <w:t>U盘电子版本</w:t>
            </w:r>
            <w:r>
              <w:rPr>
                <w:rFonts w:hint="eastAsia" w:ascii="宋体" w:hAnsi="宋体"/>
                <w:color w:val="auto"/>
                <w:sz w:val="24"/>
                <w:highlight w:val="none"/>
              </w:rPr>
              <w:t>1</w:t>
            </w:r>
            <w:r>
              <w:rPr>
                <w:rFonts w:hint="eastAsia" w:ascii="宋体" w:hAnsi="宋体"/>
                <w:color w:val="auto"/>
                <w:sz w:val="24"/>
                <w:szCs w:val="28"/>
                <w:highlight w:val="none"/>
              </w:rPr>
              <w:t>份（U盘外贴标签注明单位名称和标段，电子版本应包括投标文件全部内容及已标价的工程量清单，且保证能够有效读取）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3.7.5</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装订要求</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胶装（商务及技术部分、投标报价和工程量清单部分分别密封胶装）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jc w:val="center"/>
        </w:trPr>
        <w:tc>
          <w:tcPr>
            <w:tcW w:w="1053" w:type="dxa"/>
            <w:tcBorders>
              <w:lef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4.1.2</w:t>
            </w:r>
          </w:p>
        </w:tc>
        <w:tc>
          <w:tcPr>
            <w:tcW w:w="223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封套上写明</w:t>
            </w:r>
          </w:p>
        </w:tc>
        <w:tc>
          <w:tcPr>
            <w:tcW w:w="5805"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投标文件第一个信封（商务及技术文件）内层封套：</w:t>
            </w:r>
          </w:p>
          <w:p>
            <w:pPr>
              <w:ind w:left="113" w:right="113"/>
              <w:rPr>
                <w:rFonts w:ascii="宋体" w:hAnsi="宋体"/>
                <w:color w:val="auto"/>
                <w:sz w:val="24"/>
                <w:highlight w:val="none"/>
                <w:u w:val="singl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标段施工招标第一个信封（商务及技术文件）投标文件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分前不得开启</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投标文件第二个信封（投标报价和工程量清单）内层封套：</w:t>
            </w:r>
          </w:p>
          <w:p>
            <w:pPr>
              <w:ind w:left="113" w:right="113"/>
              <w:rPr>
                <w:rFonts w:ascii="宋体" w:hAnsi="宋体"/>
                <w:color w:val="auto"/>
                <w:sz w:val="24"/>
                <w:highlight w:val="non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标段施工招标第二个信封（投标报价和工程量清单）投标文件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4.2.2</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递交投标文件</w:t>
            </w:r>
          </w:p>
          <w:p>
            <w:pPr>
              <w:spacing w:line="360" w:lineRule="auto"/>
              <w:jc w:val="center"/>
              <w:rPr>
                <w:rFonts w:ascii="宋体" w:hAnsi="宋体"/>
                <w:color w:val="auto"/>
                <w:sz w:val="24"/>
                <w:highlight w:val="none"/>
              </w:rPr>
            </w:pPr>
            <w:r>
              <w:rPr>
                <w:rFonts w:hint="eastAsia" w:ascii="宋体" w:hAnsi="宋体"/>
                <w:color w:val="auto"/>
                <w:sz w:val="24"/>
                <w:highlight w:val="none"/>
              </w:rPr>
              <w:t>地点</w:t>
            </w:r>
          </w:p>
        </w:tc>
        <w:tc>
          <w:tcPr>
            <w:tcW w:w="5805" w:type="dxa"/>
            <w:gridSpan w:val="2"/>
            <w:vAlign w:val="center"/>
          </w:tcPr>
          <w:p>
            <w:pPr>
              <w:spacing w:line="360" w:lineRule="auto"/>
              <w:rPr>
                <w:rFonts w:ascii="宋体" w:hAnsi="宋体"/>
                <w:b/>
                <w:color w:val="auto"/>
                <w:sz w:val="24"/>
                <w:highlight w:val="none"/>
              </w:rPr>
            </w:pPr>
            <w:r>
              <w:rPr>
                <w:rFonts w:hint="eastAsia" w:ascii="宋体" w:hAnsi="宋体"/>
                <w:color w:val="auto"/>
                <w:sz w:val="24"/>
                <w:highlight w:val="none"/>
              </w:rPr>
              <w:t>许昌市建安区兴业大厦</w:t>
            </w:r>
            <w:r>
              <w:rPr>
                <w:rFonts w:hint="eastAsia" w:ascii="宋体" w:hAnsi="宋体"/>
                <w:color w:val="auto"/>
                <w:sz w:val="24"/>
                <w:highlight w:val="none"/>
                <w:lang w:val="en-US" w:eastAsia="zh-CN"/>
              </w:rPr>
              <w:t>4167</w:t>
            </w:r>
            <w:r>
              <w:rPr>
                <w:rFonts w:hint="eastAsia" w:ascii="宋体" w:hAnsi="宋体"/>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4.2.3</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是否退还投标文件</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5.1</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开标时间和地点</w:t>
            </w:r>
          </w:p>
        </w:tc>
        <w:tc>
          <w:tcPr>
            <w:tcW w:w="5805" w:type="dxa"/>
            <w:gridSpan w:val="2"/>
            <w:vAlign w:val="center"/>
          </w:tcPr>
          <w:p>
            <w:pPr>
              <w:spacing w:line="360" w:lineRule="auto"/>
              <w:rPr>
                <w:rFonts w:hint="eastAsia" w:ascii="宋体" w:hAnsi="宋体" w:cs="Times New Roman"/>
                <w:color w:val="auto"/>
                <w:sz w:val="24"/>
                <w:highlight w:val="none"/>
              </w:rPr>
            </w:pPr>
            <w:r>
              <w:rPr>
                <w:rFonts w:hint="eastAsia" w:ascii="宋体" w:hAnsi="宋体"/>
                <w:color w:val="auto"/>
                <w:sz w:val="24"/>
                <w:highlight w:val="none"/>
              </w:rPr>
              <w:t>开标时</w:t>
            </w:r>
            <w:r>
              <w:rPr>
                <w:rFonts w:hint="eastAsia" w:ascii="宋体" w:hAnsi="宋体" w:cs="Times New Roman"/>
                <w:color w:val="auto"/>
                <w:sz w:val="24"/>
                <w:highlight w:val="none"/>
              </w:rPr>
              <w:t>间：20</w:t>
            </w:r>
            <w:r>
              <w:rPr>
                <w:rFonts w:hint="eastAsia" w:ascii="宋体" w:hAnsi="宋体" w:cs="Times New Roman"/>
                <w:color w:val="auto"/>
                <w:sz w:val="24"/>
                <w:highlight w:val="none"/>
                <w:lang w:val="en-US" w:eastAsia="zh-CN"/>
              </w:rPr>
              <w:t>19</w:t>
            </w:r>
            <w:r>
              <w:rPr>
                <w:rFonts w:hint="eastAsia" w:ascii="宋体" w:hAnsi="宋体" w:cs="Times New Roman"/>
                <w:color w:val="auto"/>
                <w:sz w:val="24"/>
                <w:highlight w:val="none"/>
              </w:rPr>
              <w:t>年</w:t>
            </w:r>
            <w:r>
              <w:rPr>
                <w:rFonts w:hint="eastAsia" w:ascii="宋体" w:hAnsi="宋体" w:cs="Times New Roman"/>
                <w:color w:val="auto"/>
                <w:sz w:val="24"/>
                <w:highlight w:val="none"/>
                <w:lang w:val="en-US" w:eastAsia="zh-CN"/>
              </w:rPr>
              <w:t xml:space="preserve"> 4 月 10 </w:t>
            </w:r>
            <w:r>
              <w:rPr>
                <w:rFonts w:hint="eastAsia" w:ascii="宋体" w:hAnsi="宋体" w:cs="Times New Roman"/>
                <w:color w:val="auto"/>
                <w:sz w:val="24"/>
                <w:highlight w:val="none"/>
              </w:rPr>
              <w:t>日</w:t>
            </w:r>
            <w:r>
              <w:rPr>
                <w:rFonts w:hint="eastAsia" w:ascii="宋体" w:hAnsi="宋体" w:cs="Times New Roman"/>
                <w:color w:val="auto"/>
                <w:sz w:val="24"/>
                <w:highlight w:val="none"/>
                <w:lang w:val="en-US" w:eastAsia="zh-CN"/>
              </w:rPr>
              <w:t xml:space="preserve"> 9 </w:t>
            </w:r>
            <w:r>
              <w:rPr>
                <w:rFonts w:hint="eastAsia" w:ascii="宋体" w:hAnsi="宋体" w:cs="Times New Roman"/>
                <w:color w:val="auto"/>
                <w:sz w:val="24"/>
                <w:highlight w:val="none"/>
              </w:rPr>
              <w:t>时</w:t>
            </w:r>
            <w:r>
              <w:rPr>
                <w:rFonts w:hint="eastAsia" w:ascii="宋体" w:hAnsi="宋体" w:cs="Times New Roman"/>
                <w:color w:val="auto"/>
                <w:sz w:val="24"/>
                <w:highlight w:val="none"/>
                <w:lang w:val="en-US" w:eastAsia="zh-CN"/>
              </w:rPr>
              <w:t xml:space="preserve"> 30 </w:t>
            </w:r>
            <w:r>
              <w:rPr>
                <w:rFonts w:hint="eastAsia" w:ascii="宋体" w:hAnsi="宋体" w:cs="Times New Roman"/>
                <w:color w:val="auto"/>
                <w:sz w:val="24"/>
                <w:highlight w:val="none"/>
              </w:rPr>
              <w:t>分</w:t>
            </w:r>
          </w:p>
          <w:p>
            <w:pPr>
              <w:ind w:left="113" w:right="113"/>
              <w:rPr>
                <w:rFonts w:ascii="宋体" w:hAnsi="宋体"/>
                <w:color w:val="auto"/>
                <w:sz w:val="24"/>
                <w:highlight w:val="none"/>
              </w:rPr>
            </w:pPr>
            <w:r>
              <w:rPr>
                <w:rFonts w:hint="eastAsia" w:ascii="宋体" w:hAnsi="宋体"/>
                <w:color w:val="auto"/>
                <w:sz w:val="24"/>
                <w:highlight w:val="none"/>
              </w:rPr>
              <w:t>开标地点：许昌市建安区兴业大厦</w:t>
            </w:r>
            <w:r>
              <w:rPr>
                <w:rFonts w:hint="eastAsia" w:ascii="宋体" w:hAnsi="宋体"/>
                <w:color w:val="auto"/>
                <w:sz w:val="24"/>
                <w:highlight w:val="none"/>
                <w:lang w:val="en-US" w:eastAsia="zh-CN"/>
              </w:rPr>
              <w:t>4167</w:t>
            </w:r>
            <w:r>
              <w:rPr>
                <w:rFonts w:hint="eastAsia" w:ascii="宋体" w:hAnsi="宋体"/>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5.2.1</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开标程序</w:t>
            </w:r>
          </w:p>
        </w:tc>
        <w:tc>
          <w:tcPr>
            <w:tcW w:w="5805" w:type="dxa"/>
            <w:gridSpan w:val="2"/>
            <w:vAlign w:val="center"/>
          </w:tcPr>
          <w:p>
            <w:pPr>
              <w:ind w:left="113" w:right="113"/>
              <w:rPr>
                <w:rFonts w:ascii="宋体" w:hAnsi="宋体"/>
                <w:color w:val="auto"/>
                <w:sz w:val="24"/>
                <w:highlight w:val="none"/>
              </w:rPr>
            </w:pPr>
            <w:r>
              <w:rPr>
                <w:rFonts w:hint="eastAsia" w:ascii="宋体" w:hAnsi="宋体"/>
                <w:color w:val="auto"/>
                <w:sz w:val="24"/>
                <w:highlight w:val="none"/>
              </w:rPr>
              <w:t>密封情况检查：由投标人代表检查其投标文件是否密封完好。</w:t>
            </w:r>
          </w:p>
          <w:p>
            <w:pPr>
              <w:ind w:left="113" w:right="113"/>
              <w:rPr>
                <w:rFonts w:ascii="宋体" w:hAnsi="宋体"/>
                <w:b/>
                <w:color w:val="auto"/>
                <w:sz w:val="24"/>
                <w:highlight w:val="none"/>
              </w:rPr>
            </w:pPr>
            <w:r>
              <w:rPr>
                <w:rFonts w:hint="eastAsia" w:ascii="宋体" w:hAnsi="宋体"/>
                <w:color w:val="auto"/>
                <w:sz w:val="24"/>
                <w:highlight w:val="none"/>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6.1.1</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评标委员会的组建</w:t>
            </w:r>
          </w:p>
        </w:tc>
        <w:tc>
          <w:tcPr>
            <w:tcW w:w="5805"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评标委员会构成： 5 人，其中招标人代表  1 人，专家 4 人；</w:t>
            </w:r>
          </w:p>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6.3</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评标办法</w:t>
            </w:r>
          </w:p>
        </w:tc>
        <w:tc>
          <w:tcPr>
            <w:tcW w:w="5805"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9"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6.4</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招标控制价</w:t>
            </w:r>
          </w:p>
        </w:tc>
        <w:tc>
          <w:tcPr>
            <w:tcW w:w="5805" w:type="dxa"/>
            <w:gridSpan w:val="2"/>
            <w:vAlign w:val="center"/>
          </w:tcPr>
          <w:p>
            <w:pPr>
              <w:ind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招标控制价：</w:t>
            </w:r>
          </w:p>
          <w:p>
            <w:pPr>
              <w:ind w:right="113"/>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一标段：</w:t>
            </w:r>
            <w:r>
              <w:rPr>
                <w:rFonts w:hint="eastAsia" w:ascii="宋体" w:hAnsi="宋体" w:cs="Times New Roman"/>
                <w:color w:val="auto"/>
                <w:sz w:val="24"/>
                <w:highlight w:val="none"/>
                <w:lang w:eastAsia="zh-CN"/>
              </w:rPr>
              <w:t>壹佰叁拾伍万陆仟捌佰捌拾陆元玖角捌分</w:t>
            </w:r>
            <w:r>
              <w:rPr>
                <w:rFonts w:hint="eastAsia" w:ascii="宋体" w:hAnsi="宋体" w:eastAsia="宋体" w:cs="Times New Roman"/>
                <w:color w:val="auto"/>
                <w:sz w:val="24"/>
                <w:highlight w:val="none"/>
              </w:rPr>
              <w:t>（小</w:t>
            </w:r>
            <w:r>
              <w:rPr>
                <w:rFonts w:hint="eastAsia" w:ascii="宋体" w:hAnsi="宋体" w:eastAsia="宋体" w:cs="Times New Roman"/>
                <w:color w:val="auto"/>
                <w:sz w:val="24"/>
                <w:highlight w:val="none"/>
                <w:lang w:eastAsia="zh-CN"/>
              </w:rPr>
              <w:t>写：</w:t>
            </w:r>
            <w:r>
              <w:rPr>
                <w:rFonts w:hint="eastAsia" w:ascii="宋体" w:hAnsi="宋体" w:cs="Times New Roman"/>
                <w:color w:val="auto"/>
                <w:sz w:val="24"/>
                <w:highlight w:val="none"/>
                <w:lang w:val="en-US" w:eastAsia="zh-CN"/>
              </w:rPr>
              <w:t>1356886.98</w:t>
            </w:r>
            <w:r>
              <w:rPr>
                <w:rFonts w:hint="eastAsia" w:ascii="宋体" w:hAnsi="宋体" w:eastAsia="宋体" w:cs="Times New Roman"/>
                <w:color w:val="auto"/>
                <w:sz w:val="24"/>
                <w:highlight w:val="none"/>
                <w:lang w:eastAsia="zh-CN"/>
              </w:rPr>
              <w:t>元）</w:t>
            </w:r>
          </w:p>
          <w:p>
            <w:pPr>
              <w:ind w:right="113"/>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二标段：壹佰陆拾柒万叁仟玖佰玖拾捌元捌角玖分（小写：1673998.89元）</w:t>
            </w:r>
          </w:p>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凡投标人的投标报价超出“招标控制价”（不含等于“招标控制价”）的，该投标人的投标文件应作废标处理。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4"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6.5</w:t>
            </w:r>
          </w:p>
        </w:tc>
        <w:tc>
          <w:tcPr>
            <w:tcW w:w="2233" w:type="dxa"/>
            <w:gridSpan w:val="2"/>
            <w:vAlign w:val="center"/>
          </w:tcPr>
          <w:p>
            <w:pPr>
              <w:ind w:left="237"/>
              <w:jc w:val="center"/>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投标文件的拒收 </w:t>
            </w:r>
          </w:p>
          <w:p>
            <w:pPr>
              <w:jc w:val="center"/>
              <w:rPr>
                <w:rFonts w:ascii="宋体" w:hAnsi="宋体"/>
                <w:color w:val="auto"/>
                <w:sz w:val="24"/>
                <w:highlight w:val="none"/>
              </w:rPr>
            </w:pPr>
          </w:p>
        </w:tc>
        <w:tc>
          <w:tcPr>
            <w:tcW w:w="5805" w:type="dxa"/>
            <w:gridSpan w:val="2"/>
            <w:vAlign w:val="center"/>
          </w:tcPr>
          <w:p>
            <w:pPr>
              <w:spacing w:line="340" w:lineRule="exact"/>
              <w:rPr>
                <w:rFonts w:ascii="宋体" w:hAnsi="宋体"/>
                <w:color w:val="auto"/>
                <w:spacing w:val="2"/>
                <w:sz w:val="24"/>
                <w:highlight w:val="none"/>
              </w:rPr>
            </w:pPr>
            <w:r>
              <w:rPr>
                <w:rFonts w:hint="eastAsia" w:ascii="宋体" w:hAnsi="宋体"/>
                <w:color w:val="auto"/>
                <w:spacing w:val="2"/>
                <w:sz w:val="24"/>
                <w:highlight w:val="none"/>
              </w:rPr>
              <w:t xml:space="preserve">  1、</w:t>
            </w:r>
            <w:r>
              <w:rPr>
                <w:rFonts w:hint="eastAsia" w:hAnsi="宋体"/>
                <w:color w:val="auto"/>
                <w:spacing w:val="2"/>
                <w:sz w:val="24"/>
                <w:highlight w:val="none"/>
              </w:rPr>
              <w:t>未按招标文件规定提交投标保证金的，</w:t>
            </w:r>
            <w:r>
              <w:rPr>
                <w:rFonts w:hint="eastAsia" w:ascii="宋体" w:hAnsi="宋体"/>
                <w:color w:val="auto"/>
                <w:spacing w:val="2"/>
                <w:sz w:val="24"/>
                <w:highlight w:val="none"/>
              </w:rPr>
              <w:t>投标文件将被拒收。</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2、法定代表人</w:t>
            </w:r>
            <w:r>
              <w:rPr>
                <w:rFonts w:hint="eastAsia" w:hAnsi="宋体"/>
                <w:color w:val="auto"/>
                <w:sz w:val="24"/>
                <w:highlight w:val="none"/>
              </w:rPr>
              <w:t>或</w:t>
            </w:r>
            <w:r>
              <w:rPr>
                <w:rFonts w:hint="eastAsia" w:ascii="宋体" w:hAnsi="宋体"/>
                <w:color w:val="auto"/>
                <w:sz w:val="24"/>
                <w:highlight w:val="none"/>
              </w:rPr>
              <w:t>其委托代理人</w:t>
            </w:r>
            <w:r>
              <w:rPr>
                <w:rFonts w:hint="eastAsia" w:hAnsi="宋体" w:cs="仿宋_GB2312"/>
                <w:color w:val="auto"/>
                <w:sz w:val="24"/>
                <w:highlight w:val="none"/>
              </w:rPr>
              <w:t>（持有效的授权委托书）在规定时间内未携带本人身份证到开标现场并签到的</w:t>
            </w:r>
            <w:r>
              <w:rPr>
                <w:rFonts w:hint="eastAsia" w:ascii="宋体" w:hAnsi="宋体"/>
                <w:color w:val="auto"/>
                <w:spacing w:val="2"/>
                <w:sz w:val="24"/>
                <w:highlight w:val="none"/>
              </w:rPr>
              <w:t xml:space="preserve">，投标文件将被拒收。    </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3、投标文件逾期送达或未按招标文件要求密封的，投标文件将被拒收。</w:t>
            </w:r>
          </w:p>
          <w:p>
            <w:pPr>
              <w:spacing w:line="340" w:lineRule="exact"/>
              <w:rPr>
                <w:rFonts w:ascii="宋体" w:hAnsi="宋体"/>
                <w:color w:val="auto"/>
                <w:spacing w:val="2"/>
                <w:sz w:val="24"/>
                <w:highlight w:val="none"/>
              </w:rPr>
            </w:pPr>
            <w:r>
              <w:rPr>
                <w:rFonts w:hint="eastAsia" w:ascii="宋体" w:hAnsi="宋体"/>
                <w:color w:val="auto"/>
                <w:spacing w:val="2"/>
                <w:sz w:val="24"/>
                <w:highlight w:val="none"/>
              </w:rPr>
              <w:t xml:space="preserve">  4、未按规定支付招标文件费用的。</w:t>
            </w:r>
          </w:p>
          <w:p>
            <w:pPr>
              <w:spacing w:line="340" w:lineRule="exact"/>
              <w:rPr>
                <w:rFonts w:hAnsi="宋体" w:cs="仿宋_GB2312"/>
                <w:b/>
                <w:color w:val="auto"/>
                <w:sz w:val="24"/>
                <w:highlight w:val="none"/>
              </w:rPr>
            </w:pPr>
            <w:r>
              <w:rPr>
                <w:rFonts w:hint="eastAsia" w:ascii="宋体" w:hAnsi="宋体"/>
                <w:color w:val="auto"/>
                <w:spacing w:val="2"/>
                <w:sz w:val="24"/>
                <w:highlight w:val="none"/>
              </w:rPr>
              <w:t xml:space="preserve">  5、未通过</w:t>
            </w:r>
            <w:r>
              <w:rPr>
                <w:rFonts w:hint="eastAsia" w:hAnsi="宋体" w:eastAsia="宋体" w:cs="仿宋_GB2312"/>
                <w:color w:val="000000"/>
                <w:sz w:val="24"/>
                <w:highlight w:val="none"/>
              </w:rPr>
              <w:t>《全国公共资源交易平台（河南省•许昌市）》</w:t>
            </w:r>
            <w:r>
              <w:rPr>
                <w:rFonts w:hint="eastAsia" w:ascii="宋体" w:hAnsi="宋体"/>
                <w:color w:val="auto"/>
                <w:spacing w:val="2"/>
                <w:sz w:val="24"/>
                <w:highlight w:val="none"/>
              </w:rPr>
              <w:t xml:space="preserve">下载招标文件的。    </w:t>
            </w:r>
            <w:r>
              <w:rPr>
                <w:rFonts w:hint="eastAsia" w:ascii="宋体" w:hAnsi="宋体" w:cs="仿宋_GB2312"/>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7.1</w:t>
            </w:r>
          </w:p>
        </w:tc>
        <w:tc>
          <w:tcPr>
            <w:tcW w:w="2233" w:type="dxa"/>
            <w:gridSpan w:val="2"/>
            <w:vAlign w:val="center"/>
          </w:tcPr>
          <w:p>
            <w:pPr>
              <w:spacing w:line="360" w:lineRule="auto"/>
              <w:ind w:left="-107" w:leftChars="-51" w:right="-107" w:rightChars="-51"/>
              <w:jc w:val="center"/>
              <w:rPr>
                <w:rFonts w:ascii="宋体" w:hAnsi="宋体"/>
                <w:color w:val="auto"/>
                <w:sz w:val="24"/>
                <w:highlight w:val="none"/>
              </w:rPr>
            </w:pPr>
            <w:r>
              <w:rPr>
                <w:rFonts w:hint="eastAsia" w:ascii="宋体" w:hAnsi="宋体"/>
                <w:color w:val="auto"/>
                <w:sz w:val="24"/>
                <w:highlight w:val="none"/>
              </w:rPr>
              <w:t>是否授权评标委员会确定中标人</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7.2</w:t>
            </w:r>
          </w:p>
        </w:tc>
        <w:tc>
          <w:tcPr>
            <w:tcW w:w="2233" w:type="dxa"/>
            <w:gridSpan w:val="2"/>
            <w:vAlign w:val="center"/>
          </w:tcPr>
          <w:p>
            <w:pPr>
              <w:widowControl w:val="0"/>
              <w:spacing w:line="360" w:lineRule="auto"/>
              <w:ind w:left="-107" w:leftChars="-51" w:right="-107" w:rightChars="-51"/>
              <w:jc w:val="center"/>
              <w:rPr>
                <w:rFonts w:hint="eastAsia" w:ascii="宋体" w:hAnsi="宋体"/>
                <w:color w:val="auto"/>
                <w:sz w:val="24"/>
                <w:highlight w:val="none"/>
              </w:rPr>
            </w:pPr>
            <w:r>
              <w:rPr>
                <w:rFonts w:hint="eastAsia" w:ascii="宋体" w:hAnsi="宋体"/>
                <w:kern w:val="2"/>
                <w:sz w:val="24"/>
                <w:szCs w:val="24"/>
              </w:rPr>
              <w:t>是否采用电子招标投标</w:t>
            </w:r>
          </w:p>
        </w:tc>
        <w:tc>
          <w:tcPr>
            <w:tcW w:w="5805" w:type="dxa"/>
            <w:gridSpan w:val="2"/>
            <w:vAlign w:val="center"/>
          </w:tcPr>
          <w:p>
            <w:pPr>
              <w:widowControl w:val="0"/>
              <w:spacing w:line="360" w:lineRule="auto"/>
              <w:ind w:firstLine="240" w:firstLineChars="100"/>
              <w:jc w:val="both"/>
              <w:rPr>
                <w:rFonts w:hint="eastAsia" w:ascii="宋体" w:hAnsi="宋体"/>
                <w:color w:val="auto"/>
                <w:sz w:val="24"/>
                <w:highlight w:val="none"/>
              </w:rPr>
            </w:pPr>
            <w:r>
              <w:rPr>
                <w:rFonts w:hint="eastAsia" w:ascii="宋体" w:hAnsi="宋体"/>
                <w:kern w:val="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7.3.1</w:t>
            </w:r>
          </w:p>
        </w:tc>
        <w:tc>
          <w:tcPr>
            <w:tcW w:w="223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履约担保</w:t>
            </w:r>
          </w:p>
        </w:tc>
        <w:tc>
          <w:tcPr>
            <w:tcW w:w="5805" w:type="dxa"/>
            <w:gridSpan w:val="2"/>
            <w:vAlign w:val="center"/>
          </w:tcPr>
          <w:p>
            <w:pPr>
              <w:widowControl/>
              <w:spacing w:line="240" w:lineRule="atLeast"/>
              <w:rPr>
                <w:rFonts w:ascii="宋体" w:cs="宋体"/>
                <w:b/>
                <w:bCs/>
                <w:color w:val="auto"/>
                <w:kern w:val="0"/>
                <w:sz w:val="24"/>
                <w:highlight w:val="none"/>
              </w:rPr>
            </w:pPr>
            <w:r>
              <w:rPr>
                <w:rFonts w:hint="eastAsia" w:ascii="宋体" w:hAnsi="宋体"/>
                <w:sz w:val="24"/>
                <w:szCs w:val="24"/>
              </w:rPr>
              <w:t>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9084" w:type="dxa"/>
            <w:gridSpan w:val="4"/>
            <w:tcBorders>
              <w:left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1</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color w:val="auto"/>
                <w:sz w:val="24"/>
                <w:highlight w:val="none"/>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bottom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2</w:t>
            </w:r>
          </w:p>
        </w:tc>
        <w:tc>
          <w:tcPr>
            <w:tcW w:w="7802" w:type="dxa"/>
            <w:gridSpan w:val="2"/>
            <w:tcBorders>
              <w:bottom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3</w:t>
            </w:r>
          </w:p>
        </w:tc>
        <w:tc>
          <w:tcPr>
            <w:tcW w:w="7802"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在中标通知书发出前，招标人将中标候选人的情况在《全国公共资源交易平台（河南省·许昌市）》、《河南招标采购综合网》和《中国采购与招标网》上予以公示，公示期不少于3日。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4</w:t>
            </w:r>
          </w:p>
        </w:tc>
        <w:tc>
          <w:tcPr>
            <w:tcW w:w="7802"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36"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5</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404" w:hRule="atLeast"/>
          <w:jc w:val="center"/>
        </w:trPr>
        <w:tc>
          <w:tcPr>
            <w:tcW w:w="1282" w:type="dxa"/>
            <w:gridSpan w:val="2"/>
            <w:tcBorders>
              <w:left w:val="single" w:color="auto" w:sz="4" w:space="0"/>
            </w:tcBorders>
            <w:vAlign w:val="center"/>
          </w:tcPr>
          <w:p>
            <w:pPr>
              <w:ind w:left="113" w:right="113"/>
              <w:rPr>
                <w:rFonts w:hint="eastAsia" w:ascii="宋体" w:hAnsi="宋体"/>
                <w:b/>
                <w:color w:val="auto"/>
                <w:sz w:val="24"/>
                <w:highlight w:val="none"/>
              </w:rPr>
            </w:pPr>
            <w:r>
              <w:rPr>
                <w:rFonts w:hint="eastAsia" w:ascii="宋体" w:hAnsi="宋体"/>
                <w:b/>
                <w:color w:val="auto"/>
                <w:sz w:val="24"/>
                <w:highlight w:val="none"/>
              </w:rPr>
              <w:t>6</w:t>
            </w:r>
          </w:p>
        </w:tc>
        <w:tc>
          <w:tcPr>
            <w:tcW w:w="7802" w:type="dxa"/>
            <w:gridSpan w:val="2"/>
            <w:tcBorders>
              <w:right w:val="single" w:color="auto" w:sz="4" w:space="0"/>
            </w:tcBorders>
            <w:vAlign w:val="center"/>
          </w:tcPr>
          <w:p>
            <w:pPr>
              <w:ind w:left="113" w:right="113"/>
              <w:rPr>
                <w:rFonts w:hint="eastAsia" w:ascii="宋体" w:hAnsi="宋体"/>
                <w:b/>
                <w:color w:val="auto"/>
                <w:sz w:val="24"/>
                <w:highlight w:val="none"/>
              </w:rPr>
            </w:pPr>
            <w:r>
              <w:rPr>
                <w:rFonts w:hint="eastAsia" w:ascii="宋体" w:hAnsi="宋体"/>
                <w:b/>
                <w:color w:val="auto"/>
                <w:sz w:val="24"/>
                <w:highlight w:val="none"/>
              </w:rPr>
              <w:t>类似工程是指201</w:t>
            </w:r>
            <w:r>
              <w:rPr>
                <w:rFonts w:hint="eastAsia" w:ascii="宋体" w:hAnsi="宋体"/>
                <w:b/>
                <w:color w:val="auto"/>
                <w:sz w:val="24"/>
                <w:highlight w:val="none"/>
                <w:lang w:val="en-US" w:eastAsia="zh-CN"/>
              </w:rPr>
              <w:t>6</w:t>
            </w:r>
            <w:r>
              <w:rPr>
                <w:rFonts w:hint="eastAsia" w:ascii="宋体" w:hAnsi="宋体"/>
                <w:b/>
                <w:color w:val="auto"/>
                <w:sz w:val="24"/>
                <w:highlight w:val="none"/>
              </w:rPr>
              <w:t>年1月1日以来承建过的</w:t>
            </w:r>
            <w:r>
              <w:rPr>
                <w:rFonts w:hint="eastAsia" w:ascii="宋体" w:hAnsi="宋体"/>
                <w:b/>
                <w:color w:val="auto"/>
                <w:sz w:val="24"/>
                <w:highlight w:val="none"/>
                <w:lang w:eastAsia="zh-CN"/>
              </w:rPr>
              <w:t>公路</w:t>
            </w:r>
            <w:r>
              <w:rPr>
                <w:rFonts w:hint="eastAsia" w:ascii="宋体" w:hAnsi="宋体"/>
                <w:b/>
                <w:color w:val="auto"/>
                <w:sz w:val="24"/>
                <w:highlight w:val="none"/>
              </w:rPr>
              <w:t>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7</w:t>
            </w:r>
          </w:p>
        </w:tc>
        <w:tc>
          <w:tcPr>
            <w:tcW w:w="7802" w:type="dxa"/>
            <w:gridSpan w:val="2"/>
            <w:tcBorders>
              <w:right w:val="single" w:color="auto" w:sz="4" w:space="0"/>
            </w:tcBorders>
            <w:vAlign w:val="center"/>
          </w:tcPr>
          <w:p>
            <w:pPr>
              <w:ind w:left="113" w:right="113"/>
              <w:rPr>
                <w:rFonts w:ascii="宋体" w:hAnsi="宋体"/>
                <w:b/>
                <w:bCs/>
                <w:color w:val="auto"/>
                <w:sz w:val="24"/>
                <w:highlight w:val="none"/>
              </w:rPr>
            </w:pPr>
            <w:r>
              <w:rPr>
                <w:rFonts w:hint="eastAsia" w:ascii="宋体" w:hAnsi="宋体"/>
                <w:b/>
                <w:bCs/>
                <w:color w:val="auto"/>
                <w:sz w:val="24"/>
                <w:highlight w:val="none"/>
              </w:rPr>
              <w:t>潜在投标人如对招标文件有异议，请在规定时间内在</w:t>
            </w:r>
            <w:r>
              <w:rPr>
                <w:rFonts w:hint="eastAsia" w:ascii="宋体" w:hAnsi="宋体"/>
                <w:b/>
                <w:color w:val="auto"/>
                <w:sz w:val="24"/>
                <w:highlight w:val="none"/>
              </w:rPr>
              <w:t>《全国公共资源交易平台（河南省·许昌市）》</w:t>
            </w:r>
            <w:r>
              <w:rPr>
                <w:rFonts w:hint="eastAsia" w:ascii="宋体" w:hAnsi="宋体"/>
                <w:b/>
                <w:bCs/>
                <w:color w:val="auto"/>
                <w:sz w:val="24"/>
                <w:highlight w:val="none"/>
              </w:rPr>
              <w:t>上</w:t>
            </w:r>
            <w:r>
              <w:rPr>
                <w:rFonts w:hint="eastAsia" w:ascii="宋体" w:hAnsi="宋体"/>
                <w:b/>
                <w:bCs/>
                <w:color w:val="auto"/>
                <w:sz w:val="24"/>
                <w:highlight w:val="none"/>
                <w:lang w:eastAsia="zh-CN"/>
              </w:rPr>
              <w:t>一次性</w:t>
            </w:r>
            <w:r>
              <w:rPr>
                <w:rFonts w:hint="eastAsia" w:ascii="宋体" w:hAnsi="宋体"/>
                <w:b/>
                <w:bCs/>
                <w:color w:val="auto"/>
                <w:sz w:val="24"/>
                <w:highlight w:val="none"/>
              </w:rPr>
              <w:t>提出，以其他方式递交的异议不予接受。</w:t>
            </w:r>
          </w:p>
        </w:tc>
      </w:tr>
    </w:tbl>
    <w:p>
      <w:pPr>
        <w:pStyle w:val="4"/>
        <w:spacing w:before="240" w:after="240" w:line="240" w:lineRule="auto"/>
        <w:jc w:val="center"/>
        <w:rPr>
          <w:rFonts w:ascii="黑体" w:eastAsia="黑体"/>
          <w:color w:val="auto"/>
          <w:sz w:val="30"/>
          <w:szCs w:val="30"/>
          <w:highlight w:val="none"/>
          <w:vertAlign w:val="superscript"/>
        </w:rPr>
      </w:pPr>
      <w:bookmarkStart w:id="5" w:name="_Toc234382588"/>
      <w:r>
        <w:rPr>
          <w:rFonts w:hint="eastAsia" w:ascii="黑体" w:eastAsia="黑体"/>
          <w:color w:val="auto"/>
          <w:sz w:val="30"/>
          <w:szCs w:val="30"/>
          <w:highlight w:val="none"/>
        </w:rPr>
        <w:br w:type="page"/>
      </w:r>
      <w:bookmarkStart w:id="6" w:name="_Toc486277862"/>
      <w:bookmarkStart w:id="7" w:name="_Toc485889001"/>
      <w:bookmarkStart w:id="8" w:name="_Toc31404"/>
      <w:r>
        <w:rPr>
          <w:rFonts w:hint="eastAsia" w:ascii="黑体" w:eastAsia="黑体"/>
          <w:color w:val="auto"/>
          <w:sz w:val="30"/>
          <w:szCs w:val="30"/>
          <w:highlight w:val="none"/>
        </w:rPr>
        <w:t>附录1   资格审查条件(资质最低条件)</w:t>
      </w:r>
      <w:bookmarkEnd w:id="5"/>
      <w:bookmarkEnd w:id="6"/>
      <w:bookmarkEnd w:id="7"/>
      <w:bookmarkEnd w:id="8"/>
    </w:p>
    <w:tbl>
      <w:tblPr>
        <w:tblStyle w:val="10"/>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color w:val="auto"/>
                <w:sz w:val="24"/>
                <w:highlight w:val="none"/>
              </w:rPr>
            </w:pPr>
            <w:r>
              <w:rPr>
                <w:rFonts w:hint="eastAsia" w:ascii="宋体" w:hAnsi="宋体"/>
                <w:color w:val="auto"/>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2、资质要求：</w:t>
            </w:r>
            <w:r>
              <w:rPr>
                <w:rFonts w:hint="eastAsia" w:ascii="宋体" w:hAnsi="宋体" w:cs="宋体"/>
                <w:color w:val="auto"/>
                <w:kern w:val="0"/>
                <w:sz w:val="24"/>
                <w:highlight w:val="none"/>
                <w:lang w:val="zh-CN"/>
              </w:rPr>
              <w:t>公路工程施工总承包叁级及以上资</w:t>
            </w:r>
            <w:r>
              <w:rPr>
                <w:rFonts w:hint="eastAsia" w:ascii="宋体" w:hAnsi="宋体" w:cs="宋体"/>
                <w:color w:val="auto"/>
                <w:kern w:val="0"/>
                <w:sz w:val="24"/>
                <w:highlight w:val="none"/>
              </w:rPr>
              <w:t>质，并具备有效的企业安全生产许可证，在人员、设备、资金等方面具有相应能力的施工企业。</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附录2   资格审查条件(财务最低要求)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投标申请人应提交最近三年内（</w:t>
            </w:r>
            <w:r>
              <w:rPr>
                <w:rFonts w:hint="eastAsia" w:ascii="宋体" w:hAnsi="宋体" w:cs="仿宋_GB2312"/>
                <w:color w:val="auto"/>
                <w:sz w:val="24"/>
                <w:highlight w:val="none"/>
              </w:rPr>
              <w:t>201</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年1月1日至201</w:t>
            </w:r>
            <w:r>
              <w:rPr>
                <w:rFonts w:hint="eastAsia" w:ascii="宋体" w:hAnsi="宋体" w:cs="仿宋_GB2312"/>
                <w:color w:val="auto"/>
                <w:sz w:val="24"/>
                <w:highlight w:val="none"/>
                <w:lang w:val="en-US" w:eastAsia="zh-CN"/>
              </w:rPr>
              <w:t>7</w:t>
            </w:r>
            <w:r>
              <w:rPr>
                <w:rFonts w:hint="eastAsia" w:ascii="宋体" w:hAnsi="宋体" w:cs="仿宋_GB2312"/>
                <w:color w:val="auto"/>
                <w:sz w:val="24"/>
                <w:highlight w:val="none"/>
              </w:rPr>
              <w:t>年12月31日</w:t>
            </w:r>
            <w:r>
              <w:rPr>
                <w:rFonts w:hint="eastAsia" w:ascii="宋体" w:hAnsi="宋体"/>
                <w:color w:val="auto"/>
                <w:sz w:val="24"/>
                <w:highlight w:val="none"/>
              </w:rPr>
              <w:t>）(</w:t>
            </w:r>
            <w:r>
              <w:rPr>
                <w:rFonts w:hint="eastAsia" w:hAnsi="宋体"/>
                <w:bCs/>
                <w:color w:val="auto"/>
                <w:sz w:val="24"/>
                <w:highlight w:val="none"/>
              </w:rPr>
              <w:t>若公司成立未满三年，须提供成立当年至今的财务报告</w:t>
            </w:r>
            <w:r>
              <w:rPr>
                <w:rFonts w:hint="eastAsia" w:ascii="宋体" w:hAnsi="宋体"/>
                <w:color w:val="auto"/>
                <w:sz w:val="24"/>
                <w:highlight w:val="none"/>
              </w:rPr>
              <w:t>)经审计的资产负债表、损益表、现金流量表，证明资格预审申请人的财务状况良好，财务无亏损，没有被接管、冻结、破产状态；必要时，业主将向投标申请人的开户银行进行查询；</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hint="eastAsia" w:ascii="黑体" w:eastAsia="黑体"/>
          <w:b/>
          <w:bCs/>
          <w:color w:val="auto"/>
          <w:kern w:val="44"/>
          <w:sz w:val="30"/>
          <w:szCs w:val="30"/>
          <w:highlight w:val="none"/>
        </w:rPr>
        <w:t>附录3   资格审查条件(业绩最低要求)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30" w:hRule="atLeast"/>
          <w:jc w:val="center"/>
        </w:trPr>
        <w:tc>
          <w:tcPr>
            <w:tcW w:w="9239" w:type="dxa"/>
            <w:vAlign w:val="center"/>
          </w:tcPr>
          <w:p>
            <w:pPr>
              <w:ind w:firstLine="2891" w:firstLineChars="1200"/>
              <w:jc w:val="both"/>
              <w:rPr>
                <w:rFonts w:ascii="宋体" w:hAnsi="宋体"/>
                <w:color w:val="auto"/>
                <w:sz w:val="24"/>
                <w:highlight w:val="none"/>
              </w:rPr>
            </w:pPr>
            <w:r>
              <w:rPr>
                <w:rFonts w:hint="eastAsia" w:ascii="宋体" w:hAnsi="宋体"/>
                <w:b/>
                <w:color w:val="auto"/>
                <w:sz w:val="24"/>
                <w:highlight w:val="none"/>
              </w:rPr>
              <w:t>201</w:t>
            </w:r>
            <w:r>
              <w:rPr>
                <w:rFonts w:hint="eastAsia" w:ascii="宋体" w:hAnsi="宋体"/>
                <w:b/>
                <w:color w:val="auto"/>
                <w:sz w:val="24"/>
                <w:highlight w:val="none"/>
                <w:lang w:val="en-US" w:eastAsia="zh-CN"/>
              </w:rPr>
              <w:t>6</w:t>
            </w:r>
            <w:r>
              <w:rPr>
                <w:rFonts w:hint="eastAsia" w:ascii="宋体" w:hAnsi="宋体"/>
                <w:b/>
                <w:color w:val="auto"/>
                <w:sz w:val="24"/>
                <w:highlight w:val="none"/>
              </w:rPr>
              <w:t>年1月1日以来承建过</w:t>
            </w:r>
            <w:r>
              <w:rPr>
                <w:rFonts w:hint="eastAsia" w:ascii="宋体" w:hAnsi="宋体"/>
                <w:b/>
                <w:color w:val="auto"/>
                <w:sz w:val="24"/>
                <w:highlight w:val="none"/>
                <w:lang w:eastAsia="zh-CN"/>
              </w:rPr>
              <w:t>的公路</w:t>
            </w:r>
            <w:r>
              <w:rPr>
                <w:rFonts w:hint="eastAsia" w:ascii="宋体" w:hAnsi="宋体"/>
                <w:b/>
                <w:color w:val="auto"/>
                <w:sz w:val="24"/>
                <w:highlight w:val="none"/>
              </w:rPr>
              <w:t>工程。</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附录4   资格审查条件(信誉最低要求)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不接受</w:t>
            </w:r>
            <w:r>
              <w:rPr>
                <w:rFonts w:hint="eastAsia" w:ascii="宋体" w:hAnsi="宋体" w:eastAsia="宋体" w:cs="Times New Roman"/>
                <w:color w:val="auto"/>
                <w:sz w:val="24"/>
                <w:highlight w:val="none"/>
              </w:rPr>
              <w:t>被</w:t>
            </w:r>
            <w:r>
              <w:rPr>
                <w:rFonts w:hint="eastAsia" w:ascii="宋体" w:hAnsi="宋体" w:eastAsia="宋体" w:cs="Times New Roman"/>
                <w:color w:val="auto"/>
                <w:sz w:val="24"/>
                <w:highlight w:val="none"/>
                <w:lang w:eastAsia="zh-CN"/>
              </w:rPr>
              <w:t>列入</w:t>
            </w:r>
            <w:r>
              <w:rPr>
                <w:rFonts w:hint="eastAsia" w:ascii="宋体" w:hAnsi="宋体" w:eastAsia="宋体" w:cs="Times New Roman"/>
                <w:color w:val="auto"/>
                <w:sz w:val="24"/>
                <w:highlight w:val="none"/>
              </w:rPr>
              <w:t>国家发改委等部门联合惩戒备忘录（黑名单）</w:t>
            </w:r>
            <w:r>
              <w:rPr>
                <w:rFonts w:hint="eastAsia" w:ascii="宋体" w:hAnsi="宋体" w:eastAsia="宋体" w:cs="Times New Roman"/>
                <w:color w:val="auto"/>
                <w:sz w:val="24"/>
                <w:highlight w:val="none"/>
                <w:lang w:eastAsia="zh-CN"/>
              </w:rPr>
              <w:t>及</w:t>
            </w:r>
            <w:r>
              <w:rPr>
                <w:rFonts w:hint="default" w:ascii="宋体" w:hAnsi="宋体" w:eastAsia="宋体" w:cs="Times New Roman"/>
                <w:color w:val="auto"/>
                <w:sz w:val="24"/>
                <w:highlight w:val="none"/>
              </w:rPr>
              <w:t>“信用中国”</w:t>
            </w:r>
            <w:r>
              <w:rPr>
                <w:rFonts w:hint="eastAsia" w:ascii="宋体" w:hAnsi="宋体" w:eastAsia="宋体" w:cs="Times New Roman"/>
                <w:color w:val="auto"/>
                <w:sz w:val="24"/>
                <w:highlight w:val="none"/>
                <w:lang w:val="en-US" w:eastAsia="zh-CN"/>
              </w:rPr>
              <w:t>（www.creditchina.gov.cn）</w:t>
            </w:r>
            <w:r>
              <w:rPr>
                <w:rFonts w:hint="default" w:ascii="宋体" w:hAnsi="宋体" w:eastAsia="宋体" w:cs="Times New Roman"/>
                <w:color w:val="auto"/>
                <w:sz w:val="24"/>
                <w:highlight w:val="none"/>
              </w:rPr>
              <w:t>和“信用河南”</w:t>
            </w:r>
            <w:r>
              <w:rPr>
                <w:rFonts w:hint="eastAsia" w:ascii="宋体" w:hAnsi="宋体" w:eastAsia="宋体" w:cs="Times New Roman"/>
                <w:color w:val="auto"/>
                <w:sz w:val="24"/>
                <w:highlight w:val="none"/>
                <w:lang w:eastAsia="zh-CN"/>
              </w:rPr>
              <w:t>（http://www.xyhn.gov.cn）</w:t>
            </w:r>
            <w:r>
              <w:rPr>
                <w:rFonts w:hint="default" w:ascii="宋体" w:hAnsi="宋体" w:eastAsia="宋体" w:cs="Times New Roman"/>
                <w:color w:val="auto"/>
                <w:sz w:val="24"/>
                <w:highlight w:val="none"/>
              </w:rPr>
              <w:t>网站信用信息栏黑名单</w:t>
            </w:r>
            <w:r>
              <w:rPr>
                <w:rFonts w:hint="eastAsia" w:ascii="宋体" w:hAnsi="宋体" w:eastAsia="宋体" w:cs="Times New Roman"/>
                <w:color w:val="auto"/>
                <w:sz w:val="24"/>
                <w:highlight w:val="none"/>
                <w:lang w:eastAsia="zh-CN"/>
              </w:rPr>
              <w:t>、</w:t>
            </w:r>
            <w:r>
              <w:rPr>
                <w:rFonts w:hint="default" w:ascii="宋体" w:hAnsi="宋体" w:eastAsia="宋体" w:cs="Times New Roman"/>
                <w:color w:val="auto"/>
                <w:sz w:val="24"/>
                <w:highlight w:val="none"/>
              </w:rPr>
              <w:t>“国家企业信用信息公示系统”</w:t>
            </w:r>
            <w:r>
              <w:rPr>
                <w:rFonts w:hint="eastAsia" w:ascii="宋体" w:hAnsi="宋体" w:eastAsia="宋体" w:cs="Times New Roman"/>
                <w:color w:val="auto"/>
                <w:sz w:val="24"/>
                <w:highlight w:val="none"/>
                <w:lang w:val="en-US" w:eastAsia="zh-CN"/>
              </w:rPr>
              <w:t>（www.gsxt.gov.cn）</w:t>
            </w:r>
            <w:r>
              <w:rPr>
                <w:rFonts w:hint="default" w:ascii="宋体" w:hAnsi="宋体" w:eastAsia="宋体" w:cs="Times New Roman"/>
                <w:color w:val="auto"/>
                <w:sz w:val="24"/>
                <w:highlight w:val="none"/>
              </w:rPr>
              <w:t>经营异常名录或严重失信黑名单</w:t>
            </w:r>
            <w:r>
              <w:rPr>
                <w:rFonts w:hint="eastAsia" w:ascii="宋体" w:hAnsi="宋体" w:eastAsia="宋体" w:cs="Times New Roman"/>
                <w:color w:val="auto"/>
                <w:sz w:val="24"/>
                <w:highlight w:val="none"/>
                <w:lang w:eastAsia="zh-CN"/>
              </w:rPr>
              <w:t>的投标单位</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根据《河南省公路建设市场从业单位及人员信用管理办法》第二十一条“对信用考核定级为D级即黑名单的从业单位，”不得参与本项目投标。</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附录5   资格审查条件(项目经理和项目总工最低要求)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20"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vAlign w:val="top"/>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vAlign w:val="top"/>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附录6  资格审查条件(其他主要管理人员和技术人员最低要求)</w:t>
      </w:r>
    </w:p>
    <w:tbl>
      <w:tblPr>
        <w:tblStyle w:val="10"/>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rPr>
          <w:rFonts w:ascii="宋体" w:hAnsi="宋体"/>
          <w:color w:val="auto"/>
          <w:sz w:val="24"/>
          <w:highlight w:val="none"/>
        </w:rPr>
      </w:pPr>
      <w:r>
        <w:rPr>
          <w:rFonts w:hint="eastAsia" w:ascii="宋体" w:hAnsi="宋体"/>
          <w:color w:val="auto"/>
          <w:sz w:val="24"/>
          <w:highlight w:val="none"/>
        </w:rPr>
        <w:t>只需做出承诺，不再提供相关证明原件及复印件。</w:t>
      </w:r>
    </w:p>
    <w:p>
      <w:pPr>
        <w:rPr>
          <w:rFonts w:ascii="宋体" w:hAnsi="宋体"/>
          <w:color w:val="auto"/>
          <w:sz w:val="24"/>
          <w:highlight w:val="none"/>
        </w:rPr>
      </w:pPr>
    </w:p>
    <w:p>
      <w:pPr>
        <w:rPr>
          <w:rFonts w:ascii="宋体" w:hAnsi="宋体"/>
          <w:color w:val="auto"/>
          <w:sz w:val="24"/>
          <w:highlight w:val="none"/>
        </w:rPr>
      </w:pPr>
    </w:p>
    <w:p>
      <w:pPr>
        <w:pStyle w:val="4"/>
        <w:spacing w:beforeLines="150" w:after="480" w:line="400" w:lineRule="exact"/>
        <w:rPr>
          <w:rFonts w:ascii="宋体" w:hAnsi="宋体"/>
          <w:color w:val="auto"/>
          <w:sz w:val="24"/>
          <w:szCs w:val="24"/>
          <w:highlight w:val="none"/>
        </w:rPr>
      </w:pPr>
      <w:bookmarkStart w:id="9" w:name="_Toc486277863"/>
      <w:bookmarkStart w:id="10" w:name="_Toc2209"/>
      <w:bookmarkStart w:id="11" w:name="_Toc485889002"/>
      <w:r>
        <w:rPr>
          <w:rFonts w:ascii="宋体" w:hAnsi="宋体"/>
          <w:color w:val="auto"/>
          <w:sz w:val="24"/>
          <w:szCs w:val="24"/>
          <w:highlight w:val="none"/>
        </w:rPr>
        <w:t>1. 总则</w:t>
      </w:r>
      <w:bookmarkEnd w:id="9"/>
      <w:bookmarkEnd w:id="10"/>
      <w:bookmarkEnd w:id="11"/>
    </w:p>
    <w:p>
      <w:pPr>
        <w:pStyle w:val="4"/>
        <w:spacing w:before="0" w:after="0" w:line="400" w:lineRule="exact"/>
        <w:rPr>
          <w:rFonts w:ascii="宋体" w:hAnsi="宋体"/>
          <w:color w:val="auto"/>
          <w:sz w:val="24"/>
          <w:szCs w:val="24"/>
          <w:highlight w:val="none"/>
        </w:rPr>
      </w:pPr>
      <w:bookmarkStart w:id="12" w:name="_Toc234382590"/>
      <w:bookmarkStart w:id="13" w:name="_Toc485889003"/>
      <w:bookmarkStart w:id="14" w:name="_Toc29730"/>
      <w:bookmarkStart w:id="15" w:name="_Toc486277864"/>
      <w:r>
        <w:rPr>
          <w:rFonts w:ascii="宋体" w:hAnsi="宋体"/>
          <w:color w:val="auto"/>
          <w:sz w:val="24"/>
          <w:szCs w:val="24"/>
          <w:highlight w:val="none"/>
        </w:rPr>
        <w:t>1.1 项目概况</w:t>
      </w:r>
      <w:bookmarkEnd w:id="12"/>
      <w:bookmarkEnd w:id="13"/>
      <w:bookmarkEnd w:id="14"/>
      <w:bookmarkEnd w:id="15"/>
    </w:p>
    <w:p>
      <w:pPr>
        <w:spacing w:line="400" w:lineRule="exact"/>
        <w:ind w:firstLine="480"/>
        <w:rPr>
          <w:rFonts w:ascii="宋体" w:hAnsi="宋体"/>
          <w:color w:val="auto"/>
          <w:sz w:val="24"/>
          <w:highlight w:val="none"/>
        </w:rPr>
      </w:pPr>
      <w:bookmarkStart w:id="16" w:name="_Toc234382591"/>
      <w:r>
        <w:rPr>
          <w:rFonts w:hint="eastAsia" w:ascii="宋体" w:hAnsi="宋体"/>
          <w:color w:val="auto"/>
          <w:sz w:val="24"/>
          <w:highlight w:val="none"/>
        </w:rPr>
        <w:t>1.1.1根据《中华人民共和国招标投标法》等有关法律、法规和规章的规定，本招标项目已具备招标条件，现对本工程施工进行招标，</w:t>
      </w:r>
      <w:r>
        <w:rPr>
          <w:rFonts w:hint="eastAsia" w:ascii="宋体" w:hAnsi="宋体" w:cs="宋体"/>
          <w:color w:val="auto"/>
          <w:sz w:val="24"/>
          <w:highlight w:val="none"/>
        </w:rPr>
        <w:t>择优选定投标人。</w:t>
      </w:r>
    </w:p>
    <w:p>
      <w:pPr>
        <w:spacing w:line="400" w:lineRule="exact"/>
        <w:ind w:firstLine="480"/>
        <w:rPr>
          <w:rFonts w:ascii="宋体" w:hAnsi="宋体"/>
          <w:color w:val="auto"/>
          <w:sz w:val="24"/>
          <w:highlight w:val="none"/>
        </w:rPr>
      </w:pPr>
      <w:r>
        <w:rPr>
          <w:rFonts w:hint="eastAsia" w:ascii="宋体" w:hAnsi="宋体"/>
          <w:color w:val="auto"/>
          <w:sz w:val="24"/>
          <w:highlight w:val="none"/>
        </w:rPr>
        <w:t>1.1.2 本招标项目招标人：见投标人须知前附表。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1.1.3 本标段招标代理机构：见投标人须知前附表。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1.1.4 本招标项目名称：见投标人须知前附表。</w:t>
      </w:r>
    </w:p>
    <w:p>
      <w:pPr>
        <w:shd w:val="clear" w:color="auto" w:fill="FFFFFF"/>
        <w:spacing w:line="400" w:lineRule="atLeast"/>
        <w:ind w:firstLine="480"/>
        <w:rPr>
          <w:color w:val="auto"/>
          <w:spacing w:val="1"/>
          <w:sz w:val="24"/>
          <w:highlight w:val="none"/>
        </w:rPr>
      </w:pPr>
      <w:r>
        <w:rPr>
          <w:rFonts w:hint="eastAsia" w:ascii="宋体" w:hAnsi="宋体"/>
          <w:color w:val="auto"/>
          <w:sz w:val="24"/>
          <w:highlight w:val="none"/>
        </w:rPr>
        <w:t>1.1.5 本标段建设地点：见投标人须知前附表</w:t>
      </w:r>
      <w:r>
        <w:rPr>
          <w:rFonts w:hint="eastAsia"/>
          <w:color w:val="auto"/>
          <w:spacing w:val="1"/>
          <w:sz w:val="24"/>
          <w:highlight w:val="none"/>
        </w:rPr>
        <w:t>。</w:t>
      </w:r>
    </w:p>
    <w:p>
      <w:pPr>
        <w:pStyle w:val="4"/>
        <w:spacing w:beforeLines="150" w:after="480" w:line="400" w:lineRule="exact"/>
        <w:rPr>
          <w:rFonts w:ascii="宋体" w:hAnsi="宋体"/>
          <w:color w:val="auto"/>
          <w:sz w:val="24"/>
          <w:szCs w:val="24"/>
          <w:highlight w:val="none"/>
        </w:rPr>
      </w:pPr>
      <w:bookmarkStart w:id="17" w:name="_Toc486277865"/>
      <w:bookmarkStart w:id="18" w:name="_Toc14323"/>
      <w:bookmarkStart w:id="19" w:name="_Toc485889004"/>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资金来源和落实情况</w:t>
      </w:r>
      <w:bookmarkEnd w:id="16"/>
      <w:bookmarkEnd w:id="17"/>
      <w:bookmarkEnd w:id="18"/>
      <w:bookmarkEnd w:id="19"/>
    </w:p>
    <w:p>
      <w:pPr>
        <w:spacing w:line="400" w:lineRule="exact"/>
        <w:ind w:firstLine="480"/>
        <w:rPr>
          <w:rFonts w:ascii="宋体" w:hAnsi="宋体"/>
          <w:color w:val="auto"/>
          <w:sz w:val="24"/>
          <w:highlight w:val="none"/>
        </w:rPr>
      </w:pPr>
      <w:r>
        <w:rPr>
          <w:rFonts w:hint="eastAsia" w:ascii="宋体" w:hAnsi="宋体"/>
          <w:color w:val="auto"/>
          <w:sz w:val="24"/>
          <w:highlight w:val="none"/>
        </w:rPr>
        <w:t>1.2.1 本招标项目的资金来源：见投标人须知前附表。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1.2.2 本招标项目的出资比例：见投标人须知前附表。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1.2.3 本招标项目的资金落实情况：见投标人须知前附表。</w:t>
      </w:r>
    </w:p>
    <w:p>
      <w:pPr>
        <w:pStyle w:val="4"/>
        <w:spacing w:beforeLines="50" w:after="0" w:line="400" w:lineRule="exact"/>
        <w:rPr>
          <w:rFonts w:ascii="宋体" w:hAnsi="宋体"/>
          <w:color w:val="auto"/>
          <w:sz w:val="24"/>
          <w:szCs w:val="24"/>
          <w:highlight w:val="none"/>
        </w:rPr>
      </w:pPr>
      <w:bookmarkStart w:id="20" w:name="_Toc234382592"/>
      <w:bookmarkStart w:id="21" w:name="_Toc486277866"/>
      <w:bookmarkStart w:id="22" w:name="_Toc17973"/>
      <w:bookmarkStart w:id="23" w:name="_Toc485889005"/>
      <w:r>
        <w:rPr>
          <w:rFonts w:ascii="宋体" w:hAnsi="宋体"/>
          <w:color w:val="auto"/>
          <w:sz w:val="24"/>
          <w:szCs w:val="24"/>
          <w:highlight w:val="none"/>
        </w:rPr>
        <w:t>1.3 招标范围、计划工期和质量要求</w:t>
      </w:r>
      <w:bookmarkEnd w:id="20"/>
      <w:bookmarkEnd w:id="21"/>
      <w:bookmarkEnd w:id="22"/>
      <w:bookmarkEnd w:id="23"/>
    </w:p>
    <w:p>
      <w:pPr>
        <w:spacing w:line="400" w:lineRule="exact"/>
        <w:ind w:firstLine="480" w:firstLineChars="200"/>
        <w:rPr>
          <w:rFonts w:ascii="宋体" w:hAnsi="宋体"/>
          <w:color w:val="auto"/>
          <w:sz w:val="24"/>
          <w:highlight w:val="none"/>
        </w:rPr>
      </w:pPr>
      <w:r>
        <w:rPr>
          <w:rFonts w:ascii="宋体" w:hAnsi="宋体"/>
          <w:color w:val="auto"/>
          <w:sz w:val="24"/>
          <w:highlight w:val="none"/>
        </w:rPr>
        <w:t>1.3.1 本次招标范围：见投标人须知前附表。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1.3.2 本标段的计划工期：见投标人须知前附表。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1.3.3 本标段的质量要求：见投标人须知前附表。</w:t>
      </w:r>
    </w:p>
    <w:p>
      <w:pPr>
        <w:pStyle w:val="4"/>
        <w:spacing w:beforeLines="50" w:after="0" w:line="400" w:lineRule="exact"/>
        <w:rPr>
          <w:rFonts w:ascii="宋体" w:hAnsi="宋体"/>
          <w:color w:val="auto"/>
          <w:sz w:val="24"/>
          <w:szCs w:val="24"/>
          <w:highlight w:val="none"/>
        </w:rPr>
      </w:pPr>
      <w:bookmarkStart w:id="24" w:name="_Toc234382594"/>
      <w:bookmarkStart w:id="25" w:name="_Toc485889006"/>
      <w:bookmarkStart w:id="26" w:name="_Toc486277867"/>
      <w:bookmarkStart w:id="27" w:name="_Toc2109"/>
      <w:r>
        <w:rPr>
          <w:rFonts w:ascii="宋体" w:hAnsi="宋体"/>
          <w:color w:val="auto"/>
          <w:sz w:val="24"/>
          <w:szCs w:val="24"/>
          <w:highlight w:val="none"/>
        </w:rPr>
        <w:t>1.4 投标人资格要求（适用于未进行资格预审的）</w:t>
      </w:r>
      <w:bookmarkEnd w:id="24"/>
      <w:bookmarkEnd w:id="25"/>
      <w:bookmarkEnd w:id="26"/>
      <w:bookmarkEnd w:id="27"/>
    </w:p>
    <w:p>
      <w:pPr>
        <w:spacing w:line="400" w:lineRule="exact"/>
        <w:ind w:firstLine="480" w:firstLineChars="200"/>
        <w:rPr>
          <w:rFonts w:ascii="宋体" w:hAnsi="宋体"/>
          <w:color w:val="auto"/>
          <w:sz w:val="24"/>
          <w:highlight w:val="none"/>
        </w:rPr>
      </w:pPr>
      <w:r>
        <w:rPr>
          <w:rFonts w:ascii="宋体" w:hAnsi="宋体"/>
          <w:color w:val="auto"/>
          <w:sz w:val="24"/>
          <w:highlight w:val="none"/>
        </w:rPr>
        <w:t>1.4.1 投标人应具备承担本标段施工的资质条件、能力和信誉。</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（1）资质条件：见投标人须知前附表；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（2）财务要求：见投标人须知前附表；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（3）业绩要求：见投标人须知前附表；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（4）信誉要求：见投标人须知前附表;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（5）项目经理资格：见投标人须知前附表；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（6）其他要求：见投标人须知前附表。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本次招标不</w:t>
      </w:r>
      <w:r>
        <w:rPr>
          <w:rFonts w:ascii="宋体" w:hAnsi="宋体"/>
          <w:color w:val="auto"/>
          <w:sz w:val="24"/>
          <w:highlight w:val="none"/>
        </w:rPr>
        <w:t>接受联合体</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1.4.3 投标人不得存在下列情形之一：</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（1）为招标人不具有独立法人资格的附属机构（单位）；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（2）为本标段前期准备提供设计或咨询服务的，但设计施工总承包的除外；</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（3）为本标段的监理人；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（4）为本标段的代建人；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（5）为本标段提供招标代理服务的；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（6）与本标段的监理人或代建人或招标代理机构同为一个法定代表人的；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（7）与本标段的监理人或代建人或招标代理机构相互控股或参股的；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（8）与本标段的监理人或代建人或招标代理机构相互任职或工作的；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（9）被责令停业的；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（10）被暂停或取消投标资格的；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（11）财产被接管或冻结的；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（12）在最近三年内有骗取中标或严重违约或重大工程质量问题的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（13）涉及正在诉讼的案件，或涉及正在诉讼的案件但经审查委员会认定不会对承担本项目造成重大影响；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（14）被省级及以上交通主管部门取消项目所在地的投标资格或禁止进入该区域公路建设市场且处于有效期内；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（15）为投资参股本项目的法人单位。</w:t>
      </w:r>
    </w:p>
    <w:p>
      <w:pPr>
        <w:pStyle w:val="4"/>
        <w:spacing w:beforeLines="50" w:after="0" w:line="400" w:lineRule="exact"/>
        <w:rPr>
          <w:rFonts w:ascii="宋体" w:hAnsi="宋体"/>
          <w:color w:val="auto"/>
          <w:sz w:val="24"/>
          <w:szCs w:val="24"/>
          <w:highlight w:val="none"/>
        </w:rPr>
      </w:pPr>
      <w:bookmarkStart w:id="28" w:name="_Toc19946"/>
      <w:bookmarkStart w:id="29" w:name="_Toc485889007"/>
      <w:bookmarkStart w:id="30" w:name="_Toc486277868"/>
      <w:bookmarkStart w:id="31" w:name="_Toc234382595"/>
      <w:r>
        <w:rPr>
          <w:rFonts w:ascii="宋体" w:hAnsi="宋体"/>
          <w:color w:val="auto"/>
          <w:sz w:val="24"/>
          <w:szCs w:val="24"/>
          <w:highlight w:val="none"/>
        </w:rPr>
        <w:t>1.5 费用承担</w:t>
      </w:r>
      <w:bookmarkEnd w:id="28"/>
      <w:bookmarkEnd w:id="29"/>
      <w:bookmarkEnd w:id="30"/>
      <w:bookmarkEnd w:id="31"/>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投标人准备和参加投标活动发生的费用自理。</w:t>
      </w:r>
    </w:p>
    <w:p>
      <w:pPr>
        <w:pStyle w:val="4"/>
        <w:spacing w:beforeLines="50" w:after="0" w:line="400" w:lineRule="exact"/>
        <w:rPr>
          <w:rFonts w:ascii="宋体" w:hAnsi="宋体"/>
          <w:color w:val="auto"/>
          <w:sz w:val="24"/>
          <w:szCs w:val="24"/>
          <w:highlight w:val="none"/>
        </w:rPr>
      </w:pPr>
      <w:bookmarkStart w:id="32" w:name="_Toc8968"/>
      <w:bookmarkStart w:id="33" w:name="_Toc485889008"/>
      <w:bookmarkStart w:id="34" w:name="_Toc486277869"/>
      <w:bookmarkStart w:id="35" w:name="_Toc234382596"/>
      <w:r>
        <w:rPr>
          <w:rFonts w:ascii="宋体" w:hAnsi="宋体"/>
          <w:color w:val="auto"/>
          <w:sz w:val="24"/>
          <w:szCs w:val="24"/>
          <w:highlight w:val="none"/>
        </w:rPr>
        <w:t>1.6 保密</w:t>
      </w:r>
      <w:bookmarkEnd w:id="32"/>
      <w:bookmarkEnd w:id="33"/>
      <w:bookmarkEnd w:id="34"/>
      <w:bookmarkEnd w:id="35"/>
    </w:p>
    <w:p>
      <w:pPr>
        <w:spacing w:line="400" w:lineRule="exact"/>
        <w:ind w:firstLine="480" w:firstLineChars="200"/>
        <w:rPr>
          <w:rFonts w:ascii="宋体" w:hAnsi="宋体"/>
          <w:color w:val="auto"/>
          <w:sz w:val="24"/>
          <w:highlight w:val="none"/>
        </w:rPr>
      </w:pPr>
      <w:r>
        <w:rPr>
          <w:rFonts w:ascii="宋体" w:hAnsi="宋体"/>
          <w:color w:val="auto"/>
          <w:sz w:val="24"/>
          <w:highlight w:val="none"/>
        </w:rPr>
        <w:t>参与招标投标活动的各方应对招标文件和投标文件中的商业和技术等秘密保密，违者应对由此造成的后果承担法律责任。</w:t>
      </w:r>
    </w:p>
    <w:p>
      <w:pPr>
        <w:pStyle w:val="4"/>
        <w:spacing w:beforeLines="50" w:after="0" w:line="400" w:lineRule="exact"/>
        <w:rPr>
          <w:rFonts w:ascii="宋体" w:hAnsi="宋体"/>
          <w:color w:val="auto"/>
          <w:sz w:val="24"/>
          <w:szCs w:val="24"/>
          <w:highlight w:val="none"/>
        </w:rPr>
      </w:pPr>
      <w:bookmarkStart w:id="36" w:name="_Toc485889009"/>
      <w:bookmarkStart w:id="37" w:name="_Toc486277870"/>
      <w:bookmarkStart w:id="38" w:name="_Toc5358"/>
      <w:bookmarkStart w:id="39" w:name="_Toc234382597"/>
      <w:r>
        <w:rPr>
          <w:rFonts w:ascii="宋体" w:hAnsi="宋体"/>
          <w:color w:val="auto"/>
          <w:sz w:val="24"/>
          <w:szCs w:val="24"/>
          <w:highlight w:val="none"/>
        </w:rPr>
        <w:t>1.7 语言文字</w:t>
      </w:r>
      <w:bookmarkEnd w:id="36"/>
      <w:bookmarkEnd w:id="37"/>
      <w:bookmarkEnd w:id="38"/>
      <w:bookmarkEnd w:id="39"/>
    </w:p>
    <w:p>
      <w:pPr>
        <w:spacing w:line="400" w:lineRule="exact"/>
        <w:ind w:firstLine="480" w:firstLineChars="200"/>
        <w:rPr>
          <w:rFonts w:ascii="宋体" w:hAnsi="宋体"/>
          <w:color w:val="auto"/>
          <w:sz w:val="24"/>
          <w:highlight w:val="none"/>
        </w:rPr>
      </w:pPr>
      <w:r>
        <w:rPr>
          <w:rFonts w:ascii="宋体" w:hAnsi="宋体"/>
          <w:color w:val="auto"/>
          <w:sz w:val="24"/>
          <w:highlight w:val="none"/>
        </w:rPr>
        <w:t>除专用术语外，与招标投标有关的语言均使用中文。必要时专用术语应附有中文注释。</w:t>
      </w:r>
    </w:p>
    <w:p>
      <w:pPr>
        <w:pStyle w:val="4"/>
        <w:spacing w:beforeLines="50" w:after="0" w:line="400" w:lineRule="exact"/>
        <w:rPr>
          <w:rFonts w:ascii="宋体" w:hAnsi="宋体"/>
          <w:color w:val="auto"/>
          <w:sz w:val="24"/>
          <w:szCs w:val="24"/>
          <w:highlight w:val="none"/>
        </w:rPr>
      </w:pPr>
      <w:bookmarkStart w:id="40" w:name="_Toc486277871"/>
      <w:bookmarkStart w:id="41" w:name="_Toc485889010"/>
      <w:bookmarkStart w:id="42" w:name="_Toc105"/>
      <w:bookmarkStart w:id="43" w:name="_Toc234382598"/>
      <w:r>
        <w:rPr>
          <w:rFonts w:ascii="宋体" w:hAnsi="宋体"/>
          <w:color w:val="auto"/>
          <w:sz w:val="24"/>
          <w:szCs w:val="24"/>
          <w:highlight w:val="none"/>
        </w:rPr>
        <w:t>1.8 计量单位</w:t>
      </w:r>
      <w:bookmarkEnd w:id="40"/>
      <w:bookmarkEnd w:id="41"/>
      <w:bookmarkEnd w:id="42"/>
      <w:bookmarkEnd w:id="43"/>
    </w:p>
    <w:p>
      <w:pPr>
        <w:spacing w:line="400" w:lineRule="exact"/>
        <w:ind w:firstLine="480" w:firstLineChars="200"/>
        <w:rPr>
          <w:rFonts w:ascii="宋体" w:hAnsi="宋体"/>
          <w:color w:val="auto"/>
          <w:sz w:val="24"/>
          <w:highlight w:val="none"/>
        </w:rPr>
      </w:pPr>
      <w:r>
        <w:rPr>
          <w:rFonts w:ascii="宋体" w:hAnsi="宋体"/>
          <w:color w:val="auto"/>
          <w:sz w:val="24"/>
          <w:highlight w:val="none"/>
        </w:rPr>
        <w:t>所有计量均采用中华人民共和国法定计量单位。</w:t>
      </w:r>
    </w:p>
    <w:p>
      <w:pPr>
        <w:pStyle w:val="4"/>
        <w:spacing w:beforeLines="50" w:after="0" w:line="400" w:lineRule="exact"/>
        <w:rPr>
          <w:rFonts w:ascii="宋体" w:hAnsi="宋体"/>
          <w:color w:val="auto"/>
          <w:sz w:val="24"/>
          <w:szCs w:val="24"/>
          <w:highlight w:val="none"/>
        </w:rPr>
      </w:pPr>
      <w:bookmarkStart w:id="44" w:name="_Toc486277872"/>
      <w:bookmarkStart w:id="45" w:name="_Toc485889011"/>
      <w:bookmarkStart w:id="46" w:name="_Toc31645"/>
      <w:bookmarkStart w:id="47" w:name="_Toc234382599"/>
      <w:r>
        <w:rPr>
          <w:rFonts w:ascii="宋体" w:hAnsi="宋体"/>
          <w:color w:val="auto"/>
          <w:sz w:val="24"/>
          <w:szCs w:val="24"/>
          <w:highlight w:val="none"/>
        </w:rPr>
        <w:t>1.9 踏勘现场</w:t>
      </w:r>
      <w:bookmarkEnd w:id="44"/>
      <w:bookmarkEnd w:id="45"/>
      <w:bookmarkEnd w:id="46"/>
      <w:bookmarkEnd w:id="47"/>
    </w:p>
    <w:p>
      <w:pPr>
        <w:spacing w:line="400" w:lineRule="exact"/>
        <w:ind w:firstLine="480" w:firstLineChars="200"/>
        <w:rPr>
          <w:rFonts w:ascii="宋体" w:hAnsi="宋体"/>
          <w:color w:val="auto"/>
          <w:sz w:val="24"/>
          <w:highlight w:val="none"/>
        </w:rPr>
      </w:pPr>
      <w:r>
        <w:rPr>
          <w:rFonts w:ascii="宋体" w:hAnsi="宋体"/>
          <w:color w:val="auto"/>
          <w:sz w:val="24"/>
          <w:highlight w:val="none"/>
        </w:rPr>
        <w:t>1.9.1 投标人须知前附表规定组织踏勘现场的，招标人按投标人须知前附表规定的时间、地点组织投标人踏勘项目现场。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1.9.2 投标人踏勘现场发生的费用自理。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1.9.3 除招标人的原因外，投标人自行负责在踏勘现场中所发生的人员伤亡和财产损失。</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1.9.4 招标人在踏勘现场中介绍的工程场地和相关的周边环境情况，供投标人在编制投标文件时参考，招标人不对投标人据此作出的判断和决策负责。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spacing w:beforeLines="50" w:after="0" w:line="400" w:lineRule="exact"/>
        <w:rPr>
          <w:rFonts w:ascii="宋体" w:hAnsi="宋体"/>
          <w:color w:val="auto"/>
          <w:sz w:val="24"/>
          <w:szCs w:val="24"/>
          <w:highlight w:val="none"/>
        </w:rPr>
      </w:pPr>
      <w:bookmarkStart w:id="48" w:name="_Toc234382600"/>
      <w:bookmarkStart w:id="49" w:name="_Toc485889012"/>
      <w:bookmarkStart w:id="50" w:name="_Toc3462"/>
      <w:bookmarkStart w:id="51" w:name="_Toc486277873"/>
      <w:r>
        <w:rPr>
          <w:rFonts w:ascii="宋体" w:hAnsi="宋体"/>
          <w:color w:val="auto"/>
          <w:sz w:val="24"/>
          <w:szCs w:val="24"/>
          <w:highlight w:val="none"/>
        </w:rPr>
        <w:t>1.10 投标预备会</w:t>
      </w:r>
      <w:bookmarkEnd w:id="48"/>
      <w:r>
        <w:rPr>
          <w:rFonts w:hint="eastAsia" w:ascii="宋体" w:hAnsi="宋体"/>
          <w:color w:val="auto"/>
          <w:sz w:val="24"/>
          <w:szCs w:val="24"/>
          <w:highlight w:val="none"/>
        </w:rPr>
        <w:t>（无）</w:t>
      </w:r>
      <w:bookmarkEnd w:id="49"/>
      <w:bookmarkEnd w:id="50"/>
      <w:bookmarkEnd w:id="51"/>
    </w:p>
    <w:p>
      <w:pPr>
        <w:pStyle w:val="4"/>
        <w:spacing w:beforeLines="50" w:after="0" w:line="400" w:lineRule="exact"/>
        <w:rPr>
          <w:rFonts w:ascii="宋体" w:hAnsi="宋体"/>
          <w:color w:val="auto"/>
          <w:sz w:val="24"/>
          <w:szCs w:val="24"/>
          <w:highlight w:val="none"/>
        </w:rPr>
      </w:pPr>
      <w:bookmarkStart w:id="52" w:name="_Toc234382601"/>
      <w:bookmarkStart w:id="53" w:name="_Toc22514"/>
      <w:bookmarkStart w:id="54" w:name="_Toc486277874"/>
      <w:bookmarkStart w:id="55" w:name="_Toc485889013"/>
      <w:r>
        <w:rPr>
          <w:rFonts w:ascii="宋体" w:hAnsi="宋体"/>
          <w:color w:val="auto"/>
          <w:sz w:val="24"/>
          <w:szCs w:val="24"/>
          <w:highlight w:val="none"/>
        </w:rPr>
        <w:t>1.11 分包</w:t>
      </w:r>
      <w:bookmarkEnd w:id="52"/>
      <w:bookmarkEnd w:id="53"/>
      <w:bookmarkEnd w:id="54"/>
      <w:bookmarkEnd w:id="55"/>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本项目严禁转包和违规分包，且不得再次分包。投标人拟在中标后将中标项目的部分非主体、非关键性工作进行分包的，应符合以下规定：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分包内容要求：允许分包的工程范围仅限于非关键性工程或者适合专业化队伍施工的专业工程；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分包金额要求：专业工程分包的工程量累计不得超过总工程量的30%；</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接受分包的第三人资质要求：分包人的资格能力应与其分包工程的标准和规模相适应，具备相应的专业承包资质或劳务分包资质；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其他要求；投标人如有分包计划，应按第八章“投标文件格式”的要求填写“拟分包项目调查表”，且投标人中标后的分包应满足合同条款第4.3款的相关要求。</w:t>
      </w:r>
    </w:p>
    <w:p>
      <w:pPr>
        <w:pStyle w:val="4"/>
        <w:spacing w:beforeLines="50" w:after="0" w:line="400" w:lineRule="exact"/>
        <w:rPr>
          <w:rFonts w:ascii="宋体" w:hAnsi="宋体"/>
          <w:color w:val="auto"/>
          <w:sz w:val="24"/>
          <w:szCs w:val="24"/>
          <w:highlight w:val="none"/>
          <w:vertAlign w:val="superscript"/>
        </w:rPr>
      </w:pPr>
      <w:bookmarkStart w:id="56" w:name="_Toc486277875"/>
      <w:bookmarkStart w:id="57" w:name="_Toc234382602"/>
      <w:bookmarkStart w:id="58" w:name="_Toc485889014"/>
      <w:bookmarkStart w:id="59" w:name="_Toc6184"/>
      <w:r>
        <w:rPr>
          <w:rFonts w:ascii="宋体" w:hAnsi="宋体"/>
          <w:color w:val="auto"/>
          <w:sz w:val="24"/>
          <w:szCs w:val="24"/>
          <w:highlight w:val="none"/>
        </w:rPr>
        <w:t>1.12 偏离</w:t>
      </w:r>
      <w:bookmarkEnd w:id="56"/>
      <w:bookmarkEnd w:id="57"/>
      <w:bookmarkEnd w:id="58"/>
      <w:bookmarkEnd w:id="59"/>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投标人须知前附表允许投标文件偏离招标文件某些要求的，偏离应当符合招标文件规定的偏离范围和幅度。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偏离即偏差，偏差分重大偏差和细微偏差。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1.12.2 投标文件中的下列偏差为细微偏差：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（2）施工组织设计（含关键工程技术方案）和项目管理机构不够完善。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1.12.3 评标委员会对投标文件中的细微偏差按如下规定处理：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（1）对于本章第1.12.2项（1）目所述的细微偏差，按照第三章“评标办法”第3.1.3项和第3.1.4项的规定予以修正并要求投标人进行澄清；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4"/>
        <w:spacing w:beforeLines="150" w:after="480" w:line="400" w:lineRule="exact"/>
        <w:rPr>
          <w:rFonts w:ascii="宋体" w:hAnsi="宋体"/>
          <w:color w:val="auto"/>
          <w:sz w:val="24"/>
          <w:szCs w:val="24"/>
          <w:highlight w:val="none"/>
        </w:rPr>
      </w:pPr>
      <w:bookmarkStart w:id="60" w:name="_Toc234382603"/>
      <w:bookmarkStart w:id="61" w:name="_Toc22855"/>
      <w:bookmarkStart w:id="62" w:name="_Toc485889015"/>
      <w:bookmarkStart w:id="63" w:name="_Toc486277876"/>
      <w:r>
        <w:rPr>
          <w:rFonts w:ascii="宋体" w:hAnsi="宋体"/>
          <w:color w:val="auto"/>
          <w:sz w:val="24"/>
          <w:szCs w:val="24"/>
          <w:highlight w:val="none"/>
        </w:rPr>
        <w:t>2. 招标文件</w:t>
      </w:r>
      <w:bookmarkEnd w:id="60"/>
      <w:bookmarkEnd w:id="61"/>
      <w:bookmarkEnd w:id="62"/>
      <w:bookmarkEnd w:id="63"/>
    </w:p>
    <w:p>
      <w:pPr>
        <w:pStyle w:val="4"/>
        <w:spacing w:before="0" w:after="0" w:line="400" w:lineRule="exact"/>
        <w:rPr>
          <w:rFonts w:ascii="宋体" w:hAnsi="宋体"/>
          <w:color w:val="auto"/>
          <w:sz w:val="24"/>
          <w:szCs w:val="24"/>
          <w:highlight w:val="none"/>
        </w:rPr>
      </w:pPr>
      <w:bookmarkStart w:id="64" w:name="_Toc12310"/>
      <w:bookmarkStart w:id="65" w:name="_Toc486277877"/>
      <w:bookmarkStart w:id="66" w:name="_Toc234382604"/>
      <w:bookmarkStart w:id="67" w:name="_Toc485889016"/>
      <w:r>
        <w:rPr>
          <w:rFonts w:ascii="宋体" w:hAnsi="宋体"/>
          <w:color w:val="auto"/>
          <w:sz w:val="24"/>
          <w:szCs w:val="24"/>
          <w:highlight w:val="none"/>
        </w:rPr>
        <w:t>2.1 招标文件的组成</w:t>
      </w:r>
      <w:bookmarkEnd w:id="64"/>
      <w:bookmarkEnd w:id="65"/>
      <w:bookmarkEnd w:id="66"/>
      <w:bookmarkEnd w:id="67"/>
    </w:p>
    <w:p>
      <w:pPr>
        <w:spacing w:line="400" w:lineRule="exact"/>
        <w:ind w:firstLine="480" w:firstLineChars="200"/>
        <w:rPr>
          <w:rFonts w:ascii="宋体" w:hAnsi="宋体"/>
          <w:color w:val="auto"/>
          <w:sz w:val="24"/>
          <w:highlight w:val="none"/>
        </w:rPr>
      </w:pPr>
      <w:r>
        <w:rPr>
          <w:rFonts w:ascii="宋体" w:hAnsi="宋体"/>
          <w:color w:val="auto"/>
          <w:sz w:val="24"/>
          <w:highlight w:val="none"/>
        </w:rPr>
        <w:t>本招标文件包括：</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（1）招标公告；</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（2）投标人须知；</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（3）评标办法；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（4）合同条款及格式；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（5）工程量清单；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（6）图纸</w:t>
      </w:r>
      <w:r>
        <w:rPr>
          <w:rFonts w:hint="eastAsia" w:ascii="宋体" w:hAnsi="宋体"/>
          <w:color w:val="auto"/>
          <w:sz w:val="24"/>
          <w:highlight w:val="none"/>
        </w:rPr>
        <w:t>（另附）</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（7）技术</w:t>
      </w:r>
      <w:r>
        <w:rPr>
          <w:rFonts w:hint="eastAsia" w:ascii="宋体" w:hAnsi="宋体"/>
          <w:color w:val="auto"/>
          <w:sz w:val="24"/>
          <w:highlight w:val="none"/>
        </w:rPr>
        <w:t>规范</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（8）投标文件格式；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（9）投标人须知前附表规定的其他材料。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根据本章第1.10款、第2.2款和第2.3款对招标文件所作的澄清、修改，构成招标文件的组成部分。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当招标文件、招标文件的澄清或修改等在同一内容的表述上不一致时，以最后发出的书面文件为准。</w:t>
      </w:r>
    </w:p>
    <w:p>
      <w:pPr>
        <w:pStyle w:val="4"/>
        <w:spacing w:beforeLines="50" w:after="0" w:line="400" w:lineRule="exact"/>
        <w:rPr>
          <w:rFonts w:ascii="宋体" w:hAnsi="宋体"/>
          <w:color w:val="auto"/>
          <w:sz w:val="24"/>
          <w:szCs w:val="24"/>
          <w:highlight w:val="none"/>
        </w:rPr>
      </w:pPr>
      <w:bookmarkStart w:id="68" w:name="_Toc486277878"/>
      <w:bookmarkStart w:id="69" w:name="_Toc485889017"/>
      <w:bookmarkStart w:id="70" w:name="_Toc234382605"/>
      <w:bookmarkStart w:id="71" w:name="_Toc16084"/>
      <w:r>
        <w:rPr>
          <w:rFonts w:ascii="宋体" w:hAnsi="宋体"/>
          <w:color w:val="auto"/>
          <w:sz w:val="24"/>
          <w:szCs w:val="24"/>
          <w:highlight w:val="none"/>
        </w:rPr>
        <w:t>2.2 招标文件的澄清</w:t>
      </w:r>
      <w:bookmarkEnd w:id="68"/>
      <w:bookmarkEnd w:id="69"/>
      <w:bookmarkEnd w:id="70"/>
      <w:bookmarkEnd w:id="71"/>
    </w:p>
    <w:p>
      <w:pPr>
        <w:spacing w:line="400" w:lineRule="exact"/>
        <w:ind w:firstLine="480" w:firstLineChars="200"/>
        <w:rPr>
          <w:rFonts w:ascii="宋体" w:hAnsi="宋体" w:cs="宋体"/>
          <w:color w:val="auto"/>
          <w:kern w:val="0"/>
          <w:sz w:val="24"/>
          <w:highlight w:val="none"/>
        </w:rPr>
      </w:pPr>
      <w:bookmarkStart w:id="72" w:name="_Toc234382606"/>
      <w:r>
        <w:rPr>
          <w:rFonts w:hint="eastAsia" w:ascii="宋体" w:hAnsi="宋体" w:cs="宋体"/>
          <w:color w:val="auto"/>
          <w:kern w:val="0"/>
          <w:sz w:val="24"/>
          <w:highlight w:val="none"/>
        </w:rPr>
        <w:t>2.2.1投标人应仔细阅读和检查招标文件的全部内容。如发现缺页或附件不全，</w:t>
      </w:r>
      <w:r>
        <w:rPr>
          <w:rFonts w:hint="eastAsia" w:ascii="宋体" w:hAnsi="宋体"/>
          <w:color w:val="auto"/>
          <w:sz w:val="24"/>
          <w:highlight w:val="none"/>
        </w:rPr>
        <w:t>通过公共资源交易系统电子平台发出</w:t>
      </w:r>
      <w:r>
        <w:rPr>
          <w:rFonts w:hint="eastAsia" w:ascii="宋体" w:hAnsi="宋体" w:cs="宋体"/>
          <w:color w:val="auto"/>
          <w:kern w:val="0"/>
          <w:sz w:val="24"/>
          <w:highlight w:val="none"/>
        </w:rPr>
        <w:t>，以便补齐。如有疑问，应在投标人须知前附表规定的时间要求招标人对招标文件予以澄清。</w:t>
      </w:r>
      <w:r>
        <w:rPr>
          <w:rFonts w:hint="eastAsia" w:ascii="宋体" w:hAnsi="宋体" w:cs="宋体"/>
          <w:b/>
          <w:color w:val="auto"/>
          <w:kern w:val="0"/>
          <w:sz w:val="24"/>
          <w:highlight w:val="none"/>
        </w:rPr>
        <w:t>如未提出异议，视为全面接受</w:t>
      </w:r>
      <w:r>
        <w:rPr>
          <w:rFonts w:hint="eastAsia" w:ascii="宋体" w:hAnsi="宋体" w:cs="宋体"/>
          <w:color w:val="auto"/>
          <w:kern w:val="0"/>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2.2.2 </w:t>
      </w:r>
      <w:r>
        <w:rPr>
          <w:rFonts w:hint="eastAsia" w:ascii="宋体" w:hAnsi="宋体"/>
          <w:color w:val="auto"/>
          <w:sz w:val="24"/>
          <w:highlight w:val="none"/>
        </w:rPr>
        <w:t>招标文件的澄清将在投标人须知前附表规定的投标截止时间15</w:t>
      </w:r>
      <w:r>
        <w:rPr>
          <w:rFonts w:ascii="宋体" w:hAnsi="宋体"/>
          <w:color w:val="auto"/>
          <w:sz w:val="24"/>
          <w:highlight w:val="none"/>
        </w:rPr>
        <w:t xml:space="preserve"> </w:t>
      </w:r>
      <w:r>
        <w:rPr>
          <w:rFonts w:hint="eastAsia" w:ascii="宋体" w:hAnsi="宋体"/>
          <w:color w:val="auto"/>
          <w:sz w:val="24"/>
          <w:highlight w:val="none"/>
        </w:rPr>
        <w:t>天前通过公共资源交易系统电子平台发出，但不指明澄清问题的来源。如果澄清发出的时间距投标截止时间不足15</w:t>
      </w:r>
      <w:r>
        <w:rPr>
          <w:rFonts w:ascii="宋体" w:hAnsi="宋体"/>
          <w:color w:val="auto"/>
          <w:sz w:val="24"/>
          <w:highlight w:val="none"/>
        </w:rPr>
        <w:t xml:space="preserve"> </w:t>
      </w:r>
      <w:r>
        <w:rPr>
          <w:rFonts w:hint="eastAsia" w:ascii="宋体" w:hAnsi="宋体"/>
          <w:color w:val="auto"/>
          <w:sz w:val="24"/>
          <w:highlight w:val="none"/>
        </w:rPr>
        <w:t>天，相应延长投标截止时间。</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2.2.3 </w:t>
      </w:r>
      <w:r>
        <w:rPr>
          <w:rFonts w:hint="eastAsia" w:ascii="宋体" w:hAnsi="宋体"/>
          <w:color w:val="auto"/>
          <w:sz w:val="24"/>
          <w:highlight w:val="none"/>
        </w:rPr>
        <w:t>所有澄清、答疑全部以公共资源交易系统电子平台发出的为准，不再接受书面形式的递交。</w:t>
      </w:r>
    </w:p>
    <w:p>
      <w:pPr>
        <w:pStyle w:val="4"/>
        <w:spacing w:beforeLines="50" w:after="0" w:line="400" w:lineRule="exact"/>
        <w:rPr>
          <w:rFonts w:ascii="宋体" w:hAnsi="宋体"/>
          <w:color w:val="auto"/>
          <w:sz w:val="24"/>
          <w:szCs w:val="24"/>
          <w:highlight w:val="none"/>
        </w:rPr>
      </w:pPr>
      <w:bookmarkStart w:id="73" w:name="_Toc486277879"/>
      <w:bookmarkStart w:id="74" w:name="_Toc29706"/>
      <w:bookmarkStart w:id="75" w:name="_Toc485889018"/>
      <w:r>
        <w:rPr>
          <w:rFonts w:ascii="宋体" w:hAnsi="宋体"/>
          <w:color w:val="auto"/>
          <w:sz w:val="24"/>
          <w:szCs w:val="24"/>
          <w:highlight w:val="none"/>
        </w:rPr>
        <w:t>2.3 招标文件的修改</w:t>
      </w:r>
      <w:bookmarkEnd w:id="72"/>
      <w:bookmarkEnd w:id="73"/>
      <w:bookmarkEnd w:id="74"/>
      <w:bookmarkEnd w:id="75"/>
    </w:p>
    <w:p>
      <w:pPr>
        <w:autoSpaceDE w:val="0"/>
        <w:autoSpaceDN w:val="0"/>
        <w:adjustRightInd w:val="0"/>
        <w:spacing w:line="360" w:lineRule="auto"/>
        <w:ind w:firstLine="616" w:firstLineChars="257"/>
        <w:jc w:val="left"/>
        <w:rPr>
          <w:rFonts w:ascii="新宋体" w:hAnsi="新宋体" w:eastAsia="新宋体" w:cs="仿宋_GB2312"/>
          <w:color w:val="auto"/>
          <w:kern w:val="0"/>
          <w:sz w:val="24"/>
          <w:highlight w:val="none"/>
        </w:rPr>
      </w:pPr>
      <w:bookmarkStart w:id="76" w:name="_Toc234382607"/>
      <w:r>
        <w:rPr>
          <w:rFonts w:ascii="宋体" w:hAnsi="宋体"/>
          <w:color w:val="auto"/>
          <w:sz w:val="24"/>
          <w:highlight w:val="none"/>
        </w:rPr>
        <w:t xml:space="preserve">2.3.1 </w:t>
      </w:r>
      <w:r>
        <w:rPr>
          <w:rFonts w:hint="eastAsia" w:ascii="新宋体" w:hAnsi="新宋体" w:eastAsia="新宋体" w:cs="仿宋_GB2312"/>
          <w:color w:val="auto"/>
          <w:kern w:val="0"/>
          <w:sz w:val="24"/>
          <w:highlight w:val="none"/>
        </w:rPr>
        <w:t>在投标截止时间</w:t>
      </w:r>
      <w:r>
        <w:rPr>
          <w:rFonts w:ascii="新宋体" w:hAnsi="新宋体" w:eastAsia="新宋体" w:cs="TimesNewRomanPSMT"/>
          <w:color w:val="auto"/>
          <w:kern w:val="0"/>
          <w:sz w:val="24"/>
          <w:highlight w:val="none"/>
        </w:rPr>
        <w:t>15</w:t>
      </w:r>
      <w:r>
        <w:rPr>
          <w:rFonts w:hint="eastAsia" w:ascii="新宋体" w:hAnsi="新宋体" w:eastAsia="新宋体" w:cs="仿宋_GB2312"/>
          <w:color w:val="auto"/>
          <w:kern w:val="0"/>
          <w:sz w:val="24"/>
          <w:highlight w:val="none"/>
        </w:rPr>
        <w:t>天前，招标人可以通过全国公共资源交易平台（河南省·许昌市）修改招标文件，如果修改招标文件的时间距投标截止时间不足</w:t>
      </w:r>
      <w:r>
        <w:rPr>
          <w:rFonts w:ascii="新宋体" w:hAnsi="新宋体" w:eastAsia="新宋体" w:cs="TimesNewRomanPSMT"/>
          <w:color w:val="auto"/>
          <w:kern w:val="0"/>
          <w:sz w:val="24"/>
          <w:highlight w:val="none"/>
        </w:rPr>
        <w:t xml:space="preserve">15 </w:t>
      </w:r>
      <w:r>
        <w:rPr>
          <w:rFonts w:hint="eastAsia" w:ascii="新宋体" w:hAnsi="新宋体" w:eastAsia="新宋体" w:cs="仿宋_GB2312"/>
          <w:color w:val="auto"/>
          <w:kern w:val="0"/>
          <w:sz w:val="24"/>
          <w:highlight w:val="none"/>
        </w:rPr>
        <w:t>天，相应延长投标截止时间。</w:t>
      </w:r>
    </w:p>
    <w:p>
      <w:pPr>
        <w:keepNext/>
        <w:keepLines/>
        <w:spacing w:beforeLines="150" w:after="480" w:line="400" w:lineRule="exact"/>
        <w:rPr>
          <w:rFonts w:ascii="宋体" w:hAnsi="宋体"/>
          <w:color w:val="auto"/>
          <w:sz w:val="24"/>
          <w:highlight w:val="none"/>
        </w:rPr>
      </w:pPr>
      <w:r>
        <w:rPr>
          <w:rFonts w:hint="eastAsia" w:ascii="宋体" w:hAnsi="宋体"/>
          <w:color w:val="auto"/>
          <w:sz w:val="24"/>
          <w:highlight w:val="none"/>
        </w:rPr>
        <w:t xml:space="preserve">     </w:t>
      </w:r>
      <w:bookmarkStart w:id="77" w:name="_Toc486277880"/>
      <w:bookmarkStart w:id="78" w:name="_Toc485889019"/>
      <w:r>
        <w:rPr>
          <w:rFonts w:hint="eastAsia" w:ascii="宋体" w:hAnsi="宋体"/>
          <w:color w:val="auto"/>
          <w:sz w:val="24"/>
          <w:highlight w:val="none"/>
        </w:rPr>
        <w:t>2.3.2 当招标文件（含评标、定标办法）、补充通知、答疑纪要，内容相互矛盾时，以最后发出的通知（或纪要）为准。</w:t>
      </w:r>
      <w:bookmarkEnd w:id="77"/>
      <w:bookmarkEnd w:id="78"/>
    </w:p>
    <w:p>
      <w:pPr>
        <w:pStyle w:val="4"/>
        <w:spacing w:beforeLines="150" w:after="480" w:line="400" w:lineRule="exact"/>
        <w:rPr>
          <w:rFonts w:ascii="宋体" w:hAnsi="宋体"/>
          <w:color w:val="auto"/>
          <w:sz w:val="24"/>
          <w:szCs w:val="24"/>
          <w:highlight w:val="none"/>
        </w:rPr>
      </w:pPr>
      <w:bookmarkStart w:id="79" w:name="_Toc8003"/>
      <w:bookmarkStart w:id="80" w:name="_Toc485889020"/>
      <w:bookmarkStart w:id="81" w:name="_Toc486277881"/>
      <w:r>
        <w:rPr>
          <w:rFonts w:ascii="宋体" w:hAnsi="宋体"/>
          <w:color w:val="auto"/>
          <w:sz w:val="24"/>
          <w:szCs w:val="24"/>
          <w:highlight w:val="none"/>
        </w:rPr>
        <w:t>3. 投标文件</w:t>
      </w:r>
      <w:bookmarkEnd w:id="76"/>
      <w:bookmarkEnd w:id="79"/>
      <w:bookmarkEnd w:id="80"/>
      <w:bookmarkEnd w:id="81"/>
    </w:p>
    <w:p>
      <w:pPr>
        <w:pStyle w:val="4"/>
        <w:spacing w:before="0" w:after="0" w:line="400" w:lineRule="exact"/>
        <w:rPr>
          <w:rFonts w:ascii="宋体" w:hAnsi="宋体"/>
          <w:color w:val="auto"/>
          <w:sz w:val="24"/>
          <w:szCs w:val="24"/>
          <w:highlight w:val="none"/>
        </w:rPr>
      </w:pPr>
      <w:bookmarkStart w:id="82" w:name="_Toc485889021"/>
      <w:bookmarkStart w:id="83" w:name="_Toc12156"/>
      <w:bookmarkStart w:id="84" w:name="_Toc234382608"/>
      <w:bookmarkStart w:id="85" w:name="_Toc486277882"/>
      <w:r>
        <w:rPr>
          <w:rFonts w:ascii="宋体" w:hAnsi="宋体"/>
          <w:color w:val="auto"/>
          <w:sz w:val="24"/>
          <w:szCs w:val="24"/>
          <w:highlight w:val="none"/>
        </w:rPr>
        <w:t>3.1 投标文件的组成</w:t>
      </w:r>
      <w:bookmarkEnd w:id="82"/>
      <w:bookmarkEnd w:id="83"/>
      <w:bookmarkEnd w:id="84"/>
      <w:bookmarkEnd w:id="85"/>
    </w:p>
    <w:p>
      <w:pPr>
        <w:spacing w:line="400" w:lineRule="exact"/>
        <w:ind w:firstLine="480" w:firstLineChars="200"/>
        <w:rPr>
          <w:rFonts w:ascii="宋体" w:hAnsi="宋体"/>
          <w:color w:val="auto"/>
          <w:sz w:val="24"/>
          <w:highlight w:val="none"/>
        </w:rPr>
      </w:pPr>
      <w:r>
        <w:rPr>
          <w:rFonts w:ascii="宋体" w:hAnsi="宋体"/>
          <w:color w:val="auto"/>
          <w:sz w:val="24"/>
          <w:highlight w:val="none"/>
        </w:rPr>
        <w:t>3.1.1 投标文件应包括下列内容：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第一个信封（商务及技术文件）：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（1）投标函及投标函附录；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）投标保证金；</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）施工组织设计；</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）项目管理机构；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）资格审查资料；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主要进场管理人员和技术人员最低要求；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）农民工工资支付承诺书；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）扬尘治理专项承诺书；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）其他材料。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第二个信封（投标报价和工程量清单）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（1）投标函；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（2）已标价工程量清单；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（3）拟分包项目情况表；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（4）合同用款估算表。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3.1.2 投标人须知前附表规定不接受联合体投标的，或投标人没有组成联合体的，投标文件不包括本章第 3.1.1（3）目所指的联合体协议书。</w:t>
      </w:r>
    </w:p>
    <w:p>
      <w:pPr>
        <w:pStyle w:val="4"/>
        <w:spacing w:beforeLines="50" w:after="0" w:line="400" w:lineRule="exact"/>
        <w:rPr>
          <w:rFonts w:ascii="宋体" w:hAnsi="宋体"/>
          <w:color w:val="auto"/>
          <w:sz w:val="24"/>
          <w:szCs w:val="24"/>
          <w:highlight w:val="none"/>
        </w:rPr>
      </w:pPr>
      <w:bookmarkStart w:id="86" w:name="_Toc485889022"/>
      <w:bookmarkStart w:id="87" w:name="_Toc12761"/>
      <w:bookmarkStart w:id="88" w:name="_Toc486277883"/>
      <w:bookmarkStart w:id="89" w:name="_Toc234382609"/>
      <w:r>
        <w:rPr>
          <w:rFonts w:ascii="宋体" w:hAnsi="宋体"/>
          <w:color w:val="auto"/>
          <w:sz w:val="24"/>
          <w:szCs w:val="24"/>
          <w:highlight w:val="none"/>
        </w:rPr>
        <w:t>3.2 投标报价</w:t>
      </w:r>
      <w:bookmarkEnd w:id="86"/>
      <w:bookmarkEnd w:id="87"/>
      <w:bookmarkEnd w:id="88"/>
      <w:bookmarkEnd w:id="89"/>
    </w:p>
    <w:p>
      <w:pPr>
        <w:spacing w:line="400" w:lineRule="exact"/>
        <w:ind w:firstLine="480" w:firstLineChars="200"/>
        <w:rPr>
          <w:rFonts w:ascii="宋体" w:hAnsi="宋体"/>
          <w:color w:val="auto"/>
          <w:sz w:val="24"/>
          <w:highlight w:val="none"/>
        </w:rPr>
      </w:pPr>
      <w:r>
        <w:rPr>
          <w:rFonts w:ascii="宋体" w:hAnsi="宋体"/>
          <w:color w:val="auto"/>
          <w:sz w:val="24"/>
          <w:highlight w:val="none"/>
        </w:rPr>
        <w:t>3.2.1 投标人应按第五章“工程量清单”的要求填写相应表格。</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投标人应按投标人须知前附表规定的方式填写工程量清单。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3.2.2 投标人在投标截止时间前修改投标函中的投标总报价，应同时修改第五章“工程量清单”中的相应报价。此修改须符合本章第 4.3 款的有关要求。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3.2.3 投标人如果发现工程量清单中的数量与图纸中数量不一致时，应立即通知招标人核查，除非招标人以书面方式予以更正，否则，应以工程量清单中列出的数量为准。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3.2.5 除投标人须知前附表另有规定外，招标人不接受调价函。若招标人接受调价函，则应在招标文件中给出调价函的格式。投标人若有调价函则应遵循如下规定：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（1）调价函必须采用招标文件规定的格式；调价函应说明调价后的最终报价，并以最终报价为准，而且投标人只能有一次调价的机会。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（2）工程量清单中招标人指定的报价不允许调价。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（3）调价函必须附有调价后的工程量清单；调价函必须粘贴或机械装订在投标文件正本首页，与投标文件一起密封提交。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（4）若招标人接受调价函，投标人调价后的工程量清单和有效调价函的大写金额报价应保持一致，如果报价金额出现差异时，则以有效调价函的大写金额报价为准。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4"/>
        <w:spacing w:beforeLines="50" w:after="0" w:line="400" w:lineRule="exact"/>
        <w:rPr>
          <w:rFonts w:ascii="宋体" w:hAnsi="宋体"/>
          <w:color w:val="auto"/>
          <w:sz w:val="24"/>
          <w:szCs w:val="24"/>
          <w:highlight w:val="none"/>
        </w:rPr>
      </w:pPr>
      <w:bookmarkStart w:id="90" w:name="_Toc6040"/>
      <w:bookmarkStart w:id="91" w:name="_Toc485889023"/>
      <w:bookmarkStart w:id="92" w:name="_Toc486277884"/>
      <w:bookmarkStart w:id="93" w:name="_Toc234382610"/>
      <w:r>
        <w:rPr>
          <w:rFonts w:ascii="宋体" w:hAnsi="宋体"/>
          <w:color w:val="auto"/>
          <w:sz w:val="24"/>
          <w:szCs w:val="24"/>
          <w:highlight w:val="none"/>
        </w:rPr>
        <w:t>3.3 投标有效期</w:t>
      </w:r>
      <w:bookmarkEnd w:id="90"/>
      <w:bookmarkEnd w:id="91"/>
      <w:bookmarkEnd w:id="92"/>
      <w:bookmarkEnd w:id="93"/>
    </w:p>
    <w:p>
      <w:pPr>
        <w:spacing w:line="400" w:lineRule="exact"/>
        <w:ind w:firstLine="480" w:firstLineChars="200"/>
        <w:rPr>
          <w:rFonts w:ascii="宋体" w:hAnsi="宋体"/>
          <w:color w:val="auto"/>
          <w:sz w:val="24"/>
          <w:highlight w:val="none"/>
        </w:rPr>
      </w:pPr>
      <w:r>
        <w:rPr>
          <w:rFonts w:ascii="宋体" w:hAnsi="宋体"/>
          <w:color w:val="auto"/>
          <w:sz w:val="24"/>
          <w:highlight w:val="none"/>
        </w:rPr>
        <w:t>3.3.1 在投标人须知前附表规定的投标有效期内，投标人不得要求撤销或修改其投标文件。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bookmarkStart w:id="94" w:name="_Toc485889024"/>
      <w:bookmarkStart w:id="95" w:name="_Toc486277885"/>
      <w:bookmarkStart w:id="96" w:name="_Toc19976"/>
      <w:bookmarkStart w:id="97" w:name="_Toc234382611"/>
      <w:r>
        <w:rPr>
          <w:rFonts w:ascii="宋体" w:hAnsi="宋体"/>
          <w:color w:val="auto"/>
          <w:sz w:val="24"/>
          <w:szCs w:val="24"/>
          <w:highlight w:val="none"/>
        </w:rPr>
        <w:t xml:space="preserve">3.4 </w:t>
      </w:r>
      <w:bookmarkEnd w:id="94"/>
      <w:bookmarkEnd w:id="95"/>
      <w:bookmarkEnd w:id="96"/>
      <w:bookmarkEnd w:id="97"/>
      <w:bookmarkStart w:id="98" w:name="_Toc234382613"/>
      <w:r>
        <w:rPr>
          <w:rFonts w:hint="eastAsia" w:hAnsi="宋体" w:cs="宋体"/>
          <w:b/>
          <w:bCs/>
          <w:sz w:val="24"/>
        </w:rPr>
        <w:t>投标保证金</w:t>
      </w:r>
      <w:r>
        <w:rPr>
          <w:rFonts w:hint="eastAsia" w:hAnsi="宋体" w:cs="宋体"/>
          <w:b/>
          <w:bCs/>
          <w:sz w:val="24"/>
          <w:szCs w:val="22"/>
        </w:rPr>
        <w:t>（见附表）</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 投标保证金的退还：</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（1）中标公告发出后，5个工作日内退还非中标候选人投标保证金及银行同期活期存款利息。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（2）在法定期限内签订书面合同，中标人执投标保证金退还申请表（单位加盖行政公章）及合同原件</w:t>
      </w:r>
      <w:r>
        <w:rPr>
          <w:rFonts w:hint="eastAsia" w:ascii="宋体" w:hAnsi="宋体" w:cs="Times New Roman"/>
          <w:color w:val="auto"/>
          <w:sz w:val="24"/>
          <w:highlight w:val="none"/>
          <w:lang w:eastAsia="zh-CN"/>
        </w:rPr>
        <w:t>、履约保证金缴纳通知书</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履约保证金转账凭证</w:t>
      </w:r>
      <w:r>
        <w:rPr>
          <w:rFonts w:hint="eastAsia" w:ascii="宋体" w:hAnsi="宋体" w:eastAsia="宋体" w:cs="Times New Roman"/>
          <w:color w:val="auto"/>
          <w:sz w:val="24"/>
          <w:highlight w:val="none"/>
        </w:rPr>
        <w:t>到中心业务部室办理退款手续，中心在5个工作日内向中标人和其他中标候选人退还投标保证金及银行同期活期存款利息。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（3）项目废标或招标人终止招标的，在此后5个工作日内退还投标保证金及银行同期活期存利息。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（4）投标活动中出现质疑、投诉的，中标候选人、质疑人和被质疑人、投诉人和被投诉人的投标保证金暂停退还。</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（5）相关投标人有违法违规行为的项目，其投标保证金暂不退还，待行政监督部门对相关情况处置后，按照有关规定办理。</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（6）退还投标保证金，除另有规定外，一般以转账方式一次性退还至投标保证金的原提交账户。</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2、投标人有下列情形之一的，不予退还投标保证金：</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（一）在招标文件要求提交投标文件的截止时间后至投标文件有效期满前撤回投标的；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（二）中标通知书发出后，中标人无故放弃中标项目或无正当理由在规定时间内不与招标人签订合同或未按招标文件规定提交履约担保的；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（三）将中标项目转让给他人，或者在投标文件中未说明，且未经招标人同意，将中标项目分包给他人的；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（四）投标人在招投标活动中弄虚作假、围标串标，骗取中标并经招投标行政监督部门调查核实的；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（五）拒绝履行合同义务的；</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（六）相关法律、法规规定不予退还的其它情形。</w:t>
      </w:r>
    </w:p>
    <w:p>
      <w:pPr>
        <w:spacing w:line="400" w:lineRule="exact"/>
        <w:ind w:firstLine="480" w:firstLineChars="200"/>
        <w:rPr>
          <w:rFonts w:ascii="宋体" w:hAnsi="宋体"/>
          <w:color w:val="auto"/>
          <w:sz w:val="24"/>
          <w:highlight w:val="none"/>
        </w:rPr>
      </w:pPr>
      <w:r>
        <w:rPr>
          <w:rFonts w:hint="eastAsia" w:ascii="宋体" w:hAnsi="宋体" w:eastAsia="宋体" w:cs="Times New Roman"/>
          <w:color w:val="auto"/>
          <w:sz w:val="24"/>
          <w:highlight w:val="none"/>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4"/>
        <w:spacing w:beforeLines="50" w:after="0" w:line="400" w:lineRule="exact"/>
        <w:rPr>
          <w:rFonts w:ascii="宋体" w:hAnsi="宋体"/>
          <w:color w:val="auto"/>
          <w:sz w:val="24"/>
          <w:szCs w:val="24"/>
          <w:highlight w:val="none"/>
        </w:rPr>
      </w:pPr>
      <w:bookmarkStart w:id="99" w:name="_Toc486277886"/>
      <w:bookmarkStart w:id="100" w:name="_Toc10524"/>
      <w:bookmarkStart w:id="101" w:name="_Toc485889025"/>
      <w:r>
        <w:rPr>
          <w:rFonts w:ascii="宋体" w:hAnsi="宋体"/>
          <w:color w:val="auto"/>
          <w:sz w:val="24"/>
          <w:szCs w:val="24"/>
          <w:highlight w:val="none"/>
        </w:rPr>
        <w:t>3.5 资格审查资料</w:t>
      </w:r>
      <w:bookmarkEnd w:id="98"/>
      <w:bookmarkEnd w:id="99"/>
      <w:bookmarkEnd w:id="100"/>
      <w:bookmarkEnd w:id="101"/>
    </w:p>
    <w:p>
      <w:pPr>
        <w:spacing w:line="400" w:lineRule="exact"/>
        <w:ind w:firstLine="480" w:firstLineChars="200"/>
        <w:rPr>
          <w:rFonts w:ascii="宋体" w:hAnsi="宋体"/>
          <w:color w:val="auto"/>
          <w:sz w:val="24"/>
          <w:highlight w:val="none"/>
        </w:rPr>
      </w:pPr>
      <w:r>
        <w:rPr>
          <w:rFonts w:ascii="宋体" w:hAnsi="宋体"/>
          <w:color w:val="auto"/>
          <w:sz w:val="24"/>
          <w:highlight w:val="none"/>
        </w:rPr>
        <w:t>3.5.1 “投标人基本情况表”应附</w:t>
      </w:r>
      <w:r>
        <w:rPr>
          <w:rFonts w:hint="eastAsia" w:ascii="宋体" w:hAnsi="宋体"/>
          <w:color w:val="auto"/>
          <w:sz w:val="24"/>
          <w:highlight w:val="none"/>
        </w:rPr>
        <w:t>企业法人</w:t>
      </w:r>
      <w:r>
        <w:rPr>
          <w:rFonts w:ascii="宋体" w:hAnsi="宋体"/>
          <w:color w:val="auto"/>
          <w:sz w:val="24"/>
          <w:highlight w:val="none"/>
        </w:rPr>
        <w:t>营业执照副本</w:t>
      </w:r>
      <w:r>
        <w:rPr>
          <w:rFonts w:hint="eastAsia" w:ascii="宋体" w:hAnsi="宋体"/>
          <w:color w:val="auto"/>
          <w:sz w:val="24"/>
          <w:highlight w:val="none"/>
        </w:rPr>
        <w:t>（全本）的复印件（并加盖单位章）、施工资质证书副本（全本）的复印件（并加盖单位章）、安全生产许可证副本（全本）的复印件（并加盖单位章）、基本账户开户许可证的复印件（并加盖单位章）</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3.5.3 “近年完成的类似项目情况表”应附合同协议书和中标通知书或工程接收证书（工程竣工验收证书）的复印件，具体年份要求见投标人须知前附表。每张表格只填写一个项目，并标明序号。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工程接受证书（工程竣工验收证书）可以是发包人出具的公路工程（标段）交工验收证书或竣工验收委员会出具的公路工程竣工验收鉴定书或质量监督机构对各参建单位签发的工作综合评价等级证书。</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3.5.4 “正在施工和新承接的项目情况表”应附中标通知书和合同协议书复印件。每张表格只填写一个项目，并标明序号。</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3.5.5 “近年发生的诉讼及仲裁情况”应说明相关情况，并附法院或仲裁机构作出的判决、裁决等有关法律文书复印件，具体年份要求见投标人须知前附表。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3.5.6 投标人须知前附表规定接受联合体投标的，本章第3.5.1项至第3.5.5项规定的表格和资料应包括联合体各方相关情况。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3.5.7 投标人在投标文件中填报的项目经理和项目总工不允许更换。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3.5.8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 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4"/>
        <w:spacing w:beforeLines="50" w:after="0" w:line="400" w:lineRule="exact"/>
        <w:rPr>
          <w:rFonts w:ascii="宋体" w:hAnsi="宋体"/>
          <w:color w:val="auto"/>
          <w:sz w:val="24"/>
          <w:szCs w:val="24"/>
          <w:highlight w:val="none"/>
        </w:rPr>
      </w:pPr>
      <w:bookmarkStart w:id="102" w:name="_Toc485889026"/>
      <w:bookmarkStart w:id="103" w:name="_Toc486277887"/>
      <w:bookmarkStart w:id="104" w:name="_Toc15460"/>
      <w:bookmarkStart w:id="105" w:name="_Toc234382614"/>
      <w:r>
        <w:rPr>
          <w:rFonts w:ascii="宋体" w:hAnsi="宋体"/>
          <w:color w:val="auto"/>
          <w:sz w:val="24"/>
          <w:szCs w:val="24"/>
          <w:highlight w:val="none"/>
        </w:rPr>
        <w:t>3.6 备选投标方案</w:t>
      </w:r>
      <w:bookmarkEnd w:id="102"/>
      <w:bookmarkEnd w:id="103"/>
      <w:bookmarkEnd w:id="104"/>
      <w:bookmarkEnd w:id="105"/>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Lines="50" w:after="0" w:line="400" w:lineRule="exact"/>
        <w:rPr>
          <w:rFonts w:ascii="宋体" w:hAnsi="宋体"/>
          <w:color w:val="auto"/>
          <w:sz w:val="24"/>
          <w:szCs w:val="24"/>
          <w:highlight w:val="none"/>
        </w:rPr>
      </w:pPr>
      <w:bookmarkStart w:id="106" w:name="_Toc234382615"/>
      <w:bookmarkStart w:id="107" w:name="_Toc485889027"/>
      <w:bookmarkStart w:id="108" w:name="_Toc486277888"/>
      <w:bookmarkStart w:id="109" w:name="_Toc30194"/>
      <w:r>
        <w:rPr>
          <w:rFonts w:ascii="宋体" w:hAnsi="宋体"/>
          <w:color w:val="auto"/>
          <w:sz w:val="24"/>
          <w:szCs w:val="24"/>
          <w:highlight w:val="none"/>
        </w:rPr>
        <w:t>3.7 投标文件的编制</w:t>
      </w:r>
      <w:bookmarkEnd w:id="106"/>
      <w:bookmarkEnd w:id="107"/>
      <w:bookmarkEnd w:id="108"/>
      <w:bookmarkEnd w:id="109"/>
    </w:p>
    <w:p>
      <w:pPr>
        <w:spacing w:line="400" w:lineRule="exact"/>
        <w:ind w:firstLine="480" w:firstLineChars="200"/>
        <w:rPr>
          <w:rFonts w:ascii="宋体" w:hAnsi="宋体"/>
          <w:color w:val="auto"/>
          <w:sz w:val="24"/>
          <w:highlight w:val="none"/>
        </w:rPr>
      </w:pPr>
      <w:r>
        <w:rPr>
          <w:rFonts w:ascii="宋体" w:hAnsi="宋体"/>
          <w:color w:val="auto"/>
          <w:sz w:val="24"/>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3.7.2 投标文件应当对招标文件有关工期、投标有效期、质量要求、技术标准和要求、招标范围等实质性内容作出响应。</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3.7.3 </w:t>
      </w:r>
      <w:r>
        <w:rPr>
          <w:rFonts w:hint="eastAsia" w:ascii="宋体" w:hAnsi="宋体"/>
          <w:color w:val="auto"/>
          <w:sz w:val="24"/>
          <w:highlight w:val="none"/>
        </w:rPr>
        <w:t>投标文件应用不褪色的材料书写或打印，投标函及投标函附录、承诺函、已标价工程量清单（包括工程量清单说明、投标报价说明、计日工说明、其他说明及工程量清单各项表格&lt;工程量清单表5.1～表5.5&gt;）、调价函及调价后的工程量清单（如有）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如果由投标人的法定代表人亲自签署投标文件，则不需提交授权委托书。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投标文件应尽量避免涂改、行间插字或删除。如果出现上述情况，改动之处应加盖单位章或由投标人的法定代表人或其授权的代理人签字确认。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签字或盖章的其他要求见投标人须知前附表。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3.7.4 投标文件正本一份</w:t>
      </w:r>
      <w:r>
        <w:rPr>
          <w:rFonts w:hint="eastAsia" w:ascii="宋体" w:hAnsi="宋体"/>
          <w:color w:val="auto"/>
          <w:sz w:val="24"/>
          <w:highlight w:val="none"/>
        </w:rPr>
        <w:t>，</w:t>
      </w:r>
      <w:r>
        <w:rPr>
          <w:rFonts w:ascii="宋体" w:hAnsi="宋体"/>
          <w:color w:val="auto"/>
          <w:sz w:val="24"/>
          <w:highlight w:val="none"/>
        </w:rPr>
        <w:t>副本份数见投标人须知前附表。正本和副本的封面上应清楚地标记“正本”或“副本”的字样。当副本和正本不一致时，以正本为准。</w:t>
      </w:r>
    </w:p>
    <w:p>
      <w:pPr>
        <w:spacing w:line="400" w:lineRule="exact"/>
        <w:ind w:firstLine="480" w:firstLineChars="200"/>
        <w:rPr>
          <w:rFonts w:ascii="隶书" w:hAnsi="宋体" w:eastAsia="隶书"/>
          <w:color w:val="auto"/>
          <w:sz w:val="24"/>
          <w:highlight w:val="none"/>
        </w:rPr>
      </w:pPr>
      <w:r>
        <w:rPr>
          <w:rFonts w:ascii="宋体" w:hAnsi="宋体"/>
          <w:color w:val="auto"/>
          <w:sz w:val="24"/>
          <w:highlight w:val="none"/>
        </w:rPr>
        <w:t>3.7.5 投标文件的正本与副本应分别装订成册</w:t>
      </w:r>
      <w:r>
        <w:rPr>
          <w:rFonts w:hint="eastAsia" w:ascii="宋体" w:hAnsi="宋体"/>
          <w:color w:val="auto"/>
          <w:sz w:val="24"/>
          <w:highlight w:val="none"/>
        </w:rPr>
        <w:t>（A4纸幅）</w:t>
      </w:r>
      <w:r>
        <w:rPr>
          <w:rFonts w:ascii="宋体" w:hAnsi="宋体"/>
          <w:color w:val="auto"/>
          <w:sz w:val="24"/>
          <w:highlight w:val="none"/>
        </w:rPr>
        <w:t>，并编制目录</w:t>
      </w:r>
      <w:r>
        <w:rPr>
          <w:rFonts w:hint="eastAsia" w:ascii="宋体" w:hAnsi="宋体"/>
          <w:color w:val="auto"/>
          <w:sz w:val="24"/>
          <w:highlight w:val="none"/>
        </w:rPr>
        <w:t>、且逐页标注连续页码。投标文件不得采用活页夹装订，否则，招标人对由于投标文件装订松散而造成的丢失或其他后果不承担任何责任。装订的其他要求见投标人须知前附表。</w:t>
      </w:r>
    </w:p>
    <w:p>
      <w:pPr>
        <w:pStyle w:val="4"/>
        <w:spacing w:beforeLines="150" w:after="480" w:line="400" w:lineRule="exact"/>
        <w:rPr>
          <w:rFonts w:ascii="宋体" w:hAnsi="宋体"/>
          <w:color w:val="auto"/>
          <w:sz w:val="24"/>
          <w:szCs w:val="24"/>
          <w:highlight w:val="none"/>
        </w:rPr>
      </w:pPr>
      <w:bookmarkStart w:id="110" w:name="_Toc485889028"/>
      <w:bookmarkStart w:id="111" w:name="_Toc3142"/>
      <w:bookmarkStart w:id="112" w:name="_Toc234382616"/>
      <w:bookmarkStart w:id="113" w:name="_Toc486277889"/>
      <w:r>
        <w:rPr>
          <w:rFonts w:ascii="宋体" w:hAnsi="宋体"/>
          <w:color w:val="auto"/>
          <w:sz w:val="24"/>
          <w:szCs w:val="24"/>
          <w:highlight w:val="none"/>
        </w:rPr>
        <w:t>4. 投标</w:t>
      </w:r>
      <w:bookmarkEnd w:id="110"/>
      <w:bookmarkEnd w:id="111"/>
      <w:bookmarkEnd w:id="112"/>
      <w:bookmarkEnd w:id="113"/>
    </w:p>
    <w:p>
      <w:pPr>
        <w:pStyle w:val="4"/>
        <w:spacing w:before="0" w:after="0" w:line="400" w:lineRule="exact"/>
        <w:rPr>
          <w:rFonts w:ascii="宋体" w:hAnsi="宋体"/>
          <w:color w:val="auto"/>
          <w:sz w:val="24"/>
          <w:szCs w:val="24"/>
          <w:highlight w:val="none"/>
        </w:rPr>
      </w:pPr>
      <w:bookmarkStart w:id="114" w:name="_Toc234382617"/>
      <w:bookmarkStart w:id="115" w:name="_Toc26813"/>
      <w:bookmarkStart w:id="116" w:name="_Toc485889029"/>
      <w:bookmarkStart w:id="117" w:name="_Toc486277890"/>
      <w:r>
        <w:rPr>
          <w:rFonts w:ascii="宋体" w:hAnsi="宋体"/>
          <w:color w:val="auto"/>
          <w:sz w:val="24"/>
          <w:szCs w:val="24"/>
          <w:highlight w:val="none"/>
        </w:rPr>
        <w:t>4.1 投标文件的密封和标记</w:t>
      </w:r>
      <w:bookmarkEnd w:id="114"/>
      <w:bookmarkEnd w:id="115"/>
      <w:bookmarkEnd w:id="116"/>
      <w:bookmarkEnd w:id="117"/>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4.1.1 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4.1.2 投标文件的封套上应清楚地标记“正本”或“副本”字样，</w:t>
      </w:r>
      <w:r>
        <w:rPr>
          <w:rFonts w:hint="eastAsia" w:ascii="宋体" w:hAnsi="宋体"/>
          <w:color w:val="auto"/>
          <w:sz w:val="24"/>
          <w:highlight w:val="none"/>
        </w:rPr>
        <w:t>投标文件第一个信封（商务及技术文件）以及第二个信封（投标报价和工程量清单）</w:t>
      </w:r>
      <w:r>
        <w:rPr>
          <w:rFonts w:ascii="宋体" w:hAnsi="宋体"/>
          <w:color w:val="auto"/>
          <w:sz w:val="24"/>
          <w:highlight w:val="none"/>
        </w:rPr>
        <w:t>封套上应写明的其他内容见投标人须知前附表。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4.1.3 未按本章第4.1.1项或第4.1.2项要求密封和加写标记的投标文件，招标人不予受理。</w:t>
      </w:r>
    </w:p>
    <w:p>
      <w:pPr>
        <w:pStyle w:val="4"/>
        <w:spacing w:beforeLines="50" w:after="0" w:line="400" w:lineRule="exact"/>
        <w:rPr>
          <w:rFonts w:ascii="宋体" w:hAnsi="宋体"/>
          <w:color w:val="auto"/>
          <w:sz w:val="24"/>
          <w:szCs w:val="24"/>
          <w:highlight w:val="none"/>
        </w:rPr>
      </w:pPr>
      <w:bookmarkStart w:id="118" w:name="_Toc31665"/>
      <w:bookmarkStart w:id="119" w:name="_Toc234382618"/>
      <w:bookmarkStart w:id="120" w:name="_Toc486277891"/>
      <w:bookmarkStart w:id="121" w:name="_Toc485889030"/>
      <w:r>
        <w:rPr>
          <w:rFonts w:ascii="宋体" w:hAnsi="宋体"/>
          <w:color w:val="auto"/>
          <w:sz w:val="24"/>
          <w:szCs w:val="24"/>
          <w:highlight w:val="none"/>
        </w:rPr>
        <w:t>4.2 投标文件的递交</w:t>
      </w:r>
      <w:bookmarkEnd w:id="118"/>
      <w:bookmarkEnd w:id="119"/>
      <w:bookmarkEnd w:id="120"/>
      <w:bookmarkEnd w:id="121"/>
    </w:p>
    <w:p>
      <w:pPr>
        <w:spacing w:line="400" w:lineRule="exact"/>
        <w:ind w:firstLine="480" w:firstLineChars="200"/>
        <w:rPr>
          <w:rFonts w:ascii="宋体" w:hAnsi="宋体"/>
          <w:color w:val="auto"/>
          <w:sz w:val="24"/>
          <w:highlight w:val="none"/>
        </w:rPr>
      </w:pPr>
      <w:r>
        <w:rPr>
          <w:rFonts w:ascii="宋体" w:hAnsi="宋体"/>
          <w:color w:val="auto"/>
          <w:sz w:val="24"/>
          <w:highlight w:val="none"/>
        </w:rPr>
        <w:t>4.2.1 投标人应在本章第 2.2.2 项规定的投标截止时间前递交投标文件。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4.2.2 投标人递交投标文件的地点：见投标人须知前附表。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4.2.3 除投标人须知前附表另有规定外，投标人所递交的投标文件不予退还。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4.2.4 招标人收到投标文件后，向投标人出具签收凭证。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4.2.5 逾期送达的或者未送达指定地点的投标文件，招标人不予受理。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4.2.6在特殊情况下，招标人如果决定延后递交投标截止时间，应在投标人须知前附表规定的时间前，</w:t>
      </w:r>
      <w:r>
        <w:rPr>
          <w:rFonts w:hint="eastAsia" w:hAnsi="宋体"/>
          <w:color w:val="auto"/>
          <w:spacing w:val="2"/>
          <w:sz w:val="24"/>
          <w:highlight w:val="none"/>
        </w:rPr>
        <w:t>通过</w:t>
      </w:r>
      <w:r>
        <w:rPr>
          <w:rFonts w:hint="eastAsia" w:ascii="宋体" w:hAnsi="宋体"/>
          <w:color w:val="auto"/>
          <w:spacing w:val="2"/>
          <w:sz w:val="24"/>
          <w:highlight w:val="none"/>
        </w:rPr>
        <w:t>公共资源交易系统电子平台</w:t>
      </w:r>
      <w:r>
        <w:rPr>
          <w:rFonts w:hint="eastAsia" w:ascii="宋体" w:hAnsi="宋体"/>
          <w:color w:val="auto"/>
          <w:sz w:val="24"/>
          <w:highlight w:val="none"/>
        </w:rPr>
        <w:t>延后投标截止时间。在此情况下，招标人和投标人的权利和义务相应延后至新的投标截止时间。</w:t>
      </w:r>
    </w:p>
    <w:p>
      <w:pPr>
        <w:pStyle w:val="4"/>
        <w:spacing w:beforeLines="50" w:after="0" w:line="400" w:lineRule="exact"/>
        <w:rPr>
          <w:rFonts w:ascii="宋体" w:hAnsi="宋体"/>
          <w:color w:val="auto"/>
          <w:sz w:val="24"/>
          <w:szCs w:val="24"/>
          <w:highlight w:val="none"/>
        </w:rPr>
      </w:pPr>
      <w:bookmarkStart w:id="122" w:name="_Toc486277892"/>
      <w:bookmarkStart w:id="123" w:name="_Toc485889031"/>
      <w:bookmarkStart w:id="124" w:name="_Toc30135"/>
      <w:bookmarkStart w:id="125" w:name="_Toc234382619"/>
      <w:r>
        <w:rPr>
          <w:rFonts w:ascii="宋体" w:hAnsi="宋体"/>
          <w:color w:val="auto"/>
          <w:sz w:val="24"/>
          <w:szCs w:val="24"/>
          <w:highlight w:val="none"/>
        </w:rPr>
        <w:t>4.3 投标文件的修改与撤回</w:t>
      </w:r>
      <w:bookmarkEnd w:id="122"/>
      <w:bookmarkEnd w:id="123"/>
      <w:bookmarkEnd w:id="124"/>
      <w:bookmarkEnd w:id="125"/>
    </w:p>
    <w:p>
      <w:pPr>
        <w:spacing w:line="400" w:lineRule="exact"/>
        <w:ind w:firstLine="480" w:firstLineChars="200"/>
        <w:rPr>
          <w:rFonts w:ascii="宋体" w:hAnsi="宋体"/>
          <w:color w:val="auto"/>
          <w:sz w:val="24"/>
          <w:highlight w:val="none"/>
        </w:rPr>
      </w:pPr>
      <w:r>
        <w:rPr>
          <w:rFonts w:ascii="宋体" w:hAnsi="宋体"/>
          <w:color w:val="auto"/>
          <w:sz w:val="24"/>
          <w:highlight w:val="none"/>
        </w:rPr>
        <w:t>4.3.1 在本章第 2.2.2 项规定的投标截止时间前，投标人可以修改或撤回已递交的投标文件，但应以书面形式通知招标人。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4.3.2 投标人修改或撤回已递交投标文件的书面通知应按照本章第 3.7.3 项的要求签字或盖章。招标人收到书面通知后，向投标人出具签收凭证。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4.3.3 修改的内容为投标文件的组成部分。修改的投标文件应按照本章第3条、第4条规定进行编制、密封、标记和递交，并标明“修改”字样。</w:t>
      </w:r>
    </w:p>
    <w:p>
      <w:pPr>
        <w:pStyle w:val="4"/>
        <w:spacing w:beforeLines="150" w:after="480" w:line="400" w:lineRule="exact"/>
        <w:rPr>
          <w:rFonts w:ascii="宋体" w:hAnsi="宋体"/>
          <w:color w:val="auto"/>
          <w:sz w:val="24"/>
          <w:szCs w:val="24"/>
          <w:highlight w:val="none"/>
        </w:rPr>
      </w:pPr>
      <w:bookmarkStart w:id="126" w:name="_Toc234382620"/>
      <w:bookmarkStart w:id="127" w:name="_Toc486277893"/>
      <w:bookmarkStart w:id="128" w:name="_Toc11058"/>
      <w:bookmarkStart w:id="129" w:name="_Toc485889032"/>
      <w:r>
        <w:rPr>
          <w:rFonts w:ascii="宋体" w:hAnsi="宋体"/>
          <w:color w:val="auto"/>
          <w:sz w:val="24"/>
          <w:szCs w:val="24"/>
          <w:highlight w:val="none"/>
        </w:rPr>
        <w:t>5. 开标</w:t>
      </w:r>
      <w:bookmarkEnd w:id="126"/>
      <w:bookmarkEnd w:id="127"/>
      <w:bookmarkEnd w:id="128"/>
      <w:bookmarkEnd w:id="129"/>
    </w:p>
    <w:p>
      <w:pPr>
        <w:pStyle w:val="4"/>
        <w:spacing w:before="0" w:after="0" w:line="400" w:lineRule="exact"/>
        <w:rPr>
          <w:rFonts w:ascii="宋体" w:hAnsi="宋体"/>
          <w:color w:val="auto"/>
          <w:sz w:val="24"/>
          <w:szCs w:val="24"/>
          <w:highlight w:val="none"/>
        </w:rPr>
      </w:pPr>
      <w:bookmarkStart w:id="130" w:name="_Toc234382622"/>
      <w:bookmarkStart w:id="131" w:name="_Toc485889033"/>
      <w:bookmarkStart w:id="132" w:name="_Toc11150"/>
      <w:bookmarkStart w:id="133" w:name="_Toc486277894"/>
      <w:r>
        <w:rPr>
          <w:rFonts w:ascii="宋体" w:hAnsi="宋体"/>
          <w:color w:val="auto"/>
          <w:sz w:val="24"/>
          <w:szCs w:val="24"/>
          <w:highlight w:val="none"/>
        </w:rPr>
        <w:t>5.1 开标时间和地点</w:t>
      </w:r>
      <w:bookmarkEnd w:id="130"/>
      <w:bookmarkEnd w:id="131"/>
      <w:bookmarkEnd w:id="132"/>
      <w:bookmarkEnd w:id="133"/>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招标人在本章第 2.2.2 项规定的投标截止时间（开标时间）和投标人须知前附表规定的地点</w:t>
      </w:r>
      <w:r>
        <w:rPr>
          <w:rFonts w:hint="eastAsia" w:ascii="宋体" w:hAnsi="宋体"/>
          <w:color w:val="auto"/>
          <w:sz w:val="24"/>
          <w:highlight w:val="none"/>
        </w:rPr>
        <w:t>对收到的投标文件第一个信封（商务及技术文件）</w:t>
      </w:r>
      <w:r>
        <w:rPr>
          <w:rFonts w:ascii="宋体" w:hAnsi="宋体"/>
          <w:color w:val="auto"/>
          <w:sz w:val="24"/>
          <w:highlight w:val="none"/>
        </w:rPr>
        <w:t>公开开标，并邀请所有投标人的法定代表人或其委托代理人准时参加。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招标人在投标人须知前附表规定的时间和地点对投标文件第二个信封（投标报价和工程量清单）进行开标，并邀请所有投标人的法定代表人或其委托代理人准时参加。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投标人若未派法定代表人或委托代理人出席开标活动，视为该投标人默认开标结果。</w:t>
      </w:r>
    </w:p>
    <w:p>
      <w:pPr>
        <w:pStyle w:val="4"/>
        <w:spacing w:beforeLines="50" w:after="0" w:line="400" w:lineRule="exact"/>
        <w:rPr>
          <w:rFonts w:ascii="宋体" w:hAnsi="宋体"/>
          <w:color w:val="auto"/>
          <w:sz w:val="24"/>
          <w:szCs w:val="24"/>
          <w:highlight w:val="none"/>
        </w:rPr>
      </w:pPr>
      <w:bookmarkStart w:id="134" w:name="_Toc486277895"/>
      <w:bookmarkStart w:id="135" w:name="_Toc234382624"/>
      <w:bookmarkStart w:id="136" w:name="_Toc26054"/>
      <w:bookmarkStart w:id="137" w:name="_Toc485889034"/>
      <w:r>
        <w:rPr>
          <w:rFonts w:ascii="宋体" w:hAnsi="宋体"/>
          <w:color w:val="auto"/>
          <w:sz w:val="24"/>
          <w:szCs w:val="24"/>
          <w:highlight w:val="none"/>
        </w:rPr>
        <w:t>5.2 开标程序</w:t>
      </w:r>
      <w:bookmarkEnd w:id="134"/>
      <w:bookmarkEnd w:id="135"/>
      <w:bookmarkEnd w:id="136"/>
      <w:bookmarkEnd w:id="137"/>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5.2.1 </w:t>
      </w:r>
      <w:r>
        <w:rPr>
          <w:rFonts w:ascii="宋体" w:hAnsi="宋体"/>
          <w:color w:val="auto"/>
          <w:sz w:val="24"/>
          <w:highlight w:val="none"/>
        </w:rPr>
        <w:t>主持人按下列程序</w:t>
      </w:r>
      <w:r>
        <w:rPr>
          <w:rFonts w:hint="eastAsia" w:ascii="宋体" w:hAnsi="宋体"/>
          <w:color w:val="auto"/>
          <w:sz w:val="24"/>
          <w:highlight w:val="none"/>
        </w:rPr>
        <w:t>对投标文件第一个信封（商务及技术文件）</w:t>
      </w:r>
      <w:r>
        <w:rPr>
          <w:rFonts w:ascii="宋体" w:hAnsi="宋体"/>
          <w:color w:val="auto"/>
          <w:sz w:val="24"/>
          <w:highlight w:val="none"/>
        </w:rPr>
        <w:t>进行开标：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（2）公布在投标截止时间前递交投标文件的投标人名称，并点名确认投标人是否派人到场；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（4）按照投标人须知前附表规定检查投标文件的密封情况；</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（6）按照宣布的开标顺序当众开标，公布投标人名称、标段名称、投标保证金的递交情况、质量目标、工期及其他内容，并记录在案；</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（8）开标</w:t>
      </w:r>
      <w:r>
        <w:rPr>
          <w:rFonts w:hint="eastAsia" w:ascii="宋体" w:hAnsi="宋体"/>
          <w:color w:val="auto"/>
          <w:sz w:val="24"/>
          <w:highlight w:val="none"/>
        </w:rPr>
        <w:t>会议</w:t>
      </w:r>
      <w:r>
        <w:rPr>
          <w:rFonts w:ascii="宋体" w:hAnsi="宋体"/>
          <w:color w:val="auto"/>
          <w:sz w:val="24"/>
          <w:highlight w:val="none"/>
        </w:rPr>
        <w:t>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5.2.2 若招标人宣读的内容与投标文件不符时，投标人有权在开标现场提出异议，经监标人当场核查确认之后，可重新宣读其投标文件。若投标人现场未提出异议，则认为投标人已确认招标人宣读的内容。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5.2.3 投标文件第二个信封（投标报价和工程量清单）不予开封，并交监标人密封保存。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5.2.4 招标人将按照本章第5.1款规定的时间和地点对投标文件第二个信封（投标报价和工程量清单）进行开标。主持人按下列程序进行开标：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（2）当中拆开投标文件第一个信封（商务及技术文件）评审结果的密封袋，宣布通过投标文件第一个信封（商务及技术文件）评审的投标人名单，并点名确认投标人是否派人到场；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（4）按照投标人须知前附表规定检查投标文件情况；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（6）设有标底的，公布标底；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w:t>
      </w:r>
      <w:r>
        <w:rPr>
          <w:rStyle w:val="14"/>
          <w:rFonts w:ascii="宋体" w:hAnsi="宋体"/>
          <w:color w:val="auto"/>
          <w:sz w:val="24"/>
          <w:highlight w:val="none"/>
        </w:rPr>
        <w:footnoteReference w:id="0"/>
      </w:r>
      <w:r>
        <w:rPr>
          <w:rFonts w:hint="eastAsia" w:ascii="宋体" w:hAnsi="宋体"/>
          <w:color w:val="auto"/>
          <w:sz w:val="24"/>
          <w:highlight w:val="none"/>
        </w:rPr>
        <w:t>及其他内容，并记录在案，将未通过投标文件第一个信封（商务及技术文件）评审的投标文件第二个信封（投标报价和工程量清单）退还给投标人；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（9）开标会议结束。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5.2.5 第二个信封（投标报价和工程量清单）开标过程中，若招标人发现投标文件出现以下任一情况，经监标人确认并当场宣布为废标：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（1）未在投标函上填写投标总价；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（2）投标报价或调价函中的报价超出招标人公布的投标控制价上限（如有）。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5.2.6 若招标人宣读的内容与投标文件不符时，投标人有权在开标现场提出异议，经监标人当场核查确认之后，可重新宣读其投标文件。若投标人现场未提出异议，则认为投标人已确认招标人宣读的内容。</w:t>
      </w:r>
    </w:p>
    <w:p>
      <w:pPr>
        <w:pStyle w:val="4"/>
        <w:spacing w:beforeLines="150" w:after="480" w:line="400" w:lineRule="exact"/>
        <w:rPr>
          <w:rFonts w:ascii="宋体" w:hAnsi="宋体"/>
          <w:color w:val="auto"/>
          <w:sz w:val="24"/>
          <w:szCs w:val="24"/>
          <w:highlight w:val="none"/>
        </w:rPr>
      </w:pPr>
      <w:bookmarkStart w:id="138" w:name="_Toc486277896"/>
      <w:bookmarkStart w:id="139" w:name="_Toc27685"/>
      <w:bookmarkStart w:id="140" w:name="_Toc234382625"/>
      <w:bookmarkStart w:id="141" w:name="_Toc485889035"/>
      <w:r>
        <w:rPr>
          <w:rFonts w:ascii="宋体" w:hAnsi="宋体"/>
          <w:color w:val="auto"/>
          <w:sz w:val="24"/>
          <w:szCs w:val="24"/>
          <w:highlight w:val="none"/>
        </w:rPr>
        <w:t>6. 评标</w:t>
      </w:r>
      <w:bookmarkEnd w:id="138"/>
      <w:bookmarkEnd w:id="139"/>
      <w:bookmarkEnd w:id="140"/>
      <w:bookmarkEnd w:id="141"/>
    </w:p>
    <w:p>
      <w:pPr>
        <w:pStyle w:val="4"/>
        <w:spacing w:before="0" w:after="0" w:line="400" w:lineRule="exact"/>
        <w:rPr>
          <w:rFonts w:ascii="宋体" w:hAnsi="宋体"/>
          <w:color w:val="auto"/>
          <w:sz w:val="24"/>
          <w:szCs w:val="24"/>
          <w:highlight w:val="none"/>
        </w:rPr>
      </w:pPr>
      <w:bookmarkStart w:id="142" w:name="_Toc485889036"/>
      <w:bookmarkStart w:id="143" w:name="_Toc17693"/>
      <w:bookmarkStart w:id="144" w:name="_Toc486277897"/>
      <w:bookmarkStart w:id="145" w:name="_Toc234382626"/>
      <w:r>
        <w:rPr>
          <w:rFonts w:ascii="宋体" w:hAnsi="宋体"/>
          <w:color w:val="auto"/>
          <w:sz w:val="24"/>
          <w:szCs w:val="24"/>
          <w:highlight w:val="none"/>
        </w:rPr>
        <w:t>6.1 评标委员会</w:t>
      </w:r>
      <w:bookmarkEnd w:id="142"/>
      <w:bookmarkEnd w:id="143"/>
      <w:bookmarkEnd w:id="144"/>
      <w:bookmarkEnd w:id="145"/>
    </w:p>
    <w:p>
      <w:pPr>
        <w:spacing w:line="400" w:lineRule="exact"/>
        <w:ind w:firstLine="480" w:firstLineChars="200"/>
        <w:rPr>
          <w:rFonts w:ascii="宋体" w:hAnsi="宋体"/>
          <w:color w:val="auto"/>
          <w:sz w:val="24"/>
          <w:highlight w:val="none"/>
        </w:rPr>
      </w:pPr>
      <w:r>
        <w:rPr>
          <w:rFonts w:ascii="宋体" w:hAnsi="宋体"/>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6.1.2 评标委员会成员有下列情形之一的，应当回避：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（1）招标人或投标人的主要负责人的近亲属；</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（2）项目主管部门或者行政监督部门的人员；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（3）与投标人有经济利益关系，可能影响对投标公正评审的；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（4）曾因在招标、评标以及其他与招标投标有关活动中从事违法行为而受过行政处罚或刑事处罚的。</w:t>
      </w:r>
    </w:p>
    <w:p>
      <w:pPr>
        <w:pStyle w:val="4"/>
        <w:spacing w:beforeLines="50" w:after="0" w:line="400" w:lineRule="exact"/>
        <w:rPr>
          <w:rFonts w:ascii="宋体" w:hAnsi="宋体"/>
          <w:color w:val="auto"/>
          <w:sz w:val="24"/>
          <w:szCs w:val="24"/>
          <w:highlight w:val="none"/>
        </w:rPr>
      </w:pPr>
      <w:bookmarkStart w:id="146" w:name="_Toc485889037"/>
      <w:bookmarkStart w:id="147" w:name="_Toc234382627"/>
      <w:bookmarkStart w:id="148" w:name="_Toc5222"/>
      <w:bookmarkStart w:id="149" w:name="_Toc486277898"/>
      <w:r>
        <w:rPr>
          <w:rFonts w:ascii="宋体" w:hAnsi="宋体"/>
          <w:color w:val="auto"/>
          <w:sz w:val="24"/>
          <w:szCs w:val="24"/>
          <w:highlight w:val="none"/>
        </w:rPr>
        <w:t>6.2 评标原则</w:t>
      </w:r>
      <w:bookmarkEnd w:id="146"/>
      <w:bookmarkEnd w:id="147"/>
      <w:bookmarkEnd w:id="148"/>
      <w:bookmarkEnd w:id="149"/>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评标活动遵循公平、公正、科学和择优的原则。</w:t>
      </w:r>
    </w:p>
    <w:p>
      <w:pPr>
        <w:pStyle w:val="4"/>
        <w:spacing w:beforeLines="50" w:after="0" w:line="400" w:lineRule="exact"/>
        <w:rPr>
          <w:rFonts w:ascii="宋体" w:hAnsi="宋体"/>
          <w:color w:val="auto"/>
          <w:sz w:val="24"/>
          <w:szCs w:val="24"/>
          <w:highlight w:val="none"/>
        </w:rPr>
      </w:pPr>
      <w:bookmarkStart w:id="150" w:name="_Toc31911"/>
      <w:bookmarkStart w:id="151" w:name="_Toc234382628"/>
      <w:bookmarkStart w:id="152" w:name="_Toc486277899"/>
      <w:bookmarkStart w:id="153" w:name="_Toc485889038"/>
      <w:r>
        <w:rPr>
          <w:rFonts w:ascii="宋体" w:hAnsi="宋体"/>
          <w:color w:val="auto"/>
          <w:sz w:val="24"/>
          <w:szCs w:val="24"/>
          <w:highlight w:val="none"/>
        </w:rPr>
        <w:t>6.3 评标</w:t>
      </w:r>
      <w:bookmarkEnd w:id="150"/>
      <w:bookmarkEnd w:id="151"/>
      <w:bookmarkEnd w:id="152"/>
      <w:bookmarkEnd w:id="153"/>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评标委员会按照第三章“评标办法”规定的方法、评审因素、标准和程序对投标文件进行评审。第三章“评标办法”没有规定的方法、评审因素和标准，不作为评标依据。</w:t>
      </w:r>
    </w:p>
    <w:p>
      <w:pPr>
        <w:pStyle w:val="4"/>
        <w:spacing w:beforeLines="150" w:after="480" w:line="400" w:lineRule="exact"/>
        <w:rPr>
          <w:rFonts w:ascii="宋体" w:hAnsi="宋体"/>
          <w:color w:val="auto"/>
          <w:sz w:val="24"/>
          <w:szCs w:val="24"/>
          <w:highlight w:val="none"/>
        </w:rPr>
      </w:pPr>
      <w:bookmarkStart w:id="154" w:name="_Toc21378"/>
      <w:bookmarkStart w:id="155" w:name="_Toc485889039"/>
      <w:bookmarkStart w:id="156" w:name="_Toc234382629"/>
      <w:bookmarkStart w:id="157" w:name="_Toc486277900"/>
      <w:r>
        <w:rPr>
          <w:rFonts w:ascii="宋体" w:hAnsi="宋体"/>
          <w:color w:val="auto"/>
          <w:sz w:val="24"/>
          <w:szCs w:val="24"/>
          <w:highlight w:val="none"/>
        </w:rPr>
        <w:t>7. 合同授予</w:t>
      </w:r>
      <w:bookmarkEnd w:id="154"/>
      <w:bookmarkEnd w:id="155"/>
      <w:bookmarkEnd w:id="156"/>
      <w:bookmarkEnd w:id="157"/>
    </w:p>
    <w:p>
      <w:pPr>
        <w:pStyle w:val="4"/>
        <w:spacing w:before="0" w:after="0" w:line="400" w:lineRule="exact"/>
        <w:rPr>
          <w:rFonts w:ascii="宋体" w:hAnsi="宋体"/>
          <w:color w:val="auto"/>
          <w:sz w:val="24"/>
          <w:szCs w:val="24"/>
          <w:highlight w:val="none"/>
        </w:rPr>
      </w:pPr>
      <w:bookmarkStart w:id="158" w:name="_Toc234382630"/>
      <w:bookmarkStart w:id="159" w:name="_Toc486277901"/>
      <w:bookmarkStart w:id="160" w:name="_Toc10828"/>
      <w:bookmarkStart w:id="161" w:name="_Toc485889040"/>
      <w:r>
        <w:rPr>
          <w:rFonts w:ascii="宋体" w:hAnsi="宋体"/>
          <w:color w:val="auto"/>
          <w:sz w:val="24"/>
          <w:szCs w:val="24"/>
          <w:highlight w:val="none"/>
        </w:rPr>
        <w:t>7.1 定标方式</w:t>
      </w:r>
      <w:bookmarkEnd w:id="158"/>
      <w:bookmarkEnd w:id="159"/>
      <w:bookmarkEnd w:id="160"/>
      <w:bookmarkEnd w:id="161"/>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pStyle w:val="4"/>
        <w:spacing w:beforeLines="50" w:after="0" w:line="400" w:lineRule="exact"/>
        <w:rPr>
          <w:rFonts w:ascii="宋体" w:hAnsi="宋体"/>
          <w:color w:val="auto"/>
          <w:sz w:val="24"/>
          <w:szCs w:val="24"/>
          <w:highlight w:val="none"/>
        </w:rPr>
      </w:pPr>
      <w:bookmarkStart w:id="162" w:name="_Toc485889041"/>
      <w:bookmarkStart w:id="163" w:name="_Toc234382631"/>
      <w:bookmarkStart w:id="164" w:name="_Toc13648"/>
      <w:bookmarkStart w:id="165" w:name="_Toc486277902"/>
      <w:r>
        <w:rPr>
          <w:rFonts w:ascii="宋体" w:hAnsi="宋体"/>
          <w:color w:val="auto"/>
          <w:sz w:val="24"/>
          <w:szCs w:val="24"/>
          <w:highlight w:val="none"/>
        </w:rPr>
        <w:t>7.2 中标通知</w:t>
      </w:r>
      <w:bookmarkEnd w:id="162"/>
      <w:bookmarkEnd w:id="163"/>
      <w:bookmarkEnd w:id="164"/>
      <w:bookmarkEnd w:id="165"/>
    </w:p>
    <w:p>
      <w:pPr>
        <w:spacing w:line="400" w:lineRule="exact"/>
        <w:ind w:firstLine="480" w:firstLineChars="200"/>
        <w:rPr>
          <w:rFonts w:ascii="宋体" w:hAnsi="宋体"/>
          <w:color w:val="auto"/>
          <w:sz w:val="24"/>
          <w:highlight w:val="none"/>
        </w:rPr>
      </w:pPr>
      <w:r>
        <w:rPr>
          <w:rFonts w:ascii="宋体" w:hAnsi="宋体"/>
          <w:color w:val="auto"/>
          <w:sz w:val="24"/>
          <w:highlight w:val="none"/>
        </w:rPr>
        <w:t>在本章第 3.3 款规定的投标有效期内，招标人以书面形式向中标人发出中标通知书，同时将中标结果通知未中标的投标人。</w:t>
      </w:r>
    </w:p>
    <w:p>
      <w:pPr>
        <w:pStyle w:val="4"/>
        <w:spacing w:beforeLines="50" w:after="0" w:line="400" w:lineRule="exact"/>
        <w:rPr>
          <w:rFonts w:ascii="宋体" w:hAnsi="宋体"/>
          <w:color w:val="auto"/>
          <w:sz w:val="24"/>
          <w:szCs w:val="24"/>
          <w:highlight w:val="none"/>
        </w:rPr>
      </w:pPr>
      <w:bookmarkStart w:id="166" w:name="_Toc486277903"/>
      <w:bookmarkStart w:id="167" w:name="_Toc485889042"/>
      <w:bookmarkStart w:id="168" w:name="_Toc16842"/>
      <w:bookmarkStart w:id="169" w:name="_Toc234382633"/>
      <w:r>
        <w:rPr>
          <w:rFonts w:ascii="宋体" w:hAnsi="宋体"/>
          <w:color w:val="auto"/>
          <w:sz w:val="24"/>
          <w:szCs w:val="24"/>
          <w:highlight w:val="none"/>
        </w:rPr>
        <w:t>7.</w:t>
      </w:r>
      <w:r>
        <w:rPr>
          <w:rFonts w:hint="eastAsia" w:ascii="宋体" w:hAnsi="宋体"/>
          <w:color w:val="auto"/>
          <w:sz w:val="24"/>
          <w:szCs w:val="24"/>
          <w:highlight w:val="none"/>
        </w:rPr>
        <w:t>3</w:t>
      </w:r>
      <w:r>
        <w:rPr>
          <w:rFonts w:ascii="宋体" w:hAnsi="宋体"/>
          <w:color w:val="auto"/>
          <w:sz w:val="24"/>
          <w:szCs w:val="24"/>
          <w:highlight w:val="none"/>
        </w:rPr>
        <w:t>签订合同</w:t>
      </w:r>
      <w:bookmarkEnd w:id="166"/>
      <w:bookmarkEnd w:id="167"/>
      <w:bookmarkEnd w:id="168"/>
      <w:bookmarkEnd w:id="169"/>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.2 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7.3.3 签约合同价的确定原则如下：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（1）按照评标办法规定对投标报价进行修正后，若休整后的最终投标报价小于开标时的投标函文字报价，则签订合同时以修正后的最终投标为准；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（2）按照评标办法规定对投标报价进行修正后，若修正后的最终投标报价大于开标时的投标函文字报价，则签订合同时以开标时的投标函文字报价为准，同时按比例修正相应子目的单价或合价。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7.3.5 如果根据本章第3.5.3项（适用于已进行资格预审的）、第3.5.8项（适用于未进行资格预审的）、第7.3.2项或第7.4.1项规定，招标人取消了中标人的中标资格，在此情况下，招标人可将合同授予下一个中标候选人，或者按规定重新组织招标。</w:t>
      </w:r>
    </w:p>
    <w:p>
      <w:pPr>
        <w:autoSpaceDE w:val="0"/>
        <w:autoSpaceDN w:val="0"/>
        <w:jc w:val="left"/>
        <w:outlineLvl w:val="0"/>
        <w:rPr>
          <w:rFonts w:hint="eastAsia" w:ascii="宋体" w:hAnsi="宋体" w:eastAsia="宋体" w:cs="宋体"/>
          <w:b/>
          <w:sz w:val="24"/>
          <w:szCs w:val="22"/>
          <w:lang w:val="en-US" w:eastAsia="zh-CN"/>
        </w:rPr>
      </w:pPr>
      <w:bookmarkStart w:id="170" w:name="_Toc486277904"/>
      <w:bookmarkStart w:id="171" w:name="_Toc16570"/>
      <w:bookmarkStart w:id="172" w:name="_Toc234382634"/>
      <w:bookmarkStart w:id="173" w:name="_Toc485889043"/>
      <w:r>
        <w:rPr>
          <w:rFonts w:hint="eastAsia" w:ascii="宋体" w:hAnsi="宋体" w:eastAsia="宋体" w:cs="宋体"/>
          <w:b/>
          <w:sz w:val="24"/>
          <w:szCs w:val="22"/>
          <w:lang w:val="en-US" w:eastAsia="zh-CN"/>
        </w:rPr>
        <w:t>7.4履约保证金</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7.4.1</w:t>
      </w:r>
      <w:r>
        <w:rPr>
          <w:rFonts w:hint="eastAsia" w:ascii="宋体" w:hAnsi="宋体" w:eastAsia="宋体" w:cs="Times New Roman"/>
          <w:color w:val="auto"/>
          <w:sz w:val="24"/>
          <w:highlight w:val="none"/>
        </w:rPr>
        <w:t xml:space="preserve">履约保证金提交方式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1、以网银、银行转账支票、银行电汇方式提交。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2、现金支票和现金不得作为履约保证金提交方式。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3、中标人必须通过其公司账户按照规定的方式提交，其名称应与中标单位的名称一致。</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7.4.2</w:t>
      </w:r>
      <w:r>
        <w:rPr>
          <w:rFonts w:hint="eastAsia" w:ascii="宋体" w:hAnsi="宋体" w:eastAsia="宋体" w:cs="Times New Roman"/>
          <w:color w:val="auto"/>
          <w:sz w:val="24"/>
          <w:highlight w:val="none"/>
        </w:rPr>
        <w:t xml:space="preserve">履约保证金提交比例和数额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履约保证金数额不得超过中标合同金额的10%。</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7.4.3</w:t>
      </w:r>
      <w:r>
        <w:rPr>
          <w:rFonts w:hint="eastAsia" w:ascii="宋体" w:hAnsi="宋体" w:eastAsia="宋体" w:cs="Times New Roman"/>
          <w:color w:val="auto"/>
          <w:sz w:val="24"/>
          <w:highlight w:val="none"/>
        </w:rPr>
        <w:t xml:space="preserve"> 履约保证金的退还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1、项目完工后，由招标人出具《履约保证金退还通知单》，中心财务凭《履约保证金退还通知单》在五个工作日内退还履约保证金及银行同期活期存款利息至中标人账户。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2、中标人因发生质疑、投诉、举报或有关部门立案调查的，中心依据相关行政监督部门的意见暂停退还或没收其履约保证金，待行政监督部门对相关情况处置后，按照有关规定办理。 </w:t>
      </w:r>
    </w:p>
    <w:p>
      <w:pPr>
        <w:ind w:firstLine="2880" w:firstLineChars="800"/>
        <w:rPr>
          <w:rFonts w:hint="eastAsia" w:ascii="宋体" w:hAnsi="宋体"/>
          <w:sz w:val="36"/>
          <w:szCs w:val="36"/>
        </w:rPr>
      </w:pPr>
      <w:r>
        <w:rPr>
          <w:rFonts w:hint="eastAsia" w:ascii="宋体" w:hAnsi="宋体"/>
          <w:sz w:val="36"/>
          <w:szCs w:val="36"/>
        </w:rPr>
        <w:t>履约保证金退还通知单</w:t>
      </w:r>
    </w:p>
    <w:tbl>
      <w:tblPr>
        <w:tblStyle w:val="1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0"/>
            <w:vAlign w:val="center"/>
          </w:tcPr>
          <w:p>
            <w:pPr>
              <w:spacing w:line="360" w:lineRule="exact"/>
              <w:jc w:val="center"/>
              <w:rPr>
                <w:rFonts w:hint="eastAsia" w:ascii="宋体" w:hAnsi="宋体"/>
                <w:sz w:val="24"/>
              </w:rPr>
            </w:pPr>
            <w:r>
              <w:rPr>
                <w:rFonts w:hint="eastAsia" w:ascii="宋体" w:hAnsi="宋体"/>
                <w:sz w:val="24"/>
              </w:rPr>
              <w:t>项目编号</w:t>
            </w:r>
          </w:p>
        </w:tc>
        <w:tc>
          <w:tcPr>
            <w:tcW w:w="4140" w:type="dxa"/>
            <w:gridSpan w:val="2"/>
            <w:noWrap w:val="0"/>
            <w:vAlign w:val="center"/>
          </w:tcPr>
          <w:p>
            <w:pPr>
              <w:spacing w:line="360" w:lineRule="exact"/>
              <w:jc w:val="center"/>
              <w:rPr>
                <w:rFonts w:hint="eastAsia" w:ascii="宋体" w:hAnsi="宋体"/>
                <w:sz w:val="24"/>
              </w:rPr>
            </w:pPr>
          </w:p>
        </w:tc>
        <w:tc>
          <w:tcPr>
            <w:tcW w:w="1440" w:type="dxa"/>
            <w:gridSpan w:val="2"/>
            <w:noWrap w:val="0"/>
            <w:vAlign w:val="center"/>
          </w:tcPr>
          <w:p>
            <w:pPr>
              <w:spacing w:line="360" w:lineRule="exact"/>
              <w:jc w:val="center"/>
              <w:rPr>
                <w:rFonts w:hint="eastAsia" w:ascii="宋体" w:hAnsi="宋体"/>
                <w:sz w:val="24"/>
              </w:rPr>
            </w:pPr>
            <w:r>
              <w:rPr>
                <w:rFonts w:hint="eastAsia" w:ascii="宋体" w:hAnsi="宋体"/>
                <w:sz w:val="24"/>
              </w:rPr>
              <w:t>是否完工</w:t>
            </w:r>
          </w:p>
        </w:tc>
        <w:tc>
          <w:tcPr>
            <w:tcW w:w="2162" w:type="dxa"/>
            <w:noWrap w:val="0"/>
            <w:vAlign w:val="center"/>
          </w:tcPr>
          <w:p>
            <w:pPr>
              <w:spacing w:line="360" w:lineRule="exact"/>
              <w:ind w:firstLine="240" w:firstLineChars="100"/>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0"/>
            <w:vAlign w:val="center"/>
          </w:tcPr>
          <w:p>
            <w:pPr>
              <w:spacing w:line="360" w:lineRule="exact"/>
              <w:jc w:val="center"/>
              <w:rPr>
                <w:rFonts w:hint="eastAsia" w:ascii="宋体" w:hAnsi="宋体"/>
                <w:sz w:val="24"/>
              </w:rPr>
            </w:pPr>
            <w:r>
              <w:rPr>
                <w:rFonts w:hint="eastAsia" w:ascii="宋体" w:hAnsi="宋体"/>
                <w:sz w:val="24"/>
              </w:rPr>
              <w:t>中标企业名称</w:t>
            </w:r>
          </w:p>
        </w:tc>
        <w:tc>
          <w:tcPr>
            <w:tcW w:w="7742" w:type="dxa"/>
            <w:gridSpan w:val="5"/>
            <w:noWrap w:val="0"/>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0"/>
            <w:vAlign w:val="center"/>
          </w:tcPr>
          <w:p>
            <w:pPr>
              <w:spacing w:line="360" w:lineRule="exact"/>
              <w:ind w:firstLine="480" w:firstLineChars="200"/>
              <w:rPr>
                <w:rFonts w:hint="eastAsia" w:ascii="宋体" w:hAnsi="宋体"/>
                <w:sz w:val="24"/>
              </w:rPr>
            </w:pPr>
            <w:r>
              <w:rPr>
                <w:rFonts w:hint="eastAsia" w:ascii="宋体" w:hAnsi="宋体"/>
                <w:sz w:val="24"/>
              </w:rPr>
              <w:t>开户银行</w:t>
            </w:r>
          </w:p>
        </w:tc>
        <w:tc>
          <w:tcPr>
            <w:tcW w:w="3780" w:type="dxa"/>
            <w:noWrap w:val="0"/>
            <w:vAlign w:val="center"/>
          </w:tcPr>
          <w:p>
            <w:pPr>
              <w:rPr>
                <w:rFonts w:hint="eastAsia" w:ascii="宋体" w:hAnsi="宋体"/>
                <w:sz w:val="24"/>
              </w:rPr>
            </w:pPr>
          </w:p>
        </w:tc>
        <w:tc>
          <w:tcPr>
            <w:tcW w:w="722" w:type="dxa"/>
            <w:gridSpan w:val="2"/>
            <w:noWrap w:val="0"/>
            <w:vAlign w:val="center"/>
          </w:tcPr>
          <w:p>
            <w:pPr>
              <w:spacing w:line="360" w:lineRule="exact"/>
              <w:rPr>
                <w:rFonts w:hint="eastAsia" w:ascii="宋体" w:hAnsi="宋体"/>
                <w:sz w:val="24"/>
              </w:rPr>
            </w:pPr>
            <w:r>
              <w:rPr>
                <w:rFonts w:hint="eastAsia" w:ascii="宋体" w:hAnsi="宋体"/>
                <w:sz w:val="24"/>
              </w:rPr>
              <w:t>账号</w:t>
            </w:r>
          </w:p>
        </w:tc>
        <w:tc>
          <w:tcPr>
            <w:tcW w:w="3240" w:type="dxa"/>
            <w:gridSpan w:val="2"/>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0"/>
            <w:vAlign w:val="center"/>
          </w:tcPr>
          <w:p>
            <w:pPr>
              <w:spacing w:line="360" w:lineRule="exact"/>
              <w:ind w:firstLine="480" w:firstLineChars="200"/>
              <w:rPr>
                <w:rFonts w:hint="eastAsia" w:ascii="宋体" w:hAnsi="宋体"/>
                <w:sz w:val="24"/>
              </w:rPr>
            </w:pPr>
            <w:r>
              <w:rPr>
                <w:rFonts w:hint="eastAsia" w:ascii="宋体" w:hAnsi="宋体"/>
                <w:sz w:val="24"/>
              </w:rPr>
              <w:t>金额</w:t>
            </w:r>
          </w:p>
        </w:tc>
        <w:tc>
          <w:tcPr>
            <w:tcW w:w="7742" w:type="dxa"/>
            <w:gridSpan w:val="5"/>
            <w:noWrap w:val="0"/>
            <w:vAlign w:val="center"/>
          </w:tcPr>
          <w:p>
            <w:pPr>
              <w:spacing w:line="360" w:lineRule="exact"/>
              <w:rPr>
                <w:rFonts w:hint="eastAsia"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0"/>
            <w:vAlign w:val="center"/>
          </w:tcPr>
          <w:p>
            <w:pPr>
              <w:spacing w:line="360" w:lineRule="exact"/>
              <w:jc w:val="center"/>
              <w:rPr>
                <w:rFonts w:hint="eastAsia"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ind w:firstLine="840" w:firstLineChars="350"/>
              <w:rPr>
                <w:rFonts w:hint="eastAsia" w:ascii="宋体" w:hAnsi="宋体"/>
                <w:sz w:val="24"/>
              </w:rPr>
            </w:pPr>
            <w:r>
              <w:rPr>
                <w:rFonts w:hint="eastAsia" w:ascii="宋体" w:hAnsi="宋体"/>
                <w:sz w:val="24"/>
              </w:rPr>
              <w:t>主要负责人签字 ：                           盖  章：</w:t>
            </w:r>
          </w:p>
          <w:p>
            <w:pPr>
              <w:jc w:val="center"/>
              <w:rPr>
                <w:rFonts w:hint="eastAsia" w:ascii="宋体" w:hAnsi="宋体"/>
                <w:sz w:val="24"/>
              </w:rPr>
            </w:pPr>
          </w:p>
          <w:p>
            <w:pPr>
              <w:ind w:right="480" w:firstLine="5880" w:firstLineChars="2450"/>
              <w:rPr>
                <w:rFonts w:hint="eastAsia" w:ascii="宋体" w:hAnsi="宋体"/>
                <w:sz w:val="24"/>
              </w:rPr>
            </w:pPr>
            <w:r>
              <w:rPr>
                <w:rFonts w:hint="eastAsia" w:ascii="宋体" w:hAnsi="宋体"/>
                <w:sz w:val="24"/>
              </w:rPr>
              <w:t>年   月   日</w:t>
            </w:r>
          </w:p>
        </w:tc>
      </w:tr>
    </w:tbl>
    <w:p>
      <w:pPr>
        <w:spacing w:line="400" w:lineRule="exact"/>
        <w:ind w:firstLine="482" w:firstLineChars="200"/>
        <w:rPr>
          <w:rFonts w:ascii="宋体" w:hAnsi="宋体" w:eastAsia="宋体" w:cs="Times New Roman"/>
          <w:b/>
          <w:bCs/>
          <w:color w:val="auto"/>
          <w:kern w:val="44"/>
          <w:sz w:val="24"/>
          <w:szCs w:val="24"/>
          <w:highlight w:val="none"/>
          <w:lang w:val="en-US" w:eastAsia="zh-CN" w:bidi="ar-SA"/>
        </w:rPr>
      </w:pPr>
      <w:r>
        <w:rPr>
          <w:rFonts w:ascii="宋体" w:hAnsi="宋体" w:eastAsia="宋体" w:cs="Times New Roman"/>
          <w:b/>
          <w:bCs/>
          <w:color w:val="auto"/>
          <w:kern w:val="44"/>
          <w:sz w:val="24"/>
          <w:szCs w:val="24"/>
          <w:highlight w:val="none"/>
          <w:lang w:val="en-US" w:eastAsia="zh-CN" w:bidi="ar-SA"/>
        </w:rPr>
        <w:t>8. 重新招标和不再招标</w:t>
      </w:r>
      <w:bookmarkEnd w:id="170"/>
      <w:bookmarkEnd w:id="171"/>
      <w:bookmarkEnd w:id="172"/>
      <w:bookmarkEnd w:id="173"/>
    </w:p>
    <w:p>
      <w:pPr>
        <w:pStyle w:val="4"/>
        <w:spacing w:before="0" w:after="0" w:line="400" w:lineRule="exact"/>
        <w:rPr>
          <w:rFonts w:ascii="宋体" w:hAnsi="宋体"/>
          <w:color w:val="auto"/>
          <w:sz w:val="24"/>
          <w:szCs w:val="24"/>
          <w:highlight w:val="none"/>
        </w:rPr>
      </w:pPr>
      <w:bookmarkStart w:id="174" w:name="_Toc234382635"/>
      <w:bookmarkStart w:id="175" w:name="_Toc4100"/>
      <w:bookmarkStart w:id="176" w:name="_Toc486277905"/>
      <w:bookmarkStart w:id="177" w:name="_Toc485889044"/>
      <w:r>
        <w:rPr>
          <w:rFonts w:ascii="宋体" w:hAnsi="宋体"/>
          <w:color w:val="auto"/>
          <w:sz w:val="24"/>
          <w:szCs w:val="24"/>
          <w:highlight w:val="none"/>
        </w:rPr>
        <w:t>8.1 重新招标</w:t>
      </w:r>
      <w:bookmarkEnd w:id="174"/>
      <w:bookmarkEnd w:id="175"/>
      <w:bookmarkEnd w:id="176"/>
      <w:bookmarkEnd w:id="177"/>
    </w:p>
    <w:p>
      <w:pPr>
        <w:spacing w:line="400" w:lineRule="exact"/>
        <w:ind w:firstLine="480" w:firstLineChars="200"/>
        <w:rPr>
          <w:rFonts w:ascii="宋体" w:hAnsi="宋体"/>
          <w:color w:val="auto"/>
          <w:sz w:val="24"/>
          <w:highlight w:val="none"/>
        </w:rPr>
      </w:pPr>
      <w:r>
        <w:rPr>
          <w:rFonts w:ascii="宋体" w:hAnsi="宋体"/>
          <w:color w:val="auto"/>
          <w:sz w:val="24"/>
          <w:highlight w:val="none"/>
        </w:rPr>
        <w:t>有下列情形之一的，招标人将重新招标：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（1）投标截止时间止，投标人少于3个的；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（2）经评标委员会评审后否决所有投标的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（3）中标候选人均未与招标人签订合同的；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（4）法律规定的其他情形。</w:t>
      </w:r>
    </w:p>
    <w:p>
      <w:pPr>
        <w:pStyle w:val="4"/>
        <w:spacing w:beforeLines="50" w:after="0" w:line="400" w:lineRule="exact"/>
        <w:rPr>
          <w:rFonts w:ascii="宋体" w:hAnsi="宋体"/>
          <w:color w:val="auto"/>
          <w:sz w:val="24"/>
          <w:szCs w:val="24"/>
          <w:highlight w:val="none"/>
        </w:rPr>
      </w:pPr>
      <w:bookmarkStart w:id="178" w:name="_Toc234382636"/>
      <w:bookmarkStart w:id="179" w:name="_Toc485889045"/>
      <w:bookmarkStart w:id="180" w:name="_Toc486277906"/>
      <w:bookmarkStart w:id="181" w:name="_Toc21063"/>
      <w:r>
        <w:rPr>
          <w:rFonts w:ascii="宋体" w:hAnsi="宋体"/>
          <w:color w:val="auto"/>
          <w:sz w:val="24"/>
          <w:szCs w:val="24"/>
          <w:highlight w:val="none"/>
        </w:rPr>
        <w:t>8.2 不再招标</w:t>
      </w:r>
      <w:bookmarkEnd w:id="178"/>
      <w:bookmarkEnd w:id="179"/>
      <w:bookmarkEnd w:id="180"/>
      <w:bookmarkEnd w:id="181"/>
    </w:p>
    <w:p>
      <w:pPr>
        <w:spacing w:line="400" w:lineRule="exact"/>
        <w:ind w:firstLine="480" w:firstLineChars="200"/>
        <w:rPr>
          <w:rFonts w:ascii="宋体" w:hAnsi="宋体"/>
          <w:color w:val="auto"/>
          <w:sz w:val="24"/>
          <w:highlight w:val="none"/>
        </w:rPr>
      </w:pPr>
      <w:r>
        <w:rPr>
          <w:rFonts w:ascii="宋体" w:hAnsi="宋体"/>
          <w:color w:val="auto"/>
          <w:sz w:val="24"/>
          <w:highlight w:val="none"/>
        </w:rPr>
        <w:t>重新招标后投标人仍少于3 个或者所有投标被否决的，属于必须审批或核准的工程建设项目，经原审批或核准部门批准后不再进行招标。</w:t>
      </w:r>
    </w:p>
    <w:p>
      <w:pPr>
        <w:pStyle w:val="4"/>
        <w:spacing w:beforeLines="150" w:after="480" w:line="400" w:lineRule="exact"/>
        <w:rPr>
          <w:rFonts w:ascii="宋体" w:hAnsi="宋体"/>
          <w:color w:val="auto"/>
          <w:sz w:val="24"/>
          <w:szCs w:val="24"/>
          <w:highlight w:val="none"/>
        </w:rPr>
      </w:pPr>
      <w:bookmarkStart w:id="182" w:name="_Toc485889046"/>
      <w:bookmarkStart w:id="183" w:name="_Toc32202"/>
      <w:bookmarkStart w:id="184" w:name="_Toc486277907"/>
      <w:bookmarkStart w:id="185" w:name="_Toc234382637"/>
      <w:r>
        <w:rPr>
          <w:rFonts w:ascii="宋体" w:hAnsi="宋体"/>
          <w:color w:val="auto"/>
          <w:sz w:val="24"/>
          <w:szCs w:val="24"/>
          <w:highlight w:val="none"/>
        </w:rPr>
        <w:t>9. 纪律和监督</w:t>
      </w:r>
      <w:bookmarkEnd w:id="182"/>
      <w:bookmarkEnd w:id="183"/>
      <w:bookmarkEnd w:id="184"/>
      <w:bookmarkEnd w:id="185"/>
    </w:p>
    <w:p>
      <w:pPr>
        <w:pStyle w:val="4"/>
        <w:spacing w:before="0" w:after="0" w:line="400" w:lineRule="exact"/>
        <w:rPr>
          <w:rFonts w:ascii="宋体" w:hAnsi="宋体"/>
          <w:color w:val="auto"/>
          <w:sz w:val="24"/>
          <w:szCs w:val="24"/>
          <w:highlight w:val="none"/>
        </w:rPr>
      </w:pPr>
      <w:bookmarkStart w:id="186" w:name="_Toc234382638"/>
      <w:bookmarkStart w:id="187" w:name="_Toc23625"/>
      <w:bookmarkStart w:id="188" w:name="_Toc485889047"/>
      <w:bookmarkStart w:id="189" w:name="_Toc486277908"/>
      <w:r>
        <w:rPr>
          <w:rFonts w:ascii="宋体" w:hAnsi="宋体"/>
          <w:color w:val="auto"/>
          <w:sz w:val="24"/>
          <w:szCs w:val="24"/>
          <w:highlight w:val="none"/>
        </w:rPr>
        <w:t>9.1 对招标人的纪律要求</w:t>
      </w:r>
      <w:bookmarkEnd w:id="186"/>
      <w:bookmarkEnd w:id="187"/>
      <w:bookmarkEnd w:id="188"/>
      <w:bookmarkEnd w:id="189"/>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招标人不得泄漏招标投标活动中应当保密的情况和资料，不得与投标人串通损害国家利益、社会公共利益或者他人合法权益。</w:t>
      </w:r>
    </w:p>
    <w:p>
      <w:pPr>
        <w:pStyle w:val="4"/>
        <w:spacing w:beforeLines="50" w:after="0" w:line="400" w:lineRule="exact"/>
        <w:rPr>
          <w:rFonts w:ascii="宋体" w:hAnsi="宋体"/>
          <w:color w:val="auto"/>
          <w:sz w:val="24"/>
          <w:szCs w:val="24"/>
          <w:highlight w:val="none"/>
        </w:rPr>
      </w:pPr>
      <w:bookmarkStart w:id="190" w:name="_Toc486277909"/>
      <w:bookmarkStart w:id="191" w:name="_Toc485889048"/>
      <w:bookmarkStart w:id="192" w:name="_Toc234382639"/>
      <w:bookmarkStart w:id="193" w:name="_Toc13796"/>
      <w:r>
        <w:rPr>
          <w:rFonts w:ascii="宋体" w:hAnsi="宋体"/>
          <w:color w:val="auto"/>
          <w:sz w:val="24"/>
          <w:szCs w:val="24"/>
          <w:highlight w:val="none"/>
        </w:rPr>
        <w:t>9.2 对投标人的纪律要求</w:t>
      </w:r>
      <w:bookmarkEnd w:id="190"/>
      <w:bookmarkEnd w:id="191"/>
      <w:bookmarkEnd w:id="192"/>
      <w:bookmarkEnd w:id="193"/>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50" w:after="0" w:line="400" w:lineRule="exact"/>
        <w:rPr>
          <w:rFonts w:ascii="宋体" w:hAnsi="宋体"/>
          <w:color w:val="auto"/>
          <w:sz w:val="24"/>
          <w:szCs w:val="24"/>
          <w:highlight w:val="none"/>
        </w:rPr>
      </w:pPr>
      <w:bookmarkStart w:id="194" w:name="_Toc234382640"/>
      <w:bookmarkStart w:id="195" w:name="_Toc485889049"/>
      <w:bookmarkStart w:id="196" w:name="_Toc486277910"/>
      <w:bookmarkStart w:id="197" w:name="_Toc16702"/>
      <w:r>
        <w:rPr>
          <w:rFonts w:ascii="宋体" w:hAnsi="宋体"/>
          <w:color w:val="auto"/>
          <w:sz w:val="24"/>
          <w:szCs w:val="24"/>
          <w:highlight w:val="none"/>
        </w:rPr>
        <w:t>9.3 对评标委员会成员的纪律要求</w:t>
      </w:r>
      <w:bookmarkEnd w:id="194"/>
      <w:bookmarkEnd w:id="195"/>
      <w:bookmarkEnd w:id="196"/>
      <w:bookmarkEnd w:id="197"/>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50" w:after="0" w:line="400" w:lineRule="exact"/>
        <w:rPr>
          <w:rFonts w:ascii="宋体" w:hAnsi="宋体"/>
          <w:color w:val="auto"/>
          <w:sz w:val="24"/>
          <w:szCs w:val="24"/>
          <w:highlight w:val="none"/>
        </w:rPr>
      </w:pPr>
      <w:bookmarkStart w:id="198" w:name="_Toc234382641"/>
      <w:bookmarkStart w:id="199" w:name="_Toc486277911"/>
      <w:bookmarkStart w:id="200" w:name="_Toc485889050"/>
      <w:bookmarkStart w:id="201" w:name="_Toc12383"/>
      <w:r>
        <w:rPr>
          <w:rFonts w:ascii="宋体" w:hAnsi="宋体"/>
          <w:color w:val="auto"/>
          <w:sz w:val="24"/>
          <w:szCs w:val="24"/>
          <w:highlight w:val="none"/>
        </w:rPr>
        <w:t>9.4 对与评标活动有关的工作人员的纪律要求</w:t>
      </w:r>
      <w:bookmarkEnd w:id="198"/>
      <w:bookmarkEnd w:id="199"/>
      <w:bookmarkEnd w:id="200"/>
      <w:bookmarkEnd w:id="201"/>
    </w:p>
    <w:p>
      <w:pPr>
        <w:spacing w:line="400" w:lineRule="exact"/>
        <w:ind w:firstLine="480" w:firstLineChars="200"/>
        <w:rPr>
          <w:rFonts w:ascii="宋体" w:hAnsi="宋体"/>
          <w:color w:val="auto"/>
          <w:sz w:val="24"/>
          <w:highlight w:val="none"/>
        </w:rPr>
      </w:pPr>
      <w:r>
        <w:rPr>
          <w:rFonts w:ascii="宋体" w:hAnsi="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beforeLines="50" w:after="0" w:line="400" w:lineRule="exact"/>
        <w:rPr>
          <w:rFonts w:ascii="宋体" w:hAnsi="宋体"/>
          <w:color w:val="auto"/>
          <w:sz w:val="24"/>
          <w:szCs w:val="24"/>
          <w:highlight w:val="none"/>
        </w:rPr>
      </w:pPr>
      <w:bookmarkStart w:id="202" w:name="_Toc234382642"/>
      <w:bookmarkStart w:id="203" w:name="_Toc485889051"/>
      <w:bookmarkStart w:id="204" w:name="_Toc486277912"/>
      <w:bookmarkStart w:id="205" w:name="_Toc25179"/>
      <w:r>
        <w:rPr>
          <w:rFonts w:ascii="宋体" w:hAnsi="宋体"/>
          <w:color w:val="auto"/>
          <w:sz w:val="24"/>
          <w:szCs w:val="24"/>
          <w:highlight w:val="none"/>
        </w:rPr>
        <w:t>9.5 投诉</w:t>
      </w:r>
      <w:bookmarkEnd w:id="202"/>
      <w:bookmarkEnd w:id="203"/>
      <w:bookmarkEnd w:id="204"/>
      <w:bookmarkEnd w:id="205"/>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投标人和其他利害关系人认为本次招标活动违反法律、法规和规章规定的，有权向有关行政监督部门投诉。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监督部门的联系方式见投标人须知前附表。</w:t>
      </w:r>
    </w:p>
    <w:p>
      <w:pPr>
        <w:pStyle w:val="4"/>
        <w:spacing w:beforeLines="150" w:after="480" w:line="400" w:lineRule="exact"/>
        <w:rPr>
          <w:rFonts w:ascii="宋体" w:hAnsi="宋体"/>
          <w:color w:val="auto"/>
          <w:sz w:val="24"/>
          <w:szCs w:val="24"/>
          <w:highlight w:val="none"/>
        </w:rPr>
      </w:pPr>
      <w:bookmarkStart w:id="206" w:name="_Toc486277913"/>
      <w:bookmarkStart w:id="207" w:name="_Toc30072"/>
      <w:bookmarkStart w:id="208" w:name="_Toc485889052"/>
      <w:bookmarkStart w:id="209" w:name="_Toc234382643"/>
      <w:r>
        <w:rPr>
          <w:rFonts w:ascii="宋体" w:hAnsi="宋体"/>
          <w:color w:val="auto"/>
          <w:sz w:val="24"/>
          <w:szCs w:val="24"/>
          <w:highlight w:val="none"/>
        </w:rPr>
        <w:t>10. 需要补充的其他内容</w:t>
      </w:r>
      <w:bookmarkEnd w:id="206"/>
      <w:bookmarkEnd w:id="207"/>
      <w:bookmarkEnd w:id="208"/>
      <w:bookmarkEnd w:id="209"/>
    </w:p>
    <w:p>
      <w:pPr>
        <w:spacing w:line="400" w:lineRule="exact"/>
        <w:ind w:firstLine="480" w:firstLineChars="200"/>
        <w:rPr>
          <w:rFonts w:ascii="宋体" w:hAnsi="宋体"/>
          <w:color w:val="auto"/>
          <w:sz w:val="24"/>
          <w:highlight w:val="none"/>
        </w:rPr>
      </w:pPr>
      <w:r>
        <w:rPr>
          <w:rFonts w:ascii="宋体" w:hAnsi="宋体"/>
          <w:color w:val="auto"/>
          <w:sz w:val="24"/>
          <w:highlight w:val="none"/>
        </w:rPr>
        <w:t>需要补充的其他内容：见投标人须知前附表。</w:t>
      </w:r>
    </w:p>
    <w:p>
      <w:pPr>
        <w:rPr>
          <w:rFonts w:ascii="宋体" w:hAnsi="宋体"/>
          <w:color w:val="auto"/>
          <w:sz w:val="24"/>
          <w:highlight w:val="none"/>
        </w:rPr>
      </w:pPr>
      <w:bookmarkStart w:id="210" w:name="_Toc234382644"/>
    </w:p>
    <w:bookmarkEnd w:id="210"/>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1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lang w:val="en-US" w:eastAsia="zh-CN"/>
              </w:rPr>
              <w:t>建安建工公字〔2019〕46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河街乡、五女店镇农村道路建设工程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 xml:space="preserve">                   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贰万元整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20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3"/>
                <w:rFonts w:hint="eastAsia" w:ascii="仿宋_GB2312" w:hAnsi="宋体" w:eastAsia="仿宋_GB2312" w:cs="宋体"/>
                <w:sz w:val="24"/>
              </w:rPr>
              <w:t>http://221.14.6.70:8088/ggzy</w:t>
            </w:r>
            <w:r>
              <w:rPr>
                <w:rStyle w:val="1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tbl>
      <w:tblPr>
        <w:tblStyle w:val="1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lang w:val="en-US" w:eastAsia="zh-CN"/>
              </w:rPr>
              <w:t>建安建工公字〔2019〕46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河街乡、五女店镇农村道路建设工程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 xml:space="preserve">                   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叁万元整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30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3"/>
                <w:rFonts w:hint="eastAsia" w:ascii="仿宋_GB2312" w:hAnsi="宋体" w:eastAsia="仿宋_GB2312" w:cs="宋体"/>
                <w:sz w:val="24"/>
              </w:rPr>
              <w:t>http://221.14.6.70:8088/ggzy</w:t>
            </w:r>
            <w:r>
              <w:rPr>
                <w:rStyle w:val="1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hint="eastAsia"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spacing w:afterLines="50" w:line="440" w:lineRule="exact"/>
        <w:rPr>
          <w:rFonts w:hint="eastAsia" w:ascii="黑体" w:eastAsia="黑体"/>
          <w:b/>
          <w:color w:val="auto"/>
          <w:sz w:val="24"/>
          <w:highlight w:val="none"/>
        </w:rPr>
      </w:pPr>
    </w:p>
    <w:p>
      <w:pPr>
        <w:pStyle w:val="2"/>
        <w:rPr>
          <w:rFonts w:hint="eastAsia"/>
        </w:rPr>
      </w:pPr>
    </w:p>
    <w:p>
      <w:pPr>
        <w:spacing w:afterLines="50" w:line="440" w:lineRule="exact"/>
        <w:rPr>
          <w:rFonts w:ascii="黑体" w:eastAsia="黑体"/>
          <w:b/>
          <w:color w:val="auto"/>
          <w:sz w:val="24"/>
          <w:highlight w:val="none"/>
        </w:rPr>
      </w:pPr>
      <w:r>
        <w:rPr>
          <w:rFonts w:hint="eastAsia" w:ascii="黑体" w:eastAsia="黑体"/>
          <w:b/>
          <w:color w:val="auto"/>
          <w:sz w:val="24"/>
          <w:highlight w:val="none"/>
        </w:rPr>
        <w:t>附表二：提交证件及业绩格式</w:t>
      </w:r>
    </w:p>
    <w:p>
      <w:pPr>
        <w:spacing w:afterLines="50" w:line="440" w:lineRule="exact"/>
        <w:ind w:firstLine="562" w:firstLineChars="200"/>
        <w:rPr>
          <w:rFonts w:ascii="新宋体" w:hAnsi="新宋体" w:eastAsia="新宋体"/>
          <w:color w:val="auto"/>
          <w:sz w:val="28"/>
          <w:szCs w:val="28"/>
          <w:highlight w:val="none"/>
        </w:rPr>
      </w:pPr>
      <w:r>
        <w:rPr>
          <w:rFonts w:hint="eastAsia" w:ascii="新宋体" w:hAnsi="新宋体" w:eastAsia="新宋体"/>
          <w:b/>
          <w:color w:val="auto"/>
          <w:sz w:val="28"/>
          <w:szCs w:val="28"/>
          <w:highlight w:val="none"/>
          <w:u w:val="single"/>
        </w:rPr>
        <w:t xml:space="preserve">                        </w:t>
      </w:r>
      <w:r>
        <w:rPr>
          <w:rFonts w:hint="eastAsia" w:ascii="新宋体" w:hAnsi="新宋体" w:eastAsia="新宋体"/>
          <w:b/>
          <w:color w:val="auto"/>
          <w:sz w:val="28"/>
          <w:szCs w:val="28"/>
          <w:highlight w:val="none"/>
        </w:rPr>
        <w:t>工程提交证件及业绩提交及领取一览表</w:t>
      </w:r>
    </w:p>
    <w:tbl>
      <w:tblPr>
        <w:tblStyle w:val="10"/>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49"/>
        <w:gridCol w:w="77"/>
        <w:gridCol w:w="3320"/>
        <w:gridCol w:w="1380"/>
        <w:gridCol w:w="795"/>
        <w:gridCol w:w="219"/>
        <w:gridCol w:w="8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3" w:type="dxa"/>
            <w:gridSpan w:val="2"/>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w:t>
            </w:r>
          </w:p>
        </w:tc>
        <w:tc>
          <w:tcPr>
            <w:tcW w:w="4777" w:type="dxa"/>
            <w:gridSpan w:val="3"/>
            <w:vAlign w:val="center"/>
          </w:tcPr>
          <w:p>
            <w:pPr>
              <w:ind w:firstLine="420" w:firstLineChars="200"/>
              <w:jc w:val="center"/>
              <w:rPr>
                <w:rFonts w:ascii="新宋体" w:hAnsi="新宋体" w:eastAsia="新宋体"/>
                <w:b/>
                <w:color w:val="auto"/>
                <w:szCs w:val="21"/>
                <w:highlight w:val="none"/>
              </w:rPr>
            </w:pPr>
            <w:r>
              <w:rPr>
                <w:rFonts w:hint="eastAsia" w:ascii="新宋体" w:hAnsi="新宋体" w:eastAsia="新宋体"/>
                <w:color w:val="auto"/>
                <w:szCs w:val="21"/>
                <w:highlight w:val="none"/>
              </w:rPr>
              <w:t xml:space="preserve">                            </w:t>
            </w:r>
            <w:r>
              <w:rPr>
                <w:rFonts w:hint="eastAsia" w:ascii="新宋体" w:hAnsi="新宋体" w:eastAsia="新宋体"/>
                <w:b/>
                <w:color w:val="auto"/>
                <w:szCs w:val="21"/>
                <w:highlight w:val="none"/>
              </w:rPr>
              <w:t>（盖章）</w:t>
            </w:r>
          </w:p>
        </w:tc>
        <w:tc>
          <w:tcPr>
            <w:tcW w:w="795"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联系电话</w:t>
            </w:r>
          </w:p>
        </w:tc>
        <w:tc>
          <w:tcPr>
            <w:tcW w:w="1832" w:type="dxa"/>
            <w:gridSpan w:val="3"/>
            <w:vAlign w:val="center"/>
          </w:tcPr>
          <w:p>
            <w:pPr>
              <w:ind w:firstLine="422" w:firstLineChars="200"/>
              <w:jc w:val="center"/>
              <w:rPr>
                <w:rFonts w:ascii="新宋体" w:hAnsi="新宋体" w:eastAsia="新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序号</w:t>
            </w:r>
          </w:p>
        </w:tc>
        <w:tc>
          <w:tcPr>
            <w:tcW w:w="6940" w:type="dxa"/>
            <w:gridSpan w:val="6"/>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证件名称</w:t>
            </w:r>
          </w:p>
        </w:tc>
        <w:tc>
          <w:tcPr>
            <w:tcW w:w="813"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份数</w:t>
            </w:r>
          </w:p>
        </w:tc>
        <w:tc>
          <w:tcPr>
            <w:tcW w:w="800"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提交及归还时间</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提交时间：    年  月   日   时</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投标单位授权委托人</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提交人签字：</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招标人或代理机构</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签收人签字：</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发放人签字：</w:t>
            </w:r>
          </w:p>
        </w:tc>
      </w:tr>
    </w:tbl>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注：</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1、投标人向评标委员会提交的所有证书及相关材料应打印目录并加盖公章；</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2、提交时按该目录对照核查，未打印到目录上的证件经双方共同签字予以接收，目录上有而证件原件中没有的经招标代理机构和投标人双方确认后，共同签字取消该项。</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3、招标人或委托的代理机构和投标单位委托人双方对照目录核查后，由双方签字确认。</w:t>
      </w:r>
    </w:p>
    <w:p>
      <w:pPr>
        <w:pStyle w:val="4"/>
        <w:spacing w:beforeLines="50" w:after="0" w:line="400" w:lineRule="exact"/>
        <w:rPr>
          <w:rFonts w:ascii="黑体" w:hAnsi="宋体" w:eastAsia="黑体"/>
          <w:color w:val="auto"/>
          <w:sz w:val="24"/>
          <w:szCs w:val="24"/>
          <w:highlight w:val="none"/>
          <w:vertAlign w:val="superscript"/>
        </w:rPr>
      </w:pPr>
      <w:r>
        <w:rPr>
          <w:rFonts w:hint="eastAsia" w:ascii="新宋体" w:hAnsi="新宋体" w:eastAsia="新宋体"/>
          <w:b w:val="0"/>
          <w:bCs w:val="0"/>
          <w:color w:val="auto"/>
          <w:kern w:val="2"/>
          <w:sz w:val="21"/>
          <w:szCs w:val="21"/>
          <w:highlight w:val="none"/>
        </w:rPr>
        <w:t xml:space="preserve">    </w:t>
      </w:r>
      <w:bookmarkStart w:id="211" w:name="_Toc486277914"/>
      <w:bookmarkStart w:id="212" w:name="_Toc485889053"/>
      <w:bookmarkStart w:id="213" w:name="_Toc2916"/>
      <w:r>
        <w:rPr>
          <w:rFonts w:hint="eastAsia" w:ascii="新宋体" w:hAnsi="新宋体" w:eastAsia="新宋体"/>
          <w:b w:val="0"/>
          <w:bCs w:val="0"/>
          <w:color w:val="auto"/>
          <w:kern w:val="2"/>
          <w:sz w:val="21"/>
          <w:szCs w:val="21"/>
          <w:highlight w:val="none"/>
        </w:rPr>
        <w:t>4、评标委员会依法成立后，不再接受投标人任何材料。</w:t>
      </w:r>
      <w:r>
        <w:rPr>
          <w:rFonts w:hint="eastAsia" w:ascii="黑体" w:hAnsi="宋体" w:eastAsia="黑体"/>
          <w:color w:val="auto"/>
          <w:sz w:val="24"/>
          <w:szCs w:val="24"/>
          <w:highlight w:val="none"/>
        </w:rPr>
        <w:br w:type="page"/>
      </w:r>
      <w:r>
        <w:rPr>
          <w:rFonts w:hint="eastAsia" w:ascii="黑体" w:hAnsi="宋体" w:eastAsia="黑体"/>
          <w:color w:val="auto"/>
          <w:sz w:val="24"/>
          <w:szCs w:val="24"/>
          <w:highlight w:val="none"/>
        </w:rPr>
        <w:t>附表三：开标记录表</w:t>
      </w:r>
      <w:bookmarkEnd w:id="211"/>
      <w:bookmarkEnd w:id="212"/>
      <w:bookmarkEnd w:id="213"/>
    </w:p>
    <w:p>
      <w:pPr>
        <w:rPr>
          <w:rFonts w:ascii="宋体" w:hAnsi="宋体"/>
          <w:color w:val="auto"/>
          <w:sz w:val="24"/>
          <w:highlight w:val="none"/>
        </w:rPr>
      </w:pPr>
    </w:p>
    <w:p>
      <w:pPr>
        <w:pStyle w:val="4"/>
        <w:spacing w:beforeLines="50" w:afterLines="50" w:line="40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u w:val="single"/>
        </w:rPr>
        <w:t xml:space="preserve">      </w:t>
      </w:r>
      <w:bookmarkStart w:id="214" w:name="_Toc486277915"/>
      <w:bookmarkStart w:id="215" w:name="_Toc234382645"/>
      <w:bookmarkStart w:id="216" w:name="_Toc485889054"/>
      <w:bookmarkStart w:id="217" w:name="_Toc15502"/>
      <w:r>
        <w:rPr>
          <w:rFonts w:ascii="黑体" w:hAnsi="宋体" w:eastAsia="黑体"/>
          <w:color w:val="auto"/>
          <w:sz w:val="28"/>
          <w:szCs w:val="28"/>
          <w:highlight w:val="none"/>
        </w:rPr>
        <w:t>（项目名称）</w:t>
      </w:r>
      <w:r>
        <w:rPr>
          <w:rFonts w:hint="eastAsia" w:ascii="黑体" w:hAnsi="宋体" w:eastAsia="黑体"/>
          <w:color w:val="auto"/>
          <w:sz w:val="28"/>
          <w:szCs w:val="28"/>
          <w:highlight w:val="none"/>
          <w:u w:val="single"/>
        </w:rPr>
        <w:t xml:space="preserve">    </w:t>
      </w:r>
      <w:r>
        <w:rPr>
          <w:rFonts w:ascii="黑体" w:hAnsi="宋体" w:eastAsia="黑体"/>
          <w:color w:val="auto"/>
          <w:sz w:val="28"/>
          <w:szCs w:val="28"/>
          <w:highlight w:val="none"/>
        </w:rPr>
        <w:t>标段施工开标记录表</w:t>
      </w:r>
      <w:bookmarkEnd w:id="214"/>
      <w:bookmarkEnd w:id="215"/>
      <w:bookmarkEnd w:id="216"/>
      <w:bookmarkEnd w:id="217"/>
    </w:p>
    <w:p>
      <w:pPr>
        <w:jc w:val="right"/>
        <w:rPr>
          <w:rFonts w:ascii="宋体" w:hAnsi="宋体"/>
          <w:color w:val="auto"/>
          <w:sz w:val="24"/>
          <w:highlight w:val="none"/>
        </w:rPr>
      </w:pPr>
      <w:r>
        <w:rPr>
          <w:rFonts w:ascii="宋体" w:hAnsi="宋体"/>
          <w:color w:val="auto"/>
          <w:sz w:val="24"/>
          <w:highlight w:val="none"/>
        </w:rPr>
        <w:t>开标时间：</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w:t>
      </w:r>
      <w:r>
        <w:rPr>
          <w:rFonts w:hint="eastAsia" w:ascii="宋体" w:hAnsi="宋体"/>
          <w:color w:val="auto"/>
          <w:sz w:val="24"/>
          <w:highlight w:val="none"/>
          <w:u w:val="single"/>
        </w:rPr>
        <w:t xml:space="preserve">    </w:t>
      </w:r>
      <w:r>
        <w:rPr>
          <w:rFonts w:ascii="宋体" w:hAnsi="宋体"/>
          <w:color w:val="auto"/>
          <w:sz w:val="24"/>
          <w:highlight w:val="none"/>
        </w:rPr>
        <w:t>分</w:t>
      </w:r>
    </w:p>
    <w:tbl>
      <w:tblPr>
        <w:tblStyle w:val="10"/>
        <w:tblW w:w="90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1"/>
        <w:gridCol w:w="1012"/>
        <w:gridCol w:w="1012"/>
        <w:gridCol w:w="1289"/>
        <w:gridCol w:w="1253"/>
        <w:gridCol w:w="1401"/>
        <w:gridCol w:w="1032"/>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1"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投标人</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送达情况</w:t>
            </w: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zCs w:val="21"/>
                <w:highlight w:val="none"/>
              </w:rPr>
            </w:pPr>
            <w:r>
              <w:rPr>
                <w:rFonts w:hint="eastAsia" w:ascii="宋体" w:hAnsi="宋体"/>
                <w:color w:val="auto"/>
                <w:szCs w:val="21"/>
                <w:highlight w:val="none"/>
              </w:rPr>
              <w:t>（元）</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是否超过投标控制价上限</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4324"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招标人编制的标底或投标控制价上限（如有）</w:t>
            </w:r>
          </w:p>
        </w:tc>
        <w:tc>
          <w:tcPr>
            <w:tcW w:w="1253"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r>
    </w:tbl>
    <w:p>
      <w:pPr>
        <w:rPr>
          <w:rFonts w:ascii="宋体" w:hAnsi="宋体"/>
          <w:color w:val="auto"/>
          <w:sz w:val="24"/>
          <w:highlight w:val="none"/>
        </w:rPr>
      </w:pPr>
    </w:p>
    <w:p>
      <w:pPr>
        <w:rPr>
          <w:rFonts w:ascii="宋体" w:hAnsi="宋体"/>
          <w:color w:val="auto"/>
          <w:sz w:val="24"/>
          <w:highlight w:val="none"/>
          <w:u w:val="single"/>
        </w:rPr>
      </w:pPr>
      <w:r>
        <w:rPr>
          <w:rFonts w:ascii="宋体" w:hAnsi="宋体"/>
          <w:color w:val="auto"/>
          <w:sz w:val="24"/>
          <w:highlight w:val="none"/>
        </w:rPr>
        <w:t>招标人代表：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记录人：</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监标人：</w:t>
      </w:r>
      <w:r>
        <w:rPr>
          <w:rFonts w:hint="eastAsia" w:ascii="宋体" w:hAnsi="宋体"/>
          <w:color w:val="auto"/>
          <w:sz w:val="24"/>
          <w:highlight w:val="none"/>
          <w:u w:val="single"/>
        </w:rPr>
        <w:t xml:space="preserve">          </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黑体" w:hAnsi="宋体" w:eastAsia="黑体"/>
          <w:b/>
          <w:color w:val="auto"/>
          <w:sz w:val="24"/>
          <w:highlight w:val="none"/>
        </w:rPr>
      </w:pPr>
      <w:r>
        <w:rPr>
          <w:rFonts w:ascii="宋体" w:hAnsi="宋体"/>
          <w:color w:val="auto"/>
          <w:sz w:val="24"/>
          <w:highlight w:val="none"/>
        </w:rPr>
        <w:br w:type="page"/>
      </w:r>
      <w:bookmarkStart w:id="218" w:name="_Toc234382646"/>
      <w:r>
        <w:rPr>
          <w:rFonts w:ascii="黑体" w:hAnsi="宋体" w:eastAsia="黑体"/>
          <w:b/>
          <w:color w:val="auto"/>
          <w:sz w:val="24"/>
          <w:highlight w:val="none"/>
        </w:rPr>
        <w:t>附表</w:t>
      </w:r>
      <w:r>
        <w:rPr>
          <w:rFonts w:hint="eastAsia" w:ascii="黑体" w:hAnsi="宋体" w:eastAsia="黑体"/>
          <w:b/>
          <w:color w:val="auto"/>
          <w:sz w:val="24"/>
          <w:highlight w:val="none"/>
        </w:rPr>
        <w:t>四</w:t>
      </w:r>
      <w:r>
        <w:rPr>
          <w:rFonts w:ascii="黑体" w:hAnsi="宋体" w:eastAsia="黑体"/>
          <w:b/>
          <w:color w:val="auto"/>
          <w:sz w:val="24"/>
          <w:highlight w:val="none"/>
        </w:rPr>
        <w:t>：问题澄清通知</w:t>
      </w:r>
      <w:bookmarkEnd w:id="218"/>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hint="eastAsia" w:ascii="黑体" w:hAnsi="宋体" w:eastAsia="黑体"/>
          <w:b/>
          <w:bCs/>
          <w:color w:val="auto"/>
          <w:kern w:val="44"/>
          <w:sz w:val="28"/>
          <w:szCs w:val="28"/>
          <w:highlight w:val="none"/>
        </w:rPr>
        <w:t>问题澄清通知</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（投标人名称）</w:t>
      </w: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标段施工招标的评标委员会，对你方的投标文件进行了仔细的审查，现需你方对下列问题以书面形式予以澄清：</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请将上述问题的澄清于</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时前递交至</w:t>
      </w:r>
      <w:r>
        <w:rPr>
          <w:rFonts w:hint="eastAsia" w:ascii="宋体" w:hAnsi="宋体"/>
          <w:color w:val="auto"/>
          <w:sz w:val="24"/>
          <w:highlight w:val="none"/>
          <w:u w:val="single"/>
        </w:rPr>
        <w:t xml:space="preserve">             </w:t>
      </w:r>
      <w:r>
        <w:rPr>
          <w:rFonts w:ascii="宋体" w:hAnsi="宋体"/>
          <w:color w:val="auto"/>
          <w:sz w:val="24"/>
          <w:highlight w:val="none"/>
        </w:rPr>
        <w:t>（详细地址）或传真至</w:t>
      </w:r>
      <w:r>
        <w:rPr>
          <w:rFonts w:hint="eastAsia" w:ascii="宋体" w:hAnsi="宋体"/>
          <w:color w:val="auto"/>
          <w:sz w:val="24"/>
          <w:highlight w:val="none"/>
          <w:u w:val="single"/>
        </w:rPr>
        <w:t xml:space="preserve">           </w:t>
      </w:r>
      <w:r>
        <w:rPr>
          <w:rFonts w:ascii="宋体" w:hAnsi="宋体"/>
          <w:color w:val="auto"/>
          <w:sz w:val="24"/>
          <w:highlight w:val="none"/>
        </w:rPr>
        <w:t>（传真号码）。采用传真方式的，应在</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时前将原件递交至</w:t>
      </w:r>
      <w:r>
        <w:rPr>
          <w:rFonts w:hint="eastAsia" w:ascii="宋体" w:hAnsi="宋体"/>
          <w:color w:val="auto"/>
          <w:sz w:val="24"/>
          <w:highlight w:val="none"/>
          <w:u w:val="single"/>
        </w:rPr>
        <w:t xml:space="preserve">           </w:t>
      </w:r>
      <w:r>
        <w:rPr>
          <w:rFonts w:ascii="宋体" w:hAnsi="宋体"/>
          <w:color w:val="auto"/>
          <w:sz w:val="24"/>
          <w:highlight w:val="none"/>
        </w:rPr>
        <w:t>（详细地址）。</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（项目名称）  标段施工招标评标委员会</w:t>
      </w:r>
    </w:p>
    <w:p>
      <w:pPr>
        <w:jc w:val="right"/>
        <w:rPr>
          <w:rFonts w:ascii="宋体" w:hAnsi="宋体"/>
          <w:color w:val="auto"/>
          <w:sz w:val="24"/>
          <w:highlight w:val="none"/>
          <w:u w:val="single"/>
        </w:rPr>
      </w:pPr>
      <w:r>
        <w:rPr>
          <w:rFonts w:hint="eastAsia" w:ascii="宋体" w:hAnsi="宋体"/>
          <w:color w:val="auto"/>
          <w:sz w:val="24"/>
          <w:highlight w:val="none"/>
          <w:u w:val="single"/>
        </w:rPr>
        <w:t>招标人</w:t>
      </w:r>
      <w:r>
        <w:rPr>
          <w:rFonts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盖单位章</w:t>
      </w:r>
      <w:r>
        <w:rPr>
          <w:rFonts w:ascii="宋体" w:hAnsi="宋体"/>
          <w:color w:val="auto"/>
          <w:sz w:val="24"/>
          <w:highlight w:val="none"/>
          <w:u w:val="singl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19" w:name="_Toc234382647"/>
      <w:r>
        <w:rPr>
          <w:rFonts w:ascii="黑体" w:hAnsi="宋体" w:eastAsia="黑体"/>
          <w:b/>
          <w:color w:val="auto"/>
          <w:sz w:val="24"/>
          <w:highlight w:val="none"/>
        </w:rPr>
        <w:t>附表</w:t>
      </w:r>
      <w:r>
        <w:rPr>
          <w:rFonts w:hint="eastAsia" w:ascii="黑体" w:hAnsi="宋体" w:eastAsia="黑体"/>
          <w:b/>
          <w:color w:val="auto"/>
          <w:sz w:val="24"/>
          <w:highlight w:val="none"/>
        </w:rPr>
        <w:t>五</w:t>
      </w:r>
      <w:r>
        <w:rPr>
          <w:rFonts w:ascii="黑体" w:hAnsi="宋体" w:eastAsia="黑体"/>
          <w:b/>
          <w:color w:val="auto"/>
          <w:sz w:val="24"/>
          <w:highlight w:val="none"/>
        </w:rPr>
        <w:t>：问题的澄清</w:t>
      </w:r>
      <w:bookmarkEnd w:id="219"/>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ascii="黑体" w:hAnsi="宋体" w:eastAsia="黑体"/>
          <w:b/>
          <w:bCs/>
          <w:color w:val="auto"/>
          <w:kern w:val="44"/>
          <w:sz w:val="28"/>
          <w:szCs w:val="28"/>
          <w:highlight w:val="none"/>
        </w:rPr>
        <w:t>问题的澄清</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 xml:space="preserve">标段施工招标评标委员会： </w:t>
      </w:r>
    </w:p>
    <w:p>
      <w:pPr>
        <w:spacing w:line="400" w:lineRule="exact"/>
        <w:ind w:firstLine="480" w:firstLineChars="200"/>
        <w:rPr>
          <w:rFonts w:ascii="宋体" w:hAnsi="宋体"/>
          <w:color w:val="auto"/>
          <w:sz w:val="24"/>
          <w:highlight w:val="none"/>
        </w:rPr>
      </w:pPr>
      <w:bookmarkStart w:id="317" w:name="_GoBack"/>
      <w:bookmarkEnd w:id="317"/>
    </w:p>
    <w:p>
      <w:pPr>
        <w:spacing w:line="400" w:lineRule="exact"/>
        <w:ind w:firstLine="480" w:firstLineChars="200"/>
        <w:rPr>
          <w:rFonts w:ascii="宋体" w:hAnsi="宋体"/>
          <w:color w:val="auto"/>
          <w:sz w:val="24"/>
          <w:highlight w:val="none"/>
        </w:rPr>
      </w:pPr>
      <w:r>
        <w:rPr>
          <w:rFonts w:ascii="宋体" w:hAnsi="宋体"/>
          <w:color w:val="auto"/>
          <w:sz w:val="24"/>
          <w:highlight w:val="none"/>
        </w:rPr>
        <w:t>问题澄清通知（编号：</w:t>
      </w:r>
      <w:r>
        <w:rPr>
          <w:rFonts w:hint="eastAsia" w:ascii="宋体" w:hAnsi="宋体"/>
          <w:color w:val="auto"/>
          <w:sz w:val="24"/>
          <w:highlight w:val="none"/>
          <w:u w:val="single"/>
        </w:rPr>
        <w:t xml:space="preserve">      </w:t>
      </w:r>
      <w:r>
        <w:rPr>
          <w:rFonts w:ascii="宋体" w:hAnsi="宋体"/>
          <w:color w:val="auto"/>
          <w:sz w:val="24"/>
          <w:highlight w:val="none"/>
        </w:rPr>
        <w:t>）已收悉，现澄清如下：</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pStyle w:val="2"/>
        <w:jc w:val="left"/>
        <w:rPr>
          <w:rFonts w:hint="eastAsia" w:ascii="新宋体" w:hAnsi="新宋体" w:eastAsia="新宋体" w:cs="新宋体"/>
          <w:b/>
          <w:bCs/>
          <w:kern w:val="2"/>
          <w:sz w:val="28"/>
          <w:szCs w:val="28"/>
          <w:lang w:val="en-US" w:eastAsia="zh-CN" w:bidi="ar-SA"/>
        </w:rPr>
      </w:pPr>
      <w:r>
        <w:rPr>
          <w:rFonts w:hint="eastAsia" w:ascii="新宋体" w:hAnsi="新宋体" w:eastAsia="新宋体" w:cs="新宋体"/>
          <w:b/>
          <w:bCs/>
          <w:kern w:val="2"/>
          <w:sz w:val="28"/>
          <w:szCs w:val="28"/>
          <w:lang w:val="en-US" w:eastAsia="zh-CN" w:bidi="ar-SA"/>
        </w:rPr>
        <w:t>适用于一、二标段</w:t>
      </w:r>
    </w:p>
    <w:p>
      <w:pPr>
        <w:numPr>
          <w:ilvl w:val="0"/>
          <w:numId w:val="1"/>
        </w:numPr>
        <w:jc w:val="center"/>
        <w:outlineLvl w:val="0"/>
        <w:rPr>
          <w:rFonts w:ascii="黑体" w:eastAsia="黑体"/>
          <w:bCs/>
          <w:color w:val="auto"/>
          <w:sz w:val="44"/>
          <w:szCs w:val="44"/>
          <w:highlight w:val="none"/>
        </w:rPr>
      </w:pPr>
      <w:r>
        <w:rPr>
          <w:rFonts w:ascii="黑体" w:eastAsia="黑体"/>
          <w:bCs/>
          <w:color w:val="auto"/>
          <w:sz w:val="44"/>
          <w:szCs w:val="44"/>
          <w:highlight w:val="none"/>
        </w:rPr>
        <w:t xml:space="preserve"> </w:t>
      </w:r>
      <w:bookmarkStart w:id="220" w:name="_Toc28210"/>
      <w:r>
        <w:rPr>
          <w:rFonts w:ascii="黑体" w:eastAsia="黑体"/>
          <w:bCs/>
          <w:color w:val="auto"/>
          <w:sz w:val="44"/>
          <w:szCs w:val="44"/>
          <w:highlight w:val="none"/>
        </w:rPr>
        <w:t>评标办法</w:t>
      </w:r>
      <w:bookmarkEnd w:id="220"/>
    </w:p>
    <w:p>
      <w:pPr>
        <w:jc w:val="center"/>
        <w:outlineLvl w:val="0"/>
        <w:rPr>
          <w:rFonts w:ascii="宋体" w:hAnsi="宋体"/>
          <w:color w:val="auto"/>
          <w:sz w:val="44"/>
          <w:szCs w:val="44"/>
          <w:highlight w:val="none"/>
        </w:rPr>
      </w:pPr>
      <w:bookmarkStart w:id="221" w:name="_Toc28682"/>
      <w:r>
        <w:rPr>
          <w:rFonts w:hint="eastAsia" w:ascii="宋体" w:hAnsi="宋体"/>
          <w:color w:val="auto"/>
          <w:sz w:val="44"/>
          <w:szCs w:val="44"/>
          <w:highlight w:val="none"/>
        </w:rPr>
        <w:t>评标办法(技术评分最低标价法)</w:t>
      </w:r>
      <w:bookmarkEnd w:id="221"/>
    </w:p>
    <w:p>
      <w:pPr>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 xml:space="preserve">    </w:t>
      </w:r>
    </w:p>
    <w:p>
      <w:pPr>
        <w:ind w:firstLine="480" w:firstLineChars="200"/>
        <w:rPr>
          <w:rFonts w:ascii="宋体" w:hAnsi="宋体"/>
          <w:color w:val="auto"/>
          <w:sz w:val="30"/>
          <w:szCs w:val="30"/>
          <w:highlight w:val="none"/>
        </w:rPr>
      </w:pPr>
      <w:r>
        <w:rPr>
          <w:rFonts w:hint="eastAsia" w:ascii="新宋体" w:hAnsi="新宋体" w:eastAsia="新宋体" w:cs="新宋体"/>
          <w:sz w:val="24"/>
        </w:rPr>
        <w:t>评标依据公路工程建设项目招标投标管理办法（中华人民共和国交通运输部令2015年第24号）。评标应遵循公正、公平、择优的原则严格按照招标文件进行。</w:t>
      </w:r>
    </w:p>
    <w:p>
      <w:pPr>
        <w:jc w:val="center"/>
        <w:rPr>
          <w:rFonts w:hint="eastAsia" w:ascii="宋体" w:hAnsi="宋体"/>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rPr>
        <w:t>评标办法前附表</w:t>
      </w:r>
    </w:p>
    <w:tbl>
      <w:tblPr>
        <w:tblStyle w:val="10"/>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2.1.1</w:t>
            </w:r>
          </w:p>
          <w:p>
            <w:pPr>
              <w:jc w:val="center"/>
              <w:rPr>
                <w:rFonts w:ascii="宋体" w:hAnsi="宋体"/>
                <w:color w:val="auto"/>
                <w:szCs w:val="21"/>
                <w:highlight w:val="none"/>
              </w:rPr>
            </w:pPr>
            <w:r>
              <w:rPr>
                <w:rFonts w:hint="eastAsia" w:ascii="宋体" w:hAnsi="宋体"/>
                <w:color w:val="auto"/>
                <w:szCs w:val="21"/>
                <w:highlight w:val="none"/>
              </w:rPr>
              <w:t>2.1.3</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形式评审与</w:t>
            </w:r>
          </w:p>
          <w:p>
            <w:pPr>
              <w:jc w:val="center"/>
              <w:rPr>
                <w:rFonts w:ascii="宋体" w:hAnsi="宋体"/>
                <w:color w:val="auto"/>
                <w:szCs w:val="21"/>
                <w:highlight w:val="none"/>
              </w:rPr>
            </w:pPr>
            <w:r>
              <w:rPr>
                <w:rFonts w:hint="eastAsia" w:ascii="宋体" w:hAnsi="宋体"/>
                <w:color w:val="auto"/>
                <w:szCs w:val="21"/>
                <w:highlight w:val="none"/>
              </w:rPr>
              <w:t>响应性评审</w:t>
            </w:r>
          </w:p>
          <w:p>
            <w:pPr>
              <w:jc w:val="center"/>
              <w:rPr>
                <w:rFonts w:ascii="宋体" w:hAnsi="宋体"/>
                <w:color w:val="auto"/>
                <w:szCs w:val="21"/>
                <w:highlight w:val="none"/>
              </w:rPr>
            </w:pPr>
            <w:r>
              <w:rPr>
                <w:rFonts w:hint="eastAsia" w:ascii="宋体" w:hAnsi="宋体"/>
                <w:color w:val="auto"/>
                <w:szCs w:val="21"/>
                <w:highlight w:val="none"/>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color w:val="auto"/>
                <w:szCs w:val="21"/>
                <w:highlight w:val="none"/>
              </w:rPr>
            </w:pPr>
            <w:r>
              <w:rPr>
                <w:rFonts w:hint="eastAsia" w:ascii="宋体" w:hAnsi="宋体"/>
                <w:b/>
                <w:color w:val="auto"/>
                <w:szCs w:val="21"/>
                <w:highlight w:val="none"/>
              </w:rPr>
              <w:t>第一个信封（商务及技术文件）评审标准：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a.投标函按招标文件规定填报了工期、工程质量目标及安全目标；</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b.投标函附录的所有数据均符合招标文件规定；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c.承诺函文字与招标文件规定一致，未进行修改和删减；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d.按照招标文件规定的格式、内容编制了施工组织设计及项目管理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机构相关图表；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e.投标文件组成齐全完整，内容均按规定填写。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投标文件上法定代表人或其授权代理人的签字、投标人的单位</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投标人按照招标文件的规定提供了投标保证金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(4)投标文件上法定代表人或其授权代理人的签字、投标人的单位章盖章齐全，符合招标文件规定：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(5)投标文件中未出现有关投标报价的内容。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(6)投标文件载明的招标项目完成期限未超过招标文件规定的时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限。</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(7)投标文件对招标文件的实质性要求和条件作出响应。</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(8)权利义务符合招标文件规定：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a.投标人应接受招标文件规定的风险划分原则，未提出新的风险划</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分办法；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b.投标人未增加发包人的责任范围，或减少投标人义务；</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c.投标人未提出不同的工程验收、计量、支付办法；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d.投标人对合同纠纷、事故处理办法未提出异议；</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e.投标人在投标活动中无欺诈行为；</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f.投标人未对合同条款有重要保留。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(9)投标文件正、副本份数符合招标文件第二章“投标人须知”第</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3.7.4 项规定。</w:t>
            </w:r>
          </w:p>
          <w:p>
            <w:pPr>
              <w:spacing w:line="400" w:lineRule="exact"/>
              <w:jc w:val="left"/>
              <w:rPr>
                <w:rFonts w:ascii="宋体" w:hAnsi="宋体"/>
                <w:b/>
                <w:color w:val="auto"/>
                <w:szCs w:val="21"/>
                <w:highlight w:val="none"/>
              </w:rPr>
            </w:pPr>
            <w:r>
              <w:rPr>
                <w:rFonts w:hint="eastAsia" w:ascii="宋体" w:hAnsi="宋体"/>
                <w:b/>
                <w:color w:val="auto"/>
                <w:szCs w:val="21"/>
                <w:highlight w:val="none"/>
              </w:rPr>
              <w:t>第二个信封（报价文件）评审标准：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内容齐全完整：</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a.投标函按招标文件规定填报了投标价（包括大写金额和小写金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额），且投标价未超过招标文件设定的最高投标限价（如有）；</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b.已标价工程量清单说明文字与招标文件规定一致，未进行修改和</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(2)投标文件上法定代表人或其授权代理人的签字、投标人的单位章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(3)同一投标人未提交两个以上不同的投标报价，但招标文件要求提</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交备选投标的除外。</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(4)投标人若填写工程量固化清单，填写完毕的工程量固化清单未对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工程量固化清单电子文件中的数据、格式和运算定义进行修改。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(5)投标文件正、副本份数符合招标文件第二章“投标人须知”第</w:t>
            </w:r>
          </w:p>
          <w:p>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2.1.2</w:t>
            </w:r>
          </w:p>
        </w:tc>
        <w:tc>
          <w:tcPr>
            <w:tcW w:w="1214" w:type="dxa"/>
            <w:tcBorders>
              <w:left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资格评审标准</w:t>
            </w:r>
          </w:p>
        </w:tc>
        <w:tc>
          <w:tcPr>
            <w:tcW w:w="7380" w:type="dxa"/>
            <w:tcBorders>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(1)投标人具备有效的营业执照、资质证书和安全生产许可证和基本账户开户许可证；</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(2)投标人的资质等级符合招标文件规定；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(3)投标人的财务状况符合招标文件规定；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(4)投标人的类似项目业绩符合招标文件规定；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(5)投标人的信誉符合招标文件规定；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(6)投标人的项目经理资格符合招标文件规定；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(7)投标人的其他要求符合招标文件规定；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2.2.1</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第一个信封</w:t>
            </w:r>
          </w:p>
          <w:p>
            <w:pPr>
              <w:jc w:val="center"/>
              <w:rPr>
                <w:rFonts w:ascii="宋体" w:hAnsi="宋体"/>
                <w:color w:val="auto"/>
                <w:szCs w:val="21"/>
                <w:highlight w:val="none"/>
              </w:rPr>
            </w:pPr>
            <w:r>
              <w:rPr>
                <w:rFonts w:hint="eastAsia" w:ascii="宋体" w:hAnsi="宋体"/>
                <w:color w:val="auto"/>
                <w:szCs w:val="21"/>
                <w:highlight w:val="none"/>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lang w:val="en-US" w:eastAsia="zh-CN"/>
              </w:rPr>
              <w:t>40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项目管理机构</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技术能力</w:t>
            </w:r>
            <w:r>
              <w:rPr>
                <w:rFonts w:hint="eastAsia" w:ascii="宋体" w:hAnsi="宋体"/>
                <w:color w:val="auto"/>
                <w:szCs w:val="21"/>
                <w:highlight w:val="none"/>
                <w:lang w:val="en-US" w:eastAsia="zh-CN"/>
              </w:rPr>
              <w:t>25</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履约信誉1</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lang w:val="en-US" w:eastAsia="zh-CN"/>
              </w:rPr>
              <w:t>3.2.4</w:t>
            </w:r>
          </w:p>
        </w:tc>
        <w:tc>
          <w:tcPr>
            <w:tcW w:w="1214" w:type="dxa"/>
            <w:tcBorders>
              <w:top w:val="single" w:color="auto" w:sz="4" w:space="0"/>
              <w:bottom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按照投标人的商务和技术得分由高到低排序，选择前</w:t>
            </w:r>
            <w:r>
              <w:rPr>
                <w:rFonts w:hint="eastAsia" w:ascii="宋体" w:hAnsi="宋体"/>
                <w:color w:val="auto"/>
                <w:szCs w:val="21"/>
                <w:highlight w:val="none"/>
                <w:u w:val="none"/>
                <w:lang w:eastAsia="zh-CN"/>
              </w:rPr>
              <w:t>三</w:t>
            </w:r>
            <w:r>
              <w:rPr>
                <w:rFonts w:hint="eastAsia" w:ascii="宋体" w:hAnsi="宋体"/>
                <w:color w:val="auto"/>
                <w:szCs w:val="21"/>
                <w:highlight w:val="none"/>
                <w:lang w:eastAsia="zh-CN"/>
              </w:rPr>
              <w:t>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2.2.2</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施工组织设计（0-</w:t>
            </w:r>
            <w:r>
              <w:rPr>
                <w:rFonts w:hint="eastAsia" w:ascii="宋体" w:hAnsi="宋体"/>
                <w:color w:val="auto"/>
                <w:szCs w:val="21"/>
                <w:highlight w:val="none"/>
                <w:lang w:val="en-US" w:eastAsia="zh-CN"/>
              </w:rPr>
              <w:t>40</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1、投标人应按以下要点编制施工组织设计（文字宜精炼、内容具有针对性，总体控制在30000字以内）；</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（1）总体施工组织布置及规划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（2）主要工程项目的施工方案、方法与技术措施（尤其对重点、关键和难点工程的施工方案、方法及其措施）                  0-5分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（3）工期的保证体系及保证措施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（4）工程质量管理体系及保证措施               0-3分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（5）安全生产管理体系及保证措施               0-3分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（6）环境保护、水土保持保证体系及保证措施（含扬尘治理措施）                                                                  </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0-3分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（7）文明施工、文物保护保证体系及保证措施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（8）项目风险预测与防范，事故应急预案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2、施工组织设计除采用文字表述外可附下列图表，图表及格式要求附后。</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附表一  施工总体计划表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附表二  分项工程进度率计划（斜率图）       0-2分 </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附表三  工程管理曲线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附表四  分项工程生产率和施工周期表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附表五  施工总平面图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附表六  劳动力计划表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附表七  临时用地计划表                     0-2分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附表八  外供电力需求计划表                 0-2分</w:t>
            </w:r>
          </w:p>
          <w:p>
            <w:pPr>
              <w:spacing w:line="400" w:lineRule="exact"/>
              <w:rPr>
                <w:rFonts w:hint="eastAsia" w:ascii="宋体" w:hAnsi="宋体"/>
                <w:color w:val="auto"/>
                <w:szCs w:val="21"/>
                <w:highlight w:val="none"/>
              </w:rPr>
            </w:pPr>
            <w:r>
              <w:rPr>
                <w:rFonts w:hint="eastAsia" w:ascii="宋体" w:hAnsi="宋体" w:cs="Times New Roman"/>
                <w:color w:val="auto"/>
                <w:szCs w:val="21"/>
                <w:highlight w:val="none"/>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2.2.3</w:t>
            </w:r>
          </w:p>
        </w:tc>
        <w:tc>
          <w:tcPr>
            <w:tcW w:w="1214" w:type="dxa"/>
            <w:tcBorders>
              <w:top w:val="single" w:color="auto" w:sz="4" w:space="0"/>
              <w:right w:val="single" w:color="auto" w:sz="4" w:space="0"/>
            </w:tcBorders>
            <w:vAlign w:val="center"/>
          </w:tcPr>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项目管理机构（0-</w:t>
            </w:r>
            <w:r>
              <w:rPr>
                <w:rFonts w:hint="eastAsia" w:ascii="宋体" w:hAnsi="宋体" w:cs="Times New Roman"/>
                <w:color w:val="auto"/>
                <w:szCs w:val="21"/>
                <w:highlight w:val="none"/>
                <w:lang w:val="en-US" w:eastAsia="zh-CN"/>
              </w:rPr>
              <w:t>20</w:t>
            </w:r>
            <w:r>
              <w:rPr>
                <w:rFonts w:hint="eastAsia" w:ascii="宋体" w:hAnsi="宋体" w:cs="Times New Roman"/>
                <w:color w:val="auto"/>
                <w:szCs w:val="21"/>
                <w:highlight w:val="none"/>
              </w:rPr>
              <w:t>分）</w:t>
            </w:r>
          </w:p>
        </w:tc>
        <w:tc>
          <w:tcPr>
            <w:tcW w:w="7380" w:type="dxa"/>
            <w:tcBorders>
              <w:top w:val="single" w:color="auto" w:sz="4" w:space="0"/>
              <w:left w:val="single" w:color="auto" w:sz="4" w:space="0"/>
            </w:tcBorders>
            <w:vAlign w:val="center"/>
          </w:tcPr>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拟派项目技术负责人中级者得</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分，高级者得</w:t>
            </w:r>
            <w:r>
              <w:rPr>
                <w:rFonts w:hint="eastAsia" w:ascii="宋体" w:hAnsi="宋体" w:cs="Times New Roman"/>
                <w:color w:val="auto"/>
                <w:szCs w:val="21"/>
                <w:highlight w:val="none"/>
                <w:lang w:val="en-US" w:eastAsia="zh-CN"/>
              </w:rPr>
              <w:t>10</w:t>
            </w:r>
            <w:r>
              <w:rPr>
                <w:rFonts w:hint="eastAsia" w:ascii="宋体" w:hAnsi="宋体" w:cs="Times New Roman"/>
                <w:color w:val="auto"/>
                <w:szCs w:val="21"/>
                <w:highlight w:val="none"/>
              </w:rPr>
              <w:t>分；</w:t>
            </w:r>
          </w:p>
          <w:p>
            <w:pPr>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拟派项目班子中施工员、质量员、安全员、材料员、资料员证件齐全者得</w:t>
            </w:r>
            <w:r>
              <w:rPr>
                <w:rFonts w:hint="eastAsia" w:ascii="宋体" w:hAnsi="宋体" w:cs="Times New Roman"/>
                <w:color w:val="auto"/>
                <w:szCs w:val="21"/>
                <w:highlight w:val="none"/>
                <w:lang w:val="en-US" w:eastAsia="zh-CN"/>
              </w:rPr>
              <w:t>10</w:t>
            </w:r>
            <w:r>
              <w:rPr>
                <w:rFonts w:hint="eastAsia" w:ascii="宋体" w:hAnsi="宋体" w:cs="Times New Roman"/>
                <w:color w:val="auto"/>
                <w:szCs w:val="21"/>
                <w:highlight w:val="none"/>
              </w:rPr>
              <w:t>分，缺一项不得分。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2.2.4</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技术能力</w:t>
            </w:r>
          </w:p>
          <w:p>
            <w:pPr>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25</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1、企业业绩（</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企业近年来承建过类似项目者每项得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15</w:t>
            </w:r>
            <w:r>
              <w:rPr>
                <w:rFonts w:hint="eastAsia" w:ascii="宋体" w:hAnsi="宋体"/>
                <w:color w:val="auto"/>
                <w:szCs w:val="21"/>
                <w:highlight w:val="none"/>
              </w:rPr>
              <w:t>分【须提供合同原件、中标通知书原件、竣工验收证明材料原件和中标公示网页版】。</w:t>
            </w:r>
          </w:p>
          <w:p>
            <w:pPr>
              <w:spacing w:line="400" w:lineRule="exact"/>
              <w:rPr>
                <w:rFonts w:ascii="宋体" w:hAnsi="宋体"/>
                <w:color w:val="auto"/>
                <w:szCs w:val="21"/>
                <w:highlight w:val="none"/>
              </w:rPr>
            </w:pPr>
            <w:r>
              <w:rPr>
                <w:rFonts w:hint="eastAsia" w:ascii="宋体" w:hAnsi="宋体"/>
                <w:color w:val="auto"/>
                <w:szCs w:val="21"/>
                <w:highlight w:val="none"/>
              </w:rPr>
              <w:t>2、项目经理业绩（</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p>
            <w:pPr>
              <w:adjustRightInd w:val="0"/>
              <w:snapToGrid w:val="0"/>
              <w:spacing w:line="480" w:lineRule="exact"/>
              <w:ind w:firstLine="480"/>
              <w:rPr>
                <w:rFonts w:ascii="宋体" w:hAnsi="宋体"/>
                <w:b/>
                <w:bCs/>
                <w:color w:val="auto"/>
                <w:szCs w:val="21"/>
                <w:highlight w:val="none"/>
              </w:rPr>
            </w:pPr>
            <w:r>
              <w:rPr>
                <w:rFonts w:hint="eastAsia" w:ascii="宋体" w:hAnsi="宋体"/>
                <w:color w:val="auto"/>
                <w:szCs w:val="21"/>
                <w:highlight w:val="none"/>
              </w:rPr>
              <w:t>近年来拟派建造师承建过类似项目者每项得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10</w:t>
            </w:r>
            <w:r>
              <w:rPr>
                <w:rFonts w:hint="eastAsia" w:ascii="宋体" w:hAnsi="宋体"/>
                <w:color w:val="auto"/>
                <w:szCs w:val="21"/>
                <w:highlight w:val="none"/>
              </w:rPr>
              <w:t>分【须提供合同原件、中标通知书原件、竣工验收证明材料原件和中标公示网页版】，若上述资料不显示项目经理姓名，还须同时提供建设单位出具的相关证明文件。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2"/>
              </w:numPr>
              <w:adjustRightInd w:val="0"/>
              <w:snapToGrid w:val="0"/>
              <w:spacing w:line="480" w:lineRule="exact"/>
              <w:rPr>
                <w:rFonts w:hint="eastAsia" w:ascii="新宋体" w:hAnsi="新宋体" w:eastAsia="新宋体"/>
                <w:b/>
                <w:sz w:val="21"/>
                <w:szCs w:val="21"/>
                <w:lang w:val="en-US" w:eastAsia="zh-CN"/>
              </w:rPr>
            </w:pPr>
            <w:r>
              <w:rPr>
                <w:rFonts w:hint="eastAsia" w:ascii="新宋体" w:hAnsi="新宋体" w:eastAsia="新宋体"/>
                <w:b/>
                <w:sz w:val="21"/>
                <w:szCs w:val="21"/>
                <w:lang w:val="en-US" w:eastAsia="zh-CN"/>
              </w:rPr>
              <w:t>业绩合同以合同签订日期为准，获奖证书以发证日期为准，企业业绩和项目经理业绩不重复计分；</w:t>
            </w:r>
          </w:p>
          <w:p>
            <w:pPr>
              <w:numPr>
                <w:ilvl w:val="0"/>
                <w:numId w:val="0"/>
              </w:numPr>
              <w:adjustRightInd w:val="0"/>
              <w:snapToGrid w:val="0"/>
              <w:spacing w:line="480" w:lineRule="exact"/>
              <w:rPr>
                <w:rFonts w:hint="eastAsia" w:ascii="新宋体" w:hAnsi="新宋体" w:eastAsia="新宋体"/>
                <w:b/>
                <w:sz w:val="21"/>
                <w:szCs w:val="21"/>
                <w:lang w:val="en-US" w:eastAsia="zh-CN"/>
              </w:rPr>
            </w:pPr>
            <w:r>
              <w:rPr>
                <w:rFonts w:hint="eastAsia" w:ascii="新宋体" w:hAnsi="新宋体" w:eastAsia="新宋体"/>
                <w:b/>
                <w:sz w:val="21"/>
                <w:szCs w:val="21"/>
                <w:lang w:val="en-US" w:eastAsia="zh-CN"/>
              </w:rPr>
              <w:t>2、凡评标办法里涉及到的证书、证件及业绩材料等，均以原件并结合投标文件中所附复印件进行评审，二者缺其一，则该项得分应作0分处理（营业执照、资质证书、拟派项目经理注册建造师证及其安全生产考核合格证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2.2.5</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履约信誉（0-1</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1、企业信用（4分）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投标人须提供工商企业信用信息公示报告（国家企业信用信息公示系统http//</w:t>
            </w:r>
            <w:r>
              <w:rPr>
                <w:rFonts w:ascii="宋体" w:hAnsi="宋体" w:eastAsia="宋体" w:cs="Times New Roman"/>
                <w:color w:val="auto"/>
                <w:kern w:val="2"/>
                <w:sz w:val="21"/>
                <w:szCs w:val="21"/>
                <w:highlight w:val="none"/>
                <w:lang w:val="en-US" w:eastAsia="zh-CN" w:bidi="ar-SA"/>
              </w:rPr>
              <w:pict>
                <v:shape id="_x0000_i1025" o:spt="75" type="#_x0000_t75" style="height:11.25pt;width:1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r>
              <w:rPr>
                <w:rFonts w:ascii="宋体" w:hAnsi="宋体"/>
                <w:color w:val="auto"/>
                <w:szCs w:val="21"/>
                <w:highlight w:val="none"/>
              </w:rPr>
              <w:t>www.gsxt.got.cn，内容包含基础信息、行政许可信息、行政处罚信息、列入经营异常名录信息等）以网上截图为准。企业所在地税务主管部门出具的纳税情况证明等信用情况</w:t>
            </w:r>
            <w:r>
              <w:rPr>
                <w:rFonts w:hint="eastAsia" w:ascii="宋体" w:hAnsi="宋体"/>
                <w:color w:val="auto"/>
                <w:szCs w:val="21"/>
                <w:highlight w:val="none"/>
              </w:rPr>
              <w:t>。</w:t>
            </w:r>
            <w:r>
              <w:rPr>
                <w:rFonts w:ascii="宋体" w:hAnsi="宋体"/>
                <w:color w:val="auto"/>
                <w:szCs w:val="21"/>
                <w:highlight w:val="none"/>
              </w:rPr>
              <w:t>无不良信息者每项得</w:t>
            </w:r>
            <w:r>
              <w:rPr>
                <w:rFonts w:hint="eastAsia" w:ascii="宋体" w:hAnsi="宋体"/>
                <w:color w:val="auto"/>
                <w:szCs w:val="21"/>
                <w:highlight w:val="none"/>
              </w:rPr>
              <w:t>2</w:t>
            </w:r>
            <w:r>
              <w:rPr>
                <w:rFonts w:ascii="宋体" w:hAnsi="宋体"/>
                <w:color w:val="auto"/>
                <w:szCs w:val="21"/>
                <w:highlight w:val="none"/>
              </w:rPr>
              <w:t>分，最多得</w:t>
            </w:r>
            <w:r>
              <w:rPr>
                <w:rFonts w:hint="eastAsia" w:ascii="宋体" w:hAnsi="宋体"/>
                <w:color w:val="auto"/>
                <w:szCs w:val="21"/>
                <w:highlight w:val="none"/>
              </w:rPr>
              <w:t>4</w:t>
            </w:r>
            <w:r>
              <w:rPr>
                <w:rFonts w:ascii="宋体" w:hAnsi="宋体"/>
                <w:color w:val="auto"/>
                <w:szCs w:val="21"/>
                <w:highlight w:val="none"/>
              </w:rPr>
              <w:t>分，未提供或有不良信息者不得分。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2、服务承诺（含扬尘治理等内容）（</w:t>
            </w:r>
            <w:r>
              <w:rPr>
                <w:rFonts w:hint="eastAsia" w:ascii="宋体" w:hAnsi="宋体"/>
                <w:color w:val="auto"/>
                <w:szCs w:val="21"/>
                <w:highlight w:val="none"/>
                <w:lang w:val="en-US" w:eastAsia="zh-CN"/>
              </w:rPr>
              <w:t>11</w:t>
            </w:r>
            <w:r>
              <w:rPr>
                <w:rFonts w:hint="eastAsia" w:ascii="宋体" w:hAnsi="宋体"/>
                <w:color w:val="auto"/>
                <w:szCs w:val="21"/>
                <w:highlight w:val="none"/>
              </w:rPr>
              <w:t>分）</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需要补充的其他内容：</w:t>
            </w:r>
          </w:p>
          <w:p>
            <w:pPr>
              <w:ind w:firstLine="420" w:firstLineChars="20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评标程序如下：</w:t>
            </w:r>
          </w:p>
          <w:p>
            <w:pPr>
              <w:spacing w:line="340" w:lineRule="exact"/>
              <w:rPr>
                <w:rFonts w:ascii="宋体" w:hAnsi="宋体"/>
                <w:color w:val="auto"/>
                <w:szCs w:val="21"/>
                <w:highlight w:val="none"/>
              </w:rPr>
            </w:pPr>
            <w:r>
              <w:rPr>
                <w:rFonts w:hint="eastAsia" w:ascii="宋体" w:hAnsi="宋体"/>
                <w:color w:val="auto"/>
                <w:szCs w:val="21"/>
                <w:highlight w:val="none"/>
              </w:rPr>
              <w:t>1、招标人按照第二章“投标人须知”第5.2.1-5.2.3项的规定对投标文件第一信封（商务及技术文件）进行开标。</w:t>
            </w:r>
          </w:p>
          <w:p>
            <w:pPr>
              <w:spacing w:line="340" w:lineRule="exact"/>
              <w:rPr>
                <w:rFonts w:ascii="宋体" w:hAnsi="宋体"/>
                <w:color w:val="auto"/>
                <w:szCs w:val="21"/>
                <w:highlight w:val="none"/>
              </w:rPr>
            </w:pPr>
            <w:r>
              <w:rPr>
                <w:rFonts w:hint="eastAsia" w:ascii="宋体" w:hAnsi="宋体"/>
                <w:color w:val="auto"/>
                <w:szCs w:val="21"/>
                <w:highlight w:val="none"/>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color w:val="auto"/>
                <w:szCs w:val="21"/>
                <w:highlight w:val="none"/>
              </w:rPr>
              <w:t>各项打分保留小数点后两位，小数点后第三位“四舍五入”。</w:t>
            </w:r>
          </w:p>
          <w:p>
            <w:pPr>
              <w:spacing w:line="340" w:lineRule="exact"/>
              <w:rPr>
                <w:rFonts w:ascii="宋体" w:hAnsi="宋体"/>
                <w:color w:val="auto"/>
                <w:szCs w:val="21"/>
                <w:highlight w:val="none"/>
              </w:rPr>
            </w:pPr>
            <w:r>
              <w:rPr>
                <w:rFonts w:hint="eastAsia" w:ascii="宋体" w:hAnsi="宋体"/>
                <w:color w:val="auto"/>
                <w:szCs w:val="21"/>
                <w:highlight w:val="none"/>
              </w:rPr>
              <w:t>3、招标人按照第二章“投标人须知”第5.2.4-5.2.6项的规定对投标文件第一信封（商务及技术文件）评审得分前</w:t>
            </w:r>
            <w:r>
              <w:rPr>
                <w:rFonts w:hint="eastAsia" w:ascii="宋体" w:hAnsi="宋体"/>
                <w:color w:val="auto"/>
                <w:szCs w:val="21"/>
                <w:highlight w:val="none"/>
                <w:u w:val="single"/>
              </w:rPr>
              <w:t xml:space="preserve"> 3 </w:t>
            </w:r>
            <w:r>
              <w:rPr>
                <w:rFonts w:hint="eastAsia" w:ascii="宋体" w:hAnsi="宋体"/>
                <w:color w:val="auto"/>
                <w:szCs w:val="21"/>
                <w:highlight w:val="none"/>
              </w:rPr>
              <w:t>名的投标文件第二个信封（投标文件）进行开启。</w:t>
            </w:r>
          </w:p>
          <w:p>
            <w:pPr>
              <w:spacing w:line="340" w:lineRule="exact"/>
              <w:rPr>
                <w:rFonts w:ascii="宋体" w:hAnsi="宋体"/>
                <w:color w:val="auto"/>
                <w:szCs w:val="21"/>
                <w:highlight w:val="none"/>
              </w:rPr>
            </w:pPr>
            <w:r>
              <w:rPr>
                <w:rFonts w:hint="eastAsia" w:ascii="宋体" w:hAnsi="宋体"/>
                <w:color w:val="auto"/>
                <w:szCs w:val="21"/>
                <w:highlight w:val="none"/>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color w:val="auto"/>
                <w:szCs w:val="21"/>
                <w:highlight w:val="none"/>
              </w:rPr>
            </w:pPr>
            <w:r>
              <w:rPr>
                <w:rFonts w:hint="eastAsia" w:ascii="宋体" w:hAnsi="宋体"/>
                <w:b/>
                <w:color w:val="auto"/>
                <w:szCs w:val="21"/>
                <w:highlight w:val="none"/>
              </w:rPr>
              <w:t>5、本评分标准中所要求提供的各种证明材料，投标文件中须提供复印件，且在评标时按要求提供与复印件一致的原件，否则不得分。</w:t>
            </w:r>
          </w:p>
        </w:tc>
      </w:tr>
    </w:tbl>
    <w:p>
      <w:pPr>
        <w:spacing w:line="500" w:lineRule="exact"/>
        <w:rPr>
          <w:rFonts w:ascii="宋体" w:hAnsi="宋体"/>
          <w:b/>
          <w:color w:val="auto"/>
          <w:sz w:val="24"/>
          <w:highlight w:val="none"/>
        </w:rPr>
      </w:pPr>
      <w:r>
        <w:rPr>
          <w:rFonts w:hint="eastAsia" w:ascii="宋体" w:hAnsi="宋体"/>
          <w:b/>
          <w:color w:val="auto"/>
          <w:sz w:val="24"/>
          <w:highlight w:val="none"/>
        </w:rPr>
        <w:t>1.评标办法</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500" w:lineRule="exact"/>
        <w:rPr>
          <w:rFonts w:ascii="宋体" w:hAnsi="宋体"/>
          <w:b/>
          <w:color w:val="auto"/>
          <w:sz w:val="24"/>
          <w:highlight w:val="none"/>
        </w:rPr>
      </w:pPr>
    </w:p>
    <w:p>
      <w:pPr>
        <w:spacing w:line="500" w:lineRule="exact"/>
        <w:rPr>
          <w:rFonts w:ascii="宋体" w:hAnsi="宋体"/>
          <w:b/>
          <w:color w:val="auto"/>
          <w:sz w:val="24"/>
          <w:highlight w:val="none"/>
        </w:rPr>
      </w:pPr>
      <w:r>
        <w:rPr>
          <w:rFonts w:hint="eastAsia" w:ascii="宋体" w:hAnsi="宋体"/>
          <w:b/>
          <w:color w:val="auto"/>
          <w:sz w:val="24"/>
          <w:highlight w:val="none"/>
        </w:rPr>
        <w:t>2.评审标准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2.1初步评审标准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2.1.1形式评审标准：见评标办法前附表。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2.1.2资格评审标准：见评标办法前附表。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2.1.3响应性评审标准：见评标办法前附表。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 分值构成与评分标准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2.2.1 分值构成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施工组织设计：见评标办法前附表。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项目管理机构：见评标办法前附表。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履约信誉：见评标办法前附表。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2.2.2 施工组织设计评审标准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施工组织设计评审标准：见评标办法前附表。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2.2.3 项目管理机构评审标准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项目管理机构评审标准：见评标办法前附表。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2.2.4 技术能力评审标准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2.2.5履约信誉评审标准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履约信誉评审标准：见评标办法前附表。 </w:t>
      </w:r>
    </w:p>
    <w:p>
      <w:pPr>
        <w:spacing w:line="500" w:lineRule="exact"/>
        <w:rPr>
          <w:rFonts w:ascii="宋体" w:hAnsi="宋体"/>
          <w:b/>
          <w:color w:val="auto"/>
          <w:sz w:val="24"/>
          <w:highlight w:val="none"/>
        </w:rPr>
      </w:pPr>
      <w:r>
        <w:rPr>
          <w:rFonts w:hint="eastAsia" w:ascii="宋体" w:hAnsi="宋体"/>
          <w:b/>
          <w:color w:val="auto"/>
          <w:sz w:val="24"/>
          <w:highlight w:val="none"/>
        </w:rPr>
        <w:t>3.评标程序</w:t>
      </w:r>
    </w:p>
    <w:p>
      <w:pPr>
        <w:spacing w:line="500" w:lineRule="exact"/>
        <w:rPr>
          <w:rFonts w:ascii="宋体" w:hAnsi="宋体"/>
          <w:b/>
          <w:color w:val="auto"/>
          <w:sz w:val="24"/>
          <w:highlight w:val="none"/>
        </w:rPr>
      </w:pPr>
      <w:r>
        <w:rPr>
          <w:rFonts w:hint="eastAsia" w:ascii="宋体" w:hAnsi="宋体"/>
          <w:b/>
          <w:color w:val="auto"/>
          <w:sz w:val="24"/>
          <w:highlight w:val="none"/>
        </w:rPr>
        <w:t>3.1初步评审</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3.1.1</w:t>
      </w:r>
      <w:r>
        <w:rPr>
          <w:rFonts w:hint="eastAsia" w:ascii="宋体" w:hAnsi="宋体"/>
          <w:color w:val="auto"/>
          <w:sz w:val="24"/>
          <w:highlight w:val="none"/>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3.1.2 </w:t>
      </w:r>
      <w:r>
        <w:rPr>
          <w:rFonts w:hint="eastAsia" w:ascii="宋体" w:hAnsi="宋体"/>
          <w:color w:val="auto"/>
          <w:sz w:val="24"/>
          <w:highlight w:val="none"/>
        </w:rPr>
        <w:t>投标人有以下情形之一的其投标作废标处理：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（1）第二章“投标人须知”第 1.4.3 项规定的任何一种情形的。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（2）串通投标或弄虚作假或有其他违法行为的。</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3.1.3</w:t>
      </w:r>
      <w:r>
        <w:rPr>
          <w:rFonts w:hint="eastAsia" w:ascii="宋体" w:hAnsi="宋体"/>
          <w:color w:val="auto"/>
          <w:sz w:val="24"/>
          <w:highlight w:val="none"/>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(1)投标文件中的大写金额与小写金额不一致的，以大写金额为准；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(2)总价金额与依据单价计算出的结果不一致的，以单价金额为准修正总价，但单价金额小数点有明显错误的除外；</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(4)当各子目的合价累计不等于总价时，应以各子目合价累计数为准，修正总价。</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3.1.4</w:t>
      </w:r>
      <w:r>
        <w:rPr>
          <w:rFonts w:hint="eastAsia" w:ascii="宋体" w:hAnsi="宋体"/>
          <w:color w:val="auto"/>
          <w:sz w:val="24"/>
          <w:highlight w:val="none"/>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3.1.5</w:t>
      </w:r>
      <w:r>
        <w:rPr>
          <w:rFonts w:hint="eastAsia" w:ascii="宋体" w:hAnsi="宋体"/>
          <w:color w:val="auto"/>
          <w:sz w:val="24"/>
          <w:highlight w:val="none"/>
        </w:rPr>
        <w:t>修正后的最终投标报价若超过投标控制价上限(如有)，投标人的投标文件作废标处理。</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3.1.6</w:t>
      </w:r>
      <w:r>
        <w:rPr>
          <w:rFonts w:hint="eastAsia" w:ascii="宋体" w:hAnsi="宋体"/>
          <w:color w:val="auto"/>
          <w:sz w:val="24"/>
          <w:highlight w:val="none"/>
        </w:rPr>
        <w:t>修正后的最终投标报价作为签订合同的一个依据，不参与评标价得分的计算。</w:t>
      </w:r>
    </w:p>
    <w:p>
      <w:pPr>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3.2 详细评审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3.2.2 评标得分计算保留小数点后两位，小数点后第三位“四舍五入”。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3.3 </w:t>
      </w:r>
      <w:r>
        <w:rPr>
          <w:rFonts w:hint="eastAsia" w:ascii="宋体" w:hAnsi="宋体"/>
          <w:color w:val="auto"/>
          <w:sz w:val="24"/>
          <w:highlight w:val="none"/>
        </w:rPr>
        <w:t xml:space="preserve">投标文件的澄清和补正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3.3.3评标委员会对投标人提交的澄清、说明或补正有疑问的，可以要求投标人进一步澄清、说明或补正，直至满足评标委员会的要求。</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3.3.4</w:t>
      </w:r>
      <w:r>
        <w:rPr>
          <w:rFonts w:hint="eastAsia" w:ascii="宋体" w:hAnsi="宋体"/>
          <w:color w:val="auto"/>
          <w:sz w:val="24"/>
          <w:highlight w:val="none"/>
        </w:rPr>
        <w:t>凡超出招标文件规定的或给发包人带来未曾要求的利益的变化、偏差或其他因素在评标时不予考虑。</w:t>
      </w:r>
    </w:p>
    <w:p>
      <w:pPr>
        <w:spacing w:line="500" w:lineRule="exact"/>
        <w:rPr>
          <w:rFonts w:ascii="宋体" w:hAnsi="宋体"/>
          <w:b/>
          <w:color w:val="auto"/>
          <w:sz w:val="24"/>
          <w:highlight w:val="none"/>
        </w:rPr>
      </w:pPr>
      <w:r>
        <w:rPr>
          <w:rFonts w:hint="eastAsia" w:ascii="宋体" w:hAnsi="宋体"/>
          <w:b/>
          <w:color w:val="auto"/>
          <w:sz w:val="24"/>
          <w:highlight w:val="none"/>
        </w:rPr>
        <w:t>3.4评标结果</w:t>
      </w:r>
    </w:p>
    <w:p>
      <w:pPr>
        <w:spacing w:line="340" w:lineRule="exact"/>
        <w:rPr>
          <w:rFonts w:ascii="宋体" w:hAnsi="宋体"/>
          <w:color w:val="auto"/>
          <w:sz w:val="24"/>
          <w:highlight w:val="none"/>
        </w:rPr>
      </w:pPr>
      <w:r>
        <w:rPr>
          <w:rFonts w:hint="eastAsia" w:ascii="宋体" w:hAnsi="宋体"/>
          <w:color w:val="auto"/>
          <w:sz w:val="24"/>
          <w:highlight w:val="none"/>
        </w:rPr>
        <w:t xml:space="preserve">   3.4.1评标委员会按照通过投标文件第一信封（商务及技术文件）评审的前三名投标报价由低到高的顺序推荐中标候选人。 </w:t>
      </w:r>
    </w:p>
    <w:p>
      <w:pPr>
        <w:spacing w:line="500" w:lineRule="exact"/>
        <w:rPr>
          <w:rFonts w:ascii="宋体" w:hAnsi="宋体"/>
          <w:color w:val="auto"/>
          <w:sz w:val="24"/>
          <w:highlight w:val="none"/>
        </w:rPr>
      </w:pPr>
      <w:r>
        <w:rPr>
          <w:rFonts w:hint="eastAsia" w:ascii="宋体" w:hAnsi="宋体"/>
          <w:color w:val="auto"/>
          <w:sz w:val="24"/>
          <w:highlight w:val="none"/>
        </w:rPr>
        <w:t xml:space="preserve">   3.4.2 评标委员会完成评标后，应当向招标人提交书面评标报告。</w:t>
      </w:r>
    </w:p>
    <w:p>
      <w:pPr>
        <w:spacing w:line="340" w:lineRule="exact"/>
        <w:ind w:firstLine="480" w:firstLineChars="200"/>
        <w:rPr>
          <w:rFonts w:ascii="宋体" w:hAnsi="宋体"/>
          <w:color w:val="auto"/>
          <w:sz w:val="24"/>
          <w:highlight w:val="none"/>
        </w:rPr>
      </w:pPr>
    </w:p>
    <w:p>
      <w:pPr>
        <w:spacing w:line="340" w:lineRule="exact"/>
        <w:ind w:firstLine="480" w:firstLineChars="200"/>
        <w:rPr>
          <w:rFonts w:ascii="宋体" w:hAnsi="宋体"/>
          <w:color w:val="auto"/>
          <w:sz w:val="24"/>
          <w:highlight w:val="none"/>
        </w:rPr>
      </w:pPr>
    </w:p>
    <w:p>
      <w:pPr>
        <w:spacing w:line="500" w:lineRule="exact"/>
        <w:ind w:firstLine="482" w:firstLineChars="200"/>
        <w:rPr>
          <w:rFonts w:hint="eastAsia" w:ascii="宋体" w:hAnsi="宋体"/>
          <w:b/>
          <w:bCs/>
          <w:color w:val="auto"/>
          <w:sz w:val="24"/>
          <w:highlight w:val="none"/>
        </w:rPr>
      </w:pP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需要注意的问题：</w:t>
      </w: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color w:val="auto"/>
          <w:sz w:val="24"/>
          <w:highlight w:val="none"/>
        </w:rPr>
      </w:pPr>
    </w:p>
    <w:p>
      <w:pPr>
        <w:rPr>
          <w:color w:val="auto"/>
          <w:sz w:val="24"/>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44"/>
          <w:highlight w:val="none"/>
        </w:rPr>
      </w:pPr>
    </w:p>
    <w:p>
      <w:pPr>
        <w:tabs>
          <w:tab w:val="left" w:pos="4500"/>
        </w:tabs>
        <w:spacing w:line="520" w:lineRule="exact"/>
        <w:jc w:val="center"/>
        <w:rPr>
          <w:b/>
          <w:bCs/>
          <w:color w:val="auto"/>
          <w:sz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bookmarkStart w:id="222" w:name="_Toc13221"/>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ascii="黑体" w:eastAsia="黑体"/>
          <w:color w:val="auto"/>
          <w:sz w:val="44"/>
          <w:szCs w:val="44"/>
          <w:highlight w:val="none"/>
        </w:rPr>
      </w:pPr>
      <w:r>
        <w:rPr>
          <w:rFonts w:hint="eastAsia" w:ascii="黑体" w:eastAsia="黑体"/>
          <w:color w:val="auto"/>
          <w:sz w:val="44"/>
          <w:szCs w:val="44"/>
          <w:highlight w:val="none"/>
        </w:rPr>
        <w:t>第四章 合同条款及格式</w:t>
      </w:r>
      <w:bookmarkEnd w:id="222"/>
    </w:p>
    <w:p>
      <w:pPr>
        <w:adjustRightInd w:val="0"/>
        <w:snapToGrid w:val="0"/>
        <w:spacing w:line="360" w:lineRule="auto"/>
        <w:jc w:val="center"/>
        <w:outlineLvl w:val="0"/>
        <w:rPr>
          <w:rFonts w:ascii="黑体" w:eastAsia="黑体"/>
          <w:bCs/>
          <w:color w:val="auto"/>
          <w:sz w:val="36"/>
          <w:szCs w:val="36"/>
          <w:highlight w:val="none"/>
        </w:rPr>
      </w:pPr>
      <w:bookmarkStart w:id="223" w:name="_Toc9501"/>
      <w:r>
        <w:rPr>
          <w:rFonts w:hint="eastAsia" w:ascii="黑体" w:eastAsia="黑体"/>
          <w:bCs/>
          <w:color w:val="auto"/>
          <w:sz w:val="36"/>
          <w:szCs w:val="36"/>
          <w:highlight w:val="none"/>
        </w:rPr>
        <w:t>第一节 通用合同条款</w:t>
      </w:r>
      <w:bookmarkEnd w:id="223"/>
    </w:p>
    <w:p>
      <w:pPr>
        <w:adjustRightInd w:val="0"/>
        <w:snapToGrid w:val="0"/>
        <w:spacing w:line="360" w:lineRule="auto"/>
        <w:jc w:val="center"/>
        <w:rPr>
          <w:rFonts w:ascii="仿宋_GB2312" w:eastAsia="仿宋_GB2312"/>
          <w:color w:val="auto"/>
          <w:sz w:val="24"/>
          <w:highlight w:val="none"/>
        </w:rPr>
      </w:pPr>
    </w:p>
    <w:p>
      <w:pPr>
        <w:adjustRightInd w:val="0"/>
        <w:snapToGrid w:val="0"/>
        <w:spacing w:line="360" w:lineRule="auto"/>
        <w:jc w:val="center"/>
        <w:rPr>
          <w:rFonts w:ascii="黑体" w:eastAsia="黑体"/>
          <w:b/>
          <w:color w:val="auto"/>
          <w:sz w:val="44"/>
          <w:szCs w:val="44"/>
          <w:highlight w:val="none"/>
        </w:rPr>
      </w:pPr>
      <w:r>
        <w:rPr>
          <w:rFonts w:hint="eastAsia" w:ascii="仿宋_GB2312" w:eastAsia="仿宋_GB2312"/>
          <w:color w:val="auto"/>
          <w:sz w:val="24"/>
          <w:highlight w:val="none"/>
        </w:rPr>
        <w:t>参见中华人民共和国《标准施工招标文件》（2007年版）</w:t>
      </w: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widowControl/>
        <w:jc w:val="left"/>
      </w:pPr>
      <w:r>
        <w:rPr>
          <w:rFonts w:ascii="宋体" w:hAnsi="宋体" w:eastAsia="宋体" w:cs="宋体"/>
          <w:kern w:val="0"/>
          <w:sz w:val="24"/>
          <w:szCs w:val="24"/>
          <w:lang w:val="en-US" w:eastAsia="zh-CN"/>
        </w:rPr>
        <w:pict>
          <v:shape id="_x0000_i1026" o:spt="75" type="#_x0000_t75" style="height:24pt;width:24pt;" fillcolor="#FFFFFF" filled="f" o:preferrelative="t" stroked="f" coordsize="21600,21600">
            <v:path/>
            <v:fill on="f" color2="#FFFFFF" focussize="0,0"/>
            <v:stroke on="f"/>
            <v:imagedata gain="65536f" blacklevel="0f" gamma="0" o:title=""/>
            <o:lock v:ext="edit" position="f" selection="f" grouping="f" rotation="f" cropping="f" text="f" aspectratio="t"/>
            <w10:wrap type="none"/>
            <w10:anchorlock/>
          </v:shape>
        </w:pict>
      </w: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pageBreakBefore/>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第二节 专用合同条款</w:t>
      </w:r>
    </w:p>
    <w:p>
      <w:pPr>
        <w:tabs>
          <w:tab w:val="left" w:pos="4500"/>
        </w:tabs>
        <w:spacing w:line="520" w:lineRule="exact"/>
        <w:rPr>
          <w:rFonts w:hAnsi="宋体"/>
          <w:bCs/>
          <w:color w:val="auto"/>
          <w:sz w:val="24"/>
          <w:szCs w:val="28"/>
          <w:highlight w:val="none"/>
        </w:rPr>
      </w:pPr>
    </w:p>
    <w:p>
      <w:pPr>
        <w:adjustRightInd w:val="0"/>
        <w:snapToGrid w:val="0"/>
        <w:spacing w:beforeLines="100" w:afterLines="100" w:line="360" w:lineRule="auto"/>
        <w:jc w:val="center"/>
        <w:rPr>
          <w:rFonts w:eastAsia="黑体"/>
          <w:color w:val="auto"/>
          <w:sz w:val="32"/>
          <w:szCs w:val="32"/>
          <w:highlight w:val="none"/>
        </w:rPr>
      </w:pPr>
      <w:bookmarkStart w:id="224" w:name="_Toc132601562"/>
      <w:r>
        <w:rPr>
          <w:rFonts w:eastAsia="黑体"/>
          <w:color w:val="auto"/>
          <w:sz w:val="32"/>
          <w:szCs w:val="32"/>
          <w:highlight w:val="none"/>
        </w:rPr>
        <w:t>A．公路行业标准专用合同条款</w:t>
      </w:r>
    </w:p>
    <w:p>
      <w:pPr>
        <w:adjustRightInd w:val="0"/>
        <w:snapToGrid w:val="0"/>
        <w:spacing w:line="360" w:lineRule="auto"/>
        <w:rPr>
          <w:rFonts w:eastAsia="黑体"/>
          <w:color w:val="auto"/>
          <w:sz w:val="24"/>
          <w:highlight w:val="none"/>
        </w:rPr>
      </w:pPr>
      <w:r>
        <w:rPr>
          <w:rFonts w:eastAsia="黑体"/>
          <w:color w:val="auto"/>
          <w:sz w:val="24"/>
          <w:highlight w:val="none"/>
        </w:rPr>
        <w:t>1．一般约定</w:t>
      </w:r>
    </w:p>
    <w:p>
      <w:pPr>
        <w:adjustRightInd w:val="0"/>
        <w:snapToGrid w:val="0"/>
        <w:spacing w:line="360" w:lineRule="auto"/>
        <w:rPr>
          <w:rFonts w:eastAsia="黑体"/>
          <w:color w:val="auto"/>
          <w:sz w:val="24"/>
          <w:highlight w:val="none"/>
        </w:rPr>
      </w:pPr>
      <w:r>
        <w:rPr>
          <w:rFonts w:eastAsia="黑体"/>
          <w:color w:val="auto"/>
          <w:sz w:val="24"/>
          <w:highlight w:val="none"/>
        </w:rPr>
        <w:t>1.1词语定义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1.1.1合同</w:t>
      </w:r>
    </w:p>
    <w:p>
      <w:pPr>
        <w:adjustRightInd w:val="0"/>
        <w:snapToGrid w:val="0"/>
        <w:spacing w:line="360" w:lineRule="auto"/>
        <w:ind w:firstLine="720" w:firstLineChars="300"/>
        <w:rPr>
          <w:color w:val="auto"/>
          <w:sz w:val="24"/>
          <w:highlight w:val="none"/>
        </w:rPr>
      </w:pPr>
      <w:r>
        <w:rPr>
          <w:color w:val="auto"/>
          <w:sz w:val="24"/>
          <w:highlight w:val="none"/>
        </w:rPr>
        <w:t>1.1.1.6技术规范：为本合同所约定的</w:t>
      </w:r>
      <w:r>
        <w:rPr>
          <w:rFonts w:ascii="宋体" w:hAnsi="宋体"/>
          <w:color w:val="auto"/>
          <w:sz w:val="24"/>
          <w:highlight w:val="none"/>
        </w:rPr>
        <w:t>技</w:t>
      </w:r>
      <w:r>
        <w:rPr>
          <w:color w:val="auto"/>
          <w:sz w:val="24"/>
          <w:highlight w:val="none"/>
        </w:rPr>
        <w:t>术标准和要求。</w:t>
      </w:r>
    </w:p>
    <w:p>
      <w:pPr>
        <w:adjustRightInd w:val="0"/>
        <w:snapToGrid w:val="0"/>
        <w:spacing w:line="360" w:lineRule="auto"/>
        <w:ind w:firstLine="720" w:firstLineChars="300"/>
        <w:rPr>
          <w:color w:val="auto"/>
          <w:sz w:val="24"/>
          <w:highlight w:val="none"/>
        </w:rPr>
      </w:pPr>
      <w:r>
        <w:rPr>
          <w:color w:val="auto"/>
          <w:sz w:val="24"/>
          <w:highlight w:val="none"/>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10目：</w:t>
      </w:r>
    </w:p>
    <w:p>
      <w:pPr>
        <w:adjustRightInd w:val="0"/>
        <w:snapToGrid w:val="0"/>
        <w:spacing w:line="360" w:lineRule="auto"/>
        <w:ind w:firstLine="720" w:firstLineChars="300"/>
        <w:rPr>
          <w:color w:val="auto"/>
          <w:sz w:val="24"/>
          <w:highlight w:val="none"/>
        </w:rPr>
      </w:pPr>
      <w:r>
        <w:rPr>
          <w:color w:val="auto"/>
          <w:sz w:val="24"/>
          <w:highlight w:val="none"/>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1.1.2合同当事人和人员</w:t>
      </w:r>
    </w:p>
    <w:p>
      <w:pPr>
        <w:adjustRightInd w:val="0"/>
        <w:snapToGrid w:val="0"/>
        <w:spacing w:line="360" w:lineRule="auto"/>
        <w:ind w:firstLine="720" w:firstLineChars="300"/>
        <w:rPr>
          <w:color w:val="auto"/>
          <w:sz w:val="24"/>
          <w:highlight w:val="none"/>
          <w:u w:val="single"/>
        </w:rPr>
      </w:pPr>
      <w:r>
        <w:rPr>
          <w:color w:val="auto"/>
          <w:sz w:val="24"/>
          <w:highlight w:val="none"/>
        </w:rPr>
        <w:t>1</w:t>
      </w:r>
      <w:r>
        <w:rPr>
          <w:rFonts w:hint="eastAsia"/>
          <w:color w:val="auto"/>
          <w:sz w:val="24"/>
          <w:highlight w:val="none"/>
        </w:rPr>
        <w:t>.</w:t>
      </w:r>
      <w:r>
        <w:rPr>
          <w:color w:val="auto"/>
          <w:sz w:val="24"/>
          <w:highlight w:val="none"/>
        </w:rPr>
        <w:t>1.2.2发包人：</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rFonts w:hint="eastAsia"/>
          <w:color w:val="auto"/>
          <w:sz w:val="24"/>
          <w:highlight w:val="none"/>
        </w:rPr>
        <w:t>1.1</w:t>
      </w:r>
      <w:r>
        <w:rPr>
          <w:color w:val="auto"/>
          <w:sz w:val="24"/>
          <w:highlight w:val="none"/>
        </w:rPr>
        <w:t>.2.6监理人</w:t>
      </w:r>
      <w:r>
        <w:rPr>
          <w:rFonts w:hint="eastAsia"/>
          <w:color w:val="auto"/>
          <w:sz w:val="24"/>
          <w:highlight w:val="none"/>
        </w:rPr>
        <w:t>：</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1.2.8目：</w:t>
      </w:r>
    </w:p>
    <w:p>
      <w:pPr>
        <w:adjustRightInd w:val="0"/>
        <w:snapToGrid w:val="0"/>
        <w:spacing w:line="360" w:lineRule="auto"/>
        <w:ind w:firstLine="720" w:firstLineChars="300"/>
        <w:rPr>
          <w:color w:val="auto"/>
          <w:sz w:val="24"/>
          <w:highlight w:val="none"/>
        </w:rPr>
      </w:pPr>
      <w:r>
        <w:rPr>
          <w:color w:val="auto"/>
          <w:sz w:val="24"/>
          <w:highlight w:val="none"/>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3工程和设备</w:t>
      </w:r>
    </w:p>
    <w:p>
      <w:pPr>
        <w:adjustRightInd w:val="0"/>
        <w:snapToGrid w:val="0"/>
        <w:spacing w:line="360" w:lineRule="auto"/>
        <w:ind w:firstLine="720" w:firstLineChars="300"/>
        <w:rPr>
          <w:color w:val="auto"/>
          <w:sz w:val="24"/>
          <w:highlight w:val="none"/>
        </w:rPr>
      </w:pPr>
      <w:r>
        <w:rPr>
          <w:color w:val="auto"/>
          <w:sz w:val="24"/>
          <w:highlight w:val="none"/>
        </w:rPr>
        <w:t>1.1.3.4单位工程：指在建设项目中，根据签订的合同，具有独立施工条件的工程。</w:t>
      </w:r>
    </w:p>
    <w:p>
      <w:pPr>
        <w:adjustRightInd w:val="0"/>
        <w:snapToGrid w:val="0"/>
        <w:spacing w:line="360" w:lineRule="auto"/>
        <w:ind w:firstLine="720" w:firstLineChars="300"/>
        <w:rPr>
          <w:color w:val="auto"/>
          <w:sz w:val="24"/>
          <w:highlight w:val="none"/>
        </w:rPr>
      </w:pPr>
      <w:r>
        <w:rPr>
          <w:color w:val="auto"/>
          <w:sz w:val="24"/>
          <w:highlight w:val="none"/>
        </w:rPr>
        <w:t>1.1.3.10永久占地：指为实施本合同工程而需要的一切永久占用的土地，包括公路两侧路权范围内的用地。</w:t>
      </w:r>
    </w:p>
    <w:p>
      <w:pPr>
        <w:adjustRightInd w:val="0"/>
        <w:snapToGrid w:val="0"/>
        <w:spacing w:line="360" w:lineRule="auto"/>
        <w:ind w:firstLine="720" w:firstLineChars="300"/>
        <w:rPr>
          <w:color w:val="auto"/>
          <w:sz w:val="24"/>
          <w:highlight w:val="none"/>
        </w:rPr>
      </w:pPr>
      <w:r>
        <w:rPr>
          <w:color w:val="auto"/>
          <w:sz w:val="24"/>
          <w:highlight w:val="none"/>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color w:val="auto"/>
          <w:sz w:val="24"/>
          <w:highlight w:val="none"/>
        </w:rPr>
      </w:pPr>
      <w:r>
        <w:rPr>
          <w:color w:val="auto"/>
          <w:sz w:val="24"/>
          <w:highlight w:val="none"/>
        </w:rPr>
        <w:t>本项增加第1．1.3．12、1．1.3．13目：</w:t>
      </w:r>
    </w:p>
    <w:p>
      <w:pPr>
        <w:adjustRightInd w:val="0"/>
        <w:snapToGrid w:val="0"/>
        <w:spacing w:line="360" w:lineRule="auto"/>
        <w:ind w:firstLine="720" w:firstLineChars="3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1.3.12分部工程：指在单位工程中，按结构部位、路段长度及施工特点或施工任务划分的若干个工程。</w:t>
      </w:r>
    </w:p>
    <w:p>
      <w:pPr>
        <w:adjustRightInd w:val="0"/>
        <w:snapToGrid w:val="0"/>
        <w:spacing w:line="360" w:lineRule="auto"/>
        <w:ind w:firstLine="720" w:firstLineChars="300"/>
        <w:rPr>
          <w:color w:val="auto"/>
          <w:sz w:val="24"/>
          <w:highlight w:val="none"/>
        </w:rPr>
      </w:pPr>
      <w:r>
        <w:rPr>
          <w:color w:val="auto"/>
          <w:sz w:val="24"/>
          <w:highlight w:val="none"/>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1.1.4日期</w:t>
      </w:r>
    </w:p>
    <w:p>
      <w:pPr>
        <w:adjustRightInd w:val="0"/>
        <w:snapToGrid w:val="0"/>
        <w:spacing w:line="360" w:lineRule="auto"/>
        <w:ind w:firstLine="720" w:firstLineChars="300"/>
        <w:rPr>
          <w:color w:val="auto"/>
          <w:sz w:val="24"/>
          <w:highlight w:val="none"/>
        </w:rPr>
      </w:pPr>
      <w:r>
        <w:rPr>
          <w:color w:val="auto"/>
          <w:sz w:val="24"/>
          <w:highlight w:val="none"/>
        </w:rPr>
        <w:t>1.1.4.5缺陷责任期：自实际竣工日期起计算</w:t>
      </w:r>
      <w:r>
        <w:rPr>
          <w:rFonts w:hint="eastAsia"/>
          <w:color w:val="auto"/>
          <w:sz w:val="24"/>
          <w:highlight w:val="none"/>
        </w:rPr>
        <w:t>1</w:t>
      </w:r>
      <w:r>
        <w:rPr>
          <w:color w:val="auto"/>
          <w:sz w:val="24"/>
          <w:highlight w:val="none"/>
        </w:rPr>
        <w:t>年。</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1.6其他</w:t>
      </w:r>
    </w:p>
    <w:p>
      <w:pPr>
        <w:adjustRightInd w:val="0"/>
        <w:snapToGrid w:val="0"/>
        <w:spacing w:line="360" w:lineRule="auto"/>
        <w:ind w:firstLine="720" w:firstLineChars="300"/>
        <w:rPr>
          <w:color w:val="auto"/>
          <w:sz w:val="24"/>
          <w:highlight w:val="none"/>
        </w:rPr>
      </w:pPr>
      <w:r>
        <w:rPr>
          <w:color w:val="auto"/>
          <w:sz w:val="24"/>
          <w:highlight w:val="none"/>
        </w:rPr>
        <w:t>本项增加第1．1.6.2至1．1.6.5目：</w:t>
      </w:r>
    </w:p>
    <w:p>
      <w:pPr>
        <w:adjustRightInd w:val="0"/>
        <w:snapToGrid w:val="0"/>
        <w:spacing w:line="360" w:lineRule="auto"/>
        <w:ind w:firstLine="720" w:firstLineChars="300"/>
        <w:rPr>
          <w:color w:val="auto"/>
          <w:sz w:val="24"/>
          <w:highlight w:val="none"/>
        </w:rPr>
      </w:pPr>
      <w:r>
        <w:rPr>
          <w:color w:val="auto"/>
          <w:sz w:val="24"/>
          <w:highlight w:val="none"/>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color w:val="auto"/>
          <w:sz w:val="24"/>
          <w:highlight w:val="none"/>
        </w:rPr>
      </w:pPr>
      <w:r>
        <w:rPr>
          <w:color w:val="auto"/>
          <w:sz w:val="24"/>
          <w:highlight w:val="none"/>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color w:val="auto"/>
          <w:sz w:val="24"/>
          <w:highlight w:val="none"/>
        </w:rPr>
      </w:pPr>
      <w:r>
        <w:rPr>
          <w:rFonts w:eastAsia="黑体"/>
          <w:color w:val="auto"/>
          <w:sz w:val="24"/>
          <w:highlight w:val="none"/>
        </w:rPr>
        <w:t>1.4合同文件的优先顺序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组成合同的各项文件应互相解释，互为说明。除项目专用合同条款另有约定外，解释合同文件的优先顺序如下：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）其他合同文件。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1.5合同协议书</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制备本合同文件的费用由发包人承担。在合同协议书签订并生效之前，投标函和中标通知书将约束双方。</w:t>
      </w:r>
    </w:p>
    <w:p>
      <w:pPr>
        <w:adjustRightInd w:val="0"/>
        <w:snapToGrid w:val="0"/>
        <w:spacing w:beforeLines="100" w:line="360" w:lineRule="auto"/>
        <w:rPr>
          <w:rFonts w:eastAsia="黑体"/>
          <w:color w:val="auto"/>
          <w:sz w:val="24"/>
          <w:highlight w:val="none"/>
        </w:rPr>
      </w:pPr>
      <w:r>
        <w:rPr>
          <w:rFonts w:eastAsia="黑体"/>
          <w:color w:val="auto"/>
          <w:sz w:val="24"/>
          <w:highlight w:val="none"/>
        </w:rPr>
        <w:t>1.6图纸和承包人文件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1.6.1图纸的提供</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1.6.2承包人提供的文件</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1.6.3图纸的修改</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w:t>
      </w:r>
      <w:r>
        <w:rPr>
          <w:color w:val="auto"/>
          <w:sz w:val="24"/>
          <w:highlight w:val="none"/>
        </w:rPr>
        <w:t>天（在项目专用条款数据表中予以规定）签发图纸修改图给承包人。承包人应按修改后的图纸施工。</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1.6.4图纸的错误</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1.7联络</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1.7.2来往函件送达的期限：</w:t>
      </w:r>
      <w:r>
        <w:rPr>
          <w:rFonts w:hint="eastAsia" w:eastAsia="黑体"/>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1.9严禁贿赔</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w:t>
      </w:r>
      <w:r>
        <w:rPr>
          <w:rFonts w:hint="eastAsia" w:eastAsia="黑体"/>
          <w:color w:val="auto"/>
          <w:sz w:val="24"/>
          <w:highlight w:val="none"/>
        </w:rPr>
        <w:t>．</w:t>
      </w:r>
      <w:r>
        <w:rPr>
          <w:rFonts w:eastAsia="黑体"/>
          <w:color w:val="auto"/>
          <w:sz w:val="24"/>
          <w:highlight w:val="none"/>
        </w:rPr>
        <w:t>发包人义务</w:t>
      </w:r>
    </w:p>
    <w:p>
      <w:pPr>
        <w:adjustRightInd w:val="0"/>
        <w:snapToGrid w:val="0"/>
        <w:spacing w:line="360" w:lineRule="auto"/>
        <w:rPr>
          <w:rFonts w:eastAsia="黑体"/>
          <w:color w:val="auto"/>
          <w:sz w:val="24"/>
          <w:highlight w:val="none"/>
        </w:rPr>
      </w:pPr>
      <w:r>
        <w:rPr>
          <w:rFonts w:eastAsia="黑体"/>
          <w:color w:val="auto"/>
          <w:sz w:val="24"/>
          <w:highlight w:val="none"/>
        </w:rPr>
        <w:t>2.3提供施工场地</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2.3.1提供永久占地</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color w:val="auto"/>
          <w:sz w:val="24"/>
          <w:highlight w:val="none"/>
        </w:rPr>
      </w:pPr>
      <w:r>
        <w:rPr>
          <w:color w:val="auto"/>
          <w:sz w:val="24"/>
          <w:highlight w:val="none"/>
        </w:rPr>
        <w:t>2.3.2提供临时占地</w:t>
      </w:r>
    </w:p>
    <w:p>
      <w:pPr>
        <w:adjustRightInd w:val="0"/>
        <w:snapToGrid w:val="0"/>
        <w:spacing w:line="360" w:lineRule="auto"/>
        <w:ind w:firstLine="480" w:firstLineChars="200"/>
        <w:rPr>
          <w:color w:val="auto"/>
          <w:sz w:val="24"/>
          <w:highlight w:val="none"/>
        </w:rPr>
      </w:pPr>
      <w:r>
        <w:rPr>
          <w:color w:val="auto"/>
          <w:sz w:val="24"/>
          <w:highlight w:val="none"/>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w:t>
      </w:r>
      <w:r>
        <w:rPr>
          <w:rFonts w:hint="eastAsia"/>
          <w:color w:val="auto"/>
          <w:sz w:val="24"/>
          <w:highlight w:val="none"/>
          <w:u w:val="single"/>
        </w:rPr>
        <w:t xml:space="preserve">          </w:t>
      </w:r>
      <w:r>
        <w:rPr>
          <w:color w:val="auto"/>
          <w:sz w:val="24"/>
          <w:highlight w:val="none"/>
        </w:rPr>
        <w:t>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color w:val="auto"/>
          <w:sz w:val="24"/>
          <w:highlight w:val="none"/>
        </w:rPr>
      </w:pPr>
      <w:r>
        <w:rPr>
          <w:color w:val="auto"/>
          <w:sz w:val="24"/>
          <w:highlight w:val="none"/>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2.8其他义务</w:t>
      </w:r>
    </w:p>
    <w:p>
      <w:pPr>
        <w:adjustRightInd w:val="0"/>
        <w:snapToGrid w:val="0"/>
        <w:spacing w:line="360" w:lineRule="auto"/>
        <w:ind w:firstLine="480" w:firstLineChars="200"/>
        <w:rPr>
          <w:color w:val="auto"/>
          <w:sz w:val="24"/>
          <w:highlight w:val="none"/>
          <w:u w:val="single"/>
        </w:rPr>
      </w:pPr>
      <w:r>
        <w:rPr>
          <w:color w:val="auto"/>
          <w:sz w:val="24"/>
          <w:highlight w:val="none"/>
        </w:rPr>
        <w:t>发包人应履行的其他义务</w:t>
      </w:r>
      <w:r>
        <w:rPr>
          <w:rFonts w:hint="eastAsia"/>
          <w:color w:val="auto"/>
          <w:sz w:val="24"/>
          <w:highlight w:val="none"/>
        </w:rPr>
        <w:t>：</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3</w:t>
      </w:r>
      <w:r>
        <w:rPr>
          <w:rFonts w:hint="eastAsia" w:eastAsia="黑体"/>
          <w:color w:val="auto"/>
          <w:sz w:val="24"/>
          <w:highlight w:val="none"/>
        </w:rPr>
        <w:t>．</w:t>
      </w:r>
      <w:r>
        <w:rPr>
          <w:rFonts w:eastAsia="黑体"/>
          <w:color w:val="auto"/>
          <w:sz w:val="24"/>
          <w:highlight w:val="none"/>
        </w:rPr>
        <w:t>监理人</w:t>
      </w:r>
    </w:p>
    <w:p>
      <w:pPr>
        <w:adjustRightInd w:val="0"/>
        <w:snapToGrid w:val="0"/>
        <w:spacing w:line="360" w:lineRule="auto"/>
        <w:rPr>
          <w:rFonts w:eastAsia="黑体"/>
          <w:color w:val="auto"/>
          <w:sz w:val="24"/>
          <w:highlight w:val="none"/>
        </w:rPr>
      </w:pPr>
      <w:r>
        <w:rPr>
          <w:rFonts w:eastAsia="黑体"/>
          <w:color w:val="auto"/>
          <w:sz w:val="24"/>
          <w:highlight w:val="none"/>
        </w:rPr>
        <w:t>3.1监理人的职责和权力</w:t>
      </w:r>
    </w:p>
    <w:p>
      <w:pPr>
        <w:adjustRightInd w:val="0"/>
        <w:snapToGrid w:val="0"/>
        <w:spacing w:line="360" w:lineRule="auto"/>
        <w:ind w:firstLine="480" w:firstLineChars="200"/>
        <w:rPr>
          <w:color w:val="auto"/>
          <w:sz w:val="24"/>
          <w:highlight w:val="none"/>
        </w:rPr>
      </w:pPr>
      <w:r>
        <w:rPr>
          <w:color w:val="auto"/>
          <w:sz w:val="24"/>
          <w:highlight w:val="none"/>
        </w:rPr>
        <w:t>3.1</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监理人在行使下列权力前需要经发包人事先批准：</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根据第4.3款，同意分包本工程的某非主体和关键性工作；</w:t>
      </w:r>
    </w:p>
    <w:p>
      <w:pPr>
        <w:adjustRightInd w:val="0"/>
        <w:snapToGrid w:val="0"/>
        <w:spacing w:line="360" w:lineRule="auto"/>
        <w:ind w:firstLine="480" w:firstLineChars="200"/>
        <w:rPr>
          <w:color w:val="auto"/>
          <w:sz w:val="24"/>
          <w:highlight w:val="none"/>
        </w:rPr>
      </w:pPr>
      <w:r>
        <w:rPr>
          <w:color w:val="auto"/>
          <w:sz w:val="24"/>
          <w:highlight w:val="none"/>
        </w:rPr>
        <w:t>（2）确定第4.11款下产生的费用增加额；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3）根据第11</w:t>
      </w:r>
      <w:r>
        <w:rPr>
          <w:rFonts w:hint="eastAsia"/>
          <w:color w:val="auto"/>
          <w:sz w:val="24"/>
          <w:highlight w:val="none"/>
        </w:rPr>
        <w:t>.</w:t>
      </w:r>
      <w:r>
        <w:rPr>
          <w:color w:val="auto"/>
          <w:sz w:val="24"/>
          <w:highlight w:val="none"/>
        </w:rPr>
        <w:t>1款、12.3款、12.4款发布开工通知、暂停施工指示或复工通矢日；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决定第11.3款、11.4款下的工期延长；</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审查批准技术规范或设计的变更；</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根据第15.3款发出的变更指令，其单项工程变更涉及的金额超过了该单项工程原合同价的</w:t>
      </w:r>
      <w:r>
        <w:rPr>
          <w:rFonts w:hint="eastAsia"/>
          <w:color w:val="auto"/>
          <w:sz w:val="24"/>
          <w:highlight w:val="none"/>
          <w:u w:val="single"/>
        </w:rPr>
        <w:t xml:space="preserve">    </w:t>
      </w:r>
      <w:r>
        <w:rPr>
          <w:color w:val="auto"/>
          <w:sz w:val="24"/>
          <w:highlight w:val="none"/>
        </w:rPr>
        <w:t>％或累计变更超过了原总合同价的</w:t>
      </w:r>
      <w:r>
        <w:rPr>
          <w:rFonts w:hint="eastAsia"/>
          <w:color w:val="auto"/>
          <w:sz w:val="24"/>
          <w:highlight w:val="none"/>
          <w:u w:val="single"/>
        </w:rPr>
        <w:t xml:space="preserve">    </w:t>
      </w:r>
      <w:r>
        <w:rPr>
          <w:color w:val="auto"/>
          <w:sz w:val="24"/>
          <w:highlight w:val="none"/>
        </w:rPr>
        <w:t>％（在项目专用条款数据表中予以规定）；</w:t>
      </w:r>
    </w:p>
    <w:p>
      <w:pPr>
        <w:adjustRightInd w:val="0"/>
        <w:snapToGrid w:val="0"/>
        <w:spacing w:line="360" w:lineRule="auto"/>
        <w:ind w:firstLine="480" w:firstLineChars="200"/>
        <w:rPr>
          <w:color w:val="auto"/>
          <w:sz w:val="24"/>
          <w:highlight w:val="none"/>
        </w:rPr>
      </w:pPr>
      <w:r>
        <w:rPr>
          <w:color w:val="auto"/>
          <w:sz w:val="24"/>
          <w:highlight w:val="none"/>
        </w:rPr>
        <w:t>（7）确定第23.1款项下的索赔额；</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按照第15.6款决定有关暂列金额的使用；</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确定第15.8款项下的暂估价金额；</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确定第15.4款下变更工作的单价。</w:t>
      </w:r>
    </w:p>
    <w:p>
      <w:pPr>
        <w:adjustRightInd w:val="0"/>
        <w:snapToGrid w:val="0"/>
        <w:spacing w:line="360" w:lineRule="auto"/>
        <w:ind w:firstLine="480" w:firstLineChars="200"/>
        <w:rPr>
          <w:color w:val="auto"/>
          <w:sz w:val="24"/>
          <w:highlight w:val="none"/>
        </w:rPr>
      </w:pPr>
      <w:r>
        <w:rPr>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3.5商定或确定</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3.5</w:t>
      </w:r>
      <w:r>
        <w:rPr>
          <w:rFonts w:hint="eastAsia" w:eastAsia="黑体"/>
          <w:color w:val="auto"/>
          <w:sz w:val="24"/>
          <w:highlight w:val="none"/>
        </w:rPr>
        <w:t>.</w:t>
      </w:r>
      <w:r>
        <w:rPr>
          <w:rFonts w:eastAsia="黑体"/>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承包人</w:t>
      </w:r>
    </w:p>
    <w:p>
      <w:pPr>
        <w:adjustRightInd w:val="0"/>
        <w:snapToGrid w:val="0"/>
        <w:spacing w:line="360" w:lineRule="auto"/>
        <w:rPr>
          <w:rFonts w:eastAsia="黑体"/>
          <w:color w:val="auto"/>
          <w:sz w:val="24"/>
          <w:highlight w:val="none"/>
        </w:rPr>
      </w:pPr>
      <w:r>
        <w:rPr>
          <w:rFonts w:eastAsia="黑体"/>
          <w:color w:val="auto"/>
          <w:sz w:val="24"/>
          <w:highlight w:val="none"/>
        </w:rPr>
        <w:t>4.1承包人的一般义务</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1.2依法纳税</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承包人应按有关法律规定纳税。应缴纳的税费应按项目专用合同条款的约定：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包括在工程量清单第100章相应的支付子目中；或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分摊在工程量清单各工程子目的单价或总额价内。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4.1.8为他人提供方便</w:t>
      </w:r>
    </w:p>
    <w:p>
      <w:pPr>
        <w:adjustRightInd w:val="0"/>
        <w:snapToGrid w:val="0"/>
        <w:spacing w:line="360" w:lineRule="auto"/>
        <w:ind w:firstLine="480" w:firstLineChars="200"/>
        <w:rPr>
          <w:color w:val="auto"/>
          <w:sz w:val="24"/>
          <w:highlight w:val="none"/>
        </w:rPr>
      </w:pPr>
      <w:r>
        <w:rPr>
          <w:color w:val="auto"/>
          <w:sz w:val="24"/>
          <w:highlight w:val="none"/>
        </w:rPr>
        <w:t>承包人为他人提供条件的内容：</w:t>
      </w:r>
      <w:r>
        <w:rPr>
          <w:rFonts w:hint="eastAsia" w:ascii="宋体" w:hAnsi="宋体"/>
          <w:color w:val="auto"/>
          <w:sz w:val="24"/>
          <w:highlight w:val="none"/>
          <w:u w:val="single"/>
        </w:rPr>
        <w:t xml:space="preserve">  （见项目专用合同条款）  </w:t>
      </w:r>
    </w:p>
    <w:p>
      <w:pPr>
        <w:adjustRightInd w:val="0"/>
        <w:snapToGrid w:val="0"/>
        <w:spacing w:line="360" w:lineRule="auto"/>
        <w:ind w:firstLine="480" w:firstLineChars="200"/>
        <w:rPr>
          <w:rFonts w:eastAsia="黑体"/>
          <w:color w:val="auto"/>
          <w:sz w:val="24"/>
          <w:highlight w:val="none"/>
          <w:u w:val="single"/>
        </w:rPr>
      </w:pPr>
      <w:r>
        <w:rPr>
          <w:color w:val="auto"/>
          <w:sz w:val="24"/>
          <w:highlight w:val="none"/>
        </w:rPr>
        <w:t>承包人为他人提供条件可能发生费用的处理方法：</w:t>
      </w:r>
      <w:r>
        <w:rPr>
          <w:rFonts w:hint="eastAsia" w:ascii="宋体" w:hAnsi="宋体"/>
          <w:color w:val="auto"/>
          <w:sz w:val="24"/>
          <w:highlight w:val="none"/>
          <w:u w:val="single"/>
        </w:rPr>
        <w:t xml:space="preserve">  （见项目专用合同条款）</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4.1.9工程的维护和照管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w:t>
      </w:r>
      <w:r>
        <w:rPr>
          <w:rFonts w:hint="eastAsia" w:eastAsia="黑体"/>
          <w:color w:val="auto"/>
          <w:sz w:val="24"/>
          <w:highlight w:val="none"/>
        </w:rPr>
        <w:t>.</w:t>
      </w:r>
      <w:r>
        <w:rPr>
          <w:rFonts w:eastAsia="黑体"/>
          <w:color w:val="auto"/>
          <w:sz w:val="24"/>
          <w:highlight w:val="none"/>
        </w:rPr>
        <w:t>10其他义务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color w:val="auto"/>
          <w:sz w:val="24"/>
          <w:highlight w:val="none"/>
        </w:rPr>
      </w:pPr>
      <w:r>
        <w:rPr>
          <w:rFonts w:hint="eastAsia"/>
          <w:color w:val="auto"/>
          <w:sz w:val="24"/>
          <w:highlight w:val="none"/>
        </w:rPr>
        <w:t>工</w:t>
      </w:r>
      <w:r>
        <w:rPr>
          <w:color w:val="auto"/>
          <w:sz w:val="24"/>
          <w:highlight w:val="none"/>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承包人应履行项目专用合同条款约定的其他义务。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4.2履约担保</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联合体的履约担保应由联合体牵头人提交，其金额应达到投标函附录中规定的金额。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4.3分包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4.3.2项细化为：</w:t>
      </w:r>
    </w:p>
    <w:p>
      <w:pPr>
        <w:adjustRightInd w:val="0"/>
        <w:snapToGrid w:val="0"/>
        <w:spacing w:line="360" w:lineRule="auto"/>
        <w:ind w:firstLine="480" w:firstLineChars="200"/>
        <w:rPr>
          <w:color w:val="auto"/>
          <w:sz w:val="24"/>
          <w:highlight w:val="none"/>
        </w:rPr>
      </w:pPr>
      <w:r>
        <w:rPr>
          <w:color w:val="auto"/>
          <w:sz w:val="24"/>
          <w:highlight w:val="none"/>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4.3.3项至4.3.5项细化为：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4.3.3专业分包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在工程施工过程中，承包人如有专业分包计划，则必须遵守以下规定：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允许专业分包的工程范围仅限于分部工程或分项工程、适合专业化队伍施工的工程，专业分包的工程量不得超过总工程量的30%</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专业分包人的资格能力（含安全生产能力）应与其分包工程的标准和规模相适应，具备相应的专业承包资质；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专业分包工程不得再次分包或转包；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（4）承包人应对专业分包工程的工程质量及专业分包人职工的行为、违约和疏忽承担责任；</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所有专</w:t>
      </w:r>
      <w:r>
        <w:rPr>
          <w:rFonts w:hint="eastAsia"/>
          <w:color w:val="auto"/>
          <w:sz w:val="24"/>
          <w:highlight w:val="none"/>
        </w:rPr>
        <w:t>业</w:t>
      </w:r>
      <w:r>
        <w:rPr>
          <w:color w:val="auto"/>
          <w:sz w:val="24"/>
          <w:highlight w:val="none"/>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4.3.4劳务分包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在工程施工过程中，承包人如有劳务分包计划，则必须遵守以下规定：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承包人应当对劳务分包人员进行安全培训和管理，劳务分包人不得将其分包的劳务作业再次分包或转包；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（4）承包人应对劳务分包人职工的行为、违约和疏忽所造成的后果负完全连带责任。</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beforeLines="100" w:line="360" w:lineRule="auto"/>
        <w:rPr>
          <w:rFonts w:eastAsia="黑体"/>
          <w:color w:val="auto"/>
          <w:sz w:val="24"/>
          <w:highlight w:val="none"/>
        </w:rPr>
      </w:pPr>
      <w:r>
        <w:rPr>
          <w:rFonts w:eastAsia="黑体"/>
          <w:color w:val="auto"/>
          <w:sz w:val="24"/>
          <w:highlight w:val="none"/>
        </w:rPr>
        <w:t>4.4联合体</w:t>
      </w:r>
    </w:p>
    <w:p>
      <w:pPr>
        <w:adjustRightInd w:val="0"/>
        <w:snapToGrid w:val="0"/>
        <w:spacing w:line="360" w:lineRule="auto"/>
        <w:ind w:firstLine="480" w:firstLineChars="200"/>
        <w:rPr>
          <w:color w:val="auto"/>
          <w:sz w:val="24"/>
          <w:highlight w:val="none"/>
        </w:rPr>
      </w:pPr>
      <w:r>
        <w:rPr>
          <w:color w:val="auto"/>
          <w:sz w:val="24"/>
          <w:highlight w:val="none"/>
        </w:rPr>
        <w:t>本款增加第4.4.4项：</w:t>
      </w:r>
    </w:p>
    <w:p>
      <w:pPr>
        <w:adjustRightInd w:val="0"/>
        <w:snapToGrid w:val="0"/>
        <w:spacing w:line="360" w:lineRule="auto"/>
        <w:ind w:firstLine="480" w:firstLineChars="200"/>
        <w:rPr>
          <w:color w:val="auto"/>
          <w:sz w:val="24"/>
          <w:highlight w:val="none"/>
        </w:rPr>
      </w:pPr>
      <w:r>
        <w:rPr>
          <w:color w:val="auto"/>
          <w:sz w:val="24"/>
          <w:highlight w:val="none"/>
        </w:rPr>
        <w:t>4.4.4未经发包人事先同意，联合体的组成与结构不得变动。</w:t>
      </w:r>
    </w:p>
    <w:p>
      <w:pPr>
        <w:adjustRightInd w:val="0"/>
        <w:snapToGrid w:val="0"/>
        <w:spacing w:beforeLines="100" w:line="360" w:lineRule="auto"/>
        <w:rPr>
          <w:rFonts w:eastAsia="黑体"/>
          <w:color w:val="auto"/>
          <w:sz w:val="24"/>
          <w:highlight w:val="none"/>
        </w:rPr>
      </w:pPr>
      <w:r>
        <w:rPr>
          <w:rFonts w:eastAsia="黑体"/>
          <w:color w:val="auto"/>
          <w:sz w:val="24"/>
          <w:highlight w:val="none"/>
        </w:rPr>
        <w:t>4.6承包人人员的管理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4.6.3项细化为：</w:t>
      </w:r>
    </w:p>
    <w:p>
      <w:pPr>
        <w:adjustRightInd w:val="0"/>
        <w:snapToGrid w:val="0"/>
        <w:spacing w:line="360" w:lineRule="auto"/>
        <w:ind w:firstLine="480" w:firstLineChars="200"/>
        <w:rPr>
          <w:color w:val="auto"/>
          <w:sz w:val="24"/>
          <w:highlight w:val="none"/>
        </w:rPr>
      </w:pPr>
      <w:r>
        <w:rPr>
          <w:color w:val="auto"/>
          <w:sz w:val="24"/>
          <w:highlight w:val="none"/>
        </w:rPr>
        <w:t>承包人安排在施工场地的主要管理人员和技术骨干应与投标文件（如承包人未奎投标阶段对人员进行新增或更新，则以资格预审申请文件为准）所承诺的名单</w:t>
      </w:r>
      <w:r>
        <w:rPr>
          <w:rFonts w:hint="eastAsia"/>
          <w:color w:val="auto"/>
          <w:sz w:val="24"/>
          <w:highlight w:val="none"/>
        </w:rPr>
        <w:t>一致，</w:t>
      </w:r>
      <w:r>
        <w:rPr>
          <w:color w:val="auto"/>
          <w:sz w:val="24"/>
          <w:highlight w:val="none"/>
        </w:rPr>
        <w:t>并保持相对稳定。未经监理人批准，上述人员不应无故不到位或被替换；若确</w:t>
      </w:r>
      <w:r>
        <w:rPr>
          <w:rFonts w:hint="eastAsia"/>
          <w:color w:val="auto"/>
          <w:sz w:val="24"/>
          <w:highlight w:val="none"/>
        </w:rPr>
        <w:t>实无</w:t>
      </w:r>
      <w:r>
        <w:rPr>
          <w:color w:val="auto"/>
          <w:sz w:val="24"/>
          <w:highlight w:val="none"/>
        </w:rPr>
        <w:t>法到位或需替换，需经监理人审核并报发包人批准后，用同等资质和</w:t>
      </w:r>
      <w:r>
        <w:rPr>
          <w:rFonts w:hint="eastAsia"/>
          <w:color w:val="auto"/>
          <w:sz w:val="24"/>
          <w:highlight w:val="none"/>
        </w:rPr>
        <w:t>经历的人</w:t>
      </w:r>
      <w:r>
        <w:rPr>
          <w:color w:val="auto"/>
          <w:sz w:val="24"/>
          <w:highlight w:val="none"/>
        </w:rPr>
        <w:t>员替换。</w:t>
      </w:r>
    </w:p>
    <w:p>
      <w:pPr>
        <w:adjustRightInd w:val="0"/>
        <w:snapToGrid w:val="0"/>
        <w:spacing w:line="360" w:lineRule="auto"/>
        <w:ind w:firstLine="480" w:firstLineChars="200"/>
        <w:rPr>
          <w:color w:val="auto"/>
          <w:sz w:val="24"/>
          <w:highlight w:val="none"/>
        </w:rPr>
      </w:pPr>
      <w:r>
        <w:rPr>
          <w:color w:val="auto"/>
          <w:sz w:val="24"/>
          <w:highlight w:val="none"/>
        </w:rPr>
        <w:t>本款增加第4.6.5项：</w:t>
      </w:r>
    </w:p>
    <w:p>
      <w:pPr>
        <w:adjustRightInd w:val="0"/>
        <w:snapToGrid w:val="0"/>
        <w:spacing w:line="360" w:lineRule="auto"/>
        <w:ind w:firstLine="480" w:firstLineChars="200"/>
        <w:rPr>
          <w:color w:val="auto"/>
          <w:sz w:val="24"/>
          <w:highlight w:val="none"/>
        </w:rPr>
      </w:pPr>
      <w:r>
        <w:rPr>
          <w:color w:val="auto"/>
          <w:sz w:val="24"/>
          <w:highlight w:val="none"/>
        </w:rPr>
        <w:t>4.6.5尽管承包人</w:t>
      </w:r>
      <w:r>
        <w:rPr>
          <w:rFonts w:hint="eastAsia"/>
          <w:color w:val="auto"/>
          <w:sz w:val="24"/>
          <w:highlight w:val="none"/>
        </w:rPr>
        <w:t>已</w:t>
      </w:r>
      <w:r>
        <w:rPr>
          <w:color w:val="auto"/>
          <w:sz w:val="24"/>
          <w:highlight w:val="none"/>
        </w:rPr>
        <w:t>按投标文件（如承包人未在投标阶段对人员进行新增或更新，则以</w:t>
      </w:r>
      <w:r>
        <w:rPr>
          <w:rFonts w:hint="eastAsia"/>
          <w:color w:val="auto"/>
          <w:sz w:val="24"/>
          <w:highlight w:val="none"/>
        </w:rPr>
        <w:t>资</w:t>
      </w:r>
      <w:r>
        <w:rPr>
          <w:color w:val="auto"/>
          <w:sz w:val="24"/>
          <w:highlight w:val="none"/>
        </w:rPr>
        <w:t>格预</w:t>
      </w:r>
      <w:r>
        <w:rPr>
          <w:rFonts w:hint="eastAsia"/>
          <w:color w:val="auto"/>
          <w:sz w:val="24"/>
          <w:highlight w:val="none"/>
        </w:rPr>
        <w:t>审</w:t>
      </w:r>
      <w:r>
        <w:rPr>
          <w:color w:val="auto"/>
          <w:sz w:val="24"/>
          <w:highlight w:val="none"/>
        </w:rPr>
        <w:t>申请文件为准）中所</w:t>
      </w:r>
      <w:r>
        <w:rPr>
          <w:rFonts w:hint="eastAsia"/>
          <w:color w:val="auto"/>
          <w:sz w:val="24"/>
          <w:highlight w:val="none"/>
        </w:rPr>
        <w:t>列</w:t>
      </w:r>
      <w:r>
        <w:rPr>
          <w:color w:val="auto"/>
          <w:sz w:val="24"/>
          <w:highlight w:val="none"/>
        </w:rPr>
        <w:t>的数量派遣了上述各类人员，但若监</w:t>
      </w:r>
      <w:r>
        <w:rPr>
          <w:rFonts w:hint="eastAsia"/>
          <w:color w:val="auto"/>
          <w:sz w:val="24"/>
          <w:highlight w:val="none"/>
        </w:rPr>
        <w:t>理人</w:t>
      </w:r>
      <w:r>
        <w:rPr>
          <w:color w:val="auto"/>
          <w:sz w:val="24"/>
          <w:highlight w:val="none"/>
        </w:rPr>
        <w:t>认为这些人员仍不足以适应现场施工的需要且不能保证工程质量时，监理人有权要参承包人继续增派或雇用这类人员，并书面通知承包人和抄送发包人。承包人</w:t>
      </w:r>
      <w:r>
        <w:rPr>
          <w:rFonts w:hint="eastAsia"/>
          <w:color w:val="auto"/>
          <w:sz w:val="24"/>
          <w:highlight w:val="none"/>
        </w:rPr>
        <w:t>在接到</w:t>
      </w:r>
      <w:r>
        <w:rPr>
          <w:color w:val="auto"/>
          <w:sz w:val="24"/>
          <w:highlight w:val="none"/>
        </w:rPr>
        <w:t>上述通</w:t>
      </w:r>
      <w:r>
        <w:rPr>
          <w:rFonts w:hint="eastAsia"/>
          <w:color w:val="auto"/>
          <w:sz w:val="24"/>
          <w:highlight w:val="none"/>
        </w:rPr>
        <w:t>知</w:t>
      </w:r>
      <w:r>
        <w:rPr>
          <w:color w:val="auto"/>
          <w:sz w:val="24"/>
          <w:highlight w:val="none"/>
        </w:rPr>
        <w:t>后应立即执行监理人的上述指示，不得无故拖延，监理人应考虑承包</w:t>
      </w:r>
      <w:r>
        <w:rPr>
          <w:rFonts w:hint="eastAsia"/>
          <w:color w:val="auto"/>
          <w:sz w:val="24"/>
          <w:highlight w:val="none"/>
        </w:rPr>
        <w:t>人</w:t>
      </w:r>
      <w:r>
        <w:rPr>
          <w:color w:val="auto"/>
          <w:sz w:val="24"/>
          <w:highlight w:val="none"/>
        </w:rPr>
        <w:t>因此增加的费用。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4.7撤换承包人项目经理和其他人员</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承包人应对其项目经理和其他人员进行有效管理。监理人要求撤换不能胜任本职工作、行为不端或玩忽职守的承包人项目经理和其他人员的，承包人应予以撤</w:t>
      </w:r>
      <w:r>
        <w:rPr>
          <w:rFonts w:hint="eastAsia"/>
          <w:color w:val="auto"/>
          <w:sz w:val="24"/>
          <w:highlight w:val="none"/>
        </w:rPr>
        <w:t>换，</w:t>
      </w:r>
      <w:r>
        <w:rPr>
          <w:color w:val="auto"/>
          <w:sz w:val="24"/>
          <w:highlight w:val="none"/>
        </w:rPr>
        <w:t>同时委派经发包人与监理人同意的新的项目经理和其他人员。</w:t>
      </w:r>
    </w:p>
    <w:p>
      <w:pPr>
        <w:adjustRightInd w:val="0"/>
        <w:snapToGrid w:val="0"/>
        <w:spacing w:beforeLines="100" w:line="360" w:lineRule="auto"/>
        <w:rPr>
          <w:rFonts w:eastAsia="黑体"/>
          <w:color w:val="auto"/>
          <w:sz w:val="24"/>
          <w:highlight w:val="none"/>
        </w:rPr>
      </w:pPr>
      <w:r>
        <w:rPr>
          <w:rFonts w:eastAsia="黑体"/>
          <w:color w:val="auto"/>
          <w:sz w:val="24"/>
          <w:highlight w:val="none"/>
        </w:rPr>
        <w:t>4.8保障承包人人员的合法权益</w:t>
      </w:r>
    </w:p>
    <w:p>
      <w:pPr>
        <w:adjustRightInd w:val="0"/>
        <w:snapToGrid w:val="0"/>
        <w:spacing w:line="360" w:lineRule="auto"/>
        <w:ind w:firstLine="480" w:firstLineChars="200"/>
        <w:rPr>
          <w:color w:val="auto"/>
          <w:sz w:val="24"/>
          <w:highlight w:val="none"/>
        </w:rPr>
      </w:pPr>
      <w:r>
        <w:rPr>
          <w:color w:val="auto"/>
          <w:sz w:val="24"/>
          <w:highlight w:val="none"/>
        </w:rPr>
        <w:t>本款增加第4.8.7项：</w:t>
      </w:r>
    </w:p>
    <w:p>
      <w:pPr>
        <w:adjustRightInd w:val="0"/>
        <w:snapToGrid w:val="0"/>
        <w:spacing w:line="360" w:lineRule="auto"/>
        <w:ind w:firstLine="480" w:firstLineChars="200"/>
        <w:rPr>
          <w:color w:val="auto"/>
          <w:sz w:val="24"/>
          <w:highlight w:val="none"/>
        </w:rPr>
      </w:pPr>
      <w:r>
        <w:rPr>
          <w:color w:val="auto"/>
          <w:sz w:val="24"/>
          <w:highlight w:val="none"/>
        </w:rPr>
        <w:t>4.8.7承包人应自费采取必须的卫生防护措施，经常保持现场及其驻地整洁和</w:t>
      </w:r>
      <w:r>
        <w:rPr>
          <w:rFonts w:hint="eastAsia"/>
          <w:color w:val="auto"/>
          <w:sz w:val="24"/>
          <w:highlight w:val="none"/>
        </w:rPr>
        <w:t>卫</w:t>
      </w:r>
      <w:r>
        <w:rPr>
          <w:color w:val="auto"/>
          <w:sz w:val="24"/>
          <w:highlight w:val="none"/>
        </w:rPr>
        <w:t>生，以保护职员和工人的健康，并应与当地卫生部门合作，根据要求在整个合同</w:t>
      </w:r>
      <w:r>
        <w:rPr>
          <w:rFonts w:hint="eastAsia"/>
          <w:color w:val="auto"/>
          <w:sz w:val="24"/>
          <w:highlight w:val="none"/>
        </w:rPr>
        <w:t>执</w:t>
      </w:r>
      <w:r>
        <w:rPr>
          <w:color w:val="auto"/>
          <w:sz w:val="24"/>
          <w:highlight w:val="none"/>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4.10承包人现场查勘</w:t>
      </w:r>
    </w:p>
    <w:p>
      <w:pPr>
        <w:adjustRightInd w:val="0"/>
        <w:snapToGrid w:val="0"/>
        <w:spacing w:line="360" w:lineRule="auto"/>
        <w:ind w:firstLine="480" w:firstLineChars="200"/>
        <w:rPr>
          <w:color w:val="auto"/>
          <w:sz w:val="24"/>
          <w:highlight w:val="none"/>
        </w:rPr>
      </w:pPr>
      <w:r>
        <w:rPr>
          <w:color w:val="auto"/>
          <w:sz w:val="24"/>
          <w:highlight w:val="none"/>
        </w:rPr>
        <w:t>4.10.1项补充：</w:t>
      </w:r>
    </w:p>
    <w:p>
      <w:pPr>
        <w:adjustRightInd w:val="0"/>
        <w:snapToGrid w:val="0"/>
        <w:spacing w:line="360" w:lineRule="auto"/>
        <w:ind w:firstLine="480" w:firstLineChars="200"/>
        <w:rPr>
          <w:color w:val="auto"/>
          <w:sz w:val="24"/>
          <w:highlight w:val="none"/>
        </w:rPr>
      </w:pPr>
      <w:r>
        <w:rPr>
          <w:color w:val="auto"/>
          <w:sz w:val="24"/>
          <w:highlight w:val="none"/>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4.11不利物质条件</w:t>
      </w:r>
    </w:p>
    <w:p>
      <w:pPr>
        <w:adjustRightInd w:val="0"/>
        <w:snapToGrid w:val="0"/>
        <w:spacing w:line="360" w:lineRule="auto"/>
        <w:ind w:firstLine="480" w:firstLineChars="200"/>
        <w:rPr>
          <w:color w:val="auto"/>
          <w:sz w:val="24"/>
          <w:highlight w:val="none"/>
        </w:rPr>
      </w:pPr>
      <w:r>
        <w:rPr>
          <w:color w:val="auto"/>
          <w:sz w:val="24"/>
          <w:highlight w:val="none"/>
        </w:rPr>
        <w:t>4.11.1不利物质条件的范围：</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本款增加第4.11.3项：</w:t>
      </w:r>
    </w:p>
    <w:p>
      <w:pPr>
        <w:adjustRightInd w:val="0"/>
        <w:snapToGrid w:val="0"/>
        <w:spacing w:line="360" w:lineRule="auto"/>
        <w:ind w:firstLine="480" w:firstLineChars="200"/>
        <w:rPr>
          <w:color w:val="auto"/>
          <w:sz w:val="24"/>
          <w:highlight w:val="none"/>
        </w:rPr>
      </w:pPr>
      <w:r>
        <w:rPr>
          <w:color w:val="auto"/>
          <w:sz w:val="24"/>
          <w:highlight w:val="none"/>
        </w:rPr>
        <w:t>4.11.3可预见的不利物质条件</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增加第4.12款：</w:t>
      </w:r>
    </w:p>
    <w:p>
      <w:pPr>
        <w:adjustRightInd w:val="0"/>
        <w:snapToGrid w:val="0"/>
        <w:spacing w:line="360" w:lineRule="auto"/>
        <w:rPr>
          <w:rFonts w:eastAsia="黑体"/>
          <w:color w:val="auto"/>
          <w:sz w:val="24"/>
          <w:highlight w:val="none"/>
        </w:rPr>
      </w:pPr>
      <w:r>
        <w:rPr>
          <w:rFonts w:eastAsia="黑体"/>
          <w:color w:val="auto"/>
          <w:sz w:val="24"/>
          <w:highlight w:val="none"/>
        </w:rPr>
        <w:t>4.12投标文件的完备性</w:t>
      </w:r>
    </w:p>
    <w:p>
      <w:pPr>
        <w:adjustRightInd w:val="0"/>
        <w:snapToGrid w:val="0"/>
        <w:spacing w:line="360" w:lineRule="auto"/>
        <w:ind w:firstLine="480" w:firstLineChars="200"/>
        <w:rPr>
          <w:color w:val="auto"/>
          <w:sz w:val="24"/>
          <w:highlight w:val="none"/>
        </w:rPr>
      </w:pPr>
      <w:r>
        <w:rPr>
          <w:color w:val="auto"/>
          <w:sz w:val="24"/>
          <w:highlight w:val="none"/>
        </w:rPr>
        <w:t>合同双方一致认为，承包人在递交投标文件前，对本合同工程的投标文件和已标价工程量清单中开列的单价和总额价</w:t>
      </w:r>
      <w:r>
        <w:rPr>
          <w:rFonts w:hint="eastAsia"/>
          <w:color w:val="auto"/>
          <w:sz w:val="24"/>
          <w:highlight w:val="none"/>
        </w:rPr>
        <w:t>已</w:t>
      </w:r>
      <w:r>
        <w:rPr>
          <w:color w:val="auto"/>
          <w:sz w:val="24"/>
          <w:highlight w:val="none"/>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5</w:t>
      </w:r>
      <w:r>
        <w:rPr>
          <w:rFonts w:hint="eastAsia" w:eastAsia="黑体"/>
          <w:color w:val="auto"/>
          <w:sz w:val="24"/>
          <w:highlight w:val="none"/>
        </w:rPr>
        <w:t>．</w:t>
      </w:r>
      <w:r>
        <w:rPr>
          <w:rFonts w:eastAsia="黑体"/>
          <w:color w:val="auto"/>
          <w:sz w:val="24"/>
          <w:highlight w:val="none"/>
        </w:rPr>
        <w:t>材料和工程设备</w:t>
      </w:r>
    </w:p>
    <w:p>
      <w:pPr>
        <w:adjustRightInd w:val="0"/>
        <w:snapToGrid w:val="0"/>
        <w:spacing w:line="360" w:lineRule="auto"/>
        <w:rPr>
          <w:rFonts w:eastAsia="黑体"/>
          <w:color w:val="auto"/>
          <w:sz w:val="24"/>
          <w:highlight w:val="none"/>
        </w:rPr>
      </w:pPr>
      <w:r>
        <w:rPr>
          <w:rFonts w:eastAsia="黑体"/>
          <w:color w:val="auto"/>
          <w:sz w:val="24"/>
          <w:highlight w:val="none"/>
        </w:rPr>
        <w:t>5.2发包人提供的材料和工程设备</w:t>
      </w:r>
    </w:p>
    <w:p>
      <w:pPr>
        <w:adjustRightInd w:val="0"/>
        <w:snapToGrid w:val="0"/>
        <w:spacing w:line="360" w:lineRule="auto"/>
        <w:ind w:firstLine="480" w:firstLineChars="200"/>
        <w:rPr>
          <w:color w:val="auto"/>
          <w:sz w:val="24"/>
          <w:highlight w:val="none"/>
        </w:rPr>
      </w:pPr>
      <w:r>
        <w:rPr>
          <w:color w:val="auto"/>
          <w:sz w:val="24"/>
          <w:highlight w:val="none"/>
        </w:rPr>
        <w:t>5.2.3项补充：</w:t>
      </w:r>
    </w:p>
    <w:p>
      <w:pPr>
        <w:adjustRightInd w:val="0"/>
        <w:snapToGrid w:val="0"/>
        <w:spacing w:line="360" w:lineRule="auto"/>
        <w:ind w:firstLine="480" w:firstLineChars="200"/>
        <w:rPr>
          <w:color w:val="auto"/>
          <w:sz w:val="24"/>
          <w:highlight w:val="none"/>
        </w:rPr>
      </w:pPr>
      <w:r>
        <w:rPr>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6</w:t>
      </w:r>
      <w:r>
        <w:rPr>
          <w:rFonts w:hint="eastAsia" w:eastAsia="黑体"/>
          <w:color w:val="auto"/>
          <w:sz w:val="24"/>
          <w:highlight w:val="none"/>
        </w:rPr>
        <w:t>．</w:t>
      </w:r>
      <w:r>
        <w:rPr>
          <w:rFonts w:eastAsia="黑体"/>
          <w:color w:val="auto"/>
          <w:sz w:val="24"/>
          <w:highlight w:val="none"/>
        </w:rPr>
        <w:t>施工设备和临时设施</w:t>
      </w:r>
    </w:p>
    <w:p>
      <w:pPr>
        <w:adjustRightInd w:val="0"/>
        <w:snapToGrid w:val="0"/>
        <w:spacing w:line="360" w:lineRule="auto"/>
        <w:rPr>
          <w:rFonts w:eastAsia="黑体"/>
          <w:color w:val="auto"/>
          <w:sz w:val="24"/>
          <w:highlight w:val="none"/>
        </w:rPr>
      </w:pPr>
      <w:r>
        <w:rPr>
          <w:rFonts w:eastAsia="黑体"/>
          <w:color w:val="auto"/>
          <w:sz w:val="24"/>
          <w:highlight w:val="none"/>
        </w:rPr>
        <w:t>6.2发包人提供的施工设备和临时设施</w:t>
      </w:r>
    </w:p>
    <w:p>
      <w:pPr>
        <w:adjustRightInd w:val="0"/>
        <w:snapToGrid w:val="0"/>
        <w:spacing w:line="360" w:lineRule="auto"/>
        <w:ind w:firstLine="480" w:firstLineChars="200"/>
        <w:rPr>
          <w:color w:val="auto"/>
          <w:sz w:val="24"/>
          <w:highlight w:val="none"/>
        </w:rPr>
      </w:pPr>
      <w:r>
        <w:rPr>
          <w:color w:val="auto"/>
          <w:sz w:val="24"/>
          <w:highlight w:val="none"/>
        </w:rPr>
        <w:t>发包人是否提供施工设备或临时设施：</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color w:val="auto"/>
          <w:sz w:val="24"/>
          <w:highlight w:val="none"/>
        </w:rPr>
      </w:pPr>
      <w:r>
        <w:rPr>
          <w:rFonts w:eastAsia="黑体"/>
          <w:color w:val="auto"/>
          <w:sz w:val="24"/>
          <w:highlight w:val="none"/>
        </w:rPr>
        <w:t>6.3要求承包人增加或更换施工设备</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承包人必须使投标文件（如承包人未在投标阶段对施工设备进行新增或更新，则以资格预审申请文件为准）承诺的施工设备按时到达现场，不得拖延、缺</w:t>
      </w:r>
      <w:r>
        <w:rPr>
          <w:rFonts w:hint="eastAsia"/>
          <w:color w:val="auto"/>
          <w:sz w:val="24"/>
          <w:highlight w:val="none"/>
        </w:rPr>
        <w:t>少</w:t>
      </w:r>
      <w:r>
        <w:rPr>
          <w:color w:val="auto"/>
          <w:sz w:val="24"/>
          <w:highlight w:val="none"/>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7．交通运输</w:t>
      </w:r>
    </w:p>
    <w:p>
      <w:pPr>
        <w:adjustRightInd w:val="0"/>
        <w:snapToGrid w:val="0"/>
        <w:spacing w:line="360" w:lineRule="auto"/>
        <w:rPr>
          <w:rFonts w:eastAsia="黑体"/>
          <w:color w:val="auto"/>
          <w:sz w:val="24"/>
          <w:highlight w:val="none"/>
        </w:rPr>
      </w:pPr>
      <w:r>
        <w:rPr>
          <w:rFonts w:eastAsia="黑体"/>
          <w:color w:val="auto"/>
          <w:sz w:val="24"/>
          <w:highlight w:val="none"/>
        </w:rPr>
        <w:t>7.1道路通行权和场外设施</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道路通行权由承包人办理并承担费用，需要发包人协调时，发包人应协助承包人办理相关手续。</w:t>
      </w:r>
    </w:p>
    <w:p>
      <w:pPr>
        <w:adjustRightInd w:val="0"/>
        <w:snapToGrid w:val="0"/>
        <w:spacing w:beforeLines="100" w:line="360" w:lineRule="auto"/>
        <w:rPr>
          <w:rFonts w:eastAsia="黑体"/>
          <w:color w:val="auto"/>
          <w:sz w:val="24"/>
          <w:highlight w:val="none"/>
        </w:rPr>
      </w:pPr>
      <w:r>
        <w:rPr>
          <w:rFonts w:eastAsia="黑体"/>
          <w:color w:val="auto"/>
          <w:sz w:val="24"/>
          <w:highlight w:val="none"/>
        </w:rPr>
        <w:t>8</w:t>
      </w:r>
      <w:r>
        <w:rPr>
          <w:rFonts w:hint="eastAsia" w:eastAsia="黑体"/>
          <w:color w:val="auto"/>
          <w:sz w:val="24"/>
          <w:highlight w:val="none"/>
        </w:rPr>
        <w:t>．</w:t>
      </w:r>
      <w:r>
        <w:rPr>
          <w:rFonts w:eastAsia="黑体"/>
          <w:color w:val="auto"/>
          <w:sz w:val="24"/>
          <w:highlight w:val="none"/>
        </w:rPr>
        <w:t>测量放线</w:t>
      </w:r>
    </w:p>
    <w:p>
      <w:pPr>
        <w:adjustRightInd w:val="0"/>
        <w:snapToGrid w:val="0"/>
        <w:spacing w:line="360" w:lineRule="auto"/>
        <w:rPr>
          <w:rFonts w:eastAsia="黑体"/>
          <w:color w:val="auto"/>
          <w:sz w:val="24"/>
          <w:highlight w:val="none"/>
        </w:rPr>
      </w:pPr>
      <w:r>
        <w:rPr>
          <w:rFonts w:eastAsia="黑体"/>
          <w:color w:val="auto"/>
          <w:sz w:val="24"/>
          <w:highlight w:val="none"/>
        </w:rPr>
        <w:t>8.1施工控制网</w:t>
      </w:r>
    </w:p>
    <w:p>
      <w:pPr>
        <w:adjustRightInd w:val="0"/>
        <w:snapToGrid w:val="0"/>
        <w:spacing w:line="360" w:lineRule="auto"/>
        <w:ind w:firstLine="480" w:firstLineChars="200"/>
        <w:rPr>
          <w:color w:val="auto"/>
          <w:sz w:val="24"/>
          <w:highlight w:val="none"/>
        </w:rPr>
      </w:pPr>
      <w:r>
        <w:rPr>
          <w:color w:val="auto"/>
          <w:sz w:val="24"/>
          <w:highlight w:val="none"/>
        </w:rPr>
        <w:t>8.1．1项约定为：</w:t>
      </w:r>
    </w:p>
    <w:p>
      <w:pPr>
        <w:adjustRightInd w:val="0"/>
        <w:snapToGrid w:val="0"/>
        <w:spacing w:line="360" w:lineRule="auto"/>
        <w:ind w:firstLine="480" w:firstLineChars="200"/>
        <w:rPr>
          <w:color w:val="auto"/>
          <w:sz w:val="24"/>
          <w:highlight w:val="none"/>
        </w:rPr>
      </w:pPr>
      <w:r>
        <w:rPr>
          <w:color w:val="auto"/>
          <w:sz w:val="24"/>
          <w:highlight w:val="none"/>
        </w:rPr>
        <w:t>发包人向承包人提供测量基准点、基准线和水准点及其书面资料的时间</w:t>
      </w:r>
      <w:r>
        <w:rPr>
          <w:rFonts w:hint="eastAsia"/>
          <w:color w:val="auto"/>
          <w:sz w:val="24"/>
          <w:highlight w:val="none"/>
        </w:rPr>
        <w:t>：</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。承包人向监理人报送施工控制网资料的时间：</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color w:val="auto"/>
          <w:sz w:val="24"/>
          <w:highlight w:val="none"/>
        </w:rPr>
      </w:pPr>
      <w:r>
        <w:rPr>
          <w:rFonts w:eastAsia="黑体"/>
          <w:color w:val="auto"/>
          <w:sz w:val="24"/>
          <w:highlight w:val="none"/>
        </w:rPr>
        <w:t>8.2施工测量</w:t>
      </w:r>
    </w:p>
    <w:p>
      <w:pPr>
        <w:adjustRightInd w:val="0"/>
        <w:snapToGrid w:val="0"/>
        <w:spacing w:line="360" w:lineRule="auto"/>
        <w:ind w:firstLine="480" w:firstLineChars="200"/>
        <w:rPr>
          <w:color w:val="auto"/>
          <w:sz w:val="24"/>
          <w:highlight w:val="none"/>
        </w:rPr>
      </w:pPr>
      <w:r>
        <w:rPr>
          <w:color w:val="auto"/>
          <w:sz w:val="24"/>
          <w:highlight w:val="none"/>
        </w:rPr>
        <w:t>8.2.1项补充：</w:t>
      </w:r>
    </w:p>
    <w:p>
      <w:pPr>
        <w:adjustRightInd w:val="0"/>
        <w:snapToGrid w:val="0"/>
        <w:spacing w:line="360" w:lineRule="auto"/>
        <w:ind w:firstLine="480" w:firstLineChars="200"/>
        <w:rPr>
          <w:color w:val="auto"/>
          <w:sz w:val="24"/>
          <w:highlight w:val="none"/>
        </w:rPr>
      </w:pPr>
      <w:r>
        <w:rPr>
          <w:color w:val="auto"/>
          <w:sz w:val="24"/>
          <w:highlight w:val="none"/>
        </w:rPr>
        <w:t>承包人应负责施工测量放线工作的准确性。</w:t>
      </w:r>
    </w:p>
    <w:p>
      <w:pPr>
        <w:adjustRightInd w:val="0"/>
        <w:snapToGrid w:val="0"/>
        <w:spacing w:beforeLines="100" w:line="360" w:lineRule="auto"/>
        <w:rPr>
          <w:rFonts w:eastAsia="黑体"/>
          <w:color w:val="auto"/>
          <w:sz w:val="24"/>
          <w:highlight w:val="none"/>
        </w:rPr>
      </w:pPr>
      <w:r>
        <w:rPr>
          <w:rFonts w:eastAsia="黑体"/>
          <w:color w:val="auto"/>
          <w:sz w:val="24"/>
          <w:highlight w:val="none"/>
        </w:rPr>
        <w:t>8.3基准资料错误的责任</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承包人应对发包人提供的基准资料进行核实，发现错误，应及时通知监理人和发包人，否则应承担相应责任。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8.4监理人使用施工控制网</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经监理人批准，其他相关承包人也可免费使用施工控制网。</w:t>
      </w:r>
    </w:p>
    <w:p>
      <w:pPr>
        <w:adjustRightInd w:val="0"/>
        <w:snapToGrid w:val="0"/>
        <w:spacing w:beforeLines="100" w:line="360" w:lineRule="auto"/>
        <w:rPr>
          <w:rFonts w:eastAsia="黑体"/>
          <w:color w:val="auto"/>
          <w:sz w:val="24"/>
          <w:highlight w:val="none"/>
        </w:rPr>
      </w:pPr>
      <w:r>
        <w:rPr>
          <w:rFonts w:eastAsia="黑体"/>
          <w:color w:val="auto"/>
          <w:sz w:val="24"/>
          <w:highlight w:val="none"/>
        </w:rPr>
        <w:t>9</w:t>
      </w:r>
      <w:r>
        <w:rPr>
          <w:rFonts w:hint="eastAsia" w:eastAsia="黑体"/>
          <w:color w:val="auto"/>
          <w:sz w:val="24"/>
          <w:highlight w:val="none"/>
        </w:rPr>
        <w:t>．</w:t>
      </w:r>
      <w:r>
        <w:rPr>
          <w:rFonts w:eastAsia="黑体"/>
          <w:color w:val="auto"/>
          <w:sz w:val="24"/>
          <w:highlight w:val="none"/>
        </w:rPr>
        <w:t>施工安全、治安保卫和环境保护</w:t>
      </w:r>
    </w:p>
    <w:p>
      <w:pPr>
        <w:adjustRightInd w:val="0"/>
        <w:snapToGrid w:val="0"/>
        <w:spacing w:line="360" w:lineRule="auto"/>
        <w:rPr>
          <w:rFonts w:eastAsia="黑体"/>
          <w:color w:val="auto"/>
          <w:sz w:val="24"/>
          <w:highlight w:val="none"/>
        </w:rPr>
      </w:pPr>
      <w:r>
        <w:rPr>
          <w:rFonts w:eastAsia="黑体"/>
          <w:color w:val="auto"/>
          <w:sz w:val="24"/>
          <w:highlight w:val="none"/>
        </w:rPr>
        <w:t>9.1发包人的施工安全责任</w:t>
      </w:r>
    </w:p>
    <w:p>
      <w:pPr>
        <w:adjustRightInd w:val="0"/>
        <w:snapToGrid w:val="0"/>
        <w:spacing w:line="360" w:lineRule="auto"/>
        <w:ind w:firstLine="480" w:firstLineChars="200"/>
        <w:rPr>
          <w:color w:val="auto"/>
          <w:sz w:val="24"/>
          <w:highlight w:val="none"/>
        </w:rPr>
      </w:pPr>
      <w:r>
        <w:rPr>
          <w:color w:val="auto"/>
          <w:sz w:val="24"/>
          <w:highlight w:val="none"/>
        </w:rPr>
        <w:t>9.1.3项补充：</w:t>
      </w:r>
    </w:p>
    <w:p>
      <w:pPr>
        <w:adjustRightInd w:val="0"/>
        <w:snapToGrid w:val="0"/>
        <w:spacing w:line="360" w:lineRule="auto"/>
        <w:ind w:firstLine="480" w:firstLineChars="200"/>
        <w:rPr>
          <w:color w:val="auto"/>
          <w:sz w:val="24"/>
          <w:highlight w:val="none"/>
        </w:rPr>
      </w:pPr>
      <w:r>
        <w:rPr>
          <w:color w:val="auto"/>
          <w:sz w:val="24"/>
          <w:highlight w:val="none"/>
        </w:rPr>
        <w:t>如果承包人或其雇员也对上述人身伤亡或财产损失负有部分责任时，承包人也应承担相应赔偿责任。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9.2承包人的施工安全责任</w:t>
      </w:r>
    </w:p>
    <w:p>
      <w:pPr>
        <w:adjustRightInd w:val="0"/>
        <w:snapToGrid w:val="0"/>
        <w:spacing w:line="360" w:lineRule="auto"/>
        <w:ind w:firstLine="480" w:firstLineChars="200"/>
        <w:rPr>
          <w:color w:val="auto"/>
          <w:sz w:val="24"/>
          <w:highlight w:val="none"/>
        </w:rPr>
      </w:pPr>
      <w:r>
        <w:rPr>
          <w:color w:val="auto"/>
          <w:sz w:val="24"/>
          <w:highlight w:val="none"/>
        </w:rPr>
        <w:t>9.2.1项细化为：</w:t>
      </w:r>
    </w:p>
    <w:p>
      <w:pPr>
        <w:adjustRightInd w:val="0"/>
        <w:snapToGrid w:val="0"/>
        <w:spacing w:line="360" w:lineRule="auto"/>
        <w:ind w:firstLine="480" w:firstLineChars="200"/>
        <w:rPr>
          <w:color w:val="auto"/>
          <w:sz w:val="24"/>
          <w:highlight w:val="none"/>
        </w:rPr>
      </w:pPr>
      <w:r>
        <w:rPr>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color w:val="auto"/>
          <w:sz w:val="24"/>
          <w:highlight w:val="none"/>
        </w:rPr>
      </w:pPr>
      <w:r>
        <w:rPr>
          <w:color w:val="auto"/>
          <w:sz w:val="24"/>
          <w:highlight w:val="none"/>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color w:val="auto"/>
          <w:sz w:val="24"/>
          <w:highlight w:val="none"/>
        </w:rPr>
      </w:pPr>
      <w:r>
        <w:rPr>
          <w:color w:val="auto"/>
          <w:sz w:val="24"/>
          <w:highlight w:val="none"/>
        </w:rPr>
        <w:t>本项目需要编制专项施工方案的工程包括但不限于以下内容：</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不良地质条件下有潜在危险性的土方、石方开挖；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2）滑坡和高边坡处理；</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桩基础、挡墙基础、深水基础及围堰工程；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4）桥梁工程中的梁、拱、柱等构件施工等；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5）隧道工程中的不良地质隧道、高瓦斯隧道等；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）水</w:t>
      </w:r>
      <w:r>
        <w:rPr>
          <w:color w:val="auto"/>
          <w:sz w:val="24"/>
          <w:highlight w:val="none"/>
        </w:rPr>
        <w:t>上工程中的打桩船作业、施工船作业、外海孤岛作业、边通航边施工作业等；</w:t>
      </w:r>
    </w:p>
    <w:p>
      <w:pPr>
        <w:adjustRightInd w:val="0"/>
        <w:snapToGrid w:val="0"/>
        <w:spacing w:line="360" w:lineRule="auto"/>
        <w:ind w:firstLine="480" w:firstLineChars="200"/>
        <w:rPr>
          <w:color w:val="auto"/>
          <w:sz w:val="24"/>
          <w:highlight w:val="none"/>
        </w:rPr>
      </w:pPr>
      <w:r>
        <w:rPr>
          <w:color w:val="auto"/>
          <w:sz w:val="24"/>
          <w:highlight w:val="none"/>
        </w:rPr>
        <w:t>（7）水下工程中的水下焊接、混凝土浇注、爆破工程等；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8</w:t>
      </w:r>
      <w:r>
        <w:rPr>
          <w:rFonts w:hint="eastAsia"/>
          <w:color w:val="auto"/>
          <w:sz w:val="24"/>
          <w:highlight w:val="none"/>
        </w:rPr>
        <w:t>）</w:t>
      </w:r>
      <w:r>
        <w:rPr>
          <w:color w:val="auto"/>
          <w:sz w:val="24"/>
          <w:highlight w:val="none"/>
        </w:rPr>
        <w:t>爆破工程；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9）大型临时工程中的大型支架、模板、便桥的架设与拆除；桥梁、码头的加固与拆除；</w:t>
      </w:r>
    </w:p>
    <w:p>
      <w:pPr>
        <w:adjustRightInd w:val="0"/>
        <w:snapToGrid w:val="0"/>
        <w:spacing w:line="360" w:lineRule="auto"/>
        <w:ind w:firstLine="480" w:firstLineChars="200"/>
        <w:rPr>
          <w:color w:val="auto"/>
          <w:sz w:val="24"/>
          <w:highlight w:val="none"/>
        </w:rPr>
      </w:pPr>
      <w:r>
        <w:rPr>
          <w:rFonts w:hint="eastAsia"/>
          <w:color w:val="auto"/>
          <w:sz w:val="24"/>
          <w:highlight w:val="none"/>
        </w:rPr>
        <w:t>（10）</w:t>
      </w:r>
      <w:r>
        <w:rPr>
          <w:color w:val="auto"/>
          <w:sz w:val="24"/>
          <w:highlight w:val="none"/>
        </w:rPr>
        <w:t>其他危险性较大的工程。</w:t>
      </w:r>
    </w:p>
    <w:p>
      <w:pPr>
        <w:adjustRightInd w:val="0"/>
        <w:snapToGrid w:val="0"/>
        <w:spacing w:line="360" w:lineRule="auto"/>
        <w:ind w:firstLine="480" w:firstLineChars="200"/>
        <w:rPr>
          <w:color w:val="auto"/>
          <w:sz w:val="24"/>
          <w:highlight w:val="none"/>
        </w:rPr>
      </w:pPr>
      <w:r>
        <w:rPr>
          <w:color w:val="auto"/>
          <w:sz w:val="24"/>
          <w:highlight w:val="none"/>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color w:val="auto"/>
          <w:sz w:val="24"/>
          <w:highlight w:val="none"/>
        </w:rPr>
      </w:pPr>
      <w:r>
        <w:rPr>
          <w:color w:val="auto"/>
          <w:sz w:val="24"/>
          <w:highlight w:val="none"/>
        </w:rPr>
        <w:t>本款增加第9.2.8至9.2.11项：</w:t>
      </w:r>
    </w:p>
    <w:p>
      <w:pPr>
        <w:adjustRightInd w:val="0"/>
        <w:snapToGrid w:val="0"/>
        <w:spacing w:line="360" w:lineRule="auto"/>
        <w:ind w:firstLine="480" w:firstLineChars="200"/>
        <w:rPr>
          <w:color w:val="auto"/>
          <w:sz w:val="24"/>
          <w:highlight w:val="none"/>
        </w:rPr>
      </w:pPr>
      <w:r>
        <w:rPr>
          <w:color w:val="auto"/>
          <w:sz w:val="24"/>
          <w:highlight w:val="none"/>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按《公路水运工程安全生产监督管理办法》规定的最低数量和资质条件配备专职安全生产管理人员；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所有施工机具设备和高空作业设备均应定期检查，并有安全员的签字记录；</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color w:val="auto"/>
          <w:sz w:val="24"/>
          <w:highlight w:val="none"/>
        </w:rPr>
      </w:pPr>
      <w:r>
        <w:rPr>
          <w:color w:val="auto"/>
          <w:sz w:val="24"/>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color w:val="auto"/>
          <w:sz w:val="24"/>
          <w:highlight w:val="none"/>
        </w:rPr>
      </w:pPr>
      <w:r>
        <w:rPr>
          <w:color w:val="auto"/>
          <w:sz w:val="24"/>
          <w:highlight w:val="none"/>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color w:val="auto"/>
          <w:sz w:val="24"/>
          <w:highlight w:val="none"/>
        </w:rPr>
      </w:pPr>
      <w:r>
        <w:rPr>
          <w:color w:val="auto"/>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color w:val="auto"/>
          <w:sz w:val="24"/>
          <w:highlight w:val="none"/>
        </w:rPr>
      </w:pPr>
      <w:r>
        <w:rPr>
          <w:rFonts w:eastAsia="黑体"/>
          <w:color w:val="auto"/>
          <w:sz w:val="24"/>
          <w:highlight w:val="none"/>
        </w:rPr>
        <w:t>9.4环境保护</w:t>
      </w:r>
    </w:p>
    <w:p>
      <w:pPr>
        <w:adjustRightInd w:val="0"/>
        <w:snapToGrid w:val="0"/>
        <w:spacing w:line="360" w:lineRule="auto"/>
        <w:ind w:firstLine="480" w:firstLineChars="200"/>
        <w:rPr>
          <w:color w:val="auto"/>
          <w:sz w:val="24"/>
          <w:highlight w:val="none"/>
        </w:rPr>
      </w:pPr>
      <w:r>
        <w:rPr>
          <w:color w:val="auto"/>
          <w:sz w:val="24"/>
          <w:highlight w:val="none"/>
        </w:rPr>
        <w:t>本款增加第9.4.7至9.4.9项：</w:t>
      </w:r>
    </w:p>
    <w:p>
      <w:pPr>
        <w:adjustRightInd w:val="0"/>
        <w:snapToGrid w:val="0"/>
        <w:spacing w:line="360" w:lineRule="auto"/>
        <w:ind w:firstLine="480" w:firstLineChars="200"/>
        <w:rPr>
          <w:color w:val="auto"/>
          <w:sz w:val="24"/>
          <w:highlight w:val="none"/>
        </w:rPr>
      </w:pPr>
      <w:r>
        <w:rPr>
          <w:color w:val="auto"/>
          <w:sz w:val="24"/>
          <w:highlight w:val="none"/>
        </w:rPr>
        <w:t>9.4.7承包人应切实执行技术规范中有关环境保护方面的条款和规定。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拌和设备应有较好的密封，或有防尘设备。</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施工通道、沥青混凝土拌和站及灰土拌和站应经常进行洒水降尘。</w:t>
      </w:r>
    </w:p>
    <w:p>
      <w:pPr>
        <w:adjustRightInd w:val="0"/>
        <w:snapToGrid w:val="0"/>
        <w:spacing w:line="360" w:lineRule="auto"/>
        <w:ind w:firstLine="480" w:firstLineChars="200"/>
        <w:rPr>
          <w:color w:val="auto"/>
          <w:sz w:val="24"/>
          <w:highlight w:val="none"/>
        </w:rPr>
      </w:pPr>
      <w:r>
        <w:rPr>
          <w:color w:val="auto"/>
          <w:sz w:val="24"/>
          <w:highlight w:val="none"/>
        </w:rPr>
        <w:t>c．路面施工应注意保持水份，以免扬尘。</w:t>
      </w:r>
    </w:p>
    <w:p>
      <w:pPr>
        <w:adjustRightInd w:val="0"/>
        <w:snapToGrid w:val="0"/>
        <w:spacing w:line="360" w:lineRule="auto"/>
        <w:ind w:firstLine="480" w:firstLineChars="200"/>
        <w:rPr>
          <w:color w:val="auto"/>
          <w:sz w:val="24"/>
          <w:highlight w:val="none"/>
        </w:rPr>
      </w:pPr>
      <w:r>
        <w:rPr>
          <w:color w:val="auto"/>
          <w:sz w:val="24"/>
          <w:highlight w:val="none"/>
        </w:rPr>
        <w:t>d</w:t>
      </w:r>
      <w:r>
        <w:rPr>
          <w:rFonts w:hint="eastAsia"/>
          <w:color w:val="auto"/>
          <w:sz w:val="24"/>
          <w:highlight w:val="none"/>
        </w:rPr>
        <w:t>．</w:t>
      </w:r>
      <w:r>
        <w:rPr>
          <w:color w:val="auto"/>
          <w:sz w:val="24"/>
          <w:highlight w:val="none"/>
        </w:rPr>
        <w:t>隧道出渣和桥梁钻孔灌注桩施工时排除的泥浆要进行妥善处理，严禁向河流或农田排放。</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color w:val="auto"/>
          <w:sz w:val="24"/>
          <w:highlight w:val="none"/>
        </w:rPr>
      </w:pPr>
      <w:r>
        <w:rPr>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color w:val="auto"/>
          <w:sz w:val="24"/>
          <w:highlight w:val="none"/>
        </w:rPr>
      </w:pPr>
      <w:r>
        <w:rPr>
          <w:color w:val="auto"/>
          <w:sz w:val="24"/>
          <w:highlight w:val="none"/>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color w:val="auto"/>
          <w:sz w:val="24"/>
          <w:highlight w:val="none"/>
        </w:rPr>
      </w:pPr>
      <w:r>
        <w:rPr>
          <w:rFonts w:eastAsia="黑体"/>
          <w:color w:val="auto"/>
          <w:sz w:val="24"/>
          <w:highlight w:val="none"/>
        </w:rPr>
        <w:t>10</w:t>
      </w:r>
      <w:r>
        <w:rPr>
          <w:rFonts w:hint="eastAsia" w:eastAsia="黑体"/>
          <w:color w:val="auto"/>
          <w:sz w:val="24"/>
          <w:highlight w:val="none"/>
        </w:rPr>
        <w:t>．</w:t>
      </w:r>
      <w:r>
        <w:rPr>
          <w:rFonts w:eastAsia="黑体"/>
          <w:color w:val="auto"/>
          <w:sz w:val="24"/>
          <w:highlight w:val="none"/>
        </w:rPr>
        <w:t>进度计划</w:t>
      </w:r>
    </w:p>
    <w:p>
      <w:pPr>
        <w:adjustRightInd w:val="0"/>
        <w:snapToGrid w:val="0"/>
        <w:spacing w:line="360" w:lineRule="auto"/>
        <w:rPr>
          <w:rFonts w:eastAsia="黑体"/>
          <w:color w:val="auto"/>
          <w:sz w:val="24"/>
          <w:highlight w:val="none"/>
        </w:rPr>
      </w:pPr>
      <w:r>
        <w:rPr>
          <w:rFonts w:eastAsia="黑体"/>
          <w:color w:val="auto"/>
          <w:sz w:val="24"/>
          <w:highlight w:val="none"/>
        </w:rPr>
        <w:t>10.1合同进度计划</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承包人编制施工方案的内容：</w:t>
      </w:r>
      <w:r>
        <w:rPr>
          <w:rFonts w:hint="eastAsia"/>
          <w:color w:val="auto"/>
          <w:sz w:val="24"/>
          <w:highlight w:val="none"/>
          <w:u w:val="single"/>
        </w:rPr>
        <w:t xml:space="preserve">  </w:t>
      </w:r>
      <w:r>
        <w:rPr>
          <w:color w:val="auto"/>
          <w:sz w:val="24"/>
          <w:highlight w:val="none"/>
          <w:u w:val="single"/>
        </w:rPr>
        <w:t>（见项目专用合同条款）</w:t>
      </w:r>
      <w:r>
        <w:rPr>
          <w:rFonts w:hint="eastAsia"/>
          <w:color w:val="auto"/>
          <w:sz w:val="24"/>
          <w:highlight w:val="none"/>
          <w:u w:val="single"/>
        </w:rPr>
        <w:t xml:space="preserve">  </w:t>
      </w:r>
    </w:p>
    <w:p>
      <w:pPr>
        <w:adjustRightInd w:val="0"/>
        <w:snapToGrid w:val="0"/>
        <w:spacing w:line="360" w:lineRule="auto"/>
        <w:ind w:firstLine="480" w:firstLineChars="200"/>
        <w:rPr>
          <w:color w:val="auto"/>
          <w:sz w:val="24"/>
          <w:highlight w:val="none"/>
        </w:rPr>
      </w:pPr>
      <w:r>
        <w:rPr>
          <w:color w:val="auto"/>
          <w:sz w:val="24"/>
          <w:highlight w:val="none"/>
        </w:rPr>
        <w:t>承包人向监理人报送施工进度计划和施工方案说明的期限：</w:t>
      </w:r>
      <w:r>
        <w:rPr>
          <w:rFonts w:hint="eastAsia"/>
          <w:color w:val="auto"/>
          <w:sz w:val="24"/>
          <w:highlight w:val="none"/>
          <w:u w:val="single"/>
        </w:rPr>
        <w:t>签订合同协议书后</w:t>
      </w:r>
      <w:r>
        <w:rPr>
          <w:color w:val="auto"/>
          <w:sz w:val="24"/>
          <w:highlight w:val="none"/>
          <w:u w:val="single"/>
        </w:rPr>
        <w:t>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监理人应在</w:t>
      </w:r>
      <w:r>
        <w:rPr>
          <w:rFonts w:hint="eastAsia"/>
          <w:color w:val="auto"/>
          <w:sz w:val="24"/>
          <w:highlight w:val="none"/>
          <w:u w:val="single"/>
        </w:rPr>
        <w:t>14</w:t>
      </w:r>
      <w:r>
        <w:rPr>
          <w:color w:val="auto"/>
          <w:sz w:val="24"/>
          <w:highlight w:val="none"/>
        </w:rPr>
        <w:t>天内对承包人施工进度计划和施工方案说明予以批复或提出修改意见。</w:t>
      </w:r>
    </w:p>
    <w:p>
      <w:pPr>
        <w:adjustRightInd w:val="0"/>
        <w:snapToGrid w:val="0"/>
        <w:spacing w:line="360" w:lineRule="auto"/>
        <w:ind w:firstLine="480" w:firstLineChars="200"/>
        <w:rPr>
          <w:color w:val="auto"/>
          <w:sz w:val="24"/>
          <w:highlight w:val="none"/>
        </w:rPr>
      </w:pPr>
      <w:r>
        <w:rPr>
          <w:color w:val="auto"/>
          <w:sz w:val="24"/>
          <w:highlight w:val="none"/>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color w:val="auto"/>
          <w:sz w:val="24"/>
          <w:highlight w:val="none"/>
        </w:rPr>
      </w:pPr>
      <w:r>
        <w:rPr>
          <w:rFonts w:eastAsia="黑体"/>
          <w:color w:val="auto"/>
          <w:sz w:val="24"/>
          <w:highlight w:val="none"/>
        </w:rPr>
        <w:t>10.2合同进度计划的修订</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承包人提交合同进度计划修订申请报告，并附有关措施和相关资料的期限：</w:t>
      </w:r>
      <w:r>
        <w:rPr>
          <w:color w:val="auto"/>
          <w:sz w:val="24"/>
          <w:highlight w:val="none"/>
          <w:u w:val="single"/>
        </w:rPr>
        <w:t>实际进度发生滞后的当月25日前</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监理人批复修订合同进度计划的期限：</w:t>
      </w:r>
      <w:r>
        <w:rPr>
          <w:rFonts w:hint="eastAsia"/>
          <w:color w:val="auto"/>
          <w:sz w:val="24"/>
          <w:highlight w:val="none"/>
          <w:u w:val="single"/>
        </w:rPr>
        <w:t>收到修订合同进度计划后14天内</w:t>
      </w:r>
      <w:r>
        <w:rPr>
          <w:color w:val="auto"/>
          <w:sz w:val="24"/>
          <w:highlight w:val="none"/>
        </w:rPr>
        <w:t>。</w:t>
      </w:r>
    </w:p>
    <w:p>
      <w:pPr>
        <w:adjustRightInd w:val="0"/>
        <w:snapToGrid w:val="0"/>
        <w:spacing w:line="360" w:lineRule="auto"/>
        <w:rPr>
          <w:color w:val="auto"/>
          <w:sz w:val="24"/>
          <w:highlight w:val="none"/>
        </w:rPr>
      </w:pPr>
      <w:r>
        <w:rPr>
          <w:color w:val="auto"/>
          <w:sz w:val="24"/>
          <w:highlight w:val="none"/>
        </w:rPr>
        <w:t>增加第10.3、10.4款：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10.3年度施工计划</w:t>
      </w:r>
    </w:p>
    <w:p>
      <w:pPr>
        <w:adjustRightInd w:val="0"/>
        <w:snapToGrid w:val="0"/>
        <w:spacing w:line="360" w:lineRule="auto"/>
        <w:ind w:firstLine="480" w:firstLineChars="200"/>
        <w:rPr>
          <w:color w:val="auto"/>
          <w:sz w:val="24"/>
          <w:highlight w:val="none"/>
        </w:rPr>
      </w:pPr>
      <w:r>
        <w:rPr>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10.4合同用款计划</w:t>
      </w:r>
    </w:p>
    <w:p>
      <w:pPr>
        <w:adjustRightInd w:val="0"/>
        <w:snapToGrid w:val="0"/>
        <w:spacing w:line="360" w:lineRule="auto"/>
        <w:ind w:firstLine="480" w:firstLineChars="200"/>
        <w:rPr>
          <w:color w:val="auto"/>
          <w:sz w:val="24"/>
          <w:highlight w:val="none"/>
        </w:rPr>
      </w:pPr>
      <w:r>
        <w:rPr>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color w:val="auto"/>
          <w:sz w:val="24"/>
          <w:highlight w:val="none"/>
        </w:rPr>
      </w:pPr>
      <w:r>
        <w:rPr>
          <w:rFonts w:eastAsia="黑体"/>
          <w:color w:val="auto"/>
          <w:sz w:val="24"/>
          <w:highlight w:val="none"/>
        </w:rPr>
        <w:t>11．开工和竣工</w:t>
      </w:r>
    </w:p>
    <w:p>
      <w:pPr>
        <w:adjustRightInd w:val="0"/>
        <w:snapToGrid w:val="0"/>
        <w:spacing w:line="360" w:lineRule="auto"/>
        <w:rPr>
          <w:rFonts w:eastAsia="黑体"/>
          <w:color w:val="auto"/>
          <w:sz w:val="24"/>
          <w:highlight w:val="none"/>
        </w:rPr>
      </w:pPr>
      <w:r>
        <w:rPr>
          <w:rFonts w:eastAsia="黑体"/>
          <w:color w:val="auto"/>
          <w:sz w:val="24"/>
          <w:highlight w:val="none"/>
        </w:rPr>
        <w:t>11.1开工</w:t>
      </w:r>
    </w:p>
    <w:p>
      <w:pPr>
        <w:adjustRightInd w:val="0"/>
        <w:snapToGrid w:val="0"/>
        <w:spacing w:line="360" w:lineRule="auto"/>
        <w:ind w:firstLine="480" w:firstLineChars="200"/>
        <w:rPr>
          <w:color w:val="auto"/>
          <w:sz w:val="24"/>
          <w:highlight w:val="none"/>
        </w:rPr>
      </w:pPr>
      <w:r>
        <w:rPr>
          <w:color w:val="auto"/>
          <w:sz w:val="24"/>
          <w:highlight w:val="none"/>
        </w:rPr>
        <w:t>11</w:t>
      </w:r>
      <w:r>
        <w:rPr>
          <w:rFonts w:hint="eastAsia"/>
          <w:color w:val="auto"/>
          <w:sz w:val="24"/>
          <w:highlight w:val="none"/>
        </w:rPr>
        <w:t>.</w:t>
      </w:r>
      <w:r>
        <w:rPr>
          <w:color w:val="auto"/>
          <w:sz w:val="24"/>
          <w:highlight w:val="none"/>
        </w:rPr>
        <w:t>1.2项补充：</w:t>
      </w:r>
    </w:p>
    <w:p>
      <w:pPr>
        <w:adjustRightInd w:val="0"/>
        <w:snapToGrid w:val="0"/>
        <w:spacing w:line="360" w:lineRule="auto"/>
        <w:ind w:firstLine="480" w:firstLineChars="200"/>
        <w:rPr>
          <w:color w:val="auto"/>
          <w:sz w:val="24"/>
          <w:highlight w:val="none"/>
        </w:rPr>
      </w:pPr>
      <w:r>
        <w:rPr>
          <w:color w:val="auto"/>
          <w:sz w:val="24"/>
          <w:highlight w:val="none"/>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11.3发包人的工期延误</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color w:val="auto"/>
          <w:sz w:val="24"/>
          <w:highlight w:val="none"/>
        </w:rPr>
      </w:pPr>
      <w:r>
        <w:rPr>
          <w:rFonts w:eastAsia="黑体"/>
          <w:color w:val="auto"/>
          <w:sz w:val="24"/>
          <w:highlight w:val="none"/>
        </w:rPr>
        <w:t>11.4异常恶劣的气候条件</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11.5承包人的工期延误</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color w:val="auto"/>
          <w:sz w:val="24"/>
          <w:highlight w:val="none"/>
        </w:rPr>
        <w:t>10</w:t>
      </w:r>
      <w:r>
        <w:rPr>
          <w:color w:val="auto"/>
          <w:sz w:val="24"/>
          <w:highlight w:val="none"/>
        </w:rPr>
        <w:t>％。发包人可以从应付或到期应付给承包人的任何款项中或采用其他方法扣除此违约金。</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承包人支付逾期竣工违约金，不免除承包人完成工程及修补缺陷的义务。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如果在合同工程完工之前，己对合同工程内按时完工的单位工程签发了工程接收证书，则合同工程的逾期竣工违约金，应按</w:t>
      </w:r>
      <w:r>
        <w:rPr>
          <w:rFonts w:hint="eastAsia"/>
          <w:color w:val="auto"/>
          <w:sz w:val="24"/>
          <w:highlight w:val="none"/>
        </w:rPr>
        <w:t>已</w:t>
      </w:r>
      <w:r>
        <w:rPr>
          <w:color w:val="auto"/>
          <w:sz w:val="24"/>
          <w:highlight w:val="none"/>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11.6工期提前</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64" w:firstLineChars="200"/>
        <w:rPr>
          <w:color w:val="auto"/>
          <w:spacing w:val="-4"/>
          <w:sz w:val="24"/>
          <w:highlight w:val="none"/>
        </w:rPr>
      </w:pPr>
      <w:r>
        <w:rPr>
          <w:color w:val="auto"/>
          <w:spacing w:val="-4"/>
          <w:sz w:val="24"/>
          <w:highlight w:val="none"/>
        </w:rPr>
        <w:t>如果承包人提前竣工，发包人支付奖金的计算方法为：每提前一天支付</w:t>
      </w:r>
      <w:r>
        <w:rPr>
          <w:rFonts w:hint="eastAsia"/>
          <w:color w:val="auto"/>
          <w:spacing w:val="-4"/>
          <w:sz w:val="24"/>
          <w:highlight w:val="none"/>
          <w:u w:val="single"/>
        </w:rPr>
        <w:t xml:space="preserve">    </w:t>
      </w:r>
      <w:r>
        <w:rPr>
          <w:color w:val="auto"/>
          <w:spacing w:val="-4"/>
          <w:sz w:val="24"/>
          <w:highlight w:val="none"/>
        </w:rPr>
        <w:t>元人民币（在项目专用合同条款中约定），时间自工程接收证书中写明的实际竣工日期起至预定的竣工日期止，按天计算。但奖金最高限额不超过签约合同价的</w:t>
      </w:r>
      <w:r>
        <w:rPr>
          <w:rFonts w:hint="eastAsia"/>
          <w:color w:val="auto"/>
          <w:spacing w:val="-4"/>
          <w:sz w:val="24"/>
          <w:highlight w:val="none"/>
          <w:u w:val="single"/>
        </w:rPr>
        <w:t xml:space="preserve">    </w:t>
      </w:r>
      <w:r>
        <w:rPr>
          <w:color w:val="auto"/>
          <w:spacing w:val="-4"/>
          <w:sz w:val="24"/>
          <w:highlight w:val="none"/>
        </w:rPr>
        <w:t>％（在项目专用合同条款中约定）。</w:t>
      </w:r>
    </w:p>
    <w:p>
      <w:pPr>
        <w:adjustRightInd w:val="0"/>
        <w:snapToGrid w:val="0"/>
        <w:spacing w:line="360" w:lineRule="auto"/>
        <w:rPr>
          <w:color w:val="auto"/>
          <w:sz w:val="24"/>
          <w:highlight w:val="none"/>
        </w:rPr>
      </w:pPr>
      <w:r>
        <w:rPr>
          <w:color w:val="auto"/>
          <w:sz w:val="24"/>
          <w:highlight w:val="none"/>
        </w:rPr>
        <w:t>增加第11.7款：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11.7</w:t>
      </w:r>
      <w:r>
        <w:rPr>
          <w:rFonts w:hint="eastAsia" w:eastAsia="黑体"/>
          <w:color w:val="auto"/>
          <w:sz w:val="24"/>
          <w:highlight w:val="none"/>
        </w:rPr>
        <w:t>工</w:t>
      </w:r>
      <w:r>
        <w:rPr>
          <w:rFonts w:eastAsia="黑体"/>
          <w:color w:val="auto"/>
          <w:sz w:val="24"/>
          <w:highlight w:val="none"/>
        </w:rPr>
        <w:t>作时</w:t>
      </w:r>
      <w:r>
        <w:rPr>
          <w:rFonts w:hint="eastAsia" w:eastAsia="黑体"/>
          <w:color w:val="auto"/>
          <w:sz w:val="24"/>
          <w:highlight w:val="none"/>
        </w:rPr>
        <w:t>间</w:t>
      </w:r>
      <w:r>
        <w:rPr>
          <w:rFonts w:eastAsia="黑体"/>
          <w:color w:val="auto"/>
          <w:sz w:val="24"/>
          <w:highlight w:val="none"/>
        </w:rPr>
        <w:t>的限制</w:t>
      </w:r>
    </w:p>
    <w:p>
      <w:pPr>
        <w:adjustRightInd w:val="0"/>
        <w:snapToGrid w:val="0"/>
        <w:spacing w:line="360" w:lineRule="auto"/>
        <w:ind w:firstLine="480" w:firstLineChars="200"/>
        <w:rPr>
          <w:color w:val="auto"/>
          <w:sz w:val="24"/>
          <w:highlight w:val="none"/>
        </w:rPr>
      </w:pPr>
      <w:r>
        <w:rPr>
          <w:color w:val="auto"/>
          <w:sz w:val="24"/>
          <w:highlight w:val="none"/>
        </w:rPr>
        <w:t>承包人在夜间或国家规定的节假日进行永久工程的施工，应向监理人报告，以便监理人履行监理职责和义务。</w:t>
      </w:r>
    </w:p>
    <w:p>
      <w:pPr>
        <w:adjustRightInd w:val="0"/>
        <w:snapToGrid w:val="0"/>
        <w:spacing w:line="360" w:lineRule="auto"/>
        <w:ind w:firstLine="480" w:firstLineChars="200"/>
        <w:rPr>
          <w:color w:val="auto"/>
          <w:sz w:val="24"/>
          <w:highlight w:val="none"/>
        </w:rPr>
      </w:pPr>
      <w:r>
        <w:rPr>
          <w:color w:val="auto"/>
          <w:sz w:val="24"/>
          <w:highlight w:val="none"/>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color w:val="auto"/>
          <w:sz w:val="24"/>
          <w:highlight w:val="none"/>
        </w:rPr>
      </w:pPr>
      <w:r>
        <w:rPr>
          <w:color w:val="auto"/>
          <w:sz w:val="24"/>
          <w:highlight w:val="none"/>
        </w:rPr>
        <w:t>本款规定不适用于习惯上或施工本身要求实行连续生产的作业。</w:t>
      </w:r>
    </w:p>
    <w:p>
      <w:pPr>
        <w:adjustRightInd w:val="0"/>
        <w:snapToGrid w:val="0"/>
        <w:spacing w:beforeLines="100" w:line="360" w:lineRule="auto"/>
        <w:rPr>
          <w:rFonts w:eastAsia="黑体"/>
          <w:color w:val="auto"/>
          <w:sz w:val="24"/>
          <w:highlight w:val="none"/>
        </w:rPr>
      </w:pPr>
      <w:r>
        <w:rPr>
          <w:rFonts w:eastAsia="黑体"/>
          <w:color w:val="auto"/>
          <w:sz w:val="24"/>
          <w:highlight w:val="none"/>
        </w:rPr>
        <w:t>12</w:t>
      </w:r>
      <w:r>
        <w:rPr>
          <w:rFonts w:hint="eastAsia" w:eastAsia="黑体"/>
          <w:color w:val="auto"/>
          <w:sz w:val="24"/>
          <w:highlight w:val="none"/>
        </w:rPr>
        <w:t>．</w:t>
      </w:r>
      <w:r>
        <w:rPr>
          <w:rFonts w:eastAsia="黑体"/>
          <w:color w:val="auto"/>
          <w:sz w:val="24"/>
          <w:highlight w:val="none"/>
        </w:rPr>
        <w:t>暂停施工</w:t>
      </w:r>
    </w:p>
    <w:p>
      <w:pPr>
        <w:adjustRightInd w:val="0"/>
        <w:snapToGrid w:val="0"/>
        <w:spacing w:line="360" w:lineRule="auto"/>
        <w:ind w:firstLine="480" w:firstLineChars="200"/>
        <w:rPr>
          <w:color w:val="auto"/>
          <w:sz w:val="24"/>
          <w:highlight w:val="none"/>
        </w:rPr>
      </w:pPr>
      <w:r>
        <w:rPr>
          <w:color w:val="auto"/>
          <w:sz w:val="24"/>
          <w:highlight w:val="none"/>
        </w:rPr>
        <w:t>12.1承包人暂停施工的责任</w:t>
      </w:r>
    </w:p>
    <w:p>
      <w:pPr>
        <w:adjustRightInd w:val="0"/>
        <w:snapToGrid w:val="0"/>
        <w:spacing w:line="360" w:lineRule="auto"/>
        <w:ind w:firstLine="480" w:firstLineChars="200"/>
        <w:rPr>
          <w:color w:val="auto"/>
          <w:sz w:val="24"/>
          <w:highlight w:val="none"/>
        </w:rPr>
      </w:pPr>
      <w:r>
        <w:rPr>
          <w:color w:val="auto"/>
          <w:sz w:val="24"/>
          <w:highlight w:val="none"/>
        </w:rPr>
        <w:t>12.1（5</w:t>
      </w:r>
      <w:r>
        <w:rPr>
          <w:rFonts w:hint="eastAsia"/>
          <w:color w:val="auto"/>
          <w:sz w:val="24"/>
          <w:highlight w:val="none"/>
        </w:rPr>
        <w:t>）</w:t>
      </w:r>
      <w:r>
        <w:rPr>
          <w:color w:val="auto"/>
          <w:sz w:val="24"/>
          <w:highlight w:val="none"/>
        </w:rPr>
        <w:t>项补充：</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现场气候条件导致的必要停工（第11.4款规定的异常恶劣的气候条件除外）；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项目专用合同条款约定由承包人承担的其他暂停施工。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13．工程质量</w:t>
      </w:r>
    </w:p>
    <w:p>
      <w:pPr>
        <w:adjustRightInd w:val="0"/>
        <w:snapToGrid w:val="0"/>
        <w:spacing w:line="360" w:lineRule="auto"/>
        <w:rPr>
          <w:rFonts w:eastAsia="黑体"/>
          <w:color w:val="auto"/>
          <w:sz w:val="24"/>
          <w:highlight w:val="none"/>
        </w:rPr>
      </w:pPr>
      <w:r>
        <w:rPr>
          <w:rFonts w:eastAsia="黑体"/>
          <w:color w:val="auto"/>
          <w:sz w:val="24"/>
          <w:highlight w:val="none"/>
        </w:rPr>
        <w:t>13.1工程质量要求</w:t>
      </w:r>
    </w:p>
    <w:p>
      <w:pPr>
        <w:adjustRightInd w:val="0"/>
        <w:snapToGrid w:val="0"/>
        <w:spacing w:line="360" w:lineRule="auto"/>
        <w:ind w:firstLine="480" w:firstLineChars="200"/>
        <w:rPr>
          <w:color w:val="auto"/>
          <w:sz w:val="24"/>
          <w:highlight w:val="none"/>
        </w:rPr>
      </w:pPr>
      <w:r>
        <w:rPr>
          <w:color w:val="auto"/>
          <w:sz w:val="24"/>
          <w:highlight w:val="none"/>
        </w:rPr>
        <w:t>13.1</w:t>
      </w:r>
      <w:r>
        <w:rPr>
          <w:rFonts w:hint="eastAsia"/>
          <w:color w:val="auto"/>
          <w:sz w:val="24"/>
          <w:highlight w:val="none"/>
        </w:rPr>
        <w:t>.</w:t>
      </w:r>
      <w:r>
        <w:rPr>
          <w:color w:val="auto"/>
          <w:sz w:val="24"/>
          <w:highlight w:val="none"/>
        </w:rPr>
        <w:t>1项约定为：</w:t>
      </w:r>
    </w:p>
    <w:p>
      <w:pPr>
        <w:adjustRightInd w:val="0"/>
        <w:snapToGrid w:val="0"/>
        <w:spacing w:line="360" w:lineRule="auto"/>
        <w:ind w:firstLine="480" w:firstLineChars="200"/>
        <w:rPr>
          <w:color w:val="auto"/>
          <w:sz w:val="24"/>
          <w:highlight w:val="none"/>
        </w:rPr>
      </w:pPr>
      <w:r>
        <w:rPr>
          <w:color w:val="auto"/>
          <w:sz w:val="24"/>
          <w:highlight w:val="none"/>
        </w:rPr>
        <w:t>工程质量验收按技术规范及交通部《公路工程质量验收评定标准》执行。本款增加第13．1.4至13．1.6项：</w:t>
      </w:r>
    </w:p>
    <w:p>
      <w:pPr>
        <w:adjustRightInd w:val="0"/>
        <w:snapToGrid w:val="0"/>
        <w:spacing w:line="360" w:lineRule="auto"/>
        <w:ind w:firstLine="480" w:firstLineChars="200"/>
        <w:rPr>
          <w:color w:val="auto"/>
          <w:sz w:val="24"/>
          <w:highlight w:val="none"/>
        </w:rPr>
      </w:pPr>
      <w:r>
        <w:rPr>
          <w:color w:val="auto"/>
          <w:sz w:val="24"/>
          <w:highlight w:val="none"/>
        </w:rPr>
        <w:t>13.1.4承包人对工程质量终身负责。</w:t>
      </w:r>
    </w:p>
    <w:p>
      <w:pPr>
        <w:adjustRightInd w:val="0"/>
        <w:snapToGrid w:val="0"/>
        <w:spacing w:line="360" w:lineRule="auto"/>
        <w:ind w:firstLine="480" w:firstLineChars="200"/>
        <w:rPr>
          <w:color w:val="auto"/>
          <w:sz w:val="24"/>
          <w:highlight w:val="none"/>
        </w:rPr>
      </w:pPr>
      <w:r>
        <w:rPr>
          <w:color w:val="auto"/>
          <w:sz w:val="24"/>
          <w:highlight w:val="none"/>
        </w:rPr>
        <w:t>13</w:t>
      </w:r>
      <w:r>
        <w:rPr>
          <w:rFonts w:hint="eastAsia"/>
          <w:color w:val="auto"/>
          <w:sz w:val="24"/>
          <w:highlight w:val="none"/>
        </w:rPr>
        <w:t>.</w:t>
      </w:r>
      <w:r>
        <w:rPr>
          <w:color w:val="auto"/>
          <w:sz w:val="24"/>
          <w:highlight w:val="none"/>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color w:val="auto"/>
          <w:sz w:val="24"/>
          <w:highlight w:val="none"/>
        </w:rPr>
      </w:pPr>
      <w:r>
        <w:rPr>
          <w:color w:val="auto"/>
          <w:sz w:val="24"/>
          <w:highlight w:val="none"/>
        </w:rPr>
        <w:t>13.1.6发包人对存在质量问题或质量隐患的工程有权直接发布或授权监理人发布停工令、复工令。</w:t>
      </w:r>
    </w:p>
    <w:p>
      <w:pPr>
        <w:adjustRightInd w:val="0"/>
        <w:snapToGrid w:val="0"/>
        <w:spacing w:beforeLines="100" w:line="360" w:lineRule="auto"/>
        <w:rPr>
          <w:rFonts w:eastAsia="黑体"/>
          <w:color w:val="auto"/>
          <w:sz w:val="24"/>
          <w:highlight w:val="none"/>
        </w:rPr>
      </w:pPr>
      <w:r>
        <w:rPr>
          <w:rFonts w:eastAsia="黑体"/>
          <w:color w:val="auto"/>
          <w:sz w:val="24"/>
          <w:highlight w:val="none"/>
        </w:rPr>
        <w:t>13.2承包人的质量管理</w:t>
      </w:r>
    </w:p>
    <w:p>
      <w:pPr>
        <w:adjustRightInd w:val="0"/>
        <w:snapToGrid w:val="0"/>
        <w:spacing w:line="360" w:lineRule="auto"/>
        <w:ind w:firstLine="480" w:firstLineChars="200"/>
        <w:rPr>
          <w:color w:val="auto"/>
          <w:sz w:val="24"/>
          <w:highlight w:val="none"/>
        </w:rPr>
      </w:pPr>
      <w:r>
        <w:rPr>
          <w:color w:val="auto"/>
          <w:sz w:val="24"/>
          <w:highlight w:val="none"/>
        </w:rPr>
        <w:t>13.2.1项补充：</w:t>
      </w:r>
    </w:p>
    <w:p>
      <w:pPr>
        <w:adjustRightInd w:val="0"/>
        <w:snapToGrid w:val="0"/>
        <w:spacing w:line="360" w:lineRule="auto"/>
        <w:ind w:firstLine="480" w:firstLineChars="200"/>
        <w:rPr>
          <w:color w:val="auto"/>
          <w:sz w:val="24"/>
          <w:highlight w:val="none"/>
        </w:rPr>
      </w:pPr>
      <w:r>
        <w:rPr>
          <w:color w:val="auto"/>
          <w:sz w:val="24"/>
          <w:highlight w:val="none"/>
        </w:rPr>
        <w:t>承包人提交工程质量保证措施文件的期限：</w:t>
      </w:r>
      <w:r>
        <w:rPr>
          <w:color w:val="auto"/>
          <w:sz w:val="24"/>
          <w:highlight w:val="none"/>
          <w:u w:val="single"/>
        </w:rPr>
        <w:t>签订合同协议书后28天之内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本款增加第13.2.3至13.2.5项：</w:t>
      </w:r>
    </w:p>
    <w:p>
      <w:pPr>
        <w:adjustRightInd w:val="0"/>
        <w:snapToGrid w:val="0"/>
        <w:spacing w:line="360" w:lineRule="auto"/>
        <w:ind w:firstLine="480" w:firstLineChars="200"/>
        <w:rPr>
          <w:color w:val="auto"/>
          <w:sz w:val="24"/>
          <w:highlight w:val="none"/>
        </w:rPr>
      </w:pPr>
      <w:r>
        <w:rPr>
          <w:color w:val="auto"/>
          <w:sz w:val="24"/>
          <w:highlight w:val="none"/>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color w:val="auto"/>
          <w:sz w:val="24"/>
          <w:highlight w:val="none"/>
        </w:rPr>
      </w:pPr>
      <w:r>
        <w:rPr>
          <w:color w:val="auto"/>
          <w:sz w:val="24"/>
          <w:highlight w:val="none"/>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color w:val="auto"/>
          <w:sz w:val="24"/>
          <w:highlight w:val="none"/>
        </w:rPr>
      </w:pPr>
      <w:r>
        <w:rPr>
          <w:color w:val="auto"/>
          <w:sz w:val="24"/>
          <w:highlight w:val="none"/>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color w:val="auto"/>
          <w:sz w:val="24"/>
          <w:highlight w:val="none"/>
        </w:rPr>
      </w:pPr>
      <w:r>
        <w:rPr>
          <w:rFonts w:eastAsia="黑体"/>
          <w:color w:val="auto"/>
          <w:sz w:val="24"/>
          <w:highlight w:val="none"/>
        </w:rPr>
        <w:t>13.4监理人的质量检查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color w:val="auto"/>
          <w:sz w:val="24"/>
          <w:highlight w:val="none"/>
        </w:rPr>
      </w:pPr>
      <w:r>
        <w:rPr>
          <w:color w:val="auto"/>
          <w:sz w:val="24"/>
          <w:highlight w:val="none"/>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13.5工程隐蔽部位覆盖前的检查</w:t>
      </w:r>
    </w:p>
    <w:p>
      <w:pPr>
        <w:adjustRightInd w:val="0"/>
        <w:snapToGrid w:val="0"/>
        <w:spacing w:line="360" w:lineRule="auto"/>
        <w:ind w:firstLine="480" w:firstLineChars="200"/>
        <w:rPr>
          <w:color w:val="auto"/>
          <w:sz w:val="24"/>
          <w:highlight w:val="none"/>
        </w:rPr>
      </w:pPr>
      <w:r>
        <w:rPr>
          <w:color w:val="auto"/>
          <w:sz w:val="24"/>
          <w:highlight w:val="none"/>
        </w:rPr>
        <w:t>13.5.1通知监理人检查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13.6清除不合格工程</w:t>
      </w:r>
    </w:p>
    <w:p>
      <w:pPr>
        <w:adjustRightInd w:val="0"/>
        <w:snapToGrid w:val="0"/>
        <w:spacing w:line="360" w:lineRule="auto"/>
        <w:ind w:firstLine="480" w:firstLineChars="200"/>
        <w:rPr>
          <w:color w:val="auto"/>
          <w:sz w:val="24"/>
          <w:highlight w:val="none"/>
        </w:rPr>
      </w:pPr>
      <w:r>
        <w:rPr>
          <w:color w:val="auto"/>
          <w:sz w:val="24"/>
          <w:highlight w:val="none"/>
        </w:rPr>
        <w:t>13.6.1项细化为：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14</w:t>
      </w:r>
      <w:r>
        <w:rPr>
          <w:rFonts w:hint="eastAsia" w:eastAsia="黑体"/>
          <w:color w:val="auto"/>
          <w:sz w:val="24"/>
          <w:highlight w:val="none"/>
        </w:rPr>
        <w:t>．</w:t>
      </w:r>
      <w:r>
        <w:rPr>
          <w:rFonts w:eastAsia="黑体"/>
          <w:color w:val="auto"/>
          <w:sz w:val="24"/>
          <w:highlight w:val="none"/>
        </w:rPr>
        <w:t>试验和检验</w:t>
      </w:r>
    </w:p>
    <w:p>
      <w:pPr>
        <w:adjustRightInd w:val="0"/>
        <w:snapToGrid w:val="0"/>
        <w:spacing w:line="360" w:lineRule="auto"/>
        <w:rPr>
          <w:color w:val="auto"/>
          <w:sz w:val="24"/>
          <w:highlight w:val="none"/>
        </w:rPr>
      </w:pPr>
      <w:r>
        <w:rPr>
          <w:rFonts w:hAnsi="宋体"/>
          <w:color w:val="auto"/>
          <w:sz w:val="24"/>
          <w:highlight w:val="none"/>
        </w:rPr>
        <w:t>增加第</w:t>
      </w:r>
      <w:r>
        <w:rPr>
          <w:color w:val="auto"/>
          <w:sz w:val="24"/>
          <w:highlight w:val="none"/>
        </w:rPr>
        <w:t>14.4</w:t>
      </w:r>
      <w:r>
        <w:rPr>
          <w:rFonts w:hAnsi="宋体"/>
          <w:color w:val="auto"/>
          <w:sz w:val="24"/>
          <w:highlight w:val="none"/>
        </w:rPr>
        <w:t>款：</w:t>
      </w:r>
    </w:p>
    <w:p>
      <w:pPr>
        <w:adjustRightInd w:val="0"/>
        <w:snapToGrid w:val="0"/>
        <w:spacing w:line="360" w:lineRule="auto"/>
        <w:rPr>
          <w:rFonts w:eastAsia="黑体"/>
          <w:color w:val="auto"/>
          <w:sz w:val="24"/>
          <w:highlight w:val="none"/>
        </w:rPr>
      </w:pPr>
      <w:r>
        <w:rPr>
          <w:rFonts w:eastAsia="黑体"/>
          <w:color w:val="auto"/>
          <w:sz w:val="24"/>
          <w:highlight w:val="none"/>
        </w:rPr>
        <w:t>14.4试验和检验费用</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承包人应负责提供进行试验和检验所需的全部样品，并承担其费用。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15</w:t>
      </w:r>
      <w:r>
        <w:rPr>
          <w:rFonts w:hint="eastAsia" w:eastAsia="黑体"/>
          <w:color w:val="auto"/>
          <w:sz w:val="24"/>
          <w:highlight w:val="none"/>
        </w:rPr>
        <w:t>．</w:t>
      </w:r>
      <w:r>
        <w:rPr>
          <w:rFonts w:eastAsia="黑体"/>
          <w:color w:val="auto"/>
          <w:sz w:val="24"/>
          <w:highlight w:val="none"/>
        </w:rPr>
        <w:t>变更</w:t>
      </w:r>
    </w:p>
    <w:p>
      <w:pPr>
        <w:adjustRightInd w:val="0"/>
        <w:snapToGrid w:val="0"/>
        <w:spacing w:line="360" w:lineRule="auto"/>
        <w:rPr>
          <w:rFonts w:eastAsia="黑体"/>
          <w:color w:val="auto"/>
          <w:sz w:val="24"/>
          <w:highlight w:val="none"/>
        </w:rPr>
      </w:pPr>
      <w:r>
        <w:rPr>
          <w:rFonts w:eastAsia="黑体"/>
          <w:color w:val="auto"/>
          <w:sz w:val="24"/>
          <w:highlight w:val="none"/>
        </w:rPr>
        <w:t>15.1变更的范围和内容</w:t>
      </w:r>
    </w:p>
    <w:p>
      <w:pPr>
        <w:adjustRightInd w:val="0"/>
        <w:snapToGrid w:val="0"/>
        <w:spacing w:line="360" w:lineRule="auto"/>
        <w:ind w:firstLine="480" w:firstLineChars="200"/>
        <w:rPr>
          <w:color w:val="auto"/>
          <w:sz w:val="24"/>
          <w:highlight w:val="none"/>
        </w:rPr>
      </w:pPr>
      <w:r>
        <w:rPr>
          <w:color w:val="auto"/>
          <w:sz w:val="24"/>
          <w:highlight w:val="none"/>
        </w:rPr>
        <w:t>15.1（1）项细化为：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取消合同中任何一项工作，但被取消的工作不能转由发包人或其他人实施，由于承包人违约造成的情况除外；</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设计变更程序应执行交通部《公路工程设计变更管理办法》的相关规定。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15.4变更的估价原则</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除项目专用合同条款另有约定外，因变更引起的价格调整按照本款约定处理。</w:t>
      </w:r>
    </w:p>
    <w:p>
      <w:pPr>
        <w:adjustRightInd w:val="0"/>
        <w:snapToGrid w:val="0"/>
        <w:spacing w:line="360" w:lineRule="auto"/>
        <w:ind w:firstLine="480" w:firstLineChars="200"/>
        <w:rPr>
          <w:color w:val="auto"/>
          <w:sz w:val="24"/>
          <w:highlight w:val="none"/>
        </w:rPr>
      </w:pPr>
      <w:r>
        <w:rPr>
          <w:color w:val="auto"/>
          <w:sz w:val="24"/>
          <w:highlight w:val="none"/>
        </w:rPr>
        <w:t>15.4.1如果取消某项工作，则该项工作的总额价不予支付；</w:t>
      </w:r>
    </w:p>
    <w:p>
      <w:pPr>
        <w:adjustRightInd w:val="0"/>
        <w:snapToGrid w:val="0"/>
        <w:spacing w:line="360" w:lineRule="auto"/>
        <w:ind w:firstLine="480" w:firstLineChars="200"/>
        <w:rPr>
          <w:color w:val="auto"/>
          <w:sz w:val="24"/>
          <w:highlight w:val="none"/>
        </w:rPr>
      </w:pPr>
      <w:r>
        <w:rPr>
          <w:color w:val="auto"/>
          <w:sz w:val="24"/>
          <w:highlight w:val="none"/>
        </w:rPr>
        <w:t>15.4.2已标价工程量清单中有适用于变更工作的子目的，采用该子目的单价。</w:t>
      </w:r>
    </w:p>
    <w:p>
      <w:pPr>
        <w:adjustRightInd w:val="0"/>
        <w:snapToGrid w:val="0"/>
        <w:spacing w:line="360" w:lineRule="auto"/>
        <w:ind w:firstLine="480" w:firstLineChars="200"/>
        <w:rPr>
          <w:color w:val="auto"/>
          <w:sz w:val="24"/>
          <w:highlight w:val="none"/>
        </w:rPr>
      </w:pPr>
      <w:r>
        <w:rPr>
          <w:color w:val="auto"/>
          <w:sz w:val="24"/>
          <w:highlight w:val="none"/>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15.5承包人的合理化建议</w:t>
      </w:r>
    </w:p>
    <w:p>
      <w:pPr>
        <w:adjustRightInd w:val="0"/>
        <w:snapToGrid w:val="0"/>
        <w:spacing w:line="360" w:lineRule="auto"/>
        <w:ind w:firstLine="480" w:firstLineChars="200"/>
        <w:rPr>
          <w:color w:val="auto"/>
          <w:sz w:val="24"/>
          <w:highlight w:val="none"/>
        </w:rPr>
      </w:pPr>
      <w:r>
        <w:rPr>
          <w:color w:val="auto"/>
          <w:sz w:val="24"/>
          <w:highlight w:val="none"/>
        </w:rPr>
        <w:t>15.5.2项约定为：</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承包人提出的合理化建议缩短了工期，发包人按专用合同条款第11.6款的规定给予奖励。</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承包人提出的合理化建议降低了合同价格或者提高了工程经济效益的，发包人按所节约成本或增加收益的</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（在项目专用条款数据表中约定）给予奖励。</w:t>
      </w:r>
    </w:p>
    <w:p>
      <w:pPr>
        <w:adjustRightInd w:val="0"/>
        <w:snapToGrid w:val="0"/>
        <w:spacing w:line="360" w:lineRule="auto"/>
        <w:ind w:firstLine="480" w:firstLineChars="200"/>
        <w:rPr>
          <w:color w:val="auto"/>
          <w:sz w:val="24"/>
          <w:highlight w:val="none"/>
        </w:rPr>
      </w:pPr>
      <w:r>
        <w:rPr>
          <w:color w:val="auto"/>
          <w:sz w:val="24"/>
          <w:highlight w:val="none"/>
        </w:rPr>
        <w:t>15.6暂列金额</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color w:val="auto"/>
          <w:sz w:val="24"/>
          <w:highlight w:val="none"/>
        </w:rPr>
      </w:pPr>
      <w:r>
        <w:rPr>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color w:val="auto"/>
          <w:sz w:val="24"/>
          <w:highlight w:val="none"/>
        </w:rPr>
      </w:pPr>
      <w:r>
        <w:rPr>
          <w:color w:val="auto"/>
          <w:sz w:val="24"/>
          <w:highlight w:val="none"/>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color w:val="auto"/>
          <w:sz w:val="24"/>
          <w:highlight w:val="none"/>
        </w:rPr>
      </w:pPr>
      <w:r>
        <w:rPr>
          <w:rFonts w:eastAsia="黑体"/>
          <w:color w:val="auto"/>
          <w:sz w:val="24"/>
          <w:highlight w:val="none"/>
        </w:rPr>
        <w:t>15.8暂估价</w:t>
      </w:r>
    </w:p>
    <w:p>
      <w:pPr>
        <w:adjustRightInd w:val="0"/>
        <w:snapToGrid w:val="0"/>
        <w:spacing w:line="360" w:lineRule="auto"/>
        <w:ind w:firstLine="480" w:firstLineChars="200"/>
        <w:rPr>
          <w:color w:val="auto"/>
          <w:sz w:val="24"/>
          <w:highlight w:val="none"/>
        </w:rPr>
      </w:pPr>
      <w:r>
        <w:rPr>
          <w:color w:val="auto"/>
          <w:sz w:val="24"/>
          <w:highlight w:val="none"/>
        </w:rPr>
        <w:t>15.8.1项补充：</w:t>
      </w:r>
    </w:p>
    <w:p>
      <w:pPr>
        <w:adjustRightInd w:val="0"/>
        <w:snapToGrid w:val="0"/>
        <w:spacing w:line="360" w:lineRule="auto"/>
        <w:ind w:firstLine="480" w:firstLineChars="200"/>
        <w:rPr>
          <w:color w:val="auto"/>
          <w:sz w:val="24"/>
          <w:highlight w:val="none"/>
        </w:rPr>
      </w:pPr>
      <w:r>
        <w:rPr>
          <w:color w:val="auto"/>
          <w:sz w:val="24"/>
          <w:highlight w:val="none"/>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承包人应与特殊分包人或供应商签订分包合同。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color w:val="auto"/>
          <w:sz w:val="24"/>
          <w:highlight w:val="none"/>
        </w:rPr>
      </w:pPr>
      <w:r>
        <w:rPr>
          <w:color w:val="auto"/>
          <w:sz w:val="24"/>
          <w:highlight w:val="none"/>
        </w:rPr>
        <w:t>如果特殊分包合同中含有与上述规定有悖的条款，承包人有权拒绝与此特殊分包人（或供应商）签订合同。</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对于特殊分包人或供应商已完成的工程或已提供的货物、材料、设备，承包人应有权得到下述款项：</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按照监理人的指令，并根据特殊分包合同的约定，由承包人己支付或应支付的实际价款；</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16</w:t>
      </w:r>
      <w:r>
        <w:rPr>
          <w:rFonts w:hint="eastAsia" w:eastAsia="黑体"/>
          <w:color w:val="auto"/>
          <w:sz w:val="24"/>
          <w:highlight w:val="none"/>
        </w:rPr>
        <w:t>．</w:t>
      </w:r>
      <w:r>
        <w:rPr>
          <w:rFonts w:eastAsia="黑体"/>
          <w:color w:val="auto"/>
          <w:sz w:val="24"/>
          <w:highlight w:val="none"/>
        </w:rPr>
        <w:t>价格调整</w:t>
      </w:r>
    </w:p>
    <w:p>
      <w:pPr>
        <w:adjustRightInd w:val="0"/>
        <w:snapToGrid w:val="0"/>
        <w:spacing w:line="360" w:lineRule="auto"/>
        <w:rPr>
          <w:rFonts w:eastAsia="黑体"/>
          <w:color w:val="auto"/>
          <w:sz w:val="24"/>
          <w:highlight w:val="none"/>
        </w:rPr>
      </w:pPr>
      <w:r>
        <w:rPr>
          <w:rFonts w:eastAsia="黑体"/>
          <w:color w:val="auto"/>
          <w:sz w:val="24"/>
          <w:highlight w:val="none"/>
        </w:rPr>
        <w:t>16.1物价波动引起的价格调整</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因物价波动引起的价格调整按照</w:t>
      </w:r>
      <w:r>
        <w:rPr>
          <w:rFonts w:hint="eastAsia"/>
          <w:color w:val="auto"/>
          <w:sz w:val="24"/>
          <w:highlight w:val="none"/>
          <w:u w:val="single"/>
        </w:rPr>
        <w:t xml:space="preserve">  第16.1.1或16.1.2项  </w:t>
      </w:r>
      <w:r>
        <w:rPr>
          <w:color w:val="auto"/>
          <w:sz w:val="24"/>
          <w:highlight w:val="none"/>
        </w:rPr>
        <w:t>约定的原则处理；或者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承包人在合同在执行期间（包括工期拖延期间）人工、材料和设备价格的上涨而引起工程施工成本增加</w:t>
      </w:r>
      <w:r>
        <w:rPr>
          <w:rFonts w:hint="eastAsia"/>
          <w:color w:val="auto"/>
          <w:sz w:val="24"/>
          <w:highlight w:val="none"/>
        </w:rPr>
        <w:t>或减少</w:t>
      </w:r>
      <w:r>
        <w:rPr>
          <w:color w:val="auto"/>
          <w:sz w:val="24"/>
          <w:highlight w:val="none"/>
        </w:rPr>
        <w:t>的风险，</w:t>
      </w:r>
      <w:r>
        <w:rPr>
          <w:rFonts w:hint="eastAsia"/>
          <w:color w:val="auto"/>
          <w:sz w:val="24"/>
          <w:highlight w:val="none"/>
        </w:rPr>
        <w:t>由业主和承包商协商解决</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16.1.1采用价格指数调整价格差额</w:t>
      </w:r>
    </w:p>
    <w:p>
      <w:pPr>
        <w:adjustRightInd w:val="0"/>
        <w:snapToGrid w:val="0"/>
        <w:spacing w:line="360" w:lineRule="auto"/>
        <w:ind w:firstLine="480" w:firstLineChars="200"/>
        <w:rPr>
          <w:color w:val="auto"/>
          <w:sz w:val="24"/>
          <w:highlight w:val="none"/>
        </w:rPr>
      </w:pPr>
      <w:r>
        <w:rPr>
          <w:color w:val="auto"/>
          <w:sz w:val="24"/>
          <w:highlight w:val="none"/>
        </w:rPr>
        <w:t>16.1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1价格调整公式</w:t>
      </w:r>
    </w:p>
    <w:p>
      <w:pPr>
        <w:adjustRightInd w:val="0"/>
        <w:snapToGrid w:val="0"/>
        <w:spacing w:line="360" w:lineRule="auto"/>
        <w:ind w:firstLine="480" w:firstLineChars="200"/>
        <w:rPr>
          <w:color w:val="auto"/>
          <w:sz w:val="24"/>
          <w:highlight w:val="none"/>
        </w:rPr>
      </w:pPr>
      <w:r>
        <w:rPr>
          <w:color w:val="auto"/>
          <w:sz w:val="24"/>
          <w:highlight w:val="none"/>
        </w:rPr>
        <w:t>本目细化为：</w:t>
      </w:r>
    </w:p>
    <w:p>
      <w:pPr>
        <w:adjustRightInd w:val="0"/>
        <w:snapToGrid w:val="0"/>
        <w:spacing w:line="360" w:lineRule="auto"/>
        <w:ind w:firstLine="480" w:firstLineChars="200"/>
        <w:rPr>
          <w:color w:val="auto"/>
          <w:sz w:val="24"/>
          <w:highlight w:val="none"/>
        </w:rPr>
      </w:pPr>
      <w:r>
        <w:rPr>
          <w:color w:val="auto"/>
          <w:sz w:val="24"/>
          <w:highlight w:val="none"/>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color w:val="auto"/>
          <w:sz w:val="40"/>
          <w:highlight w:val="none"/>
        </w:rPr>
      </w:pPr>
      <w:r>
        <w:rPr>
          <w:rFonts w:hint="eastAsia" w:ascii="黑体" w:eastAsia="黑体"/>
          <w:color w:val="auto"/>
          <w:sz w:val="34"/>
          <w:highlight w:val="none"/>
        </w:rPr>
        <w:t>△</w:t>
      </w:r>
      <w:r>
        <w:rPr>
          <w:rFonts w:eastAsia="黑体"/>
          <w:i/>
          <w:color w:val="auto"/>
          <w:sz w:val="34"/>
          <w:highlight w:val="none"/>
        </w:rPr>
        <w:t>P</w:t>
      </w:r>
      <w:r>
        <w:rPr>
          <w:rFonts w:hint="eastAsia" w:ascii="黑体" w:eastAsia="黑体"/>
          <w:color w:val="auto"/>
          <w:sz w:val="40"/>
          <w:highlight w:val="none"/>
        </w:rPr>
        <w:t>=</w:t>
      </w:r>
      <w:r>
        <w:rPr>
          <w:rFonts w:eastAsia="黑体"/>
          <w:i/>
          <w:color w:val="auto"/>
          <w:sz w:val="32"/>
          <w:highlight w:val="none"/>
        </w:rPr>
        <w:t>P</w:t>
      </w:r>
      <w:r>
        <w:rPr>
          <w:rFonts w:eastAsia="黑体"/>
          <w:color w:val="auto"/>
          <w:sz w:val="32"/>
          <w:highlight w:val="none"/>
          <w:vertAlign w:val="subscript"/>
        </w:rPr>
        <w:t>0</w:t>
      </w:r>
      <w:r>
        <w:rPr>
          <w:rFonts w:ascii="黑体" w:hAnsi="Times New Roman" w:eastAsia="黑体" w:cs="Times New Roman"/>
          <w:color w:val="auto"/>
          <w:kern w:val="2"/>
          <w:position w:val="-34"/>
          <w:sz w:val="40"/>
          <w:szCs w:val="24"/>
          <w:highlight w:val="none"/>
          <w:lang w:val="en-US" w:eastAsia="zh-CN" w:bidi="ar-SA"/>
        </w:rPr>
        <w:object>
          <v:shape id="_x0000_i1027" o:spt="75" type="#_x0000_t75" style="height:40.1pt;width:277.8pt;" o:ole="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o:OLEObject Type="Embed" ProgID="Equations" ShapeID="_x0000_i1027" DrawAspect="Content" ObjectID="_1468075725" r:id="rId10">
            <o:LockedField>false</o:LockedField>
          </o:OLEObject>
        </w:object>
      </w:r>
    </w:p>
    <w:p>
      <w:pPr>
        <w:adjustRightInd w:val="0"/>
        <w:snapToGrid w:val="0"/>
        <w:spacing w:line="360" w:lineRule="auto"/>
        <w:ind w:firstLine="480" w:firstLineChars="200"/>
        <w:rPr>
          <w:color w:val="auto"/>
          <w:sz w:val="24"/>
          <w:highlight w:val="none"/>
        </w:rPr>
      </w:pPr>
      <w:r>
        <w:rPr>
          <w:color w:val="auto"/>
          <w:sz w:val="24"/>
          <w:highlight w:val="none"/>
        </w:rPr>
        <w:t>式中：</w:t>
      </w:r>
      <w:r>
        <w:rPr>
          <w:rFonts w:hint="eastAsia" w:ascii="黑体" w:eastAsia="黑体"/>
          <w:color w:val="auto"/>
          <w:sz w:val="28"/>
          <w:szCs w:val="28"/>
          <w:highlight w:val="none"/>
        </w:rPr>
        <w:t>△</w:t>
      </w:r>
      <w:r>
        <w:rPr>
          <w:rFonts w:eastAsia="黑体"/>
          <w:i/>
          <w:color w:val="auto"/>
          <w:sz w:val="28"/>
          <w:szCs w:val="28"/>
          <w:highlight w:val="none"/>
        </w:rPr>
        <w:t>P</w:t>
      </w:r>
      <w:r>
        <w:rPr>
          <w:color w:val="auto"/>
          <w:sz w:val="24"/>
          <w:highlight w:val="none"/>
        </w:rPr>
        <w:t>一需调整的价格差额；</w:t>
      </w:r>
    </w:p>
    <w:p>
      <w:pPr>
        <w:adjustRightInd w:val="0"/>
        <w:snapToGrid w:val="0"/>
        <w:spacing w:line="360" w:lineRule="auto"/>
        <w:ind w:firstLine="480" w:firstLineChars="200"/>
        <w:rPr>
          <w:color w:val="auto"/>
          <w:sz w:val="24"/>
          <w:highlight w:val="none"/>
        </w:rPr>
      </w:pPr>
      <w:r>
        <w:rPr>
          <w:color w:val="auto"/>
          <w:sz w:val="24"/>
          <w:highlight w:val="none"/>
        </w:rPr>
        <w:t>P。一第17.3.3项、第17.5.2项和第17.6.2项约定的付款证书中承包人应得到的</w:t>
      </w:r>
      <w:r>
        <w:rPr>
          <w:rFonts w:hint="eastAsia"/>
          <w:color w:val="auto"/>
          <w:sz w:val="24"/>
          <w:highlight w:val="none"/>
        </w:rPr>
        <w:t>已</w:t>
      </w:r>
      <w:r>
        <w:rPr>
          <w:color w:val="auto"/>
          <w:sz w:val="24"/>
          <w:highlight w:val="none"/>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定值权重（即不调部分的权重）；</w:t>
      </w:r>
    </w:p>
    <w:p>
      <w:pPr>
        <w:adjustRightInd w:val="0"/>
        <w:snapToGrid w:val="0"/>
        <w:spacing w:line="360" w:lineRule="auto"/>
        <w:ind w:firstLine="480" w:firstLineChars="200"/>
        <w:rPr>
          <w:color w:val="auto"/>
          <w:sz w:val="24"/>
          <w:highlight w:val="none"/>
        </w:rPr>
      </w:pPr>
      <w:r>
        <w:rPr>
          <w:color w:val="auto"/>
          <w:sz w:val="24"/>
          <w:highlight w:val="none"/>
        </w:rPr>
        <w:t>B</w:t>
      </w:r>
      <w:r>
        <w:rPr>
          <w:color w:val="auto"/>
          <w:sz w:val="24"/>
          <w:highlight w:val="none"/>
          <w:vertAlign w:val="subscript"/>
        </w:rPr>
        <w:t>1</w:t>
      </w:r>
      <w:r>
        <w:rPr>
          <w:rFonts w:hint="eastAsia"/>
          <w:color w:val="auto"/>
          <w:sz w:val="24"/>
          <w:highlight w:val="none"/>
        </w:rPr>
        <w:t>；</w:t>
      </w:r>
      <w:r>
        <w:rPr>
          <w:color w:val="auto"/>
          <w:sz w:val="24"/>
          <w:highlight w:val="none"/>
        </w:rPr>
        <w:t>B</w:t>
      </w:r>
      <w:r>
        <w:rPr>
          <w:rFonts w:hint="eastAsia"/>
          <w:color w:val="auto"/>
          <w:sz w:val="24"/>
          <w:highlight w:val="none"/>
          <w:vertAlign w:val="subscript"/>
        </w:rPr>
        <w:t>2</w:t>
      </w:r>
      <w:r>
        <w:rPr>
          <w:rFonts w:hint="eastAsia"/>
          <w:color w:val="auto"/>
          <w:sz w:val="24"/>
          <w:highlight w:val="none"/>
        </w:rPr>
        <w:t>；</w:t>
      </w:r>
      <w:r>
        <w:rPr>
          <w:color w:val="auto"/>
          <w:sz w:val="24"/>
          <w:highlight w:val="none"/>
        </w:rPr>
        <w:t>B</w:t>
      </w:r>
      <w:r>
        <w:rPr>
          <w:rFonts w:hint="eastAsia"/>
          <w:color w:val="auto"/>
          <w:sz w:val="24"/>
          <w:highlight w:val="none"/>
          <w:vertAlign w:val="subscript"/>
        </w:rPr>
        <w:t>3</w:t>
      </w:r>
      <w:r>
        <w:rPr>
          <w:color w:val="auto"/>
          <w:sz w:val="24"/>
          <w:highlight w:val="none"/>
        </w:rPr>
        <w:t>...... B</w:t>
      </w:r>
      <w:r>
        <w:rPr>
          <w:rFonts w:hint="eastAsia"/>
          <w:color w:val="auto"/>
          <w:sz w:val="24"/>
          <w:highlight w:val="none"/>
          <w:vertAlign w:val="subscript"/>
        </w:rPr>
        <w:t>n</w:t>
      </w:r>
      <w:r>
        <w:rPr>
          <w:rFonts w:hint="eastAsia"/>
          <w:color w:val="auto"/>
          <w:sz w:val="24"/>
          <w:highlight w:val="none"/>
        </w:rPr>
        <w:t>--</w:t>
      </w:r>
      <w:r>
        <w:rPr>
          <w:color w:val="auto"/>
          <w:sz w:val="24"/>
          <w:highlight w:val="none"/>
        </w:rPr>
        <w:t>各可调因子的变值权重（即可调部分的权重）为各可调因子在投标函投标总报价中所占的比例；</w:t>
      </w:r>
    </w:p>
    <w:p>
      <w:pPr>
        <w:adjustRightInd w:val="0"/>
        <w:snapToGrid w:val="0"/>
        <w:spacing w:line="360" w:lineRule="auto"/>
        <w:ind w:firstLine="480" w:firstLineChars="200"/>
        <w:rPr>
          <w:color w:val="auto"/>
          <w:sz w:val="24"/>
          <w:highlight w:val="none"/>
        </w:rPr>
      </w:pPr>
      <w:r>
        <w:rPr>
          <w:color w:val="auto"/>
          <w:sz w:val="24"/>
          <w:highlight w:val="none"/>
        </w:rPr>
        <w:t>A=1</w:t>
      </w:r>
      <w:r>
        <w:rPr>
          <w:rFonts w:hint="eastAsia"/>
          <w:color w:val="auto"/>
          <w:sz w:val="24"/>
          <w:highlight w:val="none"/>
        </w:rPr>
        <w:t>－</w:t>
      </w:r>
      <w:r>
        <w:rPr>
          <w:color w:val="auto"/>
          <w:sz w:val="24"/>
          <w:highlight w:val="none"/>
        </w:rPr>
        <w:t>（B</w:t>
      </w:r>
      <w:r>
        <w:rPr>
          <w:color w:val="auto"/>
          <w:sz w:val="24"/>
          <w:highlight w:val="none"/>
          <w:vertAlign w:val="subscript"/>
        </w:rPr>
        <w:t>1</w:t>
      </w:r>
      <w:r>
        <w:rPr>
          <w:color w:val="auto"/>
          <w:sz w:val="24"/>
          <w:highlight w:val="none"/>
        </w:rPr>
        <w:t>＋B</w:t>
      </w:r>
      <w:r>
        <w:rPr>
          <w:rFonts w:hint="eastAsia"/>
          <w:color w:val="auto"/>
          <w:sz w:val="24"/>
          <w:highlight w:val="none"/>
          <w:vertAlign w:val="subscript"/>
        </w:rPr>
        <w:t>2</w:t>
      </w:r>
      <w:r>
        <w:rPr>
          <w:color w:val="auto"/>
          <w:sz w:val="24"/>
          <w:highlight w:val="none"/>
        </w:rPr>
        <w:t>＋B</w:t>
      </w:r>
      <w:r>
        <w:rPr>
          <w:rFonts w:hint="eastAsia"/>
          <w:color w:val="auto"/>
          <w:sz w:val="24"/>
          <w:highlight w:val="none"/>
          <w:vertAlign w:val="subscript"/>
        </w:rPr>
        <w:t>3</w:t>
      </w:r>
      <w:r>
        <w:rPr>
          <w:color w:val="auto"/>
          <w:sz w:val="24"/>
          <w:highlight w:val="none"/>
        </w:rPr>
        <w:t>＋……＋B</w:t>
      </w:r>
      <w:r>
        <w:rPr>
          <w:rFonts w:hint="eastAsia"/>
          <w:color w:val="auto"/>
          <w:sz w:val="24"/>
          <w:highlight w:val="none"/>
          <w:vertAlign w:val="subscript"/>
        </w:rPr>
        <w:t>n</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tl</w:t>
      </w:r>
      <w:r>
        <w:rPr>
          <w:rFonts w:hint="eastAsia"/>
          <w:color w:val="auto"/>
          <w:sz w:val="24"/>
          <w:highlight w:val="none"/>
        </w:rPr>
        <w:t>；</w:t>
      </w:r>
      <w:r>
        <w:rPr>
          <w:color w:val="auto"/>
          <w:sz w:val="24"/>
          <w:highlight w:val="none"/>
        </w:rPr>
        <w:t>F</w:t>
      </w:r>
      <w:r>
        <w:rPr>
          <w:color w:val="auto"/>
          <w:sz w:val="24"/>
          <w:highlight w:val="none"/>
          <w:vertAlign w:val="subscript"/>
        </w:rPr>
        <w:t>t2</w:t>
      </w:r>
      <w:r>
        <w:rPr>
          <w:rFonts w:hint="eastAsia"/>
          <w:color w:val="auto"/>
          <w:sz w:val="24"/>
          <w:highlight w:val="none"/>
        </w:rPr>
        <w:t>；</w:t>
      </w:r>
      <w:r>
        <w:rPr>
          <w:color w:val="auto"/>
          <w:sz w:val="24"/>
          <w:highlight w:val="none"/>
        </w:rPr>
        <w:t>F</w:t>
      </w:r>
      <w:r>
        <w:rPr>
          <w:color w:val="auto"/>
          <w:sz w:val="24"/>
          <w:highlight w:val="none"/>
          <w:vertAlign w:val="subscript"/>
        </w:rPr>
        <w:t>t3</w:t>
      </w:r>
      <w:r>
        <w:rPr>
          <w:color w:val="auto"/>
          <w:sz w:val="24"/>
          <w:highlight w:val="none"/>
        </w:rPr>
        <w:t>...... F</w:t>
      </w:r>
      <w:r>
        <w:rPr>
          <w:color w:val="auto"/>
          <w:sz w:val="24"/>
          <w:highlight w:val="none"/>
          <w:vertAlign w:val="subscript"/>
        </w:rPr>
        <w:t>tn</w:t>
      </w:r>
      <w:r>
        <w:rPr>
          <w:rFonts w:hint="eastAsia"/>
          <w:color w:val="auto"/>
          <w:sz w:val="24"/>
          <w:highlight w:val="none"/>
        </w:rPr>
        <w:t>--</w:t>
      </w:r>
      <w:r>
        <w:rPr>
          <w:color w:val="auto"/>
          <w:sz w:val="24"/>
          <w:highlight w:val="none"/>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ol</w:t>
      </w:r>
      <w:r>
        <w:rPr>
          <w:color w:val="auto"/>
          <w:sz w:val="24"/>
          <w:highlight w:val="none"/>
        </w:rPr>
        <w:t>；F</w:t>
      </w:r>
      <w:r>
        <w:rPr>
          <w:color w:val="auto"/>
          <w:sz w:val="24"/>
          <w:highlight w:val="none"/>
          <w:vertAlign w:val="subscript"/>
        </w:rPr>
        <w:t>o</w:t>
      </w:r>
      <w:r>
        <w:rPr>
          <w:rFonts w:hint="eastAsia"/>
          <w:color w:val="auto"/>
          <w:sz w:val="24"/>
          <w:highlight w:val="none"/>
          <w:vertAlign w:val="subscript"/>
        </w:rPr>
        <w:t>2</w:t>
      </w:r>
      <w:r>
        <w:rPr>
          <w:color w:val="auto"/>
          <w:sz w:val="24"/>
          <w:highlight w:val="none"/>
        </w:rPr>
        <w:t>；F</w:t>
      </w:r>
      <w:r>
        <w:rPr>
          <w:color w:val="auto"/>
          <w:sz w:val="24"/>
          <w:highlight w:val="none"/>
          <w:vertAlign w:val="subscript"/>
        </w:rPr>
        <w:t>o3</w:t>
      </w:r>
      <w:r>
        <w:rPr>
          <w:color w:val="auto"/>
          <w:sz w:val="24"/>
          <w:highlight w:val="none"/>
        </w:rPr>
        <w:t>...... F</w:t>
      </w:r>
      <w:r>
        <w:rPr>
          <w:color w:val="auto"/>
          <w:sz w:val="24"/>
          <w:highlight w:val="none"/>
          <w:vertAlign w:val="subscript"/>
        </w:rPr>
        <w:t>on</w:t>
      </w:r>
      <w:r>
        <w:rPr>
          <w:rFonts w:hint="eastAsia"/>
          <w:color w:val="auto"/>
          <w:sz w:val="24"/>
          <w:highlight w:val="none"/>
        </w:rPr>
        <w:t>--</w:t>
      </w:r>
      <w:r>
        <w:rPr>
          <w:color w:val="auto"/>
          <w:sz w:val="24"/>
          <w:highlight w:val="none"/>
        </w:rPr>
        <w:t>各可调因子的基本价格指数，指基准日期的各可调因子的价格指数。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在采用价格调整公式进行调价时，还应遵守以下规定：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合同价格在投标所在年份不作调整，此后每年按价格调整公式调整一次。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color w:val="auto"/>
          <w:sz w:val="24"/>
          <w:highlight w:val="none"/>
        </w:rPr>
      </w:pPr>
      <w:r>
        <w:rPr>
          <w:color w:val="auto"/>
          <w:sz w:val="24"/>
          <w:highlight w:val="none"/>
        </w:rPr>
        <w:t>16.1.1.4承包人工期延误后的价格调整</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color w:val="auto"/>
          <w:sz w:val="24"/>
          <w:highlight w:val="none"/>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计量与支付</w:t>
      </w:r>
    </w:p>
    <w:p>
      <w:pPr>
        <w:adjustRightInd w:val="0"/>
        <w:snapToGrid w:val="0"/>
        <w:spacing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1计量</w:t>
      </w:r>
    </w:p>
    <w:p>
      <w:pPr>
        <w:adjustRightInd w:val="0"/>
        <w:snapToGrid w:val="0"/>
        <w:spacing w:line="360" w:lineRule="auto"/>
        <w:ind w:firstLine="480" w:firstLineChars="200"/>
        <w:rPr>
          <w:color w:val="auto"/>
          <w:sz w:val="24"/>
          <w:highlight w:val="none"/>
        </w:rPr>
      </w:pPr>
      <w:r>
        <w:rPr>
          <w:color w:val="auto"/>
          <w:sz w:val="24"/>
          <w:highlight w:val="none"/>
        </w:rPr>
        <w:t>17.1.2计量方法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color w:val="auto"/>
          <w:sz w:val="24"/>
          <w:highlight w:val="none"/>
        </w:rPr>
      </w:pPr>
      <w:r>
        <w:rPr>
          <w:color w:val="auto"/>
          <w:sz w:val="24"/>
          <w:highlight w:val="none"/>
        </w:rPr>
        <w:t>17.1.4单价子目的计量</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color w:val="auto"/>
          <w:sz w:val="24"/>
          <w:highlight w:val="none"/>
        </w:rPr>
      </w:pPr>
      <w:r>
        <w:rPr>
          <w:rFonts w:hint="eastAsia"/>
          <w:color w:val="auto"/>
          <w:sz w:val="24"/>
          <w:highlight w:val="none"/>
        </w:rPr>
        <w:t>17.1.6 路面养护期计量方法</w:t>
      </w:r>
    </w:p>
    <w:p>
      <w:pPr>
        <w:adjustRightInd w:val="0"/>
        <w:snapToGrid w:val="0"/>
        <w:spacing w:line="360" w:lineRule="auto"/>
        <w:ind w:firstLine="480" w:firstLineChars="200"/>
        <w:rPr>
          <w:color w:val="auto"/>
          <w:sz w:val="24"/>
          <w:highlight w:val="none"/>
        </w:rPr>
      </w:pPr>
      <w:r>
        <w:rPr>
          <w:rFonts w:hint="eastAsia"/>
          <w:color w:val="auto"/>
          <w:sz w:val="24"/>
          <w:highlight w:val="none"/>
        </w:rPr>
        <w:t>（一）路面养护所有工作内容包含在综合报价中，不单独计量支付。</w:t>
      </w:r>
    </w:p>
    <w:p>
      <w:pPr>
        <w:adjustRightInd w:val="0"/>
        <w:snapToGrid w:val="0"/>
        <w:spacing w:line="360" w:lineRule="auto"/>
        <w:ind w:firstLine="480" w:firstLineChars="200"/>
        <w:rPr>
          <w:color w:val="auto"/>
          <w:sz w:val="24"/>
          <w:highlight w:val="none"/>
        </w:rPr>
      </w:pPr>
      <w:r>
        <w:rPr>
          <w:rFonts w:hint="eastAsia"/>
          <w:color w:val="auto"/>
          <w:sz w:val="24"/>
          <w:highlight w:val="none"/>
        </w:rPr>
        <w:t>（二</w:t>
      </w:r>
      <w:r>
        <w:rPr>
          <w:color w:val="auto"/>
          <w:sz w:val="24"/>
          <w:highlight w:val="none"/>
        </w:rPr>
        <w:t>）</w:t>
      </w:r>
      <w:r>
        <w:rPr>
          <w:rFonts w:hint="eastAsia"/>
          <w:color w:val="auto"/>
          <w:sz w:val="24"/>
          <w:highlight w:val="none"/>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color w:val="auto"/>
          <w:sz w:val="24"/>
          <w:highlight w:val="none"/>
        </w:rPr>
      </w:pPr>
      <w:r>
        <w:rPr>
          <w:rFonts w:hint="eastAsia"/>
          <w:color w:val="auto"/>
          <w:sz w:val="24"/>
          <w:highlight w:val="none"/>
        </w:rPr>
        <w:t>（1）除了合同另有规定外，所有计量单位均为公制；</w:t>
      </w:r>
    </w:p>
    <w:p>
      <w:pPr>
        <w:adjustRightInd w:val="0"/>
        <w:snapToGrid w:val="0"/>
        <w:spacing w:line="360" w:lineRule="auto"/>
        <w:ind w:firstLine="480" w:firstLineChars="200"/>
        <w:rPr>
          <w:color w:val="auto"/>
          <w:sz w:val="24"/>
          <w:highlight w:val="none"/>
        </w:rPr>
      </w:pPr>
      <w:r>
        <w:rPr>
          <w:rFonts w:hint="eastAsia"/>
          <w:color w:val="auto"/>
          <w:sz w:val="24"/>
          <w:highlight w:val="none"/>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color w:val="auto"/>
          <w:sz w:val="24"/>
          <w:highlight w:val="none"/>
        </w:rPr>
      </w:pPr>
      <w:r>
        <w:rPr>
          <w:rFonts w:hint="eastAsia"/>
          <w:color w:val="auto"/>
          <w:sz w:val="24"/>
          <w:highlight w:val="none"/>
        </w:rPr>
        <w:t>（3）每次计量支付基数为年度养护费用的百分比值，分别按照养护年度第一次计量40%，第二次计量60%；</w:t>
      </w:r>
    </w:p>
    <w:p>
      <w:pPr>
        <w:adjustRightInd w:val="0"/>
        <w:snapToGrid w:val="0"/>
        <w:spacing w:line="360" w:lineRule="auto"/>
        <w:ind w:firstLine="480" w:firstLineChars="200"/>
        <w:rPr>
          <w:color w:val="auto"/>
          <w:sz w:val="24"/>
          <w:highlight w:val="none"/>
        </w:rPr>
      </w:pPr>
      <w:r>
        <w:rPr>
          <w:rFonts w:hint="eastAsia"/>
          <w:color w:val="auto"/>
          <w:sz w:val="24"/>
          <w:highlight w:val="none"/>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color w:val="auto"/>
          <w:sz w:val="24"/>
          <w:highlight w:val="none"/>
        </w:rPr>
      </w:pPr>
      <w:r>
        <w:rPr>
          <w:rFonts w:hint="eastAsia"/>
          <w:color w:val="auto"/>
          <w:sz w:val="24"/>
          <w:highlight w:val="none"/>
        </w:rPr>
        <w:t>第一养护年度，IRI指数须达到：IRI≤1.3</w:t>
      </w:r>
    </w:p>
    <w:p>
      <w:pPr>
        <w:adjustRightInd w:val="0"/>
        <w:snapToGrid w:val="0"/>
        <w:spacing w:line="360" w:lineRule="auto"/>
        <w:ind w:firstLine="480" w:firstLineChars="200"/>
        <w:rPr>
          <w:color w:val="auto"/>
          <w:sz w:val="24"/>
          <w:highlight w:val="none"/>
        </w:rPr>
      </w:pPr>
      <w:r>
        <w:rPr>
          <w:rFonts w:hint="eastAsia"/>
          <w:color w:val="auto"/>
          <w:sz w:val="24"/>
          <w:highlight w:val="none"/>
        </w:rPr>
        <w:t>a.当1.3＜IRI≤1.4时，扣除该期计量的10%；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b.当1.4＜IRI≤1.5时，以1.4为基数，再扣除该期计量的10%，责令承包人更换技术和质量负责人，并向其公司通报；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c.当IRI＞1.5时，将视为承包人违约，扣除该期计量，解除合同，并追究承包人的违约责任。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第二养护年度，IRI指数须≤1.4</w:t>
      </w:r>
    </w:p>
    <w:p>
      <w:pPr>
        <w:adjustRightInd w:val="0"/>
        <w:snapToGrid w:val="0"/>
        <w:spacing w:line="360" w:lineRule="auto"/>
        <w:ind w:firstLine="480" w:firstLineChars="200"/>
        <w:rPr>
          <w:color w:val="auto"/>
          <w:sz w:val="24"/>
          <w:highlight w:val="none"/>
        </w:rPr>
      </w:pPr>
      <w:r>
        <w:rPr>
          <w:rFonts w:hint="eastAsia"/>
          <w:color w:val="auto"/>
          <w:sz w:val="24"/>
          <w:highlight w:val="none"/>
        </w:rPr>
        <w:t>a.当1.4＜IRI≤1.5时，扣除该期计量的10%；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b.当1.5＜IRI≤1.6时，以1.5为基数，再扣除该期计量的10%，责令承包人更换技术和质量负责人，并向其公司通报；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c.当IRI＞1.6时，将视为承包人违约，扣除该期计量，解除合同，并追究承包人的违约责任。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第三养护年度，IRI指数须达到：IRI≤1.5</w:t>
      </w:r>
    </w:p>
    <w:p>
      <w:pPr>
        <w:adjustRightInd w:val="0"/>
        <w:snapToGrid w:val="0"/>
        <w:spacing w:line="360" w:lineRule="auto"/>
        <w:ind w:firstLine="480" w:firstLineChars="200"/>
        <w:rPr>
          <w:color w:val="auto"/>
          <w:sz w:val="24"/>
          <w:highlight w:val="none"/>
        </w:rPr>
      </w:pPr>
      <w:r>
        <w:rPr>
          <w:rFonts w:hint="eastAsia"/>
          <w:color w:val="auto"/>
          <w:sz w:val="24"/>
          <w:highlight w:val="none"/>
        </w:rPr>
        <w:t>a.当1.5＜IRI≤1.6时，扣除该期计量的10%；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b.当1.6＜IRI≤1.7时，以1.6为基数，再扣除该期计量的10%，责令承包人更换技术和质量负责人，并向其公司通报；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c.当IRI＞1.7时，将视为承包人违约，扣除该期计量，解除合同，并追究承包人的违约责任。</w:t>
      </w:r>
    </w:p>
    <w:p>
      <w:pPr>
        <w:spacing w:line="360" w:lineRule="auto"/>
        <w:ind w:firstLine="470" w:firstLineChars="196"/>
        <w:rPr>
          <w:color w:val="auto"/>
          <w:sz w:val="24"/>
          <w:highlight w:val="none"/>
        </w:rPr>
      </w:pPr>
      <w:r>
        <w:rPr>
          <w:rFonts w:hint="eastAsia"/>
          <w:color w:val="auto"/>
          <w:sz w:val="24"/>
          <w:highlight w:val="none"/>
        </w:rPr>
        <w:t>每次检测IRI值小于规定值的，给予全额计量。</w:t>
      </w:r>
    </w:p>
    <w:p>
      <w:pPr>
        <w:spacing w:line="360" w:lineRule="auto"/>
        <w:ind w:firstLine="470" w:firstLineChars="196"/>
        <w:rPr>
          <w:color w:val="auto"/>
          <w:sz w:val="24"/>
          <w:highlight w:val="none"/>
        </w:rPr>
      </w:pPr>
      <w:r>
        <w:rPr>
          <w:rFonts w:hint="eastAsia"/>
          <w:color w:val="auto"/>
          <w:sz w:val="24"/>
          <w:highlight w:val="none"/>
        </w:rPr>
        <w:t>（5）在一个计量周期内，每一季度综合养护指数值均不低于96分的，给予全额计量；一个计量周期内，两次季度平均综合养护指数值低于96分的：</w:t>
      </w:r>
    </w:p>
    <w:p>
      <w:pPr>
        <w:spacing w:line="360" w:lineRule="auto"/>
        <w:ind w:firstLine="470" w:firstLineChars="196"/>
        <w:rPr>
          <w:color w:val="auto"/>
          <w:sz w:val="24"/>
          <w:highlight w:val="none"/>
        </w:rPr>
      </w:pPr>
      <w:r>
        <w:rPr>
          <w:rFonts w:hint="eastAsia"/>
          <w:color w:val="auto"/>
          <w:sz w:val="24"/>
          <w:highlight w:val="none"/>
        </w:rPr>
        <w:t>当96.0＞综合养护指数值≥94.0时，每降低0.5分，扣除当期计量的5％；</w:t>
      </w:r>
    </w:p>
    <w:p>
      <w:pPr>
        <w:spacing w:line="360" w:lineRule="auto"/>
        <w:ind w:firstLine="470" w:firstLineChars="196"/>
        <w:rPr>
          <w:color w:val="auto"/>
          <w:sz w:val="24"/>
          <w:highlight w:val="none"/>
        </w:rPr>
      </w:pPr>
      <w:r>
        <w:rPr>
          <w:rFonts w:hint="eastAsia"/>
          <w:color w:val="auto"/>
          <w:sz w:val="24"/>
          <w:highlight w:val="none"/>
        </w:rPr>
        <w:t>当94.0＞综合养护指数值≥92.0时，以94分为基数，每降低0.5分，再扣除当期计量的10％，并要求承包商在规定的时间内更换项目经理和技术负责人；</w:t>
      </w:r>
    </w:p>
    <w:p>
      <w:pPr>
        <w:spacing w:line="360" w:lineRule="auto"/>
        <w:ind w:firstLine="470" w:firstLineChars="196"/>
        <w:rPr>
          <w:color w:val="auto"/>
          <w:sz w:val="24"/>
          <w:highlight w:val="none"/>
        </w:rPr>
      </w:pPr>
      <w:r>
        <w:rPr>
          <w:rFonts w:hint="eastAsia"/>
          <w:color w:val="auto"/>
          <w:sz w:val="24"/>
          <w:highlight w:val="none"/>
        </w:rPr>
        <w:t>当任一季度综合养护指数值≤92时，将视为承包商违约，业主将扣除承包商本期所有计量，并予以解除合同。</w:t>
      </w:r>
    </w:p>
    <w:p>
      <w:pPr>
        <w:spacing w:line="360" w:lineRule="auto"/>
        <w:ind w:firstLine="470" w:firstLineChars="196"/>
        <w:rPr>
          <w:color w:val="auto"/>
          <w:sz w:val="24"/>
          <w:highlight w:val="none"/>
        </w:rPr>
      </w:pPr>
      <w:r>
        <w:rPr>
          <w:rFonts w:hint="eastAsia"/>
          <w:color w:val="auto"/>
          <w:sz w:val="24"/>
          <w:highlight w:val="none"/>
        </w:rPr>
        <w:t>（6）以上国际平整度指数（IRI</w:t>
      </w:r>
      <w:r>
        <w:rPr>
          <w:color w:val="auto"/>
          <w:sz w:val="24"/>
          <w:highlight w:val="none"/>
        </w:rPr>
        <w:t>）</w:t>
      </w:r>
      <w:r>
        <w:rPr>
          <w:rFonts w:hint="eastAsia"/>
          <w:color w:val="auto"/>
          <w:sz w:val="24"/>
          <w:highlight w:val="none"/>
        </w:rPr>
        <w:t>和综合养护指数实行双控，任一指标低于规定值，均按照上述要求处罚，并且实行以上处罚时不免除合同规定的其它处罚。</w:t>
      </w:r>
    </w:p>
    <w:p>
      <w:pPr>
        <w:spacing w:line="360" w:lineRule="auto"/>
        <w:ind w:firstLine="470" w:firstLineChars="196"/>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color w:val="auto"/>
          <w:sz w:val="24"/>
          <w:highlight w:val="none"/>
        </w:rPr>
      </w:pPr>
      <w:r>
        <w:rPr>
          <w:rFonts w:eastAsia="黑体"/>
          <w:color w:val="auto"/>
          <w:sz w:val="24"/>
          <w:highlight w:val="none"/>
        </w:rPr>
        <w:t>17.2预付款</w:t>
      </w:r>
    </w:p>
    <w:p>
      <w:pPr>
        <w:adjustRightInd w:val="0"/>
        <w:snapToGrid w:val="0"/>
        <w:spacing w:line="360" w:lineRule="auto"/>
        <w:ind w:firstLine="480" w:firstLineChars="200"/>
        <w:rPr>
          <w:color w:val="auto"/>
          <w:sz w:val="24"/>
          <w:highlight w:val="none"/>
        </w:rPr>
      </w:pPr>
      <w:r>
        <w:rPr>
          <w:color w:val="auto"/>
          <w:sz w:val="24"/>
          <w:highlight w:val="none"/>
        </w:rPr>
        <w:t>17.2.1预付款</w:t>
      </w:r>
    </w:p>
    <w:p>
      <w:pPr>
        <w:adjustRightInd w:val="0"/>
        <w:snapToGrid w:val="0"/>
        <w:spacing w:line="360" w:lineRule="auto"/>
        <w:ind w:firstLine="480" w:firstLineChars="200"/>
        <w:rPr>
          <w:color w:val="auto"/>
          <w:sz w:val="24"/>
          <w:highlight w:val="none"/>
        </w:rPr>
      </w:pPr>
      <w:r>
        <w:rPr>
          <w:color w:val="auto"/>
          <w:sz w:val="24"/>
          <w:highlight w:val="none"/>
        </w:rPr>
        <w:t>本项约定的预付款包括开工预付款和材料、设备预付款。具体额度和预付办法如下：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开工预付款的额度为签约合同价的</w:t>
      </w:r>
      <w:r>
        <w:rPr>
          <w:rFonts w:hint="eastAsia"/>
          <w:color w:val="auto"/>
          <w:sz w:val="24"/>
          <w:highlight w:val="none"/>
          <w:u w:val="single"/>
        </w:rPr>
        <w:t xml:space="preserve"> 10 </w:t>
      </w:r>
      <w:r>
        <w:rPr>
          <w:color w:val="auto"/>
          <w:sz w:val="24"/>
          <w:highlight w:val="none"/>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color w:val="auto"/>
          <w:sz w:val="24"/>
          <w:highlight w:val="none"/>
        </w:rPr>
      </w:pPr>
      <w:r>
        <w:rPr>
          <w:color w:val="auto"/>
          <w:sz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材料、设备预付款的额度为项目专用合同条款中所列主要材料、设备单据费用（进口的材料、设备为到岸价，国内采购的为出厂价或销售价，地方材料为堆场价）的</w:t>
      </w:r>
      <w:r>
        <w:rPr>
          <w:rFonts w:hint="eastAsia"/>
          <w:color w:val="auto"/>
          <w:sz w:val="24"/>
          <w:highlight w:val="none"/>
          <w:u w:val="single"/>
        </w:rPr>
        <w:t xml:space="preserve"> 10  </w:t>
      </w:r>
      <w:r>
        <w:rPr>
          <w:color w:val="auto"/>
          <w:sz w:val="24"/>
          <w:highlight w:val="none"/>
        </w:rPr>
        <w:t>％（在项目专用条款数据表中约定）。其预付条件为：</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材料、设备符合规范要求并经监理人认可；</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承包人已出具材料、设备费用凭证或支付单据；以及</w:t>
      </w:r>
    </w:p>
    <w:p>
      <w:pPr>
        <w:adjustRightInd w:val="0"/>
        <w:snapToGrid w:val="0"/>
        <w:spacing w:line="360" w:lineRule="auto"/>
        <w:ind w:firstLine="480" w:firstLineChars="200"/>
        <w:rPr>
          <w:color w:val="auto"/>
          <w:sz w:val="24"/>
          <w:highlight w:val="none"/>
        </w:rPr>
      </w:pPr>
      <w:r>
        <w:rPr>
          <w:color w:val="auto"/>
          <w:sz w:val="24"/>
          <w:highlight w:val="none"/>
        </w:rPr>
        <w:t>c</w:t>
      </w:r>
      <w:r>
        <w:rPr>
          <w:rFonts w:hint="eastAsia"/>
          <w:color w:val="auto"/>
          <w:sz w:val="24"/>
          <w:highlight w:val="none"/>
        </w:rPr>
        <w:t>．</w:t>
      </w:r>
      <w:r>
        <w:rPr>
          <w:color w:val="auto"/>
          <w:sz w:val="24"/>
          <w:highlight w:val="none"/>
        </w:rPr>
        <w:t>材料、设备已在现场交货，且存储良好，监理人认为材料、设备的存储方法符合要求。</w:t>
      </w:r>
    </w:p>
    <w:p>
      <w:pPr>
        <w:adjustRightInd w:val="0"/>
        <w:snapToGrid w:val="0"/>
        <w:spacing w:line="360" w:lineRule="auto"/>
        <w:ind w:firstLine="480" w:firstLineChars="200"/>
        <w:rPr>
          <w:color w:val="auto"/>
          <w:sz w:val="24"/>
          <w:highlight w:val="none"/>
        </w:rPr>
      </w:pPr>
      <w:r>
        <w:rPr>
          <w:color w:val="auto"/>
          <w:sz w:val="24"/>
          <w:highlight w:val="none"/>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color w:val="auto"/>
          <w:sz w:val="24"/>
          <w:highlight w:val="none"/>
        </w:rPr>
      </w:pPr>
      <w:r>
        <w:rPr>
          <w:color w:val="auto"/>
          <w:sz w:val="24"/>
          <w:highlight w:val="none"/>
        </w:rPr>
        <w:t>17.2.2预付款保函</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color w:val="auto"/>
          <w:sz w:val="24"/>
          <w:highlight w:val="none"/>
        </w:rPr>
      </w:pPr>
      <w:r>
        <w:rPr>
          <w:color w:val="auto"/>
          <w:sz w:val="24"/>
          <w:highlight w:val="none"/>
        </w:rPr>
        <w:t>17:2.3预付款的扣回与还清本项约定为：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17.3工程进度付款</w:t>
      </w:r>
    </w:p>
    <w:p>
      <w:pPr>
        <w:adjustRightInd w:val="0"/>
        <w:snapToGrid w:val="0"/>
        <w:spacing w:line="360" w:lineRule="auto"/>
        <w:ind w:firstLine="480" w:firstLineChars="200"/>
        <w:rPr>
          <w:color w:val="auto"/>
          <w:sz w:val="24"/>
          <w:highlight w:val="none"/>
        </w:rPr>
      </w:pPr>
      <w:r>
        <w:rPr>
          <w:color w:val="auto"/>
          <w:sz w:val="24"/>
          <w:highlight w:val="none"/>
        </w:rPr>
        <w:t>17.3.2进度付款申请单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承包人在每个付款周期末，向监理人提交进度付款申请单的份数：</w:t>
      </w:r>
      <w:r>
        <w:rPr>
          <w:rFonts w:hint="eastAsia"/>
          <w:color w:val="auto"/>
          <w:sz w:val="24"/>
          <w:highlight w:val="none"/>
          <w:u w:val="single"/>
        </w:rPr>
        <w:t xml:space="preserve">     </w:t>
      </w:r>
      <w:r>
        <w:rPr>
          <w:color w:val="auto"/>
          <w:sz w:val="24"/>
          <w:highlight w:val="none"/>
        </w:rPr>
        <w:t>份（在项目专用条款数据表中约定）。</w:t>
      </w:r>
    </w:p>
    <w:p>
      <w:pPr>
        <w:adjustRightInd w:val="0"/>
        <w:snapToGrid w:val="0"/>
        <w:spacing w:line="360" w:lineRule="auto"/>
        <w:ind w:firstLine="480" w:firstLineChars="200"/>
        <w:rPr>
          <w:color w:val="auto"/>
          <w:sz w:val="24"/>
          <w:highlight w:val="none"/>
        </w:rPr>
      </w:pPr>
      <w:r>
        <w:rPr>
          <w:color w:val="auto"/>
          <w:sz w:val="24"/>
          <w:highlight w:val="none"/>
        </w:rPr>
        <w:t>本项（6）目细化为：</w:t>
      </w:r>
    </w:p>
    <w:p>
      <w:pPr>
        <w:adjustRightInd w:val="0"/>
        <w:snapToGrid w:val="0"/>
        <w:spacing w:line="360" w:lineRule="auto"/>
        <w:ind w:firstLine="480" w:firstLineChars="200"/>
        <w:rPr>
          <w:color w:val="auto"/>
          <w:sz w:val="24"/>
          <w:highlight w:val="none"/>
        </w:rPr>
      </w:pPr>
      <w:r>
        <w:rPr>
          <w:color w:val="auto"/>
          <w:sz w:val="24"/>
          <w:highlight w:val="none"/>
        </w:rPr>
        <w:t>（6）根据第16条应增加和扣减的价格调整金额；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7）根据合同应增加和扣减的其他金额。</w:t>
      </w:r>
    </w:p>
    <w:p>
      <w:pPr>
        <w:adjustRightInd w:val="0"/>
        <w:snapToGrid w:val="0"/>
        <w:spacing w:line="360" w:lineRule="auto"/>
        <w:ind w:firstLine="480" w:firstLineChars="200"/>
        <w:rPr>
          <w:color w:val="auto"/>
          <w:sz w:val="24"/>
          <w:highlight w:val="none"/>
        </w:rPr>
      </w:pPr>
      <w:r>
        <w:rPr>
          <w:color w:val="auto"/>
          <w:sz w:val="24"/>
          <w:highlight w:val="none"/>
        </w:rPr>
        <w:t>17.3.3进度付款证书和支付时间</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目补充：</w:t>
      </w:r>
    </w:p>
    <w:p>
      <w:pPr>
        <w:adjustRightInd w:val="0"/>
        <w:snapToGrid w:val="0"/>
        <w:spacing w:line="360" w:lineRule="auto"/>
        <w:ind w:firstLine="480" w:firstLineChars="200"/>
        <w:rPr>
          <w:color w:val="auto"/>
          <w:sz w:val="24"/>
          <w:highlight w:val="none"/>
        </w:rPr>
      </w:pPr>
      <w:r>
        <w:rPr>
          <w:color w:val="auto"/>
          <w:sz w:val="24"/>
          <w:highlight w:val="none"/>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发包人不按期支付的，按</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color w:val="auto"/>
          <w:sz w:val="24"/>
          <w:highlight w:val="none"/>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进度付款涉及政府投资资金的，按照以下规定办理：</w:t>
      </w:r>
      <w:r>
        <w:rPr>
          <w:rFonts w:hint="eastAsia"/>
          <w:color w:val="auto"/>
          <w:sz w:val="24"/>
          <w:highlight w:val="none"/>
          <w:u w:val="single"/>
        </w:rPr>
        <w:t xml:space="preserve">  （见项目专用合同条款</w:t>
      </w:r>
      <w:r>
        <w:rPr>
          <w:color w:val="auto"/>
          <w:sz w:val="24"/>
          <w:highlight w:val="none"/>
          <w:u w:val="single"/>
        </w:rPr>
        <w:t>）</w:t>
      </w:r>
      <w:r>
        <w:rPr>
          <w:rFonts w:hint="eastAsia"/>
          <w:color w:val="auto"/>
          <w:sz w:val="24"/>
          <w:highlight w:val="none"/>
          <w:u w:val="single"/>
        </w:rPr>
        <w:t xml:space="preserve">  </w:t>
      </w:r>
    </w:p>
    <w:p>
      <w:pPr>
        <w:adjustRightInd w:val="0"/>
        <w:snapToGrid w:val="0"/>
        <w:spacing w:beforeLines="100" w:line="360" w:lineRule="auto"/>
        <w:rPr>
          <w:rFonts w:eastAsia="黑体"/>
          <w:color w:val="auto"/>
          <w:sz w:val="24"/>
          <w:highlight w:val="none"/>
        </w:rPr>
      </w:pPr>
      <w:r>
        <w:rPr>
          <w:rFonts w:eastAsia="黑体"/>
          <w:color w:val="auto"/>
          <w:sz w:val="24"/>
          <w:highlight w:val="none"/>
        </w:rPr>
        <w:t>17.4质量保证金</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17.4.1项细化为：</w:t>
      </w:r>
    </w:p>
    <w:p>
      <w:pPr>
        <w:adjustRightInd w:val="0"/>
        <w:snapToGrid w:val="0"/>
        <w:spacing w:line="360" w:lineRule="auto"/>
        <w:ind w:firstLine="480" w:firstLineChars="200"/>
        <w:rPr>
          <w:color w:val="auto"/>
          <w:sz w:val="24"/>
          <w:highlight w:val="none"/>
        </w:rPr>
      </w:pPr>
      <w:r>
        <w:rPr>
          <w:color w:val="auto"/>
          <w:sz w:val="24"/>
          <w:highlight w:val="none"/>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17.5竣工结算</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17.5.1竣工付款申请单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承包人向监理人提交竣工付款申请单（包括相关证明材料）的份数：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rFonts w:hint="eastAsia"/>
          <w:color w:val="auto"/>
          <w:sz w:val="24"/>
          <w:highlight w:val="none"/>
          <w:u w:val="single"/>
        </w:rPr>
        <w:t xml:space="preserve"> </w:t>
      </w:r>
      <w:r>
        <w:rPr>
          <w:color w:val="auto"/>
          <w:sz w:val="24"/>
          <w:highlight w:val="none"/>
          <w:u w:val="single"/>
        </w:rPr>
        <w:t>工程接收证书签发后42天内</w:t>
      </w:r>
      <w:r>
        <w:rPr>
          <w:rFonts w:hint="eastAsia"/>
          <w:color w:val="auto"/>
          <w:sz w:val="24"/>
          <w:highlight w:val="none"/>
          <w:u w:val="single"/>
        </w:rPr>
        <w:t xml:space="preserve"> </w:t>
      </w:r>
      <w:r>
        <w:rPr>
          <w:rFonts w:hint="eastAsia"/>
          <w:color w:val="auto"/>
          <w:sz w:val="24"/>
          <w:highlight w:val="none"/>
        </w:rPr>
        <w:t>。</w:t>
      </w:r>
    </w:p>
    <w:p>
      <w:pPr>
        <w:adjustRightInd w:val="0"/>
        <w:snapToGrid w:val="0"/>
        <w:spacing w:beforeLines="100" w:line="360" w:lineRule="auto"/>
        <w:rPr>
          <w:rFonts w:eastAsia="黑体"/>
          <w:color w:val="auto"/>
          <w:sz w:val="24"/>
          <w:highlight w:val="none"/>
        </w:rPr>
      </w:pPr>
      <w:r>
        <w:rPr>
          <w:rFonts w:eastAsia="黑体"/>
          <w:color w:val="auto"/>
          <w:sz w:val="24"/>
          <w:highlight w:val="none"/>
        </w:rPr>
        <w:t>17.6最终结清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17.6.1最终结清申请单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承包人向监理人提交最终结清申请单（包括相关证明材料）的份数：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color w:val="auto"/>
          <w:sz w:val="24"/>
          <w:highlight w:val="none"/>
          <w:u w:val="single"/>
        </w:rPr>
        <w:t>缺陷责任期终止证书签发后28天内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最终结清申请单中的总金额应认为是代表了根据合同规定应付给承包人的全部款项的最后结算。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18．竣工验收</w:t>
      </w:r>
    </w:p>
    <w:p>
      <w:pPr>
        <w:adjustRightInd w:val="0"/>
        <w:snapToGrid w:val="0"/>
        <w:spacing w:line="360" w:lineRule="auto"/>
        <w:rPr>
          <w:rFonts w:eastAsia="黑体"/>
          <w:color w:val="auto"/>
          <w:sz w:val="24"/>
          <w:highlight w:val="none"/>
        </w:rPr>
      </w:pPr>
      <w:r>
        <w:rPr>
          <w:rFonts w:eastAsia="黑体"/>
          <w:color w:val="auto"/>
          <w:sz w:val="24"/>
          <w:highlight w:val="none"/>
        </w:rPr>
        <w:t>18.1竣工验收的含义</w:t>
      </w:r>
    </w:p>
    <w:p>
      <w:pPr>
        <w:adjustRightInd w:val="0"/>
        <w:snapToGrid w:val="0"/>
        <w:spacing w:line="360" w:lineRule="auto"/>
        <w:ind w:firstLine="480" w:firstLineChars="200"/>
        <w:rPr>
          <w:color w:val="auto"/>
          <w:sz w:val="24"/>
          <w:highlight w:val="none"/>
        </w:rPr>
      </w:pPr>
      <w:r>
        <w:rPr>
          <w:color w:val="auto"/>
          <w:sz w:val="24"/>
          <w:highlight w:val="none"/>
        </w:rPr>
        <w:t>本款增加第18.1.4项：</w:t>
      </w:r>
    </w:p>
    <w:p>
      <w:pPr>
        <w:adjustRightInd w:val="0"/>
        <w:snapToGrid w:val="0"/>
        <w:spacing w:line="360" w:lineRule="auto"/>
        <w:ind w:firstLine="480" w:firstLineChars="200"/>
        <w:rPr>
          <w:color w:val="auto"/>
          <w:sz w:val="24"/>
          <w:highlight w:val="none"/>
        </w:rPr>
      </w:pPr>
      <w:r>
        <w:rPr>
          <w:color w:val="auto"/>
          <w:sz w:val="24"/>
          <w:highlight w:val="none"/>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color w:val="auto"/>
          <w:sz w:val="24"/>
          <w:highlight w:val="none"/>
        </w:rPr>
      </w:pPr>
      <w:r>
        <w:rPr>
          <w:rFonts w:eastAsia="黑体"/>
          <w:color w:val="auto"/>
          <w:sz w:val="24"/>
          <w:highlight w:val="none"/>
        </w:rPr>
        <w:t>18.3验收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18.3.2项补充：</w:t>
      </w:r>
    </w:p>
    <w:p>
      <w:pPr>
        <w:adjustRightInd w:val="0"/>
        <w:snapToGrid w:val="0"/>
        <w:spacing w:line="360" w:lineRule="auto"/>
        <w:ind w:firstLine="480" w:firstLineChars="200"/>
        <w:rPr>
          <w:color w:val="auto"/>
          <w:sz w:val="24"/>
          <w:highlight w:val="none"/>
        </w:rPr>
      </w:pPr>
      <w:r>
        <w:rPr>
          <w:color w:val="auto"/>
          <w:sz w:val="24"/>
          <w:highlight w:val="none"/>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color w:val="auto"/>
          <w:sz w:val="24"/>
          <w:highlight w:val="none"/>
        </w:rPr>
      </w:pPr>
      <w:r>
        <w:rPr>
          <w:color w:val="auto"/>
          <w:sz w:val="24"/>
          <w:highlight w:val="none"/>
        </w:rPr>
        <w:t>18.3.5项约定为：</w:t>
      </w:r>
    </w:p>
    <w:p>
      <w:pPr>
        <w:adjustRightInd w:val="0"/>
        <w:snapToGrid w:val="0"/>
        <w:spacing w:line="360" w:lineRule="auto"/>
        <w:ind w:firstLine="480" w:firstLineChars="200"/>
        <w:rPr>
          <w:color w:val="auto"/>
          <w:sz w:val="24"/>
          <w:highlight w:val="none"/>
        </w:rPr>
      </w:pPr>
      <w:r>
        <w:rPr>
          <w:color w:val="auto"/>
          <w:sz w:val="24"/>
          <w:highlight w:val="none"/>
        </w:rPr>
        <w:t>经验收合格工程的实际竣工日期，以最终提交竣工验收申请报告的日期为准，并在工程接收证书中写明。</w:t>
      </w:r>
    </w:p>
    <w:p>
      <w:pPr>
        <w:adjustRightInd w:val="0"/>
        <w:snapToGrid w:val="0"/>
        <w:spacing w:line="360" w:lineRule="auto"/>
        <w:ind w:firstLine="480" w:firstLineChars="200"/>
        <w:rPr>
          <w:color w:val="auto"/>
          <w:sz w:val="24"/>
          <w:highlight w:val="none"/>
        </w:rPr>
      </w:pPr>
      <w:r>
        <w:rPr>
          <w:color w:val="auto"/>
          <w:sz w:val="24"/>
          <w:highlight w:val="none"/>
        </w:rPr>
        <w:t>本款增加第18.3.7项：</w:t>
      </w:r>
    </w:p>
    <w:p>
      <w:pPr>
        <w:adjustRightInd w:val="0"/>
        <w:snapToGrid w:val="0"/>
        <w:spacing w:line="360" w:lineRule="auto"/>
        <w:ind w:firstLine="480" w:firstLineChars="200"/>
        <w:rPr>
          <w:color w:val="auto"/>
          <w:sz w:val="24"/>
          <w:highlight w:val="none"/>
        </w:rPr>
      </w:pPr>
      <w:r>
        <w:rPr>
          <w:color w:val="auto"/>
          <w:sz w:val="24"/>
          <w:highlight w:val="none"/>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18.5施工期运行</w:t>
      </w:r>
    </w:p>
    <w:p>
      <w:pPr>
        <w:adjustRightInd w:val="0"/>
        <w:snapToGrid w:val="0"/>
        <w:spacing w:line="360" w:lineRule="auto"/>
        <w:ind w:firstLine="480" w:firstLineChars="200"/>
        <w:rPr>
          <w:color w:val="auto"/>
          <w:sz w:val="24"/>
          <w:highlight w:val="none"/>
        </w:rPr>
      </w:pPr>
      <w:r>
        <w:rPr>
          <w:color w:val="auto"/>
          <w:sz w:val="24"/>
          <w:highlight w:val="none"/>
        </w:rPr>
        <w:t>18.5.1项约定：</w:t>
      </w:r>
    </w:p>
    <w:p>
      <w:pPr>
        <w:adjustRightInd w:val="0"/>
        <w:snapToGrid w:val="0"/>
        <w:spacing w:line="360" w:lineRule="auto"/>
        <w:ind w:firstLine="480" w:firstLineChars="200"/>
        <w:rPr>
          <w:color w:val="auto"/>
          <w:sz w:val="24"/>
          <w:highlight w:val="none"/>
          <w:u w:val="single"/>
        </w:rPr>
      </w:pPr>
      <w:r>
        <w:rPr>
          <w:color w:val="auto"/>
          <w:sz w:val="24"/>
          <w:highlight w:val="none"/>
        </w:rPr>
        <w:t>单位工程或工程设备是否需投入施工期运行：</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hint="eastAsia" w:eastAsia="黑体"/>
          <w:color w:val="auto"/>
          <w:sz w:val="24"/>
          <w:highlight w:val="none"/>
        </w:rPr>
        <w:t>18.6试运行</w:t>
      </w:r>
    </w:p>
    <w:p>
      <w:pPr>
        <w:adjustRightInd w:val="0"/>
        <w:snapToGrid w:val="0"/>
        <w:spacing w:line="360" w:lineRule="auto"/>
        <w:ind w:firstLine="480" w:firstLineChars="200"/>
        <w:rPr>
          <w:color w:val="auto"/>
          <w:sz w:val="24"/>
          <w:highlight w:val="none"/>
        </w:rPr>
      </w:pPr>
      <w:r>
        <w:rPr>
          <w:color w:val="auto"/>
          <w:sz w:val="24"/>
          <w:highlight w:val="none"/>
        </w:rPr>
        <w:t>18.6.1项约定：</w:t>
      </w:r>
    </w:p>
    <w:p>
      <w:pPr>
        <w:adjustRightInd w:val="0"/>
        <w:snapToGrid w:val="0"/>
        <w:spacing w:line="360" w:lineRule="auto"/>
        <w:ind w:firstLine="480" w:firstLineChars="200"/>
        <w:rPr>
          <w:color w:val="auto"/>
          <w:sz w:val="24"/>
          <w:highlight w:val="none"/>
          <w:u w:val="single"/>
        </w:rPr>
      </w:pPr>
      <w:r>
        <w:rPr>
          <w:color w:val="auto"/>
          <w:sz w:val="24"/>
          <w:highlight w:val="none"/>
        </w:rPr>
        <w:t>本工程及工程设备是否进行试运行：</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试运行的内容：</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试运行的费用约定：</w:t>
      </w:r>
      <w:r>
        <w:rPr>
          <w:rFonts w:hint="eastAsia"/>
          <w:color w:val="auto"/>
          <w:sz w:val="24"/>
          <w:highlight w:val="none"/>
          <w:u w:val="single"/>
        </w:rPr>
        <w:t xml:space="preserve">  （见项目专用合同条款）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本条增加第18.9款：</w:t>
      </w:r>
    </w:p>
    <w:p>
      <w:pPr>
        <w:adjustRightInd w:val="0"/>
        <w:snapToGrid w:val="0"/>
        <w:spacing w:line="360" w:lineRule="auto"/>
        <w:rPr>
          <w:rFonts w:eastAsia="黑体"/>
          <w:color w:val="auto"/>
          <w:sz w:val="24"/>
          <w:highlight w:val="none"/>
        </w:rPr>
      </w:pPr>
      <w:r>
        <w:rPr>
          <w:rFonts w:eastAsia="黑体"/>
          <w:color w:val="auto"/>
          <w:sz w:val="24"/>
          <w:highlight w:val="none"/>
        </w:rPr>
        <w:t>18.9竣工文件</w:t>
      </w:r>
    </w:p>
    <w:p>
      <w:pPr>
        <w:adjustRightInd w:val="0"/>
        <w:snapToGrid w:val="0"/>
        <w:spacing w:line="360" w:lineRule="auto"/>
        <w:ind w:firstLine="480" w:firstLineChars="200"/>
        <w:rPr>
          <w:color w:val="auto"/>
          <w:sz w:val="24"/>
          <w:highlight w:val="none"/>
        </w:rPr>
      </w:pPr>
      <w:r>
        <w:rPr>
          <w:color w:val="auto"/>
          <w:sz w:val="24"/>
          <w:highlight w:val="none"/>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w:t>
      </w:r>
      <w:r>
        <w:rPr>
          <w:rFonts w:eastAsia="黑体"/>
          <w:color w:val="auto"/>
          <w:sz w:val="24"/>
          <w:highlight w:val="none"/>
        </w:rPr>
        <w:t>缺陷责任与保修责任</w:t>
      </w:r>
    </w:p>
    <w:p>
      <w:pPr>
        <w:adjustRightInd w:val="0"/>
        <w:snapToGrid w:val="0"/>
        <w:spacing w:line="360" w:lineRule="auto"/>
        <w:rPr>
          <w:rFonts w:eastAsia="黑体"/>
          <w:color w:val="auto"/>
          <w:sz w:val="24"/>
          <w:highlight w:val="none"/>
        </w:rPr>
      </w:pPr>
      <w:r>
        <w:rPr>
          <w:rFonts w:eastAsia="黑体"/>
          <w:color w:val="auto"/>
          <w:sz w:val="24"/>
          <w:highlight w:val="none"/>
        </w:rPr>
        <w:t>19.2缺陷责任</w:t>
      </w:r>
    </w:p>
    <w:p>
      <w:pPr>
        <w:adjustRightInd w:val="0"/>
        <w:snapToGrid w:val="0"/>
        <w:spacing w:line="360" w:lineRule="auto"/>
        <w:ind w:firstLine="480" w:firstLineChars="200"/>
        <w:rPr>
          <w:color w:val="auto"/>
          <w:sz w:val="24"/>
          <w:highlight w:val="none"/>
        </w:rPr>
      </w:pPr>
      <w:r>
        <w:rPr>
          <w:color w:val="auto"/>
          <w:sz w:val="24"/>
          <w:highlight w:val="none"/>
        </w:rPr>
        <w:t>19.2.2项补充：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color w:val="auto"/>
          <w:sz w:val="24"/>
          <w:highlight w:val="none"/>
        </w:rPr>
      </w:pPr>
      <w:r>
        <w:rPr>
          <w:color w:val="auto"/>
          <w:sz w:val="24"/>
          <w:highlight w:val="none"/>
        </w:rPr>
        <w:t>19.2.3项补充：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在缺陷责任期内，下述原因造成的缺陷修复和查验费用应由承包人自行负责：</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承包人所用的材料、设备或操作工艺不符合合同要求；或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承包人的疏忽或未遵守合同中对承包人规定的义务。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19.3缺陷责任期的延长</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19.5承包人的进入权</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color w:val="auto"/>
          <w:sz w:val="24"/>
          <w:highlight w:val="none"/>
        </w:rPr>
      </w:pPr>
      <w:r>
        <w:rPr>
          <w:rFonts w:eastAsia="黑体"/>
          <w:color w:val="auto"/>
          <w:sz w:val="24"/>
          <w:highlight w:val="none"/>
        </w:rPr>
        <w:t>19.7保修责任</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在全部工程竣工验收前，已经发包人提前验收的单位工程，其保修期的起算日期相应提前。</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工程保修期终止后28天内，监理人签发保修期终止证书。</w:t>
      </w:r>
    </w:p>
    <w:p>
      <w:pPr>
        <w:adjustRightInd w:val="0"/>
        <w:snapToGrid w:val="0"/>
        <w:spacing w:line="360" w:lineRule="auto"/>
        <w:ind w:firstLine="480" w:firstLineChars="200"/>
        <w:rPr>
          <w:color w:val="auto"/>
          <w:sz w:val="24"/>
          <w:highlight w:val="none"/>
        </w:rPr>
      </w:pP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8路面保修</w:t>
      </w:r>
    </w:p>
    <w:p>
      <w:pPr>
        <w:adjustRightInd w:val="0"/>
        <w:snapToGrid w:val="0"/>
        <w:spacing w:line="360" w:lineRule="auto"/>
        <w:ind w:firstLine="480" w:firstLineChars="200"/>
        <w:rPr>
          <w:color w:val="auto"/>
          <w:sz w:val="24"/>
          <w:highlight w:val="none"/>
        </w:rPr>
      </w:pPr>
      <w:r>
        <w:rPr>
          <w:rFonts w:hint="eastAsia"/>
          <w:color w:val="auto"/>
          <w:sz w:val="24"/>
          <w:highlight w:val="none"/>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color w:val="auto"/>
          <w:sz w:val="24"/>
          <w:highlight w:val="none"/>
        </w:rPr>
      </w:pPr>
      <w:r>
        <w:rPr>
          <w:rFonts w:eastAsia="黑体"/>
          <w:color w:val="auto"/>
          <w:sz w:val="24"/>
          <w:highlight w:val="none"/>
        </w:rPr>
        <w:t>20</w:t>
      </w:r>
      <w:r>
        <w:rPr>
          <w:rFonts w:hint="eastAsia" w:eastAsia="黑体"/>
          <w:color w:val="auto"/>
          <w:sz w:val="24"/>
          <w:highlight w:val="none"/>
        </w:rPr>
        <w:t>．</w:t>
      </w:r>
      <w:r>
        <w:rPr>
          <w:rFonts w:eastAsia="黑体"/>
          <w:color w:val="auto"/>
          <w:sz w:val="24"/>
          <w:highlight w:val="none"/>
        </w:rPr>
        <w:t>保险</w:t>
      </w:r>
    </w:p>
    <w:p>
      <w:pPr>
        <w:adjustRightInd w:val="0"/>
        <w:snapToGrid w:val="0"/>
        <w:spacing w:line="360" w:lineRule="auto"/>
        <w:rPr>
          <w:rFonts w:eastAsia="黑体"/>
          <w:color w:val="auto"/>
          <w:sz w:val="24"/>
          <w:highlight w:val="none"/>
        </w:rPr>
      </w:pPr>
      <w:r>
        <w:rPr>
          <w:rFonts w:eastAsia="黑体"/>
          <w:color w:val="auto"/>
          <w:sz w:val="24"/>
          <w:highlight w:val="none"/>
        </w:rPr>
        <w:t>20.1工程保险</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建筑工程一切险的投保内容：为永久工程、临时工程和设备及</w:t>
      </w:r>
      <w:r>
        <w:rPr>
          <w:rFonts w:hint="eastAsia"/>
          <w:color w:val="auto"/>
          <w:sz w:val="24"/>
          <w:highlight w:val="none"/>
        </w:rPr>
        <w:t>已</w:t>
      </w:r>
      <w:r>
        <w:rPr>
          <w:color w:val="auto"/>
          <w:sz w:val="24"/>
          <w:highlight w:val="none"/>
        </w:rPr>
        <w:t>运至施工工地用于永久工程的材料和设备所投的保险。</w:t>
      </w:r>
    </w:p>
    <w:p>
      <w:pPr>
        <w:adjustRightInd w:val="0"/>
        <w:snapToGrid w:val="0"/>
        <w:spacing w:line="360" w:lineRule="auto"/>
        <w:ind w:firstLine="480" w:firstLineChars="200"/>
        <w:rPr>
          <w:color w:val="auto"/>
          <w:sz w:val="24"/>
          <w:highlight w:val="none"/>
        </w:rPr>
      </w:pPr>
      <w:r>
        <w:rPr>
          <w:color w:val="auto"/>
          <w:sz w:val="24"/>
          <w:highlight w:val="none"/>
        </w:rPr>
        <w:t>保险金额：工程量清单第100章（不含建筑工程一切险及第三者责任险的保险费）至700章的合计金额。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保险期限：开工日起直至本合同工程签发缺陷责任期终止证书止（即合同工期＋缺陷责任期）</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20.4第三者责任险</w:t>
      </w:r>
    </w:p>
    <w:p>
      <w:pPr>
        <w:adjustRightInd w:val="0"/>
        <w:snapToGrid w:val="0"/>
        <w:spacing w:line="360" w:lineRule="auto"/>
        <w:ind w:firstLine="480" w:firstLineChars="200"/>
        <w:rPr>
          <w:color w:val="auto"/>
          <w:sz w:val="24"/>
          <w:highlight w:val="none"/>
        </w:rPr>
      </w:pPr>
      <w:r>
        <w:rPr>
          <w:color w:val="auto"/>
          <w:sz w:val="24"/>
          <w:highlight w:val="none"/>
        </w:rPr>
        <w:t>20.4.2项约定为：</w:t>
      </w:r>
    </w:p>
    <w:p>
      <w:pPr>
        <w:adjustRightInd w:val="0"/>
        <w:snapToGrid w:val="0"/>
        <w:spacing w:line="360" w:lineRule="auto"/>
        <w:ind w:firstLine="480" w:firstLineChars="200"/>
        <w:rPr>
          <w:color w:val="auto"/>
          <w:sz w:val="24"/>
          <w:highlight w:val="none"/>
        </w:rPr>
      </w:pPr>
      <w:r>
        <w:rPr>
          <w:color w:val="auto"/>
          <w:sz w:val="24"/>
          <w:highlight w:val="none"/>
        </w:rPr>
        <w:t>第三者责任险的最低保险金额：</w:t>
      </w:r>
      <w:r>
        <w:rPr>
          <w:rFonts w:hint="eastAsia"/>
          <w:color w:val="auto"/>
          <w:sz w:val="24"/>
          <w:highlight w:val="none"/>
          <w:u w:val="single"/>
        </w:rPr>
        <w:t xml:space="preserve">    </w:t>
      </w:r>
      <w:r>
        <w:rPr>
          <w:color w:val="auto"/>
          <w:sz w:val="24"/>
          <w:highlight w:val="none"/>
        </w:rPr>
        <w:t>万元人民币，事故次数不限（不计免赔额）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color w:val="auto"/>
          <w:sz w:val="24"/>
          <w:highlight w:val="none"/>
        </w:rPr>
        <w:t>％。（在项目专用合同条款中约定）</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20.5其他保险</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20.6对各项保险的一般要求</w:t>
      </w:r>
    </w:p>
    <w:p>
      <w:pPr>
        <w:adjustRightInd w:val="0"/>
        <w:snapToGrid w:val="0"/>
        <w:spacing w:line="360" w:lineRule="auto"/>
        <w:ind w:firstLine="480" w:firstLineChars="200"/>
        <w:rPr>
          <w:color w:val="auto"/>
          <w:sz w:val="24"/>
          <w:highlight w:val="none"/>
        </w:rPr>
      </w:pPr>
      <w:r>
        <w:rPr>
          <w:color w:val="auto"/>
          <w:sz w:val="24"/>
          <w:highlight w:val="none"/>
        </w:rPr>
        <w:t>20.6.1保险凭证</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承包人向发包人提交各项保险生效的证据和保险单副本的期限：</w:t>
      </w:r>
      <w:r>
        <w:rPr>
          <w:rFonts w:hint="eastAsia"/>
          <w:color w:val="auto"/>
          <w:sz w:val="24"/>
          <w:highlight w:val="none"/>
          <w:u w:val="single"/>
        </w:rPr>
        <w:t xml:space="preserve">  开工后56天内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20.6.3持续保险</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在整个合同期内，承包人应按合同条款保证足够的保险额。</w:t>
      </w:r>
    </w:p>
    <w:p>
      <w:pPr>
        <w:adjustRightInd w:val="0"/>
        <w:snapToGrid w:val="0"/>
        <w:spacing w:line="360" w:lineRule="auto"/>
        <w:ind w:firstLine="480" w:firstLineChars="200"/>
        <w:rPr>
          <w:color w:val="auto"/>
          <w:sz w:val="24"/>
          <w:highlight w:val="none"/>
        </w:rPr>
      </w:pPr>
      <w:r>
        <w:rPr>
          <w:color w:val="auto"/>
          <w:sz w:val="24"/>
          <w:highlight w:val="none"/>
        </w:rPr>
        <w:t>20.6.4保险</w:t>
      </w:r>
      <w:r>
        <w:rPr>
          <w:rFonts w:hint="eastAsia"/>
          <w:color w:val="auto"/>
          <w:sz w:val="24"/>
          <w:highlight w:val="none"/>
        </w:rPr>
        <w:t>金</w:t>
      </w:r>
      <w:r>
        <w:rPr>
          <w:color w:val="auto"/>
          <w:sz w:val="24"/>
          <w:highlight w:val="none"/>
        </w:rPr>
        <w:t>不足的补偿</w:t>
      </w:r>
    </w:p>
    <w:p>
      <w:pPr>
        <w:adjustRightInd w:val="0"/>
        <w:snapToGrid w:val="0"/>
        <w:spacing w:line="360" w:lineRule="auto"/>
        <w:ind w:firstLine="480" w:firstLineChars="200"/>
        <w:rPr>
          <w:color w:val="auto"/>
          <w:sz w:val="24"/>
          <w:highlight w:val="none"/>
        </w:rPr>
      </w:pPr>
      <w:r>
        <w:rPr>
          <w:color w:val="auto"/>
          <w:sz w:val="24"/>
          <w:highlight w:val="none"/>
        </w:rPr>
        <w:t xml:space="preserve">本项细化为： </w:t>
      </w:r>
    </w:p>
    <w:p>
      <w:pPr>
        <w:adjustRightInd w:val="0"/>
        <w:snapToGrid w:val="0"/>
        <w:spacing w:line="360" w:lineRule="auto"/>
        <w:ind w:firstLine="480" w:firstLineChars="200"/>
        <w:rPr>
          <w:color w:val="auto"/>
          <w:sz w:val="24"/>
          <w:highlight w:val="none"/>
        </w:rPr>
      </w:pPr>
      <w:r>
        <w:rPr>
          <w:color w:val="auto"/>
          <w:sz w:val="24"/>
          <w:highlight w:val="none"/>
        </w:rPr>
        <w:t>保险金不足以补偿损失的（包括免赔额和超过赔偿限额的部分），应由承包人和（或）发包人按合同约定负责补偿。</w:t>
      </w:r>
    </w:p>
    <w:p>
      <w:pPr>
        <w:adjustRightInd w:val="0"/>
        <w:snapToGrid w:val="0"/>
        <w:spacing w:line="360" w:lineRule="auto"/>
        <w:ind w:firstLine="480" w:firstLineChars="200"/>
        <w:rPr>
          <w:color w:val="auto"/>
          <w:sz w:val="24"/>
          <w:highlight w:val="none"/>
        </w:rPr>
      </w:pPr>
      <w:r>
        <w:rPr>
          <w:color w:val="auto"/>
          <w:sz w:val="24"/>
          <w:highlight w:val="none"/>
        </w:rPr>
        <w:t>20.6.5未按约定投保的补救</w:t>
      </w:r>
    </w:p>
    <w:p>
      <w:pPr>
        <w:adjustRightInd w:val="0"/>
        <w:snapToGrid w:val="0"/>
        <w:spacing w:line="360" w:lineRule="auto"/>
        <w:ind w:firstLine="480" w:firstLineChars="200"/>
        <w:rPr>
          <w:color w:val="auto"/>
          <w:sz w:val="24"/>
          <w:highlight w:val="none"/>
        </w:rPr>
      </w:pPr>
      <w:r>
        <w:rPr>
          <w:color w:val="auto"/>
          <w:sz w:val="24"/>
          <w:highlight w:val="none"/>
        </w:rPr>
        <w:t>本项（2）目细化为：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21．不可抗力</w:t>
      </w:r>
    </w:p>
    <w:p>
      <w:pPr>
        <w:adjustRightInd w:val="0"/>
        <w:snapToGrid w:val="0"/>
        <w:spacing w:line="360" w:lineRule="auto"/>
        <w:rPr>
          <w:rFonts w:eastAsia="黑体"/>
          <w:color w:val="auto"/>
          <w:sz w:val="24"/>
          <w:highlight w:val="none"/>
        </w:rPr>
      </w:pPr>
      <w:r>
        <w:rPr>
          <w:rFonts w:eastAsia="黑体"/>
          <w:color w:val="auto"/>
          <w:sz w:val="24"/>
          <w:highlight w:val="none"/>
        </w:rPr>
        <w:t>21.1不可抗力的确认</w:t>
      </w:r>
    </w:p>
    <w:p>
      <w:pPr>
        <w:adjustRightInd w:val="0"/>
        <w:snapToGrid w:val="0"/>
        <w:spacing w:line="360" w:lineRule="auto"/>
        <w:ind w:firstLine="480" w:firstLineChars="200"/>
        <w:rPr>
          <w:color w:val="auto"/>
          <w:sz w:val="24"/>
          <w:highlight w:val="none"/>
        </w:rPr>
      </w:pPr>
      <w:r>
        <w:rPr>
          <w:color w:val="auto"/>
          <w:sz w:val="24"/>
          <w:highlight w:val="none"/>
        </w:rPr>
        <w:t>21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1项细化为：</w:t>
      </w:r>
    </w:p>
    <w:p>
      <w:pPr>
        <w:adjustRightInd w:val="0"/>
        <w:snapToGrid w:val="0"/>
        <w:spacing w:line="360" w:lineRule="auto"/>
        <w:ind w:firstLine="480" w:firstLineChars="200"/>
        <w:rPr>
          <w:color w:val="auto"/>
          <w:sz w:val="24"/>
          <w:highlight w:val="none"/>
        </w:rPr>
      </w:pPr>
      <w:r>
        <w:rPr>
          <w:color w:val="auto"/>
          <w:sz w:val="24"/>
          <w:highlight w:val="none"/>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地震、海啸、火山爆发、泥石流、暴雨（雪）、台风、龙卷风、水灾等自然灾害；</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战争、骚乱、暴动，但纯属承包人或其分包人派遣与雇用的人员由于本合同工程施工原因引起者除外；</w:t>
      </w:r>
    </w:p>
    <w:p>
      <w:pPr>
        <w:adjustRightInd w:val="0"/>
        <w:snapToGrid w:val="0"/>
        <w:spacing w:line="360" w:lineRule="auto"/>
        <w:ind w:firstLine="480" w:firstLineChars="200"/>
        <w:rPr>
          <w:color w:val="auto"/>
          <w:sz w:val="24"/>
          <w:highlight w:val="none"/>
        </w:rPr>
      </w:pPr>
      <w:r>
        <w:rPr>
          <w:color w:val="auto"/>
          <w:sz w:val="24"/>
          <w:highlight w:val="none"/>
        </w:rPr>
        <w:t>（3）核反应、辐射或放射性污染；</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空中飞行物体坠落或非发包人或承包人责任造成的爆炸、火灾；</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瘟疫；</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项目专用合同条款约定的其他情形。</w:t>
      </w:r>
    </w:p>
    <w:p>
      <w:pPr>
        <w:adjustRightInd w:val="0"/>
        <w:snapToGrid w:val="0"/>
        <w:spacing w:beforeLines="100" w:line="360" w:lineRule="auto"/>
        <w:rPr>
          <w:rFonts w:eastAsia="黑体"/>
          <w:color w:val="auto"/>
          <w:sz w:val="24"/>
          <w:highlight w:val="none"/>
        </w:rPr>
      </w:pPr>
      <w:r>
        <w:rPr>
          <w:rFonts w:eastAsia="黑体"/>
          <w:color w:val="auto"/>
          <w:sz w:val="24"/>
          <w:highlight w:val="none"/>
        </w:rPr>
        <w:t>21.3不可抗力后果及其处理</w:t>
      </w:r>
    </w:p>
    <w:p>
      <w:pPr>
        <w:adjustRightInd w:val="0"/>
        <w:snapToGrid w:val="0"/>
        <w:spacing w:line="360" w:lineRule="auto"/>
        <w:ind w:firstLine="480" w:firstLineChars="200"/>
        <w:rPr>
          <w:color w:val="auto"/>
          <w:sz w:val="24"/>
          <w:highlight w:val="none"/>
        </w:rPr>
      </w:pPr>
      <w:r>
        <w:rPr>
          <w:color w:val="auto"/>
          <w:sz w:val="24"/>
          <w:highlight w:val="none"/>
        </w:rPr>
        <w:t>21.3.4因不可抗力解除合同本项细化为：</w:t>
      </w:r>
    </w:p>
    <w:p>
      <w:pPr>
        <w:adjustRightInd w:val="0"/>
        <w:snapToGrid w:val="0"/>
        <w:spacing w:line="360" w:lineRule="auto"/>
        <w:ind w:firstLine="480" w:firstLineChars="200"/>
        <w:rPr>
          <w:color w:val="auto"/>
          <w:sz w:val="24"/>
          <w:highlight w:val="none"/>
        </w:rPr>
      </w:pPr>
      <w:r>
        <w:rPr>
          <w:color w:val="auto"/>
          <w:sz w:val="24"/>
          <w:highlight w:val="none"/>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w:t>
      </w:r>
      <w:r>
        <w:rPr>
          <w:rFonts w:hint="eastAsia" w:eastAsia="黑体"/>
          <w:color w:val="auto"/>
          <w:sz w:val="24"/>
          <w:highlight w:val="none"/>
        </w:rPr>
        <w:t>．</w:t>
      </w:r>
      <w:r>
        <w:rPr>
          <w:rFonts w:eastAsia="黑体"/>
          <w:color w:val="auto"/>
          <w:sz w:val="24"/>
          <w:highlight w:val="none"/>
        </w:rPr>
        <w:t>违约</w:t>
      </w:r>
    </w:p>
    <w:p>
      <w:pPr>
        <w:adjustRightInd w:val="0"/>
        <w:snapToGrid w:val="0"/>
        <w:spacing w:line="360" w:lineRule="auto"/>
        <w:rPr>
          <w:rFonts w:eastAsia="黑体"/>
          <w:color w:val="auto"/>
          <w:sz w:val="24"/>
          <w:highlight w:val="none"/>
        </w:rPr>
      </w:pPr>
      <w:r>
        <w:rPr>
          <w:rFonts w:eastAsia="黑体"/>
          <w:color w:val="auto"/>
          <w:sz w:val="24"/>
          <w:highlight w:val="none"/>
        </w:rPr>
        <w:t>22.1承包人违约</w:t>
      </w:r>
    </w:p>
    <w:p>
      <w:pPr>
        <w:adjustRightInd w:val="0"/>
        <w:snapToGrid w:val="0"/>
        <w:spacing w:line="360" w:lineRule="auto"/>
        <w:ind w:firstLine="480" w:firstLineChars="200"/>
        <w:rPr>
          <w:color w:val="auto"/>
          <w:sz w:val="24"/>
          <w:highlight w:val="none"/>
        </w:rPr>
      </w:pPr>
      <w:r>
        <w:rPr>
          <w:color w:val="auto"/>
          <w:sz w:val="24"/>
          <w:highlight w:val="none"/>
        </w:rPr>
        <w:t>22.1.1承包人违约的情形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承包人未能按期开工；</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w:t>
      </w:r>
      <w:r>
        <w:rPr>
          <w:rFonts w:hint="eastAsia"/>
          <w:color w:val="auto"/>
          <w:sz w:val="24"/>
          <w:highlight w:val="none"/>
        </w:rPr>
        <w:t>）</w:t>
      </w:r>
      <w:r>
        <w:rPr>
          <w:color w:val="auto"/>
          <w:sz w:val="24"/>
          <w:highlight w:val="none"/>
        </w:rPr>
        <w:t>承包人不按合同约定履行义务的其他情况。</w:t>
      </w:r>
    </w:p>
    <w:p>
      <w:pPr>
        <w:adjustRightInd w:val="0"/>
        <w:snapToGrid w:val="0"/>
        <w:spacing w:line="360" w:lineRule="auto"/>
        <w:ind w:firstLine="480" w:firstLineChars="200"/>
        <w:rPr>
          <w:color w:val="auto"/>
          <w:sz w:val="24"/>
          <w:highlight w:val="none"/>
        </w:rPr>
      </w:pPr>
      <w:r>
        <w:rPr>
          <w:color w:val="auto"/>
          <w:sz w:val="24"/>
          <w:highlight w:val="none"/>
        </w:rPr>
        <w:t>22.1.2对承包人违约的处理</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22.2发包人违约</w:t>
      </w:r>
    </w:p>
    <w:p>
      <w:pPr>
        <w:adjustRightInd w:val="0"/>
        <w:snapToGrid w:val="0"/>
        <w:spacing w:line="360" w:lineRule="auto"/>
        <w:ind w:firstLine="480" w:firstLineChars="200"/>
        <w:rPr>
          <w:color w:val="auto"/>
          <w:sz w:val="24"/>
          <w:highlight w:val="none"/>
        </w:rPr>
      </w:pPr>
      <w:r>
        <w:rPr>
          <w:color w:val="auto"/>
          <w:sz w:val="24"/>
          <w:highlight w:val="none"/>
        </w:rPr>
        <w:t>22.2.4解除合同后的付款</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color w:val="auto"/>
          <w:sz w:val="24"/>
          <w:highlight w:val="none"/>
        </w:rPr>
      </w:pPr>
      <w:r>
        <w:rPr>
          <w:rFonts w:eastAsia="黑体"/>
          <w:color w:val="auto"/>
          <w:sz w:val="24"/>
          <w:highlight w:val="none"/>
        </w:rPr>
        <w:t>23</w:t>
      </w:r>
      <w:r>
        <w:rPr>
          <w:rFonts w:hint="eastAsia" w:eastAsia="黑体"/>
          <w:color w:val="auto"/>
          <w:sz w:val="24"/>
          <w:highlight w:val="none"/>
        </w:rPr>
        <w:t>．</w:t>
      </w:r>
      <w:r>
        <w:rPr>
          <w:rFonts w:eastAsia="黑体"/>
          <w:color w:val="auto"/>
          <w:sz w:val="24"/>
          <w:highlight w:val="none"/>
        </w:rPr>
        <w:t>索赔</w:t>
      </w:r>
    </w:p>
    <w:p>
      <w:pPr>
        <w:adjustRightInd w:val="0"/>
        <w:snapToGrid w:val="0"/>
        <w:spacing w:line="360" w:lineRule="auto"/>
        <w:rPr>
          <w:rFonts w:eastAsia="黑体"/>
          <w:color w:val="auto"/>
          <w:sz w:val="24"/>
          <w:highlight w:val="none"/>
        </w:rPr>
      </w:pPr>
      <w:r>
        <w:rPr>
          <w:rFonts w:eastAsia="黑体"/>
          <w:color w:val="auto"/>
          <w:sz w:val="24"/>
          <w:highlight w:val="none"/>
        </w:rPr>
        <w:t>23.1承包人索赔的提出</w:t>
      </w:r>
    </w:p>
    <w:p>
      <w:pPr>
        <w:adjustRightInd w:val="0"/>
        <w:snapToGrid w:val="0"/>
        <w:spacing w:line="360" w:lineRule="auto"/>
        <w:ind w:firstLine="480" w:firstLineChars="200"/>
        <w:rPr>
          <w:color w:val="auto"/>
          <w:sz w:val="24"/>
          <w:highlight w:val="none"/>
        </w:rPr>
      </w:pPr>
      <w:r>
        <w:rPr>
          <w:color w:val="auto"/>
          <w:sz w:val="24"/>
          <w:highlight w:val="none"/>
        </w:rPr>
        <w:t>本款</w:t>
      </w:r>
      <w:r>
        <w:rPr>
          <w:rFonts w:hint="eastAsia"/>
          <w:color w:val="auto"/>
          <w:sz w:val="24"/>
          <w:highlight w:val="none"/>
        </w:rPr>
        <w:t>（</w:t>
      </w:r>
      <w:r>
        <w:rPr>
          <w:color w:val="auto"/>
          <w:sz w:val="24"/>
          <w:highlight w:val="none"/>
        </w:rPr>
        <w:t>4）项细化为：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color w:val="auto"/>
          <w:sz w:val="24"/>
          <w:highlight w:val="none"/>
        </w:rPr>
      </w:pPr>
      <w:r>
        <w:rPr>
          <w:rFonts w:eastAsia="黑体"/>
          <w:color w:val="auto"/>
          <w:sz w:val="24"/>
          <w:highlight w:val="none"/>
        </w:rPr>
        <w:t>23.2承包人索赔处理程序</w:t>
      </w:r>
    </w:p>
    <w:p>
      <w:pPr>
        <w:adjustRightInd w:val="0"/>
        <w:snapToGrid w:val="0"/>
        <w:spacing w:line="360" w:lineRule="auto"/>
        <w:ind w:firstLine="480" w:firstLineChars="200"/>
        <w:rPr>
          <w:color w:val="auto"/>
          <w:sz w:val="24"/>
          <w:highlight w:val="none"/>
        </w:rPr>
      </w:pPr>
      <w:r>
        <w:rPr>
          <w:color w:val="auto"/>
          <w:sz w:val="24"/>
          <w:highlight w:val="none"/>
        </w:rPr>
        <w:t>本款（2</w:t>
      </w:r>
      <w:r>
        <w:rPr>
          <w:rFonts w:hint="eastAsia"/>
          <w:color w:val="auto"/>
          <w:sz w:val="24"/>
          <w:highlight w:val="none"/>
        </w:rPr>
        <w:t>）</w:t>
      </w:r>
      <w:r>
        <w:rPr>
          <w:color w:val="auto"/>
          <w:sz w:val="24"/>
          <w:highlight w:val="none"/>
        </w:rPr>
        <w:t>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24</w:t>
      </w:r>
      <w:r>
        <w:rPr>
          <w:rFonts w:hint="eastAsia" w:eastAsia="黑体"/>
          <w:color w:val="auto"/>
          <w:sz w:val="24"/>
          <w:highlight w:val="none"/>
        </w:rPr>
        <w:t>．</w:t>
      </w:r>
      <w:r>
        <w:rPr>
          <w:rFonts w:eastAsia="黑体"/>
          <w:color w:val="auto"/>
          <w:sz w:val="24"/>
          <w:highlight w:val="none"/>
        </w:rPr>
        <w:t>争议的解决</w:t>
      </w:r>
    </w:p>
    <w:p>
      <w:pPr>
        <w:adjustRightInd w:val="0"/>
        <w:snapToGrid w:val="0"/>
        <w:spacing w:line="360" w:lineRule="auto"/>
        <w:rPr>
          <w:rFonts w:eastAsia="黑体"/>
          <w:color w:val="auto"/>
          <w:sz w:val="24"/>
          <w:highlight w:val="none"/>
        </w:rPr>
      </w:pPr>
      <w:r>
        <w:rPr>
          <w:rFonts w:eastAsia="黑体"/>
          <w:color w:val="auto"/>
          <w:sz w:val="24"/>
          <w:highlight w:val="none"/>
        </w:rPr>
        <w:t>24.1争议的解决方式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争议的最终解决方式：</w:t>
      </w:r>
      <w:r>
        <w:rPr>
          <w:rFonts w:hint="eastAsia"/>
          <w:color w:val="auto"/>
          <w:sz w:val="24"/>
          <w:highlight w:val="none"/>
          <w:u w:val="single"/>
        </w:rPr>
        <w:t xml:space="preserve">   仲裁或诉讼   </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如采用仲裁，仲裁委员会名称：</w:t>
      </w:r>
      <w:r>
        <w:rPr>
          <w:color w:val="auto"/>
          <w:sz w:val="24"/>
          <w:highlight w:val="none"/>
          <w:u w:val="single"/>
        </w:rPr>
        <w:t>（在项目专用条款数据中约定）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24.3争议评审</w:t>
      </w:r>
    </w:p>
    <w:p>
      <w:pPr>
        <w:adjustRightInd w:val="0"/>
        <w:snapToGrid w:val="0"/>
        <w:spacing w:line="360" w:lineRule="auto"/>
        <w:ind w:firstLine="480" w:firstLineChars="200"/>
        <w:rPr>
          <w:color w:val="auto"/>
          <w:sz w:val="24"/>
          <w:highlight w:val="none"/>
        </w:rPr>
      </w:pPr>
      <w:r>
        <w:rPr>
          <w:color w:val="auto"/>
          <w:sz w:val="24"/>
          <w:highlight w:val="none"/>
        </w:rPr>
        <w:t>24.3</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本条增加第24.4</w:t>
      </w:r>
      <w:r>
        <w:rPr>
          <w:rFonts w:hint="eastAsia" w:eastAsia="黑体"/>
          <w:color w:val="auto"/>
          <w:sz w:val="24"/>
          <w:highlight w:val="none"/>
        </w:rPr>
        <w:t>、</w:t>
      </w:r>
      <w:r>
        <w:rPr>
          <w:rFonts w:eastAsia="黑体"/>
          <w:color w:val="auto"/>
          <w:sz w:val="24"/>
          <w:highlight w:val="none"/>
        </w:rPr>
        <w:t>24.5款（适用于采用仲裁方式最终解决争议的项目）：</w:t>
      </w:r>
    </w:p>
    <w:p>
      <w:pPr>
        <w:adjustRightInd w:val="0"/>
        <w:snapToGrid w:val="0"/>
        <w:spacing w:line="360" w:lineRule="auto"/>
        <w:rPr>
          <w:rFonts w:eastAsia="黑体"/>
          <w:color w:val="auto"/>
          <w:sz w:val="24"/>
          <w:highlight w:val="none"/>
        </w:rPr>
      </w:pPr>
      <w:r>
        <w:rPr>
          <w:rFonts w:eastAsia="黑体"/>
          <w:color w:val="auto"/>
          <w:sz w:val="24"/>
          <w:highlight w:val="none"/>
        </w:rPr>
        <w:t>24.4仲裁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仲裁裁决是终局性的并对发包人和承包人双方具有约束力。</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全部仲裁费用应由败诉方承担；或按仲裁委员会裁决的比例分担。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24.5诉讼</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hint="eastAsia" w:ascii="黑体" w:eastAsia="黑体"/>
          <w:bCs/>
          <w:color w:val="auto"/>
          <w:sz w:val="36"/>
          <w:szCs w:val="36"/>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B.项目专用合同条款</w:t>
      </w:r>
    </w:p>
    <w:p>
      <w:pPr>
        <w:tabs>
          <w:tab w:val="left" w:pos="4500"/>
        </w:tabs>
        <w:spacing w:line="520" w:lineRule="exact"/>
        <w:ind w:firstLine="480" w:firstLineChars="200"/>
        <w:rPr>
          <w:rFonts w:ascii="宋体" w:hAnsi="宋体"/>
          <w:color w:val="auto"/>
          <w:sz w:val="24"/>
          <w:highlight w:val="none"/>
        </w:rPr>
      </w:pPr>
      <w:r>
        <w:rPr>
          <w:rFonts w:hint="eastAsia"/>
          <w:color w:val="auto"/>
          <w:sz w:val="24"/>
          <w:highlight w:val="none"/>
        </w:rPr>
        <w:t>1.1 项目清单单价杜绝不平衡报价。</w:t>
      </w:r>
      <w:r>
        <w:rPr>
          <w:rFonts w:hint="eastAsia" w:ascii="宋体" w:hAnsi="宋体"/>
          <w:color w:val="auto"/>
          <w:sz w:val="24"/>
          <w:highlight w:val="none"/>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1.2施工过程中，对于施工质量差、进度严重滞后的施工单位，发包人可以将其驱逐出场，或者强行分割其承包工程。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1.3本工程质量目标要求竣工为</w:t>
      </w:r>
      <w:r>
        <w:rPr>
          <w:rFonts w:hint="eastAsia" w:ascii="宋体" w:hAnsi="宋体"/>
          <w:color w:val="auto"/>
          <w:sz w:val="24"/>
          <w:highlight w:val="none"/>
          <w:lang w:eastAsia="zh-CN"/>
        </w:rPr>
        <w:t>合格工程</w:t>
      </w:r>
      <w:r>
        <w:rPr>
          <w:rFonts w:hint="eastAsia" w:ascii="宋体" w:hAnsi="宋体"/>
          <w:color w:val="auto"/>
          <w:sz w:val="24"/>
          <w:highlight w:val="none"/>
        </w:rPr>
        <w:t>，</w:t>
      </w:r>
      <w:r>
        <w:rPr>
          <w:rFonts w:hint="eastAsia" w:ascii="宋体" w:hAnsi="宋体"/>
          <w:color w:val="auto"/>
          <w:sz w:val="24"/>
          <w:highlight w:val="none"/>
          <w:lang w:eastAsia="zh-CN"/>
        </w:rPr>
        <w:t>经验收标段工程不合格的</w:t>
      </w:r>
      <w:r>
        <w:rPr>
          <w:rFonts w:hint="eastAsia" w:ascii="宋体" w:hAnsi="宋体"/>
          <w:color w:val="auto"/>
          <w:sz w:val="24"/>
          <w:highlight w:val="none"/>
        </w:rPr>
        <w:t>质量保证金不予支付，同时在许昌交通建设市场给予通报批评，并上报省</w:t>
      </w:r>
      <w:r>
        <w:rPr>
          <w:rFonts w:ascii="宋体" w:hAnsi="宋体"/>
          <w:color w:val="auto"/>
          <w:sz w:val="24"/>
          <w:highlight w:val="none"/>
        </w:rPr>
        <w:t>交通运输</w:t>
      </w:r>
      <w:r>
        <w:rPr>
          <w:rFonts w:hint="eastAsia" w:ascii="宋体" w:hAnsi="宋体"/>
          <w:color w:val="auto"/>
          <w:sz w:val="24"/>
          <w:highlight w:val="none"/>
        </w:rPr>
        <w:t>厅</w:t>
      </w:r>
      <w:r>
        <w:rPr>
          <w:rFonts w:ascii="宋体" w:hAnsi="宋体"/>
          <w:color w:val="auto"/>
          <w:sz w:val="24"/>
          <w:highlight w:val="none"/>
        </w:rPr>
        <w:t>建议降低</w:t>
      </w:r>
      <w:r>
        <w:rPr>
          <w:rFonts w:hint="eastAsia" w:ascii="宋体" w:hAnsi="宋体"/>
          <w:color w:val="auto"/>
          <w:sz w:val="24"/>
          <w:highlight w:val="none"/>
        </w:rPr>
        <w:t>施工单位信用等级评价。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2.1价格调整：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因本项目要求工期短，合同期内不调价</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3、双方承担比例：材料价格涨（降）幅度超过10％的部分，由承包人和业主进行协商解决。</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4、因施工单位原因造成工期延误的，在延误期间价格变化引起的增加费用由施工单位承担。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both"/>
        <w:rPr>
          <w:rFonts w:ascii="黑体" w:eastAsia="黑体"/>
          <w:color w:val="auto"/>
          <w:sz w:val="32"/>
          <w:szCs w:val="32"/>
          <w:highlight w:val="none"/>
        </w:rPr>
      </w:pPr>
      <w:r>
        <w:rPr>
          <w:rFonts w:ascii="黑体" w:eastAsia="黑体"/>
          <w:bCs/>
          <w:color w:val="auto"/>
          <w:sz w:val="36"/>
          <w:szCs w:val="36"/>
          <w:highlight w:val="none"/>
        </w:rPr>
        <w:br w:type="page"/>
      </w:r>
      <w:r>
        <w:rPr>
          <w:rFonts w:hint="eastAsia" w:ascii="黑体" w:eastAsia="黑体"/>
          <w:color w:val="auto"/>
          <w:sz w:val="32"/>
          <w:szCs w:val="32"/>
          <w:highlight w:val="none"/>
        </w:rPr>
        <w:t>项目专用条款数据表</w:t>
      </w:r>
    </w:p>
    <w:p>
      <w:pPr>
        <w:adjustRightInd w:val="0"/>
        <w:snapToGrid w:val="0"/>
        <w:spacing w:line="360" w:lineRule="auto"/>
        <w:rPr>
          <w:color w:val="auto"/>
          <w:sz w:val="24"/>
          <w:highlight w:val="none"/>
        </w:rPr>
      </w:pPr>
      <w:r>
        <w:rPr>
          <w:rFonts w:hint="eastAsia"/>
          <w:color w:val="auto"/>
          <w:sz w:val="24"/>
          <w:highlight w:val="none"/>
        </w:rPr>
        <w:t>说明：本数据表是项目专用合同条款中适用于本项目的信息和数据的归纳与提</w:t>
      </w:r>
    </w:p>
    <w:p>
      <w:pPr>
        <w:adjustRightInd w:val="0"/>
        <w:snapToGrid w:val="0"/>
        <w:spacing w:line="360" w:lineRule="auto"/>
        <w:ind w:firstLine="811" w:firstLineChars="338"/>
        <w:rPr>
          <w:color w:val="auto"/>
          <w:sz w:val="24"/>
          <w:highlight w:val="none"/>
        </w:rPr>
      </w:pPr>
      <w:r>
        <w:rPr>
          <w:rFonts w:hint="eastAsia"/>
          <w:color w:val="auto"/>
          <w:sz w:val="24"/>
          <w:highlight w:val="none"/>
        </w:rPr>
        <w:t>示，是项目专用合同条款的组成部分。第三卷投标函附录中的数据（供</w:t>
      </w:r>
    </w:p>
    <w:p>
      <w:pPr>
        <w:adjustRightInd w:val="0"/>
        <w:snapToGrid w:val="0"/>
        <w:spacing w:line="360" w:lineRule="auto"/>
        <w:ind w:firstLine="811" w:firstLineChars="338"/>
        <w:rPr>
          <w:color w:val="auto"/>
          <w:sz w:val="24"/>
          <w:highlight w:val="none"/>
        </w:rPr>
      </w:pPr>
      <w:r>
        <w:rPr>
          <w:rFonts w:hint="eastAsia"/>
          <w:color w:val="auto"/>
          <w:sz w:val="24"/>
          <w:highlight w:val="none"/>
        </w:rPr>
        <w:t>投标人确认）与本表所列有重复。编写招标文件的单位应仔细校核，不</w:t>
      </w:r>
    </w:p>
    <w:p>
      <w:pPr>
        <w:adjustRightInd w:val="0"/>
        <w:snapToGrid w:val="0"/>
        <w:spacing w:line="360" w:lineRule="auto"/>
        <w:ind w:firstLine="811" w:firstLineChars="338"/>
        <w:rPr>
          <w:color w:val="auto"/>
          <w:sz w:val="24"/>
          <w:highlight w:val="none"/>
        </w:rPr>
      </w:pPr>
      <w:r>
        <w:rPr>
          <w:rFonts w:hint="eastAsia"/>
          <w:color w:val="auto"/>
          <w:sz w:val="24"/>
          <w:highlight w:val="none"/>
        </w:rPr>
        <w:t>使数据出现差错或不一致。</w:t>
      </w:r>
    </w:p>
    <w:tbl>
      <w:tblPr>
        <w:tblStyle w:val="10"/>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序号</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条款号</w:t>
            </w:r>
          </w:p>
        </w:tc>
        <w:tc>
          <w:tcPr>
            <w:tcW w:w="7027" w:type="dxa"/>
            <w:vAlign w:val="center"/>
          </w:tcPr>
          <w:p>
            <w:pPr>
              <w:adjustRightInd w:val="0"/>
              <w:snapToGrid w:val="0"/>
              <w:spacing w:line="312"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1.1.2.2</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发包人：</w:t>
            </w:r>
            <w:r>
              <w:rPr>
                <w:rFonts w:hint="eastAsia" w:hAnsi="宋体" w:cs="宋体"/>
                <w:sz w:val="24"/>
                <w:szCs w:val="24"/>
                <w:lang w:val="zh-CN"/>
              </w:rPr>
              <w:t>许昌市建安区交通运输局</w:t>
            </w:r>
          </w:p>
          <w:p>
            <w:pPr>
              <w:adjustRightInd w:val="0"/>
              <w:snapToGrid w:val="0"/>
              <w:spacing w:line="312" w:lineRule="auto"/>
              <w:rPr>
                <w:color w:val="auto"/>
                <w:sz w:val="24"/>
                <w:highlight w:val="none"/>
              </w:rPr>
            </w:pPr>
            <w:r>
              <w:rPr>
                <w:rFonts w:hint="eastAsia"/>
                <w:color w:val="auto"/>
                <w:sz w:val="24"/>
                <w:highlight w:val="none"/>
              </w:rPr>
              <w:t>地址： 许昌市建安区新元大道兴业大厦          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监理人：</w:t>
            </w:r>
          </w:p>
          <w:p>
            <w:pPr>
              <w:adjustRightInd w:val="0"/>
              <w:snapToGrid w:val="0"/>
              <w:spacing w:line="312" w:lineRule="auto"/>
              <w:rPr>
                <w:color w:val="auto"/>
                <w:sz w:val="24"/>
                <w:highlight w:val="none"/>
              </w:rPr>
            </w:pPr>
            <w:r>
              <w:rPr>
                <w:rFonts w:hint="eastAsia"/>
                <w:color w:val="auto"/>
                <w:sz w:val="24"/>
                <w:highlight w:val="none"/>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1.1.4.3</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工期：</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缺陷责任期：</w:t>
            </w:r>
            <w:r>
              <w:rPr>
                <w:rFonts w:hint="eastAsia"/>
                <w:color w:val="auto"/>
                <w:sz w:val="24"/>
                <w:highlight w:val="none"/>
                <w:u w:val="single"/>
              </w:rPr>
              <w:t xml:space="preserve">  2  </w:t>
            </w:r>
            <w:r>
              <w:rPr>
                <w:rFonts w:hint="eastAsia"/>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1.6.3</w:t>
            </w:r>
          </w:p>
        </w:tc>
        <w:tc>
          <w:tcPr>
            <w:tcW w:w="7027" w:type="dxa"/>
            <w:vAlign w:val="top"/>
          </w:tcPr>
          <w:p>
            <w:pPr>
              <w:adjustRightInd w:val="0"/>
              <w:snapToGrid w:val="0"/>
              <w:spacing w:line="312" w:lineRule="auto"/>
              <w:rPr>
                <w:color w:val="auto"/>
                <w:sz w:val="24"/>
                <w:highlight w:val="none"/>
                <w:u w:val="single"/>
              </w:rPr>
            </w:pPr>
            <w:r>
              <w:rPr>
                <w:rFonts w:hint="eastAsia"/>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7 </w:t>
            </w:r>
            <w:r>
              <w:rPr>
                <w:rFonts w:hint="eastAsia"/>
                <w:color w:val="auto"/>
                <w:sz w:val="24"/>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6</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3.1.1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单项工程变更涉及的金额超过了该单项工程原合同价的</w:t>
            </w:r>
            <w:r>
              <w:rPr>
                <w:rFonts w:hint="eastAsia"/>
                <w:color w:val="auto"/>
                <w:sz w:val="24"/>
                <w:highlight w:val="none"/>
                <w:u w:val="single"/>
              </w:rPr>
              <w:t xml:space="preserve">   </w:t>
            </w:r>
            <w:r>
              <w:rPr>
                <w:rFonts w:hint="eastAsia"/>
                <w:color w:val="auto"/>
                <w:sz w:val="24"/>
                <w:highlight w:val="none"/>
              </w:rPr>
              <w:t>%或累计变更超过了原总合同的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7</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4.2</w:t>
            </w:r>
          </w:p>
        </w:tc>
        <w:tc>
          <w:tcPr>
            <w:tcW w:w="7027" w:type="dxa"/>
            <w:vAlign w:val="top"/>
          </w:tcPr>
          <w:p>
            <w:pPr>
              <w:widowControl/>
              <w:spacing w:line="240" w:lineRule="atLeast"/>
              <w:rPr>
                <w:rFonts w:ascii="宋体" w:hAnsi="宋体" w:cs="宋体"/>
                <w:color w:val="auto"/>
                <w:kern w:val="0"/>
                <w:sz w:val="24"/>
                <w:highlight w:val="none"/>
              </w:rPr>
            </w:pPr>
            <w:r>
              <w:rPr>
                <w:rFonts w:hint="eastAsia"/>
                <w:color w:val="auto"/>
                <w:sz w:val="22"/>
                <w:highlight w:val="none"/>
              </w:rPr>
              <w:t>履约担保金额：</w:t>
            </w:r>
            <w:r>
              <w:rPr>
                <w:rFonts w:hint="eastAsia" w:ascii="宋体" w:hAnsi="宋体" w:cs="宋体"/>
                <w:color w:val="auto"/>
                <w:kern w:val="0"/>
                <w:sz w:val="24"/>
                <w:highlight w:val="none"/>
              </w:rPr>
              <w:t>中标</w:t>
            </w:r>
            <w:r>
              <w:rPr>
                <w:rFonts w:hint="eastAsia" w:ascii="宋体" w:hAnsi="宋体" w:cs="宋体"/>
                <w:color w:val="auto"/>
                <w:kern w:val="0"/>
                <w:sz w:val="24"/>
                <w:highlight w:val="none"/>
                <w:lang w:eastAsia="zh-CN"/>
              </w:rPr>
              <w:t>金额</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10</w:t>
            </w:r>
            <w:r>
              <w:rPr>
                <w:rFonts w:ascii="宋体" w:hAnsi="宋体" w:cs="宋体"/>
                <w:color w:val="auto"/>
                <w:kern w:val="0"/>
                <w:sz w:val="24"/>
                <w:highlight w:val="none"/>
              </w:rPr>
              <w:t xml:space="preserve">% </w:t>
            </w:r>
          </w:p>
          <w:p>
            <w:pPr>
              <w:adjustRightInd w:val="0"/>
              <w:snapToGrid w:val="0"/>
              <w:spacing w:line="312" w:lineRule="auto"/>
              <w:rPr>
                <w:color w:val="auto"/>
                <w:sz w:val="22"/>
                <w:highlight w:val="none"/>
              </w:rPr>
            </w:pPr>
            <w:r>
              <w:rPr>
                <w:rFonts w:hint="eastAsia"/>
                <w:color w:val="auto"/>
                <w:sz w:val="22"/>
                <w:highlight w:val="none"/>
              </w:rPr>
              <w:t>提交履约担保的时间：在签订合同协议书之前</w:t>
            </w:r>
          </w:p>
          <w:p>
            <w:pPr>
              <w:adjustRightInd w:val="0"/>
              <w:snapToGrid w:val="0"/>
              <w:spacing w:line="312" w:lineRule="auto"/>
              <w:rPr>
                <w:color w:val="auto"/>
                <w:sz w:val="22"/>
                <w:highlight w:val="none"/>
              </w:rPr>
            </w:pPr>
            <w:r>
              <w:rPr>
                <w:rFonts w:hint="eastAsia"/>
                <w:color w:val="auto"/>
                <w:sz w:val="22"/>
                <w:highlight w:val="none"/>
              </w:rPr>
              <w:t>履约担保形式：</w:t>
            </w:r>
            <w:r>
              <w:rPr>
                <w:rFonts w:hint="eastAsia" w:ascii="宋体" w:hAnsi="宋体" w:cs="宋体"/>
                <w:color w:val="auto"/>
                <w:kern w:val="0"/>
                <w:sz w:val="24"/>
                <w:highlight w:val="none"/>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8</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9</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10.2</w:t>
            </w:r>
          </w:p>
        </w:tc>
        <w:tc>
          <w:tcPr>
            <w:tcW w:w="7027" w:type="dxa"/>
            <w:vAlign w:val="top"/>
          </w:tcPr>
          <w:p>
            <w:pPr>
              <w:adjustRightInd w:val="0"/>
              <w:snapToGrid w:val="0"/>
              <w:spacing w:line="312" w:lineRule="auto"/>
              <w:rPr>
                <w:color w:val="auto"/>
                <w:sz w:val="24"/>
                <w:highlight w:val="none"/>
              </w:rPr>
            </w:pPr>
            <w:r>
              <w:rPr>
                <w:rFonts w:hint="eastAsia"/>
                <w:color w:val="auto"/>
                <w:sz w:val="22"/>
                <w:highlight w:val="none"/>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10</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10.4</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提交合同用款计划的时间：</w:t>
            </w:r>
          </w:p>
          <w:p>
            <w:pPr>
              <w:adjustRightInd w:val="0"/>
              <w:snapToGrid w:val="0"/>
              <w:spacing w:line="312" w:lineRule="auto"/>
              <w:rPr>
                <w:color w:val="auto"/>
                <w:sz w:val="24"/>
                <w:highlight w:val="none"/>
              </w:rPr>
            </w:pPr>
            <w:r>
              <w:rPr>
                <w:rFonts w:hint="eastAsia"/>
                <w:color w:val="auto"/>
                <w:sz w:val="24"/>
                <w:highlight w:val="none"/>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逾期竣工违约金：人民币</w:t>
            </w:r>
            <w:r>
              <w:rPr>
                <w:rFonts w:hint="eastAsia"/>
                <w:color w:val="auto"/>
                <w:sz w:val="24"/>
                <w:highlight w:val="none"/>
                <w:u w:val="single"/>
              </w:rPr>
              <w:t xml:space="preserve">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提前竣工的奖金：人民币</w:t>
            </w:r>
            <w:r>
              <w:rPr>
                <w:rFonts w:hint="eastAsia"/>
                <w:color w:val="auto"/>
                <w:sz w:val="24"/>
                <w:highlight w:val="none"/>
                <w:u w:val="single"/>
              </w:rPr>
              <w:t xml:space="preserve">  0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提前竣工的奖金限额：签约合同价的</w:t>
            </w:r>
            <w:r>
              <w:rPr>
                <w:rFonts w:hint="eastAsia"/>
                <w:color w:val="auto"/>
                <w:sz w:val="24"/>
                <w:highlight w:val="none"/>
                <w:u w:val="single"/>
              </w:rPr>
              <w:t xml:space="preserve"> 0 </w:t>
            </w:r>
            <w:r>
              <w:rPr>
                <w:rFonts w:hint="eastAsia"/>
                <w:color w:val="auto"/>
                <w:sz w:val="24"/>
                <w:highlight w:val="none"/>
              </w:rPr>
              <w:t>%</w:t>
            </w:r>
          </w:p>
        </w:tc>
      </w:tr>
    </w:tbl>
    <w:p>
      <w:pPr>
        <w:rPr>
          <w:color w:val="auto"/>
          <w:sz w:val="18"/>
          <w:szCs w:val="18"/>
          <w:highlight w:val="none"/>
        </w:rPr>
      </w:pPr>
    </w:p>
    <w:p>
      <w:pPr>
        <w:rPr>
          <w:color w:val="auto"/>
          <w:sz w:val="18"/>
          <w:szCs w:val="18"/>
          <w:highlight w:val="none"/>
        </w:rPr>
      </w:pPr>
      <w:r>
        <w:rPr>
          <w:color w:val="auto"/>
          <w:sz w:val="18"/>
          <w:szCs w:val="18"/>
          <w:highlight w:val="none"/>
        </w:rPr>
        <w:br w:type="page"/>
      </w:r>
    </w:p>
    <w:tbl>
      <w:tblPr>
        <w:tblStyle w:val="10"/>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序号</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条款号</w:t>
            </w:r>
          </w:p>
        </w:tc>
        <w:tc>
          <w:tcPr>
            <w:tcW w:w="7560" w:type="dxa"/>
            <w:vAlign w:val="center"/>
          </w:tcPr>
          <w:p>
            <w:pPr>
              <w:adjustRightInd w:val="0"/>
              <w:snapToGrid w:val="0"/>
              <w:spacing w:line="324"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15.2.2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按所节约或增加收益的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16.1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开工预付款比例：</w:t>
            </w:r>
            <w:r>
              <w:rPr>
                <w:rFonts w:hint="eastAsia"/>
                <w:color w:val="auto"/>
                <w:sz w:val="24"/>
                <w:highlight w:val="none"/>
                <w:u w:val="single"/>
              </w:rPr>
              <w:t xml:space="preserve">   </w:t>
            </w:r>
            <w:r>
              <w:rPr>
                <w:rFonts w:hint="eastAsia"/>
                <w:color w:val="auto"/>
                <w:sz w:val="24"/>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材料、设备预付款比例：</w:t>
            </w:r>
            <w:r>
              <w:rPr>
                <w:rFonts w:hint="eastAsia"/>
                <w:color w:val="auto"/>
                <w:sz w:val="24"/>
                <w:highlight w:val="none"/>
                <w:u w:val="single"/>
              </w:rPr>
              <w:t xml:space="preserve">   </w:t>
            </w:r>
            <w:r>
              <w:rPr>
                <w:rFonts w:hint="eastAsia"/>
                <w:color w:val="auto"/>
                <w:sz w:val="24"/>
                <w:highlight w:val="none"/>
              </w:rPr>
              <w:t>等主要材料、设备单据所列费用的</w:t>
            </w:r>
            <w:r>
              <w:rPr>
                <w:rFonts w:hint="eastAsia"/>
                <w:color w:val="auto"/>
                <w:sz w:val="24"/>
                <w:highlight w:val="none"/>
                <w:u w:val="single"/>
              </w:rPr>
              <w:t xml:space="preserve">   </w:t>
            </w:r>
            <w:r>
              <w:rPr>
                <w:rFonts w:hint="eastAsia"/>
                <w:color w:val="auto"/>
                <w:sz w:val="24"/>
                <w:highlight w:val="none"/>
              </w:rPr>
              <w:t>%</w:t>
            </w:r>
            <w:r>
              <w:rPr>
                <w:rStyle w:val="14"/>
                <w:color w:val="auto"/>
                <w:sz w:val="24"/>
                <w:highlight w:val="none"/>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进度付款申请单：向监理人提交进度付款申请单的份数：</w:t>
            </w:r>
            <w:r>
              <w:rPr>
                <w:rFonts w:hint="eastAsia"/>
                <w:color w:val="auto"/>
                <w:sz w:val="24"/>
                <w:highlight w:val="none"/>
                <w:u w:val="single"/>
              </w:rPr>
              <w:t xml:space="preserve">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jc w:val="left"/>
              <w:rPr>
                <w:color w:val="auto"/>
                <w:sz w:val="24"/>
                <w:highlight w:val="none"/>
              </w:rPr>
            </w:pPr>
            <w:r>
              <w:rPr>
                <w:rFonts w:hint="eastAsia"/>
                <w:color w:val="auto"/>
                <w:sz w:val="24"/>
                <w:highlight w:val="none"/>
              </w:rPr>
              <w:t>进度付款申请证书最低限额：签约合同价的</w:t>
            </w:r>
            <w:r>
              <w:rPr>
                <w:rFonts w:hint="eastAsia"/>
                <w:color w:val="auto"/>
                <w:sz w:val="24"/>
                <w:highlight w:val="none"/>
                <w:u w:val="single"/>
              </w:rPr>
              <w:t xml:space="preserve">  </w:t>
            </w:r>
            <w:r>
              <w:rPr>
                <w:rFonts w:hint="eastAsia"/>
                <w:color w:val="auto"/>
                <w:sz w:val="24"/>
                <w:highlight w:val="none"/>
              </w:rPr>
              <w:t>%或人民币</w:t>
            </w:r>
            <w:r>
              <w:rPr>
                <w:rFonts w:hint="eastAsia"/>
                <w:color w:val="auto"/>
                <w:sz w:val="24"/>
                <w:highlight w:val="none"/>
                <w:u w:val="single"/>
              </w:rPr>
              <w:t xml:space="preserve">  </w:t>
            </w:r>
            <w:r>
              <w:rPr>
                <w:rFonts w:hint="eastAsia"/>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进度付款支付期限：</w:t>
            </w:r>
          </w:p>
          <w:p>
            <w:pPr>
              <w:adjustRightInd w:val="0"/>
              <w:snapToGrid w:val="0"/>
              <w:spacing w:line="324" w:lineRule="auto"/>
              <w:rPr>
                <w:color w:val="auto"/>
                <w:sz w:val="24"/>
                <w:highlight w:val="none"/>
              </w:rPr>
            </w:pPr>
            <w:r>
              <w:rPr>
                <w:rFonts w:hint="eastAsia"/>
                <w:color w:val="auto"/>
                <w:sz w:val="24"/>
                <w:highlight w:val="none"/>
              </w:rPr>
              <w:t>监理人收到进度付款申请单后</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rFonts w:hint="eastAsia"/>
                <w:color w:val="auto"/>
                <w:sz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逾期付款违约金：</w:t>
            </w:r>
            <w:r>
              <w:rPr>
                <w:rFonts w:hint="eastAsia"/>
                <w:color w:val="auto"/>
                <w:sz w:val="24"/>
                <w:highlight w:val="none"/>
                <w:u w:val="single"/>
              </w:rPr>
              <w:t xml:space="preserve">    </w:t>
            </w:r>
            <w:r>
              <w:rPr>
                <w:rFonts w:hint="eastAsia" w:ascii="宋体" w:hAnsi="宋体"/>
                <w:color w:val="auto"/>
                <w:sz w:val="24"/>
                <w:highlight w:val="none"/>
              </w:rPr>
              <w:t>‰/天</w:t>
            </w:r>
            <w:r>
              <w:rPr>
                <w:rStyle w:val="14"/>
                <w:color w:val="auto"/>
                <w:sz w:val="24"/>
                <w:highlight w:val="none"/>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24</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质量保证金百分比：月支付额的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25</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竣工付款申请单：承包人向监理人提交竣工付款申请单（包括相关证明材料）的份数：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竣工付款支付期限：</w:t>
            </w:r>
          </w:p>
          <w:p>
            <w:pPr>
              <w:adjustRightInd w:val="0"/>
              <w:snapToGrid w:val="0"/>
              <w:spacing w:line="324" w:lineRule="auto"/>
              <w:rPr>
                <w:color w:val="auto"/>
                <w:sz w:val="24"/>
                <w:highlight w:val="none"/>
              </w:rPr>
            </w:pPr>
            <w:r>
              <w:rPr>
                <w:rFonts w:hint="eastAsia"/>
                <w:color w:val="auto"/>
                <w:sz w:val="24"/>
                <w:highlight w:val="none"/>
              </w:rPr>
              <w:t>监理人出具工程竣工付款证书后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最终结清申请单：承包人向监理人提交终结清申请单（包括相关证明材料）的份数：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最终付款支付期限：</w:t>
            </w:r>
          </w:p>
          <w:p>
            <w:pPr>
              <w:adjustRightInd w:val="0"/>
              <w:snapToGrid w:val="0"/>
              <w:spacing w:line="324" w:lineRule="auto"/>
              <w:rPr>
                <w:color w:val="auto"/>
                <w:sz w:val="24"/>
                <w:highlight w:val="none"/>
              </w:rPr>
            </w:pPr>
            <w:r>
              <w:rPr>
                <w:rFonts w:hint="eastAsia"/>
                <w:color w:val="auto"/>
                <w:sz w:val="24"/>
                <w:highlight w:val="none"/>
              </w:rPr>
              <w:t>监理人出具最终结清证书后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19.7</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保修期：</w:t>
            </w:r>
            <w:r>
              <w:rPr>
                <w:rFonts w:hint="eastAsia"/>
                <w:color w:val="auto"/>
                <w:sz w:val="24"/>
                <w:highlight w:val="none"/>
                <w:u w:val="single"/>
              </w:rPr>
              <w:t xml:space="preserve"> 5  </w:t>
            </w:r>
            <w:r>
              <w:rPr>
                <w:rFonts w:hint="eastAsia"/>
                <w:color w:val="auto"/>
                <w:sz w:val="24"/>
                <w:highlight w:val="none"/>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建筑工程一切险的保险费率：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20.4.2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第三者责任的最低投保金额：</w:t>
            </w:r>
            <w:r>
              <w:rPr>
                <w:rFonts w:hint="eastAsia"/>
                <w:color w:val="auto"/>
                <w:sz w:val="24"/>
                <w:highlight w:val="none"/>
                <w:u w:val="single"/>
              </w:rPr>
              <w:t xml:space="preserve">    </w:t>
            </w:r>
            <w:r>
              <w:rPr>
                <w:rFonts w:hint="eastAsia"/>
                <w:color w:val="auto"/>
                <w:sz w:val="24"/>
                <w:highlight w:val="none"/>
              </w:rPr>
              <w:t>万元人民币，事故次数不限（不计免赔额）     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24.1</w:t>
            </w:r>
          </w:p>
        </w:tc>
        <w:tc>
          <w:tcPr>
            <w:tcW w:w="7560" w:type="dxa"/>
            <w:vAlign w:val="top"/>
          </w:tcPr>
          <w:p>
            <w:pPr>
              <w:adjustRightInd w:val="0"/>
              <w:snapToGrid w:val="0"/>
              <w:spacing w:line="324" w:lineRule="auto"/>
              <w:rPr>
                <w:color w:val="auto"/>
                <w:sz w:val="24"/>
                <w:highlight w:val="none"/>
                <w:u w:val="single"/>
              </w:rPr>
            </w:pPr>
            <w:r>
              <w:rPr>
                <w:rFonts w:hint="eastAsia"/>
                <w:color w:val="auto"/>
                <w:sz w:val="24"/>
                <w:highlight w:val="none"/>
              </w:rPr>
              <w:t>争议的最终解决方式：</w:t>
            </w:r>
            <w:r>
              <w:rPr>
                <w:rFonts w:hint="eastAsia"/>
                <w:color w:val="auto"/>
                <w:sz w:val="24"/>
                <w:highlight w:val="none"/>
                <w:u w:val="single"/>
              </w:rPr>
              <w:t xml:space="preserve">      诉讼     </w:t>
            </w:r>
          </w:p>
          <w:p>
            <w:pPr>
              <w:adjustRightInd w:val="0"/>
              <w:snapToGrid w:val="0"/>
              <w:spacing w:line="324" w:lineRule="auto"/>
              <w:rPr>
                <w:color w:val="auto"/>
                <w:sz w:val="24"/>
                <w:highlight w:val="none"/>
              </w:rPr>
            </w:pPr>
            <w:r>
              <w:rPr>
                <w:rFonts w:hint="eastAsia"/>
                <w:color w:val="auto"/>
                <w:sz w:val="24"/>
                <w:highlight w:val="none"/>
              </w:rPr>
              <w:t>如采用仲裁，仲裁委员会名称</w:t>
            </w:r>
            <w:r>
              <w:rPr>
                <w:rFonts w:hint="eastAsia"/>
                <w:color w:val="auto"/>
                <w:sz w:val="24"/>
                <w:highlight w:val="none"/>
                <w:u w:val="single"/>
              </w:rPr>
              <w:t xml:space="preserve">：  许昌市中级人民法院  </w:t>
            </w:r>
          </w:p>
        </w:tc>
      </w:tr>
    </w:tbl>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360" w:lineRule="auto"/>
        <w:rPr>
          <w:rFonts w:ascii="黑体" w:eastAsia="黑体"/>
          <w:color w:val="auto"/>
          <w:sz w:val="30"/>
          <w:highlight w:val="none"/>
        </w:rPr>
      </w:pPr>
      <w:r>
        <w:rPr>
          <w:rFonts w:hint="eastAsia" w:ascii="黑体" w:eastAsia="黑体"/>
          <w:color w:val="auto"/>
          <w:sz w:val="30"/>
          <w:highlight w:val="none"/>
        </w:rPr>
        <w:t>项目专用条款</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1.4合同文件的优先顺序：</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1.7.2来往函件送达的期限：</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2.8发包人应履行的其他义务：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4.1.2依法纳税：</w:t>
      </w:r>
      <w:r>
        <w:rPr>
          <w:rFonts w:hint="eastAsia" w:ascii="黑体" w:eastAsia="黑体"/>
          <w:color w:val="auto"/>
          <w:sz w:val="24"/>
          <w:highlight w:val="none"/>
          <w:u w:val="single"/>
        </w:rPr>
        <w:t xml:space="preserve">     </w:t>
      </w:r>
      <w:r>
        <w:rPr>
          <w:rFonts w:hint="eastAsia" w:ascii="黑体" w:eastAsia="黑体"/>
          <w:color w:val="auto"/>
          <w:sz w:val="24"/>
          <w:highlight w:val="none"/>
          <w:u w:val="single"/>
        </w:rPr>
        <w:tab/>
      </w:r>
      <w:r>
        <w:rPr>
          <w:rFonts w:hint="eastAsia" w:ascii="黑体" w:eastAsia="黑体"/>
          <w:color w:val="auto"/>
          <w:sz w:val="24"/>
          <w:highlight w:val="none"/>
          <w:u w:val="singl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4.1.8为他人提供方便</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承包人为他人提供条件的内容：</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承包人为他人提供条件可能发生费用的处理方法：</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4.1.10其他义务：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4.2履约担保：</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4.11.1不利物质条件的范围：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6.2发包人提供的施工设备和临时设施：</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8.1.1发包人向承包人提供测量准点、基准线和水准点及其书面资料的时间：</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。承包人监理人报送施工控制网资料的时间：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9.2承包人的施工安全责任：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10.1合同进度计划</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承包人编制施工方案的内容：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11.4异常恶劣的气候条件：</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11.5承包人的工期延误：</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11.6工期提前：</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12.1承包人暂停停工的责任：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15.4变更的佶价原则：</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17.3.3进度付款证书和支付时间：</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进度付款涉及政府投资资金的,按照以下规定办理：</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18.5施工期运行</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单位工程或工程设备是否需投入施工期运行：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18.6试运行</w:t>
      </w:r>
      <w:r>
        <w:rPr>
          <w:rFonts w:ascii="黑体" w:hAnsi="Times New Roman" w:eastAsia="黑体" w:cs="Times New Roman"/>
          <w:color w:val="auto"/>
          <w:kern w:val="2"/>
          <w:position w:val="-10"/>
          <w:sz w:val="24"/>
          <w:szCs w:val="24"/>
          <w:highlight w:val="none"/>
          <w:lang w:val="en-US" w:eastAsia="zh-CN" w:bidi="ar-SA"/>
        </w:rPr>
        <w:object>
          <v:shape id="_x0000_i1028" o:spt="75" type="#_x0000_t75" style="height:17pt;width:8.85pt;"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o:OLEObject Type="Embed" ProgID="Equations" ShapeID="_x0000_i1028" DrawAspect="Content" ObjectID="_1468075726" r:id="rId12">
            <o:LockedField>false</o:LockedField>
          </o:OLEObject>
        </w:objec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18.6.1项约定：</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本工程及工程设备是否进行试运行：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试运行的费用约定：</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21.1不可抗力的确认：</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22.1.2对承包人违约的处理：</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jc w:val="center"/>
        <w:rPr>
          <w:rFonts w:ascii="黑体" w:eastAsia="黑体"/>
          <w:bCs/>
          <w:color w:val="auto"/>
          <w:sz w:val="36"/>
          <w:szCs w:val="36"/>
          <w:highlight w:val="none"/>
        </w:rPr>
      </w:pPr>
      <w:r>
        <w:rPr>
          <w:rFonts w:ascii="黑体" w:eastAsia="黑体"/>
          <w:bCs/>
          <w:color w:val="auto"/>
          <w:sz w:val="36"/>
          <w:szCs w:val="36"/>
          <w:highlight w:val="none"/>
        </w:rPr>
        <w:t>第三节 合同附件格式</w:t>
      </w: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bookmarkEnd w:id="224"/>
    <w:p>
      <w:pPr>
        <w:pStyle w:val="15"/>
        <w:snapToGrid w:val="0"/>
        <w:spacing w:line="300" w:lineRule="auto"/>
        <w:rPr>
          <w:b/>
          <w:bCs/>
          <w:color w:val="auto"/>
          <w:sz w:val="44"/>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r>
        <w:rPr>
          <w:rFonts w:hint="eastAsia" w:ascii="黑体" w:eastAsia="黑体"/>
          <w:color w:val="auto"/>
          <w:sz w:val="32"/>
          <w:szCs w:val="32"/>
          <w:highlight w:val="none"/>
        </w:rPr>
        <w:t>第三节  合同附件格式</w:t>
      </w: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附件一：合同协议书</w:t>
      </w:r>
    </w:p>
    <w:p>
      <w:pPr>
        <w:adjustRightInd w:val="0"/>
        <w:snapToGrid w:val="0"/>
        <w:spacing w:beforeLines="100" w:afterLines="100" w:line="360" w:lineRule="auto"/>
        <w:jc w:val="center"/>
        <w:rPr>
          <w:rFonts w:ascii="黑体" w:eastAsia="黑体"/>
          <w:color w:val="auto"/>
          <w:sz w:val="28"/>
          <w:szCs w:val="28"/>
          <w:highlight w:val="none"/>
        </w:rPr>
      </w:pPr>
      <w:r>
        <w:rPr>
          <w:rFonts w:hint="eastAsia" w:ascii="黑体" w:eastAsia="黑体"/>
          <w:color w:val="auto"/>
          <w:sz w:val="28"/>
          <w:szCs w:val="28"/>
          <w:highlight w:val="none"/>
        </w:rPr>
        <w:t>合 同 协 议 书</w:t>
      </w:r>
    </w:p>
    <w:p>
      <w:pPr>
        <w:adjustRightInd w:val="0"/>
        <w:snapToGrid w:val="0"/>
        <w:spacing w:line="360" w:lineRule="auto"/>
        <w:ind w:firstLine="600" w:firstLineChars="250"/>
        <w:rPr>
          <w:color w:val="auto"/>
          <w:sz w:val="24"/>
          <w:highlight w:val="none"/>
        </w:rPr>
      </w:pPr>
      <w:r>
        <w:rPr>
          <w:rFonts w:hint="eastAsia"/>
          <w:color w:val="auto"/>
          <w:sz w:val="24"/>
          <w:highlight w:val="none"/>
          <w:u w:val="single"/>
        </w:rPr>
        <w:t xml:space="preserve">                               </w:t>
      </w:r>
      <w:r>
        <w:rPr>
          <w:color w:val="auto"/>
          <w:sz w:val="24"/>
          <w:highlight w:val="none"/>
        </w:rPr>
        <w:t>（发包</w:t>
      </w:r>
      <w:r>
        <w:rPr>
          <w:rFonts w:hint="eastAsia"/>
          <w:color w:val="auto"/>
          <w:sz w:val="24"/>
          <w:highlight w:val="none"/>
        </w:rPr>
        <w:t>人名</w:t>
      </w:r>
      <w:r>
        <w:rPr>
          <w:color w:val="auto"/>
          <w:sz w:val="24"/>
          <w:highlight w:val="none"/>
        </w:rPr>
        <w:t>称，以下</w:t>
      </w:r>
      <w:r>
        <w:rPr>
          <w:rFonts w:hint="eastAsia"/>
          <w:color w:val="auto"/>
          <w:sz w:val="24"/>
          <w:highlight w:val="none"/>
        </w:rPr>
        <w:t>简称“发包</w:t>
      </w:r>
      <w:r>
        <w:rPr>
          <w:color w:val="auto"/>
          <w:sz w:val="24"/>
          <w:highlight w:val="none"/>
        </w:rPr>
        <w:t>人</w:t>
      </w:r>
      <w:r>
        <w:rPr>
          <w:rFonts w:hint="eastAsia"/>
          <w:color w:val="auto"/>
          <w:sz w:val="24"/>
          <w:highlight w:val="none"/>
        </w:rPr>
        <w:t>” ）</w:t>
      </w:r>
      <w:r>
        <w:rPr>
          <w:color w:val="auto"/>
          <w:sz w:val="24"/>
          <w:highlight w:val="none"/>
        </w:rPr>
        <w:t>为实施</w:t>
      </w:r>
      <w:r>
        <w:rPr>
          <w:rFonts w:hint="eastAsia"/>
          <w:color w:val="auto"/>
          <w:sz w:val="24"/>
          <w:highlight w:val="none"/>
          <w:u w:val="single"/>
        </w:rPr>
        <w:t xml:space="preserve">                 </w:t>
      </w:r>
      <w:r>
        <w:rPr>
          <w:color w:val="auto"/>
          <w:sz w:val="24"/>
          <w:highlight w:val="none"/>
        </w:rPr>
        <w:t>（项目名称），已接受</w:t>
      </w:r>
      <w:r>
        <w:rPr>
          <w:rFonts w:hint="eastAsia"/>
          <w:color w:val="auto"/>
          <w:sz w:val="24"/>
          <w:highlight w:val="none"/>
          <w:u w:val="single"/>
        </w:rPr>
        <w:t xml:space="preserve">             </w:t>
      </w:r>
      <w:r>
        <w:rPr>
          <w:color w:val="auto"/>
          <w:sz w:val="24"/>
          <w:highlight w:val="none"/>
        </w:rPr>
        <w:t>（承包人名称，以下简称“承包人”）对该项目</w:t>
      </w:r>
      <w:r>
        <w:rPr>
          <w:rFonts w:hint="eastAsia"/>
          <w:color w:val="auto"/>
          <w:sz w:val="24"/>
          <w:highlight w:val="none"/>
          <w:u w:val="single"/>
        </w:rPr>
        <w:t xml:space="preserve">         </w:t>
      </w:r>
      <w:r>
        <w:rPr>
          <w:color w:val="auto"/>
          <w:sz w:val="24"/>
          <w:highlight w:val="none"/>
        </w:rPr>
        <w:t>标段施工的投标。发包人和承包人共同达成如下协议。</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第</w:t>
      </w:r>
      <w:r>
        <w:rPr>
          <w:rFonts w:hint="eastAsia"/>
          <w:color w:val="auto"/>
          <w:sz w:val="24"/>
          <w:highlight w:val="none"/>
          <w:u w:val="single"/>
        </w:rPr>
        <w:t xml:space="preserve">    </w:t>
      </w:r>
      <w:r>
        <w:rPr>
          <w:color w:val="auto"/>
          <w:sz w:val="24"/>
          <w:highlight w:val="none"/>
        </w:rPr>
        <w:t>标段由K</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rPr>
        <w:t>至K</w:t>
      </w:r>
      <w:r>
        <w:rPr>
          <w:rFonts w:hint="eastAsia"/>
          <w:color w:val="auto"/>
          <w:sz w:val="24"/>
          <w:highlight w:val="none"/>
          <w:u w:val="single"/>
        </w:rPr>
        <w:t xml:space="preserve">   </w:t>
      </w:r>
      <w:r>
        <w:rPr>
          <w:color w:val="auto"/>
          <w:sz w:val="24"/>
          <w:highlight w:val="none"/>
        </w:rPr>
        <w:t>十</w:t>
      </w:r>
      <w:r>
        <w:rPr>
          <w:rFonts w:hint="eastAsia"/>
          <w:color w:val="auto"/>
          <w:sz w:val="24"/>
          <w:highlight w:val="none"/>
          <w:u w:val="single"/>
        </w:rPr>
        <w:t xml:space="preserve">   </w:t>
      </w:r>
      <w:r>
        <w:rPr>
          <w:color w:val="auto"/>
          <w:sz w:val="24"/>
          <w:highlight w:val="none"/>
        </w:rPr>
        <w:t>，长约</w:t>
      </w:r>
      <w:r>
        <w:rPr>
          <w:rFonts w:hint="eastAsia"/>
          <w:color w:val="auto"/>
          <w:sz w:val="24"/>
          <w:highlight w:val="none"/>
          <w:u w:val="single"/>
        </w:rPr>
        <w:t xml:space="preserve">   </w:t>
      </w:r>
      <w:r>
        <w:rPr>
          <w:color w:val="auto"/>
          <w:sz w:val="24"/>
          <w:highlight w:val="none"/>
        </w:rPr>
        <w:t>km，技术标准</w:t>
      </w:r>
      <w:r>
        <w:rPr>
          <w:rFonts w:hint="eastAsia"/>
          <w:color w:val="auto"/>
          <w:sz w:val="24"/>
          <w:highlight w:val="none"/>
          <w:u w:val="single"/>
        </w:rPr>
        <w:t xml:space="preserve">   </w:t>
      </w:r>
      <w:r>
        <w:rPr>
          <w:color w:val="auto"/>
          <w:sz w:val="24"/>
          <w:highlight w:val="none"/>
        </w:rPr>
        <w:t>级，</w:t>
      </w:r>
      <w:r>
        <w:rPr>
          <w:rFonts w:hint="eastAsia"/>
          <w:color w:val="auto"/>
          <w:sz w:val="24"/>
          <w:highlight w:val="none"/>
          <w:u w:val="single"/>
        </w:rPr>
        <w:t xml:space="preserve">   </w:t>
      </w:r>
      <w:r>
        <w:rPr>
          <w:color w:val="auto"/>
          <w:sz w:val="24"/>
          <w:highlight w:val="none"/>
        </w:rPr>
        <w:t>路面。有</w:t>
      </w:r>
      <w:r>
        <w:rPr>
          <w:rFonts w:hint="eastAsia"/>
          <w:color w:val="auto"/>
          <w:sz w:val="24"/>
          <w:highlight w:val="none"/>
          <w:u w:val="single"/>
        </w:rPr>
        <w:t xml:space="preserve">   </w:t>
      </w:r>
      <w:r>
        <w:rPr>
          <w:color w:val="auto"/>
          <w:sz w:val="24"/>
          <w:highlight w:val="none"/>
        </w:rPr>
        <w:t>立交</w:t>
      </w:r>
      <w:r>
        <w:rPr>
          <w:rFonts w:hint="eastAsia"/>
          <w:color w:val="auto"/>
          <w:sz w:val="24"/>
          <w:highlight w:val="none"/>
          <w:u w:val="single"/>
        </w:rPr>
        <w:t xml:space="preserve">   </w:t>
      </w:r>
      <w:r>
        <w:rPr>
          <w:color w:val="auto"/>
          <w:sz w:val="24"/>
          <w:highlight w:val="none"/>
        </w:rPr>
        <w:t>处；大中桥</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；隧道</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以及其他构造物工程等。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下列文件应视为构成合同文件的组成部分：</w:t>
      </w:r>
    </w:p>
    <w:p>
      <w:pPr>
        <w:adjustRightInd w:val="0"/>
        <w:snapToGrid w:val="0"/>
        <w:spacing w:line="360" w:lineRule="auto"/>
        <w:ind w:left="1079" w:leftChars="228" w:hanging="600" w:hangingChars="25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本协议书及各种合同附件（含评标期间和合同谈判过程中的澄清文件和补充资料）；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）施工组织设计安排；</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w:t>
      </w:r>
      <w:r>
        <w:rPr>
          <w:rFonts w:hint="eastAsia"/>
          <w:color w:val="auto"/>
          <w:sz w:val="24"/>
          <w:highlight w:val="none"/>
        </w:rPr>
        <w:t>农民工工资支付承诺书</w:t>
      </w:r>
      <w:r>
        <w:rPr>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（15）扬尘治理专项承诺书；</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6</w:t>
      </w:r>
      <w:r>
        <w:rPr>
          <w:color w:val="auto"/>
          <w:sz w:val="24"/>
          <w:highlight w:val="none"/>
        </w:rPr>
        <w:t>）其他合同文件。</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上述文件互相补充和解释，如有不明确或不一致之处，以合同约定次序在先者为准。</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根据工程量清单所列的预计数量和单价或总额价计算的签约合同价：人民币（大写）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承包人项目经理：</w:t>
      </w:r>
      <w:r>
        <w:rPr>
          <w:rFonts w:hint="eastAsia"/>
          <w:color w:val="auto"/>
          <w:sz w:val="24"/>
          <w:highlight w:val="none"/>
          <w:u w:val="single"/>
        </w:rPr>
        <w:t xml:space="preserve">               </w:t>
      </w:r>
      <w:r>
        <w:rPr>
          <w:color w:val="auto"/>
          <w:sz w:val="24"/>
          <w:highlight w:val="none"/>
        </w:rPr>
        <w:t>。技术负责人：</w:t>
      </w:r>
      <w:r>
        <w:rPr>
          <w:rFonts w:hint="eastAsia"/>
          <w:color w:val="auto"/>
          <w:sz w:val="24"/>
          <w:highlight w:val="none"/>
          <w:u w:val="single"/>
        </w:rPr>
        <w:t xml:space="preserve">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工程质量符合</w:t>
      </w:r>
      <w:r>
        <w:rPr>
          <w:rFonts w:hint="eastAsia"/>
          <w:color w:val="auto"/>
          <w:sz w:val="24"/>
          <w:highlight w:val="none"/>
          <w:u w:val="single"/>
        </w:rPr>
        <w:t xml:space="preserve">              </w:t>
      </w:r>
      <w:r>
        <w:rPr>
          <w:color w:val="auto"/>
          <w:sz w:val="24"/>
          <w:highlight w:val="none"/>
        </w:rPr>
        <w:t>标准。</w:t>
      </w:r>
    </w:p>
    <w:p>
      <w:pPr>
        <w:adjustRightInd w:val="0"/>
        <w:snapToGrid w:val="0"/>
        <w:spacing w:line="360" w:lineRule="auto"/>
        <w:ind w:firstLine="480" w:firstLineChars="200"/>
        <w:rPr>
          <w:color w:val="auto"/>
          <w:sz w:val="24"/>
          <w:highlight w:val="none"/>
        </w:rPr>
      </w:pPr>
      <w:r>
        <w:rPr>
          <w:color w:val="auto"/>
          <w:sz w:val="24"/>
          <w:highlight w:val="none"/>
        </w:rPr>
        <w:t>7．承包人承诺按合同约定承担工程的实施、完成及缺陷修复。</w:t>
      </w:r>
    </w:p>
    <w:p>
      <w:pPr>
        <w:adjustRightInd w:val="0"/>
        <w:snapToGrid w:val="0"/>
        <w:spacing w:line="360" w:lineRule="auto"/>
        <w:ind w:firstLine="480" w:firstLineChars="200"/>
        <w:rPr>
          <w:color w:val="auto"/>
          <w:sz w:val="24"/>
          <w:highlight w:val="none"/>
        </w:rPr>
      </w:pPr>
      <w:r>
        <w:rPr>
          <w:rFonts w:hint="eastAsia"/>
          <w:color w:val="auto"/>
          <w:sz w:val="24"/>
          <w:highlight w:val="none"/>
        </w:rPr>
        <w:t>8．</w:t>
      </w:r>
      <w:r>
        <w:rPr>
          <w:color w:val="auto"/>
          <w:sz w:val="24"/>
          <w:highlight w:val="none"/>
        </w:rPr>
        <w:t>发包人承诺按合同约定的条件、时间和方式向承包人支付合同价款。</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承包人应按照监理人指示开工，工期为</w:t>
      </w:r>
      <w:r>
        <w:rPr>
          <w:rFonts w:hint="eastAsia"/>
          <w:color w:val="auto"/>
          <w:sz w:val="24"/>
          <w:highlight w:val="none"/>
          <w:u w:val="single"/>
        </w:rPr>
        <w:t xml:space="preserve">     </w:t>
      </w:r>
      <w:r>
        <w:rPr>
          <w:color w:val="auto"/>
          <w:sz w:val="24"/>
          <w:highlight w:val="none"/>
        </w:rPr>
        <w:t>日历天。</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color w:val="auto"/>
          <w:sz w:val="24"/>
          <w:highlight w:val="none"/>
        </w:rPr>
      </w:pPr>
      <w:r>
        <w:rPr>
          <w:color w:val="auto"/>
          <w:sz w:val="24"/>
          <w:highlight w:val="none"/>
        </w:rPr>
        <w:t>11．本协议书正本二份、副本</w:t>
      </w:r>
      <w:r>
        <w:rPr>
          <w:rFonts w:hint="eastAsia"/>
          <w:color w:val="auto"/>
          <w:sz w:val="24"/>
          <w:highlight w:val="none"/>
          <w:u w:val="single"/>
        </w:rPr>
        <w:t xml:space="preserve">     </w:t>
      </w:r>
      <w:r>
        <w:rPr>
          <w:color w:val="auto"/>
          <w:sz w:val="24"/>
          <w:highlight w:val="none"/>
        </w:rPr>
        <w:t>份，合同双方各执正本一份，副本</w:t>
      </w:r>
      <w:r>
        <w:rPr>
          <w:rFonts w:hint="eastAsia"/>
          <w:color w:val="auto"/>
          <w:sz w:val="24"/>
          <w:highlight w:val="none"/>
          <w:u w:val="single"/>
        </w:rPr>
        <w:t xml:space="preserve">     </w:t>
      </w:r>
      <w:r>
        <w:rPr>
          <w:color w:val="auto"/>
          <w:sz w:val="24"/>
          <w:highlight w:val="none"/>
        </w:rPr>
        <w:t>份，当正本与副本的内容不一致时，以正本为准。</w:t>
      </w:r>
    </w:p>
    <w:p>
      <w:pPr>
        <w:adjustRightInd w:val="0"/>
        <w:snapToGrid w:val="0"/>
        <w:spacing w:line="360" w:lineRule="auto"/>
        <w:ind w:firstLine="480" w:firstLineChars="200"/>
        <w:rPr>
          <w:color w:val="auto"/>
          <w:sz w:val="24"/>
          <w:highlight w:val="none"/>
        </w:rPr>
      </w:pPr>
      <w:r>
        <w:rPr>
          <w:color w:val="auto"/>
          <w:sz w:val="24"/>
          <w:highlight w:val="none"/>
        </w:rPr>
        <w:t>12</w:t>
      </w:r>
      <w:r>
        <w:rPr>
          <w:rFonts w:hint="eastAsia"/>
          <w:color w:val="auto"/>
          <w:sz w:val="24"/>
          <w:highlight w:val="none"/>
        </w:rPr>
        <w:t>．</w:t>
      </w:r>
      <w:r>
        <w:rPr>
          <w:color w:val="auto"/>
          <w:sz w:val="24"/>
          <w:highlight w:val="none"/>
        </w:rPr>
        <w:t>合同未尽事宜，双方另行签订补充协议。补充协议是合同的组成部分。</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发包人：</w:t>
      </w:r>
      <w:r>
        <w:rPr>
          <w:rFonts w:hint="eastAsia"/>
          <w:color w:val="auto"/>
          <w:sz w:val="24"/>
          <w:highlight w:val="none"/>
          <w:u w:val="single"/>
        </w:rPr>
        <w:t xml:space="preserve">              </w:t>
      </w:r>
      <w:r>
        <w:rPr>
          <w:color w:val="auto"/>
          <w:sz w:val="24"/>
          <w:highlight w:val="none"/>
        </w:rPr>
        <w:t>（盖单位公章）</w:t>
      </w:r>
      <w:r>
        <w:rPr>
          <w:rFonts w:hint="eastAsia"/>
          <w:color w:val="auto"/>
          <w:sz w:val="24"/>
          <w:highlight w:val="none"/>
        </w:rPr>
        <w:t xml:space="preserve">    </w:t>
      </w:r>
      <w:r>
        <w:rPr>
          <w:color w:val="auto"/>
          <w:sz w:val="24"/>
          <w:highlight w:val="none"/>
        </w:rPr>
        <w:t>承包人：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r>
        <w:rPr>
          <w:rFonts w:hint="eastAsia"/>
          <w:color w:val="auto"/>
          <w:sz w:val="24"/>
          <w:highlight w:val="none"/>
        </w:rPr>
        <w:t xml:space="preserve">  </w:t>
      </w: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p>
    <w:p>
      <w:pPr>
        <w:pageBreakBefore/>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附件二：廉政合同</w:t>
      </w:r>
    </w:p>
    <w:p>
      <w:pPr>
        <w:adjustRightInd w:val="0"/>
        <w:snapToGrid w:val="0"/>
        <w:spacing w:afterLines="50" w:line="360" w:lineRule="auto"/>
        <w:jc w:val="center"/>
        <w:rPr>
          <w:rFonts w:ascii="黑体" w:eastAsia="黑体"/>
          <w:color w:val="auto"/>
          <w:sz w:val="28"/>
          <w:szCs w:val="28"/>
          <w:highlight w:val="none"/>
        </w:rPr>
      </w:pPr>
      <w:r>
        <w:rPr>
          <w:rFonts w:hint="eastAsia" w:ascii="黑体" w:eastAsia="黑体"/>
          <w:color w:val="auto"/>
          <w:sz w:val="28"/>
          <w:szCs w:val="28"/>
          <w:highlight w:val="none"/>
        </w:rPr>
        <w:t>廉 政 合 同</w:t>
      </w:r>
    </w:p>
    <w:p>
      <w:pPr>
        <w:adjustRightInd w:val="0"/>
        <w:snapToGrid w:val="0"/>
        <w:spacing w:line="360" w:lineRule="auto"/>
        <w:ind w:firstLine="480" w:firstLineChars="200"/>
        <w:rPr>
          <w:color w:val="auto"/>
          <w:sz w:val="24"/>
          <w:highlight w:val="none"/>
        </w:rPr>
      </w:pPr>
      <w:r>
        <w:rPr>
          <w:color w:val="auto"/>
          <w:sz w:val="24"/>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olor w:val="auto"/>
          <w:sz w:val="24"/>
          <w:highlight w:val="none"/>
          <w:u w:val="single"/>
        </w:rPr>
        <w:t xml:space="preserve">    （全称）   </w:t>
      </w:r>
      <w:r>
        <w:rPr>
          <w:color w:val="auto"/>
          <w:sz w:val="24"/>
          <w:highlight w:val="none"/>
        </w:rPr>
        <w:t>（以下简称“甲方”）与施工单位</w:t>
      </w:r>
      <w:r>
        <w:rPr>
          <w:rFonts w:hint="eastAsia"/>
          <w:color w:val="auto"/>
          <w:sz w:val="24"/>
          <w:highlight w:val="none"/>
          <w:u w:val="single"/>
        </w:rPr>
        <w:t xml:space="preserve">    （全称）   </w:t>
      </w:r>
      <w:r>
        <w:rPr>
          <w:color w:val="auto"/>
          <w:sz w:val="24"/>
          <w:highlight w:val="none"/>
        </w:rPr>
        <w:t>（以下简称“乙方”），特订立如下合同。</w:t>
      </w:r>
    </w:p>
    <w:p>
      <w:pPr>
        <w:adjustRightInd w:val="0"/>
        <w:snapToGrid w:val="0"/>
        <w:spacing w:line="360" w:lineRule="auto"/>
        <w:ind w:firstLine="480" w:firstLineChars="200"/>
        <w:rPr>
          <w:rFonts w:eastAsia="黑体"/>
          <w:color w:val="auto"/>
          <w:sz w:val="24"/>
          <w:highlight w:val="none"/>
        </w:rPr>
      </w:pPr>
      <w:r>
        <w:rPr>
          <w:rFonts w:hint="eastAsia" w:eastAsia="黑体"/>
          <w:color w:val="auto"/>
          <w:sz w:val="24"/>
          <w:highlight w:val="none"/>
        </w:rPr>
        <w:t>1．甲乙双方的权利和义务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严格遵守党的政策规定和国家有关法律法规及交通部的有关规定。</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严格执行．（项目名称）工程的合同文件，自觉按合同办事。</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color w:val="auto"/>
          <w:sz w:val="24"/>
          <w:highlight w:val="none"/>
        </w:rPr>
      </w:pPr>
      <w:r>
        <w:rPr>
          <w:rFonts w:hint="eastAsia"/>
          <w:color w:val="auto"/>
          <w:sz w:val="24"/>
          <w:highlight w:val="none"/>
        </w:rPr>
        <w:t xml:space="preserve">（4） </w:t>
      </w:r>
      <w:r>
        <w:rPr>
          <w:color w:val="auto"/>
          <w:sz w:val="24"/>
          <w:highlight w:val="none"/>
        </w:rPr>
        <w:t>建立健全廉政制度，开展廉政教育，设立廉政告示牌，公布举报电话，监督并认真查处违法违纪行为。</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发现对方在业务活动中有违反廉政规定的行为，有及时提醒对方纠正的权利和义务。</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2．甲方的义务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 xml:space="preserve"> </w:t>
      </w:r>
      <w:r>
        <w:rPr>
          <w:color w:val="auto"/>
          <w:sz w:val="24"/>
          <w:highlight w:val="none"/>
        </w:rPr>
        <w:t>甲方工作人员及其配偶、子女不得从事与甲方工程有关的材料设备供应、工程分包、劳务等经济活动等。</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甲方及其工作人员不得以任何理由向乙方推荐分包单位或推销材料，不得要求乙方购买合同规定外的材料和设备。</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3．乙方的义务</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乙方不得以任何理由向甲方及其工作人员行贿或馈赠礼金、有价证券、贵重礼品。</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2）乙方不得以任何名义为甲方及其工作人员报销应由甲方单位或个人支付的任何费用。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3）乙方不得以任何理由安排甲方工作人员参加超标准宴请及娱乐活动。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4）乙方不得为甲方单位和个人购置或提供通讯工具、交通工具和高档办公用品等。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4．违约责任</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本合同有效期为甲乙双方签署之日起至该工程项目国家验收后止。</w:t>
      </w:r>
    </w:p>
    <w:p>
      <w:pPr>
        <w:adjustRightInd w:val="0"/>
        <w:snapToGrid w:val="0"/>
        <w:spacing w:line="324"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本合同作为</w:t>
      </w:r>
      <w:r>
        <w:rPr>
          <w:rFonts w:hint="eastAsia"/>
          <w:color w:val="auto"/>
          <w:sz w:val="24"/>
          <w:highlight w:val="none"/>
          <w:u w:val="single"/>
        </w:rPr>
        <w:t xml:space="preserve">    （项目名称）    </w:t>
      </w:r>
      <w:r>
        <w:rPr>
          <w:color w:val="auto"/>
          <w:sz w:val="24"/>
          <w:highlight w:val="none"/>
        </w:rPr>
        <w:t>工程施工合同的附件，与工程施工合同具有同等的法律效力，经合同双方签署立即生效。</w:t>
      </w:r>
    </w:p>
    <w:p>
      <w:pPr>
        <w:adjustRightInd w:val="0"/>
        <w:snapToGrid w:val="0"/>
        <w:spacing w:line="324"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本合同一式四份，由甲乙双方各执一份，送交甲乙双方的监督单位各一份。</w:t>
      </w:r>
    </w:p>
    <w:p>
      <w:pPr>
        <w:adjustRightInd w:val="0"/>
        <w:snapToGrid w:val="0"/>
        <w:spacing w:beforeLines="100" w:line="324"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24"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24" w:lineRule="auto"/>
        <w:ind w:firstLine="960" w:firstLineChars="400"/>
        <w:rPr>
          <w:color w:val="auto"/>
          <w:sz w:val="24"/>
          <w:highlight w:val="none"/>
        </w:rPr>
      </w:pPr>
      <w:r>
        <w:rPr>
          <w:color w:val="auto"/>
          <w:sz w:val="24"/>
          <w:highlight w:val="none"/>
        </w:rPr>
        <w:t>或</w:t>
      </w:r>
      <w:r>
        <w:rPr>
          <w:rFonts w:hint="eastAsia"/>
          <w:color w:val="auto"/>
          <w:sz w:val="24"/>
          <w:highlight w:val="none"/>
        </w:rPr>
        <w:t xml:space="preserve">                                     </w:t>
      </w:r>
      <w:r>
        <w:rPr>
          <w:color w:val="auto"/>
          <w:sz w:val="24"/>
          <w:highlight w:val="none"/>
        </w:rPr>
        <w:t>或</w:t>
      </w:r>
    </w:p>
    <w:p>
      <w:pPr>
        <w:adjustRightInd w:val="0"/>
        <w:snapToGrid w:val="0"/>
        <w:spacing w:line="324" w:lineRule="auto"/>
        <w:rPr>
          <w:color w:val="auto"/>
          <w:sz w:val="24"/>
          <w:highlight w:val="none"/>
        </w:rPr>
      </w:pPr>
      <w:r>
        <w:rPr>
          <w:color w:val="auto"/>
          <w:sz w:val="24"/>
          <w:highlight w:val="none"/>
        </w:rPr>
        <w:t>其授权的代理人</w:t>
      </w:r>
      <w:r>
        <w:rPr>
          <w:rFonts w:hint="eastAsia"/>
          <w:color w:val="auto"/>
          <w:sz w:val="24"/>
          <w:highlight w:val="none"/>
          <w:u w:val="single"/>
        </w:rPr>
        <w:t xml:space="preserve">   （职务）   </w:t>
      </w:r>
      <w:r>
        <w:rPr>
          <w:rFonts w:hint="eastAsia"/>
          <w:color w:val="auto"/>
          <w:sz w:val="24"/>
          <w:highlight w:val="none"/>
        </w:rPr>
        <w:t xml:space="preserve">           </w:t>
      </w:r>
      <w:r>
        <w:rPr>
          <w:color w:val="auto"/>
          <w:sz w:val="24"/>
          <w:highlight w:val="none"/>
        </w:rPr>
        <w:t>其授权的代理人</w:t>
      </w:r>
      <w:r>
        <w:rPr>
          <w:rFonts w:hint="eastAsia"/>
          <w:color w:val="auto"/>
          <w:sz w:val="24"/>
          <w:highlight w:val="none"/>
          <w:u w:val="single"/>
        </w:rPr>
        <w:t xml:space="preserve">   （职务）   </w:t>
      </w:r>
    </w:p>
    <w:p>
      <w:pPr>
        <w:adjustRightInd w:val="0"/>
        <w:snapToGrid w:val="0"/>
        <w:spacing w:line="324" w:lineRule="auto"/>
        <w:ind w:firstLine="1680" w:firstLineChars="7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24" w:lineRule="auto"/>
        <w:ind w:firstLine="1680" w:firstLineChars="7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24"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24"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24"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24" w:lineRule="auto"/>
        <w:rPr>
          <w:color w:val="auto"/>
          <w:sz w:val="24"/>
          <w:highlight w:val="none"/>
          <w:u w:val="single"/>
        </w:rPr>
      </w:pPr>
      <w:r>
        <w:rPr>
          <w:color w:val="auto"/>
          <w:sz w:val="24"/>
          <w:highlight w:val="none"/>
        </w:rPr>
        <w:t>甲方监督单位：</w:t>
      </w:r>
      <w:r>
        <w:rPr>
          <w:rFonts w:hint="eastAsia"/>
          <w:color w:val="auto"/>
          <w:sz w:val="24"/>
          <w:highlight w:val="none"/>
          <w:u w:val="single"/>
        </w:rPr>
        <w:t xml:space="preserve"> （全称）  （盖章）</w:t>
      </w:r>
      <w:r>
        <w:rPr>
          <w:rFonts w:hint="eastAsia"/>
          <w:color w:val="auto"/>
          <w:sz w:val="24"/>
          <w:highlight w:val="none"/>
        </w:rPr>
        <w:t xml:space="preserve">      </w:t>
      </w:r>
      <w:r>
        <w:rPr>
          <w:color w:val="auto"/>
          <w:sz w:val="24"/>
          <w:highlight w:val="none"/>
        </w:rPr>
        <w:t>乙方监督单位</w:t>
      </w:r>
      <w:r>
        <w:rPr>
          <w:rFonts w:hint="eastAsia"/>
          <w:color w:val="auto"/>
          <w:sz w:val="24"/>
          <w:highlight w:val="none"/>
        </w:rPr>
        <w:t>：</w:t>
      </w:r>
      <w:r>
        <w:rPr>
          <w:rFonts w:hint="eastAsia"/>
          <w:color w:val="auto"/>
          <w:sz w:val="24"/>
          <w:highlight w:val="none"/>
          <w:u w:val="single"/>
        </w:rPr>
        <w:t>（全称）  （盖章）</w:t>
      </w:r>
    </w:p>
    <w:p>
      <w:pPr>
        <w:adjustRightInd w:val="0"/>
        <w:snapToGrid w:val="0"/>
        <w:spacing w:line="343" w:lineRule="auto"/>
        <w:rPr>
          <w:rFonts w:ascii="黑体" w:eastAsia="黑体"/>
          <w:color w:val="auto"/>
          <w:sz w:val="24"/>
          <w:highlight w:val="none"/>
        </w:rPr>
      </w:pPr>
      <w:r>
        <w:rPr>
          <w:rFonts w:hint="eastAsia" w:ascii="黑体" w:eastAsia="黑体"/>
          <w:color w:val="auto"/>
          <w:sz w:val="24"/>
          <w:highlight w:val="none"/>
        </w:rPr>
        <w:t>附件三：安全生产合同</w:t>
      </w:r>
    </w:p>
    <w:p>
      <w:pPr>
        <w:adjustRightInd w:val="0"/>
        <w:snapToGrid w:val="0"/>
        <w:spacing w:afterLines="50" w:line="343" w:lineRule="auto"/>
        <w:jc w:val="center"/>
        <w:rPr>
          <w:rFonts w:ascii="黑体" w:eastAsia="黑体"/>
          <w:color w:val="auto"/>
          <w:sz w:val="28"/>
          <w:szCs w:val="28"/>
          <w:highlight w:val="none"/>
        </w:rPr>
      </w:pPr>
      <w:r>
        <w:rPr>
          <w:rFonts w:hint="eastAsia" w:ascii="黑体" w:eastAsia="黑体"/>
          <w:color w:val="auto"/>
          <w:sz w:val="28"/>
          <w:szCs w:val="28"/>
          <w:highlight w:val="none"/>
        </w:rPr>
        <w:t>安全生产合同</w:t>
      </w:r>
    </w:p>
    <w:p>
      <w:pPr>
        <w:adjustRightInd w:val="0"/>
        <w:snapToGrid w:val="0"/>
        <w:spacing w:line="343" w:lineRule="auto"/>
        <w:ind w:firstLine="480" w:firstLineChars="200"/>
        <w:rPr>
          <w:color w:val="auto"/>
          <w:sz w:val="24"/>
          <w:highlight w:val="none"/>
        </w:rPr>
      </w:pPr>
      <w:r>
        <w:rPr>
          <w:color w:val="auto"/>
          <w:sz w:val="24"/>
          <w:highlight w:val="none"/>
        </w:rPr>
        <w:t>为在</w:t>
      </w:r>
      <w:r>
        <w:rPr>
          <w:rFonts w:hint="eastAsia"/>
          <w:color w:val="auto"/>
          <w:sz w:val="24"/>
          <w:highlight w:val="none"/>
          <w:u w:val="single"/>
        </w:rPr>
        <w:t xml:space="preserve">               </w:t>
      </w:r>
      <w:r>
        <w:rPr>
          <w:color w:val="auto"/>
          <w:sz w:val="24"/>
          <w:highlight w:val="none"/>
        </w:rPr>
        <w:t>施工合同的实施过程中创造安全、高效的施工环境，切实搞好本项目的安全管理工作，本项目发包人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（以下简称“甲方</w:t>
      </w:r>
      <w:r>
        <w:rPr>
          <w:rFonts w:hint="eastAsia"/>
          <w:color w:val="auto"/>
          <w:sz w:val="24"/>
          <w:highlight w:val="none"/>
        </w:rPr>
        <w:t xml:space="preserve">” </w:t>
      </w:r>
      <w:r>
        <w:rPr>
          <w:color w:val="auto"/>
          <w:sz w:val="24"/>
          <w:highlight w:val="none"/>
        </w:rPr>
        <w:t>）与承包人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（以下简称“乙方</w:t>
      </w:r>
      <w:r>
        <w:rPr>
          <w:rFonts w:hint="eastAsia"/>
          <w:color w:val="auto"/>
          <w:sz w:val="24"/>
          <w:highlight w:val="none"/>
        </w:rPr>
        <w:t xml:space="preserve">” </w:t>
      </w:r>
      <w:r>
        <w:rPr>
          <w:color w:val="auto"/>
          <w:sz w:val="24"/>
          <w:highlight w:val="none"/>
        </w:rPr>
        <w:t>）特此签订安全生产合同：</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一、甲方职责</w:t>
      </w:r>
    </w:p>
    <w:p>
      <w:pPr>
        <w:adjustRightInd w:val="0"/>
        <w:snapToGrid w:val="0"/>
        <w:spacing w:line="343" w:lineRule="auto"/>
        <w:ind w:firstLine="480" w:firstLineChars="200"/>
        <w:rPr>
          <w:color w:val="auto"/>
          <w:sz w:val="24"/>
          <w:highlight w:val="none"/>
        </w:rPr>
      </w:pPr>
      <w:r>
        <w:rPr>
          <w:color w:val="auto"/>
          <w:sz w:val="24"/>
          <w:highlight w:val="none"/>
        </w:rPr>
        <w:t>1、严格遵守国家有关安全生产的法律法规，认真执行工程承包合同中的有关安全要求。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2、按照“安全第一、预防为主”和坚持“管生产必须管安全”的原则进行安全生产管理，做到生产与安全工作同时计划、布置、检查、总结和评比。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3、重要的安全设施必须坚持与主体工程“三同时”的原则，即：同时设计、审批，同时施工，一同时验收，投入使用。</w:t>
      </w:r>
    </w:p>
    <w:p>
      <w:pPr>
        <w:adjustRightInd w:val="0"/>
        <w:snapToGrid w:val="0"/>
        <w:spacing w:line="343" w:lineRule="auto"/>
        <w:ind w:firstLine="480" w:firstLineChars="200"/>
        <w:rPr>
          <w:color w:val="auto"/>
          <w:sz w:val="24"/>
          <w:highlight w:val="none"/>
        </w:rPr>
      </w:pPr>
      <w:r>
        <w:rPr>
          <w:color w:val="auto"/>
          <w:sz w:val="24"/>
          <w:highlight w:val="none"/>
        </w:rPr>
        <w:t>4、定期召开安全生产调度会，及时传达中央及地方有关安全生产的精神。</w:t>
      </w:r>
    </w:p>
    <w:p>
      <w:pPr>
        <w:adjustRightInd w:val="0"/>
        <w:snapToGrid w:val="0"/>
        <w:spacing w:line="343" w:lineRule="auto"/>
        <w:ind w:firstLine="480" w:firstLineChars="200"/>
        <w:rPr>
          <w:color w:val="auto"/>
          <w:sz w:val="24"/>
          <w:highlight w:val="none"/>
        </w:rPr>
      </w:pPr>
      <w:r>
        <w:rPr>
          <w:color w:val="auto"/>
          <w:sz w:val="24"/>
          <w:highlight w:val="none"/>
        </w:rPr>
        <w:t>5、组织对乙方施工现场安全生产检查，监督乙方及时处理发现的各种安全隐患。</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二、乙方职责</w:t>
      </w:r>
    </w:p>
    <w:p>
      <w:pPr>
        <w:adjustRightInd w:val="0"/>
        <w:snapToGrid w:val="0"/>
        <w:spacing w:line="343" w:lineRule="auto"/>
        <w:ind w:firstLine="480" w:firstLineChars="200"/>
        <w:rPr>
          <w:color w:val="auto"/>
          <w:sz w:val="24"/>
          <w:highlight w:val="none"/>
        </w:rPr>
      </w:pPr>
      <w:r>
        <w:rPr>
          <w:color w:val="auto"/>
          <w:sz w:val="24"/>
          <w:highlight w:val="none"/>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2、坚持</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43" w:lineRule="auto"/>
        <w:ind w:firstLine="480" w:firstLineChars="200"/>
        <w:rPr>
          <w:color w:val="auto"/>
          <w:sz w:val="24"/>
          <w:highlight w:val="none"/>
        </w:rPr>
      </w:pPr>
      <w:r>
        <w:rPr>
          <w:color w:val="auto"/>
          <w:sz w:val="24"/>
          <w:highlight w:val="none"/>
        </w:rPr>
        <w:t>4、乙方在任何时候都应采取各种合理的预防措施，防止其员工发生任何违法、违禁、暴力或妨碍治安的行为。</w:t>
      </w:r>
    </w:p>
    <w:p>
      <w:pPr>
        <w:adjustRightInd w:val="0"/>
        <w:snapToGrid w:val="0"/>
        <w:spacing w:line="343" w:lineRule="auto"/>
        <w:ind w:firstLine="480" w:firstLineChars="200"/>
        <w:rPr>
          <w:color w:val="auto"/>
          <w:sz w:val="24"/>
          <w:highlight w:val="none"/>
        </w:rPr>
      </w:pPr>
      <w:r>
        <w:rPr>
          <w:color w:val="auto"/>
          <w:sz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43" w:lineRule="auto"/>
        <w:ind w:firstLine="480" w:firstLineChars="200"/>
        <w:rPr>
          <w:color w:val="auto"/>
          <w:sz w:val="24"/>
          <w:highlight w:val="none"/>
        </w:rPr>
      </w:pPr>
      <w:r>
        <w:rPr>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43" w:lineRule="auto"/>
        <w:ind w:firstLine="480" w:firstLineChars="200"/>
        <w:rPr>
          <w:color w:val="auto"/>
          <w:sz w:val="24"/>
          <w:highlight w:val="none"/>
        </w:rPr>
      </w:pPr>
      <w:r>
        <w:rPr>
          <w:color w:val="auto"/>
          <w:sz w:val="24"/>
          <w:highlight w:val="none"/>
        </w:rPr>
        <w:t>7、操作人员上岗，必须按规定穿戴防护用品。施工负责人和安全检查员应随时检查劳动防护用品的穿戴情况，不按规定穿戴防护用品的人员不得上岗。</w:t>
      </w:r>
    </w:p>
    <w:p>
      <w:pPr>
        <w:adjustRightInd w:val="0"/>
        <w:snapToGrid w:val="0"/>
        <w:spacing w:line="343" w:lineRule="auto"/>
        <w:ind w:firstLine="480" w:firstLineChars="200"/>
        <w:rPr>
          <w:color w:val="auto"/>
          <w:sz w:val="24"/>
          <w:highlight w:val="none"/>
        </w:rPr>
      </w:pPr>
      <w:r>
        <w:rPr>
          <w:color w:val="auto"/>
          <w:sz w:val="24"/>
          <w:highlight w:val="none"/>
        </w:rPr>
        <w:t>8、所有施工机具设备和高空作业的设备均应定期检查，并有安全员的签字记录，保证其经常处于完好状态；不合格的机具、设备和劳动保护用品严禁使用。</w:t>
      </w:r>
    </w:p>
    <w:p>
      <w:pPr>
        <w:adjustRightInd w:val="0"/>
        <w:snapToGrid w:val="0"/>
        <w:spacing w:line="343" w:lineRule="auto"/>
        <w:ind w:firstLine="480" w:firstLineChars="200"/>
        <w:rPr>
          <w:color w:val="auto"/>
          <w:sz w:val="24"/>
          <w:highlight w:val="none"/>
        </w:rPr>
      </w:pPr>
      <w:r>
        <w:rPr>
          <w:color w:val="auto"/>
          <w:sz w:val="24"/>
          <w:highlight w:val="none"/>
        </w:rPr>
        <w:t>9、施工中采用新技术、新工艺、新设备、新材料时，必须制定相应的安全技术措施，施工现场必须具有相关的安全标志牌。</w:t>
      </w:r>
    </w:p>
    <w:p>
      <w:pPr>
        <w:adjustRightInd w:val="0"/>
        <w:snapToGrid w:val="0"/>
        <w:spacing w:line="343" w:lineRule="auto"/>
        <w:ind w:firstLine="480" w:firstLineChars="200"/>
        <w:rPr>
          <w:color w:val="auto"/>
          <w:sz w:val="24"/>
          <w:highlight w:val="none"/>
        </w:rPr>
      </w:pPr>
      <w:r>
        <w:rPr>
          <w:color w:val="auto"/>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43" w:lineRule="auto"/>
        <w:ind w:firstLine="480" w:firstLineChars="200"/>
        <w:rPr>
          <w:color w:val="auto"/>
          <w:sz w:val="24"/>
          <w:highlight w:val="none"/>
        </w:rPr>
      </w:pPr>
      <w:r>
        <w:rPr>
          <w:color w:val="auto"/>
          <w:sz w:val="24"/>
          <w:highlight w:val="none"/>
        </w:rPr>
        <w:t>11、安全生产费用按照交通部有关规定使用和管理。</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三、违约责任</w:t>
      </w:r>
    </w:p>
    <w:p>
      <w:pPr>
        <w:adjustRightInd w:val="0"/>
        <w:snapToGrid w:val="0"/>
        <w:spacing w:line="343" w:lineRule="auto"/>
        <w:ind w:firstLine="480" w:firstLineChars="200"/>
        <w:rPr>
          <w:color w:val="auto"/>
          <w:sz w:val="24"/>
          <w:highlight w:val="none"/>
        </w:rPr>
      </w:pPr>
      <w:r>
        <w:rPr>
          <w:color w:val="auto"/>
          <w:sz w:val="24"/>
          <w:highlight w:val="none"/>
        </w:rPr>
        <w:t>如因甲方或乙方违约造成安全事故，将依法追究责任。</w:t>
      </w:r>
    </w:p>
    <w:p>
      <w:pPr>
        <w:adjustRightInd w:val="0"/>
        <w:snapToGrid w:val="0"/>
        <w:spacing w:line="343" w:lineRule="auto"/>
        <w:ind w:firstLine="480" w:firstLineChars="200"/>
        <w:rPr>
          <w:color w:val="auto"/>
          <w:sz w:val="24"/>
          <w:highlight w:val="none"/>
        </w:rPr>
      </w:pPr>
      <w:r>
        <w:rPr>
          <w:color w:val="auto"/>
          <w:sz w:val="24"/>
          <w:highlight w:val="none"/>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43"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43" w:lineRule="auto"/>
        <w:ind w:firstLine="960" w:firstLineChars="400"/>
        <w:rPr>
          <w:color w:val="auto"/>
          <w:sz w:val="24"/>
          <w:highlight w:val="none"/>
        </w:rPr>
      </w:pPr>
      <w:r>
        <w:rPr>
          <w:color w:val="auto"/>
          <w:sz w:val="24"/>
          <w:highlight w:val="none"/>
        </w:rPr>
        <w:t>或</w:t>
      </w:r>
      <w:r>
        <w:rPr>
          <w:rFonts w:hint="eastAsia"/>
          <w:color w:val="auto"/>
          <w:sz w:val="24"/>
          <w:highlight w:val="none"/>
        </w:rPr>
        <w:t xml:space="preserve">                                     </w:t>
      </w:r>
      <w:r>
        <w:rPr>
          <w:color w:val="auto"/>
          <w:sz w:val="24"/>
          <w:highlight w:val="none"/>
        </w:rPr>
        <w:t>或</w:t>
      </w:r>
    </w:p>
    <w:p>
      <w:pPr>
        <w:adjustRightInd w:val="0"/>
        <w:snapToGrid w:val="0"/>
        <w:spacing w:line="343" w:lineRule="auto"/>
        <w:rPr>
          <w:color w:val="auto"/>
          <w:sz w:val="24"/>
          <w:highlight w:val="none"/>
        </w:rPr>
      </w:pPr>
      <w:r>
        <w:rPr>
          <w:color w:val="auto"/>
          <w:sz w:val="24"/>
          <w:highlight w:val="none"/>
        </w:rPr>
        <w:t>其授权的代理人</w:t>
      </w:r>
      <w:r>
        <w:rPr>
          <w:rFonts w:hint="eastAsia"/>
          <w:color w:val="auto"/>
          <w:sz w:val="24"/>
          <w:highlight w:val="none"/>
          <w:u w:val="single"/>
        </w:rPr>
        <w:t xml:space="preserve">   （职务）   </w:t>
      </w:r>
      <w:r>
        <w:rPr>
          <w:rFonts w:hint="eastAsia"/>
          <w:color w:val="auto"/>
          <w:sz w:val="24"/>
          <w:highlight w:val="none"/>
        </w:rPr>
        <w:t xml:space="preserve">           </w:t>
      </w:r>
      <w:r>
        <w:rPr>
          <w:color w:val="auto"/>
          <w:sz w:val="24"/>
          <w:highlight w:val="none"/>
        </w:rPr>
        <w:t>其授权的代理人</w:t>
      </w:r>
      <w:r>
        <w:rPr>
          <w:rFonts w:hint="eastAsia"/>
          <w:color w:val="auto"/>
          <w:sz w:val="24"/>
          <w:highlight w:val="none"/>
          <w:u w:val="single"/>
        </w:rPr>
        <w:t xml:space="preserve">   （职务）   </w:t>
      </w:r>
    </w:p>
    <w:p>
      <w:pPr>
        <w:adjustRightInd w:val="0"/>
        <w:snapToGrid w:val="0"/>
        <w:spacing w:line="343" w:lineRule="auto"/>
        <w:ind w:firstLine="1680" w:firstLineChars="7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43" w:lineRule="auto"/>
        <w:ind w:firstLine="1680" w:firstLineChars="7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43"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43"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43"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附件四：农民工工资支付承诺书</w:t>
      </w:r>
    </w:p>
    <w:p>
      <w:pPr>
        <w:adjustRightInd w:val="0"/>
        <w:snapToGrid w:val="0"/>
        <w:spacing w:afterLines="50" w:line="343" w:lineRule="auto"/>
        <w:rPr>
          <w:rFonts w:ascii="黑体" w:eastAsia="黑体"/>
          <w:color w:val="auto"/>
          <w:sz w:val="18"/>
          <w:szCs w:val="18"/>
          <w:highlight w:val="none"/>
        </w:rPr>
      </w:pP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u w:val="single"/>
        </w:rPr>
        <w:t>（合同工程名称）</w:t>
      </w:r>
      <w:r>
        <w:rPr>
          <w:rFonts w:ascii="黑体" w:eastAsia="黑体"/>
          <w:color w:val="auto"/>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adjustRightInd w:val="0"/>
        <w:snapToGrid w:val="0"/>
        <w:spacing w:afterLines="50" w:line="343" w:lineRule="auto"/>
        <w:ind w:firstLine="360" w:firstLineChars="150"/>
        <w:rPr>
          <w:color w:val="auto"/>
          <w:sz w:val="24"/>
          <w:highlight w:val="none"/>
        </w:rPr>
      </w:pPr>
      <w:r>
        <w:rPr>
          <w:color w:val="auto"/>
          <w:sz w:val="24"/>
          <w:highlight w:val="none"/>
        </w:rPr>
        <w:t>一、开工前与农民工签定劳动合同</w:t>
      </w:r>
      <w:r>
        <w:rPr>
          <w:color w:val="auto"/>
          <w:sz w:val="24"/>
          <w:highlight w:val="none"/>
        </w:rPr>
        <w:br w:type="textWrapping"/>
      </w:r>
      <w:r>
        <w:rPr>
          <w:color w:val="auto"/>
          <w:sz w:val="24"/>
          <w:highlight w:val="none"/>
        </w:rPr>
        <w:t>     二、按时支付农民工工资、加班加点工资。</w:t>
      </w:r>
      <w:r>
        <w:rPr>
          <w:color w:val="auto"/>
          <w:sz w:val="24"/>
          <w:highlight w:val="none"/>
        </w:rPr>
        <w:br w:type="textWrapping"/>
      </w:r>
      <w:r>
        <w:rPr>
          <w:color w:val="auto"/>
          <w:sz w:val="24"/>
          <w:highlight w:val="none"/>
        </w:rPr>
        <w:t>     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     四、不无故拖欠、克扣农民工工资。</w:t>
      </w:r>
      <w:r>
        <w:rPr>
          <w:color w:val="auto"/>
          <w:sz w:val="24"/>
          <w:highlight w:val="none"/>
        </w:rPr>
        <w:br w:type="textWrapping"/>
      </w:r>
      <w:r>
        <w:rPr>
          <w:color w:val="auto"/>
          <w:sz w:val="24"/>
          <w:highlight w:val="none"/>
        </w:rPr>
        <w:t>     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      六、若有拖欠、克扣农民工工资、加班加点工资及侵害农民工劳动报酬权益的行为，</w:t>
      </w: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right"/>
        <w:rPr>
          <w:color w:val="auto"/>
          <w:sz w:val="24"/>
          <w:highlight w:val="none"/>
          <w:u w:val="single"/>
        </w:rPr>
      </w:pPr>
      <w:r>
        <w:rPr>
          <w:rFonts w:hint="eastAsia"/>
          <w:color w:val="auto"/>
          <w:sz w:val="24"/>
          <w:highlight w:val="none"/>
        </w:rPr>
        <w:t>承诺人：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adjustRightInd w:val="0"/>
        <w:snapToGrid w:val="0"/>
        <w:spacing w:line="360" w:lineRule="auto"/>
        <w:rPr>
          <w:rFonts w:ascii="黑体" w:eastAsia="黑体"/>
          <w:color w:val="auto"/>
          <w:sz w:val="24"/>
          <w:highlight w:val="none"/>
        </w:rPr>
      </w:pPr>
      <w:r>
        <w:rPr>
          <w:rFonts w:ascii="黑体" w:eastAsia="黑体"/>
          <w:color w:val="auto"/>
          <w:sz w:val="24"/>
          <w:highlight w:val="none"/>
        </w:rPr>
        <w:br w:type="page"/>
      </w:r>
      <w:r>
        <w:rPr>
          <w:rFonts w:hint="eastAsia" w:ascii="黑体" w:eastAsia="黑体"/>
          <w:color w:val="auto"/>
          <w:sz w:val="24"/>
          <w:highlight w:val="none"/>
        </w:rPr>
        <w:t>附件五：项目经理委任书</w:t>
      </w: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color w:val="auto"/>
          <w:sz w:val="24"/>
          <w:highlight w:val="none"/>
        </w:rPr>
      </w:pPr>
      <w:r>
        <w:rPr>
          <w:rFonts w:hint="eastAsia" w:ascii="黑体" w:eastAsia="黑体"/>
          <w:color w:val="auto"/>
          <w:sz w:val="30"/>
          <w:szCs w:val="30"/>
          <w:highlight w:val="none"/>
          <w:u w:val="single"/>
        </w:rPr>
        <w:t>（合同工程名称）</w:t>
      </w:r>
      <w:r>
        <w:rPr>
          <w:rFonts w:hint="eastAsia" w:ascii="黑体" w:eastAsia="黑体"/>
          <w:color w:val="auto"/>
          <w:sz w:val="30"/>
          <w:szCs w:val="30"/>
          <w:highlight w:val="none"/>
        </w:rPr>
        <w:t>项目经理委</w:t>
      </w:r>
      <w:r>
        <w:rPr>
          <w:rFonts w:ascii="黑体" w:eastAsia="黑体"/>
          <w:color w:val="auto"/>
          <w:sz w:val="30"/>
          <w:szCs w:val="30"/>
          <w:highlight w:val="none"/>
        </w:rPr>
        <w:t>任书</w:t>
      </w:r>
    </w:p>
    <w:p>
      <w:pPr>
        <w:adjustRightInd w:val="0"/>
        <w:snapToGrid w:val="0"/>
        <w:spacing w:line="360" w:lineRule="auto"/>
        <w:jc w:val="center"/>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致：</w:t>
      </w:r>
      <w:r>
        <w:rPr>
          <w:color w:val="auto"/>
          <w:sz w:val="24"/>
          <w:highlight w:val="none"/>
          <w:u w:val="single"/>
        </w:rPr>
        <w:t>（发包人全称）</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u w:val="single"/>
        </w:rPr>
        <w:t>（承包人全称）</w:t>
      </w:r>
      <w:r>
        <w:rPr>
          <w:rFonts w:hint="eastAsia"/>
          <w:color w:val="auto"/>
          <w:sz w:val="24"/>
          <w:highlight w:val="none"/>
          <w:u w:val="single"/>
        </w:rPr>
        <w:t xml:space="preserve">  </w:t>
      </w:r>
      <w:r>
        <w:rPr>
          <w:color w:val="auto"/>
          <w:sz w:val="24"/>
          <w:highlight w:val="none"/>
        </w:rPr>
        <w:t>法定代表人</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代表本单位委任</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为</w:t>
      </w:r>
      <w:r>
        <w:rPr>
          <w:rFonts w:hint="eastAsia"/>
          <w:color w:val="auto"/>
          <w:sz w:val="24"/>
          <w:highlight w:val="none"/>
          <w:u w:val="single"/>
        </w:rPr>
        <w:t xml:space="preserve">  </w:t>
      </w:r>
      <w:r>
        <w:rPr>
          <w:color w:val="auto"/>
          <w:sz w:val="24"/>
          <w:highlight w:val="none"/>
          <w:u w:val="single"/>
        </w:rPr>
        <w:t>（合同工程名称）</w:t>
      </w:r>
      <w:r>
        <w:rPr>
          <w:rFonts w:hint="eastAsia"/>
          <w:color w:val="auto"/>
          <w:sz w:val="24"/>
          <w:highlight w:val="none"/>
          <w:u w:val="single"/>
        </w:rPr>
        <w:t xml:space="preserve">  </w:t>
      </w:r>
      <w:r>
        <w:rPr>
          <w:color w:val="auto"/>
          <w:sz w:val="24"/>
          <w:highlight w:val="none"/>
        </w:rPr>
        <w:t>的项目经理。凡本合同执行中的有关技术、工程进度、现场管理、质量检验、结算与支付等方面工作，由</w:t>
      </w:r>
      <w:r>
        <w:rPr>
          <w:rFonts w:hint="eastAsia"/>
          <w:color w:val="auto"/>
          <w:sz w:val="24"/>
          <w:highlight w:val="none"/>
          <w:u w:val="single"/>
        </w:rPr>
        <w:t xml:space="preserve">   （姓名）  </w:t>
      </w:r>
      <w:r>
        <w:rPr>
          <w:color w:val="auto"/>
          <w:sz w:val="24"/>
          <w:highlight w:val="none"/>
        </w:rPr>
        <w:t>代表本单位全面负</w:t>
      </w:r>
      <w:r>
        <w:rPr>
          <w:rFonts w:hint="eastAsia"/>
          <w:color w:val="auto"/>
          <w:sz w:val="24"/>
          <w:highlight w:val="none"/>
        </w:rPr>
        <w:t>责。</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080" w:firstLineChars="1700"/>
        <w:rPr>
          <w:color w:val="auto"/>
          <w:sz w:val="24"/>
          <w:highlight w:val="none"/>
        </w:rPr>
      </w:pPr>
      <w:r>
        <w:rPr>
          <w:color w:val="auto"/>
          <w:sz w:val="24"/>
          <w:highlight w:val="none"/>
        </w:rPr>
        <w:t>承</w:t>
      </w:r>
      <w:r>
        <w:rPr>
          <w:rFonts w:hint="eastAsia"/>
          <w:color w:val="auto"/>
          <w:sz w:val="24"/>
          <w:highlight w:val="none"/>
        </w:rPr>
        <w:t xml:space="preserve"> </w:t>
      </w:r>
      <w:r>
        <w:rPr>
          <w:color w:val="auto"/>
          <w:sz w:val="24"/>
          <w:highlight w:val="none"/>
        </w:rPr>
        <w:t>包</w:t>
      </w:r>
      <w:r>
        <w:rPr>
          <w:rFonts w:hint="eastAsia"/>
          <w:color w:val="auto"/>
          <w:sz w:val="24"/>
          <w:highlight w:val="none"/>
        </w:rPr>
        <w:t xml:space="preserve"> </w:t>
      </w:r>
      <w:r>
        <w:rPr>
          <w:color w:val="auto"/>
          <w:sz w:val="24"/>
          <w:highlight w:val="none"/>
        </w:rPr>
        <w:t>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u w:val="single"/>
        </w:rPr>
        <w:t>（盖章）</w:t>
      </w:r>
      <w:r>
        <w:rPr>
          <w:rFonts w:hint="eastAsia"/>
          <w:color w:val="auto"/>
          <w:sz w:val="24"/>
          <w:highlight w:val="none"/>
          <w:u w:val="single"/>
        </w:rPr>
        <w:t xml:space="preserve"> </w:t>
      </w:r>
    </w:p>
    <w:p>
      <w:pPr>
        <w:adjustRightInd w:val="0"/>
        <w:snapToGrid w:val="0"/>
        <w:spacing w:line="360" w:lineRule="auto"/>
        <w:ind w:firstLine="4800" w:firstLineChars="2000"/>
        <w:rPr>
          <w:color w:val="auto"/>
          <w:sz w:val="24"/>
          <w:highlight w:val="none"/>
        </w:rPr>
      </w:pPr>
      <w:r>
        <w:rPr>
          <w:color w:val="auto"/>
          <w:sz w:val="24"/>
          <w:highlight w:val="none"/>
        </w:rPr>
        <w:t>法定代表人：</w:t>
      </w:r>
      <w:r>
        <w:rPr>
          <w:rFonts w:hint="eastAsia"/>
          <w:color w:val="auto"/>
          <w:sz w:val="24"/>
          <w:highlight w:val="none"/>
          <w:u w:val="single"/>
        </w:rPr>
        <w:t xml:space="preserve">     （职务）     </w:t>
      </w:r>
    </w:p>
    <w:p>
      <w:pPr>
        <w:adjustRightInd w:val="0"/>
        <w:snapToGrid w:val="0"/>
        <w:spacing w:line="360" w:lineRule="auto"/>
        <w:ind w:firstLine="6240" w:firstLineChars="26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60" w:lineRule="auto"/>
        <w:ind w:firstLine="6240" w:firstLineChars="26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60" w:lineRule="auto"/>
        <w:ind w:firstLine="5760" w:firstLineChars="24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抄送：</w:t>
      </w:r>
      <w:r>
        <w:rPr>
          <w:rFonts w:hint="eastAsia"/>
          <w:color w:val="auto"/>
          <w:sz w:val="24"/>
          <w:highlight w:val="none"/>
          <w:u w:val="single"/>
        </w:rPr>
        <w:t xml:space="preserve">   </w:t>
      </w:r>
      <w:r>
        <w:rPr>
          <w:color w:val="auto"/>
          <w:sz w:val="24"/>
          <w:highlight w:val="none"/>
          <w:u w:val="single"/>
        </w:rPr>
        <w:t>（监理人）</w:t>
      </w:r>
      <w:r>
        <w:rPr>
          <w:rFonts w:hint="eastAsia"/>
          <w:color w:val="auto"/>
          <w:sz w:val="24"/>
          <w:highlight w:val="none"/>
          <w:u w:val="single"/>
        </w:rPr>
        <w:t xml:space="preserve">   </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附件六：履约担保格式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履 约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鉴于</w:t>
      </w:r>
      <w:r>
        <w:rPr>
          <w:rFonts w:hint="eastAsia"/>
          <w:color w:val="auto"/>
          <w:sz w:val="24"/>
          <w:highlight w:val="none"/>
          <w:u w:val="single"/>
        </w:rPr>
        <w:t xml:space="preserve">                    </w:t>
      </w:r>
      <w:r>
        <w:rPr>
          <w:color w:val="auto"/>
          <w:sz w:val="24"/>
          <w:highlight w:val="none"/>
        </w:rPr>
        <w:t>（发包人名称，以下简称“发包人”）接受</w:t>
      </w:r>
      <w:r>
        <w:rPr>
          <w:rFonts w:hint="eastAsia"/>
          <w:color w:val="auto"/>
          <w:sz w:val="24"/>
          <w:highlight w:val="none"/>
          <w:u w:val="single"/>
        </w:rPr>
        <w:t xml:space="preserve">          </w:t>
      </w:r>
      <w:r>
        <w:rPr>
          <w:color w:val="auto"/>
          <w:sz w:val="24"/>
          <w:highlight w:val="none"/>
        </w:rPr>
        <w:t>（承包人名称）（以下称“承包人”）于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日参加</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标段施工的投标。我方愿意无条件地、不可撤销地就承包人履行与你方订立的合同，向你方提供担保。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担保有效期自发包人与承包人签订的合同生效之日起至发包人签发工程接收证书之日止。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发包人和承包人按合同条款第15条变更合同时，我方承担本担保规定的义务不变。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附件七：预付款担保格式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预 付 款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根据</w:t>
      </w:r>
      <w:r>
        <w:rPr>
          <w:rFonts w:hint="eastAsia"/>
          <w:color w:val="auto"/>
          <w:sz w:val="24"/>
          <w:highlight w:val="none"/>
          <w:u w:val="single"/>
        </w:rPr>
        <w:t xml:space="preserve">          </w:t>
      </w:r>
      <w:r>
        <w:rPr>
          <w:color w:val="auto"/>
          <w:sz w:val="24"/>
          <w:highlight w:val="none"/>
        </w:rPr>
        <w:t>（承包人名称）（以下称“承包人”）与</w:t>
      </w:r>
      <w:r>
        <w:rPr>
          <w:rFonts w:hint="eastAsia"/>
          <w:color w:val="auto"/>
          <w:sz w:val="24"/>
          <w:highlight w:val="none"/>
          <w:u w:val="single"/>
        </w:rPr>
        <w:t xml:space="preserve">                 </w:t>
      </w:r>
      <w:r>
        <w:rPr>
          <w:color w:val="auto"/>
          <w:sz w:val="24"/>
          <w:highlight w:val="none"/>
        </w:rPr>
        <w:t>（发包人名称）（以下简称“发包人”）于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日签订的</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担保有效期自预付款支付给承包人起生效，至发包人签发的进度付款证书说明</w:t>
      </w:r>
      <w:r>
        <w:rPr>
          <w:rFonts w:hint="eastAsia"/>
          <w:color w:val="auto"/>
          <w:sz w:val="24"/>
          <w:highlight w:val="none"/>
        </w:rPr>
        <w:t>已</w:t>
      </w:r>
      <w:r>
        <w:rPr>
          <w:color w:val="auto"/>
          <w:sz w:val="24"/>
          <w:highlight w:val="none"/>
        </w:rPr>
        <w:t>完全扣清止。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发包人和承包人按《通用合同条款》第15条变更合同时，我方承担本保函规定的义务不变。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spacing w:line="400" w:lineRule="exact"/>
        <w:ind w:firstLine="480" w:firstLineChars="200"/>
        <w:rPr>
          <w:rFonts w:ascii="宋体" w:hAnsi="宋体"/>
          <w:color w:val="auto"/>
          <w:sz w:val="24"/>
          <w:highlight w:val="none"/>
        </w:rPr>
      </w:pPr>
    </w:p>
    <w:p>
      <w:pPr>
        <w:rPr>
          <w:rFonts w:ascii="宋体" w:hAnsi="宋体"/>
          <w:color w:val="auto"/>
          <w:sz w:val="24"/>
          <w:highlight w:val="none"/>
        </w:rPr>
      </w:pPr>
    </w:p>
    <w:p>
      <w:pPr>
        <w:spacing w:line="400" w:lineRule="exact"/>
        <w:rPr>
          <w:rFonts w:ascii="隶书" w:hAnsi="宋体" w:eastAsia="隶书"/>
          <w:color w:val="auto"/>
          <w:sz w:val="24"/>
          <w:highlight w:val="none"/>
        </w:rPr>
      </w:pPr>
    </w:p>
    <w:p>
      <w:pPr>
        <w:rPr>
          <w:rFonts w:ascii="宋体" w:hAnsi="宋体"/>
          <w:color w:val="auto"/>
          <w:sz w:val="44"/>
          <w:szCs w:val="44"/>
          <w:highlight w:val="none"/>
        </w:rPr>
      </w:pPr>
    </w:p>
    <w:p>
      <w:pPr>
        <w:pStyle w:val="4"/>
        <w:spacing w:after="600" w:line="240" w:lineRule="auto"/>
        <w:jc w:val="center"/>
        <w:rPr>
          <w:b w:val="0"/>
          <w:sz w:val="28"/>
          <w:szCs w:val="28"/>
        </w:rPr>
      </w:pPr>
      <w:bookmarkStart w:id="225" w:name="_Toc483496978"/>
      <w:bookmarkStart w:id="226" w:name="_Toc237866020"/>
      <w:r>
        <w:rPr>
          <w:rFonts w:hint="eastAsia" w:ascii="黑体" w:eastAsia="黑体"/>
          <w:sz w:val="28"/>
          <w:szCs w:val="28"/>
          <w:lang w:eastAsia="zh-CN"/>
        </w:rPr>
        <w:t>第五章、</w:t>
      </w:r>
      <w:r>
        <w:rPr>
          <w:rFonts w:ascii="黑体" w:eastAsia="黑体"/>
          <w:sz w:val="28"/>
          <w:szCs w:val="28"/>
        </w:rPr>
        <w:t>工程量清单说明</w:t>
      </w:r>
      <w:bookmarkEnd w:id="225"/>
      <w:bookmarkEnd w:id="226"/>
    </w:p>
    <w:p>
      <w:pPr>
        <w:spacing w:line="400" w:lineRule="exact"/>
        <w:ind w:firstLine="480" w:firstLineChars="200"/>
        <w:rPr>
          <w:sz w:val="24"/>
        </w:rPr>
      </w:pPr>
      <w:bookmarkStart w:id="227" w:name="_Hlt236721459"/>
      <w:bookmarkEnd w:id="227"/>
      <w:r>
        <w:rPr>
          <w:rFonts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sz w:val="24"/>
        </w:rPr>
      </w:pPr>
      <w:r>
        <w:rPr>
          <w:rFonts w:hint="eastAsia"/>
          <w:sz w:val="24"/>
        </w:rPr>
        <w:t>1.2 本工程量清单应与招标文件中的投标人须知、通用合同条款、专用合同条款、技术规范及图纸等一起阅读和理解。</w:t>
      </w:r>
    </w:p>
    <w:p>
      <w:pPr>
        <w:spacing w:line="400" w:lineRule="exact"/>
        <w:ind w:firstLine="480" w:firstLineChars="200"/>
        <w:rPr>
          <w:sz w:val="24"/>
        </w:rPr>
      </w:pPr>
      <w:r>
        <w:rPr>
          <w:rFonts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sz w:val="24"/>
        </w:rPr>
      </w:pPr>
      <w:r>
        <w:rPr>
          <w:rFonts w:hint="eastAsia"/>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sz w:val="24"/>
        </w:rPr>
      </w:pPr>
      <w:r>
        <w:rPr>
          <w:rFonts w:hint="eastAsia"/>
          <w:sz w:val="24"/>
        </w:rPr>
        <w:t>1.5 对作业和材料的—般说明或规定，未重复写入工程量清单内，在给工程量清单各子目标价前，应参阅第七章“技术规范”的有关内容。</w:t>
      </w:r>
    </w:p>
    <w:p>
      <w:pPr>
        <w:spacing w:line="400" w:lineRule="exact"/>
        <w:ind w:firstLine="480" w:firstLineChars="200"/>
        <w:rPr>
          <w:sz w:val="24"/>
        </w:rPr>
      </w:pPr>
      <w:r>
        <w:rPr>
          <w:rFonts w:hint="eastAsia"/>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sz w:val="24"/>
        </w:rPr>
      </w:pPr>
      <w:r>
        <w:rPr>
          <w:rFonts w:hint="eastAsia"/>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sz w:val="24"/>
        </w:rPr>
      </w:pPr>
      <w:r>
        <w:rPr>
          <w:rFonts w:hint="eastAsia"/>
          <w:sz w:val="24"/>
        </w:rPr>
        <w:t>2.1 工程量清单中的每一子目须填入单价或价格，且只允许有一个报价。</w:t>
      </w:r>
    </w:p>
    <w:p>
      <w:pPr>
        <w:spacing w:line="400" w:lineRule="exact"/>
        <w:ind w:firstLine="480" w:firstLineChars="200"/>
        <w:rPr>
          <w:sz w:val="24"/>
        </w:rPr>
      </w:pPr>
      <w:r>
        <w:rPr>
          <w:rFonts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sz w:val="24"/>
        </w:rPr>
      </w:pPr>
      <w:r>
        <w:rPr>
          <w:rFonts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sz w:val="24"/>
        </w:rPr>
      </w:pPr>
      <w:r>
        <w:rPr>
          <w:rFonts w:hint="eastAsia"/>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sz w:val="24"/>
        </w:rPr>
      </w:pPr>
      <w:r>
        <w:rPr>
          <w:rFonts w:hint="eastAsia"/>
          <w:sz w:val="24"/>
        </w:rPr>
        <w:t>2.5承包人用于本合同工程的各类装备的提供、运输、维护、拆卸、拼装等支付的费用，已包括在工程量清单的单价与总额价之中。</w:t>
      </w:r>
    </w:p>
    <w:p>
      <w:pPr>
        <w:spacing w:line="400" w:lineRule="exact"/>
        <w:ind w:firstLine="480" w:firstLineChars="200"/>
        <w:rPr>
          <w:sz w:val="24"/>
        </w:rPr>
      </w:pPr>
      <w:r>
        <w:rPr>
          <w:rFonts w:hint="eastAsia"/>
          <w:sz w:val="24"/>
        </w:rPr>
        <w:t>2.6 工程量清单中各项金额均以人民币（元）结算。</w:t>
      </w:r>
    </w:p>
    <w:p>
      <w:pPr>
        <w:spacing w:line="400" w:lineRule="exact"/>
        <w:ind w:firstLine="480" w:firstLineChars="200"/>
        <w:rPr>
          <w:sz w:val="24"/>
        </w:rPr>
      </w:pPr>
      <w:r>
        <w:rPr>
          <w:rFonts w:hint="eastAsia"/>
          <w:sz w:val="24"/>
        </w:rPr>
        <w:t>2.8 暂列金额（不含计日工总额）的数量及拟用子目的说明：。</w:t>
      </w:r>
    </w:p>
    <w:p>
      <w:pPr>
        <w:spacing w:line="400" w:lineRule="exact"/>
        <w:ind w:firstLine="480" w:firstLineChars="200"/>
        <w:rPr>
          <w:sz w:val="24"/>
        </w:rPr>
      </w:pPr>
      <w:r>
        <w:rPr>
          <w:rFonts w:hint="eastAsia"/>
          <w:sz w:val="24"/>
        </w:rPr>
        <w:t>2.9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sz w:val="24"/>
        </w:rPr>
      </w:pPr>
      <w:r>
        <w:rPr>
          <w:rFonts w:hint="eastAsia"/>
          <w:sz w:val="24"/>
        </w:rPr>
        <w:t xml:space="preserve">    3.1 总则</w:t>
      </w:r>
    </w:p>
    <w:p>
      <w:pPr>
        <w:spacing w:line="400" w:lineRule="exact"/>
        <w:ind w:firstLine="360" w:firstLineChars="150"/>
        <w:rPr>
          <w:sz w:val="24"/>
        </w:rPr>
      </w:pPr>
      <w:r>
        <w:rPr>
          <w:rFonts w:hint="eastAsia"/>
          <w:sz w:val="24"/>
        </w:rPr>
        <w:t>（l）本说明应参照通用合同条款第15.7款一并理解。</w:t>
      </w:r>
    </w:p>
    <w:p>
      <w:pPr>
        <w:spacing w:line="400" w:lineRule="exact"/>
        <w:ind w:firstLine="360" w:firstLineChars="150"/>
        <w:rPr>
          <w:sz w:val="24"/>
        </w:rPr>
      </w:pPr>
      <w:r>
        <w:rPr>
          <w:rFonts w:hint="eastAsia"/>
          <w:sz w:val="24"/>
        </w:rPr>
        <w:t>（2）未经监理人书面指令，任何工程不得按计日工施工；接到监理人按计日工施工的书面指令，承包人也不得拒绝。</w:t>
      </w:r>
    </w:p>
    <w:p>
      <w:pPr>
        <w:spacing w:line="400" w:lineRule="exact"/>
        <w:ind w:firstLine="360" w:firstLineChars="150"/>
        <w:rPr>
          <w:sz w:val="24"/>
        </w:rPr>
      </w:pPr>
      <w:r>
        <w:rPr>
          <w:rFonts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sz w:val="24"/>
        </w:rPr>
      </w:pPr>
      <w:r>
        <w:rPr>
          <w:rFonts w:hint="eastAsia"/>
          <w:sz w:val="24"/>
        </w:rPr>
        <w:t>（4）计日工不调价。</w:t>
      </w:r>
    </w:p>
    <w:p>
      <w:pPr>
        <w:spacing w:line="400" w:lineRule="exact"/>
        <w:ind w:firstLine="480" w:firstLineChars="200"/>
        <w:rPr>
          <w:sz w:val="24"/>
        </w:rPr>
      </w:pPr>
      <w:r>
        <w:rPr>
          <w:rFonts w:hint="eastAsia"/>
          <w:sz w:val="24"/>
        </w:rPr>
        <w:t>3.2 计日工劳务</w:t>
      </w:r>
    </w:p>
    <w:p>
      <w:pPr>
        <w:spacing w:line="400" w:lineRule="exact"/>
        <w:ind w:firstLine="360" w:firstLineChars="150"/>
        <w:rPr>
          <w:sz w:val="24"/>
        </w:rPr>
      </w:pPr>
      <w:r>
        <w:rPr>
          <w:rFonts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sz w:val="24"/>
        </w:rPr>
      </w:pPr>
      <w:r>
        <w:rPr>
          <w:rFonts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sz w:val="24"/>
        </w:rPr>
      </w:pPr>
      <w:r>
        <w:rPr>
          <w:rFonts w:hint="eastAsia"/>
          <w:sz w:val="24"/>
        </w:rPr>
        <w:t>a.劳务基本单价包括：承包人劳务的全部直接费用，如：工资、加班费、津贴、福利费及劳动保护费等。</w:t>
      </w:r>
    </w:p>
    <w:p>
      <w:pPr>
        <w:spacing w:line="400" w:lineRule="exact"/>
        <w:ind w:firstLine="480" w:firstLineChars="200"/>
        <w:rPr>
          <w:sz w:val="24"/>
        </w:rPr>
      </w:pPr>
      <w:r>
        <w:rPr>
          <w:rFonts w:hint="eastAsia"/>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sz w:val="24"/>
        </w:rPr>
      </w:pPr>
      <w:r>
        <w:rPr>
          <w:rFonts w:hint="eastAsia"/>
          <w:sz w:val="24"/>
        </w:rPr>
        <w:t>3.3 计日工材料</w:t>
      </w:r>
    </w:p>
    <w:p>
      <w:pPr>
        <w:spacing w:line="400" w:lineRule="exact"/>
        <w:ind w:firstLine="360" w:firstLineChars="150"/>
        <w:rPr>
          <w:sz w:val="24"/>
        </w:rPr>
      </w:pPr>
      <w:r>
        <w:rPr>
          <w:rFonts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sz w:val="24"/>
        </w:rPr>
      </w:pPr>
      <w:r>
        <w:rPr>
          <w:rFonts w:hint="eastAsia"/>
          <w:sz w:val="24"/>
        </w:rPr>
        <w:t>a．材料基本单价按供货价加运杂费（到达承包人现场仓库）、保险费、仓库管理费以及运输损耗等计算。</w:t>
      </w:r>
    </w:p>
    <w:p>
      <w:pPr>
        <w:spacing w:line="400" w:lineRule="exact"/>
        <w:ind w:firstLine="480" w:firstLineChars="200"/>
        <w:rPr>
          <w:sz w:val="24"/>
        </w:rPr>
      </w:pPr>
      <w:r>
        <w:rPr>
          <w:rFonts w:hint="eastAsia"/>
          <w:sz w:val="24"/>
        </w:rPr>
        <w:t>b. 承包人的利润、管理、质检、保险、税费及其他附加费：</w:t>
      </w:r>
    </w:p>
    <w:p>
      <w:pPr>
        <w:spacing w:line="400" w:lineRule="exact"/>
        <w:ind w:firstLine="480" w:firstLineChars="200"/>
        <w:rPr>
          <w:sz w:val="24"/>
        </w:rPr>
      </w:pPr>
      <w:r>
        <w:rPr>
          <w:rFonts w:hint="eastAsia"/>
          <w:sz w:val="24"/>
        </w:rPr>
        <w:t>c．从现场运至使用地点的人工费和施工机械使用费不包括在上述基本单价内。</w:t>
      </w:r>
    </w:p>
    <w:p>
      <w:pPr>
        <w:spacing w:line="400" w:lineRule="exact"/>
        <w:ind w:firstLine="480" w:firstLineChars="200"/>
        <w:rPr>
          <w:sz w:val="24"/>
        </w:rPr>
      </w:pPr>
      <w:r>
        <w:rPr>
          <w:rFonts w:hint="eastAsia"/>
          <w:sz w:val="24"/>
        </w:rPr>
        <w:t>3.4 计日工施工机械</w:t>
      </w:r>
    </w:p>
    <w:p>
      <w:pPr>
        <w:spacing w:line="400" w:lineRule="exact"/>
        <w:ind w:firstLine="480" w:firstLineChars="200"/>
        <w:rPr>
          <w:sz w:val="24"/>
        </w:rPr>
      </w:pPr>
      <w:r>
        <w:rPr>
          <w:rFonts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sz w:val="24"/>
        </w:rPr>
      </w:pPr>
      <w:r>
        <w:rPr>
          <w:rFonts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编制说明：</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w:t>
      </w:r>
      <w:r>
        <w:rPr>
          <w:rFonts w:hint="eastAsia" w:ascii="Times New Roman" w:hAnsi="Times New Roman" w:eastAsia="宋体" w:cs="Times New Roman"/>
          <w:sz w:val="24"/>
          <w:lang w:val="en-US" w:eastAsia="zh-CN"/>
        </w:rPr>
        <w:t>施工图设计</w:t>
      </w:r>
      <w:r>
        <w:rPr>
          <w:rFonts w:hint="eastAsia" w:ascii="Times New Roman" w:hAnsi="Times New Roman" w:eastAsia="宋体" w:cs="Times New Roman"/>
          <w:sz w:val="24"/>
        </w:rPr>
        <w:t>；</w:t>
      </w:r>
    </w:p>
    <w:p>
      <w:pPr>
        <w:spacing w:line="40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交通部颁发的《公路工程预算定额》</w:t>
      </w:r>
      <w:r>
        <w:rPr>
          <w:rFonts w:hint="eastAsia" w:ascii="Times New Roman" w:hAnsi="Times New Roman" w:eastAsia="宋体" w:cs="Times New Roman"/>
          <w:sz w:val="24"/>
          <w:lang w:val="en-US" w:eastAsia="zh-CN"/>
        </w:rPr>
        <w:t>(JTC/TB06-02-2007)及《公路工程机械台班费用定额》(JTC/TB06-02-2007)</w:t>
      </w:r>
      <w:r>
        <w:rPr>
          <w:rFonts w:hint="eastAsia" w:cs="Times New Roman"/>
          <w:sz w:val="24"/>
          <w:lang w:val="en-US" w:eastAsia="zh-CN"/>
        </w:rPr>
        <w:t>、豫交文{2017}140号（增值税）及省市相关配套文件；</w:t>
      </w:r>
    </w:p>
    <w:p>
      <w:pPr>
        <w:spacing w:line="40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3.</w:t>
      </w:r>
      <w:r>
        <w:rPr>
          <w:rFonts w:hint="eastAsia" w:ascii="Times New Roman" w:hAnsi="Times New Roman" w:eastAsia="宋体" w:cs="Times New Roman"/>
          <w:sz w:val="24"/>
          <w:lang w:val="en-US" w:eastAsia="zh-CN"/>
        </w:rPr>
        <w:t>税金按豫建设标【2018】22号《河南省住房和城乡建设厅关于调整建设工程计价依据增值税税率的通知》计入</w:t>
      </w:r>
      <w:r>
        <w:rPr>
          <w:rFonts w:hint="eastAsia" w:ascii="Times New Roman" w:hAnsi="Times New Roman" w:eastAsia="宋体" w:cs="Times New Roman"/>
          <w:sz w:val="24"/>
          <w:lang w:val="en-US"/>
        </w:rPr>
        <w:t>；</w:t>
      </w:r>
    </w:p>
    <w:p>
      <w:pPr>
        <w:spacing w:line="40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4.主要材料价格参考《许昌</w:t>
      </w:r>
      <w:r>
        <w:rPr>
          <w:rFonts w:hint="eastAsia" w:cs="Times New Roman"/>
          <w:sz w:val="24"/>
          <w:lang w:val="en-US" w:eastAsia="zh-CN"/>
        </w:rPr>
        <w:t>工程造价</w:t>
      </w:r>
      <w:r>
        <w:rPr>
          <w:rFonts w:hint="eastAsia" w:ascii="Times New Roman" w:hAnsi="Times New Roman" w:eastAsia="宋体" w:cs="Times New Roman"/>
          <w:sz w:val="24"/>
          <w:lang w:val="en-US"/>
        </w:rPr>
        <w:t>信息》2018年</w:t>
      </w:r>
      <w:r>
        <w:rPr>
          <w:rFonts w:hint="eastAsia" w:cs="Times New Roman"/>
          <w:sz w:val="24"/>
          <w:lang w:val="en-US" w:eastAsia="zh-CN"/>
        </w:rPr>
        <w:t>第六期12月份</w:t>
      </w:r>
      <w:r>
        <w:rPr>
          <w:rFonts w:hint="eastAsia" w:ascii="Times New Roman" w:hAnsi="Times New Roman" w:eastAsia="宋体" w:cs="Times New Roman"/>
          <w:sz w:val="24"/>
          <w:lang w:val="en-US"/>
        </w:rPr>
        <w:t>，及结合市场询价；</w:t>
      </w:r>
    </w:p>
    <w:p>
      <w:pPr>
        <w:spacing w:before="240" w:after="120"/>
        <w:rPr>
          <w:rFonts w:ascii="黑体" w:eastAsia="黑体"/>
          <w:sz w:val="28"/>
          <w:szCs w:val="28"/>
          <w:lang w:val="en-US"/>
        </w:rPr>
      </w:pPr>
      <w:r>
        <w:rPr>
          <w:rFonts w:hint="eastAsia" w:ascii="黑体" w:eastAsia="黑体"/>
          <w:sz w:val="28"/>
          <w:szCs w:val="28"/>
          <w:lang w:val="en-US"/>
        </w:rPr>
        <w:t>5.工程量清单（另附）。</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jc w:val="center"/>
        <w:rPr>
          <w:rFonts w:ascii="黑体" w:eastAsia="黑体"/>
          <w:color w:val="auto"/>
          <w:sz w:val="52"/>
          <w:szCs w:val="52"/>
          <w:highlight w:val="none"/>
        </w:rPr>
      </w:pPr>
    </w:p>
    <w:p>
      <w:pPr>
        <w:jc w:val="center"/>
        <w:rPr>
          <w:rFonts w:ascii="黑体" w:eastAsia="黑体"/>
          <w:color w:val="auto"/>
          <w:sz w:val="52"/>
          <w:szCs w:val="52"/>
          <w:highlight w:val="none"/>
        </w:rPr>
      </w:pPr>
    </w:p>
    <w:p>
      <w:pPr>
        <w:jc w:val="center"/>
        <w:rPr>
          <w:rFonts w:ascii="黑体" w:eastAsia="黑体"/>
          <w:color w:val="auto"/>
          <w:sz w:val="52"/>
          <w:szCs w:val="52"/>
          <w:highlight w:val="none"/>
        </w:rPr>
      </w:pPr>
    </w:p>
    <w:p>
      <w:pPr>
        <w:jc w:val="both"/>
        <w:rPr>
          <w:rFonts w:ascii="黑体" w:eastAsia="黑体"/>
          <w:color w:val="auto"/>
          <w:sz w:val="52"/>
          <w:szCs w:val="52"/>
          <w:highlight w:val="none"/>
        </w:rPr>
      </w:pPr>
    </w:p>
    <w:p>
      <w:pPr>
        <w:rPr>
          <w:rFonts w:ascii="黑体" w:eastAsia="黑体"/>
          <w:color w:val="auto"/>
          <w:sz w:val="52"/>
          <w:szCs w:val="52"/>
          <w:highlight w:val="none"/>
        </w:rPr>
      </w:pPr>
    </w:p>
    <w:p>
      <w:pPr>
        <w:jc w:val="center"/>
        <w:outlineLvl w:val="0"/>
        <w:rPr>
          <w:rFonts w:ascii="黑体" w:eastAsia="黑体"/>
          <w:bCs/>
          <w:color w:val="auto"/>
          <w:sz w:val="44"/>
          <w:szCs w:val="44"/>
          <w:highlight w:val="none"/>
        </w:rPr>
      </w:pPr>
      <w:bookmarkStart w:id="228" w:name="_Toc20155"/>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both"/>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宋体" w:hAnsi="宋体"/>
          <w:bCs/>
          <w:color w:val="auto"/>
          <w:sz w:val="44"/>
          <w:szCs w:val="44"/>
          <w:highlight w:val="none"/>
        </w:rPr>
      </w:pPr>
      <w:r>
        <w:rPr>
          <w:rFonts w:ascii="黑体" w:eastAsia="黑体"/>
          <w:bCs/>
          <w:color w:val="auto"/>
          <w:sz w:val="44"/>
          <w:szCs w:val="44"/>
          <w:highlight w:val="none"/>
        </w:rPr>
        <w:t>第六章</w:t>
      </w:r>
      <w:r>
        <w:rPr>
          <w:rFonts w:ascii="黑体" w:eastAsia="黑体"/>
          <w:bCs/>
          <w:color w:val="auto"/>
          <w:sz w:val="44"/>
          <w:szCs w:val="44"/>
          <w:highlight w:val="none"/>
        </w:rPr>
        <w:tab/>
      </w:r>
      <w:r>
        <w:rPr>
          <w:rFonts w:ascii="黑体" w:eastAsia="黑体"/>
          <w:bCs/>
          <w:color w:val="auto"/>
          <w:sz w:val="44"/>
          <w:szCs w:val="44"/>
          <w:highlight w:val="none"/>
        </w:rPr>
        <w:t>图纸</w:t>
      </w:r>
      <w:r>
        <w:rPr>
          <w:rFonts w:hint="eastAsia" w:ascii="黑体" w:eastAsia="黑体"/>
          <w:bCs/>
          <w:color w:val="auto"/>
          <w:sz w:val="44"/>
          <w:szCs w:val="44"/>
          <w:highlight w:val="none"/>
        </w:rPr>
        <w:t>（</w:t>
      </w:r>
      <w:r>
        <w:rPr>
          <w:rFonts w:hint="eastAsia" w:ascii="黑体" w:eastAsia="黑体"/>
          <w:bCs/>
          <w:color w:val="auto"/>
          <w:sz w:val="44"/>
          <w:szCs w:val="44"/>
          <w:highlight w:val="none"/>
          <w:lang w:eastAsia="zh-CN"/>
        </w:rPr>
        <w:t>无</w:t>
      </w:r>
      <w:r>
        <w:rPr>
          <w:rFonts w:hint="eastAsia" w:ascii="黑体" w:eastAsia="黑体"/>
          <w:bCs/>
          <w:color w:val="auto"/>
          <w:sz w:val="44"/>
          <w:szCs w:val="44"/>
          <w:highlight w:val="none"/>
        </w:rPr>
        <w:t>）</w:t>
      </w:r>
      <w:bookmarkEnd w:id="228"/>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jc w:val="center"/>
        <w:outlineLvl w:val="0"/>
        <w:rPr>
          <w:rFonts w:ascii="黑体" w:eastAsia="黑体"/>
          <w:bCs/>
          <w:color w:val="auto"/>
          <w:sz w:val="44"/>
          <w:szCs w:val="44"/>
          <w:highlight w:val="none"/>
        </w:rPr>
      </w:pPr>
      <w:bookmarkStart w:id="229" w:name="_Toc18036"/>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第七章</w:t>
      </w:r>
      <w:r>
        <w:rPr>
          <w:rFonts w:ascii="黑体" w:eastAsia="黑体"/>
          <w:bCs/>
          <w:color w:val="auto"/>
          <w:sz w:val="44"/>
          <w:szCs w:val="44"/>
          <w:highlight w:val="none"/>
        </w:rPr>
        <w:tab/>
      </w:r>
      <w:r>
        <w:rPr>
          <w:rFonts w:ascii="黑体" w:eastAsia="黑体"/>
          <w:bCs/>
          <w:color w:val="auto"/>
          <w:sz w:val="44"/>
          <w:szCs w:val="44"/>
          <w:highlight w:val="none"/>
        </w:rPr>
        <w:t>技术</w:t>
      </w:r>
      <w:r>
        <w:rPr>
          <w:rFonts w:hint="eastAsia" w:ascii="黑体" w:eastAsia="黑体"/>
          <w:bCs/>
          <w:color w:val="auto"/>
          <w:sz w:val="44"/>
          <w:szCs w:val="44"/>
          <w:highlight w:val="none"/>
        </w:rPr>
        <w:t>规范（另册出版）</w:t>
      </w:r>
      <w:bookmarkEnd w:id="229"/>
    </w:p>
    <w:p>
      <w:pPr>
        <w:rPr>
          <w:rFonts w:ascii="宋体" w:hAnsi="宋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bookmarkStart w:id="230" w:name="_Toc27978"/>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第八章</w:t>
      </w:r>
      <w:r>
        <w:rPr>
          <w:rFonts w:ascii="黑体" w:eastAsia="黑体"/>
          <w:bCs/>
          <w:color w:val="auto"/>
          <w:sz w:val="44"/>
          <w:szCs w:val="44"/>
          <w:highlight w:val="none"/>
        </w:rPr>
        <w:tab/>
      </w:r>
      <w:r>
        <w:rPr>
          <w:rFonts w:ascii="黑体" w:eastAsia="黑体"/>
          <w:bCs/>
          <w:color w:val="auto"/>
          <w:sz w:val="44"/>
          <w:szCs w:val="44"/>
          <w:highlight w:val="none"/>
        </w:rPr>
        <w:t>投标文件格式</w:t>
      </w:r>
      <w:bookmarkEnd w:id="230"/>
    </w:p>
    <w:p>
      <w:pPr>
        <w:jc w:val="center"/>
        <w:outlineLvl w:val="0"/>
        <w:rPr>
          <w:rFonts w:ascii="黑体" w:eastAsia="黑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jc w:val="right"/>
        <w:rPr>
          <w:rFonts w:hint="eastAsia" w:ascii="宋体" w:hAnsi="宋体"/>
          <w:color w:val="auto"/>
          <w:sz w:val="24"/>
          <w:highlight w:val="none"/>
          <w:lang w:val="en-US" w:eastAsia="zh-CN"/>
        </w:rPr>
      </w:pPr>
      <w:r>
        <w:rPr>
          <w:rFonts w:ascii="宋体" w:hAnsi="宋体"/>
          <w:color w:val="auto"/>
          <w:sz w:val="24"/>
          <w:highlight w:val="none"/>
        </w:rPr>
        <w:br w:type="page"/>
      </w:r>
      <w:r>
        <w:rPr>
          <w:rFonts w:hint="eastAsia" w:ascii="黑体" w:hAnsi="宋体" w:eastAsia="黑体"/>
          <w:b w:val="0"/>
          <w:bCs/>
          <w:color w:val="auto"/>
          <w:sz w:val="36"/>
          <w:szCs w:val="36"/>
          <w:highlight w:val="none"/>
          <w:lang w:val="en-US" w:eastAsia="zh-CN"/>
        </w:rPr>
        <w:t>正（副）本</w:t>
      </w:r>
    </w:p>
    <w:p>
      <w:pPr>
        <w:jc w:val="center"/>
        <w:rPr>
          <w:rFonts w:ascii="黑体" w:hAnsi="华文中宋" w:eastAsia="黑体"/>
          <w:b w:val="0"/>
          <w:bCs/>
          <w:color w:val="auto"/>
          <w:sz w:val="36"/>
          <w:szCs w:val="36"/>
          <w:highlight w:val="none"/>
        </w:rPr>
      </w:pPr>
      <w:r>
        <w:rPr>
          <w:rFonts w:hint="eastAsia" w:ascii="黑体" w:hAnsi="宋体" w:eastAsia="黑体"/>
          <w:bCs/>
          <w:color w:val="auto"/>
          <w:sz w:val="52"/>
          <w:szCs w:val="52"/>
          <w:highlight w:val="none"/>
          <w:u w:val="single"/>
          <w:lang w:val="en-US" w:eastAsia="zh-CN"/>
        </w:rPr>
        <w:t xml:space="preserve">                     </w:t>
      </w:r>
      <w:r>
        <w:rPr>
          <w:rFonts w:hint="eastAsia" w:ascii="黑体" w:hAnsi="宋体" w:eastAsia="黑体"/>
          <w:bCs/>
          <w:color w:val="auto"/>
          <w:sz w:val="52"/>
          <w:szCs w:val="52"/>
          <w:highlight w:val="none"/>
          <w:lang w:eastAsia="zh-CN"/>
        </w:rPr>
        <w:t>项目</w:t>
      </w:r>
      <w:r>
        <w:rPr>
          <w:rFonts w:hint="eastAsia" w:ascii="黑体" w:hAnsi="宋体" w:eastAsia="黑体"/>
          <w:bCs/>
          <w:color w:val="auto"/>
          <w:sz w:val="52"/>
          <w:szCs w:val="52"/>
          <w:highlight w:val="none"/>
          <w:u w:val="single"/>
          <w:lang w:val="en-US" w:eastAsia="zh-CN"/>
        </w:rPr>
        <w:t xml:space="preserve">   </w:t>
      </w:r>
      <w:r>
        <w:rPr>
          <w:rFonts w:hint="eastAsia" w:ascii="黑体" w:hAnsi="宋体" w:eastAsia="黑体"/>
          <w:bCs/>
          <w:color w:val="auto"/>
          <w:sz w:val="52"/>
          <w:szCs w:val="52"/>
          <w:highlight w:val="none"/>
          <w:lang w:val="en-US" w:eastAsia="zh-CN"/>
        </w:rPr>
        <w:t xml:space="preserve">标段 </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w:t>
      </w:r>
      <w:r>
        <w:rPr>
          <w:rFonts w:hint="eastAsia" w:ascii="黑体" w:hAnsi="华文中宋" w:eastAsia="黑体"/>
          <w:color w:val="auto"/>
          <w:sz w:val="36"/>
          <w:szCs w:val="36"/>
          <w:highlight w:val="none"/>
          <w:lang w:val="en-US" w:eastAsia="zh-CN"/>
        </w:rPr>
        <w:t>9</w:t>
      </w:r>
      <w:r>
        <w:rPr>
          <w:rFonts w:hint="eastAsia" w:ascii="黑体" w:hAnsi="华文中宋" w:eastAsia="黑体"/>
          <w:color w:val="auto"/>
          <w:sz w:val="36"/>
          <w:szCs w:val="36"/>
          <w:highlight w:val="none"/>
          <w:lang w:eastAsia="zh-CN"/>
        </w:rPr>
        <w:t>〕</w:t>
      </w:r>
      <w:r>
        <w:rPr>
          <w:rFonts w:hint="eastAsia" w:ascii="黑体" w:hAnsi="华文中宋" w:eastAsia="黑体"/>
          <w:color w:val="auto"/>
          <w:sz w:val="36"/>
          <w:szCs w:val="36"/>
          <w:highlight w:val="none"/>
          <w:lang w:val="en-US" w:eastAsia="zh-CN"/>
        </w:rPr>
        <w:t xml:space="preserve">   </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（商务及技术文件）</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jc w:val="center"/>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jc w:val="center"/>
        <w:rPr>
          <w:rFonts w:ascii="黑体" w:hAnsi="宋体" w:eastAsia="黑体"/>
          <w:b/>
          <w:color w:val="auto"/>
          <w:sz w:val="36"/>
          <w:szCs w:val="36"/>
          <w:highlight w:val="none"/>
        </w:rPr>
      </w:pPr>
    </w:p>
    <w:p>
      <w:pPr>
        <w:rPr>
          <w:rFonts w:ascii="黑体" w:hAnsi="宋体" w:eastAsia="黑体"/>
          <w:b/>
          <w:color w:val="auto"/>
          <w:sz w:val="36"/>
          <w:szCs w:val="36"/>
          <w:highlight w:val="none"/>
        </w:rPr>
      </w:pPr>
    </w:p>
    <w:p>
      <w:pPr>
        <w:pageBreakBefore/>
        <w:jc w:val="center"/>
        <w:rPr>
          <w:rFonts w:ascii="黑体" w:hAnsi="宋体" w:eastAsia="黑体"/>
          <w:b/>
          <w:color w:val="auto"/>
          <w:sz w:val="36"/>
          <w:szCs w:val="36"/>
          <w:highlight w:val="none"/>
        </w:rPr>
      </w:pPr>
      <w:r>
        <w:rPr>
          <w:rFonts w:hint="eastAsia" w:ascii="黑体" w:hAnsi="宋体" w:eastAsia="黑体"/>
          <w:b/>
          <w:color w:val="auto"/>
          <w:sz w:val="36"/>
          <w:szCs w:val="36"/>
          <w:highlight w:val="none"/>
        </w:rPr>
        <w:t>目</w:t>
      </w:r>
      <w:r>
        <w:rPr>
          <w:rFonts w:hint="eastAsia" w:ascii="黑体" w:hAnsi="宋体" w:eastAsia="黑体"/>
          <w:b/>
          <w:color w:val="auto"/>
          <w:sz w:val="36"/>
          <w:szCs w:val="36"/>
          <w:highlight w:val="none"/>
        </w:rPr>
        <w:tab/>
      </w:r>
      <w:r>
        <w:rPr>
          <w:rFonts w:hint="eastAsia" w:ascii="黑体" w:hAnsi="宋体" w:eastAsia="黑体"/>
          <w:b/>
          <w:color w:val="auto"/>
          <w:sz w:val="36"/>
          <w:szCs w:val="36"/>
          <w:highlight w:val="none"/>
        </w:rPr>
        <w:t>录</w:t>
      </w: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投标函及投标函附录；</w:t>
      </w:r>
    </w:p>
    <w:p>
      <w:pPr>
        <w:spacing w:line="440" w:lineRule="exact"/>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40" w:lineRule="exact"/>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投标保证金；</w:t>
      </w:r>
    </w:p>
    <w:p>
      <w:pPr>
        <w:spacing w:line="440" w:lineRule="exact"/>
        <w:rPr>
          <w:rFonts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施工组织设计；</w:t>
      </w:r>
    </w:p>
    <w:p>
      <w:pPr>
        <w:spacing w:line="440" w:lineRule="exact"/>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项目管理机构；</w:t>
      </w:r>
    </w:p>
    <w:p>
      <w:pPr>
        <w:spacing w:line="440" w:lineRule="exact"/>
        <w:rPr>
          <w:rFonts w:ascii="宋体" w:hAnsi="宋体"/>
          <w:color w:val="auto"/>
          <w:sz w:val="24"/>
          <w:highlight w:val="none"/>
        </w:rPr>
      </w:pPr>
      <w:r>
        <w:rPr>
          <w:rFonts w:hint="eastAsia" w:ascii="宋体" w:hAnsi="宋体"/>
          <w:color w:val="auto"/>
          <w:sz w:val="24"/>
          <w:highlight w:val="none"/>
        </w:rPr>
        <w:t>六、</w:t>
      </w:r>
      <w:r>
        <w:rPr>
          <w:rFonts w:ascii="宋体" w:hAnsi="宋体"/>
          <w:color w:val="auto"/>
          <w:sz w:val="24"/>
          <w:highlight w:val="none"/>
        </w:rPr>
        <w:t>资格审查资料；</w:t>
      </w:r>
    </w:p>
    <w:p>
      <w:pPr>
        <w:spacing w:line="440" w:lineRule="exact"/>
        <w:rPr>
          <w:rFonts w:ascii="宋体" w:hAnsi="宋体"/>
          <w:color w:val="auto"/>
          <w:sz w:val="24"/>
          <w:highlight w:val="none"/>
        </w:rPr>
      </w:pPr>
      <w:r>
        <w:rPr>
          <w:rFonts w:hint="eastAsia" w:ascii="宋体" w:hAnsi="宋体"/>
          <w:color w:val="auto"/>
          <w:sz w:val="24"/>
          <w:highlight w:val="none"/>
        </w:rPr>
        <w:t>七、主要进场管理人员和技术人员最低要求；</w:t>
      </w:r>
    </w:p>
    <w:p>
      <w:pPr>
        <w:spacing w:line="440" w:lineRule="exact"/>
        <w:rPr>
          <w:rFonts w:ascii="宋体" w:hAnsi="宋体"/>
          <w:color w:val="auto"/>
          <w:sz w:val="24"/>
          <w:highlight w:val="none"/>
        </w:rPr>
      </w:pPr>
      <w:r>
        <w:rPr>
          <w:rFonts w:hint="eastAsia" w:ascii="宋体" w:hAnsi="宋体"/>
          <w:color w:val="auto"/>
          <w:sz w:val="24"/>
          <w:highlight w:val="none"/>
          <w:lang w:eastAsia="zh-CN"/>
        </w:rPr>
        <w:t>八</w:t>
      </w:r>
      <w:r>
        <w:rPr>
          <w:rFonts w:hint="eastAsia" w:ascii="宋体" w:hAnsi="宋体"/>
          <w:color w:val="auto"/>
          <w:sz w:val="24"/>
          <w:highlight w:val="none"/>
        </w:rPr>
        <w:t>、农民工工资支付承诺书；</w:t>
      </w:r>
    </w:p>
    <w:p>
      <w:pPr>
        <w:spacing w:line="440" w:lineRule="exact"/>
        <w:rPr>
          <w:rFonts w:ascii="宋体" w:hAnsi="宋体"/>
          <w:color w:val="auto"/>
          <w:sz w:val="24"/>
          <w:highlight w:val="none"/>
        </w:rPr>
      </w:pPr>
      <w:r>
        <w:rPr>
          <w:rFonts w:hint="eastAsia" w:ascii="宋体" w:hAnsi="宋体"/>
          <w:color w:val="auto"/>
          <w:sz w:val="24"/>
          <w:highlight w:val="none"/>
          <w:lang w:eastAsia="zh-CN"/>
        </w:rPr>
        <w:t>九</w:t>
      </w:r>
      <w:r>
        <w:rPr>
          <w:rFonts w:hint="eastAsia" w:ascii="宋体" w:hAnsi="宋体"/>
          <w:color w:val="auto"/>
          <w:sz w:val="24"/>
          <w:highlight w:val="none"/>
        </w:rPr>
        <w:t>、扬尘治理专项承诺书；</w:t>
      </w:r>
    </w:p>
    <w:p>
      <w:pPr>
        <w:spacing w:line="440" w:lineRule="exact"/>
        <w:rPr>
          <w:rFonts w:ascii="宋体" w:hAnsi="宋体"/>
          <w:color w:val="auto"/>
          <w:sz w:val="24"/>
          <w:highlight w:val="none"/>
        </w:rPr>
      </w:pPr>
      <w:r>
        <w:rPr>
          <w:rFonts w:hint="eastAsia" w:ascii="宋体" w:hAnsi="宋体"/>
          <w:color w:val="auto"/>
          <w:sz w:val="24"/>
          <w:highlight w:val="none"/>
        </w:rPr>
        <w:t>十、其他材料。</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ectPr>
          <w:headerReference r:id="rId6" w:type="default"/>
          <w:footerReference r:id="rId7" w:type="default"/>
          <w:footnotePr>
            <w:numFmt w:val="decimalEnclosedCircleChinese"/>
            <w:numRestart w:val="eachPage"/>
          </w:footnotePr>
          <w:pgSz w:w="11907" w:h="16840"/>
          <w:pgMar w:top="1440" w:right="1304" w:bottom="1440" w:left="1304" w:header="720" w:footer="907" w:gutter="0"/>
          <w:pgNumType w:fmt="decimal" w:start="1"/>
          <w:cols w:space="720" w:num="1"/>
        </w:sectPr>
      </w:pPr>
    </w:p>
    <w:p>
      <w:pPr>
        <w:pStyle w:val="4"/>
        <w:spacing w:beforeLines="50" w:after="0" w:line="360" w:lineRule="exact"/>
        <w:jc w:val="center"/>
        <w:rPr>
          <w:rFonts w:ascii="黑体" w:hAnsi="宋体" w:eastAsia="黑体"/>
          <w:color w:val="auto"/>
          <w:sz w:val="28"/>
          <w:szCs w:val="28"/>
          <w:highlight w:val="none"/>
        </w:rPr>
      </w:pPr>
      <w:bookmarkStart w:id="231" w:name="_Toc485889055"/>
      <w:bookmarkStart w:id="232" w:name="_Toc486277922"/>
      <w:bookmarkStart w:id="233" w:name="_Toc4791"/>
      <w:bookmarkStart w:id="234" w:name="_Toc234382957"/>
      <w:r>
        <w:rPr>
          <w:rFonts w:hint="eastAsia" w:ascii="黑体" w:hAnsi="宋体" w:eastAsia="黑体"/>
          <w:color w:val="auto"/>
          <w:sz w:val="28"/>
          <w:szCs w:val="28"/>
          <w:highlight w:val="none"/>
        </w:rPr>
        <w:t>一、投标函及投标函附录</w:t>
      </w:r>
      <w:bookmarkEnd w:id="231"/>
      <w:bookmarkEnd w:id="232"/>
      <w:bookmarkEnd w:id="233"/>
      <w:bookmarkEnd w:id="234"/>
    </w:p>
    <w:p>
      <w:pPr>
        <w:pStyle w:val="4"/>
        <w:spacing w:beforeLines="50" w:after="0" w:line="360" w:lineRule="exact"/>
        <w:jc w:val="center"/>
        <w:rPr>
          <w:rFonts w:ascii="黑体" w:hAnsi="宋体" w:eastAsia="黑体"/>
          <w:color w:val="auto"/>
          <w:sz w:val="28"/>
          <w:szCs w:val="28"/>
          <w:highlight w:val="none"/>
        </w:rPr>
      </w:pPr>
      <w:bookmarkStart w:id="235" w:name="_Toc18643"/>
      <w:bookmarkStart w:id="236" w:name="_Toc486277923"/>
      <w:bookmarkStart w:id="237" w:name="_Toc485889056"/>
      <w:bookmarkStart w:id="238" w:name="_Toc234382958"/>
      <w:r>
        <w:rPr>
          <w:rFonts w:hint="eastAsia" w:ascii="黑体" w:hAnsi="宋体" w:eastAsia="黑体"/>
          <w:color w:val="auto"/>
          <w:sz w:val="28"/>
          <w:szCs w:val="28"/>
          <w:highlight w:val="none"/>
        </w:rPr>
        <w:t>（一）投标函</w:t>
      </w:r>
      <w:bookmarkEnd w:id="235"/>
      <w:bookmarkEnd w:id="236"/>
      <w:bookmarkEnd w:id="237"/>
      <w:bookmarkEnd w:id="238"/>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（招标人名称）：</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1．我方已仔细研究___________________________________(项目名称) 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我方承诺在投标有效期内不修改、撤销投标文件。</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随同本投标函提交投标保证金一份，金额为人民币（大写）</w:t>
      </w:r>
      <w:r>
        <w:rPr>
          <w:rFonts w:hint="eastAsia"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u w:val="single"/>
        </w:rPr>
        <w:t xml:space="preserve">        </w:t>
      </w:r>
      <w:r>
        <w:rPr>
          <w:rFonts w:ascii="宋体" w:hAnsi="宋体"/>
          <w:color w:val="auto"/>
          <w:sz w:val="24"/>
          <w:highlight w:val="none"/>
        </w:rPr>
        <w:t>）。</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如我方中标：</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（1）我方承诺在收到中标通知书后，在中标通知书规定的期限内与你方签订合同。</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（2）随同本投标函递交的投标函附录属于合同文件的组成部分。</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（3）我方承诺按照招标文件规定向你方递交履约担保。</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（4）我方承诺在合同约定的期限内完成并移交全部合同工程。</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u w:val="single"/>
        </w:rPr>
        <w:t xml:space="preserve">                              </w:t>
      </w:r>
      <w:r>
        <w:rPr>
          <w:rFonts w:ascii="宋体" w:hAnsi="宋体"/>
          <w:color w:val="auto"/>
          <w:sz w:val="24"/>
          <w:highlight w:val="none"/>
        </w:rPr>
        <w:t>（其他补充说明）。</w:t>
      </w:r>
    </w:p>
    <w:p>
      <w:pPr>
        <w:spacing w:line="360" w:lineRule="exact"/>
        <w:rPr>
          <w:rFonts w:ascii="宋体" w:hAnsi="宋体"/>
          <w:color w:val="auto"/>
          <w:sz w:val="18"/>
          <w:szCs w:val="18"/>
          <w:highlight w:val="none"/>
        </w:rPr>
      </w:pPr>
    </w:p>
    <w:p>
      <w:pPr>
        <w:spacing w:line="360" w:lineRule="exact"/>
        <w:rPr>
          <w:rFonts w:ascii="宋体" w:hAnsi="宋体"/>
          <w:color w:val="auto"/>
          <w:sz w:val="18"/>
          <w:szCs w:val="18"/>
          <w:highlight w:val="none"/>
        </w:rPr>
      </w:pPr>
    </w:p>
    <w:p>
      <w:pPr>
        <w:tabs>
          <w:tab w:val="left" w:pos="2977"/>
          <w:tab w:val="left" w:pos="3261"/>
        </w:tabs>
        <w:spacing w:line="360" w:lineRule="exact"/>
        <w:rPr>
          <w:rFonts w:ascii="宋体" w:hAnsi="宋体"/>
          <w:color w:val="auto"/>
          <w:sz w:val="24"/>
          <w:highlight w:val="none"/>
        </w:rPr>
      </w:pPr>
      <w:r>
        <w:rPr>
          <w:rFonts w:hint="eastAsia" w:ascii="宋体" w:hAnsi="宋体"/>
          <w:color w:val="auto"/>
          <w:sz w:val="18"/>
          <w:szCs w:val="18"/>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投</w:t>
      </w:r>
      <w:r>
        <w:rPr>
          <w:rFonts w:hint="eastAsia" w:ascii="宋体" w:hAnsi="宋体"/>
          <w:color w:val="auto"/>
          <w:sz w:val="24"/>
          <w:highlight w:val="none"/>
        </w:rPr>
        <w:t xml:space="preserve"> </w:t>
      </w:r>
      <w:r>
        <w:rPr>
          <w:rFonts w:ascii="宋体" w:hAnsi="宋体"/>
          <w:color w:val="auto"/>
          <w:sz w:val="24"/>
          <w:highlight w:val="none"/>
        </w:rPr>
        <w:t>标</w:t>
      </w:r>
      <w:r>
        <w:rPr>
          <w:rFonts w:hint="eastAsia" w:ascii="宋体" w:hAnsi="宋体"/>
          <w:color w:val="auto"/>
          <w:sz w:val="24"/>
          <w:highlight w:val="none"/>
        </w:rPr>
        <w:t xml:space="preserve"> </w:t>
      </w:r>
      <w:r>
        <w:rPr>
          <w:rFonts w:ascii="宋体" w:hAnsi="宋体"/>
          <w:color w:val="auto"/>
          <w:sz w:val="24"/>
          <w:highlight w:val="none"/>
        </w:rPr>
        <w:t>人：</w:t>
      </w:r>
      <w:r>
        <w:rPr>
          <w:rFonts w:hint="eastAsia" w:ascii="宋体" w:hAnsi="宋体"/>
          <w:color w:val="auto"/>
          <w:sz w:val="24"/>
          <w:highlight w:val="none"/>
          <w:u w:val="single"/>
        </w:rPr>
        <w:t xml:space="preserve">                       </w:t>
      </w:r>
      <w:r>
        <w:rPr>
          <w:rFonts w:ascii="宋体" w:hAnsi="宋体"/>
          <w:color w:val="auto"/>
          <w:sz w:val="24"/>
          <w:highlight w:val="none"/>
        </w:rPr>
        <w:t>（盖单位章）</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地址：</w:t>
      </w:r>
      <w:r>
        <w:rPr>
          <w:rFonts w:hint="eastAsia" w:ascii="宋体" w:hAnsi="宋体"/>
          <w:color w:val="auto"/>
          <w:sz w:val="24"/>
          <w:highlight w:val="none"/>
        </w:rPr>
        <w:t>____________________________</w:t>
      </w:r>
    </w:p>
    <w:p>
      <w:pPr>
        <w:spacing w:line="360" w:lineRule="exact"/>
        <w:ind w:firstLine="3120" w:firstLineChars="1300"/>
        <w:rPr>
          <w:rFonts w:ascii="宋体" w:hAnsi="宋体"/>
          <w:color w:val="auto"/>
          <w:sz w:val="24"/>
          <w:highlight w:val="none"/>
        </w:rPr>
      </w:pPr>
      <w:r>
        <w:rPr>
          <w:rFonts w:ascii="宋体" w:hAnsi="宋体"/>
          <w:color w:val="auto"/>
          <w:sz w:val="24"/>
          <w:highlight w:val="none"/>
        </w:rPr>
        <w:t>网址：</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传真：</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邮政编码：</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4"/>
        <w:spacing w:beforeLines="50" w:afterLines="100" w:line="360" w:lineRule="exact"/>
        <w:jc w:val="center"/>
        <w:rPr>
          <w:color w:val="auto"/>
          <w:sz w:val="24"/>
          <w:highlight w:val="none"/>
        </w:rPr>
      </w:pPr>
      <w:r>
        <w:rPr>
          <w:rFonts w:ascii="宋体" w:hAnsi="宋体"/>
          <w:color w:val="auto"/>
          <w:sz w:val="24"/>
          <w:highlight w:val="none"/>
        </w:rPr>
        <w:br w:type="page"/>
      </w:r>
      <w:bookmarkStart w:id="239" w:name="_Toc485889057"/>
      <w:bookmarkStart w:id="240" w:name="_Toc486277924"/>
      <w:bookmarkStart w:id="241" w:name="_Toc5832"/>
      <w:bookmarkStart w:id="242" w:name="_Toc234382959"/>
      <w:r>
        <w:rPr>
          <w:rFonts w:hint="eastAsia" w:ascii="黑体" w:hAnsi="宋体" w:eastAsia="黑体"/>
          <w:color w:val="auto"/>
          <w:sz w:val="28"/>
          <w:szCs w:val="28"/>
          <w:highlight w:val="none"/>
        </w:rPr>
        <w:t>（二）投标函附录</w:t>
      </w:r>
      <w:bookmarkEnd w:id="239"/>
      <w:bookmarkEnd w:id="240"/>
      <w:bookmarkEnd w:id="241"/>
      <w:bookmarkEnd w:id="242"/>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条款名称</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合同条目号</w:t>
            </w:r>
          </w:p>
        </w:tc>
        <w:tc>
          <w:tcPr>
            <w:tcW w:w="3686" w:type="dxa"/>
            <w:vAlign w:val="center"/>
          </w:tcPr>
          <w:p>
            <w:pPr>
              <w:jc w:val="center"/>
              <w:rPr>
                <w:rFonts w:ascii="宋体" w:hAnsi="宋体"/>
                <w:color w:val="auto"/>
                <w:szCs w:val="21"/>
                <w:highlight w:val="none"/>
              </w:rPr>
            </w:pPr>
            <w:r>
              <w:rPr>
                <w:rFonts w:hint="eastAsia" w:ascii="宋体" w:hAnsi="宋体"/>
                <w:color w:val="auto"/>
                <w:szCs w:val="21"/>
                <w:highlight w:val="none"/>
              </w:rPr>
              <w:t>约定内容</w:t>
            </w:r>
          </w:p>
        </w:tc>
        <w:tc>
          <w:tcPr>
            <w:tcW w:w="119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1417" w:type="dxa"/>
            <w:vAlign w:val="center"/>
          </w:tcPr>
          <w:p>
            <w:pPr>
              <w:jc w:val="center"/>
              <w:rPr>
                <w:rFonts w:ascii="宋体" w:hAnsi="宋体"/>
                <w:color w:val="auto"/>
                <w:szCs w:val="21"/>
                <w:highlight w:val="none"/>
              </w:rPr>
            </w:pP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姓名：</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1.1.4.3</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天数：</w:t>
            </w:r>
            <w:r>
              <w:rPr>
                <w:rFonts w:hint="eastAsia" w:ascii="宋体" w:hAnsi="宋体"/>
                <w:color w:val="auto"/>
                <w:szCs w:val="21"/>
                <w:highlight w:val="none"/>
                <w:u w:val="single"/>
              </w:rPr>
              <w:t xml:space="preserve">       日历天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1.1.4.5</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2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价格调整的差额计算</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16.1.1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见价格指数和权重表</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开工预付款金额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10</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材料、设备预付款</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等主要材料、设备单据所列费用的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进度付款证书最低限额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%签约合同价或</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12</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逾期付款违约金的利率</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17.3.3(2)</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质量保证金百分比</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月支付额的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%合同价格，若交工验收时承包人具备被招标项目所在地省级交通主管部门评定的最高信用等级，发包人给予 </w:t>
            </w:r>
            <w:r>
              <w:rPr>
                <w:rFonts w:hint="eastAsia" w:ascii="宋体" w:hAnsi="宋体"/>
                <w:color w:val="auto"/>
                <w:szCs w:val="21"/>
                <w:highlight w:val="none"/>
                <w:u w:val="single"/>
              </w:rPr>
              <w:t xml:space="preserve">  </w:t>
            </w:r>
            <w:r>
              <w:rPr>
                <w:rFonts w:hint="eastAsia" w:ascii="宋体" w:hAnsi="宋体"/>
                <w:color w:val="auto"/>
                <w:szCs w:val="21"/>
                <w:highlight w:val="none"/>
              </w:rPr>
              <w:t>%合同价格质量保证金的优惠，并在交工验收时向承包人返还质量保证金优惠的金额</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保修期</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19.7</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5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bl>
    <w:p>
      <w:pPr>
        <w:spacing w:beforeLines="100" w:line="500" w:lineRule="exact"/>
        <w:rPr>
          <w:rFonts w:ascii="宋体" w:hAnsi="宋体"/>
          <w:color w:val="auto"/>
          <w:sz w:val="24"/>
          <w:highlight w:val="none"/>
        </w:rPr>
      </w:pPr>
      <w:r>
        <w:rPr>
          <w:rFonts w:hint="eastAsia" w:ascii="宋体" w:hAnsi="宋体"/>
          <w:color w:val="auto"/>
          <w:sz w:val="24"/>
          <w:highlight w:val="none"/>
        </w:rPr>
        <w:t xml:space="preserve">                             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ind w:right="480" w:firstLine="3480" w:firstLineChars="1450"/>
        <w:rPr>
          <w:rFonts w:ascii="宋体" w:hAnsi="宋体"/>
          <w:color w:val="auto"/>
          <w:sz w:val="24"/>
          <w:highlight w:val="none"/>
        </w:rPr>
      </w:pPr>
      <w:r>
        <w:rPr>
          <w:rFonts w:hint="eastAsia" w:ascii="宋体" w:hAnsi="宋体"/>
          <w:color w:val="auto"/>
          <w:sz w:val="24"/>
          <w:highlight w:val="none"/>
        </w:rPr>
        <w:t>投标文件签署人签名: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240" w:lineRule="exact"/>
        <w:ind w:right="480" w:firstLine="3480" w:firstLineChars="1450"/>
        <w:rPr>
          <w:rFonts w:ascii="宋体" w:hAnsi="宋体"/>
          <w:color w:val="auto"/>
          <w:sz w:val="24"/>
          <w:highlight w:val="none"/>
        </w:rPr>
      </w:pPr>
    </w:p>
    <w:p>
      <w:pPr>
        <w:pStyle w:val="4"/>
        <w:spacing w:beforeLines="50" w:after="0" w:line="360" w:lineRule="exact"/>
        <w:jc w:val="center"/>
        <w:rPr>
          <w:rFonts w:ascii="黑体" w:hAnsi="宋体" w:eastAsia="黑体"/>
          <w:color w:val="auto"/>
          <w:sz w:val="28"/>
          <w:szCs w:val="28"/>
          <w:highlight w:val="none"/>
        </w:rPr>
      </w:pPr>
      <w:bookmarkStart w:id="243" w:name="_Toc485889059"/>
      <w:bookmarkStart w:id="244" w:name="_Toc234382961"/>
      <w:bookmarkStart w:id="245" w:name="_Toc29117"/>
      <w:bookmarkStart w:id="246" w:name="_Toc486277926"/>
      <w:r>
        <w:rPr>
          <w:rFonts w:hint="eastAsia" w:ascii="黑体" w:hAnsi="宋体" w:eastAsia="黑体"/>
          <w:color w:val="auto"/>
          <w:sz w:val="28"/>
          <w:szCs w:val="28"/>
          <w:highlight w:val="none"/>
        </w:rPr>
        <w:t>二</w:t>
      </w:r>
      <w:r>
        <w:rPr>
          <w:rFonts w:ascii="黑体" w:hAnsi="宋体" w:eastAsia="黑体"/>
          <w:color w:val="auto"/>
          <w:sz w:val="28"/>
          <w:szCs w:val="28"/>
          <w:highlight w:val="none"/>
        </w:rPr>
        <w:t>、法定代表人身份证明</w:t>
      </w:r>
      <w:r>
        <w:rPr>
          <w:rFonts w:hint="eastAsia" w:ascii="黑体" w:hAnsi="宋体" w:eastAsia="黑体"/>
          <w:color w:val="auto"/>
          <w:sz w:val="28"/>
          <w:szCs w:val="28"/>
          <w:highlight w:val="none"/>
        </w:rPr>
        <w:t>及授权委托书</w:t>
      </w:r>
      <w:bookmarkEnd w:id="243"/>
      <w:bookmarkEnd w:id="244"/>
      <w:bookmarkEnd w:id="245"/>
      <w:bookmarkEnd w:id="246"/>
    </w:p>
    <w:p>
      <w:pPr>
        <w:pStyle w:val="4"/>
        <w:spacing w:beforeLines="100" w:afterLines="150" w:line="360" w:lineRule="exact"/>
        <w:jc w:val="center"/>
        <w:rPr>
          <w:rFonts w:ascii="黑体" w:hAnsi="宋体" w:eastAsia="黑体"/>
          <w:color w:val="auto"/>
          <w:sz w:val="28"/>
          <w:szCs w:val="28"/>
          <w:highlight w:val="none"/>
        </w:rPr>
      </w:pPr>
      <w:bookmarkStart w:id="247" w:name="_Toc486277927"/>
      <w:bookmarkStart w:id="248" w:name="_Toc234382962"/>
      <w:bookmarkStart w:id="249" w:name="_Toc485889060"/>
      <w:bookmarkStart w:id="250" w:name="_Toc4437"/>
      <w:r>
        <w:rPr>
          <w:rFonts w:hint="eastAsia" w:ascii="黑体" w:hAnsi="宋体" w:eastAsia="黑体"/>
          <w:color w:val="auto"/>
          <w:sz w:val="28"/>
          <w:szCs w:val="28"/>
          <w:highlight w:val="none"/>
        </w:rPr>
        <w:t>（一）法定代表人身份证明</w:t>
      </w:r>
      <w:bookmarkEnd w:id="247"/>
      <w:bookmarkEnd w:id="248"/>
      <w:bookmarkEnd w:id="249"/>
      <w:bookmarkEnd w:id="250"/>
    </w:p>
    <w:p>
      <w:pPr>
        <w:rPr>
          <w:rFonts w:ascii="宋体" w:hAnsi="宋体"/>
          <w:color w:val="auto"/>
          <w:sz w:val="24"/>
          <w:highlight w:val="none"/>
        </w:rPr>
      </w:pPr>
    </w:p>
    <w:p>
      <w:pPr>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投标人名称：____________________________</w:t>
      </w:r>
    </w:p>
    <w:p>
      <w:pPr>
        <w:spacing w:line="500" w:lineRule="exact"/>
        <w:rPr>
          <w:rFonts w:ascii="宋体" w:hAnsi="宋体"/>
          <w:color w:val="auto"/>
          <w:sz w:val="24"/>
          <w:highlight w:val="none"/>
          <w:u w:val="single"/>
        </w:rPr>
      </w:pPr>
      <w:r>
        <w:rPr>
          <w:rFonts w:hint="eastAsia" w:ascii="宋体" w:hAnsi="宋体"/>
          <w:color w:val="auto"/>
          <w:spacing w:val="40"/>
          <w:kern w:val="0"/>
          <w:sz w:val="24"/>
          <w:highlight w:val="none"/>
        </w:rPr>
        <w:t>单位性</w:t>
      </w:r>
      <w:r>
        <w:rPr>
          <w:rFonts w:hint="eastAsia" w:ascii="宋体" w:hAnsi="宋体"/>
          <w:color w:val="auto"/>
          <w:kern w:val="0"/>
          <w:sz w:val="24"/>
          <w:highlight w:val="none"/>
        </w:rPr>
        <w:t>质</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pacing w:val="360"/>
          <w:kern w:val="0"/>
          <w:sz w:val="24"/>
          <w:highlight w:val="none"/>
        </w:rPr>
        <w:t>地</w:t>
      </w:r>
      <w:r>
        <w:rPr>
          <w:rFonts w:hint="eastAsia" w:ascii="宋体" w:hAnsi="宋体"/>
          <w:color w:val="auto"/>
          <w:kern w:val="0"/>
          <w:sz w:val="24"/>
          <w:highlight w:val="none"/>
        </w:rPr>
        <w:t>址</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r>
        <w:rPr>
          <w:rFonts w:hint="eastAsia" w:ascii="宋体" w:hAnsi="宋体"/>
          <w:color w:val="auto"/>
          <w:sz w:val="24"/>
          <w:highlight w:val="none"/>
        </w:rPr>
        <w:t>经营期限：____________________________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（法定代表人亲笔签名）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_________</w:t>
      </w:r>
    </w:p>
    <w:p>
      <w:pPr>
        <w:spacing w:line="50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00" w:lineRule="exact"/>
        <w:ind w:firstLine="480" w:firstLineChars="200"/>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0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注：法定代表人的签字必须是亲笔签名，不得使用印章、签名章或其他电子制版签名。</w:t>
      </w:r>
    </w:p>
    <w:p>
      <w:pPr>
        <w:rPr>
          <w:rFonts w:ascii="宋体" w:hAnsi="宋体"/>
          <w:color w:val="auto"/>
          <w:sz w:val="24"/>
          <w:highlight w:val="none"/>
        </w:rPr>
      </w:pPr>
    </w:p>
    <w:p>
      <w:pPr>
        <w:jc w:val="center"/>
        <w:rPr>
          <w:b/>
          <w:color w:val="auto"/>
          <w:sz w:val="32"/>
          <w:szCs w:val="32"/>
          <w:highlight w:val="none"/>
        </w:rPr>
      </w:pPr>
      <w:r>
        <w:rPr>
          <w:rFonts w:ascii="宋体" w:hAnsi="宋体"/>
          <w:color w:val="auto"/>
          <w:sz w:val="24"/>
          <w:highlight w:val="none"/>
        </w:rPr>
        <w:br w:type="page"/>
      </w:r>
      <w:r>
        <w:rPr>
          <w:rFonts w:hint="eastAsia" w:ascii="黑体" w:hAnsi="宋体" w:eastAsia="黑体"/>
          <w:b/>
          <w:bCs/>
          <w:color w:val="auto"/>
          <w:kern w:val="44"/>
          <w:sz w:val="28"/>
          <w:szCs w:val="28"/>
          <w:highlight w:val="none"/>
        </w:rPr>
        <w:t>（二）授权委托书</w:t>
      </w:r>
    </w:p>
    <w:p>
      <w:pPr>
        <w:spacing w:line="500" w:lineRule="exact"/>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r>
        <w:rPr>
          <w:rFonts w:ascii="宋体" w:hAnsi="宋体"/>
          <w:color w:val="auto"/>
          <w:sz w:val="24"/>
          <w:highlight w:val="none"/>
        </w:rPr>
        <w:t xml:space="preserve">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pacing w:val="121"/>
          <w:kern w:val="0"/>
          <w:sz w:val="24"/>
          <w:highlight w:val="none"/>
        </w:rPr>
        <w:t>申请</w:t>
      </w:r>
      <w:r>
        <w:rPr>
          <w:rFonts w:hint="eastAsia" w:ascii="宋体" w:hAnsi="宋体"/>
          <w:color w:val="auto"/>
          <w:spacing w:val="-1"/>
          <w:kern w:val="0"/>
          <w:sz w:val="24"/>
          <w:highlight w:val="none"/>
        </w:rPr>
        <w:t>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1.法定代表人和委托代理人必须在授权书上亲笔签名，不得使用印章、签名章或其他电子制版签名；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2.以联合体形式投标的，本授权委托书应由联合体牵头人的法定代表人按上述规定签署。</w:t>
      </w:r>
    </w:p>
    <w:p>
      <w:pPr>
        <w:rPr>
          <w:rFonts w:ascii="宋体" w:hAnsi="宋体"/>
          <w:color w:val="auto"/>
          <w:sz w:val="24"/>
          <w:highlight w:val="none"/>
        </w:rPr>
      </w:pPr>
    </w:p>
    <w:p>
      <w:pPr>
        <w:pStyle w:val="4"/>
        <w:spacing w:beforeLines="100" w:afterLines="150" w:line="360" w:lineRule="exact"/>
        <w:jc w:val="center"/>
        <w:rPr>
          <w:rFonts w:ascii="黑体" w:hAnsi="宋体" w:eastAsia="黑体"/>
          <w:color w:val="auto"/>
          <w:sz w:val="28"/>
          <w:szCs w:val="28"/>
          <w:highlight w:val="none"/>
        </w:rPr>
      </w:pPr>
      <w:bookmarkStart w:id="251" w:name="_Toc234382964"/>
      <w:r>
        <w:rPr>
          <w:rFonts w:ascii="黑体" w:hAnsi="宋体" w:eastAsia="黑体"/>
          <w:color w:val="auto"/>
          <w:sz w:val="28"/>
          <w:szCs w:val="28"/>
          <w:highlight w:val="none"/>
        </w:rPr>
        <w:br w:type="page"/>
      </w:r>
      <w:bookmarkStart w:id="252" w:name="_Toc486277928"/>
      <w:bookmarkStart w:id="253" w:name="_Toc485889061"/>
      <w:bookmarkStart w:id="254" w:name="_Toc25686"/>
      <w:r>
        <w:rPr>
          <w:rFonts w:hint="eastAsia" w:ascii="黑体" w:hAnsi="宋体" w:eastAsia="黑体"/>
          <w:color w:val="auto"/>
          <w:sz w:val="28"/>
          <w:szCs w:val="28"/>
          <w:highlight w:val="none"/>
        </w:rPr>
        <w:t>三</w:t>
      </w:r>
      <w:r>
        <w:rPr>
          <w:rFonts w:ascii="黑体" w:hAnsi="宋体" w:eastAsia="黑体"/>
          <w:color w:val="auto"/>
          <w:sz w:val="28"/>
          <w:szCs w:val="28"/>
          <w:highlight w:val="none"/>
        </w:rPr>
        <w:t>、投标保证金</w:t>
      </w:r>
      <w:bookmarkEnd w:id="251"/>
      <w:bookmarkEnd w:id="252"/>
      <w:bookmarkEnd w:id="253"/>
      <w:bookmarkEnd w:id="254"/>
    </w:p>
    <w:p>
      <w:pPr>
        <w:rPr>
          <w:rFonts w:ascii="宋体" w:hAnsi="宋体"/>
          <w:color w:val="auto"/>
          <w:sz w:val="24"/>
          <w:highlight w:val="none"/>
        </w:rPr>
      </w:pPr>
      <w:r>
        <w:rPr>
          <w:rFonts w:hint="eastAsia" w:ascii="宋体" w:hAnsi="宋体"/>
          <w:color w:val="auto"/>
          <w:sz w:val="24"/>
          <w:highlight w:val="none"/>
        </w:rPr>
        <w:t xml:space="preserve">     此处附投标人递交投标保证金的银行转账证明复印件。</w:t>
      </w:r>
    </w:p>
    <w:p>
      <w:pPr>
        <w:pStyle w:val="4"/>
        <w:spacing w:beforeLines="100" w:afterLines="150" w:line="360" w:lineRule="exact"/>
        <w:jc w:val="center"/>
        <w:rPr>
          <w:color w:val="auto"/>
          <w:highlight w:val="none"/>
        </w:rPr>
      </w:pPr>
      <w:r>
        <w:rPr>
          <w:rFonts w:ascii="宋体"/>
          <w:color w:val="auto"/>
          <w:highlight w:val="none"/>
        </w:rPr>
        <w:br w:type="page"/>
      </w:r>
      <w:bookmarkStart w:id="255" w:name="_Toc486277929"/>
      <w:bookmarkStart w:id="256" w:name="_Toc19556"/>
      <w:bookmarkStart w:id="257" w:name="_Toc234382966"/>
      <w:bookmarkStart w:id="258" w:name="_Toc485889062"/>
      <w:r>
        <w:rPr>
          <w:rFonts w:hint="eastAsia" w:ascii="黑体" w:hAnsi="宋体" w:eastAsia="黑体"/>
          <w:color w:val="auto"/>
          <w:sz w:val="28"/>
          <w:szCs w:val="28"/>
          <w:highlight w:val="none"/>
        </w:rPr>
        <w:t>四</w:t>
      </w:r>
      <w:r>
        <w:rPr>
          <w:rFonts w:ascii="黑体" w:hAnsi="宋体" w:eastAsia="黑体"/>
          <w:color w:val="auto"/>
          <w:sz w:val="28"/>
          <w:szCs w:val="28"/>
          <w:highlight w:val="none"/>
        </w:rPr>
        <w:t>、施工组织设计</w:t>
      </w:r>
      <w:bookmarkEnd w:id="255"/>
      <w:bookmarkEnd w:id="256"/>
      <w:bookmarkEnd w:id="257"/>
      <w:bookmarkEnd w:id="258"/>
    </w:p>
    <w:p>
      <w:pPr>
        <w:spacing w:line="440" w:lineRule="exact"/>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1、投标人应按以下要点编制施工组织设计；</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（1）总体施工组织布置及规划</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（2）主要工程项目的施工方案、方法与技术措施（尤其对重点、关键和难点工程的施工方案、方法及其措施）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（3）工期的保证体系及保证措施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（4）工程质量管理体系及保证措施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（5）安全生产管理体系及保证措施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（6）环境保护、水土保持保证体系及保证措施</w:t>
      </w:r>
      <w:r>
        <w:rPr>
          <w:rFonts w:hint="eastAsia" w:ascii="宋体" w:hAnsi="宋体"/>
          <w:b/>
          <w:bCs/>
          <w:color w:val="auto"/>
          <w:sz w:val="24"/>
          <w:highlight w:val="none"/>
        </w:rPr>
        <w:t>（含扬尘治理措施）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（7）文明施工、文物保护保证体系及保证措施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（8）项目风险预测与防范，事故应急预案</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（9）其他应说明的事项</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施工组织设计除采用文字表述外可附下列图表，图表及格式要求附后。</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附表一  施工总体计划表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附表二  分项工程进度率计划（斜率图） </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附表三  工程管理曲线</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附表四  分项工程生产率和施工周期表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附表五  施工总平面图</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附表六  劳动力计划表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附表七  临时用地计划表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附表八  外供电力需求计划表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附表九  合同用款估算表</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pStyle w:val="4"/>
        <w:pageBreakBefore/>
        <w:spacing w:beforeLines="100" w:afterLines="150" w:line="360" w:lineRule="exact"/>
        <w:jc w:val="center"/>
        <w:sectPr>
          <w:footnotePr>
            <w:numFmt w:val="decimalEnclosedCircleChinese"/>
            <w:numRestart w:val="eachPage"/>
          </w:footnotePr>
          <w:pgSz w:w="11907" w:h="16840"/>
          <w:pgMar w:top="1440" w:right="1361" w:bottom="1440" w:left="1361" w:header="720" w:footer="907" w:gutter="0"/>
          <w:pgNumType w:fmt="decimal"/>
          <w:cols w:space="720" w:num="1"/>
        </w:sectPr>
      </w:pPr>
      <w:bookmarkStart w:id="259" w:name="_Toc486277936"/>
      <w:bookmarkStart w:id="260" w:name="_Toc19898"/>
      <w:bookmarkStart w:id="261" w:name="_Toc485889070"/>
      <w:bookmarkStart w:id="262" w:name="_Toc234382974"/>
    </w:p>
    <w:p>
      <w:pPr>
        <w:pStyle w:val="5"/>
        <w:spacing w:before="120" w:after="120" w:line="377" w:lineRule="auto"/>
        <w:rPr>
          <w:rFonts w:hint="eastAsia"/>
          <w:color w:val="auto"/>
          <w:highlight w:val="none"/>
        </w:rPr>
      </w:pPr>
      <w:r>
        <w:rPr>
          <w:rFonts w:hint="eastAsia"/>
          <w:color w:val="auto"/>
          <w:highlight w:val="none"/>
        </w:rPr>
        <w:t>附表一   施工总体计划表</w:t>
      </w:r>
    </w:p>
    <w:tbl>
      <w:tblPr>
        <w:tblStyle w:val="10"/>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年度</w:t>
            </w:r>
          </w:p>
        </w:tc>
        <w:tc>
          <w:tcPr>
            <w:tcW w:w="4922"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956"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059"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 xml:space="preserve">                    月份</w:t>
            </w:r>
          </w:p>
          <w:p>
            <w:pPr>
              <w:jc w:val="left"/>
              <w:rPr>
                <w:rFonts w:hint="eastAsia" w:ascii="宋体" w:hAnsi="宋体"/>
                <w:color w:val="auto"/>
                <w:szCs w:val="21"/>
                <w:highlight w:val="none"/>
              </w:rPr>
            </w:pPr>
          </w:p>
          <w:p>
            <w:pPr>
              <w:jc w:val="left"/>
              <w:rPr>
                <w:rFonts w:hint="eastAsia" w:ascii="宋体" w:hAnsi="宋体"/>
                <w:color w:val="auto"/>
                <w:szCs w:val="21"/>
                <w:highlight w:val="none"/>
              </w:rPr>
            </w:pPr>
            <w:r>
              <w:rPr>
                <w:rFonts w:hint="eastAsia" w:ascii="宋体" w:hAnsi="宋体"/>
                <w:color w:val="auto"/>
                <w:szCs w:val="21"/>
                <w:highlight w:val="none"/>
              </w:rPr>
              <w:t>主要工程项目</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2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5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4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1.施工准备</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2.下部结构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3.上部结构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4.附属工程</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bl>
    <w:p>
      <w:pPr>
        <w:pStyle w:val="5"/>
        <w:spacing w:before="120" w:after="0" w:line="240" w:lineRule="auto"/>
        <w:rPr>
          <w:color w:val="auto"/>
          <w:highlight w:val="none"/>
        </w:rPr>
      </w:pPr>
    </w:p>
    <w:p>
      <w:pPr>
        <w:pStyle w:val="5"/>
        <w:spacing w:before="120" w:after="0" w:line="240" w:lineRule="auto"/>
        <w:rPr>
          <w:rFonts w:hint="eastAsia"/>
          <w:color w:val="auto"/>
          <w:highlight w:val="none"/>
        </w:rPr>
      </w:pPr>
      <w:r>
        <w:rPr>
          <w:color w:val="auto"/>
          <w:highlight w:val="none"/>
        </w:rPr>
        <w:br w:type="page"/>
      </w:r>
      <w:r>
        <w:rPr>
          <w:rFonts w:hint="eastAsia"/>
          <w:color w:val="auto"/>
          <w:highlight w:val="none"/>
        </w:rPr>
        <w:t>附表二   分项工程进度率计划（斜率图）</w:t>
      </w:r>
    </w:p>
    <w:tbl>
      <w:tblPr>
        <w:tblStyle w:val="10"/>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年  度</w:t>
            </w:r>
          </w:p>
        </w:tc>
        <w:tc>
          <w:tcPr>
            <w:tcW w:w="5605" w:type="dxa"/>
            <w:gridSpan w:val="12"/>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5139" w:type="dxa"/>
            <w:gridSpan w:val="11"/>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季  度</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四</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93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月  份</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8" w:type="dxa"/>
            <w:vAlign w:val="center"/>
          </w:tcPr>
          <w:p>
            <w:pPr>
              <w:jc w:val="center"/>
              <w:rPr>
                <w:rFonts w:ascii="宋体" w:hAnsi="宋体"/>
                <w:color w:val="auto"/>
                <w:szCs w:val="21"/>
                <w:highlight w:val="none"/>
              </w:rPr>
            </w:pP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color w:val="auto"/>
                <w:szCs w:val="21"/>
                <w:highlight w:val="none"/>
              </w:rPr>
            </w:pPr>
            <w:r>
              <w:rPr>
                <w:rFonts w:hint="eastAsia" w:ascii="宋体" w:hAnsi="宋体"/>
                <w:color w:val="auto"/>
                <w:szCs w:val="21"/>
                <w:highlight w:val="none"/>
              </w:rPr>
              <w:t>图例：</w:t>
            </w:r>
          </w:p>
        </w:tc>
        <w:tc>
          <w:tcPr>
            <w:tcW w:w="1276" w:type="dxa"/>
            <w:tcBorders>
              <w:top w:val="single" w:color="auto" w:sz="6" w:space="0"/>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100（%）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施工准备</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90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下部结构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80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上部结构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70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附属工程</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60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color w:val="auto"/>
                <w:szCs w:val="21"/>
                <w:highlight w:val="none"/>
              </w:rPr>
            </w:pPr>
          </w:p>
        </w:tc>
        <w:tc>
          <w:tcPr>
            <w:tcW w:w="1276" w:type="dxa"/>
            <w:tcBorders>
              <w:top w:val="nil"/>
              <w:left w:val="nil"/>
              <w:bottom w:val="single" w:color="auto" w:sz="12" w:space="0"/>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注：1.应按各标段实际工程内容填写。</w:t>
      </w:r>
    </w:p>
    <w:p>
      <w:pPr>
        <w:sectPr>
          <w:footnotePr>
            <w:numFmt w:val="decimalEnclosedCircleChinese"/>
            <w:numRestart w:val="eachPage"/>
          </w:footnotePr>
          <w:pgSz w:w="16840" w:h="11907" w:orient="landscape"/>
          <w:pgMar w:top="1361" w:right="1440" w:bottom="1361" w:left="1440" w:header="720" w:footer="907" w:gutter="0"/>
          <w:pgNumType w:fmt="decimal"/>
          <w:cols w:space="720" w:num="1"/>
        </w:sectPr>
      </w:pPr>
      <w:r>
        <w:rPr>
          <w:rFonts w:hint="eastAsia" w:ascii="宋体" w:hAnsi="宋体"/>
          <w:color w:val="auto"/>
          <w:szCs w:val="21"/>
          <w:highlight w:val="none"/>
        </w:rPr>
        <w:t xml:space="preserve">    2.各个项目的进程可用线条的长短来表示。</w:t>
      </w:r>
    </w:p>
    <w:p>
      <w:pPr>
        <w:pStyle w:val="4"/>
        <w:spacing w:beforeLines="50" w:after="0" w:line="400" w:lineRule="exact"/>
        <w:rPr>
          <w:rFonts w:ascii="Arial" w:hAnsi="Arial" w:eastAsia="黑体"/>
          <w:color w:val="auto"/>
          <w:kern w:val="2"/>
          <w:sz w:val="28"/>
          <w:szCs w:val="28"/>
          <w:highlight w:val="none"/>
        </w:rPr>
      </w:pPr>
      <w:bookmarkStart w:id="263" w:name="_Toc234382967"/>
      <w:r>
        <w:rPr>
          <w:rFonts w:ascii="Arial" w:hAnsi="Arial" w:eastAsia="黑体"/>
          <w:color w:val="auto"/>
          <w:kern w:val="2"/>
          <w:sz w:val="28"/>
          <w:szCs w:val="28"/>
          <w:highlight w:val="none"/>
        </w:rPr>
        <w:t>附表三</w:t>
      </w:r>
      <w:r>
        <w:rPr>
          <w:rFonts w:hint="eastAsia" w:ascii="Arial" w:hAnsi="Arial" w:eastAsia="黑体"/>
          <w:color w:val="auto"/>
          <w:kern w:val="2"/>
          <w:sz w:val="28"/>
          <w:szCs w:val="28"/>
          <w:highlight w:val="none"/>
        </w:rPr>
        <w:t xml:space="preserve">   工程管理曲线</w:t>
      </w:r>
      <w:bookmarkEnd w:id="263"/>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shape id="自选图形 3" o:spid="_x0000_s1026" o:spt="32" type="#_x0000_t32" style="position:absolute;left:0pt;margin-left:-5.9pt;margin-top:-0.3pt;height:44.35pt;width:110pt;z-index:2516592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color w:val="auto"/>
                <w:highlight w:val="none"/>
              </w:rPr>
              <w:t xml:space="preserve">            年  度</w:t>
            </w:r>
          </w:p>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4" o:spid="_x0000_s1027" o:spt="1" style="position:absolute;left:0pt;margin-left:61.5pt;margin-top:1.6pt;height:21.55pt;width:17.15pt;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季</w:t>
                        </w:r>
                      </w:p>
                    </w:txbxContent>
                  </v:textbox>
                </v:rect>
              </w:pict>
            </w:r>
            <w:r>
              <w:rPr>
                <w:rFonts w:hint="eastAsia"/>
                <w:color w:val="auto"/>
                <w:highlight w:val="none"/>
              </w:rPr>
              <w:t xml:space="preserve">        </w:t>
            </w:r>
          </w:p>
          <w:p>
            <w:pPr>
              <w:jc w:val="center"/>
              <w:rPr>
                <w:color w:val="auto"/>
                <w:highlight w:val="none"/>
              </w:rPr>
            </w:pPr>
          </w:p>
        </w:tc>
        <w:tc>
          <w:tcPr>
            <w:tcW w:w="4537" w:type="dxa"/>
            <w:gridSpan w:val="12"/>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896" w:type="dxa"/>
            <w:gridSpan w:val="8"/>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5" o:spid="_x0000_s1028" o:spt="1" style="position:absolute;left:0pt;margin-left:84pt;margin-top:-0.45pt;height:21.55pt;width:17.15pt;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度</w:t>
                        </w:r>
                      </w:p>
                    </w:txbxContent>
                  </v:textbox>
                </v:rect>
              </w:pict>
            </w:r>
            <w:r>
              <w:rPr>
                <w:rFonts w:hint="eastAsia"/>
                <w:color w:val="auto"/>
                <w:highlight w:val="none"/>
              </w:rPr>
              <w:t xml:space="preserve">     </w:t>
            </w:r>
          </w:p>
          <w:p>
            <w:pPr>
              <w:jc w:val="left"/>
              <w:rPr>
                <w:rFonts w:hint="eastAsia"/>
                <w:color w:val="auto"/>
                <w:highlight w:val="none"/>
              </w:rPr>
            </w:pPr>
          </w:p>
          <w:p>
            <w:pPr>
              <w:jc w:val="left"/>
              <w:rPr>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6" o:spid="_x0000_s1029" o:spt="1" style="position:absolute;left:0pt;margin-left:-5.55pt;margin-top:19.35pt;height:454.5pt;width:89.9pt;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240" w:lineRule="exact"/>
                          <w:jc w:val="center"/>
                          <w:rPr>
                            <w:rFonts w:hint="eastAsia"/>
                          </w:rPr>
                        </w:pPr>
                        <w:r>
                          <w:rPr>
                            <w:rFonts w:hint="eastAsia"/>
                          </w:rPr>
                          <w:t>工</w:t>
                        </w:r>
                      </w:p>
                      <w:p>
                        <w:pPr>
                          <w:spacing w:line="240" w:lineRule="exact"/>
                          <w:jc w:val="center"/>
                          <w:rPr>
                            <w:rFonts w:hint="eastAsia"/>
                          </w:rPr>
                        </w:pPr>
                      </w:p>
                      <w:p>
                        <w:pPr>
                          <w:spacing w:line="240" w:lineRule="exact"/>
                          <w:jc w:val="center"/>
                          <w:rPr>
                            <w:rFonts w:hint="eastAsia"/>
                          </w:rPr>
                        </w:pPr>
                        <w:r>
                          <w:rPr>
                            <w:rFonts w:hint="eastAsia"/>
                          </w:rPr>
                          <w:t>程</w:t>
                        </w:r>
                      </w:p>
                      <w:p>
                        <w:pPr>
                          <w:spacing w:line="240" w:lineRule="exact"/>
                          <w:jc w:val="center"/>
                          <w:rPr>
                            <w:rFonts w:hint="eastAsia"/>
                          </w:rPr>
                        </w:pPr>
                      </w:p>
                      <w:p>
                        <w:pPr>
                          <w:spacing w:line="240" w:lineRule="exact"/>
                          <w:jc w:val="center"/>
                          <w:rPr>
                            <w:rFonts w:hint="eastAsia"/>
                          </w:rPr>
                        </w:pPr>
                        <w:r>
                          <w:rPr>
                            <w:rFonts w:hint="eastAsia"/>
                          </w:rPr>
                          <w:t>完</w:t>
                        </w:r>
                      </w:p>
                      <w:p>
                        <w:pPr>
                          <w:spacing w:line="240" w:lineRule="exact"/>
                          <w:jc w:val="center"/>
                          <w:rPr>
                            <w:rFonts w:hint="eastAsia"/>
                          </w:rPr>
                        </w:pPr>
                      </w:p>
                      <w:p>
                        <w:pPr>
                          <w:spacing w:line="240" w:lineRule="exact"/>
                          <w:jc w:val="center"/>
                          <w:rPr>
                            <w:rFonts w:hint="eastAsia"/>
                          </w:rPr>
                        </w:pPr>
                        <w:r>
                          <w:rPr>
                            <w:rFonts w:hint="eastAsia"/>
                          </w:rPr>
                          <w:t>成</w:t>
                        </w:r>
                      </w:p>
                      <w:p>
                        <w:pPr>
                          <w:spacing w:line="240" w:lineRule="exact"/>
                          <w:jc w:val="center"/>
                          <w:rPr>
                            <w:rFonts w:hint="eastAsia"/>
                          </w:rPr>
                        </w:pPr>
                      </w:p>
                      <w:p>
                        <w:pPr>
                          <w:spacing w:line="240" w:lineRule="exact"/>
                          <w:jc w:val="center"/>
                          <w:rPr>
                            <w:rFonts w:hint="eastAsia"/>
                          </w:rPr>
                        </w:pPr>
                        <w:r>
                          <w:rPr>
                            <w:rFonts w:hint="eastAsia"/>
                          </w:rPr>
                          <w:t>的</w:t>
                        </w:r>
                      </w:p>
                      <w:p>
                        <w:pPr>
                          <w:spacing w:line="240" w:lineRule="exact"/>
                          <w:jc w:val="center"/>
                          <w:rPr>
                            <w:rFonts w:hint="eastAsia"/>
                          </w:rPr>
                        </w:pPr>
                      </w:p>
                      <w:p>
                        <w:pPr>
                          <w:spacing w:line="240" w:lineRule="exact"/>
                          <w:jc w:val="center"/>
                          <w:rPr>
                            <w:rFonts w:hint="eastAsia"/>
                          </w:rPr>
                        </w:pPr>
                        <w:r>
                          <w:rPr>
                            <w:rFonts w:hint="eastAsia"/>
                          </w:rPr>
                          <w:t>百</w:t>
                        </w:r>
                      </w:p>
                      <w:p>
                        <w:pPr>
                          <w:spacing w:line="240" w:lineRule="exact"/>
                          <w:jc w:val="center"/>
                          <w:rPr>
                            <w:rFonts w:hint="eastAsia"/>
                          </w:rPr>
                        </w:pPr>
                      </w:p>
                      <w:p>
                        <w:pPr>
                          <w:spacing w:line="240" w:lineRule="exact"/>
                          <w:jc w:val="center"/>
                          <w:rPr>
                            <w:rFonts w:hint="eastAsia"/>
                          </w:rPr>
                        </w:pPr>
                        <w:r>
                          <w:rPr>
                            <w:rFonts w:hint="eastAsia"/>
                          </w:rPr>
                          <w:t>分</w:t>
                        </w:r>
                      </w:p>
                      <w:p>
                        <w:pPr>
                          <w:spacing w:line="240" w:lineRule="exact"/>
                          <w:jc w:val="center"/>
                          <w:rPr>
                            <w:rFonts w:hint="eastAsia"/>
                          </w:rPr>
                        </w:pPr>
                      </w:p>
                      <w:p>
                        <w:pPr>
                          <w:spacing w:line="240" w:lineRule="exact"/>
                          <w:jc w:val="center"/>
                          <w:rPr>
                            <w:rFonts w:hint="eastAsia"/>
                          </w:rPr>
                        </w:pPr>
                        <w:r>
                          <w:rPr>
                            <w:rFonts w:hint="eastAsia"/>
                          </w:rPr>
                          <w:t>比</w:t>
                        </w:r>
                      </w:p>
                      <w:p>
                        <w:pPr>
                          <w:spacing w:line="240" w:lineRule="exact"/>
                          <w:jc w:val="center"/>
                          <w:rPr>
                            <w:rFonts w:hint="eastAsia"/>
                          </w:rPr>
                        </w:pPr>
                      </w:p>
                      <w:p>
                        <w:pPr>
                          <w:spacing w:line="240" w:lineRule="exact"/>
                          <w:jc w:val="center"/>
                        </w:pPr>
                        <w:r>
                          <w:rPr>
                            <w:rFonts w:hint="eastAsia"/>
                          </w:rPr>
                          <w:t>（%）</w:t>
                        </w:r>
                      </w:p>
                    </w:txbxContent>
                  </v:textbox>
                </v:rect>
              </w:pict>
            </w:r>
            <w:r>
              <w:rPr>
                <w:rFonts w:hint="eastAsia"/>
                <w:color w:val="auto"/>
                <w:highlight w:val="none"/>
              </w:rPr>
              <w:t>进  度</w:t>
            </w:r>
          </w:p>
        </w:tc>
        <w:tc>
          <w:tcPr>
            <w:tcW w:w="1093" w:type="dxa"/>
            <w:gridSpan w:val="3"/>
            <w:vAlign w:val="center"/>
          </w:tcPr>
          <w:p>
            <w:pPr>
              <w:jc w:val="center"/>
              <w:rPr>
                <w:color w:val="auto"/>
                <w:highlight w:val="none"/>
              </w:rPr>
            </w:pPr>
            <w:r>
              <w:rPr>
                <w:rFonts w:hint="eastAsia"/>
                <w:color w:val="auto"/>
                <w:highlight w:val="none"/>
              </w:rPr>
              <w:t>一</w:t>
            </w:r>
          </w:p>
        </w:tc>
        <w:tc>
          <w:tcPr>
            <w:tcW w:w="1089" w:type="dxa"/>
            <w:gridSpan w:val="3"/>
            <w:vAlign w:val="center"/>
          </w:tcPr>
          <w:p>
            <w:pPr>
              <w:jc w:val="center"/>
              <w:rPr>
                <w:color w:val="auto"/>
                <w:highlight w:val="none"/>
              </w:rPr>
            </w:pPr>
            <w:r>
              <w:rPr>
                <w:rFonts w:hint="eastAsia"/>
                <w:color w:val="auto"/>
                <w:highlight w:val="none"/>
              </w:rPr>
              <w:t>二</w:t>
            </w:r>
          </w:p>
        </w:tc>
        <w:tc>
          <w:tcPr>
            <w:tcW w:w="1084" w:type="dxa"/>
            <w:gridSpan w:val="3"/>
            <w:vAlign w:val="center"/>
          </w:tcPr>
          <w:p>
            <w:pPr>
              <w:jc w:val="center"/>
              <w:rPr>
                <w:color w:val="auto"/>
                <w:highlight w:val="none"/>
              </w:rPr>
            </w:pPr>
            <w:r>
              <w:rPr>
                <w:rFonts w:hint="eastAsia"/>
                <w:color w:val="auto"/>
                <w:highlight w:val="none"/>
              </w:rPr>
              <w:t>三</w:t>
            </w:r>
          </w:p>
        </w:tc>
        <w:tc>
          <w:tcPr>
            <w:tcW w:w="1271" w:type="dxa"/>
            <w:gridSpan w:val="3"/>
            <w:vAlign w:val="center"/>
          </w:tcPr>
          <w:p>
            <w:pPr>
              <w:jc w:val="center"/>
              <w:rPr>
                <w:color w:val="auto"/>
                <w:highlight w:val="none"/>
              </w:rPr>
            </w:pPr>
            <w:r>
              <w:rPr>
                <w:rFonts w:hint="eastAsia"/>
                <w:color w:val="auto"/>
                <w:highlight w:val="none"/>
              </w:rPr>
              <w:t>四</w:t>
            </w:r>
          </w:p>
        </w:tc>
        <w:tc>
          <w:tcPr>
            <w:tcW w:w="1084" w:type="dxa"/>
            <w:gridSpan w:val="3"/>
            <w:vAlign w:val="center"/>
          </w:tcPr>
          <w:p>
            <w:pPr>
              <w:jc w:val="center"/>
              <w:rPr>
                <w:color w:val="auto"/>
                <w:highlight w:val="none"/>
              </w:rPr>
            </w:pPr>
            <w:r>
              <w:rPr>
                <w:rFonts w:hint="eastAsia"/>
                <w:color w:val="auto"/>
                <w:highlight w:val="none"/>
              </w:rPr>
              <w:t>一</w:t>
            </w:r>
          </w:p>
        </w:tc>
        <w:tc>
          <w:tcPr>
            <w:tcW w:w="1088" w:type="dxa"/>
            <w:gridSpan w:val="3"/>
            <w:vAlign w:val="center"/>
          </w:tcPr>
          <w:p>
            <w:pPr>
              <w:jc w:val="center"/>
              <w:rPr>
                <w:color w:val="auto"/>
                <w:highlight w:val="none"/>
              </w:rPr>
            </w:pPr>
            <w:r>
              <w:rPr>
                <w:rFonts w:hint="eastAsia"/>
                <w:color w:val="auto"/>
                <w:highlight w:val="none"/>
              </w:rPr>
              <w:t>二</w:t>
            </w:r>
          </w:p>
        </w:tc>
        <w:tc>
          <w:tcPr>
            <w:tcW w:w="724" w:type="dxa"/>
            <w:gridSpan w:val="2"/>
            <w:vAlign w:val="center"/>
          </w:tcPr>
          <w:p>
            <w:pPr>
              <w:jc w:val="center"/>
              <w:rPr>
                <w:color w:val="auto"/>
                <w:highlight w:val="none"/>
              </w:rPr>
            </w:pPr>
            <w:r>
              <w:rPr>
                <w:rFonts w:ascii="宋体"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rPr>
                <w:color w:val="auto"/>
                <w:highlight w:val="none"/>
              </w:rPr>
            </w:pPr>
          </w:p>
        </w:tc>
        <w:tc>
          <w:tcPr>
            <w:tcW w:w="361" w:type="dxa"/>
            <w:vAlign w:val="center"/>
          </w:tcPr>
          <w:p>
            <w:pPr>
              <w:jc w:val="center"/>
              <w:rPr>
                <w:color w:val="auto"/>
                <w:highlight w:val="none"/>
              </w:rPr>
            </w:pPr>
            <w:r>
              <w:rPr>
                <w:rFonts w:hint="eastAsia"/>
                <w:color w:val="auto"/>
                <w:highlight w:val="none"/>
              </w:rPr>
              <w:t>1</w:t>
            </w:r>
          </w:p>
        </w:tc>
        <w:tc>
          <w:tcPr>
            <w:tcW w:w="361" w:type="dxa"/>
            <w:vAlign w:val="center"/>
          </w:tcPr>
          <w:p>
            <w:pPr>
              <w:jc w:val="center"/>
              <w:rPr>
                <w:color w:val="auto"/>
                <w:highlight w:val="none"/>
              </w:rPr>
            </w:pPr>
            <w:r>
              <w:rPr>
                <w:rFonts w:hint="eastAsia"/>
                <w:color w:val="auto"/>
                <w:highlight w:val="none"/>
              </w:rPr>
              <w:t>2</w:t>
            </w:r>
          </w:p>
        </w:tc>
        <w:tc>
          <w:tcPr>
            <w:tcW w:w="371" w:type="dxa"/>
            <w:vAlign w:val="center"/>
          </w:tcPr>
          <w:p>
            <w:pPr>
              <w:jc w:val="center"/>
              <w:rPr>
                <w:color w:val="auto"/>
                <w:highlight w:val="none"/>
              </w:rPr>
            </w:pPr>
            <w:r>
              <w:rPr>
                <w:rFonts w:hint="eastAsia"/>
                <w:color w:val="auto"/>
                <w:highlight w:val="none"/>
              </w:rPr>
              <w:t>3</w:t>
            </w:r>
          </w:p>
        </w:tc>
        <w:tc>
          <w:tcPr>
            <w:tcW w:w="361" w:type="dxa"/>
            <w:vAlign w:val="center"/>
          </w:tcPr>
          <w:p>
            <w:pPr>
              <w:jc w:val="center"/>
              <w:rPr>
                <w:color w:val="auto"/>
                <w:highlight w:val="none"/>
              </w:rPr>
            </w:pPr>
            <w:r>
              <w:rPr>
                <w:rFonts w:hint="eastAsia"/>
                <w:color w:val="auto"/>
                <w:highlight w:val="none"/>
              </w:rPr>
              <w:t>4</w:t>
            </w:r>
          </w:p>
        </w:tc>
        <w:tc>
          <w:tcPr>
            <w:tcW w:w="361" w:type="dxa"/>
            <w:vAlign w:val="center"/>
          </w:tcPr>
          <w:p>
            <w:pPr>
              <w:jc w:val="center"/>
              <w:rPr>
                <w:color w:val="auto"/>
                <w:highlight w:val="none"/>
              </w:rPr>
            </w:pPr>
            <w:r>
              <w:rPr>
                <w:rFonts w:hint="eastAsia"/>
                <w:color w:val="auto"/>
                <w:highlight w:val="none"/>
              </w:rPr>
              <w:t>5</w:t>
            </w:r>
          </w:p>
        </w:tc>
        <w:tc>
          <w:tcPr>
            <w:tcW w:w="367" w:type="dxa"/>
            <w:vAlign w:val="center"/>
          </w:tcPr>
          <w:p>
            <w:pPr>
              <w:jc w:val="center"/>
              <w:rPr>
                <w:color w:val="auto"/>
                <w:highlight w:val="none"/>
              </w:rPr>
            </w:pPr>
            <w:r>
              <w:rPr>
                <w:rFonts w:hint="eastAsia"/>
                <w:color w:val="auto"/>
                <w:highlight w:val="none"/>
              </w:rPr>
              <w:t>6</w:t>
            </w:r>
          </w:p>
        </w:tc>
        <w:tc>
          <w:tcPr>
            <w:tcW w:w="360" w:type="dxa"/>
            <w:vAlign w:val="center"/>
          </w:tcPr>
          <w:p>
            <w:pPr>
              <w:jc w:val="center"/>
              <w:rPr>
                <w:color w:val="auto"/>
                <w:highlight w:val="none"/>
              </w:rPr>
            </w:pPr>
            <w:r>
              <w:rPr>
                <w:rFonts w:hint="eastAsia"/>
                <w:color w:val="auto"/>
                <w:highlight w:val="none"/>
              </w:rPr>
              <w:t>7</w:t>
            </w:r>
          </w:p>
        </w:tc>
        <w:tc>
          <w:tcPr>
            <w:tcW w:w="360" w:type="dxa"/>
            <w:vAlign w:val="center"/>
          </w:tcPr>
          <w:p>
            <w:pPr>
              <w:jc w:val="center"/>
              <w:rPr>
                <w:color w:val="auto"/>
                <w:highlight w:val="none"/>
              </w:rPr>
            </w:pPr>
            <w:r>
              <w:rPr>
                <w:rFonts w:hint="eastAsia"/>
                <w:color w:val="auto"/>
                <w:highlight w:val="none"/>
              </w:rPr>
              <w:t>8</w:t>
            </w:r>
          </w:p>
        </w:tc>
        <w:tc>
          <w:tcPr>
            <w:tcW w:w="364" w:type="dxa"/>
            <w:vAlign w:val="center"/>
          </w:tcPr>
          <w:p>
            <w:pPr>
              <w:jc w:val="center"/>
              <w:rPr>
                <w:color w:val="auto"/>
                <w:highlight w:val="none"/>
              </w:rPr>
            </w:pPr>
            <w:r>
              <w:rPr>
                <w:rFonts w:hint="eastAsia"/>
                <w:color w:val="auto"/>
                <w:highlight w:val="none"/>
              </w:rPr>
              <w:t>9</w:t>
            </w:r>
          </w:p>
        </w:tc>
        <w:tc>
          <w:tcPr>
            <w:tcW w:w="426" w:type="dxa"/>
            <w:vAlign w:val="center"/>
          </w:tcPr>
          <w:p>
            <w:pPr>
              <w:jc w:val="center"/>
              <w:rPr>
                <w:color w:val="auto"/>
                <w:highlight w:val="none"/>
              </w:rPr>
            </w:pPr>
            <w:r>
              <w:rPr>
                <w:rFonts w:hint="eastAsia"/>
                <w:color w:val="auto"/>
                <w:highlight w:val="none"/>
              </w:rPr>
              <w:t>10</w:t>
            </w:r>
          </w:p>
        </w:tc>
        <w:tc>
          <w:tcPr>
            <w:tcW w:w="419" w:type="dxa"/>
            <w:vAlign w:val="center"/>
          </w:tcPr>
          <w:p>
            <w:pPr>
              <w:jc w:val="center"/>
              <w:rPr>
                <w:color w:val="auto"/>
                <w:highlight w:val="none"/>
              </w:rPr>
            </w:pPr>
            <w:r>
              <w:rPr>
                <w:rFonts w:hint="eastAsia"/>
                <w:color w:val="auto"/>
                <w:highlight w:val="none"/>
              </w:rPr>
              <w:t>11</w:t>
            </w:r>
          </w:p>
        </w:tc>
        <w:tc>
          <w:tcPr>
            <w:tcW w:w="426" w:type="dxa"/>
            <w:vAlign w:val="center"/>
          </w:tcPr>
          <w:p>
            <w:pPr>
              <w:jc w:val="center"/>
              <w:rPr>
                <w:color w:val="auto"/>
                <w:highlight w:val="none"/>
              </w:rPr>
            </w:pPr>
            <w:r>
              <w:rPr>
                <w:rFonts w:hint="eastAsia"/>
                <w:color w:val="auto"/>
                <w:highlight w:val="none"/>
              </w:rPr>
              <w:t>12</w:t>
            </w:r>
          </w:p>
        </w:tc>
        <w:tc>
          <w:tcPr>
            <w:tcW w:w="360" w:type="dxa"/>
            <w:vAlign w:val="center"/>
          </w:tcPr>
          <w:p>
            <w:pPr>
              <w:jc w:val="center"/>
              <w:rPr>
                <w:color w:val="auto"/>
                <w:highlight w:val="none"/>
              </w:rPr>
            </w:pPr>
            <w:r>
              <w:rPr>
                <w:rFonts w:hint="eastAsia"/>
                <w:color w:val="auto"/>
                <w:highlight w:val="none"/>
              </w:rPr>
              <w:t>1</w:t>
            </w:r>
          </w:p>
        </w:tc>
        <w:tc>
          <w:tcPr>
            <w:tcW w:w="360" w:type="dxa"/>
            <w:vAlign w:val="center"/>
          </w:tcPr>
          <w:p>
            <w:pPr>
              <w:jc w:val="center"/>
              <w:rPr>
                <w:color w:val="auto"/>
                <w:highlight w:val="none"/>
              </w:rPr>
            </w:pPr>
            <w:r>
              <w:rPr>
                <w:rFonts w:hint="eastAsia"/>
                <w:color w:val="auto"/>
                <w:highlight w:val="none"/>
              </w:rPr>
              <w:t>2</w:t>
            </w:r>
          </w:p>
        </w:tc>
        <w:tc>
          <w:tcPr>
            <w:tcW w:w="364" w:type="dxa"/>
            <w:vAlign w:val="center"/>
          </w:tcPr>
          <w:p>
            <w:pPr>
              <w:jc w:val="center"/>
              <w:rPr>
                <w:color w:val="auto"/>
                <w:highlight w:val="none"/>
              </w:rPr>
            </w:pPr>
            <w:r>
              <w:rPr>
                <w:rFonts w:hint="eastAsia"/>
                <w:color w:val="auto"/>
                <w:highlight w:val="none"/>
              </w:rPr>
              <w:t>3</w:t>
            </w:r>
          </w:p>
        </w:tc>
        <w:tc>
          <w:tcPr>
            <w:tcW w:w="362" w:type="dxa"/>
            <w:vAlign w:val="center"/>
          </w:tcPr>
          <w:p>
            <w:pPr>
              <w:jc w:val="center"/>
              <w:rPr>
                <w:color w:val="auto"/>
                <w:highlight w:val="none"/>
              </w:rPr>
            </w:pPr>
            <w:r>
              <w:rPr>
                <w:rFonts w:hint="eastAsia"/>
                <w:color w:val="auto"/>
                <w:highlight w:val="none"/>
              </w:rPr>
              <w:t>4</w:t>
            </w:r>
          </w:p>
        </w:tc>
        <w:tc>
          <w:tcPr>
            <w:tcW w:w="362" w:type="dxa"/>
            <w:vAlign w:val="center"/>
          </w:tcPr>
          <w:p>
            <w:pPr>
              <w:jc w:val="center"/>
              <w:rPr>
                <w:color w:val="auto"/>
                <w:highlight w:val="none"/>
              </w:rPr>
            </w:pPr>
            <w:r>
              <w:rPr>
                <w:rFonts w:hint="eastAsia"/>
                <w:color w:val="auto"/>
                <w:highlight w:val="none"/>
              </w:rPr>
              <w:t>5</w:t>
            </w:r>
          </w:p>
        </w:tc>
        <w:tc>
          <w:tcPr>
            <w:tcW w:w="364" w:type="dxa"/>
            <w:vAlign w:val="center"/>
          </w:tcPr>
          <w:p>
            <w:pPr>
              <w:jc w:val="center"/>
              <w:rPr>
                <w:color w:val="auto"/>
                <w:highlight w:val="none"/>
              </w:rPr>
            </w:pPr>
            <w:r>
              <w:rPr>
                <w:rFonts w:hint="eastAsia"/>
                <w:color w:val="auto"/>
                <w:highlight w:val="none"/>
              </w:rPr>
              <w:t>6</w:t>
            </w:r>
          </w:p>
        </w:tc>
        <w:tc>
          <w:tcPr>
            <w:tcW w:w="724" w:type="dxa"/>
            <w:gridSpan w:val="2"/>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rPr>
                <w:color w:val="auto"/>
                <w:highlight w:val="none"/>
              </w:rPr>
            </w:pPr>
            <w:r>
              <w:rPr>
                <w:rFonts w:hint="eastAsia"/>
                <w:color w:val="auto"/>
                <w:highlight w:val="none"/>
              </w:rPr>
              <w:t>100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90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80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70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60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50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40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30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20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10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bl>
    <w:p>
      <w:pPr>
        <w:rPr>
          <w:rFonts w:hint="eastAsia"/>
          <w:color w:val="auto"/>
          <w:highlight w:val="none"/>
        </w:rPr>
      </w:pPr>
      <w:r>
        <w:rPr>
          <w:rFonts w:hint="eastAsia" w:ascii="隶书" w:hAnsi="Times New Roman" w:eastAsia="隶书" w:cs="Times New Roman"/>
          <w:color w:val="auto"/>
          <w:kern w:val="2"/>
          <w:sz w:val="24"/>
          <w:szCs w:val="24"/>
          <w:highlight w:val="none"/>
          <w:lang w:val="en-US" w:eastAsia="zh-CN" w:bidi="ar-SA"/>
        </w:rPr>
        <w:pict>
          <v:rect id="文本框 2" o:spid="_x0000_s1025" o:spt="1" style="position:absolute;left:0pt;margin-left:72.35pt;margin-top:29.85pt;height:23pt;width:288pt;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ascii="宋体" w:hAnsi="宋体"/>
                    </w:rPr>
                  </w:pPr>
                  <w:r>
                    <w:rPr>
                      <w:rFonts w:hint="eastAsia" w:ascii="宋体" w:hAnsi="宋体"/>
                    </w:rPr>
                    <w:t>工期历程的百分比（%）</w:t>
                  </w:r>
                </w:p>
              </w:txbxContent>
            </v:textbox>
          </v:rect>
        </w:pict>
      </w:r>
      <w:r>
        <w:rPr>
          <w:rFonts w:ascii="Times New Roman" w:hAnsi="Times New Roman" w:eastAsia="宋体" w:cs="Times New Roman"/>
          <w:color w:val="auto"/>
          <w:kern w:val="2"/>
          <w:sz w:val="21"/>
          <w:szCs w:val="24"/>
          <w:highlight w:val="none"/>
          <w:lang w:val="en-US" w:eastAsia="zh-CN" w:bidi="ar-SA"/>
        </w:rPr>
        <w:pict>
          <v:rect id="矩形 19" o:spid="_x0000_s1030" o:spt="1" style="position:absolute;left:0pt;margin-left:90.5pt;margin-top:1.65pt;height:21.05pt;width:410.9pt;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0     10     20     30     40      50     60     70     80     90    100</w:t>
                  </w:r>
                </w:p>
              </w:txbxContent>
            </v:textbox>
          </v:rect>
        </w:pict>
      </w:r>
      <w:r>
        <w:rPr>
          <w:rFonts w:hint="eastAsia"/>
          <w:color w:val="auto"/>
          <w:highlight w:val="none"/>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pageBreakBefore/>
        <w:spacing w:beforeLines="100" w:afterLines="150" w:line="360" w:lineRule="exact"/>
        <w:jc w:val="center"/>
        <w:sectPr>
          <w:footnotePr>
            <w:numFmt w:val="decimalEnclosedCircleChinese"/>
            <w:numRestart w:val="eachPage"/>
          </w:footnotePr>
          <w:pgSz w:w="11907" w:h="16840"/>
          <w:pgMar w:top="1440" w:right="1361" w:bottom="1440" w:left="1361" w:header="720" w:footer="907" w:gutter="0"/>
          <w:pgNumType w:fmt="decimal"/>
          <w:cols w:space="720" w:num="1"/>
        </w:sectPr>
      </w:pPr>
    </w:p>
    <w:p>
      <w:pPr>
        <w:pStyle w:val="4"/>
        <w:spacing w:beforeLines="50" w:after="240" w:line="400" w:lineRule="exact"/>
        <w:rPr>
          <w:rFonts w:ascii="Arial" w:hAnsi="Arial" w:eastAsia="黑体"/>
          <w:color w:val="auto"/>
          <w:kern w:val="2"/>
          <w:sz w:val="28"/>
          <w:szCs w:val="28"/>
          <w:highlight w:val="none"/>
        </w:rPr>
      </w:pPr>
      <w:bookmarkStart w:id="264" w:name="_Toc234382968"/>
      <w:r>
        <w:rPr>
          <w:rFonts w:ascii="Arial" w:hAnsi="Arial" w:eastAsia="黑体"/>
          <w:color w:val="auto"/>
          <w:kern w:val="2"/>
          <w:sz w:val="28"/>
          <w:szCs w:val="28"/>
          <w:highlight w:val="none"/>
        </w:rPr>
        <w:t>附表四</w:t>
      </w:r>
      <w:r>
        <w:rPr>
          <w:rFonts w:hint="eastAsia" w:ascii="Arial" w:hAnsi="Arial" w:eastAsia="黑体"/>
          <w:color w:val="auto"/>
          <w:kern w:val="2"/>
          <w:sz w:val="28"/>
          <w:szCs w:val="28"/>
          <w:highlight w:val="none"/>
        </w:rPr>
        <w:t xml:space="preserve">   分项工程生产率和施工周期表</w:t>
      </w:r>
      <w:bookmarkEnd w:id="264"/>
    </w:p>
    <w:tbl>
      <w:tblPr>
        <w:tblStyle w:val="10"/>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125" w:type="dxa"/>
            <w:vAlign w:val="center"/>
          </w:tcPr>
          <w:p>
            <w:pPr>
              <w:jc w:val="center"/>
              <w:rPr>
                <w:rFonts w:ascii="宋体" w:hAnsi="宋体"/>
                <w:color w:val="auto"/>
                <w:szCs w:val="21"/>
                <w:highlight w:val="none"/>
              </w:rPr>
            </w:pPr>
            <w:r>
              <w:rPr>
                <w:rFonts w:hint="eastAsia" w:ascii="宋体" w:hAnsi="宋体"/>
                <w:color w:val="auto"/>
                <w:szCs w:val="21"/>
                <w:highlight w:val="none"/>
              </w:rPr>
              <w:t>工程项目</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3400"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平均每生产单位规模（</w:t>
            </w:r>
            <w:r>
              <w:rPr>
                <w:rFonts w:hint="eastAsia" w:ascii="宋体" w:hAnsi="宋体"/>
                <w:color w:val="auto"/>
                <w:szCs w:val="21"/>
                <w:highlight w:val="none"/>
                <w:u w:val="single"/>
              </w:rPr>
              <w:t xml:space="preserve">    </w:t>
            </w:r>
            <w:r>
              <w:rPr>
                <w:rFonts w:hint="eastAsia" w:ascii="宋体" w:hAnsi="宋体"/>
                <w:color w:val="auto"/>
                <w:szCs w:val="21"/>
                <w:highlight w:val="none"/>
              </w:rPr>
              <w:t>人，各种机械</w:t>
            </w:r>
            <w:r>
              <w:rPr>
                <w:rFonts w:hint="eastAsia" w:ascii="宋体" w:hAnsi="宋体"/>
                <w:color w:val="auto"/>
                <w:szCs w:val="21"/>
                <w:highlight w:val="none"/>
                <w:u w:val="single"/>
              </w:rPr>
              <w:t xml:space="preserve">    </w:t>
            </w:r>
            <w:r>
              <w:rPr>
                <w:rFonts w:hint="eastAsia" w:ascii="宋体" w:hAnsi="宋体"/>
                <w:color w:val="auto"/>
                <w:szCs w:val="21"/>
                <w:highlight w:val="none"/>
              </w:rPr>
              <w:t>台）</w:t>
            </w:r>
          </w:p>
        </w:tc>
        <w:tc>
          <w:tcPr>
            <w:tcW w:w="2185"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平均每生产单位生产率（数量，每周）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每生产单位</w:t>
            </w:r>
          </w:p>
          <w:p>
            <w:pPr>
              <w:jc w:val="center"/>
              <w:rPr>
                <w:rFonts w:ascii="宋体" w:hAnsi="宋体"/>
                <w:color w:val="auto"/>
                <w:szCs w:val="21"/>
                <w:highlight w:val="none"/>
              </w:rPr>
            </w:pPr>
            <w:r>
              <w:rPr>
                <w:rFonts w:hint="eastAsia" w:ascii="宋体" w:hAnsi="宋体"/>
                <w:color w:val="auto"/>
                <w:szCs w:val="21"/>
                <w:highlight w:val="none"/>
              </w:rPr>
              <w:t>平均施工时间（周）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生产单位总数</w:t>
            </w:r>
          </w:p>
          <w:p>
            <w:pPr>
              <w:jc w:val="center"/>
              <w:rPr>
                <w:rFonts w:ascii="宋体" w:hAnsi="宋体"/>
                <w:color w:val="auto"/>
                <w:szCs w:val="21"/>
                <w:highlight w:val="none"/>
              </w:rPr>
            </w:pPr>
            <w:r>
              <w:rPr>
                <w:rFonts w:hint="eastAsia" w:ascii="宋体" w:hAnsi="宋体"/>
                <w:color w:val="auto"/>
                <w:szCs w:val="21"/>
                <w:highlight w:val="none"/>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下部结构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3</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125" w:type="dxa"/>
            <w:vAlign w:val="center"/>
          </w:tcPr>
          <w:p>
            <w:pPr>
              <w:ind w:left="113"/>
              <w:rPr>
                <w:rFonts w:hint="eastAsia" w:ascii="宋体" w:hAnsi="宋体"/>
                <w:color w:val="auto"/>
                <w:szCs w:val="21"/>
                <w:highlight w:val="none"/>
              </w:rPr>
            </w:pPr>
            <w:r>
              <w:rPr>
                <w:rFonts w:hint="eastAsia" w:ascii="宋体" w:hAnsi="宋体"/>
                <w:color w:val="auto"/>
                <w:szCs w:val="21"/>
                <w:highlight w:val="none"/>
              </w:rPr>
              <w:t>上部结构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附属工程</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bl>
    <w:p>
      <w:pPr>
        <w:sectPr>
          <w:footnotePr>
            <w:numFmt w:val="decimalEnclosedCircleChinese"/>
            <w:numRestart w:val="eachPage"/>
          </w:footnotePr>
          <w:type w:val="continuous"/>
          <w:pgSz w:w="16840" w:h="11907" w:orient="landscape"/>
          <w:pgMar w:top="1361" w:right="1440" w:bottom="1361" w:left="1440" w:header="720" w:footer="907" w:gutter="0"/>
          <w:pgNumType w:fmt="decimal"/>
          <w:cols w:space="720" w:num="1"/>
        </w:sectPr>
      </w:pPr>
    </w:p>
    <w:p>
      <w:pPr>
        <w:pStyle w:val="4"/>
        <w:spacing w:beforeLines="50" w:after="240" w:line="400" w:lineRule="exact"/>
        <w:rPr>
          <w:rFonts w:ascii="Arial" w:hAnsi="Arial" w:eastAsia="黑体"/>
          <w:color w:val="auto"/>
          <w:kern w:val="2"/>
          <w:sz w:val="28"/>
          <w:szCs w:val="28"/>
          <w:highlight w:val="none"/>
        </w:rPr>
      </w:pPr>
      <w:bookmarkStart w:id="265" w:name="_Toc234382969"/>
      <w:r>
        <w:rPr>
          <w:rFonts w:ascii="Arial" w:hAnsi="Arial" w:eastAsia="黑体"/>
          <w:color w:val="auto"/>
          <w:kern w:val="2"/>
          <w:sz w:val="28"/>
          <w:szCs w:val="28"/>
          <w:highlight w:val="none"/>
        </w:rPr>
        <w:t>附表五</w:t>
      </w:r>
      <w:r>
        <w:rPr>
          <w:rFonts w:hint="eastAsia" w:ascii="Arial" w:hAnsi="Arial" w:eastAsia="黑体"/>
          <w:color w:val="auto"/>
          <w:kern w:val="2"/>
          <w:sz w:val="28"/>
          <w:szCs w:val="28"/>
          <w:highlight w:val="none"/>
        </w:rPr>
        <w:t xml:space="preserve">   </w:t>
      </w:r>
      <w:r>
        <w:rPr>
          <w:rFonts w:ascii="Arial" w:hAnsi="Arial" w:eastAsia="黑体"/>
          <w:color w:val="auto"/>
          <w:kern w:val="2"/>
          <w:sz w:val="28"/>
          <w:szCs w:val="28"/>
          <w:highlight w:val="none"/>
        </w:rPr>
        <w:t>施工总平面图</w:t>
      </w:r>
      <w:bookmarkEnd w:id="265"/>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投标人应递交一份施工总平面图，绘出现场临时设施布置图表并附文字说明，说明</w:t>
      </w:r>
      <w:r>
        <w:rPr>
          <w:rFonts w:hint="eastAsia" w:ascii="宋体" w:hAnsi="宋体"/>
          <w:color w:val="auto"/>
          <w:sz w:val="24"/>
          <w:highlight w:val="none"/>
        </w:rPr>
        <w:t>施工营地、料场、</w:t>
      </w:r>
      <w:r>
        <w:rPr>
          <w:rFonts w:ascii="宋体" w:hAnsi="宋体"/>
          <w:color w:val="auto"/>
          <w:sz w:val="24"/>
          <w:highlight w:val="none"/>
        </w:rPr>
        <w:t>临时设施、加工车间、现场办公、设备及仓储、供电、供水、卫生、生活、道路、消防等设施的情况和布置。</w:t>
      </w:r>
    </w:p>
    <w:p>
      <w:pPr>
        <w:rPr>
          <w:rFonts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4"/>
        <w:spacing w:beforeLines="50" w:after="240" w:line="400" w:lineRule="exact"/>
        <w:rPr>
          <w:rFonts w:ascii="Arial" w:hAnsi="Arial" w:eastAsia="黑体"/>
          <w:color w:val="auto"/>
          <w:kern w:val="2"/>
          <w:sz w:val="28"/>
          <w:szCs w:val="28"/>
          <w:highlight w:val="none"/>
        </w:rPr>
      </w:pPr>
      <w:bookmarkStart w:id="266" w:name="_Toc234382970"/>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六   劳动力计划表</w:t>
      </w:r>
      <w:bookmarkEnd w:id="266"/>
    </w:p>
    <w:p>
      <w:pPr>
        <w:jc w:val="right"/>
        <w:rPr>
          <w:rFonts w:hint="eastAsia" w:ascii="宋体" w:hAnsi="宋体"/>
          <w:color w:val="auto"/>
          <w:sz w:val="24"/>
          <w:highlight w:val="none"/>
        </w:rPr>
      </w:pPr>
      <w:r>
        <w:rPr>
          <w:rFonts w:hint="eastAsia" w:ascii="宋体" w:hAnsi="宋体"/>
          <w:color w:val="auto"/>
          <w:sz w:val="24"/>
          <w:highlight w:val="none"/>
        </w:rPr>
        <w:t>单位：人</w:t>
      </w: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工种</w:t>
            </w:r>
          </w:p>
        </w:tc>
        <w:tc>
          <w:tcPr>
            <w:tcW w:w="8434" w:type="dxa"/>
            <w:gridSpan w:val="7"/>
            <w:vAlign w:val="center"/>
          </w:tcPr>
          <w:p>
            <w:pPr>
              <w:jc w:val="center"/>
              <w:rPr>
                <w:rFonts w:hint="eastAsia"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bl>
    <w:p>
      <w:pPr>
        <w:ind w:firstLine="6600" w:firstLineChars="2750"/>
        <w:rPr>
          <w:rFonts w:hint="eastAsia" w:ascii="宋体" w:hAnsi="宋体"/>
          <w:color w:val="auto"/>
          <w:sz w:val="24"/>
          <w:highlight w:val="none"/>
        </w:rPr>
      </w:pPr>
    </w:p>
    <w:p>
      <w:pPr>
        <w:pStyle w:val="4"/>
        <w:spacing w:beforeLines="50" w:after="240" w:line="400" w:lineRule="exact"/>
        <w:rPr>
          <w:rFonts w:ascii="Arial" w:hAnsi="Arial" w:eastAsia="黑体"/>
          <w:color w:val="auto"/>
          <w:kern w:val="2"/>
          <w:sz w:val="28"/>
          <w:szCs w:val="28"/>
          <w:highlight w:val="none"/>
        </w:rPr>
      </w:pPr>
      <w:r>
        <w:rPr>
          <w:rFonts w:ascii="宋体"/>
          <w:color w:val="auto"/>
          <w:sz w:val="24"/>
          <w:highlight w:val="none"/>
        </w:rPr>
        <w:br w:type="page"/>
      </w:r>
      <w:bookmarkStart w:id="267" w:name="_Toc234382971"/>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七  临时占地计划表</w:t>
      </w:r>
      <w:bookmarkEnd w:id="267"/>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用   途</w:t>
            </w:r>
          </w:p>
        </w:tc>
        <w:tc>
          <w:tcPr>
            <w:tcW w:w="3507" w:type="dxa"/>
            <w:gridSpan w:val="5"/>
            <w:vAlign w:val="center"/>
          </w:tcPr>
          <w:p>
            <w:pPr>
              <w:jc w:val="center"/>
              <w:rPr>
                <w:rFonts w:ascii="宋体" w:hAnsi="宋体"/>
                <w:color w:val="auto"/>
                <w:szCs w:val="21"/>
                <w:highlight w:val="none"/>
              </w:rPr>
            </w:pPr>
            <w:r>
              <w:rPr>
                <w:rFonts w:hint="eastAsia" w:ascii="宋体" w:hAnsi="宋体"/>
                <w:color w:val="auto"/>
                <w:szCs w:val="21"/>
                <w:highlight w:val="none"/>
              </w:rPr>
              <w:t>面积（m</w:t>
            </w:r>
            <w:r>
              <w:rPr>
                <w:rFonts w:hint="eastAsia" w:ascii="宋体" w:hAnsi="宋体"/>
                <w:color w:val="auto"/>
                <w:szCs w:val="21"/>
                <w:highlight w:val="none"/>
                <w:vertAlign w:val="superscript"/>
              </w:rPr>
              <w:t>2</w:t>
            </w:r>
            <w:r>
              <w:rPr>
                <w:rFonts w:hint="eastAsia" w:ascii="宋体" w:hAnsi="宋体"/>
                <w:color w:val="auto"/>
                <w:szCs w:val="21"/>
                <w:highlight w:val="none"/>
              </w:rPr>
              <w:t>）</w:t>
            </w:r>
          </w:p>
        </w:tc>
        <w:tc>
          <w:tcPr>
            <w:tcW w:w="1779"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需用时间</w:t>
            </w:r>
          </w:p>
          <w:p>
            <w:pPr>
              <w:ind w:firstLine="5"/>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2156"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r>
              <w:rPr>
                <w:rFonts w:hint="eastAsia" w:ascii="宋体" w:hAnsi="宋体"/>
                <w:color w:val="auto"/>
                <w:szCs w:val="21"/>
                <w:highlight w:val="none"/>
              </w:rPr>
              <w:t>菜地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水田</w:t>
            </w:r>
          </w:p>
        </w:tc>
        <w:tc>
          <w:tcPr>
            <w:tcW w:w="702" w:type="dxa"/>
            <w:vAlign w:val="center"/>
          </w:tcPr>
          <w:p>
            <w:pPr>
              <w:jc w:val="center"/>
              <w:rPr>
                <w:rFonts w:ascii="宋体" w:hAnsi="宋体"/>
                <w:color w:val="auto"/>
                <w:szCs w:val="21"/>
                <w:highlight w:val="none"/>
              </w:rPr>
            </w:pPr>
            <w:r>
              <w:rPr>
                <w:rFonts w:hint="eastAsia" w:ascii="宋体" w:hAnsi="宋体"/>
                <w:color w:val="auto"/>
                <w:szCs w:val="21"/>
                <w:highlight w:val="none"/>
              </w:rPr>
              <w:t>旱地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果园</w:t>
            </w:r>
          </w:p>
        </w:tc>
        <w:tc>
          <w:tcPr>
            <w:tcW w:w="706" w:type="dxa"/>
            <w:vAlign w:val="center"/>
          </w:tcPr>
          <w:p>
            <w:pPr>
              <w:jc w:val="center"/>
              <w:rPr>
                <w:rFonts w:ascii="宋体" w:hAnsi="宋体"/>
                <w:color w:val="auto"/>
                <w:szCs w:val="21"/>
                <w:highlight w:val="none"/>
              </w:rPr>
            </w:pPr>
            <w:r>
              <w:rPr>
                <w:rFonts w:hint="eastAsia" w:ascii="宋体" w:hAnsi="宋体"/>
                <w:color w:val="auto"/>
                <w:szCs w:val="21"/>
                <w:highlight w:val="none"/>
              </w:rPr>
              <w:t>荒地</w:t>
            </w:r>
          </w:p>
        </w:tc>
        <w:tc>
          <w:tcPr>
            <w:tcW w:w="1779" w:type="dxa"/>
            <w:vMerge w:val="continue"/>
            <w:vAlign w:val="center"/>
          </w:tcPr>
          <w:p>
            <w:pPr>
              <w:jc w:val="center"/>
              <w:rPr>
                <w:rFonts w:ascii="宋体" w:hAnsi="宋体"/>
                <w:color w:val="auto"/>
                <w:szCs w:val="21"/>
                <w:highlight w:val="none"/>
              </w:rPr>
            </w:pPr>
          </w:p>
        </w:tc>
        <w:tc>
          <w:tcPr>
            <w:tcW w:w="67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w:t>
            </w:r>
          </w:p>
          <w:p>
            <w:pPr>
              <w:jc w:val="center"/>
              <w:rPr>
                <w:rFonts w:ascii="宋体" w:hAnsi="宋体"/>
                <w:color w:val="auto"/>
                <w:szCs w:val="21"/>
                <w:highlight w:val="none"/>
              </w:rPr>
            </w:pPr>
            <w:r>
              <w:rPr>
                <w:rFonts w:hint="eastAsia" w:ascii="宋体" w:hAnsi="宋体"/>
                <w:color w:val="auto"/>
                <w:szCs w:val="21"/>
                <w:highlight w:val="none"/>
              </w:rPr>
              <w:t>号</w:t>
            </w:r>
          </w:p>
        </w:tc>
        <w:tc>
          <w:tcPr>
            <w:tcW w:w="741" w:type="dxa"/>
            <w:vAlign w:val="center"/>
          </w:tcPr>
          <w:p>
            <w:pPr>
              <w:jc w:val="center"/>
              <w:rPr>
                <w:rFonts w:ascii="宋体" w:hAnsi="宋体"/>
                <w:color w:val="auto"/>
                <w:szCs w:val="21"/>
                <w:highlight w:val="none"/>
              </w:rPr>
            </w:pPr>
            <w:r>
              <w:rPr>
                <w:rFonts w:hint="eastAsia" w:ascii="宋体" w:hAnsi="宋体"/>
                <w:color w:val="auto"/>
                <w:szCs w:val="21"/>
                <w:highlight w:val="none"/>
              </w:rPr>
              <w:t>左侧（m）</w:t>
            </w:r>
          </w:p>
        </w:tc>
        <w:tc>
          <w:tcPr>
            <w:tcW w:w="74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一、临时工程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1.便道</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二、生产及生活临时设施</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1.临时住房</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2.办公等公用房屋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3.料场</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租用面积合计</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bl>
    <w:p>
      <w:pPr>
        <w:pStyle w:val="4"/>
        <w:spacing w:beforeLines="50" w:after="240" w:line="400" w:lineRule="exact"/>
        <w:rPr>
          <w:rFonts w:hint="eastAsia" w:ascii="隶书" w:hAnsi="宋体" w:eastAsia="隶书"/>
          <w:color w:val="auto"/>
          <w:sz w:val="30"/>
          <w:szCs w:val="30"/>
          <w:highlight w:val="none"/>
        </w:rPr>
      </w:pPr>
      <w:r>
        <w:rPr>
          <w:rFonts w:ascii="宋体" w:hAnsi="宋体"/>
          <w:color w:val="auto"/>
          <w:sz w:val="24"/>
          <w:highlight w:val="none"/>
        </w:rPr>
        <w:br w:type="page"/>
      </w:r>
      <w:bookmarkStart w:id="268" w:name="_Toc234382972"/>
      <w:r>
        <w:rPr>
          <w:rFonts w:hint="eastAsia" w:ascii="Arial" w:hAnsi="Arial" w:eastAsia="黑体"/>
          <w:color w:val="auto"/>
          <w:kern w:val="2"/>
          <w:sz w:val="28"/>
          <w:szCs w:val="28"/>
          <w:highlight w:val="none"/>
        </w:rPr>
        <w:t>附表八  外供电力需求计划表</w:t>
      </w:r>
      <w:bookmarkEnd w:id="268"/>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用电位置</w:t>
            </w:r>
          </w:p>
        </w:tc>
        <w:tc>
          <w:tcPr>
            <w:tcW w:w="1984"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计划用电数量（KW·h）</w:t>
            </w:r>
          </w:p>
        </w:tc>
        <w:tc>
          <w:tcPr>
            <w:tcW w:w="1701"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用  途</w:t>
            </w:r>
          </w:p>
        </w:tc>
        <w:tc>
          <w:tcPr>
            <w:tcW w:w="2552"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 用 时 间</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rPr>
              <w:t>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1190"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桩号</w:t>
            </w:r>
          </w:p>
        </w:tc>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左或右（m）</w:t>
            </w:r>
          </w:p>
        </w:tc>
        <w:tc>
          <w:tcPr>
            <w:tcW w:w="1984" w:type="dxa"/>
            <w:vMerge w:val="continue"/>
            <w:vAlign w:val="center"/>
          </w:tcPr>
          <w:p>
            <w:pPr>
              <w:jc w:val="center"/>
              <w:rPr>
                <w:rFonts w:hint="eastAsia" w:ascii="宋体" w:hAnsi="宋体"/>
                <w:color w:val="auto"/>
                <w:szCs w:val="21"/>
                <w:highlight w:val="none"/>
              </w:rPr>
            </w:pPr>
          </w:p>
        </w:tc>
        <w:tc>
          <w:tcPr>
            <w:tcW w:w="1701" w:type="dxa"/>
            <w:vMerge w:val="continue"/>
            <w:vAlign w:val="center"/>
          </w:tcPr>
          <w:p>
            <w:pPr>
              <w:jc w:val="center"/>
              <w:rPr>
                <w:rFonts w:hint="eastAsia" w:ascii="宋体" w:hAnsi="宋体"/>
                <w:color w:val="auto"/>
                <w:szCs w:val="21"/>
                <w:highlight w:val="none"/>
              </w:rPr>
            </w:pPr>
          </w:p>
        </w:tc>
        <w:tc>
          <w:tcPr>
            <w:tcW w:w="2552" w:type="dxa"/>
            <w:vMerge w:val="continue"/>
            <w:vAlign w:val="center"/>
          </w:tcPr>
          <w:p>
            <w:pPr>
              <w:jc w:val="center"/>
              <w:rPr>
                <w:rFonts w:hint="eastAsia" w:ascii="宋体" w:hAnsi="宋体"/>
                <w:color w:val="auto"/>
                <w:szCs w:val="21"/>
                <w:highlight w:val="none"/>
              </w:rPr>
            </w:pPr>
          </w:p>
        </w:tc>
        <w:tc>
          <w:tcPr>
            <w:tcW w:w="1190" w:type="dxa"/>
            <w:vMerge w:val="continue"/>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bl>
    <w:p>
      <w:pPr>
        <w:pStyle w:val="4"/>
        <w:spacing w:beforeLines="50" w:after="240" w:line="400" w:lineRule="exact"/>
        <w:rPr>
          <w:rFonts w:hint="eastAsia" w:ascii="Arial" w:hAnsi="Arial" w:eastAsia="黑体"/>
          <w:color w:val="auto"/>
          <w:kern w:val="2"/>
          <w:sz w:val="28"/>
          <w:szCs w:val="28"/>
          <w:highlight w:val="none"/>
        </w:rPr>
      </w:pPr>
      <w:r>
        <w:rPr>
          <w:rFonts w:hint="eastAsia" w:ascii="Arial" w:hAnsi="Arial" w:eastAsia="黑体"/>
          <w:color w:val="auto"/>
          <w:kern w:val="2"/>
          <w:sz w:val="28"/>
          <w:szCs w:val="28"/>
          <w:highlight w:val="none"/>
        </w:rPr>
        <w:t>附表九   合同用款估算表</w:t>
      </w:r>
    </w:p>
    <w:tbl>
      <w:tblPr>
        <w:tblStyle w:val="10"/>
        <w:tblpPr w:leftFromText="180" w:rightFromText="180" w:vertAnchor="text" w:horzAnchor="margin" w:tblpXSpec="left"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从开工月算起的时间（月）</w:t>
            </w:r>
          </w:p>
        </w:tc>
        <w:tc>
          <w:tcPr>
            <w:tcW w:w="6925" w:type="dxa"/>
            <w:gridSpan w:val="4"/>
            <w:vAlign w:val="center"/>
          </w:tcPr>
          <w:p>
            <w:pPr>
              <w:jc w:val="center"/>
              <w:rPr>
                <w:rFonts w:hint="eastAsia" w:ascii="宋体" w:hAnsi="宋体"/>
                <w:color w:val="auto"/>
                <w:szCs w:val="21"/>
                <w:highlight w:val="none"/>
              </w:rPr>
            </w:pPr>
            <w:r>
              <w:rPr>
                <w:rFonts w:hint="eastAsia" w:ascii="宋体" w:hAnsi="宋体"/>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3462"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分  期</w:t>
            </w:r>
          </w:p>
        </w:tc>
        <w:tc>
          <w:tcPr>
            <w:tcW w:w="3463"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第一次开工预付款</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4～6</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7～9</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10～12</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13～15</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小计</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100．00</w:t>
            </w: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hint="eastAsia" w:ascii="宋体" w:hAnsi="宋体"/>
                <w:color w:val="auto"/>
                <w:szCs w:val="21"/>
                <w:highlight w:val="none"/>
              </w:rPr>
            </w:pPr>
            <w:r>
              <w:rPr>
                <w:rFonts w:hint="eastAsia" w:ascii="宋体" w:hAnsi="宋体"/>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说</w:t>
            </w: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r>
              <w:rPr>
                <w:rFonts w:hint="eastAsia" w:ascii="宋体" w:hAnsi="宋体"/>
                <w:color w:val="auto"/>
                <w:szCs w:val="21"/>
                <w:highlight w:val="none"/>
              </w:rPr>
              <w:t>明</w:t>
            </w:r>
          </w:p>
        </w:tc>
        <w:tc>
          <w:tcPr>
            <w:tcW w:w="8922" w:type="dxa"/>
            <w:gridSpan w:val="5"/>
            <w:vAlign w:val="center"/>
          </w:tcPr>
          <w:p>
            <w:pPr>
              <w:widowControl/>
              <w:jc w:val="center"/>
              <w:rPr>
                <w:rFonts w:hint="eastAsia" w:ascii="宋体" w:hAnsi="宋体"/>
                <w:color w:val="auto"/>
                <w:szCs w:val="21"/>
                <w:highlight w:val="none"/>
              </w:rPr>
            </w:pPr>
          </w:p>
          <w:p>
            <w:pPr>
              <w:jc w:val="center"/>
              <w:rPr>
                <w:rFonts w:hint="eastAsia" w:ascii="宋体" w:hAnsi="宋体"/>
                <w:color w:val="auto"/>
                <w:szCs w:val="21"/>
                <w:highlight w:val="none"/>
              </w:rPr>
            </w:pPr>
          </w:p>
        </w:tc>
      </w:tr>
    </w:tbl>
    <w:p>
      <w:pPr>
        <w:jc w:val="center"/>
        <w:rPr>
          <w:rFonts w:hint="eastAsia" w:ascii="隶书" w:hAnsi="宋体" w:eastAsia="隶书"/>
          <w:color w:val="auto"/>
          <w:sz w:val="24"/>
          <w:highlight w:val="none"/>
        </w:rPr>
      </w:pPr>
    </w:p>
    <w:p>
      <w:pPr>
        <w:rPr>
          <w:rFonts w:hint="eastAsia" w:ascii="宋体" w:hAnsi="宋体"/>
          <w:color w:val="auto"/>
          <w:szCs w:val="21"/>
          <w:highlight w:val="none"/>
        </w:rPr>
      </w:pPr>
      <w:r>
        <w:rPr>
          <w:rFonts w:hint="eastAsia" w:ascii="宋体" w:hAnsi="宋体"/>
          <w:color w:val="auto"/>
          <w:szCs w:val="21"/>
          <w:highlight w:val="none"/>
        </w:rPr>
        <w:t>注：1.投标人可按附表一的工程进度估算并填写本表。</w:t>
      </w:r>
    </w:p>
    <w:p>
      <w:pPr>
        <w:ind w:left="630" w:hanging="630"/>
        <w:rPr>
          <w:rFonts w:hint="eastAsia" w:ascii="宋体" w:hAnsi="宋体"/>
          <w:color w:val="auto"/>
          <w:szCs w:val="21"/>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rPr>
          <w:rFonts w:hint="eastAsia" w:ascii="宋体" w:hAnsi="宋体"/>
          <w:color w:val="auto"/>
          <w:sz w:val="24"/>
          <w:highlight w:val="none"/>
        </w:rPr>
      </w:pPr>
    </w:p>
    <w:p>
      <w:pPr>
        <w:pStyle w:val="4"/>
        <w:pageBreakBefore/>
        <w:spacing w:beforeLines="100" w:afterLines="150" w:line="36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五</w:t>
      </w:r>
      <w:r>
        <w:rPr>
          <w:rFonts w:ascii="黑体" w:hAnsi="宋体" w:eastAsia="黑体"/>
          <w:color w:val="auto"/>
          <w:sz w:val="28"/>
          <w:szCs w:val="28"/>
          <w:highlight w:val="none"/>
        </w:rPr>
        <w:t>、项目管理机构</w:t>
      </w:r>
      <w:bookmarkEnd w:id="259"/>
      <w:bookmarkEnd w:id="260"/>
      <w:bookmarkEnd w:id="261"/>
      <w:bookmarkEnd w:id="262"/>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vAlign w:val="top"/>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vAlign w:val="top"/>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说明</w:t>
            </w:r>
          </w:p>
        </w:tc>
      </w:tr>
    </w:tbl>
    <w:p>
      <w:pPr>
        <w:rPr>
          <w:color w:val="auto"/>
          <w:highlight w:val="none"/>
        </w:rPr>
      </w:pPr>
    </w:p>
    <w:p>
      <w:pPr>
        <w:pStyle w:val="4"/>
        <w:spacing w:beforeLines="100" w:afterLines="150" w:line="360" w:lineRule="exact"/>
        <w:jc w:val="center"/>
        <w:rPr>
          <w:rFonts w:ascii="黑体" w:hAnsi="宋体" w:eastAsia="黑体"/>
          <w:color w:val="auto"/>
          <w:sz w:val="28"/>
          <w:szCs w:val="28"/>
          <w:highlight w:val="none"/>
        </w:rPr>
      </w:pPr>
      <w:bookmarkStart w:id="269" w:name="_Toc486277938"/>
      <w:bookmarkStart w:id="270" w:name="_Toc485889072"/>
      <w:bookmarkStart w:id="271" w:name="_Toc18211"/>
      <w:bookmarkStart w:id="272" w:name="_Toc234382977"/>
      <w:r>
        <w:rPr>
          <w:rFonts w:hint="eastAsia" w:ascii="黑体" w:hAnsi="宋体" w:eastAsia="黑体"/>
          <w:color w:val="auto"/>
          <w:sz w:val="28"/>
          <w:szCs w:val="28"/>
          <w:highlight w:val="none"/>
        </w:rPr>
        <w:t>六、资格审查资料</w:t>
      </w:r>
      <w:bookmarkEnd w:id="269"/>
      <w:bookmarkEnd w:id="270"/>
      <w:bookmarkEnd w:id="271"/>
      <w:bookmarkEnd w:id="272"/>
    </w:p>
    <w:p>
      <w:pPr>
        <w:pStyle w:val="4"/>
        <w:spacing w:beforeLines="100" w:afterLines="150" w:line="360" w:lineRule="exact"/>
        <w:jc w:val="center"/>
        <w:rPr>
          <w:rFonts w:ascii="黑体" w:hAnsi="宋体" w:eastAsia="黑体"/>
          <w:color w:val="auto"/>
          <w:sz w:val="28"/>
          <w:szCs w:val="28"/>
          <w:highlight w:val="none"/>
        </w:rPr>
      </w:pPr>
      <w:bookmarkStart w:id="273" w:name="_Toc485889073"/>
      <w:bookmarkStart w:id="274" w:name="_Toc9432"/>
      <w:bookmarkStart w:id="275" w:name="_Toc234382978"/>
      <w:bookmarkStart w:id="276" w:name="_Toc486277939"/>
      <w:r>
        <w:rPr>
          <w:rFonts w:hint="eastAsia" w:ascii="黑体" w:hAnsi="宋体" w:eastAsia="黑体"/>
          <w:color w:val="auto"/>
          <w:sz w:val="28"/>
          <w:szCs w:val="28"/>
          <w:highlight w:val="none"/>
        </w:rPr>
        <w:t>（一）投标人基本情况表</w:t>
      </w:r>
      <w:bookmarkEnd w:id="273"/>
      <w:bookmarkEnd w:id="274"/>
      <w:bookmarkEnd w:id="275"/>
      <w:bookmarkEnd w:id="276"/>
    </w:p>
    <w:tbl>
      <w:tblPr>
        <w:tblStyle w:val="10"/>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846" w:type="dxa"/>
            <w:gridSpan w:val="4"/>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话</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color w:val="auto"/>
                <w:kern w:val="0"/>
                <w:szCs w:val="21"/>
                <w:highlight w:val="none"/>
              </w:rPr>
            </w:pPr>
          </w:p>
        </w:tc>
        <w:tc>
          <w:tcPr>
            <w:tcW w:w="1010" w:type="dxa"/>
            <w:vAlign w:val="center"/>
          </w:tcPr>
          <w:p>
            <w:pPr>
              <w:tabs>
                <w:tab w:val="left" w:pos="540"/>
              </w:tabs>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传</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真</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电子邮件</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5617" w:type="dxa"/>
            <w:gridSpan w:val="6"/>
            <w:vAlign w:val="center"/>
          </w:tcPr>
          <w:p>
            <w:pPr>
              <w:autoSpaceDE w:val="0"/>
              <w:autoSpaceDN w:val="0"/>
              <w:adjustRightInd w:val="0"/>
              <w:ind w:left="105" w:leftChars="50"/>
              <w:jc w:val="center"/>
              <w:rPr>
                <w:rFonts w:ascii="宋体" w:hAnsi="宋体"/>
                <w:color w:val="auto"/>
                <w:kern w:val="0"/>
                <w:szCs w:val="21"/>
                <w:highlight w:val="none"/>
                <w:u w:val="single"/>
              </w:rPr>
            </w:pPr>
            <w:r>
              <w:rPr>
                <w:rFonts w:hint="eastAsia" w:ascii="宋体" w:hAnsi="宋体" w:cs="MingLiU"/>
                <w:color w:val="auto"/>
                <w:kern w:val="0"/>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基本账户开户银行</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基本账户账号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tabs>
                <w:tab w:val="left" w:pos="1240"/>
              </w:tabs>
              <w:autoSpaceDE w:val="0"/>
              <w:autoSpaceDN w:val="0"/>
              <w:adjustRightInd w:val="0"/>
              <w:spacing w:before="98"/>
              <w:jc w:val="center"/>
              <w:rPr>
                <w:rFonts w:ascii="宋体" w:hAnsi="宋体"/>
                <w:color w:val="auto"/>
                <w:kern w:val="0"/>
                <w:szCs w:val="21"/>
                <w:highlight w:val="none"/>
              </w:rPr>
            </w:pPr>
            <w:r>
              <w:rPr>
                <w:rFonts w:hint="eastAsia" w:ascii="宋体" w:hAnsi="宋体" w:cs="MingLiU"/>
                <w:color w:val="auto"/>
                <w:kern w:val="0"/>
                <w:szCs w:val="21"/>
                <w:highlight w:val="none"/>
              </w:rPr>
              <w:t>技工</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color w:val="auto"/>
                <w:kern w:val="0"/>
                <w:szCs w:val="21"/>
                <w:highlight w:val="none"/>
              </w:rPr>
            </w:pPr>
            <w:r>
              <w:rPr>
                <w:rFonts w:hint="eastAsia" w:ascii="宋体" w:hAnsi="宋体" w:cs="MingLiU"/>
                <w:color w:val="auto"/>
                <w:kern w:val="0"/>
                <w:szCs w:val="21"/>
                <w:highlight w:val="none"/>
              </w:rPr>
              <w:t>资产构成情况及申请人投资参股的关联企业情况</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备    注</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bl>
    <w:p>
      <w:pPr>
        <w:rPr>
          <w:color w:val="auto"/>
          <w:highlight w:val="none"/>
        </w:rPr>
      </w:pPr>
      <w:r>
        <w:rPr>
          <w:rFonts w:hint="eastAsia" w:ascii="宋体" w:hAnsi="宋体"/>
          <w:color w:val="auto"/>
          <w:szCs w:val="21"/>
          <w:highlight w:val="none"/>
        </w:rPr>
        <w:t>注：1.企业法人营业执照副本（全本）、施工资质证书副本（全本）、安全生产许可证副本（全本）和基本账户开户许可证的彩色扫描件并加盖单位章。</w:t>
      </w:r>
    </w:p>
    <w:p>
      <w:pPr>
        <w:pStyle w:val="4"/>
        <w:spacing w:beforeLines="100" w:afterLines="150" w:line="360" w:lineRule="exact"/>
        <w:jc w:val="center"/>
        <w:rPr>
          <w:rFonts w:ascii="黑体" w:hAnsi="宋体" w:eastAsia="黑体"/>
          <w:color w:val="auto"/>
          <w:sz w:val="28"/>
          <w:szCs w:val="28"/>
          <w:highlight w:val="none"/>
        </w:rPr>
      </w:pPr>
      <w:bookmarkStart w:id="277" w:name="_Toc486277940"/>
      <w:bookmarkStart w:id="278" w:name="_Toc234382979"/>
      <w:bookmarkStart w:id="279" w:name="_Toc485889074"/>
      <w:bookmarkStart w:id="280" w:name="_Toc10076"/>
      <w:r>
        <w:rPr>
          <w:rFonts w:hint="eastAsia" w:ascii="黑体" w:hAnsi="宋体" w:eastAsia="黑体"/>
          <w:color w:val="auto"/>
          <w:sz w:val="28"/>
          <w:szCs w:val="28"/>
          <w:highlight w:val="none"/>
        </w:rPr>
        <w:t>（二）投标人企业组织结构框图</w:t>
      </w:r>
      <w:bookmarkEnd w:id="277"/>
      <w:bookmarkEnd w:id="278"/>
      <w:bookmarkEnd w:id="279"/>
      <w:bookmarkEnd w:id="280"/>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vAlign w:val="top"/>
          </w:tcPr>
          <w:p>
            <w:pPr>
              <w:rPr>
                <w:color w:val="auto"/>
                <w:highlight w:val="none"/>
              </w:rPr>
            </w:pPr>
          </w:p>
          <w:p>
            <w:pPr>
              <w:rPr>
                <w:rFonts w:cs="宋体"/>
                <w:color w:val="auto"/>
                <w:szCs w:val="21"/>
                <w:highlight w:val="none"/>
              </w:rPr>
            </w:pPr>
            <w:r>
              <w:rPr>
                <w:rFonts w:hint="eastAsia" w:cs="宋体"/>
                <w:color w:val="auto"/>
                <w:sz w:val="24"/>
                <w:szCs w:val="21"/>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vAlign w:val="top"/>
          </w:tcPr>
          <w:p>
            <w:pPr>
              <w:rPr>
                <w:rFonts w:cs="宋体"/>
                <w:color w:val="auto"/>
                <w:sz w:val="24"/>
                <w:highlight w:val="none"/>
              </w:rPr>
            </w:pPr>
          </w:p>
          <w:p>
            <w:pPr>
              <w:rPr>
                <w:rFonts w:cs="宋体"/>
                <w:color w:val="auto"/>
                <w:szCs w:val="21"/>
                <w:highlight w:val="none"/>
              </w:rPr>
            </w:pPr>
            <w:r>
              <w:rPr>
                <w:rFonts w:hint="eastAsia" w:cs="宋体"/>
                <w:color w:val="auto"/>
                <w:szCs w:val="21"/>
                <w:highlight w:val="none"/>
              </w:rPr>
              <w:t>说明</w:t>
            </w:r>
          </w:p>
        </w:tc>
      </w:tr>
    </w:tbl>
    <w:p>
      <w:pPr>
        <w:pStyle w:val="4"/>
        <w:spacing w:beforeLines="100" w:afterLines="150" w:line="360" w:lineRule="exact"/>
        <w:jc w:val="center"/>
        <w:rPr>
          <w:color w:val="auto"/>
          <w:highlight w:val="none"/>
        </w:rPr>
      </w:pPr>
      <w:r>
        <w:rPr>
          <w:color w:val="auto"/>
          <w:highlight w:val="none"/>
        </w:rPr>
        <w:br w:type="page"/>
      </w:r>
      <w:bookmarkStart w:id="281" w:name="_Toc8347"/>
      <w:bookmarkStart w:id="282" w:name="_Toc234382980"/>
      <w:bookmarkStart w:id="283" w:name="_Toc486277941"/>
      <w:bookmarkStart w:id="284" w:name="_Toc485889075"/>
      <w:r>
        <w:rPr>
          <w:rFonts w:hint="eastAsia" w:ascii="黑体" w:hAnsi="宋体" w:eastAsia="黑体"/>
          <w:color w:val="auto"/>
          <w:sz w:val="28"/>
          <w:szCs w:val="28"/>
          <w:highlight w:val="none"/>
        </w:rPr>
        <w:t>（三）拟委任的项目经理和项目总工资历表</w:t>
      </w:r>
      <w:bookmarkEnd w:id="281"/>
      <w:bookmarkEnd w:id="282"/>
      <w:bookmarkEnd w:id="283"/>
      <w:bookmarkEnd w:id="284"/>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姓</w:t>
            </w:r>
            <w:r>
              <w:rPr>
                <w:rFonts w:hint="eastAsia" w:ascii="宋体" w:hAnsi="宋体"/>
                <w:color w:val="auto"/>
                <w:kern w:val="0"/>
                <w:szCs w:val="21"/>
                <w:highlight w:val="none"/>
              </w:rPr>
              <w:tab/>
            </w:r>
            <w:r>
              <w:rPr>
                <w:rFonts w:hint="eastAsia" w:ascii="宋体" w:hAnsi="宋体" w:cs="MingLiU"/>
                <w:color w:val="auto"/>
                <w:kern w:val="0"/>
                <w:szCs w:val="21"/>
                <w:highlight w:val="none"/>
              </w:rPr>
              <w:t>名</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年</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龄</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专  业</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w:t>
            </w:r>
            <w:r>
              <w:rPr>
                <w:rFonts w:hint="eastAsia" w:ascii="宋体" w:hAnsi="宋体"/>
                <w:color w:val="auto"/>
                <w:kern w:val="0"/>
                <w:szCs w:val="21"/>
                <w:highlight w:val="none"/>
              </w:rPr>
              <w:tab/>
            </w:r>
            <w:r>
              <w:rPr>
                <w:rFonts w:hint="eastAsia" w:ascii="宋体" w:hAnsi="宋体" w:cs="MingLiU"/>
                <w:color w:val="auto"/>
                <w:kern w:val="0"/>
                <w:szCs w:val="21"/>
                <w:highlight w:val="none"/>
              </w:rPr>
              <w:t>称</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公司单位</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    务</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拟在本标段</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工程担任职务</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毕业学校</w:t>
            </w:r>
          </w:p>
        </w:tc>
        <w:tc>
          <w:tcPr>
            <w:tcW w:w="8285" w:type="dxa"/>
            <w:gridSpan w:val="7"/>
            <w:vAlign w:val="center"/>
          </w:tcPr>
          <w:p>
            <w:pPr>
              <w:tabs>
                <w:tab w:val="left" w:pos="2820"/>
                <w:tab w:val="left" w:pos="4080"/>
              </w:tabs>
              <w:autoSpaceDE w:val="0"/>
              <w:autoSpaceDN w:val="0"/>
              <w:adjustRightInd w:val="0"/>
              <w:spacing w:before="73"/>
              <w:ind w:left="-1291" w:leftChars="-615" w:firstLine="1260" w:firstLineChars="600"/>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月毕业于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学校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专业，学制</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023" w:type="dxa"/>
            <w:gridSpan w:val="3"/>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参加过的工程项目名称</w:t>
            </w:r>
          </w:p>
        </w:tc>
        <w:tc>
          <w:tcPr>
            <w:tcW w:w="1392" w:type="dxa"/>
            <w:gridSpan w:val="2"/>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担任何职</w:t>
            </w:r>
          </w:p>
        </w:tc>
        <w:tc>
          <w:tcPr>
            <w:tcW w:w="2870" w:type="dxa"/>
            <w:gridSpan w:val="2"/>
            <w:vAlign w:val="center"/>
          </w:tcPr>
          <w:p>
            <w:pPr>
              <w:jc w:val="center"/>
              <w:rPr>
                <w:rFonts w:ascii="宋体" w:hAnsi="宋体" w:cs="MingLiU"/>
                <w:color w:val="auto"/>
                <w:kern w:val="0"/>
                <w:szCs w:val="21"/>
                <w:highlight w:val="none"/>
              </w:rPr>
            </w:pPr>
            <w:r>
              <w:rPr>
                <w:rFonts w:hint="eastAsia" w:ascii="宋体" w:hAnsi="宋体" w:cs="MingLiU"/>
                <w:color w:val="auto"/>
                <w:kern w:val="0"/>
                <w:szCs w:val="21"/>
                <w:highlight w:val="none"/>
              </w:rPr>
              <w:t>发包人及</w:t>
            </w:r>
          </w:p>
          <w:p>
            <w:pPr>
              <w:jc w:val="center"/>
              <w:rPr>
                <w:rFonts w:ascii="宋体" w:hAnsi="宋体"/>
                <w:color w:val="auto"/>
                <w:szCs w:val="21"/>
                <w:highlight w:val="none"/>
              </w:rPr>
            </w:pPr>
            <w:r>
              <w:rPr>
                <w:rFonts w:hint="eastAsia" w:ascii="宋体" w:hAnsi="宋体" w:cs="MingLiU"/>
                <w:color w:val="auto"/>
                <w:kern w:val="0"/>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获奖情况</w:t>
            </w: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目前任职</w:t>
            </w:r>
          </w:p>
          <w:p>
            <w:pPr>
              <w:jc w:val="center"/>
              <w:rPr>
                <w:rFonts w:ascii="宋体" w:hAnsi="宋体"/>
                <w:color w:val="auto"/>
                <w:szCs w:val="21"/>
                <w:highlight w:val="none"/>
              </w:rPr>
            </w:pPr>
            <w:r>
              <w:rPr>
                <w:rFonts w:hint="eastAsia" w:ascii="宋体" w:hAnsi="宋体"/>
                <w:color w:val="auto"/>
                <w:szCs w:val="21"/>
                <w:highlight w:val="none"/>
              </w:rPr>
              <w:t>项目状况</w:t>
            </w: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担任职位</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可以调离日期</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8285" w:type="dxa"/>
            <w:gridSpan w:val="7"/>
            <w:vAlign w:val="center"/>
          </w:tcPr>
          <w:p>
            <w:pPr>
              <w:jc w:val="center"/>
              <w:rPr>
                <w:rFonts w:ascii="宋体" w:hAnsi="宋体"/>
                <w:color w:val="auto"/>
                <w:szCs w:val="21"/>
                <w:highlight w:val="none"/>
              </w:rPr>
            </w:pPr>
          </w:p>
        </w:tc>
      </w:tr>
    </w:tbl>
    <w:p>
      <w:pPr>
        <w:ind w:left="735" w:hanging="735" w:hangingChars="350"/>
        <w:rPr>
          <w:rFonts w:ascii="宋体" w:hAnsi="宋体"/>
          <w:color w:val="auto"/>
          <w:szCs w:val="21"/>
          <w:highlight w:val="none"/>
        </w:rPr>
      </w:pPr>
      <w:r>
        <w:rPr>
          <w:rFonts w:hint="eastAsia" w:ascii="宋体" w:hAnsi="宋体"/>
          <w:color w:val="auto"/>
          <w:szCs w:val="21"/>
          <w:highlight w:val="none"/>
        </w:rPr>
        <w:t>注：1、本表后项目经理和项目总工的身份证、职称资格证书以及资格预审条件所要求其他相关证书（如建造师注册证书、安全生产考核合格证书等）的复印件，并应提供其担任类似项目的项目经理和项目总工的相关业绩证明材料复印件。</w:t>
      </w:r>
    </w:p>
    <w:p>
      <w:pPr>
        <w:ind w:left="105" w:firstLine="315"/>
        <w:rPr>
          <w:rFonts w:ascii="宋体" w:hAnsi="宋体"/>
          <w:color w:val="auto"/>
          <w:szCs w:val="21"/>
          <w:highlight w:val="none"/>
        </w:rPr>
      </w:pPr>
      <w:r>
        <w:rPr>
          <w:rFonts w:hint="eastAsia" w:ascii="宋体" w:hAnsi="宋体"/>
          <w:color w:val="auto"/>
          <w:szCs w:val="21"/>
          <w:highlight w:val="none"/>
        </w:rPr>
        <w:t>2、目前未在具体项目上任职的，请在备注栏说明现在负责的工作内容。</w:t>
      </w:r>
      <w:bookmarkStart w:id="285" w:name="_Toc193904176"/>
      <w:bookmarkStart w:id="286" w:name="_Toc234242180"/>
      <w:bookmarkStart w:id="287" w:name="_Toc234382981"/>
    </w:p>
    <w:p>
      <w:pPr>
        <w:ind w:left="105" w:firstLine="315"/>
        <w:jc w:val="center"/>
        <w:rPr>
          <w:rFonts w:ascii="宋体" w:hAnsi="宋体"/>
          <w:color w:val="auto"/>
          <w:szCs w:val="21"/>
          <w:highlight w:val="none"/>
        </w:rPr>
      </w:pPr>
      <w:r>
        <w:rPr>
          <w:rFonts w:hint="eastAsia" w:ascii="黑体" w:hAnsi="宋体" w:eastAsia="黑体"/>
          <w:color w:val="auto"/>
          <w:sz w:val="28"/>
          <w:szCs w:val="28"/>
          <w:highlight w:val="none"/>
        </w:rPr>
        <w:br w:type="page"/>
      </w:r>
      <w:bookmarkStart w:id="288" w:name="_Toc485889076"/>
      <w:r>
        <w:rPr>
          <w:rFonts w:hint="eastAsia" w:ascii="黑体" w:hAnsi="宋体" w:eastAsia="黑体"/>
          <w:b/>
          <w:bCs/>
          <w:color w:val="auto"/>
          <w:kern w:val="44"/>
          <w:sz w:val="28"/>
          <w:szCs w:val="28"/>
          <w:highlight w:val="none"/>
        </w:rPr>
        <w:t>（四）近年财务状况表</w:t>
      </w:r>
      <w:bookmarkEnd w:id="285"/>
      <w:bookmarkEnd w:id="286"/>
      <w:bookmarkEnd w:id="287"/>
      <w:bookmarkEnd w:id="288"/>
    </w:p>
    <w:p>
      <w:pPr>
        <w:spacing w:after="120"/>
        <w:jc w:val="center"/>
        <w:rPr>
          <w:rFonts w:ascii="黑体" w:eastAsia="黑体"/>
          <w:b/>
          <w:color w:val="auto"/>
          <w:sz w:val="24"/>
          <w:highlight w:val="none"/>
        </w:rPr>
      </w:pPr>
      <w:r>
        <w:rPr>
          <w:rFonts w:hint="eastAsia" w:ascii="黑体" w:eastAsia="黑体"/>
          <w:b/>
          <w:color w:val="auto"/>
          <w:sz w:val="24"/>
          <w:highlight w:val="none"/>
        </w:rPr>
        <w:t>财务状况表</w:t>
      </w: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color w:val="auto"/>
                <w:szCs w:val="21"/>
                <w:highlight w:val="none"/>
              </w:rPr>
            </w:pPr>
            <w:r>
              <w:rPr>
                <w:rFonts w:hint="eastAsia" w:ascii="宋体" w:hAnsi="宋体"/>
                <w:color w:val="auto"/>
                <w:szCs w:val="21"/>
                <w:highlight w:val="none"/>
              </w:rPr>
              <w:t>项目或指标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258"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一、注册资金</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二、净资产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三、总资产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四、固定资产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五、流动资产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六、流动负债</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七、负债合计</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八、营业收入</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九、净利润</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十、现金流量净额</w:t>
            </w:r>
          </w:p>
        </w:tc>
        <w:tc>
          <w:tcPr>
            <w:tcW w:w="990" w:type="dxa"/>
            <w:vAlign w:val="center"/>
          </w:tcPr>
          <w:p>
            <w:pPr>
              <w:jc w:val="center"/>
              <w:rPr>
                <w:rFonts w:ascii="宋体" w:hAnsi="宋体"/>
                <w:color w:val="auto"/>
                <w:szCs w:val="21"/>
                <w:highlight w:val="none"/>
              </w:rPr>
            </w:pP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十一、主要财务指标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1．净资产收益率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2．总资产报酬</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3．主营业务利润率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4．资产负债率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5、流动比率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6、速动比率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bl>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ascii="宋体" w:hAnsi="宋体"/>
          <w:color w:val="auto"/>
          <w:szCs w:val="21"/>
          <w:highlight w:val="none"/>
        </w:rPr>
      </w:pPr>
    </w:p>
    <w:p>
      <w:pPr>
        <w:jc w:val="center"/>
        <w:rPr>
          <w:rFonts w:ascii="隶书" w:eastAsia="隶书"/>
          <w:color w:val="auto"/>
          <w:sz w:val="24"/>
          <w:highlight w:val="none"/>
        </w:rPr>
      </w:pPr>
    </w:p>
    <w:p>
      <w:pPr>
        <w:jc w:val="center"/>
        <w:rPr>
          <w:rFonts w:ascii="隶书" w:eastAsia="隶书"/>
          <w:color w:val="auto"/>
          <w:sz w:val="24"/>
          <w:highlight w:val="none"/>
        </w:rPr>
      </w:pPr>
    </w:p>
    <w:p>
      <w:pPr>
        <w:pStyle w:val="4"/>
        <w:spacing w:beforeLines="100" w:afterLines="100" w:line="360" w:lineRule="exact"/>
        <w:jc w:val="center"/>
        <w:rPr>
          <w:rFonts w:ascii="黑体" w:hAnsi="宋体" w:eastAsia="黑体"/>
          <w:color w:val="auto"/>
          <w:sz w:val="28"/>
          <w:szCs w:val="28"/>
          <w:highlight w:val="none"/>
        </w:rPr>
      </w:pPr>
      <w:bookmarkStart w:id="289" w:name="_Toc486277942"/>
      <w:bookmarkStart w:id="290" w:name="_Toc30568"/>
      <w:bookmarkStart w:id="291" w:name="_Toc485889077"/>
      <w:bookmarkStart w:id="292" w:name="_Toc234382982"/>
      <w:bookmarkStart w:id="293" w:name="_Toc234242181"/>
      <w:r>
        <w:rPr>
          <w:rFonts w:hint="eastAsia" w:ascii="黑体" w:hAnsi="宋体" w:eastAsia="黑体"/>
          <w:color w:val="auto"/>
          <w:sz w:val="28"/>
          <w:szCs w:val="28"/>
          <w:highlight w:val="none"/>
        </w:rPr>
        <w:t>（五）近年完成的类似项目汇总表</w:t>
      </w:r>
      <w:bookmarkEnd w:id="289"/>
      <w:bookmarkEnd w:id="290"/>
      <w:bookmarkEnd w:id="291"/>
      <w:bookmarkEnd w:id="292"/>
      <w:bookmarkEnd w:id="293"/>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合同价格</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注：1.本汇总表必须与近年（自201</w:t>
      </w:r>
      <w:r>
        <w:rPr>
          <w:rFonts w:hint="eastAsia" w:ascii="宋体" w:hAnsi="宋体"/>
          <w:color w:val="auto"/>
          <w:szCs w:val="21"/>
          <w:highlight w:val="none"/>
          <w:lang w:val="en-US" w:eastAsia="zh-CN"/>
        </w:rPr>
        <w:t>6</w:t>
      </w:r>
      <w:r>
        <w:rPr>
          <w:rFonts w:hint="eastAsia" w:ascii="宋体" w:hAnsi="宋体"/>
          <w:color w:val="auto"/>
          <w:szCs w:val="21"/>
          <w:highlight w:val="none"/>
        </w:rPr>
        <w:t>年1月1日以来）完成的类似项目情况表中的内容相对应。</w:t>
      </w:r>
    </w:p>
    <w:p>
      <w:pPr>
        <w:rPr>
          <w:rFonts w:hint="eastAsia" w:ascii="宋体" w:hAnsi="宋体"/>
          <w:color w:val="auto"/>
          <w:szCs w:val="21"/>
          <w:highlight w:val="none"/>
        </w:rPr>
      </w:pPr>
      <w:r>
        <w:rPr>
          <w:rFonts w:hint="eastAsia" w:ascii="宋体" w:hAnsi="宋体"/>
          <w:color w:val="auto"/>
          <w:szCs w:val="21"/>
          <w:highlight w:val="none"/>
        </w:rPr>
        <w:t>2.当本表内容与所附证据材料不一致时，应以所附证据材料为准。</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p>
    <w:p>
      <w:pPr>
        <w:pStyle w:val="4"/>
        <w:spacing w:beforeLines="100" w:afterLines="100" w:line="360" w:lineRule="exact"/>
        <w:jc w:val="center"/>
        <w:rPr>
          <w:rFonts w:ascii="黑体" w:hAnsi="宋体" w:eastAsia="黑体"/>
          <w:color w:val="auto"/>
          <w:sz w:val="28"/>
          <w:szCs w:val="28"/>
          <w:highlight w:val="none"/>
        </w:rPr>
      </w:pPr>
      <w:bookmarkStart w:id="294" w:name="_Toc486277943"/>
      <w:bookmarkStart w:id="295" w:name="_Toc234382983"/>
      <w:bookmarkStart w:id="296" w:name="_Toc193904177"/>
      <w:bookmarkStart w:id="297" w:name="_Toc7313"/>
      <w:bookmarkStart w:id="298" w:name="_Toc234242182"/>
      <w:bookmarkStart w:id="299" w:name="_Toc485889078"/>
      <w:r>
        <w:rPr>
          <w:rFonts w:hint="eastAsia" w:ascii="黑体" w:hAnsi="宋体" w:eastAsia="黑体"/>
          <w:color w:val="auto"/>
          <w:sz w:val="28"/>
          <w:szCs w:val="28"/>
          <w:highlight w:val="none"/>
        </w:rPr>
        <w:t>（六）正在施工和新承接的项目情况表</w:t>
      </w:r>
      <w:bookmarkEnd w:id="294"/>
      <w:bookmarkEnd w:id="295"/>
      <w:bookmarkEnd w:id="296"/>
      <w:bookmarkEnd w:id="297"/>
      <w:bookmarkEnd w:id="298"/>
      <w:bookmarkEnd w:id="299"/>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签约合同价</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计划交工日期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工程质量要求</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autoSpaceDE w:val="0"/>
        <w:autoSpaceDN w:val="0"/>
        <w:adjustRightInd w:val="0"/>
        <w:spacing w:before="4" w:line="100" w:lineRule="exact"/>
        <w:jc w:val="left"/>
        <w:rPr>
          <w:color w:val="auto"/>
          <w:kern w:val="0"/>
          <w:sz w:val="10"/>
          <w:szCs w:val="10"/>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pStyle w:val="4"/>
        <w:spacing w:beforeLines="100" w:afterLines="100" w:line="360" w:lineRule="exact"/>
        <w:jc w:val="center"/>
        <w:rPr>
          <w:rFonts w:ascii="黑体" w:hAnsi="宋体" w:eastAsia="黑体"/>
          <w:color w:val="auto"/>
          <w:sz w:val="28"/>
          <w:szCs w:val="28"/>
          <w:highlight w:val="none"/>
        </w:rPr>
      </w:pPr>
      <w:bookmarkStart w:id="300" w:name="_Toc485889079"/>
      <w:bookmarkStart w:id="301" w:name="_Toc486277944"/>
      <w:bookmarkStart w:id="302" w:name="_Toc7381"/>
      <w:bookmarkStart w:id="303" w:name="_Toc234382984"/>
      <w:r>
        <w:rPr>
          <w:rFonts w:hint="eastAsia" w:ascii="黑体" w:hAnsi="宋体" w:eastAsia="黑体"/>
          <w:color w:val="auto"/>
          <w:sz w:val="28"/>
          <w:szCs w:val="28"/>
          <w:highlight w:val="none"/>
        </w:rPr>
        <w:t>（七）近年发生的诉讼及仲裁情况</w:t>
      </w:r>
      <w:bookmarkEnd w:id="300"/>
      <w:bookmarkEnd w:id="301"/>
      <w:bookmarkEnd w:id="302"/>
      <w:bookmarkEnd w:id="303"/>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Cs w:val="21"/>
                <w:highlight w:val="none"/>
              </w:rPr>
            </w:pPr>
            <w:r>
              <w:rPr>
                <w:rFonts w:hint="eastAsia" w:ascii="宋体" w:hAnsi="宋体"/>
                <w:color w:val="auto"/>
                <w:szCs w:val="21"/>
                <w:highlight w:val="none"/>
              </w:rPr>
              <w:t>项目</w:t>
            </w:r>
          </w:p>
        </w:tc>
        <w:tc>
          <w:tcPr>
            <w:tcW w:w="4820" w:type="dxa"/>
            <w:vAlign w:val="center"/>
          </w:tcPr>
          <w:p>
            <w:pPr>
              <w:jc w:val="center"/>
              <w:rPr>
                <w:rFonts w:ascii="宋体" w:hAnsi="宋体"/>
                <w:color w:val="auto"/>
                <w:szCs w:val="21"/>
                <w:highlight w:val="none"/>
              </w:rPr>
            </w:pPr>
            <w:r>
              <w:rPr>
                <w:rFonts w:hint="eastAsia" w:ascii="宋体" w:hAnsi="宋体"/>
                <w:color w:val="auto"/>
                <w:szCs w:val="21"/>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bl>
    <w:p>
      <w:pPr>
        <w:spacing w:line="400" w:lineRule="exact"/>
        <w:ind w:firstLine="420"/>
        <w:rPr>
          <w:rFonts w:ascii="宋体" w:hAnsi="宋体"/>
          <w:color w:val="auto"/>
          <w:szCs w:val="21"/>
          <w:highlight w:val="none"/>
        </w:rPr>
      </w:pPr>
    </w:p>
    <w:p>
      <w:pPr>
        <w:rPr>
          <w:color w:val="auto"/>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七、主要进场管理人员和技术人员最低要求</w:t>
      </w:r>
    </w:p>
    <w:tbl>
      <w:tblPr>
        <w:tblStyle w:val="10"/>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bookmarkStart w:id="304" w:name="_Toc234382989"/>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vAlign w:val="top"/>
          </w:tcPr>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vAlign w:val="top"/>
          </w:tcPr>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spacing w:line="500" w:lineRule="exact"/>
        <w:ind w:firstLine="420" w:firstLineChars="200"/>
        <w:rPr>
          <w:rFonts w:ascii="宋体" w:hAnsi="宋体"/>
          <w:color w:val="auto"/>
          <w:szCs w:val="21"/>
          <w:highlight w:val="none"/>
        </w:rPr>
      </w:pP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center"/>
        <w:rPr>
          <w:rFonts w:ascii="黑体" w:eastAsia="黑体"/>
          <w:color w:val="auto"/>
          <w:sz w:val="30"/>
          <w:szCs w:val="30"/>
          <w:highlight w:val="none"/>
          <w:u w:val="singl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bookmarkEnd w:id="304"/>
    <w:p>
      <w:pPr>
        <w:spacing w:before="120" w:after="120"/>
        <w:jc w:val="center"/>
        <w:rPr>
          <w:rFonts w:ascii="黑体" w:eastAsia="黑体"/>
          <w:b/>
          <w:bCs/>
          <w:color w:val="auto"/>
          <w:kern w:val="44"/>
          <w:sz w:val="30"/>
          <w:szCs w:val="30"/>
          <w:highlight w:val="none"/>
        </w:rPr>
      </w:pPr>
      <w:bookmarkStart w:id="305" w:name="_Toc234382990"/>
      <w:r>
        <w:rPr>
          <w:rFonts w:hint="eastAsia" w:ascii="黑体" w:eastAsia="黑体"/>
          <w:b/>
          <w:bCs/>
          <w:color w:val="auto"/>
          <w:kern w:val="44"/>
          <w:sz w:val="30"/>
          <w:szCs w:val="30"/>
          <w:highlight w:val="none"/>
          <w:lang w:eastAsia="zh-CN"/>
        </w:rPr>
        <w:t>八</w:t>
      </w:r>
      <w:r>
        <w:rPr>
          <w:rFonts w:hint="eastAsia" w:ascii="黑体" w:eastAsia="黑体"/>
          <w:b/>
          <w:bCs/>
          <w:color w:val="auto"/>
          <w:kern w:val="44"/>
          <w:sz w:val="30"/>
          <w:szCs w:val="30"/>
          <w:highlight w:val="none"/>
        </w:rPr>
        <w:t>、</w:t>
      </w:r>
      <w:r>
        <w:rPr>
          <w:rFonts w:ascii="黑体" w:eastAsia="黑体"/>
          <w:b/>
          <w:bCs/>
          <w:color w:val="auto"/>
          <w:kern w:val="44"/>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adjustRightInd w:val="0"/>
        <w:snapToGrid w:val="0"/>
        <w:spacing w:afterLines="50" w:line="343" w:lineRule="auto"/>
        <w:ind w:firstLine="360" w:firstLineChars="150"/>
        <w:rPr>
          <w:color w:val="auto"/>
          <w:sz w:val="24"/>
          <w:highlight w:val="none"/>
        </w:rPr>
      </w:pPr>
      <w:r>
        <w:rPr>
          <w:color w:val="auto"/>
          <w:sz w:val="24"/>
          <w:highlight w:val="none"/>
        </w:rPr>
        <w:t>一、开工前与农民工签定劳动合同</w:t>
      </w:r>
      <w:r>
        <w:rPr>
          <w:color w:val="auto"/>
          <w:sz w:val="24"/>
          <w:highlight w:val="none"/>
        </w:rPr>
        <w:br w:type="textWrapping"/>
      </w:r>
      <w:r>
        <w:rPr>
          <w:color w:val="auto"/>
          <w:sz w:val="24"/>
          <w:highlight w:val="none"/>
        </w:rPr>
        <w:t>     二、按时支付农民工工资、加班加点工资。</w:t>
      </w:r>
      <w:r>
        <w:rPr>
          <w:color w:val="auto"/>
          <w:sz w:val="24"/>
          <w:highlight w:val="none"/>
        </w:rPr>
        <w:br w:type="textWrapping"/>
      </w:r>
      <w:r>
        <w:rPr>
          <w:color w:val="auto"/>
          <w:sz w:val="24"/>
          <w:highlight w:val="none"/>
        </w:rPr>
        <w:t>     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     四、不无故拖欠、克扣农民工工资。</w:t>
      </w:r>
      <w:r>
        <w:rPr>
          <w:color w:val="auto"/>
          <w:sz w:val="24"/>
          <w:highlight w:val="none"/>
        </w:rPr>
        <w:br w:type="textWrapping"/>
      </w:r>
      <w:r>
        <w:rPr>
          <w:color w:val="auto"/>
          <w:sz w:val="24"/>
          <w:highlight w:val="none"/>
        </w:rPr>
        <w:t>     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      六、若有拖欠、克扣农民工工资、加班加点工资及侵害农民工劳动报酬权益的行为，</w:t>
      </w: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right"/>
        <w:rPr>
          <w:color w:val="auto"/>
          <w:sz w:val="24"/>
          <w:highlight w:val="none"/>
          <w:u w:val="single"/>
        </w:rPr>
      </w:pPr>
      <w:r>
        <w:rPr>
          <w:rFonts w:hint="eastAsia"/>
          <w:color w:val="auto"/>
          <w:sz w:val="24"/>
          <w:highlight w:val="none"/>
        </w:rPr>
        <w:t xml:space="preserve"> 承 诺 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pStyle w:val="4"/>
        <w:spacing w:beforeLines="100" w:afterLines="150" w:line="360" w:lineRule="exact"/>
        <w:jc w:val="center"/>
        <w:rPr>
          <w:rFonts w:ascii="黑体" w:eastAsia="黑体"/>
          <w:color w:val="auto"/>
          <w:sz w:val="30"/>
          <w:szCs w:val="30"/>
          <w:highlight w:val="none"/>
        </w:rPr>
      </w:pPr>
      <w:bookmarkStart w:id="306" w:name="_Toc18302"/>
      <w:bookmarkStart w:id="307" w:name="_Toc486277945"/>
      <w:bookmarkStart w:id="308" w:name="_Toc485889080"/>
      <w:r>
        <w:rPr>
          <w:rFonts w:hint="eastAsia" w:ascii="黑体" w:eastAsia="黑体"/>
          <w:color w:val="auto"/>
          <w:sz w:val="30"/>
          <w:szCs w:val="30"/>
          <w:highlight w:val="none"/>
          <w:lang w:eastAsia="zh-CN"/>
        </w:rPr>
        <w:t>九</w:t>
      </w:r>
      <w:r>
        <w:rPr>
          <w:rFonts w:hint="eastAsia" w:ascii="黑体" w:eastAsia="黑体"/>
          <w:color w:val="auto"/>
          <w:sz w:val="30"/>
          <w:szCs w:val="30"/>
          <w:highlight w:val="none"/>
        </w:rPr>
        <w:t>、扬尘治理专项承诺书</w:t>
      </w:r>
      <w:bookmarkEnd w:id="306"/>
      <w:bookmarkEnd w:id="307"/>
      <w:bookmarkEnd w:id="308"/>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30"/>
          <w:szCs w:val="30"/>
          <w:highlight w:val="none"/>
        </w:rPr>
      </w:pPr>
    </w:p>
    <w:p>
      <w:pPr>
        <w:pStyle w:val="4"/>
        <w:spacing w:beforeLines="100" w:afterLines="150" w:line="360" w:lineRule="exact"/>
        <w:jc w:val="center"/>
        <w:rPr>
          <w:rFonts w:ascii="黑体" w:hAnsi="宋体" w:eastAsia="黑体"/>
          <w:color w:val="auto"/>
          <w:sz w:val="30"/>
          <w:szCs w:val="30"/>
          <w:highlight w:val="none"/>
        </w:rPr>
      </w:pPr>
      <w:bookmarkStart w:id="309" w:name="_Toc5401"/>
      <w:bookmarkStart w:id="310" w:name="_Toc486277946"/>
      <w:bookmarkStart w:id="311" w:name="_Toc485889081"/>
      <w:r>
        <w:rPr>
          <w:rFonts w:hint="eastAsia" w:ascii="黑体" w:hAnsi="宋体" w:eastAsia="黑体"/>
          <w:color w:val="auto"/>
          <w:sz w:val="30"/>
          <w:szCs w:val="30"/>
          <w:highlight w:val="none"/>
        </w:rPr>
        <w:t>十、其 他 材 料</w:t>
      </w:r>
      <w:bookmarkEnd w:id="305"/>
      <w:bookmarkEnd w:id="309"/>
      <w:bookmarkEnd w:id="310"/>
      <w:bookmarkEnd w:id="311"/>
    </w:p>
    <w:p>
      <w:pPr>
        <w:rPr>
          <w:color w:val="auto"/>
          <w:highlight w:val="none"/>
        </w:rPr>
      </w:pPr>
    </w:p>
    <w:p>
      <w:pPr>
        <w:rPr>
          <w:color w:val="auto"/>
          <w:highlight w:val="none"/>
        </w:rPr>
      </w:pPr>
    </w:p>
    <w:p>
      <w:pPr>
        <w:pStyle w:val="4"/>
        <w:spacing w:beforeLines="100" w:afterLines="150" w:line="360" w:lineRule="exact"/>
        <w:jc w:val="center"/>
        <w:rPr>
          <w:color w:val="auto"/>
          <w:highlight w:val="none"/>
        </w:rPr>
      </w:pPr>
    </w:p>
    <w:p>
      <w:pPr>
        <w:pStyle w:val="4"/>
        <w:spacing w:beforeLines="100" w:afterLines="150" w:line="360" w:lineRule="exact"/>
        <w:jc w:val="cente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right"/>
        <w:rPr>
          <w:rFonts w:hint="eastAsia" w:ascii="黑体" w:hAnsi="宋体" w:eastAsia="黑体"/>
          <w:b w:val="0"/>
          <w:bCs/>
          <w:color w:val="auto"/>
          <w:sz w:val="36"/>
          <w:szCs w:val="36"/>
          <w:highlight w:val="none"/>
          <w:lang w:eastAsia="zh-CN"/>
        </w:rPr>
      </w:pPr>
      <w:r>
        <w:rPr>
          <w:rFonts w:hint="eastAsia" w:ascii="黑体" w:hAnsi="宋体" w:eastAsia="黑体"/>
          <w:b w:val="0"/>
          <w:bCs/>
          <w:color w:val="auto"/>
          <w:sz w:val="36"/>
          <w:szCs w:val="36"/>
          <w:highlight w:val="none"/>
          <w:lang w:eastAsia="zh-CN"/>
        </w:rPr>
        <w:t>正（副）本</w:t>
      </w:r>
    </w:p>
    <w:p>
      <w:pPr>
        <w:jc w:val="center"/>
        <w:rPr>
          <w:rFonts w:hint="eastAsia" w:ascii="黑体" w:hAnsi="华文中宋" w:eastAsia="黑体"/>
          <w:b w:val="0"/>
          <w:bCs/>
          <w:color w:val="auto"/>
          <w:sz w:val="36"/>
          <w:szCs w:val="36"/>
          <w:highlight w:val="none"/>
          <w:lang w:eastAsia="zh-CN"/>
        </w:rPr>
      </w:pPr>
      <w:r>
        <w:rPr>
          <w:rFonts w:hint="eastAsia" w:ascii="黑体" w:hAnsi="宋体" w:eastAsia="黑体"/>
          <w:b w:val="0"/>
          <w:bCs/>
          <w:color w:val="auto"/>
          <w:sz w:val="52"/>
          <w:szCs w:val="52"/>
          <w:highlight w:val="none"/>
          <w:lang w:val="en-US" w:eastAsia="zh-CN"/>
        </w:rPr>
        <w:t xml:space="preserve"> </w:t>
      </w:r>
      <w:r>
        <w:rPr>
          <w:rFonts w:hint="eastAsia" w:ascii="黑体" w:hAnsi="宋体" w:eastAsia="黑体"/>
          <w:b w:val="0"/>
          <w:bCs/>
          <w:color w:val="auto"/>
          <w:sz w:val="52"/>
          <w:szCs w:val="52"/>
          <w:highlight w:val="none"/>
          <w:u w:val="single"/>
          <w:lang w:val="en-US" w:eastAsia="zh-CN"/>
        </w:rPr>
        <w:t xml:space="preserve">                      </w:t>
      </w:r>
      <w:r>
        <w:rPr>
          <w:rFonts w:hint="eastAsia" w:ascii="黑体" w:hAnsi="宋体" w:eastAsia="黑体"/>
          <w:b w:val="0"/>
          <w:bCs/>
          <w:color w:val="auto"/>
          <w:sz w:val="52"/>
          <w:szCs w:val="52"/>
          <w:highlight w:val="none"/>
          <w:lang w:val="en-US" w:eastAsia="zh-CN"/>
        </w:rPr>
        <w:t xml:space="preserve"> </w:t>
      </w:r>
      <w:r>
        <w:rPr>
          <w:rFonts w:hint="eastAsia" w:ascii="黑体" w:hAnsi="宋体" w:eastAsia="黑体"/>
          <w:b w:val="0"/>
          <w:bCs/>
          <w:color w:val="auto"/>
          <w:sz w:val="52"/>
          <w:szCs w:val="52"/>
          <w:highlight w:val="none"/>
          <w:lang w:eastAsia="zh-CN"/>
        </w:rPr>
        <w:t>项目</w:t>
      </w:r>
      <w:r>
        <w:rPr>
          <w:rFonts w:hint="eastAsia" w:ascii="黑体" w:hAnsi="宋体" w:eastAsia="黑体"/>
          <w:b w:val="0"/>
          <w:bCs/>
          <w:color w:val="auto"/>
          <w:sz w:val="52"/>
          <w:szCs w:val="52"/>
          <w:highlight w:val="none"/>
          <w:u w:val="single"/>
          <w:lang w:val="en-US" w:eastAsia="zh-CN"/>
        </w:rPr>
        <w:t xml:space="preserve">   </w:t>
      </w:r>
      <w:r>
        <w:rPr>
          <w:rFonts w:hint="eastAsia" w:ascii="黑体" w:hAnsi="宋体" w:eastAsia="黑体"/>
          <w:b w:val="0"/>
          <w:bCs/>
          <w:color w:val="auto"/>
          <w:sz w:val="52"/>
          <w:szCs w:val="52"/>
          <w:highlight w:val="none"/>
          <w:lang w:val="en-US" w:eastAsia="zh-CN"/>
        </w:rPr>
        <w:t>标段</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w:t>
      </w:r>
      <w:r>
        <w:rPr>
          <w:rFonts w:hint="eastAsia" w:ascii="黑体" w:hAnsi="华文中宋" w:eastAsia="黑体"/>
          <w:color w:val="auto"/>
          <w:sz w:val="36"/>
          <w:szCs w:val="36"/>
          <w:highlight w:val="none"/>
          <w:lang w:val="en-US" w:eastAsia="zh-CN"/>
        </w:rPr>
        <w:t>9</w:t>
      </w:r>
      <w:r>
        <w:rPr>
          <w:rFonts w:hint="eastAsia" w:ascii="黑体" w:hAnsi="华文中宋" w:eastAsia="黑体"/>
          <w:color w:val="auto"/>
          <w:sz w:val="36"/>
          <w:szCs w:val="36"/>
          <w:highlight w:val="none"/>
          <w:lang w:eastAsia="zh-CN"/>
        </w:rPr>
        <w:t>〕</w:t>
      </w:r>
      <w:r>
        <w:rPr>
          <w:rFonts w:hint="eastAsia" w:ascii="黑体" w:hAnsi="华文中宋" w:eastAsia="黑体"/>
          <w:color w:val="auto"/>
          <w:sz w:val="36"/>
          <w:szCs w:val="36"/>
          <w:highlight w:val="none"/>
          <w:lang w:val="en-US" w:eastAsia="zh-CN"/>
        </w:rPr>
        <w:t xml:space="preserve">   </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 xml:space="preserve">第二信封  </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（投标报价及工程量清单）</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ind w:firstLine="2570" w:firstLineChars="800"/>
        <w:rPr>
          <w:rFonts w:ascii="黑体" w:hAnsi="宋体" w:eastAsia="黑体"/>
          <w:b/>
          <w:color w:val="auto"/>
          <w:sz w:val="32"/>
          <w:szCs w:val="32"/>
          <w:highlight w:val="none"/>
        </w:rPr>
      </w:pP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rPr>
          <w:rFonts w:ascii="宋体" w:hAnsi="宋体" w:eastAsia="宋体"/>
          <w:color w:val="auto"/>
          <w:highlight w:val="none"/>
        </w:rPr>
      </w:pPr>
    </w:p>
    <w:p>
      <w:pPr>
        <w:pageBreakBefore/>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目 录</w:t>
      </w:r>
    </w:p>
    <w:p>
      <w:pPr>
        <w:spacing w:line="360" w:lineRule="auto"/>
        <w:jc w:val="center"/>
        <w:rPr>
          <w:rFonts w:ascii="宋体" w:hAnsi="宋体" w:eastAsia="宋体"/>
          <w:b/>
          <w:color w:val="auto"/>
          <w:sz w:val="32"/>
          <w:szCs w:val="32"/>
          <w:highlight w:val="none"/>
        </w:rPr>
      </w:pP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一、投标函</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二、已标价工程量清单</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三、拟分包项目情况表</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四、合同用款估算表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一、投标函</w:t>
      </w:r>
    </w:p>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投 标 函</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_________________________(招标人名称)：</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1．我方已仔细研究________________(项目名称)施工招标文件的全部内容</w:t>
      </w:r>
      <w:r>
        <w:rPr>
          <w:rFonts w:hint="eastAsia" w:ascii="宋体" w:hAnsi="宋体"/>
          <w:color w:val="auto"/>
          <w:sz w:val="24"/>
          <w:highlight w:val="none"/>
        </w:rPr>
        <w:t>（含补遗书第</w:t>
      </w:r>
      <w:r>
        <w:rPr>
          <w:rFonts w:hint="eastAsia" w:ascii="宋体" w:hAnsi="宋体"/>
          <w:color w:val="auto"/>
          <w:sz w:val="24"/>
          <w:highlight w:val="none"/>
          <w:u w:val="single"/>
        </w:rPr>
        <w:t xml:space="preserve">  </w:t>
      </w:r>
      <w:r>
        <w:rPr>
          <w:rFonts w:hint="eastAsia" w:ascii="宋体" w:hAnsi="宋体"/>
          <w:color w:val="auto"/>
          <w:sz w:val="24"/>
          <w:highlight w:val="none"/>
        </w:rPr>
        <w:t>号至第</w:t>
      </w:r>
      <w:r>
        <w:rPr>
          <w:rFonts w:hint="eastAsia" w:ascii="宋体" w:hAnsi="宋体"/>
          <w:color w:val="auto"/>
          <w:sz w:val="24"/>
          <w:highlight w:val="none"/>
          <w:u w:val="single"/>
        </w:rPr>
        <w:t xml:space="preserve">  </w:t>
      </w:r>
      <w:r>
        <w:rPr>
          <w:rFonts w:hint="eastAsia" w:ascii="宋体" w:hAnsi="宋体"/>
          <w:color w:val="auto"/>
          <w:sz w:val="24"/>
          <w:highlight w:val="none"/>
        </w:rPr>
        <w:t>号）</w:t>
      </w:r>
      <w:r>
        <w:rPr>
          <w:rFonts w:hint="eastAsia" w:ascii="宋体" w:hAnsi="宋体" w:eastAsia="宋体"/>
          <w:color w:val="auto"/>
          <w:sz w:val="24"/>
          <w:highlight w:val="none"/>
        </w:rPr>
        <w:t>，在考察工程现场后，愿意以人民币(大写)________元(¥________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3．__________________________________(其他补充说明)。</w:t>
      </w:r>
    </w:p>
    <w:p>
      <w:pPr>
        <w:spacing w:line="360" w:lineRule="auto"/>
        <w:ind w:firstLine="480" w:firstLineChars="200"/>
        <w:jc w:val="left"/>
        <w:rPr>
          <w:rFonts w:ascii="宋体" w:hAnsi="宋体" w:eastAsia="宋体"/>
          <w:color w:val="auto"/>
          <w:sz w:val="24"/>
          <w:highlight w:val="none"/>
        </w:rPr>
      </w:pPr>
    </w:p>
    <w:p>
      <w:pPr>
        <w:spacing w:line="360" w:lineRule="auto"/>
        <w:ind w:firstLine="480" w:firstLineChars="200"/>
        <w:jc w:val="left"/>
        <w:rPr>
          <w:rFonts w:ascii="宋体" w:hAnsi="宋体" w:eastAsia="宋体"/>
          <w:color w:val="auto"/>
          <w:sz w:val="24"/>
          <w:highlight w:val="none"/>
        </w:rPr>
      </w:pP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投 标 人：___________________(盖单位章)</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法定代表人或其委托代理人:____________(签字)</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地址：________________________________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网址：________________________________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电话：________________________________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传真：________________________________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邮政编码：____________________________</w:t>
      </w:r>
    </w:p>
    <w:p>
      <w:pPr>
        <w:spacing w:line="360" w:lineRule="auto"/>
        <w:ind w:left="3543" w:leftChars="1687"/>
        <w:jc w:val="left"/>
        <w:rPr>
          <w:rFonts w:ascii="宋体" w:hAnsi="宋体" w:eastAsia="宋体"/>
          <w:color w:val="auto"/>
          <w:sz w:val="24"/>
          <w:highlight w:val="none"/>
        </w:rPr>
      </w:pPr>
    </w:p>
    <w:p>
      <w:pPr>
        <w:spacing w:line="360" w:lineRule="auto"/>
        <w:ind w:left="3543" w:leftChars="1687" w:firstLine="720" w:firstLineChars="300"/>
        <w:jc w:val="left"/>
        <w:rPr>
          <w:rFonts w:ascii="宋体" w:hAnsi="宋体" w:eastAsia="宋体"/>
          <w:color w:val="auto"/>
          <w:sz w:val="24"/>
          <w:highlight w:val="none"/>
        </w:rPr>
      </w:pPr>
      <w:r>
        <w:rPr>
          <w:rFonts w:hint="eastAsia" w:ascii="宋体" w:hAnsi="宋体" w:eastAsia="宋体"/>
          <w:color w:val="auto"/>
          <w:sz w:val="24"/>
          <w:highlight w:val="none"/>
        </w:rPr>
        <w:t>________年______月_______日</w:t>
      </w:r>
    </w:p>
    <w:p>
      <w:pPr>
        <w:spacing w:line="360" w:lineRule="auto"/>
        <w:ind w:left="1"/>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ind w:left="1"/>
        <w:jc w:val="left"/>
        <w:rPr>
          <w:rFonts w:ascii="宋体" w:hAnsi="宋体" w:eastAsia="宋体"/>
          <w:color w:val="auto"/>
          <w:sz w:val="24"/>
          <w:highlight w:val="none"/>
        </w:rPr>
      </w:pPr>
    </w:p>
    <w:p>
      <w:pPr>
        <w:spacing w:line="360" w:lineRule="auto"/>
        <w:ind w:left="3543" w:leftChars="1687" w:firstLine="720" w:firstLineChars="300"/>
        <w:jc w:val="left"/>
        <w:rPr>
          <w:rFonts w:ascii="宋体" w:hAnsi="宋体" w:eastAsia="宋体"/>
          <w:color w:val="auto"/>
          <w:sz w:val="24"/>
          <w:highlight w:val="none"/>
        </w:rPr>
      </w:pP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二、已标价工程量清单</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投标人应按照第五章“工程量清单”的要求逐项填报工程量清单，包括工程量清</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单说明、投标报价说明、计日工说明、其他说明及工程量清单各项表格（工程量清</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单表 5.1～表 5.5）</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both"/>
        <w:rPr>
          <w:rFonts w:ascii="宋体" w:hAnsi="宋体" w:eastAsia="宋体"/>
          <w:b/>
          <w:color w:val="auto"/>
          <w:sz w:val="32"/>
          <w:szCs w:val="32"/>
          <w:highlight w:val="none"/>
        </w:rPr>
      </w:pPr>
    </w:p>
    <w:p>
      <w:pPr>
        <w:pageBreakBefore/>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三、拟分包项目情况表</w:t>
      </w:r>
    </w:p>
    <w:p>
      <w:pPr>
        <w:rPr>
          <w:rFonts w:ascii="宋体" w:hAnsi="宋体" w:cs="宋体"/>
          <w:color w:val="auto"/>
          <w:highlight w:val="none"/>
        </w:rPr>
      </w:pP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分包人名称</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拟分包的工程项目</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主要内容</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预计造价（万元）</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Merge w:val="restart"/>
            <w:vAlign w:val="top"/>
          </w:tcPr>
          <w:p>
            <w:pPr>
              <w:ind w:firstLine="210" w:firstLineChars="100"/>
              <w:rPr>
                <w:rFonts w:hint="eastAsia" w:ascii="宋体" w:hAnsi="宋体" w:eastAsia="宋体" w:cs="宋体"/>
                <w:color w:val="auto"/>
                <w:sz w:val="21"/>
                <w:szCs w:val="21"/>
                <w:highlight w:val="none"/>
              </w:rPr>
            </w:pP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1.本栏应写明分包人以往做过的类似工程，包括工程名称、地点、造价、工期、交工年份和其发包人与总监理工程师的姓名和地址。</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分包值合计（万元）</w:t>
            </w: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bl>
    <w:p>
      <w:pPr>
        <w:pStyle w:val="4"/>
        <w:spacing w:beforeLines="50" w:after="240" w:line="400" w:lineRule="exact"/>
        <w:jc w:val="both"/>
        <w:rPr>
          <w:rFonts w:hint="eastAsia" w:ascii="宋体" w:hAnsi="宋体" w:eastAsia="宋体"/>
          <w:color w:val="auto"/>
          <w:kern w:val="2"/>
          <w:sz w:val="32"/>
          <w:szCs w:val="28"/>
          <w:highlight w:val="none"/>
        </w:rPr>
      </w:pPr>
      <w:bookmarkStart w:id="312" w:name="_Toc5044"/>
      <w:bookmarkStart w:id="313" w:name="_Toc234382973"/>
      <w:bookmarkStart w:id="314" w:name="_Toc485889069"/>
      <w:bookmarkStart w:id="315" w:name="_Toc486277947"/>
    </w:p>
    <w:p>
      <w:pPr>
        <w:pStyle w:val="4"/>
        <w:spacing w:beforeLines="50" w:after="240" w:line="400" w:lineRule="exact"/>
        <w:ind w:firstLine="2570" w:firstLineChars="800"/>
        <w:jc w:val="both"/>
        <w:rPr>
          <w:rFonts w:ascii="宋体" w:hAnsi="宋体" w:eastAsia="宋体"/>
          <w:color w:val="auto"/>
          <w:kern w:val="2"/>
          <w:sz w:val="32"/>
          <w:szCs w:val="28"/>
          <w:highlight w:val="none"/>
        </w:rPr>
      </w:pPr>
      <w:r>
        <w:rPr>
          <w:rFonts w:hint="eastAsia" w:ascii="宋体" w:hAnsi="宋体" w:eastAsia="宋体"/>
          <w:color w:val="auto"/>
          <w:kern w:val="2"/>
          <w:sz w:val="32"/>
          <w:szCs w:val="28"/>
          <w:highlight w:val="none"/>
        </w:rPr>
        <w:t>四、合同用款估算表</w:t>
      </w:r>
      <w:bookmarkEnd w:id="312"/>
      <w:bookmarkEnd w:id="313"/>
      <w:bookmarkEnd w:id="314"/>
      <w:bookmarkEnd w:id="315"/>
    </w:p>
    <w:tbl>
      <w:tblPr>
        <w:tblStyle w:val="10"/>
        <w:tblpPr w:leftFromText="180" w:rightFromText="180" w:vertAnchor="text" w:horzAnchor="margin" w:tblpXSpec="left"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color w:val="auto"/>
                <w:szCs w:val="21"/>
                <w:highlight w:val="none"/>
              </w:rPr>
            </w:pPr>
            <w:r>
              <w:rPr>
                <w:rFonts w:hint="eastAsia" w:ascii="宋体" w:hAnsi="宋体"/>
                <w:color w:val="auto"/>
                <w:szCs w:val="21"/>
                <w:highlight w:val="none"/>
              </w:rPr>
              <w:t>从开工月算起的时间（月）</w:t>
            </w:r>
          </w:p>
        </w:tc>
        <w:tc>
          <w:tcPr>
            <w:tcW w:w="692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color w:val="auto"/>
                <w:szCs w:val="21"/>
                <w:highlight w:val="none"/>
              </w:rPr>
            </w:pPr>
          </w:p>
        </w:tc>
        <w:tc>
          <w:tcPr>
            <w:tcW w:w="3462" w:type="dxa"/>
            <w:gridSpan w:val="2"/>
            <w:vAlign w:val="center"/>
          </w:tcPr>
          <w:p>
            <w:pPr>
              <w:tabs>
                <w:tab w:val="left" w:pos="4863"/>
              </w:tabs>
              <w:jc w:val="center"/>
              <w:rPr>
                <w:rFonts w:ascii="宋体" w:hAnsi="宋体"/>
                <w:color w:val="auto"/>
                <w:szCs w:val="21"/>
                <w:highlight w:val="none"/>
              </w:rPr>
            </w:pPr>
            <w:r>
              <w:rPr>
                <w:rFonts w:hint="eastAsia" w:ascii="宋体" w:hAnsi="宋体"/>
                <w:color w:val="auto"/>
                <w:szCs w:val="21"/>
                <w:highlight w:val="none"/>
              </w:rPr>
              <w:t>分  期</w:t>
            </w:r>
          </w:p>
        </w:tc>
        <w:tc>
          <w:tcPr>
            <w:tcW w:w="3463" w:type="dxa"/>
            <w:gridSpan w:val="2"/>
            <w:vAlign w:val="center"/>
          </w:tcPr>
          <w:p>
            <w:pPr>
              <w:tabs>
                <w:tab w:val="left" w:pos="4863"/>
              </w:tabs>
              <w:jc w:val="center"/>
              <w:rPr>
                <w:rFonts w:ascii="宋体" w:hAnsi="宋体"/>
                <w:color w:val="auto"/>
                <w:szCs w:val="21"/>
                <w:highlight w:val="none"/>
              </w:rPr>
            </w:pPr>
            <w:r>
              <w:rPr>
                <w:rFonts w:hint="eastAsia" w:ascii="宋体" w:hAnsi="宋体"/>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金额（元）</w:t>
            </w: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金额（元）</w:t>
            </w:r>
          </w:p>
        </w:tc>
        <w:tc>
          <w:tcPr>
            <w:tcW w:w="1732"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第一次开工预付款</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4～6</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7～9</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10～12</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13～15</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缺陷责任期</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小计</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100．00</w:t>
            </w: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color w:val="auto"/>
                <w:szCs w:val="21"/>
                <w:highlight w:val="none"/>
              </w:rPr>
            </w:pPr>
            <w:r>
              <w:rPr>
                <w:rFonts w:hint="eastAsia" w:ascii="宋体" w:hAnsi="宋体"/>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7" w:hRule="atLeast"/>
        </w:trPr>
        <w:tc>
          <w:tcPr>
            <w:tcW w:w="717" w:type="dxa"/>
            <w:vAlign w:val="center"/>
          </w:tcPr>
          <w:p>
            <w:pPr>
              <w:jc w:val="center"/>
              <w:rPr>
                <w:rFonts w:ascii="宋体" w:hAnsi="宋体"/>
                <w:color w:val="auto"/>
                <w:szCs w:val="21"/>
                <w:highlight w:val="none"/>
              </w:rPr>
            </w:pPr>
            <w:r>
              <w:rPr>
                <w:rFonts w:hint="eastAsia" w:ascii="宋体" w:hAnsi="宋体"/>
                <w:color w:val="auto"/>
                <w:szCs w:val="21"/>
                <w:highlight w:val="none"/>
              </w:rPr>
              <w:t>说</w:t>
            </w: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明</w:t>
            </w:r>
          </w:p>
        </w:tc>
        <w:tc>
          <w:tcPr>
            <w:tcW w:w="8922" w:type="dxa"/>
            <w:gridSpan w:val="5"/>
            <w:vAlign w:val="center"/>
          </w:tcPr>
          <w:p>
            <w:pPr>
              <w:jc w:val="both"/>
              <w:rPr>
                <w:rFonts w:ascii="宋体" w:hAnsi="宋体"/>
                <w:color w:val="auto"/>
                <w:szCs w:val="21"/>
                <w:highlight w:val="none"/>
              </w:rPr>
            </w:pPr>
          </w:p>
        </w:tc>
      </w:tr>
    </w:tbl>
    <w:p>
      <w:pPr>
        <w:jc w:val="center"/>
        <w:rPr>
          <w:rFonts w:ascii="隶书" w:hAnsi="宋体" w:eastAsia="隶书"/>
          <w:color w:val="auto"/>
          <w:sz w:val="24"/>
          <w:highlight w:val="none"/>
        </w:rPr>
      </w:pPr>
    </w:p>
    <w:p>
      <w:pPr>
        <w:rPr>
          <w:rFonts w:ascii="宋体" w:hAnsi="宋体"/>
          <w:color w:val="auto"/>
          <w:szCs w:val="21"/>
          <w:highlight w:val="none"/>
        </w:rPr>
      </w:pPr>
      <w:r>
        <w:rPr>
          <w:rFonts w:hint="eastAsia" w:ascii="宋体" w:hAnsi="宋体"/>
          <w:color w:val="auto"/>
          <w:szCs w:val="21"/>
          <w:highlight w:val="none"/>
        </w:rPr>
        <w:t>注：1.投标人可按附表一的工程进度估算并填写本表。</w:t>
      </w:r>
    </w:p>
    <w:p>
      <w:pPr>
        <w:ind w:left="630" w:hanging="630"/>
        <w:rPr>
          <w:rFonts w:ascii="宋体" w:hAnsi="宋体"/>
          <w:color w:val="auto"/>
          <w:szCs w:val="21"/>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spacing w:line="360" w:lineRule="auto"/>
        <w:rPr>
          <w:color w:val="auto"/>
          <w:highlight w:val="none"/>
        </w:rPr>
      </w:pPr>
    </w:p>
    <w:p>
      <w:pPr>
        <w:spacing w:line="360" w:lineRule="auto"/>
        <w:rPr>
          <w:color w:val="auto"/>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bookmarkStart w:id="316" w:name="_Toc12556"/>
      <w:r>
        <w:rPr>
          <w:rFonts w:hint="eastAsia" w:ascii="黑体" w:eastAsia="黑体"/>
          <w:bCs/>
          <w:color w:val="auto"/>
          <w:sz w:val="44"/>
          <w:szCs w:val="44"/>
          <w:highlight w:val="none"/>
        </w:rPr>
        <w:t>第九章 投标人须知前附表规定的其他材料</w:t>
      </w:r>
      <w:bookmarkEnd w:id="316"/>
    </w:p>
    <w:p>
      <w:pPr>
        <w:rPr>
          <w:color w:val="auto"/>
          <w:highlight w:val="none"/>
        </w:rPr>
      </w:pPr>
    </w:p>
    <w:sectPr>
      <w:footnotePr>
        <w:numFmt w:val="decimalEnclosedCircleChinese"/>
        <w:numRestart w:val="eachPage"/>
      </w:footnotePr>
      <w:pgSz w:w="11907" w:h="16840"/>
      <w:pgMar w:top="1440" w:right="1361" w:bottom="1440" w:left="1361" w:header="720" w:footer="90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仿宋_GB2312">
    <w:altName w:val="微软雅黑"/>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7"/>
      </w:rPr>
    </w:pPr>
  </w:p>
  <w:p>
    <w:pPr>
      <w:pStyle w:val="6"/>
      <w:ind w:right="360"/>
      <w:jc w:val="both"/>
    </w:pPr>
    <w:r>
      <w:rPr>
        <w:rFonts w:hint="eastAsia"/>
      </w:rPr>
      <w:t xml:space="preserve">                                                       </w:t>
    </w:r>
  </w:p>
  <w:p>
    <w:pPr>
      <w:pStyle w:val="6"/>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7"/>
      </w:rPr>
    </w:pPr>
    <w:r>
      <w:rPr>
        <w:rFonts w:ascii="Times New Roman" w:hAnsi="Times New Roman" w:eastAsia="宋体" w:cs="Times New Roman"/>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p>
    <w:pPr>
      <w:pStyle w:val="6"/>
      <w:ind w:right="360"/>
      <w:jc w:val="both"/>
    </w:pPr>
    <w:r>
      <w:rPr>
        <w:rFonts w:hint="eastAsia"/>
      </w:rPr>
      <w:t xml:space="preserve">                                                       </w:t>
    </w:r>
  </w:p>
  <w:p>
    <w:pPr>
      <w:pStyle w:val="6"/>
      <w:jc w:val="center"/>
    </w:pPr>
    <w:r>
      <w:rPr>
        <w:rFonts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rStyle w:val="14"/>
        </w:rPr>
        <w:footnoteRef/>
      </w:r>
      <w:r>
        <w:t xml:space="preserve"> </w:t>
      </w:r>
      <w:r>
        <w:rPr>
          <w:rFonts w:hint="eastAsia"/>
        </w:rPr>
        <w:t>若投标函中的投标价大小写金额不一致，应以大写金额为准。</w:t>
      </w:r>
    </w:p>
  </w:footnote>
  <w:footnote w:id="1">
    <w:p>
      <w:pPr>
        <w:pStyle w:val="9"/>
      </w:pPr>
      <w:r>
        <w:rPr>
          <w:rStyle w:val="14"/>
        </w:rPr>
        <w:footnoteRef/>
      </w:r>
      <w:r>
        <w:rPr>
          <w:rFonts w:hint="eastAsia" w:ascii="宋体" w:hAnsi="宋体"/>
          <w:sz w:val="15"/>
          <w:szCs w:val="15"/>
        </w:rPr>
        <w:t xml:space="preserve"> 指主要材料，一般应为70％-75%，最低不少于60％。</w:t>
      </w:r>
    </w:p>
  </w:footnote>
  <w:footnote w:id="2">
    <w:p>
      <w:pPr>
        <w:pStyle w:val="9"/>
      </w:pPr>
      <w:r>
        <w:rPr>
          <w:rStyle w:val="14"/>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u w:val="singl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3"/>
      <w:numFmt w:val="chineseCounting"/>
      <w:suff w:val="space"/>
      <w:lvlText w:val="第%1章"/>
      <w:lvlJc w:val="left"/>
    </w:lvl>
  </w:abstractNum>
  <w:abstractNum w:abstractNumId="1">
    <w:nsid w:val="0000000D"/>
    <w:multiLevelType w:val="singleLevel"/>
    <w:tmpl w:val="0000000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71799F"/>
    <w:rsid w:val="0466146C"/>
    <w:rsid w:val="05D34285"/>
    <w:rsid w:val="15850763"/>
    <w:rsid w:val="25844806"/>
    <w:rsid w:val="2F2E7D4F"/>
    <w:rsid w:val="31DF6DF2"/>
    <w:rsid w:val="4B3949C7"/>
    <w:rsid w:val="57B81892"/>
    <w:rsid w:val="5B8C7AFA"/>
    <w:rsid w:val="5E5954AA"/>
    <w:rsid w:val="5ED638C9"/>
    <w:rsid w:val="67126EFB"/>
    <w:rsid w:val="7E1B55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2"/>
      <w:sz w:val="28"/>
      <w:szCs w:val="28"/>
      <w:lang w:val="en-US" w:eastAsia="zh-CN" w:bidi="ar-SA"/>
    </w:rPr>
  </w:style>
  <w:style w:type="character" w:default="1" w:styleId="11">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before="100" w:beforeAutospacing="1" w:after="0"/>
      <w:ind w:firstLine="420" w:firstLineChars="100"/>
    </w:pPr>
  </w:style>
  <w:style w:type="paragraph" w:styleId="3">
    <w:name w:val="Body Text"/>
    <w:basedOn w:val="1"/>
    <w:qFormat/>
    <w:uiPriority w:val="0"/>
    <w:pPr>
      <w:jc w:val="center"/>
    </w:pPr>
    <w:rPr>
      <w:sz w:val="7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szCs w:val="20"/>
    </w:rPr>
  </w:style>
  <w:style w:type="paragraph" w:styleId="9">
    <w:name w:val="footnote text"/>
    <w:basedOn w:val="1"/>
    <w:qFormat/>
    <w:uiPriority w:val="0"/>
    <w:pPr>
      <w:snapToGrid w:val="0"/>
      <w:jc w:val="left"/>
    </w:pPr>
    <w:rPr>
      <w:sz w:val="18"/>
      <w:szCs w:val="18"/>
    </w:rPr>
  </w:style>
  <w:style w:type="character" w:styleId="12">
    <w:name w:val="page number"/>
    <w:basedOn w:val="11"/>
    <w:qFormat/>
    <w:uiPriority w:val="0"/>
  </w:style>
  <w:style w:type="character" w:styleId="13">
    <w:name w:val="Hyperlink"/>
    <w:basedOn w:val="11"/>
    <w:qFormat/>
    <w:uiPriority w:val="0"/>
    <w:rPr>
      <w:color w:val="000000"/>
      <w:u w:val="none"/>
    </w:rPr>
  </w:style>
  <w:style w:type="character" w:styleId="14">
    <w:name w:val="footnote reference"/>
    <w:qFormat/>
    <w:uiPriority w:val="0"/>
    <w:rPr>
      <w:vertAlign w:val="superscript"/>
    </w:rPr>
  </w:style>
  <w:style w:type="paragraph" w:customStyle="1" w:styleId="15">
    <w:name w:val="Plain Text"/>
    <w:basedOn w:val="1"/>
    <w:qFormat/>
    <w:uiPriority w:val="0"/>
    <w:rPr>
      <w:rFonts w:ascii="宋体" w:hAnsi="Courier New"/>
      <w:color w:val="000000"/>
      <w:szCs w:val="20"/>
    </w:rPr>
  </w:style>
  <w:style w:type="paragraph" w:customStyle="1" w:styleId="16">
    <w:name w:val="p0"/>
    <w:basedOn w:val="1"/>
    <w:qFormat/>
    <w:uiPriority w:val="0"/>
    <w:pPr>
      <w:widowControl/>
    </w:pPr>
    <w:rPr>
      <w:kern w:val="0"/>
      <w:szCs w:val="21"/>
    </w:rPr>
  </w:style>
  <w:style w:type="character" w:customStyle="1" w:styleId="17">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textRotate="1"/>
    <customShpInfo spid="_x0000_s1027"/>
    <customShpInfo spid="_x0000_s1028"/>
    <customShpInfo spid="_x0000_s1029"/>
    <customShpInfo spid="_x0000_s1025"/>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2017-07-25T16:53:00Z</dcterms:created>
  <dc:creator>Administrator</dc:creator>
  <cp:lastModifiedBy>Administrator</cp:lastModifiedBy>
  <cp:lastPrinted>2019-03-15T08:45:16Z</cp:lastPrinted>
  <dcterms:modified xsi:type="dcterms:W3CDTF">2019-03-15T09:57:06Z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