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Ansi="宋体" w:eastAsia="宋体"/>
          <w:b/>
          <w:snapToGrid w:val="0"/>
          <w:kern w:val="0"/>
          <w:sz w:val="32"/>
          <w:szCs w:val="32"/>
        </w:rPr>
      </w:pPr>
      <w:r>
        <w:rPr>
          <w:rFonts w:hint="eastAsia" w:ascii="宋体" w:hAnsi="宋体"/>
          <w:b/>
          <w:bCs/>
          <w:sz w:val="32"/>
          <w:szCs w:val="32"/>
        </w:rPr>
        <w:t xml:space="preserve">4.1 </w:t>
      </w:r>
      <w:r>
        <w:rPr>
          <w:rFonts w:hint="eastAsia" w:hAnsi="宋体" w:eastAsia="宋体"/>
          <w:b/>
          <w:snapToGrid w:val="0"/>
          <w:kern w:val="0"/>
          <w:sz w:val="32"/>
          <w:szCs w:val="32"/>
        </w:rPr>
        <w:t>投标分项报价表</w:t>
      </w:r>
    </w:p>
    <w:p>
      <w:pPr>
        <w:spacing w:before="50"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项目编号：Y2019HZ005</w:t>
      </w:r>
    </w:p>
    <w:p>
      <w:pPr>
        <w:autoSpaceDE w:val="0"/>
        <w:autoSpaceDN w:val="0"/>
        <w:adjustRightInd w:val="0"/>
        <w:spacing w:line="360" w:lineRule="auto"/>
        <w:outlineLvl w:val="0"/>
        <w:rPr>
          <w:rFonts w:hAnsi="宋体" w:eastAsia="宋体"/>
          <w:b/>
          <w:snapToGrid w:val="0"/>
          <w:kern w:val="0"/>
          <w:sz w:val="36"/>
          <w:szCs w:val="36"/>
        </w:rPr>
      </w:pPr>
      <w:r>
        <w:rPr>
          <w:rFonts w:hint="eastAsia" w:asciiTheme="minorEastAsia" w:hAnsiTheme="minorEastAsia"/>
          <w:sz w:val="24"/>
          <w:szCs w:val="24"/>
        </w:rPr>
        <w:t>项目名称：鄢陵县陶城卫生院电梯采购及安装项目</w:t>
      </w:r>
    </w:p>
    <w:tbl>
      <w:tblPr>
        <w:tblStyle w:val="4"/>
        <w:tblW w:w="9987" w:type="dxa"/>
        <w:tblInd w:w="0" w:type="dxa"/>
        <w:tblLayout w:type="fixed"/>
        <w:tblCellMar>
          <w:top w:w="0" w:type="dxa"/>
          <w:left w:w="108" w:type="dxa"/>
          <w:bottom w:w="0" w:type="dxa"/>
          <w:right w:w="108" w:type="dxa"/>
        </w:tblCellMar>
      </w:tblPr>
      <w:tblGrid>
        <w:gridCol w:w="534"/>
        <w:gridCol w:w="620"/>
        <w:gridCol w:w="1717"/>
        <w:gridCol w:w="2300"/>
        <w:gridCol w:w="616"/>
        <w:gridCol w:w="634"/>
        <w:gridCol w:w="983"/>
        <w:gridCol w:w="1013"/>
        <w:gridCol w:w="1570"/>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序号</w:t>
            </w:r>
          </w:p>
        </w:tc>
        <w:tc>
          <w:tcPr>
            <w:tcW w:w="62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名</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称</w:t>
            </w:r>
          </w:p>
        </w:tc>
        <w:tc>
          <w:tcPr>
            <w:tcW w:w="17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 w:val="24"/>
                <w:szCs w:val="24"/>
                <w:lang w:val="zh-CN"/>
              </w:rPr>
            </w:pPr>
            <w:r>
              <w:rPr>
                <w:rFonts w:hint="eastAsia" w:cs="宋体" w:asciiTheme="minorEastAsia" w:hAnsiTheme="minorEastAsia"/>
                <w:b/>
                <w:sz w:val="24"/>
                <w:szCs w:val="24"/>
                <w:lang w:val="zh-CN"/>
              </w:rPr>
              <w:t>规格型号</w:t>
            </w:r>
          </w:p>
        </w:tc>
        <w:tc>
          <w:tcPr>
            <w:tcW w:w="23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技术</w:t>
            </w:r>
          </w:p>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参数</w:t>
            </w:r>
          </w:p>
        </w:tc>
        <w:tc>
          <w:tcPr>
            <w:tcW w:w="61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位</w:t>
            </w:r>
          </w:p>
        </w:tc>
        <w:tc>
          <w:tcPr>
            <w:tcW w:w="6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数</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量</w:t>
            </w:r>
          </w:p>
        </w:tc>
        <w:tc>
          <w:tcPr>
            <w:tcW w:w="98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单价</w:t>
            </w:r>
          </w:p>
        </w:tc>
        <w:tc>
          <w:tcPr>
            <w:tcW w:w="101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总价</w:t>
            </w:r>
          </w:p>
        </w:tc>
        <w:tc>
          <w:tcPr>
            <w:tcW w:w="157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 w:val="24"/>
                <w:szCs w:val="24"/>
              </w:rPr>
            </w:pPr>
            <w:r>
              <w:rPr>
                <w:rFonts w:hint="eastAsia" w:asciiTheme="minorEastAsia" w:hAnsiTheme="minorEastAsia"/>
                <w:sz w:val="24"/>
                <w:szCs w:val="24"/>
              </w:rPr>
              <w:t>1</w:t>
            </w:r>
          </w:p>
        </w:tc>
        <w:tc>
          <w:tcPr>
            <w:tcW w:w="62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szCs w:val="24"/>
              </w:rPr>
            </w:pPr>
            <w:r>
              <w:rPr>
                <w:rFonts w:hint="eastAsia" w:ascii="宋体" w:hAnsi="宋体"/>
                <w:sz w:val="24"/>
              </w:rPr>
              <w:t>土建及钢结构要求</w:t>
            </w:r>
          </w:p>
        </w:tc>
        <w:tc>
          <w:tcPr>
            <w:tcW w:w="1717" w:type="dxa"/>
            <w:tcBorders>
              <w:top w:val="single" w:color="auto" w:sz="6" w:space="0"/>
              <w:left w:val="single" w:color="auto" w:sz="6" w:space="0"/>
              <w:bottom w:val="single" w:color="auto" w:sz="6" w:space="0"/>
              <w:right w:val="single" w:color="auto" w:sz="6" w:space="0"/>
            </w:tcBorders>
            <w:vAlign w:val="center"/>
          </w:tcPr>
          <w:p>
            <w:pPr>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w:t>
            </w:r>
          </w:p>
        </w:tc>
        <w:tc>
          <w:tcPr>
            <w:tcW w:w="2300" w:type="dxa"/>
            <w:tcBorders>
              <w:top w:val="single" w:color="auto" w:sz="6" w:space="0"/>
              <w:left w:val="single" w:color="auto" w:sz="6" w:space="0"/>
              <w:bottom w:val="single" w:color="auto" w:sz="6" w:space="0"/>
              <w:right w:val="single" w:color="auto" w:sz="6" w:space="0"/>
            </w:tcBorders>
          </w:tcPr>
          <w:p>
            <w:pPr>
              <w:jc w:val="left"/>
              <w:rPr>
                <w:rFonts w:ascii="宋体" w:hAnsi="宋体"/>
                <w:sz w:val="24"/>
              </w:rPr>
            </w:pPr>
            <w:r>
              <w:rPr>
                <w:rFonts w:hint="eastAsia" w:ascii="宋体" w:hAnsi="宋体"/>
                <w:sz w:val="24"/>
              </w:rPr>
              <w:t>1．</w:t>
            </w:r>
            <w:r>
              <w:rPr>
                <w:rFonts w:ascii="宋体" w:hAnsi="宋体"/>
                <w:sz w:val="24"/>
              </w:rPr>
              <w:t>无机房钢结构材料</w:t>
            </w:r>
            <w:r>
              <w:rPr>
                <w:rFonts w:hint="eastAsia" w:ascii="宋体" w:hAnsi="宋体"/>
                <w:sz w:val="24"/>
              </w:rPr>
              <w:t>：</w:t>
            </w:r>
            <w:r>
              <w:rPr>
                <w:rFonts w:ascii="宋体" w:hAnsi="宋体"/>
                <w:sz w:val="24"/>
              </w:rPr>
              <w:t>钢化玻璃</w:t>
            </w:r>
            <w:r>
              <w:rPr>
                <w:rFonts w:hint="eastAsia" w:ascii="宋体" w:hAnsi="宋体"/>
                <w:sz w:val="24"/>
              </w:rPr>
              <w:t>厚度</w:t>
            </w:r>
            <w:r>
              <w:rPr>
                <w:rFonts w:ascii="宋体" w:hAnsi="宋体"/>
                <w:sz w:val="24"/>
              </w:rPr>
              <w:t>6mm*6mm</w:t>
            </w:r>
            <w:r>
              <w:rPr>
                <w:rFonts w:hint="eastAsia" w:ascii="宋体" w:hAnsi="宋体"/>
                <w:sz w:val="24"/>
              </w:rPr>
              <w:t>，</w:t>
            </w:r>
            <w:r>
              <w:rPr>
                <w:rFonts w:ascii="宋体" w:hAnsi="宋体"/>
                <w:sz w:val="24"/>
              </w:rPr>
              <w:t>钢架立柱2</w:t>
            </w:r>
            <w:r>
              <w:rPr>
                <w:rFonts w:hint="eastAsia" w:ascii="宋体" w:hAnsi="宋体"/>
                <w:sz w:val="24"/>
              </w:rPr>
              <w:t>0</w:t>
            </w:r>
            <w:r>
              <w:rPr>
                <w:rFonts w:ascii="宋体" w:hAnsi="宋体"/>
                <w:sz w:val="24"/>
              </w:rPr>
              <w:t>0mm×2</w:t>
            </w:r>
            <w:r>
              <w:rPr>
                <w:rFonts w:hint="eastAsia" w:ascii="宋体" w:hAnsi="宋体"/>
                <w:sz w:val="24"/>
              </w:rPr>
              <w:t>0</w:t>
            </w:r>
            <w:r>
              <w:rPr>
                <w:rFonts w:ascii="宋体" w:hAnsi="宋体"/>
                <w:sz w:val="24"/>
              </w:rPr>
              <w:t>0×</w:t>
            </w:r>
            <w:r>
              <w:rPr>
                <w:rFonts w:hint="eastAsia" w:ascii="宋体" w:hAnsi="宋体"/>
                <w:sz w:val="24"/>
              </w:rPr>
              <w:t>6</w:t>
            </w:r>
            <w:r>
              <w:rPr>
                <w:rFonts w:ascii="宋体" w:hAnsi="宋体"/>
                <w:sz w:val="24"/>
              </w:rPr>
              <w:t>mm厚方钢</w:t>
            </w:r>
            <w:r>
              <w:rPr>
                <w:rFonts w:hint="eastAsia" w:ascii="宋体" w:hAnsi="宋体"/>
                <w:sz w:val="24"/>
              </w:rPr>
              <w:t>，</w:t>
            </w:r>
            <w:r>
              <w:rPr>
                <w:rFonts w:ascii="宋体" w:hAnsi="宋体"/>
                <w:sz w:val="24"/>
              </w:rPr>
              <w:t>钢架横梁200mm×200×6mm厚方钢</w:t>
            </w:r>
            <w:r>
              <w:rPr>
                <w:rFonts w:hint="eastAsia" w:ascii="宋体" w:hAnsi="宋体"/>
                <w:sz w:val="24"/>
              </w:rPr>
              <w:t>，</w:t>
            </w:r>
            <w:r>
              <w:rPr>
                <w:rFonts w:ascii="宋体" w:hAnsi="宋体"/>
                <w:color w:val="auto"/>
                <w:sz w:val="24"/>
              </w:rPr>
              <w:t>厅门横梁200mm×5mm厚槽钢</w:t>
            </w:r>
            <w:r>
              <w:rPr>
                <w:rFonts w:hint="eastAsia" w:ascii="宋体" w:hAnsi="宋体"/>
                <w:color w:val="auto"/>
                <w:sz w:val="24"/>
              </w:rPr>
              <w:t>。</w:t>
            </w:r>
          </w:p>
          <w:p>
            <w:pPr>
              <w:autoSpaceDE w:val="0"/>
              <w:autoSpaceDN w:val="0"/>
              <w:adjustRightInd w:val="0"/>
              <w:spacing w:line="360" w:lineRule="auto"/>
              <w:rPr>
                <w:rFonts w:asciiTheme="minorEastAsia" w:hAnsiTheme="minorEastAsia"/>
                <w:sz w:val="24"/>
                <w:szCs w:val="24"/>
              </w:rPr>
            </w:pPr>
            <w:r>
              <w:rPr>
                <w:rFonts w:hint="eastAsia" w:ascii="宋体" w:hAnsi="宋体"/>
                <w:sz w:val="24"/>
              </w:rPr>
              <w:t>2．土建部分：</w:t>
            </w:r>
            <w:r>
              <w:rPr>
                <w:rFonts w:ascii="宋体" w:hAnsi="宋体"/>
                <w:sz w:val="24"/>
              </w:rPr>
              <w:t>基础坑洞挖掘</w:t>
            </w:r>
            <w:r>
              <w:rPr>
                <w:rFonts w:hint="eastAsia" w:ascii="宋体" w:hAnsi="宋体"/>
                <w:sz w:val="24"/>
              </w:rPr>
              <w:t>和墙面打洞及除渣清理、回填及门洞不锈钢大门套的制作，</w:t>
            </w:r>
            <w:r>
              <w:rPr>
                <w:rFonts w:ascii="宋体" w:hAnsi="宋体"/>
                <w:sz w:val="24"/>
              </w:rPr>
              <w:t>底坑挖掘、抽水、清理、加高浇筑、回填并制作防水处理，需要处理的面积为32平方米</w:t>
            </w:r>
            <w:r>
              <w:rPr>
                <w:rFonts w:hint="eastAsia" w:ascii="宋体" w:hAnsi="宋体"/>
                <w:sz w:val="24"/>
              </w:rPr>
              <w:t>，底坑浇灌混凝土不低于C30</w:t>
            </w:r>
            <w:r>
              <w:rPr>
                <w:rFonts w:hint="eastAsia" w:ascii="宋体" w:hAnsi="宋体"/>
                <w:color w:val="000000" w:themeColor="text1"/>
                <w:sz w:val="24"/>
                <w14:textFill>
                  <w14:solidFill>
                    <w14:schemeClr w14:val="tx1"/>
                  </w14:solidFill>
                </w14:textFill>
              </w:rPr>
              <w:t>，以现场实际勘查尺寸为准。</w:t>
            </w:r>
            <w:r>
              <w:rPr>
                <w:rFonts w:hint="eastAsia" w:ascii="宋体" w:hAnsi="宋体"/>
                <w:sz w:val="24"/>
              </w:rPr>
              <w:t>施工防护由</w:t>
            </w:r>
            <w:r>
              <w:rPr>
                <w:rFonts w:hint="eastAsia" w:ascii="宋体" w:hAnsi="宋体"/>
                <w:sz w:val="24"/>
                <w:lang w:eastAsia="zh-CN"/>
              </w:rPr>
              <w:t>我公司</w:t>
            </w:r>
            <w:r>
              <w:rPr>
                <w:rFonts w:hint="eastAsia" w:ascii="宋体" w:hAnsi="宋体"/>
                <w:sz w:val="24"/>
              </w:rPr>
              <w:t>负责。</w:t>
            </w:r>
          </w:p>
        </w:tc>
        <w:tc>
          <w:tcPr>
            <w:tcW w:w="61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项</w:t>
            </w:r>
          </w:p>
        </w:tc>
        <w:tc>
          <w:tcPr>
            <w:tcW w:w="6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w:t>
            </w:r>
          </w:p>
        </w:tc>
        <w:tc>
          <w:tcPr>
            <w:tcW w:w="9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195000元</w:t>
            </w:r>
          </w:p>
        </w:tc>
        <w:tc>
          <w:tcPr>
            <w:tcW w:w="101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195000元</w:t>
            </w:r>
          </w:p>
        </w:tc>
        <w:tc>
          <w:tcPr>
            <w:tcW w:w="157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Theme="minorEastAsia" w:hAnsiTheme="minorEastAsia" w:eastAsiaTheme="minorEastAsia"/>
                <w:sz w:val="24"/>
                <w:szCs w:val="24"/>
                <w:lang w:eastAsia="zh-CN"/>
              </w:rPr>
            </w:pPr>
            <w:r>
              <w:rPr>
                <w:rFonts w:hint="eastAsia" w:ascii="宋体" w:hAnsi="宋体"/>
                <w:sz w:val="24"/>
                <w:lang w:val="en-US" w:eastAsia="zh-CN"/>
              </w:rPr>
              <w:t>/</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w:t>
            </w:r>
          </w:p>
        </w:tc>
        <w:tc>
          <w:tcPr>
            <w:tcW w:w="62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szCs w:val="24"/>
              </w:rPr>
            </w:pPr>
            <w:r>
              <w:rPr>
                <w:rFonts w:hint="eastAsia" w:ascii="宋体" w:hAnsi="宋体"/>
                <w:sz w:val="24"/>
              </w:rPr>
              <w:t>无机房曳引式残障客梯</w:t>
            </w:r>
          </w:p>
        </w:tc>
        <w:tc>
          <w:tcPr>
            <w:tcW w:w="1717" w:type="dxa"/>
            <w:tcBorders>
              <w:top w:val="single" w:color="auto" w:sz="6" w:space="0"/>
              <w:left w:val="single" w:color="auto" w:sz="6" w:space="0"/>
              <w:bottom w:val="single" w:color="auto" w:sz="6" w:space="0"/>
              <w:right w:val="single" w:color="auto" w:sz="6" w:space="0"/>
            </w:tcBorders>
            <w:vAlign w:val="center"/>
          </w:tcPr>
          <w:p>
            <w:pPr>
              <w:jc w:val="both"/>
              <w:rPr>
                <w:rFonts w:hint="eastAsia"/>
                <w:lang w:val="en-US" w:eastAsia="zh-CN"/>
              </w:rPr>
            </w:pPr>
            <w:r>
              <w:rPr>
                <w:rFonts w:hint="eastAsia"/>
                <w:lang w:eastAsia="zh-CN"/>
              </w:rPr>
              <w:t>电梯</w:t>
            </w:r>
            <w:r>
              <w:rPr>
                <w:rFonts w:hint="eastAsia"/>
              </w:rPr>
              <w:t>型号</w:t>
            </w:r>
            <w:r>
              <w:rPr>
                <w:rFonts w:hint="eastAsia"/>
                <w:lang w:val="en-US" w:eastAsia="zh-CN"/>
              </w:rPr>
              <w:t>:</w:t>
            </w:r>
          </w:p>
          <w:p>
            <w:pPr>
              <w:jc w:val="center"/>
              <w:rPr>
                <w:rFonts w:hint="eastAsia"/>
                <w:lang w:val="en-US" w:eastAsia="zh-CN"/>
              </w:rPr>
            </w:pPr>
            <w:r>
              <w:rPr>
                <w:rFonts w:hint="eastAsia"/>
                <w:lang w:val="en-US" w:eastAsia="zh-CN"/>
              </w:rPr>
              <w:t>SL6000</w:t>
            </w:r>
          </w:p>
          <w:p>
            <w:pPr>
              <w:jc w:val="center"/>
              <w:rPr>
                <w:rFonts w:hint="eastAsia"/>
                <w:lang w:val="en-US" w:eastAsia="zh-CN"/>
              </w:rPr>
            </w:pPr>
            <w:r>
              <w:rPr>
                <w:rFonts w:hint="eastAsia"/>
                <w:lang w:eastAsia="zh-CN"/>
              </w:rPr>
              <w:t>品牌</w:t>
            </w:r>
            <w:r>
              <w:rPr>
                <w:rFonts w:hint="eastAsia"/>
                <w:lang w:val="en-US" w:eastAsia="zh-CN"/>
              </w:rPr>
              <w:t>:</w:t>
            </w:r>
          </w:p>
          <w:p>
            <w:pPr>
              <w:jc w:val="center"/>
              <w:rPr>
                <w:rFonts w:hint="eastAsia"/>
                <w:lang w:val="en-US" w:eastAsia="zh-CN"/>
              </w:rPr>
            </w:pPr>
            <w:r>
              <w:rPr>
                <w:rFonts w:hint="eastAsia"/>
                <w:lang w:val="en-US" w:eastAsia="zh-CN"/>
              </w:rPr>
              <w:t>XJ Schindler</w:t>
            </w:r>
          </w:p>
          <w:p>
            <w:pPr>
              <w:pStyle w:val="2"/>
              <w:rPr>
                <w:rFonts w:hint="eastAsia" w:asciiTheme="minorEastAsia" w:hAnsiTheme="minorEastAsia"/>
                <w:sz w:val="24"/>
                <w:szCs w:val="24"/>
                <w:lang w:val="en-US" w:eastAsia="zh-CN"/>
              </w:rPr>
            </w:pPr>
          </w:p>
          <w:p>
            <w:pPr>
              <w:jc w:val="left"/>
              <w:rPr>
                <w:rFonts w:ascii="宋体" w:hAnsi="宋体"/>
                <w:sz w:val="24"/>
              </w:rPr>
            </w:pPr>
            <w:r>
              <w:rPr>
                <w:rFonts w:hint="eastAsia" w:ascii="宋体" w:hAnsi="宋体"/>
                <w:sz w:val="24"/>
              </w:rPr>
              <w:t>载重：1600kg,</w:t>
            </w:r>
          </w:p>
          <w:p>
            <w:pPr>
              <w:jc w:val="left"/>
              <w:rPr>
                <w:rFonts w:ascii="宋体" w:hAnsi="宋体"/>
                <w:sz w:val="24"/>
              </w:rPr>
            </w:pPr>
            <w:r>
              <w:rPr>
                <w:rFonts w:hint="eastAsia" w:ascii="宋体" w:hAnsi="宋体"/>
                <w:sz w:val="24"/>
              </w:rPr>
              <w:t>速度：1.0m/s,</w:t>
            </w:r>
          </w:p>
          <w:p>
            <w:pPr>
              <w:jc w:val="left"/>
              <w:rPr>
                <w:rFonts w:ascii="宋体" w:hAnsi="宋体"/>
                <w:sz w:val="24"/>
              </w:rPr>
            </w:pPr>
            <w:r>
              <w:rPr>
                <w:rFonts w:hint="eastAsia" w:ascii="宋体" w:hAnsi="宋体"/>
                <w:sz w:val="24"/>
              </w:rPr>
              <w:t xml:space="preserve">层站门：3层3站3门      </w:t>
            </w:r>
          </w:p>
          <w:p>
            <w:pPr>
              <w:jc w:val="left"/>
              <w:rPr>
                <w:rFonts w:ascii="宋体" w:hAnsi="宋体"/>
                <w:color w:val="auto"/>
                <w:sz w:val="24"/>
              </w:rPr>
            </w:pPr>
            <w:r>
              <w:rPr>
                <w:rFonts w:hint="eastAsia" w:ascii="宋体" w:hAnsi="宋体"/>
                <w:color w:val="auto"/>
                <w:sz w:val="24"/>
              </w:rPr>
              <w:t>井道参数尺寸：以现场勘查情况为参考标准</w:t>
            </w:r>
          </w:p>
          <w:p>
            <w:pPr>
              <w:pStyle w:val="2"/>
              <w:rPr>
                <w:rFonts w:hint="eastAsia" w:asciiTheme="minorEastAsia" w:hAnsiTheme="minorEastAsia"/>
                <w:sz w:val="24"/>
                <w:szCs w:val="24"/>
                <w:lang w:val="en-US" w:eastAsia="zh-CN"/>
              </w:rPr>
            </w:pPr>
          </w:p>
        </w:tc>
        <w:tc>
          <w:tcPr>
            <w:tcW w:w="2300" w:type="dxa"/>
            <w:tcBorders>
              <w:top w:val="single" w:color="auto" w:sz="6" w:space="0"/>
              <w:left w:val="single" w:color="auto" w:sz="6" w:space="0"/>
              <w:bottom w:val="single" w:color="auto" w:sz="6" w:space="0"/>
              <w:right w:val="single" w:color="auto" w:sz="6" w:space="0"/>
            </w:tcBorders>
          </w:tcPr>
          <w:p>
            <w:pPr>
              <w:jc w:val="left"/>
              <w:rPr>
                <w:rFonts w:ascii="宋体" w:hAnsi="宋体"/>
                <w:b/>
                <w:sz w:val="24"/>
              </w:rPr>
            </w:pPr>
            <w:r>
              <w:rPr>
                <w:rFonts w:hint="eastAsia" w:ascii="宋体" w:hAnsi="宋体"/>
                <w:b/>
                <w:sz w:val="24"/>
              </w:rPr>
              <w:t>电梯主要参数:</w:t>
            </w:r>
          </w:p>
          <w:p>
            <w:pPr>
              <w:jc w:val="left"/>
              <w:rPr>
                <w:rFonts w:ascii="宋体" w:hAnsi="宋体"/>
                <w:sz w:val="24"/>
              </w:rPr>
            </w:pPr>
            <w:r>
              <w:rPr>
                <w:rFonts w:hint="eastAsia" w:ascii="宋体" w:hAnsi="宋体"/>
                <w:sz w:val="24"/>
              </w:rPr>
              <w:t>载重：1600kg,</w:t>
            </w:r>
          </w:p>
          <w:p>
            <w:pPr>
              <w:jc w:val="left"/>
              <w:rPr>
                <w:rFonts w:ascii="宋体" w:hAnsi="宋体"/>
                <w:sz w:val="24"/>
              </w:rPr>
            </w:pPr>
            <w:r>
              <w:rPr>
                <w:rFonts w:hint="eastAsia" w:ascii="宋体" w:hAnsi="宋体"/>
                <w:sz w:val="24"/>
              </w:rPr>
              <w:t>速度：1.0m/s,</w:t>
            </w:r>
          </w:p>
          <w:p>
            <w:pPr>
              <w:jc w:val="left"/>
              <w:rPr>
                <w:rFonts w:ascii="宋体" w:hAnsi="宋体"/>
                <w:sz w:val="24"/>
              </w:rPr>
            </w:pPr>
            <w:r>
              <w:rPr>
                <w:rFonts w:hint="eastAsia" w:ascii="宋体" w:hAnsi="宋体"/>
                <w:sz w:val="24"/>
              </w:rPr>
              <w:t xml:space="preserve">层站门：3层3站3门      </w:t>
            </w:r>
          </w:p>
          <w:p>
            <w:pPr>
              <w:jc w:val="left"/>
              <w:rPr>
                <w:rFonts w:ascii="宋体" w:hAnsi="宋体"/>
                <w:color w:val="auto"/>
                <w:sz w:val="24"/>
              </w:rPr>
            </w:pPr>
            <w:r>
              <w:rPr>
                <w:rFonts w:hint="eastAsia" w:ascii="宋体" w:hAnsi="宋体"/>
                <w:color w:val="auto"/>
                <w:sz w:val="24"/>
              </w:rPr>
              <w:t>井道参数尺寸：以现场勘查情况为参考标准</w:t>
            </w:r>
          </w:p>
          <w:p>
            <w:pPr>
              <w:jc w:val="left"/>
              <w:rPr>
                <w:rFonts w:ascii="宋体" w:hAnsi="宋体"/>
                <w:sz w:val="24"/>
              </w:rPr>
            </w:pPr>
            <w:r>
              <w:rPr>
                <w:rFonts w:hint="eastAsia" w:ascii="宋体" w:hAnsi="宋体"/>
                <w:sz w:val="24"/>
              </w:rPr>
              <w:t>电梯装潢设计</w:t>
            </w:r>
          </w:p>
          <w:p>
            <w:pPr>
              <w:jc w:val="left"/>
              <w:rPr>
                <w:rFonts w:ascii="宋体" w:hAnsi="宋体"/>
                <w:sz w:val="24"/>
              </w:rPr>
            </w:pPr>
            <w:r>
              <w:rPr>
                <w:rFonts w:hint="eastAsia" w:ascii="宋体" w:hAnsi="宋体"/>
                <w:sz w:val="24"/>
              </w:rPr>
              <w:t>轿顶：大方、美观。</w:t>
            </w:r>
          </w:p>
          <w:p>
            <w:pPr>
              <w:jc w:val="left"/>
              <w:rPr>
                <w:rFonts w:ascii="宋体" w:hAnsi="宋体"/>
                <w:sz w:val="24"/>
              </w:rPr>
            </w:pPr>
            <w:r>
              <w:rPr>
                <w:rFonts w:hint="eastAsia" w:ascii="宋体" w:hAnsi="宋体"/>
                <w:sz w:val="24"/>
              </w:rPr>
              <w:t>前壁、侧壁、后壁：发纹不锈钢</w:t>
            </w:r>
            <w:r>
              <w:rPr>
                <w:rFonts w:hint="eastAsia" w:ascii="宋体" w:hAnsi="宋体"/>
                <w:sz w:val="24"/>
                <w:lang w:eastAsia="zh-CN"/>
              </w:rPr>
              <w:t>材料</w:t>
            </w:r>
            <w:r>
              <w:rPr>
                <w:rFonts w:hint="eastAsia" w:ascii="宋体" w:hAnsi="宋体"/>
                <w:sz w:val="24"/>
              </w:rPr>
              <w:t>。</w:t>
            </w:r>
          </w:p>
          <w:p>
            <w:pPr>
              <w:jc w:val="left"/>
              <w:rPr>
                <w:rFonts w:ascii="宋体" w:hAnsi="宋体"/>
                <w:sz w:val="24"/>
              </w:rPr>
            </w:pPr>
            <w:r>
              <w:rPr>
                <w:rFonts w:hint="eastAsia" w:ascii="宋体" w:hAnsi="宋体"/>
                <w:sz w:val="24"/>
              </w:rPr>
              <w:t>轿门：发纹不锈钢</w:t>
            </w:r>
            <w:r>
              <w:rPr>
                <w:rFonts w:hint="eastAsia" w:ascii="宋体" w:hAnsi="宋体"/>
                <w:sz w:val="24"/>
                <w:lang w:eastAsia="zh-CN"/>
              </w:rPr>
              <w:t>材料</w:t>
            </w:r>
            <w:r>
              <w:rPr>
                <w:rFonts w:hint="eastAsia" w:ascii="宋体" w:hAnsi="宋体"/>
                <w:sz w:val="24"/>
              </w:rPr>
              <w:t>。</w:t>
            </w:r>
          </w:p>
          <w:p>
            <w:pPr>
              <w:jc w:val="left"/>
              <w:rPr>
                <w:rFonts w:ascii="宋体" w:hAnsi="宋体"/>
                <w:sz w:val="24"/>
              </w:rPr>
            </w:pPr>
            <w:r>
              <w:rPr>
                <w:rFonts w:hint="eastAsia" w:ascii="宋体" w:hAnsi="宋体"/>
                <w:sz w:val="24"/>
              </w:rPr>
              <w:t>扶手：侧面、发纹不锈钢</w:t>
            </w:r>
            <w:r>
              <w:rPr>
                <w:rFonts w:hint="eastAsia" w:ascii="宋体" w:hAnsi="宋体"/>
                <w:sz w:val="24"/>
                <w:lang w:eastAsia="zh-CN"/>
              </w:rPr>
              <w:t>材料</w:t>
            </w:r>
            <w:r>
              <w:rPr>
                <w:rFonts w:hint="eastAsia" w:ascii="宋体" w:hAnsi="宋体"/>
                <w:sz w:val="24"/>
              </w:rPr>
              <w:t>。</w:t>
            </w:r>
          </w:p>
          <w:p>
            <w:pPr>
              <w:jc w:val="left"/>
              <w:rPr>
                <w:rFonts w:ascii="宋体" w:hAnsi="宋体"/>
                <w:color w:val="auto"/>
                <w:sz w:val="24"/>
              </w:rPr>
            </w:pPr>
            <w:r>
              <w:rPr>
                <w:rFonts w:hint="eastAsia" w:ascii="宋体" w:hAnsi="宋体"/>
                <w:sz w:val="24"/>
              </w:rPr>
              <w:t>地板</w:t>
            </w:r>
            <w:r>
              <w:rPr>
                <w:rFonts w:hint="eastAsia" w:ascii="宋体" w:hAnsi="宋体"/>
                <w:color w:val="auto"/>
                <w:sz w:val="24"/>
              </w:rPr>
              <w:t>：采用pvc地板。</w:t>
            </w:r>
          </w:p>
          <w:p>
            <w:pPr>
              <w:jc w:val="left"/>
              <w:rPr>
                <w:rFonts w:ascii="宋体" w:hAnsi="宋体"/>
                <w:sz w:val="24"/>
              </w:rPr>
            </w:pPr>
            <w:r>
              <w:rPr>
                <w:rFonts w:hint="eastAsia" w:ascii="宋体" w:hAnsi="宋体"/>
                <w:sz w:val="24"/>
              </w:rPr>
              <w:t>层门（厅门）及层门门套：首层为发纹不锈钢大门套，其余层发纹不锈钢大门套。层门为发纹不锈钢材质。</w:t>
            </w:r>
          </w:p>
          <w:p>
            <w:pPr>
              <w:jc w:val="left"/>
              <w:rPr>
                <w:rFonts w:ascii="宋体" w:hAnsi="宋体"/>
                <w:sz w:val="24"/>
              </w:rPr>
            </w:pPr>
            <w:r>
              <w:rPr>
                <w:rFonts w:hint="eastAsia" w:ascii="宋体" w:hAnsi="宋体"/>
                <w:sz w:val="24"/>
              </w:rPr>
              <w:t>操纵箱：厅外：镜面不锈钢面板；轿内：发纹不锈钢面板，呼梯、操作盘显示：LCD图文液晶显示。</w:t>
            </w:r>
          </w:p>
          <w:p>
            <w:pPr>
              <w:jc w:val="left"/>
              <w:rPr>
                <w:rFonts w:ascii="宋体" w:hAnsi="宋体"/>
                <w:sz w:val="24"/>
              </w:rPr>
            </w:pPr>
            <w:r>
              <w:rPr>
                <w:rFonts w:hint="eastAsia" w:ascii="宋体" w:hAnsi="宋体"/>
                <w:sz w:val="24"/>
              </w:rPr>
              <w:t>轿厢内照明：LED照明。</w:t>
            </w:r>
          </w:p>
          <w:p>
            <w:pPr>
              <w:jc w:val="left"/>
              <w:rPr>
                <w:rFonts w:ascii="宋体" w:hAnsi="宋体"/>
                <w:sz w:val="24"/>
              </w:rPr>
            </w:pPr>
            <w:r>
              <w:rPr>
                <w:rFonts w:hint="eastAsia" w:ascii="宋体" w:hAnsi="宋体"/>
                <w:sz w:val="24"/>
              </w:rPr>
              <w:t>通风方式：通过轿顶送风。</w:t>
            </w:r>
          </w:p>
          <w:p>
            <w:pPr>
              <w:jc w:val="left"/>
              <w:rPr>
                <w:rFonts w:ascii="宋体" w:hAnsi="宋体"/>
                <w:sz w:val="24"/>
              </w:rPr>
            </w:pPr>
            <w:r>
              <w:rPr>
                <w:rFonts w:hint="eastAsia" w:ascii="宋体" w:hAnsi="宋体"/>
                <w:sz w:val="24"/>
              </w:rPr>
              <w:t>外呼梯按钮盒：面板采用镜面不锈钢。</w:t>
            </w:r>
          </w:p>
          <w:p>
            <w:pPr>
              <w:jc w:val="left"/>
              <w:rPr>
                <w:rFonts w:ascii="宋体" w:hAnsi="宋体"/>
                <w:sz w:val="24"/>
              </w:rPr>
            </w:pPr>
            <w:r>
              <w:rPr>
                <w:rFonts w:hint="eastAsia" w:ascii="宋体" w:hAnsi="宋体"/>
                <w:sz w:val="24"/>
              </w:rPr>
              <w:t>轿厢装饰顶（天花板</w:t>
            </w:r>
            <w:r>
              <w:rPr>
                <w:rFonts w:hint="eastAsia" w:ascii="宋体" w:hAnsi="宋体"/>
                <w:color w:val="auto"/>
                <w:sz w:val="24"/>
              </w:rPr>
              <w:t>）:提供两套照明方案</w:t>
            </w:r>
            <w:r>
              <w:rPr>
                <w:rFonts w:hint="eastAsia" w:ascii="宋体" w:hAnsi="宋体"/>
                <w:color w:val="auto"/>
                <w:sz w:val="24"/>
                <w:lang w:eastAsia="zh-CN"/>
              </w:rPr>
              <w:t>：方案</w:t>
            </w:r>
            <w:r>
              <w:rPr>
                <w:rFonts w:hint="eastAsia" w:ascii="宋体" w:hAnsi="宋体"/>
                <w:color w:val="auto"/>
                <w:sz w:val="24"/>
                <w:lang w:val="en-US" w:eastAsia="zh-CN"/>
              </w:rPr>
              <w:t>1、型号X40C、发纹不锈钢、亚克力透光板、LED灯；2、型号X12C、发纹不锈钢、亚克力透光板、LED灯详见4.6.5两种照明方案效果图</w:t>
            </w:r>
            <w:r>
              <w:rPr>
                <w:rFonts w:hint="eastAsia" w:ascii="宋体" w:hAnsi="宋体"/>
                <w:color w:val="auto"/>
                <w:sz w:val="24"/>
              </w:rPr>
              <w:t>。</w:t>
            </w:r>
          </w:p>
          <w:p>
            <w:pPr>
              <w:jc w:val="left"/>
              <w:rPr>
                <w:rFonts w:ascii="宋体" w:hAnsi="宋体"/>
                <w:sz w:val="24"/>
              </w:rPr>
            </w:pPr>
            <w:r>
              <w:rPr>
                <w:rFonts w:hint="eastAsia" w:ascii="宋体" w:hAnsi="宋体"/>
                <w:sz w:val="24"/>
              </w:rPr>
              <w:t>召唤按钮：微动式按钮具备盲文。</w:t>
            </w:r>
          </w:p>
          <w:p>
            <w:pPr>
              <w:jc w:val="left"/>
              <w:rPr>
                <w:rFonts w:ascii="宋体" w:hAnsi="宋体"/>
                <w:sz w:val="24"/>
              </w:rPr>
            </w:pPr>
            <w:r>
              <w:rPr>
                <w:rFonts w:hint="eastAsia" w:ascii="宋体" w:hAnsi="宋体"/>
                <w:sz w:val="24"/>
              </w:rPr>
              <w:t>电梯部件及系统要求</w:t>
            </w:r>
          </w:p>
          <w:p>
            <w:pPr>
              <w:jc w:val="left"/>
              <w:rPr>
                <w:rFonts w:ascii="宋体" w:hAnsi="宋体"/>
                <w:sz w:val="24"/>
              </w:rPr>
            </w:pPr>
            <w:r>
              <w:rPr>
                <w:rFonts w:hint="eastAsia" w:ascii="宋体" w:hAnsi="宋体"/>
                <w:sz w:val="24"/>
              </w:rPr>
              <w:t>采用最新的可靠微处理机技术，使电梯具有高运行效率和舒适平稳的驱动性能，具有节能和便于维修保养的故障诊断等系统。</w:t>
            </w:r>
          </w:p>
          <w:p>
            <w:pPr>
              <w:spacing w:line="360" w:lineRule="auto"/>
              <w:jc w:val="left"/>
              <w:rPr>
                <w:rFonts w:ascii="宋体" w:hAnsi="宋体"/>
                <w:sz w:val="24"/>
              </w:rPr>
            </w:pPr>
            <w:r>
              <w:rPr>
                <w:rFonts w:hint="eastAsia" w:ascii="宋体" w:hAnsi="宋体"/>
                <w:sz w:val="24"/>
              </w:rPr>
              <w:t>动力电源：交流380伏，三相五线，50赫兹。</w:t>
            </w:r>
          </w:p>
          <w:p>
            <w:pPr>
              <w:jc w:val="left"/>
              <w:rPr>
                <w:rFonts w:ascii="宋体" w:hAnsi="宋体"/>
                <w:sz w:val="24"/>
              </w:rPr>
            </w:pPr>
            <w:r>
              <w:rPr>
                <w:rFonts w:hint="eastAsia" w:ascii="宋体" w:hAnsi="宋体"/>
                <w:sz w:val="24"/>
              </w:rPr>
              <w:t>噪音水平：符合国家有关标准规定。</w:t>
            </w:r>
          </w:p>
          <w:p>
            <w:pPr>
              <w:jc w:val="left"/>
              <w:rPr>
                <w:rFonts w:ascii="宋体" w:hAnsi="宋体"/>
                <w:sz w:val="24"/>
              </w:rPr>
            </w:pPr>
            <w:r>
              <w:rPr>
                <w:rFonts w:hint="eastAsia" w:ascii="宋体" w:hAnsi="宋体"/>
                <w:sz w:val="24"/>
              </w:rPr>
              <w:t>控制系统：采用多个32位电脑网络化串行分散控制系统，串行传输通讯满足抗干扰能力强、实时性高、通信容量大等要求。拖动控制部分采用不低于VVVF变压变频调速的控制技术。</w:t>
            </w:r>
          </w:p>
          <w:p>
            <w:pPr>
              <w:jc w:val="left"/>
              <w:rPr>
                <w:rFonts w:ascii="宋体" w:hAnsi="宋体"/>
                <w:sz w:val="24"/>
              </w:rPr>
            </w:pPr>
            <w:r>
              <w:rPr>
                <w:rFonts w:hint="eastAsia" w:ascii="宋体" w:hAnsi="宋体"/>
                <w:sz w:val="24"/>
              </w:rPr>
              <w:t>曳引机：提供高效节能和具有良好动力特性的永磁同步无齿轮先进曳引机。</w:t>
            </w:r>
          </w:p>
          <w:p>
            <w:pPr>
              <w:jc w:val="left"/>
              <w:rPr>
                <w:rFonts w:ascii="宋体" w:hAnsi="宋体"/>
                <w:sz w:val="24"/>
              </w:rPr>
            </w:pPr>
            <w:r>
              <w:rPr>
                <w:rFonts w:hint="eastAsia" w:ascii="宋体" w:hAnsi="宋体"/>
                <w:sz w:val="24"/>
              </w:rPr>
              <w:t>电梯机房：无机房</w:t>
            </w:r>
          </w:p>
          <w:p>
            <w:pPr>
              <w:jc w:val="left"/>
              <w:rPr>
                <w:rFonts w:ascii="宋体" w:hAnsi="宋体"/>
                <w:color w:val="FF0000"/>
                <w:sz w:val="24"/>
              </w:rPr>
            </w:pPr>
            <w:r>
              <w:rPr>
                <w:rFonts w:hint="eastAsia" w:ascii="宋体" w:hAnsi="宋体"/>
                <w:sz w:val="24"/>
              </w:rPr>
              <w:t>轿厢：在所提供的井道尺寸基础上，提供最大尺寸的标准轿厢。轿体制作精良，连接紧固，抗变形能力强，符合相关安全标准，采用滑动式导靴和装置渐进式安全</w:t>
            </w:r>
            <w:r>
              <w:rPr>
                <w:rFonts w:hint="eastAsia" w:ascii="宋体" w:hAnsi="宋体"/>
                <w:color w:val="auto"/>
                <w:sz w:val="24"/>
              </w:rPr>
              <w:t>钳；轿厢外顶部设置轿顶防护栏杆，轿厢顶部提供两种轿顶方案</w:t>
            </w:r>
            <w:r>
              <w:rPr>
                <w:rFonts w:hint="eastAsia" w:ascii="宋体" w:hAnsi="宋体"/>
                <w:color w:val="auto"/>
                <w:sz w:val="24"/>
                <w:lang w:eastAsia="zh-CN"/>
              </w:rPr>
              <w:t>方案</w:t>
            </w:r>
            <w:r>
              <w:rPr>
                <w:rFonts w:hint="eastAsia" w:ascii="宋体" w:hAnsi="宋体"/>
                <w:color w:val="auto"/>
                <w:sz w:val="24"/>
                <w:lang w:val="en-US" w:eastAsia="zh-CN"/>
              </w:rPr>
              <w:t>1、吊顶型号X50C、发纹不锈钢、亚克力透光板、LED灯；2、吊顶型号X05C、发纹不锈钢、亚克力透光板、LED灯详见4.6.6两种轿顶方案效果图</w:t>
            </w:r>
            <w:r>
              <w:rPr>
                <w:rFonts w:hint="eastAsia" w:ascii="宋体" w:hAnsi="宋体"/>
                <w:color w:val="auto"/>
                <w:sz w:val="24"/>
              </w:rPr>
              <w:t>。</w:t>
            </w:r>
          </w:p>
          <w:p>
            <w:pPr>
              <w:jc w:val="left"/>
              <w:rPr>
                <w:rFonts w:ascii="宋体" w:hAnsi="宋体"/>
                <w:sz w:val="24"/>
              </w:rPr>
            </w:pPr>
            <w:r>
              <w:rPr>
                <w:rFonts w:hint="eastAsia" w:ascii="宋体" w:hAnsi="宋体"/>
                <w:sz w:val="24"/>
              </w:rPr>
              <w:t>门机系统：采用永磁同步门机，按国际标准制造的变频无连杆齿型带门机传动系统，使梯门开关过程更宁静、平滑、顺畅；</w:t>
            </w:r>
          </w:p>
          <w:p>
            <w:pPr>
              <w:jc w:val="left"/>
              <w:rPr>
                <w:rFonts w:ascii="宋体" w:hAnsi="宋体"/>
                <w:sz w:val="24"/>
              </w:rPr>
            </w:pPr>
            <w:r>
              <w:rPr>
                <w:rFonts w:hint="eastAsia" w:ascii="宋体" w:hAnsi="宋体"/>
                <w:sz w:val="24"/>
              </w:rPr>
              <w:t>轿门：提供中分式自动门。开关门时间短，灵活自如，安静快捷。</w:t>
            </w:r>
          </w:p>
          <w:p>
            <w:pPr>
              <w:jc w:val="left"/>
              <w:rPr>
                <w:rFonts w:ascii="宋体" w:hAnsi="宋体"/>
                <w:sz w:val="24"/>
              </w:rPr>
            </w:pPr>
            <w:r>
              <w:rPr>
                <w:rFonts w:hint="eastAsia" w:ascii="宋体" w:hAnsi="宋体"/>
                <w:sz w:val="24"/>
              </w:rPr>
              <w:t>光幕保护装置：有足够光束数交叉形成保护光幕，光幕上下端满至门顶和门底，不小于120束。</w:t>
            </w:r>
          </w:p>
          <w:p>
            <w:pPr>
              <w:jc w:val="left"/>
              <w:rPr>
                <w:rFonts w:ascii="宋体" w:hAnsi="宋体"/>
                <w:sz w:val="24"/>
              </w:rPr>
            </w:pPr>
            <w:r>
              <w:rPr>
                <w:rFonts w:hint="eastAsia" w:ascii="宋体" w:hAnsi="宋体"/>
                <w:sz w:val="24"/>
              </w:rPr>
              <w:t>导轨（轿厢导轨、对重导轨）：T型耐磨导轨，抗变形能力强。</w:t>
            </w:r>
          </w:p>
          <w:p>
            <w:pPr>
              <w:jc w:val="left"/>
              <w:rPr>
                <w:rFonts w:ascii="宋体" w:hAnsi="宋体"/>
                <w:sz w:val="24"/>
              </w:rPr>
            </w:pPr>
            <w:r>
              <w:rPr>
                <w:rFonts w:hint="eastAsia" w:ascii="宋体" w:hAnsi="宋体"/>
                <w:sz w:val="24"/>
              </w:rPr>
              <w:t>对重装置：重架制作精细，抗变形能力强，符合相关安全标准。采用滑动式导靴，对重铁不采用工业废料，符合环保要求。</w:t>
            </w:r>
          </w:p>
          <w:p>
            <w:pPr>
              <w:jc w:val="left"/>
              <w:rPr>
                <w:rFonts w:ascii="宋体" w:hAnsi="宋体"/>
                <w:color w:val="auto"/>
                <w:sz w:val="24"/>
              </w:rPr>
            </w:pPr>
            <w:r>
              <w:rPr>
                <w:rFonts w:hint="eastAsia" w:ascii="宋体" w:hAnsi="宋体"/>
                <w:sz w:val="24"/>
              </w:rPr>
              <w:t>钢丝绳：采用电梯专用的钢丝绳，其安全储备系数≥12，</w:t>
            </w:r>
            <w:r>
              <w:rPr>
                <w:rFonts w:hint="eastAsia" w:ascii="宋体" w:hAnsi="宋体"/>
                <w:color w:val="auto"/>
                <w:sz w:val="24"/>
              </w:rPr>
              <w:t>使用寿命</w:t>
            </w:r>
            <w:r>
              <w:rPr>
                <w:rFonts w:hint="eastAsia" w:ascii="宋体" w:hAnsi="宋体"/>
                <w:color w:val="auto"/>
                <w:sz w:val="24"/>
                <w:lang w:val="en-US" w:eastAsia="zh-CN"/>
              </w:rPr>
              <w:t>5年</w:t>
            </w:r>
            <w:r>
              <w:rPr>
                <w:rFonts w:hint="eastAsia" w:ascii="宋体" w:hAnsi="宋体"/>
                <w:color w:val="auto"/>
                <w:sz w:val="24"/>
              </w:rPr>
              <w:t>。</w:t>
            </w:r>
          </w:p>
          <w:p>
            <w:pPr>
              <w:jc w:val="left"/>
              <w:rPr>
                <w:rFonts w:ascii="宋体" w:hAnsi="宋体"/>
                <w:sz w:val="24"/>
              </w:rPr>
            </w:pPr>
            <w:r>
              <w:rPr>
                <w:rFonts w:hint="eastAsia" w:ascii="宋体" w:hAnsi="宋体"/>
                <w:sz w:val="24"/>
              </w:rPr>
              <w:t>随行电缆：采用电梯专用电缆，防火性能与大楼的耐火等级相匹配。</w:t>
            </w:r>
          </w:p>
          <w:p>
            <w:pPr>
              <w:jc w:val="left"/>
              <w:rPr>
                <w:rFonts w:ascii="宋体" w:hAnsi="宋体"/>
                <w:sz w:val="24"/>
              </w:rPr>
            </w:pPr>
            <w:r>
              <w:rPr>
                <w:rFonts w:hint="eastAsia" w:ascii="宋体" w:hAnsi="宋体"/>
                <w:sz w:val="24"/>
              </w:rPr>
              <w:t>井道内固定件：零部件结构合理，牢固耐用，抗锈蚀能力强。</w:t>
            </w:r>
          </w:p>
          <w:p>
            <w:pPr>
              <w:jc w:val="left"/>
              <w:rPr>
                <w:rFonts w:ascii="宋体" w:hAnsi="宋体"/>
                <w:sz w:val="24"/>
              </w:rPr>
            </w:pPr>
            <w:r>
              <w:rPr>
                <w:rFonts w:hint="eastAsia" w:ascii="宋体" w:hAnsi="宋体"/>
                <w:sz w:val="24"/>
              </w:rPr>
              <w:t>井道照明：每部电梯每层安装一组井道照明装置。最高最低照明装置距井道上下端各为0.5米。</w:t>
            </w:r>
          </w:p>
          <w:p>
            <w:pPr>
              <w:jc w:val="left"/>
              <w:rPr>
                <w:rFonts w:ascii="宋体" w:hAnsi="宋体"/>
                <w:sz w:val="24"/>
              </w:rPr>
            </w:pPr>
            <w:r>
              <w:rPr>
                <w:rFonts w:hint="eastAsia" w:ascii="宋体" w:hAnsi="宋体"/>
                <w:sz w:val="24"/>
              </w:rPr>
              <w:t>缓冲器：采用油压式缓冲器。</w:t>
            </w:r>
          </w:p>
          <w:p>
            <w:pPr>
              <w:jc w:val="left"/>
              <w:rPr>
                <w:rFonts w:ascii="宋体" w:hAnsi="宋体"/>
                <w:sz w:val="24"/>
              </w:rPr>
            </w:pPr>
            <w:r>
              <w:rPr>
                <w:rFonts w:hint="eastAsia" w:ascii="宋体" w:hAnsi="宋体"/>
                <w:sz w:val="24"/>
              </w:rPr>
              <w:t>限速器：采用离心双向式限速器。</w:t>
            </w:r>
          </w:p>
          <w:p>
            <w:pPr>
              <w:jc w:val="left"/>
              <w:rPr>
                <w:rFonts w:ascii="宋体" w:hAnsi="宋体"/>
                <w:sz w:val="24"/>
              </w:rPr>
            </w:pPr>
            <w:r>
              <w:rPr>
                <w:rFonts w:hint="eastAsia" w:ascii="宋体" w:hAnsi="宋体"/>
                <w:sz w:val="24"/>
              </w:rPr>
              <w:t>安全钳：采用向渐进式安全钳。</w:t>
            </w:r>
          </w:p>
          <w:p>
            <w:pPr>
              <w:jc w:val="left"/>
              <w:rPr>
                <w:rFonts w:ascii="宋体" w:hAnsi="宋体"/>
                <w:sz w:val="24"/>
              </w:rPr>
            </w:pPr>
            <w:r>
              <w:rPr>
                <w:rFonts w:hint="eastAsia" w:ascii="宋体" w:hAnsi="宋体"/>
                <w:sz w:val="24"/>
              </w:rPr>
              <w:t>门锁装置：采用电梯专用门锁，基站锁设在首层。</w:t>
            </w:r>
          </w:p>
          <w:p>
            <w:pPr>
              <w:jc w:val="left"/>
              <w:rPr>
                <w:rFonts w:hint="eastAsia" w:ascii="宋体" w:hAnsi="宋体"/>
                <w:color w:val="auto"/>
                <w:sz w:val="24"/>
              </w:rPr>
            </w:pPr>
            <w:r>
              <w:rPr>
                <w:rFonts w:hint="eastAsia" w:ascii="宋体" w:hAnsi="宋体"/>
                <w:color w:val="auto"/>
                <w:sz w:val="24"/>
              </w:rPr>
              <w:t>使用寿命：</w:t>
            </w:r>
          </w:p>
          <w:p>
            <w:pPr>
              <w:jc w:val="left"/>
              <w:rPr>
                <w:rFonts w:ascii="宋体" w:hAnsi="宋体"/>
                <w:color w:val="000000" w:themeColor="text1"/>
                <w:sz w:val="24"/>
                <w14:textFill>
                  <w14:solidFill>
                    <w14:schemeClr w14:val="tx1"/>
                  </w14:solidFill>
                </w14:textFill>
              </w:rPr>
            </w:pPr>
            <w:r>
              <w:rPr>
                <w:rFonts w:hint="eastAsia" w:ascii="宋体" w:hAnsi="宋体"/>
                <w:color w:val="auto"/>
                <w:sz w:val="24"/>
              </w:rPr>
              <w:t>整机和主要部件的设计使用寿命</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auto"/>
                <w:sz w:val="24"/>
              </w:rPr>
              <w:t>整机设计使用寿命</w:t>
            </w:r>
            <w:r>
              <w:rPr>
                <w:rFonts w:hint="eastAsia" w:ascii="宋体" w:hAnsi="宋体"/>
                <w:color w:val="auto"/>
                <w:sz w:val="24"/>
                <w:lang w:eastAsia="zh-CN"/>
              </w:rPr>
              <w:t>：</w:t>
            </w:r>
            <w:r>
              <w:rPr>
                <w:rFonts w:hint="eastAsia" w:ascii="宋体" w:hAnsi="宋体"/>
                <w:color w:val="auto"/>
                <w:sz w:val="24"/>
                <w:lang w:val="en-US" w:eastAsia="zh-CN"/>
              </w:rPr>
              <w:t>25年、</w:t>
            </w:r>
            <w:r>
              <w:rPr>
                <w:rFonts w:hint="eastAsia" w:ascii="宋体" w:hAnsi="宋体"/>
                <w:color w:val="auto"/>
                <w:sz w:val="24"/>
                <w:lang w:eastAsia="zh-CN"/>
              </w:rPr>
              <w:t>曳引机：25年、主板：20年、变频器：20年、门机：20年、安全钳：20年、缓冲器：20年、导轨：25年、轿厢：25年、钢丝绳：5年</w:t>
            </w:r>
            <w:r>
              <w:rPr>
                <w:rFonts w:hint="eastAsia" w:ascii="宋体" w:hAnsi="宋体"/>
                <w:color w:val="auto"/>
                <w:sz w:val="24"/>
              </w:rPr>
              <w:t>。</w:t>
            </w:r>
          </w:p>
          <w:p>
            <w:pPr>
              <w:jc w:val="left"/>
              <w:rPr>
                <w:rFonts w:ascii="宋体" w:hAnsi="宋体"/>
                <w:b/>
                <w:sz w:val="24"/>
              </w:rPr>
            </w:pPr>
            <w:r>
              <w:rPr>
                <w:rFonts w:hint="eastAsia" w:ascii="宋体" w:hAnsi="宋体"/>
                <w:b/>
                <w:sz w:val="24"/>
              </w:rPr>
              <w:t>电梯的基本功能</w:t>
            </w:r>
          </w:p>
          <w:p>
            <w:pPr>
              <w:jc w:val="left"/>
              <w:rPr>
                <w:rFonts w:ascii="宋体" w:hAnsi="宋体"/>
                <w:sz w:val="24"/>
              </w:rPr>
            </w:pPr>
            <w:r>
              <w:rPr>
                <w:rFonts w:hint="eastAsia" w:ascii="宋体" w:hAnsi="宋体"/>
                <w:sz w:val="24"/>
              </w:rPr>
              <w:t>电梯变频驱动;门机变频驱动</w:t>
            </w:r>
          </w:p>
          <w:p>
            <w:pPr>
              <w:jc w:val="left"/>
              <w:rPr>
                <w:rFonts w:ascii="宋体" w:hAnsi="宋体"/>
                <w:sz w:val="24"/>
              </w:rPr>
            </w:pPr>
            <w:r>
              <w:rPr>
                <w:rFonts w:hint="eastAsia" w:ascii="宋体" w:hAnsi="宋体"/>
                <w:sz w:val="24"/>
              </w:rPr>
              <w:t>全集选控制;检修运行</w:t>
            </w:r>
          </w:p>
          <w:p>
            <w:pPr>
              <w:jc w:val="left"/>
              <w:rPr>
                <w:rFonts w:ascii="宋体" w:hAnsi="宋体"/>
                <w:sz w:val="24"/>
              </w:rPr>
            </w:pPr>
            <w:r>
              <w:rPr>
                <w:rFonts w:hint="eastAsia" w:ascii="宋体" w:hAnsi="宋体"/>
                <w:sz w:val="24"/>
              </w:rPr>
              <w:t>最佳曲线自动生成;井道自学习</w:t>
            </w:r>
          </w:p>
          <w:p>
            <w:pPr>
              <w:jc w:val="left"/>
              <w:rPr>
                <w:rFonts w:ascii="宋体" w:hAnsi="宋体"/>
                <w:sz w:val="24"/>
              </w:rPr>
            </w:pPr>
            <w:r>
              <w:rPr>
                <w:rFonts w:hint="eastAsia" w:ascii="宋体" w:hAnsi="宋体"/>
                <w:sz w:val="24"/>
              </w:rPr>
              <w:t>上电自动开;自动关门</w:t>
            </w:r>
          </w:p>
          <w:p>
            <w:pPr>
              <w:jc w:val="left"/>
              <w:rPr>
                <w:rFonts w:ascii="宋体" w:hAnsi="宋体"/>
                <w:sz w:val="24"/>
              </w:rPr>
            </w:pPr>
            <w:r>
              <w:rPr>
                <w:rFonts w:hint="eastAsia" w:ascii="宋体" w:hAnsi="宋体"/>
                <w:sz w:val="24"/>
              </w:rPr>
              <w:t>本层外召开门;重复关门</w:t>
            </w:r>
          </w:p>
          <w:p>
            <w:pPr>
              <w:jc w:val="left"/>
              <w:rPr>
                <w:rFonts w:ascii="宋体" w:hAnsi="宋体"/>
                <w:sz w:val="24"/>
              </w:rPr>
            </w:pPr>
            <w:r>
              <w:rPr>
                <w:rFonts w:hint="eastAsia" w:ascii="宋体" w:hAnsi="宋体"/>
                <w:sz w:val="24"/>
              </w:rPr>
              <w:t>重复开门;开门时间设定</w:t>
            </w:r>
          </w:p>
          <w:p>
            <w:pPr>
              <w:jc w:val="left"/>
              <w:rPr>
                <w:rFonts w:ascii="宋体" w:hAnsi="宋体"/>
                <w:sz w:val="24"/>
              </w:rPr>
            </w:pPr>
            <w:r>
              <w:rPr>
                <w:rFonts w:hint="eastAsia" w:ascii="宋体" w:hAnsi="宋体"/>
                <w:sz w:val="24"/>
              </w:rPr>
              <w:t>提前关门;强迫关门</w:t>
            </w:r>
          </w:p>
          <w:p>
            <w:pPr>
              <w:jc w:val="left"/>
              <w:rPr>
                <w:rFonts w:ascii="宋体" w:hAnsi="宋体"/>
                <w:sz w:val="24"/>
              </w:rPr>
            </w:pPr>
            <w:r>
              <w:rPr>
                <w:rFonts w:hint="eastAsia" w:ascii="宋体" w:hAnsi="宋体"/>
                <w:sz w:val="24"/>
              </w:rPr>
              <w:t>光幕保护;超载保护</w:t>
            </w:r>
          </w:p>
          <w:p>
            <w:pPr>
              <w:jc w:val="left"/>
              <w:rPr>
                <w:rFonts w:ascii="宋体" w:hAnsi="宋体"/>
                <w:sz w:val="24"/>
              </w:rPr>
            </w:pPr>
            <w:r>
              <w:rPr>
                <w:rFonts w:hint="eastAsia" w:ascii="宋体" w:hAnsi="宋体"/>
                <w:sz w:val="24"/>
              </w:rPr>
              <w:t>CUP故障保护;防打滑保护</w:t>
            </w:r>
          </w:p>
          <w:p>
            <w:pPr>
              <w:jc w:val="left"/>
              <w:rPr>
                <w:rFonts w:ascii="宋体" w:hAnsi="宋体"/>
                <w:sz w:val="24"/>
              </w:rPr>
            </w:pPr>
            <w:r>
              <w:rPr>
                <w:rFonts w:hint="eastAsia" w:ascii="宋体" w:hAnsi="宋体"/>
                <w:sz w:val="24"/>
              </w:rPr>
              <w:t>上下限位保护;超速保护</w:t>
            </w:r>
          </w:p>
          <w:p>
            <w:pPr>
              <w:jc w:val="left"/>
              <w:rPr>
                <w:rFonts w:ascii="宋体" w:hAnsi="宋体"/>
                <w:sz w:val="24"/>
              </w:rPr>
            </w:pPr>
            <w:r>
              <w:rPr>
                <w:rFonts w:hint="eastAsia" w:ascii="宋体" w:hAnsi="宋体"/>
                <w:sz w:val="24"/>
              </w:rPr>
              <w:t>外召按钮粘连识别;平层微调</w:t>
            </w:r>
          </w:p>
          <w:p>
            <w:pPr>
              <w:jc w:val="left"/>
              <w:rPr>
                <w:rFonts w:ascii="宋体" w:hAnsi="宋体"/>
                <w:sz w:val="24"/>
              </w:rPr>
            </w:pPr>
            <w:r>
              <w:rPr>
                <w:rFonts w:hint="eastAsia" w:ascii="宋体" w:hAnsi="宋体"/>
                <w:sz w:val="24"/>
              </w:rPr>
              <w:t>故障诊断;逆向运行保护</w:t>
            </w:r>
          </w:p>
          <w:p>
            <w:pPr>
              <w:jc w:val="left"/>
              <w:rPr>
                <w:rFonts w:ascii="宋体" w:hAnsi="宋体"/>
                <w:sz w:val="24"/>
              </w:rPr>
            </w:pPr>
            <w:r>
              <w:rPr>
                <w:rFonts w:hint="eastAsia" w:ascii="宋体" w:hAnsi="宋体"/>
                <w:sz w:val="24"/>
              </w:rPr>
              <w:t>电机过电流保护;电源过电压保护</w:t>
            </w:r>
          </w:p>
          <w:p>
            <w:pPr>
              <w:jc w:val="left"/>
              <w:rPr>
                <w:rFonts w:ascii="宋体" w:hAnsi="宋体"/>
                <w:sz w:val="24"/>
              </w:rPr>
            </w:pPr>
            <w:r>
              <w:rPr>
                <w:rFonts w:hint="eastAsia" w:ascii="宋体" w:hAnsi="宋体"/>
                <w:sz w:val="24"/>
              </w:rPr>
              <w:t>电机过载保护;防捣乱</w:t>
            </w:r>
          </w:p>
          <w:p>
            <w:pPr>
              <w:jc w:val="left"/>
              <w:rPr>
                <w:rFonts w:ascii="宋体" w:hAnsi="宋体"/>
                <w:sz w:val="24"/>
              </w:rPr>
            </w:pPr>
            <w:r>
              <w:rPr>
                <w:rFonts w:hint="eastAsia" w:ascii="宋体" w:hAnsi="宋体"/>
                <w:sz w:val="24"/>
              </w:rPr>
              <w:t>编码器故障保护;门锁短接保护</w:t>
            </w:r>
          </w:p>
          <w:p>
            <w:pPr>
              <w:jc w:val="left"/>
              <w:rPr>
                <w:rFonts w:ascii="宋体" w:hAnsi="宋体"/>
                <w:sz w:val="24"/>
              </w:rPr>
            </w:pPr>
            <w:r>
              <w:rPr>
                <w:rFonts w:hint="eastAsia" w:ascii="宋体" w:hAnsi="宋体"/>
                <w:sz w:val="24"/>
              </w:rPr>
              <w:t>电机温升保护;自动返基站</w:t>
            </w:r>
          </w:p>
          <w:p>
            <w:pPr>
              <w:jc w:val="left"/>
              <w:rPr>
                <w:rFonts w:ascii="宋体" w:hAnsi="宋体"/>
                <w:sz w:val="24"/>
              </w:rPr>
            </w:pPr>
            <w:r>
              <w:rPr>
                <w:rFonts w:hint="eastAsia" w:ascii="宋体" w:hAnsi="宋体"/>
                <w:sz w:val="24"/>
              </w:rPr>
              <w:t>锁梯功能;故障自救平层运行</w:t>
            </w:r>
          </w:p>
          <w:p>
            <w:pPr>
              <w:jc w:val="left"/>
              <w:rPr>
                <w:rFonts w:ascii="宋体" w:hAnsi="宋体"/>
                <w:sz w:val="24"/>
              </w:rPr>
            </w:pPr>
            <w:r>
              <w:rPr>
                <w:rFonts w:hint="eastAsia" w:ascii="宋体" w:hAnsi="宋体"/>
                <w:sz w:val="24"/>
              </w:rPr>
              <w:t>直接停靠;运行状态显示</w:t>
            </w:r>
          </w:p>
          <w:p>
            <w:pPr>
              <w:jc w:val="left"/>
              <w:rPr>
                <w:rFonts w:ascii="宋体" w:hAnsi="宋体"/>
                <w:sz w:val="24"/>
              </w:rPr>
            </w:pPr>
            <w:r>
              <w:rPr>
                <w:rFonts w:hint="eastAsia" w:ascii="宋体" w:hAnsi="宋体"/>
                <w:sz w:val="24"/>
              </w:rPr>
              <w:t>自动校正轿厢位置;照明风扇节能功能</w:t>
            </w:r>
          </w:p>
          <w:p>
            <w:pPr>
              <w:jc w:val="left"/>
              <w:rPr>
                <w:rFonts w:ascii="宋体" w:hAnsi="宋体"/>
                <w:sz w:val="24"/>
              </w:rPr>
            </w:pPr>
            <w:r>
              <w:rPr>
                <w:rFonts w:hint="eastAsia" w:ascii="宋体" w:hAnsi="宋体"/>
                <w:sz w:val="24"/>
              </w:rPr>
              <w:t>轿厢到站钟;独立运行</w:t>
            </w:r>
          </w:p>
          <w:p>
            <w:pPr>
              <w:jc w:val="left"/>
              <w:rPr>
                <w:rFonts w:ascii="宋体" w:hAnsi="宋体"/>
                <w:sz w:val="24"/>
              </w:rPr>
            </w:pPr>
            <w:r>
              <w:rPr>
                <w:rFonts w:hint="eastAsia" w:ascii="宋体" w:hAnsi="宋体"/>
                <w:sz w:val="24"/>
              </w:rPr>
              <w:t>满载直行;错误指令取消</w:t>
            </w:r>
          </w:p>
          <w:p>
            <w:pPr>
              <w:jc w:val="left"/>
              <w:rPr>
                <w:rFonts w:ascii="宋体" w:hAnsi="宋体"/>
                <w:sz w:val="24"/>
              </w:rPr>
            </w:pPr>
            <w:r>
              <w:rPr>
                <w:rFonts w:hint="eastAsia" w:ascii="宋体" w:hAnsi="宋体"/>
                <w:sz w:val="24"/>
              </w:rPr>
              <w:t>超载停梯;轿内层楼方向指示</w:t>
            </w:r>
          </w:p>
          <w:p>
            <w:pPr>
              <w:jc w:val="left"/>
              <w:rPr>
                <w:rFonts w:ascii="宋体" w:hAnsi="宋体"/>
                <w:sz w:val="24"/>
              </w:rPr>
            </w:pPr>
            <w:r>
              <w:rPr>
                <w:rFonts w:hint="eastAsia" w:ascii="宋体" w:hAnsi="宋体"/>
                <w:sz w:val="24"/>
              </w:rPr>
              <w:t>层站层楼方向指示;应急照明</w:t>
            </w:r>
          </w:p>
          <w:p>
            <w:pPr>
              <w:jc w:val="left"/>
              <w:rPr>
                <w:rFonts w:ascii="宋体" w:hAnsi="宋体"/>
                <w:sz w:val="24"/>
              </w:rPr>
            </w:pPr>
            <w:r>
              <w:rPr>
                <w:rFonts w:hint="eastAsia" w:ascii="宋体" w:hAnsi="宋体"/>
                <w:sz w:val="24"/>
              </w:rPr>
              <w:t>点动运行;五方通话</w:t>
            </w:r>
          </w:p>
          <w:p>
            <w:pPr>
              <w:jc w:val="left"/>
              <w:rPr>
                <w:rFonts w:ascii="宋体" w:hAnsi="宋体"/>
                <w:sz w:val="24"/>
              </w:rPr>
            </w:pPr>
            <w:r>
              <w:rPr>
                <w:rFonts w:hint="eastAsia" w:ascii="宋体" w:hAnsi="宋体"/>
                <w:sz w:val="24"/>
              </w:rPr>
              <w:t xml:space="preserve">警铃;消防返回 </w:t>
            </w:r>
          </w:p>
          <w:p>
            <w:pPr>
              <w:jc w:val="left"/>
              <w:rPr>
                <w:rFonts w:ascii="宋体" w:hAnsi="宋体"/>
                <w:sz w:val="24"/>
              </w:rPr>
            </w:pPr>
            <w:r>
              <w:rPr>
                <w:rFonts w:hint="eastAsia" w:ascii="宋体" w:hAnsi="宋体"/>
                <w:sz w:val="24"/>
              </w:rPr>
              <w:t>再平层;运行时间记录</w:t>
            </w:r>
          </w:p>
          <w:p>
            <w:pPr>
              <w:jc w:val="left"/>
              <w:rPr>
                <w:rFonts w:ascii="宋体" w:hAnsi="宋体"/>
                <w:sz w:val="24"/>
              </w:rPr>
            </w:pPr>
            <w:r>
              <w:rPr>
                <w:rFonts w:hint="eastAsia" w:ascii="宋体" w:hAnsi="宋体"/>
                <w:sz w:val="24"/>
              </w:rPr>
              <w:t>强迫停层;换站停靠</w:t>
            </w:r>
          </w:p>
          <w:p>
            <w:pPr>
              <w:jc w:val="left"/>
              <w:rPr>
                <w:rFonts w:ascii="宋体" w:hAnsi="宋体"/>
                <w:sz w:val="24"/>
              </w:rPr>
            </w:pPr>
            <w:r>
              <w:rPr>
                <w:rFonts w:hint="eastAsia" w:ascii="宋体" w:hAnsi="宋体"/>
                <w:sz w:val="24"/>
              </w:rPr>
              <w:t>开门延时;门服务层设定</w:t>
            </w:r>
          </w:p>
          <w:p>
            <w:pPr>
              <w:jc w:val="left"/>
              <w:rPr>
                <w:rFonts w:ascii="宋体" w:hAnsi="宋体"/>
                <w:sz w:val="24"/>
              </w:rPr>
            </w:pPr>
            <w:r>
              <w:rPr>
                <w:rFonts w:hint="eastAsia" w:ascii="宋体" w:hAnsi="宋体"/>
                <w:sz w:val="24"/>
              </w:rPr>
              <w:t xml:space="preserve">下集选控制;运行次数记录      </w:t>
            </w:r>
          </w:p>
          <w:p>
            <w:pPr>
              <w:autoSpaceDE w:val="0"/>
              <w:autoSpaceDN w:val="0"/>
              <w:adjustRightInd w:val="0"/>
              <w:spacing w:line="360" w:lineRule="auto"/>
              <w:rPr>
                <w:rFonts w:asciiTheme="minorEastAsia" w:hAnsiTheme="minorEastAsia"/>
                <w:sz w:val="24"/>
                <w:szCs w:val="24"/>
              </w:rPr>
            </w:pPr>
            <w:r>
              <w:rPr>
                <w:rFonts w:hint="eastAsia" w:ascii="宋体" w:hAnsi="宋体"/>
                <w:sz w:val="24"/>
              </w:rPr>
              <w:t>未尽事项按照国家有关规定执行。</w:t>
            </w:r>
          </w:p>
        </w:tc>
        <w:tc>
          <w:tcPr>
            <w:tcW w:w="61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台</w:t>
            </w:r>
          </w:p>
        </w:tc>
        <w:tc>
          <w:tcPr>
            <w:tcW w:w="6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w:t>
            </w:r>
          </w:p>
        </w:tc>
        <w:tc>
          <w:tcPr>
            <w:tcW w:w="9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278000</w:t>
            </w:r>
          </w:p>
        </w:tc>
        <w:tc>
          <w:tcPr>
            <w:tcW w:w="101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278000</w:t>
            </w:r>
          </w:p>
        </w:tc>
        <w:tc>
          <w:tcPr>
            <w:tcW w:w="15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许昌、西继迅达（许昌）电梯有限公司</w:t>
            </w:r>
          </w:p>
        </w:tc>
      </w:tr>
      <w:tr>
        <w:tblPrEx>
          <w:tblLayout w:type="fixed"/>
          <w:tblCellMar>
            <w:top w:w="0" w:type="dxa"/>
            <w:left w:w="108" w:type="dxa"/>
            <w:bottom w:w="0" w:type="dxa"/>
            <w:right w:w="108" w:type="dxa"/>
          </w:tblCellMar>
        </w:tblPrEx>
        <w:trPr>
          <w:trHeight w:val="851" w:hRule="atLeast"/>
        </w:trPr>
        <w:tc>
          <w:tcPr>
            <w:tcW w:w="1154"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 w:val="24"/>
                <w:szCs w:val="24"/>
              </w:rPr>
            </w:pPr>
            <w:r>
              <w:rPr>
                <w:rFonts w:hint="eastAsia" w:cs="宋体" w:asciiTheme="minorEastAsia" w:hAnsiTheme="minorEastAsia"/>
                <w:sz w:val="24"/>
                <w:szCs w:val="24"/>
                <w:lang w:val="zh-CN"/>
              </w:rPr>
              <w:t>合</w:t>
            </w:r>
            <w:r>
              <w:rPr>
                <w:rFonts w:asciiTheme="minorEastAsia" w:hAnsiTheme="minorEastAsia"/>
                <w:sz w:val="24"/>
                <w:szCs w:val="24"/>
              </w:rPr>
              <w:t xml:space="preserve">  </w:t>
            </w:r>
            <w:r>
              <w:rPr>
                <w:rFonts w:hint="eastAsia" w:cs="宋体" w:asciiTheme="minorEastAsia" w:hAnsiTheme="minorEastAsia"/>
                <w:sz w:val="24"/>
                <w:szCs w:val="24"/>
                <w:lang w:val="zh-CN"/>
              </w:rPr>
              <w:t>计</w:t>
            </w:r>
          </w:p>
        </w:tc>
        <w:tc>
          <w:tcPr>
            <w:tcW w:w="8833"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hint="eastAsia" w:cs="宋体" w:asciiTheme="minorEastAsia" w:hAnsiTheme="minorEastAsia" w:eastAsiaTheme="minorEastAsia"/>
                <w:sz w:val="24"/>
                <w:szCs w:val="24"/>
                <w:lang w:val="en-US" w:eastAsia="zh-CN"/>
              </w:rPr>
            </w:pPr>
            <w:r>
              <w:rPr>
                <w:rFonts w:hint="eastAsia" w:cs="宋体" w:asciiTheme="minorEastAsia" w:hAnsiTheme="minorEastAsia"/>
                <w:sz w:val="24"/>
                <w:szCs w:val="24"/>
                <w:lang w:val="zh-CN"/>
              </w:rPr>
              <w:t>大写：肆拾柒万叁仟元整　　　　</w:t>
            </w:r>
            <w:r>
              <w:rPr>
                <w:rFonts w:asciiTheme="minorEastAsia" w:hAnsiTheme="minorEastAsia"/>
                <w:sz w:val="24"/>
                <w:szCs w:val="24"/>
              </w:rPr>
              <w:t xml:space="preserve">     </w:t>
            </w:r>
            <w:r>
              <w:rPr>
                <w:rFonts w:hint="eastAsia" w:cs="宋体" w:asciiTheme="minorEastAsia" w:hAnsiTheme="minorEastAsia"/>
                <w:sz w:val="24"/>
                <w:szCs w:val="24"/>
                <w:lang w:val="zh-CN"/>
              </w:rPr>
              <w:t>小写：</w:t>
            </w:r>
            <w:r>
              <w:rPr>
                <w:rFonts w:hint="eastAsia" w:cs="宋体" w:asciiTheme="minorEastAsia" w:hAnsiTheme="minorEastAsia"/>
                <w:sz w:val="24"/>
                <w:szCs w:val="24"/>
                <w:lang w:val="en-US" w:eastAsia="zh-CN"/>
              </w:rPr>
              <w:t>473000.00元</w:t>
            </w: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投标人（公章）：许昌澳力电梯有限公司</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360" w:lineRule="auto"/>
        <w:jc w:val="center"/>
        <w:rPr>
          <w:rFonts w:hint="eastAsia" w:ascii="宋体" w:hAnsi="宋体"/>
          <w:b/>
          <w:bCs/>
          <w:sz w:val="36"/>
          <w:szCs w:val="36"/>
        </w:rPr>
      </w:pPr>
    </w:p>
    <w:p>
      <w:pPr>
        <w:autoSpaceDE w:val="0"/>
        <w:autoSpaceDN w:val="0"/>
        <w:adjustRightInd w:val="0"/>
        <w:spacing w:line="360" w:lineRule="auto"/>
        <w:jc w:val="center"/>
        <w:rPr>
          <w:rFonts w:hint="eastAsia" w:ascii="宋体" w:hAnsi="宋体"/>
          <w:b/>
          <w:bCs/>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r>
        <w:rPr>
          <w:rFonts w:hint="eastAsia" w:ascii="宋体" w:hAnsi="宋体"/>
          <w:b/>
          <w:bCs/>
          <w:sz w:val="36"/>
          <w:szCs w:val="36"/>
        </w:rPr>
        <w:t xml:space="preserve">4.5 </w:t>
      </w:r>
      <w:r>
        <w:rPr>
          <w:rFonts w:hint="eastAsia" w:hAnsi="宋体" w:eastAsia="宋体"/>
          <w:b/>
          <w:snapToGrid w:val="0"/>
          <w:kern w:val="0"/>
          <w:sz w:val="36"/>
          <w:szCs w:val="36"/>
        </w:rPr>
        <w:t>售后服务</w:t>
      </w:r>
    </w:p>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sz w:val="24"/>
          <w:szCs w:val="24"/>
          <w:lang w:val="zh-CN"/>
        </w:rPr>
        <w:t>（</w:t>
      </w:r>
      <w:r>
        <w:rPr>
          <w:rFonts w:hint="eastAsia" w:cs="宋体" w:asciiTheme="minorEastAsia" w:hAnsiTheme="minorEastAsia"/>
          <w:b/>
          <w:sz w:val="24"/>
          <w:szCs w:val="24"/>
          <w:lang w:val="zh-CN"/>
        </w:rPr>
        <w:t>投标人根据招标文件要求自行编制）</w:t>
      </w:r>
    </w:p>
    <w:p>
      <w:pPr>
        <w:autoSpaceDE w:val="0"/>
        <w:autoSpaceDN w:val="0"/>
        <w:adjustRightInd w:val="0"/>
        <w:spacing w:line="360" w:lineRule="auto"/>
        <w:jc w:val="center"/>
        <w:rPr>
          <w:rFonts w:cs="宋体" w:asciiTheme="minorEastAsia" w:hAnsiTheme="minorEastAsia"/>
          <w:sz w:val="24"/>
          <w:szCs w:val="24"/>
          <w:lang w:val="zh-CN"/>
        </w:rPr>
      </w:pPr>
    </w:p>
    <w:p>
      <w:pPr>
        <w:widowControl/>
        <w:jc w:val="left"/>
        <w:rPr>
          <w:rFonts w:hint="eastAsia" w:hAnsi="宋体" w:eastAsia="宋体"/>
          <w:b/>
          <w:snapToGrid w:val="0"/>
          <w:kern w:val="0"/>
          <w:sz w:val="28"/>
          <w:szCs w:val="28"/>
          <w:lang w:eastAsia="zh-CN"/>
        </w:rPr>
      </w:pPr>
      <w:r>
        <w:rPr>
          <w:rFonts w:hint="eastAsia" w:hAnsi="宋体" w:eastAsia="宋体"/>
          <w:b/>
          <w:snapToGrid w:val="0"/>
          <w:kern w:val="0"/>
          <w:sz w:val="28"/>
          <w:szCs w:val="28"/>
          <w:lang w:val="en-US" w:eastAsia="zh-CN"/>
        </w:rPr>
        <w:t>4.5.1</w:t>
      </w:r>
      <w:r>
        <w:rPr>
          <w:rFonts w:hint="eastAsia" w:hAnsi="宋体" w:eastAsia="宋体"/>
          <w:b/>
          <w:snapToGrid w:val="0"/>
          <w:kern w:val="0"/>
          <w:sz w:val="28"/>
          <w:szCs w:val="28"/>
          <w:lang w:eastAsia="zh-CN"/>
        </w:rPr>
        <w:t>售后服务方案</w:t>
      </w:r>
    </w:p>
    <w:p>
      <w:pPr>
        <w:widowControl/>
        <w:ind w:firstLine="560" w:firstLineChars="200"/>
        <w:jc w:val="left"/>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eastAsia="zh-CN"/>
        </w:rPr>
        <w:t>我们深知：</w:t>
      </w:r>
      <w:r>
        <w:rPr>
          <w:rFonts w:hint="eastAsia" w:hAnsi="宋体" w:eastAsia="宋体"/>
          <w:b w:val="0"/>
          <w:bCs/>
          <w:snapToGrid w:val="0"/>
          <w:kern w:val="0"/>
          <w:sz w:val="28"/>
          <w:szCs w:val="28"/>
          <w:lang w:val="en-US" w:eastAsia="zh-CN"/>
        </w:rPr>
        <w:t>一部电梯的好坏，除了它自身的质量性能要好之外，更重要的是做好售后服务工作，售后服务的好坏将直接影响电梯的使用寿命和使用效果。直接关系到业主的声誉和利益，也关系到电梯品牌的信誉。因此，我们十分重视电梯的售后服务，也积极做好售后服务工作，我公司制定了</w:t>
      </w:r>
      <w:r>
        <w:rPr>
          <w:rFonts w:hint="eastAsia" w:hAnsi="宋体" w:eastAsia="宋体"/>
          <w:b w:val="0"/>
          <w:bCs/>
          <w:snapToGrid w:val="0"/>
          <w:kern w:val="0"/>
          <w:sz w:val="28"/>
          <w:szCs w:val="28"/>
          <w:u w:val="single"/>
          <w:lang w:val="en-US" w:eastAsia="zh-CN"/>
        </w:rPr>
        <w:t>鄢陵县陶城卫生院电梯采购及安装项目售后服务方案</w:t>
      </w:r>
      <w:r>
        <w:rPr>
          <w:rFonts w:hint="eastAsia" w:hAnsi="宋体" w:eastAsia="宋体"/>
          <w:b w:val="0"/>
          <w:bCs/>
          <w:snapToGrid w:val="0"/>
          <w:kern w:val="0"/>
          <w:sz w:val="28"/>
          <w:szCs w:val="28"/>
          <w:lang w:val="en-US" w:eastAsia="zh-CN"/>
        </w:rPr>
        <w:t>，具体方案如下：</w:t>
      </w:r>
    </w:p>
    <w:p>
      <w:pPr>
        <w:pStyle w:val="2"/>
        <w:ind w:left="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 xml:space="preserve">  </w:t>
      </w:r>
      <w:r>
        <w:rPr>
          <w:rFonts w:hint="eastAsia" w:hAnsi="宋体" w:eastAsia="宋体"/>
          <w:b/>
          <w:bCs w:val="0"/>
          <w:snapToGrid w:val="0"/>
          <w:kern w:val="0"/>
          <w:sz w:val="28"/>
          <w:szCs w:val="28"/>
          <w:lang w:val="en-US" w:eastAsia="zh-CN"/>
        </w:rPr>
        <w:t xml:space="preserve"> 4.5.1.1电梯日常保养</w:t>
      </w:r>
    </w:p>
    <w:p>
      <w:pPr>
        <w:pStyle w:val="2"/>
        <w:numPr>
          <w:ilvl w:val="0"/>
          <w:numId w:val="1"/>
        </w:numPr>
        <w:ind w:left="0" w:leftChars="0" w:firstLine="0" w:firstLineChars="0"/>
        <w:rPr>
          <w:rFonts w:hint="eastAsia" w:hAnsi="宋体" w:eastAsia="宋体"/>
          <w:b/>
          <w:bCs w:val="0"/>
          <w:snapToGrid w:val="0"/>
          <w:kern w:val="0"/>
          <w:sz w:val="28"/>
          <w:szCs w:val="28"/>
          <w:lang w:val="en-US" w:eastAsia="zh-CN"/>
        </w:rPr>
      </w:pPr>
      <w:r>
        <w:rPr>
          <w:rFonts w:hint="eastAsia" w:hAnsi="宋体" w:eastAsia="宋体"/>
          <w:b/>
          <w:bCs w:val="0"/>
          <w:snapToGrid w:val="0"/>
          <w:kern w:val="0"/>
          <w:sz w:val="28"/>
          <w:szCs w:val="28"/>
          <w:lang w:val="en-US" w:eastAsia="zh-CN"/>
        </w:rPr>
        <w:t>在质保期内</w:t>
      </w:r>
    </w:p>
    <w:p>
      <w:pPr>
        <w:pStyle w:val="2"/>
        <w:numPr>
          <w:ilvl w:val="0"/>
          <w:numId w:val="0"/>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在业主方电梯安装调试验收完毕后即进入我公司为期</w:t>
      </w:r>
      <w:r>
        <w:rPr>
          <w:rFonts w:hint="eastAsia" w:hAnsi="宋体" w:eastAsia="宋体"/>
          <w:b/>
          <w:bCs w:val="0"/>
          <w:snapToGrid w:val="0"/>
          <w:kern w:val="0"/>
          <w:sz w:val="28"/>
          <w:szCs w:val="28"/>
          <w:u w:val="single"/>
          <w:lang w:val="en-US" w:eastAsia="zh-CN"/>
        </w:rPr>
        <w:t>一年的产品免费保修期</w:t>
      </w:r>
      <w:r>
        <w:rPr>
          <w:rFonts w:hint="eastAsia" w:hAnsi="宋体" w:eastAsia="宋体"/>
          <w:b w:val="0"/>
          <w:bCs/>
          <w:snapToGrid w:val="0"/>
          <w:kern w:val="0"/>
          <w:sz w:val="28"/>
          <w:szCs w:val="28"/>
          <w:lang w:val="en-US" w:eastAsia="zh-CN"/>
        </w:rPr>
        <w:t>：</w:t>
      </w:r>
      <w:bookmarkStart w:id="0" w:name="_GoBack"/>
      <w:bookmarkEnd w:id="0"/>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在产品免费保修期中我们将定期派专业保养人员在业主方电梯现场进行巡回维护保养。</w:t>
      </w:r>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电梯的维护周期将被控制在一个月左右</w:t>
      </w:r>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维护保养人员每三个月向业主提交一份电梯维修保养情况的报告</w:t>
      </w:r>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对业主方有些在运行时间上有特殊要求的电梯，在维护时间上，我公司将充分考虑业主方的安排</w:t>
      </w:r>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在产品免费保修期结束前，我公司将为业主方电梯免费进行一次综合性的检查和试验，并免费矫正发现的问题</w:t>
      </w:r>
    </w:p>
    <w:p>
      <w:pPr>
        <w:pStyle w:val="2"/>
        <w:numPr>
          <w:ilvl w:val="0"/>
          <w:numId w:val="2"/>
        </w:numPr>
        <w:ind w:leftChars="0"/>
        <w:rPr>
          <w:rFonts w:hint="eastAsia" w:hAnsi="宋体" w:eastAsia="宋体"/>
          <w:b/>
          <w:bCs w:val="0"/>
          <w:snapToGrid w:val="0"/>
          <w:kern w:val="0"/>
          <w:sz w:val="28"/>
          <w:szCs w:val="28"/>
          <w:u w:val="single"/>
          <w:lang w:val="en-US" w:eastAsia="zh-CN"/>
        </w:rPr>
      </w:pPr>
      <w:r>
        <w:rPr>
          <w:rFonts w:hint="eastAsia" w:hAnsi="宋体" w:eastAsia="宋体"/>
          <w:b w:val="0"/>
          <w:bCs/>
          <w:snapToGrid w:val="0"/>
          <w:kern w:val="0"/>
          <w:sz w:val="28"/>
          <w:szCs w:val="28"/>
          <w:lang w:val="en-US" w:eastAsia="zh-CN"/>
        </w:rPr>
        <w:t>在产品免费保修期中，我公司将为业主方电梯进行24小时电话值班服务，</w:t>
      </w:r>
      <w:r>
        <w:rPr>
          <w:rFonts w:hint="eastAsia" w:hAnsi="宋体" w:eastAsia="宋体"/>
          <w:b/>
          <w:bCs w:val="0"/>
          <w:snapToGrid w:val="0"/>
          <w:kern w:val="0"/>
          <w:sz w:val="28"/>
          <w:szCs w:val="28"/>
          <w:u w:val="single"/>
          <w:lang w:val="en-US" w:eastAsia="zh-CN"/>
        </w:rPr>
        <w:t>设备发生故障后，我公司在30分钟内到达现场（质保期过后，中标单位应保证对零配件更换及正常维保优惠价格提供）</w:t>
      </w:r>
    </w:p>
    <w:p>
      <w:pPr>
        <w:pStyle w:val="2"/>
        <w:numPr>
          <w:ilvl w:val="0"/>
          <w:numId w:val="2"/>
        </w:numPr>
        <w:ind w:leftChars="0"/>
        <w:rPr>
          <w:rFonts w:hint="eastAsia" w:hAnsi="宋体" w:eastAsia="宋体"/>
          <w:b/>
          <w:bCs w:val="0"/>
          <w:snapToGrid w:val="0"/>
          <w:kern w:val="0"/>
          <w:sz w:val="28"/>
          <w:szCs w:val="28"/>
          <w:u w:val="single"/>
          <w:lang w:val="en-US" w:eastAsia="zh-CN"/>
        </w:rPr>
      </w:pPr>
      <w:r>
        <w:rPr>
          <w:rFonts w:hint="eastAsia" w:hAnsi="宋体" w:eastAsia="宋体"/>
          <w:b/>
          <w:bCs w:val="0"/>
          <w:snapToGrid w:val="0"/>
          <w:kern w:val="0"/>
          <w:sz w:val="28"/>
          <w:szCs w:val="28"/>
          <w:u w:val="single"/>
          <w:lang w:val="en-US" w:eastAsia="zh-CN"/>
        </w:rPr>
        <w:t>在免费保修期内，同一质量问题连续两次维修仍无法正常使用，我公司予以更换同品牌、同型号的全新产品，超过保修期发生故障，业主方可自由选择维修单位，如委托给我公司，我公司绝不借故推诿，并且维修费不超过市场平均价格</w:t>
      </w:r>
    </w:p>
    <w:p>
      <w:pPr>
        <w:pStyle w:val="2"/>
        <w:numPr>
          <w:ilvl w:val="0"/>
          <w:numId w:val="2"/>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每年有3-4次给物业管理部门免费培训安全保障和电梯相关基础知识的机会</w:t>
      </w:r>
    </w:p>
    <w:p>
      <w:pPr>
        <w:pStyle w:val="2"/>
        <w:numPr>
          <w:ilvl w:val="0"/>
          <w:numId w:val="1"/>
        </w:numPr>
        <w:ind w:left="0" w:leftChars="0" w:firstLine="0" w:firstLineChars="0"/>
        <w:rPr>
          <w:rFonts w:hint="eastAsia" w:hAnsi="宋体" w:eastAsia="宋体"/>
          <w:b/>
          <w:bCs w:val="0"/>
          <w:snapToGrid w:val="0"/>
          <w:kern w:val="0"/>
          <w:sz w:val="28"/>
          <w:szCs w:val="28"/>
          <w:lang w:val="en-US" w:eastAsia="zh-CN"/>
        </w:rPr>
      </w:pPr>
      <w:r>
        <w:rPr>
          <w:rFonts w:hint="eastAsia" w:hAnsi="宋体" w:eastAsia="宋体"/>
          <w:b/>
          <w:bCs w:val="0"/>
          <w:snapToGrid w:val="0"/>
          <w:kern w:val="0"/>
          <w:sz w:val="28"/>
          <w:szCs w:val="28"/>
          <w:lang w:val="en-US" w:eastAsia="zh-CN"/>
        </w:rPr>
        <w:t>签订电梯维修保养合同后</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在业主方与我公司签订电梯维修保养合同后我们将定期派专业维修人员在业主方电梯现场进行巡回维护保养</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电梯的维护周期将被控制在一个月左右</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维护保养人员每三个月向业主提交一份电梯维修保养情况的报告</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对业主方有些在运行时间上有特殊要求的电梯，在维护时间上，我公司将充分考虑业主方的安排</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为业主方提供24小时电梯紧急维修服务</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每年免费一次“年度安全检查”，以优惠的价格校正发现的问题</w:t>
      </w:r>
    </w:p>
    <w:p>
      <w:pPr>
        <w:pStyle w:val="2"/>
        <w:numPr>
          <w:ilvl w:val="0"/>
          <w:numId w:val="3"/>
        </w:numPr>
        <w:ind w:left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为业主方电梯进行24小时电话值班服务</w:t>
      </w:r>
    </w:p>
    <w:p>
      <w:pPr>
        <w:widowControl/>
        <w:ind w:firstLine="562" w:firstLineChars="200"/>
        <w:jc w:val="left"/>
        <w:rPr>
          <w:rFonts w:hint="eastAsia" w:hAnsi="宋体" w:eastAsia="宋体"/>
          <w:b/>
          <w:bCs w:val="0"/>
          <w:snapToGrid w:val="0"/>
          <w:kern w:val="0"/>
          <w:sz w:val="28"/>
          <w:szCs w:val="28"/>
          <w:lang w:val="en-US" w:eastAsia="zh-CN"/>
        </w:rPr>
      </w:pPr>
      <w:r>
        <w:rPr>
          <w:rFonts w:hint="eastAsia" w:hAnsi="宋体" w:eastAsia="宋体"/>
          <w:b/>
          <w:bCs w:val="0"/>
          <w:snapToGrid w:val="0"/>
          <w:kern w:val="0"/>
          <w:sz w:val="28"/>
          <w:szCs w:val="28"/>
          <w:lang w:val="en-US" w:eastAsia="zh-CN"/>
        </w:rPr>
        <w:t>4.5.1.2零配件的供应</w:t>
      </w:r>
    </w:p>
    <w:p>
      <w:pPr>
        <w:widowControl/>
        <w:numPr>
          <w:ilvl w:val="0"/>
          <w:numId w:val="4"/>
        </w:numPr>
        <w:ind w:firstLine="562" w:firstLineChars="200"/>
        <w:jc w:val="left"/>
        <w:rPr>
          <w:rFonts w:hint="eastAsia" w:hAnsi="宋体" w:eastAsia="宋体"/>
          <w:b/>
          <w:bCs w:val="0"/>
          <w:snapToGrid w:val="0"/>
          <w:kern w:val="0"/>
          <w:sz w:val="28"/>
          <w:szCs w:val="28"/>
          <w:lang w:val="en-US" w:eastAsia="zh-CN"/>
        </w:rPr>
      </w:pPr>
      <w:r>
        <w:rPr>
          <w:rFonts w:hint="eastAsia" w:hAnsi="宋体" w:eastAsia="宋体"/>
          <w:b/>
          <w:bCs w:val="0"/>
          <w:snapToGrid w:val="0"/>
          <w:kern w:val="0"/>
          <w:sz w:val="28"/>
          <w:szCs w:val="28"/>
          <w:lang w:val="en-US" w:eastAsia="zh-CN"/>
        </w:rPr>
        <w:t>在产品免费保险期内</w:t>
      </w:r>
    </w:p>
    <w:p>
      <w:pPr>
        <w:pStyle w:val="2"/>
        <w:numPr>
          <w:ilvl w:val="0"/>
          <w:numId w:val="5"/>
        </w:numPr>
        <w:ind w:left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对于业主方的电梯我公司将免费更换正常使用情况下损坏的电梯零部件</w:t>
      </w:r>
    </w:p>
    <w:p>
      <w:pPr>
        <w:pStyle w:val="2"/>
        <w:numPr>
          <w:ilvl w:val="0"/>
          <w:numId w:val="5"/>
        </w:numPr>
        <w:ind w:left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我公司将在公司的备件库中单独为业主方的每一种类型的电梯随时准备着二套电梯控制板和足够数量的易损件</w:t>
      </w:r>
    </w:p>
    <w:p>
      <w:pPr>
        <w:pStyle w:val="2"/>
        <w:numPr>
          <w:ilvl w:val="0"/>
          <w:numId w:val="5"/>
        </w:numPr>
        <w:ind w:left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在电梯使用现场我们还将准备一部分常用易损件做到随用随有</w:t>
      </w:r>
    </w:p>
    <w:p>
      <w:pPr>
        <w:pStyle w:val="2"/>
        <w:numPr>
          <w:ilvl w:val="0"/>
          <w:numId w:val="4"/>
        </w:numPr>
        <w:ind w:left="0" w:leftChars="0" w:firstLine="562" w:firstLineChars="200"/>
        <w:rPr>
          <w:rFonts w:hint="eastAsia" w:hAnsi="宋体" w:eastAsia="宋体" w:cstheme="minorBidi"/>
          <w:b/>
          <w:bCs w:val="0"/>
          <w:snapToGrid w:val="0"/>
          <w:kern w:val="0"/>
          <w:sz w:val="28"/>
          <w:szCs w:val="28"/>
          <w:lang w:val="en-US" w:eastAsia="zh-CN" w:bidi="ar-SA"/>
        </w:rPr>
      </w:pPr>
      <w:r>
        <w:rPr>
          <w:rFonts w:hint="eastAsia" w:hAnsi="宋体" w:eastAsia="宋体" w:cstheme="minorBidi"/>
          <w:b/>
          <w:bCs w:val="0"/>
          <w:snapToGrid w:val="0"/>
          <w:kern w:val="0"/>
          <w:sz w:val="28"/>
          <w:szCs w:val="28"/>
          <w:lang w:val="en-US" w:eastAsia="zh-CN" w:bidi="ar-SA"/>
        </w:rPr>
        <w:t>在产品免费保险期过后</w:t>
      </w:r>
    </w:p>
    <w:p>
      <w:pPr>
        <w:pStyle w:val="2"/>
        <w:numPr>
          <w:ilvl w:val="0"/>
          <w:numId w:val="6"/>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超出产品免费保险期后备件供应在良好付款信誉的前提下以“先供应后付款”为原则保业主电梯连续安全高质量运行</w:t>
      </w:r>
    </w:p>
    <w:p>
      <w:pPr>
        <w:pStyle w:val="2"/>
        <w:numPr>
          <w:ilvl w:val="0"/>
          <w:numId w:val="6"/>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如业主方与我公司签订电梯维修保养合同我们将在公司的备件库中单独为业主方的每一种类型的电梯随时准备着二套电梯控制板和足够数量的易损件</w:t>
      </w:r>
    </w:p>
    <w:p>
      <w:pPr>
        <w:pStyle w:val="2"/>
        <w:numPr>
          <w:ilvl w:val="0"/>
          <w:numId w:val="6"/>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在签订维修保养合同后； 对业主方电梯我公司将以优惠的价格提供正常情况下损坏的电梯零部件</w:t>
      </w:r>
    </w:p>
    <w:p>
      <w:pPr>
        <w:pStyle w:val="2"/>
        <w:numPr>
          <w:ilvl w:val="0"/>
          <w:numId w:val="6"/>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在签订维修保养合同后还将准备一部分零部件做到随用随有</w:t>
      </w:r>
    </w:p>
    <w:p>
      <w:pPr>
        <w:pStyle w:val="2"/>
        <w:numPr>
          <w:ilvl w:val="0"/>
          <w:numId w:val="6"/>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我们将为业主方提供优惠的易损件零备件价目表</w:t>
      </w:r>
    </w:p>
    <w:p>
      <w:pPr>
        <w:widowControl/>
        <w:ind w:firstLine="562" w:firstLineChars="200"/>
        <w:jc w:val="left"/>
        <w:rPr>
          <w:rFonts w:hint="eastAsia" w:hAnsi="宋体" w:eastAsia="宋体"/>
          <w:b/>
          <w:bCs w:val="0"/>
          <w:snapToGrid w:val="0"/>
          <w:kern w:val="0"/>
          <w:sz w:val="28"/>
          <w:szCs w:val="28"/>
          <w:lang w:val="en-US" w:eastAsia="zh-CN"/>
        </w:rPr>
      </w:pPr>
      <w:r>
        <w:rPr>
          <w:rFonts w:hint="eastAsia" w:hAnsi="宋体" w:eastAsia="宋体"/>
          <w:b/>
          <w:bCs w:val="0"/>
          <w:snapToGrid w:val="0"/>
          <w:kern w:val="0"/>
          <w:sz w:val="28"/>
          <w:szCs w:val="28"/>
          <w:lang w:val="en-US" w:eastAsia="zh-CN"/>
        </w:rPr>
        <w:t>4.5.1.3在技术培训方面</w:t>
      </w:r>
    </w:p>
    <w:p>
      <w:pPr>
        <w:pStyle w:val="2"/>
        <w:numPr>
          <w:ilvl w:val="0"/>
          <w:numId w:val="7"/>
        </w:numPr>
        <w:ind w:leftChars="3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安排专业维修保养工程师到现场为业主方免费技术指导培训两名维修人员</w:t>
      </w:r>
    </w:p>
    <w:p>
      <w:pPr>
        <w:pStyle w:val="2"/>
        <w:numPr>
          <w:ilvl w:val="0"/>
          <w:numId w:val="7"/>
        </w:numPr>
        <w:ind w:leftChars="3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在我公司免费为业主方培训两名维修人员（差旅费、食宿费、资料费自理）直到掌握基本的运行操作、维修保养技术，能正确检修、维护、排除一般故障。</w:t>
      </w:r>
    </w:p>
    <w:p>
      <w:pPr>
        <w:pStyle w:val="2"/>
        <w:widowControl w:val="0"/>
        <w:numPr>
          <w:ilvl w:val="0"/>
          <w:numId w:val="0"/>
        </w:numPr>
        <w:jc w:val="both"/>
        <w:rPr>
          <w:rFonts w:hint="eastAsia" w:hAnsi="宋体" w:eastAsia="宋体"/>
          <w:b w:val="0"/>
          <w:bCs/>
          <w:snapToGrid w:val="0"/>
          <w:kern w:val="0"/>
          <w:sz w:val="28"/>
          <w:szCs w:val="28"/>
          <w:lang w:val="en-US" w:eastAsia="zh-CN"/>
        </w:rPr>
      </w:pPr>
    </w:p>
    <w:p>
      <w:pPr>
        <w:pStyle w:val="2"/>
        <w:widowControl w:val="0"/>
        <w:numPr>
          <w:ilvl w:val="0"/>
          <w:numId w:val="0"/>
        </w:numPr>
        <w:jc w:val="both"/>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售后服务的社会评价：由于长期的优质服务，得到了各方用户对产品和企业的认可，得到了社会的高度评价。“做一项工程，数一方信誉”是我们的宗旨，保障电梯运行处于最佳状态是我们工作的职责，用户的高度满意是我们追求的目标。</w:t>
      </w:r>
    </w:p>
    <w:p>
      <w:pPr>
        <w:widowControl/>
        <w:jc w:val="left"/>
        <w:rPr>
          <w:rFonts w:hint="eastAsia" w:hAnsi="宋体" w:eastAsia="宋体"/>
          <w:b/>
          <w:snapToGrid w:val="0"/>
          <w:kern w:val="0"/>
          <w:sz w:val="28"/>
          <w:szCs w:val="28"/>
          <w:lang w:eastAsia="zh-CN"/>
        </w:rPr>
      </w:pPr>
      <w:r>
        <w:rPr>
          <w:rFonts w:hint="eastAsia" w:hAnsi="宋体" w:eastAsia="宋体"/>
          <w:b/>
          <w:snapToGrid w:val="0"/>
          <w:kern w:val="0"/>
          <w:sz w:val="28"/>
          <w:szCs w:val="28"/>
          <w:lang w:val="en-US" w:eastAsia="zh-CN"/>
        </w:rPr>
        <w:t>4.5.2维修保养</w:t>
      </w:r>
      <w:r>
        <w:rPr>
          <w:rFonts w:hint="eastAsia" w:hAnsi="宋体" w:eastAsia="宋体"/>
          <w:b/>
          <w:snapToGrid w:val="0"/>
          <w:kern w:val="0"/>
          <w:sz w:val="28"/>
          <w:szCs w:val="28"/>
          <w:lang w:eastAsia="zh-CN"/>
        </w:rPr>
        <w:t>方案</w:t>
      </w:r>
    </w:p>
    <w:p>
      <w:pPr>
        <w:pStyle w:val="2"/>
        <w:rPr>
          <w:rFonts w:hint="eastAsia" w:hAnsi="宋体" w:eastAsia="宋体"/>
          <w:b/>
          <w:snapToGrid w:val="0"/>
          <w:kern w:val="0"/>
          <w:sz w:val="28"/>
          <w:szCs w:val="28"/>
          <w:lang w:val="en-US" w:eastAsia="zh-CN"/>
        </w:rPr>
      </w:pPr>
      <w:r>
        <w:rPr>
          <w:rFonts w:hint="eastAsia" w:hAnsi="宋体" w:eastAsia="宋体"/>
          <w:b/>
          <w:snapToGrid w:val="0"/>
          <w:kern w:val="0"/>
          <w:sz w:val="28"/>
          <w:szCs w:val="28"/>
          <w:lang w:val="en-US" w:eastAsia="zh-CN"/>
        </w:rPr>
        <w:t>4.5.2.1目的</w:t>
      </w:r>
    </w:p>
    <w:p>
      <w:pPr>
        <w:pStyle w:val="2"/>
        <w:rPr>
          <w:rFonts w:hint="eastAsia" w:hAnsi="宋体" w:eastAsia="宋体"/>
          <w:b w:val="0"/>
          <w:bCs/>
          <w:snapToGrid w:val="0"/>
          <w:kern w:val="0"/>
          <w:sz w:val="28"/>
          <w:szCs w:val="28"/>
          <w:lang w:val="en-US" w:eastAsia="zh-CN"/>
        </w:rPr>
      </w:pPr>
      <w:r>
        <w:rPr>
          <w:rFonts w:hint="eastAsia" w:hAnsi="宋体" w:eastAsia="宋体"/>
          <w:b/>
          <w:snapToGrid w:val="0"/>
          <w:kern w:val="0"/>
          <w:sz w:val="28"/>
          <w:szCs w:val="28"/>
          <w:lang w:val="en-US" w:eastAsia="zh-CN"/>
        </w:rPr>
        <w:t xml:space="preserve">  </w:t>
      </w:r>
      <w:r>
        <w:rPr>
          <w:rFonts w:hint="eastAsia" w:hAnsi="宋体" w:eastAsia="宋体"/>
          <w:b w:val="0"/>
          <w:bCs/>
          <w:snapToGrid w:val="0"/>
          <w:kern w:val="0"/>
          <w:sz w:val="28"/>
          <w:szCs w:val="28"/>
          <w:lang w:val="en-US" w:eastAsia="zh-CN"/>
        </w:rPr>
        <w:t>为了刚好的完成</w:t>
      </w:r>
      <w:r>
        <w:rPr>
          <w:rFonts w:hint="eastAsia" w:hAnsi="宋体" w:eastAsia="宋体"/>
          <w:b w:val="0"/>
          <w:bCs/>
          <w:snapToGrid w:val="0"/>
          <w:kern w:val="0"/>
          <w:sz w:val="28"/>
          <w:szCs w:val="28"/>
          <w:u w:val="single"/>
          <w:lang w:val="en-US" w:eastAsia="zh-CN"/>
        </w:rPr>
        <w:t>鄢陵县陶城卫生院电梯采购及安装项目</w:t>
      </w:r>
      <w:r>
        <w:rPr>
          <w:rFonts w:hint="eastAsia" w:hAnsi="宋体" w:eastAsia="宋体"/>
          <w:b w:val="0"/>
          <w:bCs/>
          <w:snapToGrid w:val="0"/>
          <w:kern w:val="0"/>
          <w:sz w:val="28"/>
          <w:szCs w:val="28"/>
          <w:lang w:val="en-US" w:eastAsia="zh-CN"/>
        </w:rPr>
        <w:t>电梯维修保养计划，特制定本方案。</w:t>
      </w:r>
    </w:p>
    <w:p>
      <w:pPr>
        <w:pStyle w:val="2"/>
        <w:rPr>
          <w:rFonts w:hint="eastAsia" w:hAnsi="宋体" w:eastAsia="宋体"/>
          <w:b/>
          <w:snapToGrid w:val="0"/>
          <w:kern w:val="0"/>
          <w:sz w:val="28"/>
          <w:szCs w:val="28"/>
          <w:lang w:val="en-US" w:eastAsia="zh-CN"/>
        </w:rPr>
      </w:pPr>
      <w:r>
        <w:rPr>
          <w:rFonts w:hint="eastAsia" w:hAnsi="宋体" w:eastAsia="宋体"/>
          <w:b/>
          <w:snapToGrid w:val="0"/>
          <w:kern w:val="0"/>
          <w:sz w:val="28"/>
          <w:szCs w:val="28"/>
          <w:lang w:val="en-US" w:eastAsia="zh-CN"/>
        </w:rPr>
        <w:t>4.5.2.2维修保养的一般要求</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电梯的保养周期分为半月、月、季度、半年、年保养。维保人员应按计划按时保质保量对电梯进行响应的检修、维护。</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电梯维保人员每半月对电梯各易损运动安全部件及基本功能进行一次较为全面的检查、清洁、调整、润滑、更换零部件等保养工作。</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在每半月保养得基础上，分别于每月、每季度、每半年、每年再对上述部件进行更深入的保养，并对其他部件按时进行检查、清洁、调整、润滑、更换等保养工作。</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在周期性巡视或保养中，若发现有异常情况但不宜进行即时处理的，在不影响正常安全使用的情况下可先做好详细记录，随后尽快安排处理并做好记录。</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维保完成后的电梯应处于良好安全的运行状态，各部位符合相应的国家标准及企业标准。</w:t>
      </w:r>
    </w:p>
    <w:p>
      <w:pPr>
        <w:pStyle w:val="2"/>
        <w:numPr>
          <w:ilvl w:val="0"/>
          <w:numId w:val="8"/>
        </w:numPr>
        <w:ind w:left="560" w:leftChars="0" w:firstLine="0" w:firstLineChars="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每台电梯每年专用一本保养表，每次保养项目不得少于各相关表内要求，维保负责人或公司管理人员要对保养员工填报的真实性进行不定期检查。</w:t>
      </w:r>
    </w:p>
    <w:p>
      <w:pPr>
        <w:pStyle w:val="2"/>
        <w:rPr>
          <w:rFonts w:hint="eastAsia" w:hAnsi="宋体" w:eastAsia="宋体"/>
          <w:b/>
          <w:snapToGrid w:val="0"/>
          <w:kern w:val="0"/>
          <w:sz w:val="28"/>
          <w:szCs w:val="28"/>
          <w:lang w:val="en-US" w:eastAsia="zh-CN"/>
        </w:rPr>
      </w:pPr>
      <w:r>
        <w:rPr>
          <w:rFonts w:hint="eastAsia" w:hAnsi="宋体" w:eastAsia="宋体"/>
          <w:b/>
          <w:snapToGrid w:val="0"/>
          <w:kern w:val="0"/>
          <w:sz w:val="28"/>
          <w:szCs w:val="28"/>
          <w:lang w:val="en-US" w:eastAsia="zh-CN"/>
        </w:rPr>
        <w:t>4.5.2.3电梯的维修、检查和调整要求</w:t>
      </w:r>
    </w:p>
    <w:p>
      <w:pPr>
        <w:pStyle w:val="2"/>
        <w:numPr>
          <w:ilvl w:val="0"/>
          <w:numId w:val="9"/>
        </w:numPr>
        <w:ind w:firstLine="560" w:firstLine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曳引机减速器</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曳引机蜗轮减速器的运行应平稳无振动，蜗轮杆与蜗轮螺旋线间的啮合应保持良好，保证工作的可逆性而无撞击声。</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减速器油池内必须有足量和厚度适宜的机油（齿轮油），油面须保持在蜗杆齿根线以下（及蜗杆和蜗轮齿的接触面以下）。</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减速器盖，窥视孔盖和轴承盖与箱体的连接应当紧密，不应漏油。在蜗杆轴伸出端采用橡胶油封密封，此处允许产生少量润滑性渗油。</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减速器的润滑油应保持清洁，从轴封处漏出的润滑油须用小盒盛接，经滤过后再可使用。</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曳引机底座的螺栓应紧固无松动现象。</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减速器在正常条件下运转时，其机件和轴承的温度一般应不超过80</w:t>
      </w:r>
      <w:r>
        <w:rPr>
          <w:rFonts w:hint="eastAsia" w:ascii="宋体" w:hAnsi="宋体" w:eastAsia="宋体" w:cs="宋体"/>
          <w:b w:val="0"/>
          <w:bCs/>
          <w:snapToGrid w:val="0"/>
          <w:kern w:val="0"/>
          <w:sz w:val="28"/>
          <w:szCs w:val="28"/>
          <w:lang w:val="en-US" w:eastAsia="zh-CN"/>
        </w:rPr>
        <w:t>℃。</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当减速器在正常运转下如轴承产生高热温度超过80</w:t>
      </w:r>
      <w:r>
        <w:rPr>
          <w:rFonts w:hint="eastAsia" w:ascii="宋体" w:hAnsi="宋体" w:eastAsia="宋体" w:cs="宋体"/>
          <w:b w:val="0"/>
          <w:bCs/>
          <w:snapToGrid w:val="0"/>
          <w:kern w:val="0"/>
          <w:sz w:val="28"/>
          <w:szCs w:val="28"/>
          <w:lang w:val="en-US" w:eastAsia="zh-CN"/>
        </w:rPr>
        <w:t>℃或产生显著地不均匀噪声或甚至出现磨切和撞击声时，该轴承应调换。</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在检查减速器蜗轮和蜗杆的齿和轴承的情况时，如必须将减速器拆开时应先将轿厢安置在井道顶部用倒链吊住，并将对重在底坑内用木楞撑住，然后排去减速器内润滑油，用煤油洗净。</w:t>
      </w:r>
    </w:p>
    <w:p>
      <w:pPr>
        <w:pStyle w:val="2"/>
        <w:numPr>
          <w:ilvl w:val="0"/>
          <w:numId w:val="10"/>
        </w:numPr>
        <w:ind w:firstLine="280" w:firstLineChars="100"/>
        <w:rPr>
          <w:rFonts w:hint="eastAsia" w:hAnsi="宋体" w:eastAsia="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当减速器使用年久后，齿的磨损逐渐增大而当齿间侧隙超过1毫米以上并在工作中产生猛烈的撞击时应考虑调换蜗轮与蜗杆。</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制动器</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检查闸瓦应当紧密地贴合与制动轮的工作表面上，当松闸时，闸瓦应同时离开制动轮的工作表面，不得有局部摩擦，这时在制动轮与闸瓦之间形成的间隙不得大于0.7毫米。</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制动器的销轴必须能自动转动并经常用薄油润滑，电磁铁在工作时，磁铁应能自由滑动，无卡住现象。</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制动器电磁线圈的接线应无松动现象，线圈外部防短路的绝缘要良好。</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闸瓦的衬垫如有油腻等，要拆下清洗，以防打滑。</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当闸瓦的衬垫磨损后与制动轮的间隙增大，会使得制动不正常。如发出异常的撞击声时，应调节可动铁芯，与闸瓦臂连接的螺母，来补偿磨损掉的厚度，使间隙恢复。</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当闸瓦衬垫磨损值超过衬垫厚度2/3时，应及时更换。</w:t>
      </w:r>
    </w:p>
    <w:p>
      <w:pPr>
        <w:pStyle w:val="2"/>
        <w:numPr>
          <w:ilvl w:val="0"/>
          <w:numId w:val="11"/>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制动器弹簧每隔一段时间要调整其弹簧力，是电梯在满载下降时应能提供足够的制动力使轿厢迅速停位，而在满载上升时制动又不能太猛，要平滑地从平层速度过渡到准确停层于欲停楼面上。</w:t>
      </w:r>
    </w:p>
    <w:p>
      <w:pPr>
        <w:pStyle w:val="2"/>
        <w:numPr>
          <w:ilvl w:val="0"/>
          <w:numId w:val="9"/>
        </w:numPr>
        <w:ind w:left="0" w:leftChars="0" w:firstLine="560" w:firstLine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曳引电动机</w:t>
      </w:r>
    </w:p>
    <w:p>
      <w:pPr>
        <w:pStyle w:val="2"/>
        <w:numPr>
          <w:ilvl w:val="0"/>
          <w:numId w:val="12"/>
        </w:numPr>
        <w:ind w:leftChars="200"/>
        <w:rPr>
          <w:rFonts w:hint="eastAsia" w:hAnsi="宋体" w:eastAsia="宋体"/>
          <w:b w:val="0"/>
          <w:bCs/>
          <w:snapToGrid w:val="0"/>
          <w:kern w:val="0"/>
          <w:sz w:val="28"/>
          <w:szCs w:val="28"/>
          <w:lang w:val="en-US" w:eastAsia="zh-CN"/>
        </w:rPr>
      </w:pPr>
      <w:r>
        <w:rPr>
          <w:rFonts w:hint="eastAsia" w:hAnsi="宋体" w:eastAsia="宋体"/>
          <w:b w:val="0"/>
          <w:bCs/>
          <w:snapToGrid w:val="0"/>
          <w:kern w:val="0"/>
          <w:sz w:val="28"/>
          <w:szCs w:val="28"/>
          <w:lang w:val="en-US" w:eastAsia="zh-CN"/>
        </w:rPr>
        <w:t>电动机的连接应保持坚固，蜗杆轴与电动机轴连接后的不同轴度允差如下：</w:t>
      </w:r>
    </w:p>
    <w:p>
      <w:pPr>
        <w:pStyle w:val="2"/>
        <w:numPr>
          <w:ilvl w:val="0"/>
          <w:numId w:val="0"/>
        </w:numPr>
        <w:ind w:leftChars="300"/>
        <w:rPr>
          <w:rFonts w:hint="eastAsia" w:hAnsi="宋体" w:eastAsia="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①</w:t>
      </w:r>
      <w:r>
        <w:rPr>
          <w:rFonts w:hint="eastAsia" w:hAnsi="宋体" w:eastAsia="宋体"/>
          <w:b w:val="0"/>
          <w:bCs/>
          <w:snapToGrid w:val="0"/>
          <w:kern w:val="0"/>
          <w:sz w:val="28"/>
          <w:szCs w:val="28"/>
          <w:lang w:val="en-US" w:eastAsia="zh-CN"/>
        </w:rPr>
        <w:t>刚性连接应</w:t>
      </w:r>
      <w:r>
        <w:rPr>
          <w:rFonts w:hint="eastAsia" w:ascii="宋体" w:hAnsi="宋体" w:eastAsia="宋体" w:cs="宋体"/>
          <w:b w:val="0"/>
          <w:bCs/>
          <w:snapToGrid w:val="0"/>
          <w:kern w:val="0"/>
          <w:sz w:val="28"/>
          <w:szCs w:val="28"/>
          <w:lang w:val="en-US" w:eastAsia="zh-CN"/>
        </w:rPr>
        <w:t>≦</w:t>
      </w:r>
      <w:r>
        <w:rPr>
          <w:rFonts w:hint="eastAsia" w:hAnsi="宋体" w:eastAsia="宋体"/>
          <w:b w:val="0"/>
          <w:bCs/>
          <w:snapToGrid w:val="0"/>
          <w:kern w:val="0"/>
          <w:sz w:val="28"/>
          <w:szCs w:val="28"/>
          <w:lang w:val="en-US" w:eastAsia="zh-CN"/>
        </w:rPr>
        <w:t>0.04毫米</w:t>
      </w:r>
    </w:p>
    <w:p>
      <w:pPr>
        <w:pStyle w:val="2"/>
        <w:numPr>
          <w:ilvl w:val="0"/>
          <w:numId w:val="0"/>
        </w:numPr>
        <w:ind w:leftChars="300"/>
        <w:rPr>
          <w:rFonts w:hint="eastAsia" w:hAnsi="宋体" w:eastAsia="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②</w:t>
      </w:r>
      <w:r>
        <w:rPr>
          <w:rFonts w:hint="eastAsia" w:hAnsi="宋体" w:eastAsia="宋体"/>
          <w:b w:val="0"/>
          <w:bCs/>
          <w:snapToGrid w:val="0"/>
          <w:kern w:val="0"/>
          <w:sz w:val="28"/>
          <w:szCs w:val="28"/>
          <w:lang w:val="en-US" w:eastAsia="zh-CN"/>
        </w:rPr>
        <w:t>弹性连接应</w:t>
      </w:r>
      <w:r>
        <w:rPr>
          <w:rFonts w:hint="eastAsia" w:ascii="宋体" w:hAnsi="宋体" w:eastAsia="宋体" w:cs="宋体"/>
          <w:b w:val="0"/>
          <w:bCs/>
          <w:snapToGrid w:val="0"/>
          <w:kern w:val="0"/>
          <w:sz w:val="28"/>
          <w:szCs w:val="28"/>
          <w:lang w:val="en-US" w:eastAsia="zh-CN"/>
        </w:rPr>
        <w:t>≦</w:t>
      </w:r>
      <w:r>
        <w:rPr>
          <w:rFonts w:hint="eastAsia" w:hAnsi="宋体" w:eastAsia="宋体"/>
          <w:b w:val="0"/>
          <w:bCs/>
          <w:snapToGrid w:val="0"/>
          <w:kern w:val="0"/>
          <w:sz w:val="28"/>
          <w:szCs w:val="28"/>
          <w:lang w:val="en-US" w:eastAsia="zh-CN"/>
        </w:rPr>
        <w:t>0.20毫米</w:t>
      </w:r>
    </w:p>
    <w:p>
      <w:pPr>
        <w:pStyle w:val="2"/>
        <w:numPr>
          <w:ilvl w:val="0"/>
          <w:numId w:val="12"/>
        </w:numPr>
        <w:ind w:left="420" w:leftChars="200" w:firstLine="280" w:firstLineChars="100"/>
        <w:rPr>
          <w:rFonts w:hint="eastAsia" w:ascii="宋体" w:hAnsi="宋体" w:eastAsia="宋体" w:cs="宋体"/>
          <w:b w:val="0"/>
          <w:bCs/>
          <w:snapToGrid w:val="0"/>
          <w:kern w:val="0"/>
          <w:sz w:val="28"/>
          <w:szCs w:val="28"/>
          <w:lang w:val="en-US" w:eastAsia="zh-CN"/>
        </w:rPr>
      </w:pPr>
      <w:r>
        <w:rPr>
          <w:rFonts w:hint="eastAsia" w:hAnsi="宋体" w:eastAsia="宋体"/>
          <w:b w:val="0"/>
          <w:bCs/>
          <w:snapToGrid w:val="0"/>
          <w:kern w:val="0"/>
          <w:sz w:val="28"/>
          <w:szCs w:val="28"/>
          <w:lang w:val="en-US" w:eastAsia="zh-CN"/>
        </w:rPr>
        <w:t>轴承的温度应不高于80</w:t>
      </w:r>
      <w:r>
        <w:rPr>
          <w:rFonts w:hint="eastAsia" w:ascii="宋体" w:hAnsi="宋体" w:eastAsia="宋体" w:cs="宋体"/>
          <w:b w:val="0"/>
          <w:bCs/>
          <w:snapToGrid w:val="0"/>
          <w:kern w:val="0"/>
          <w:sz w:val="28"/>
          <w:szCs w:val="28"/>
          <w:lang w:val="en-US" w:eastAsia="zh-CN"/>
        </w:rPr>
        <w:t>℃。</w:t>
      </w:r>
    </w:p>
    <w:p>
      <w:pPr>
        <w:pStyle w:val="2"/>
        <w:numPr>
          <w:ilvl w:val="0"/>
          <w:numId w:val="12"/>
        </w:numPr>
        <w:ind w:left="420" w:leftChars="200" w:firstLine="280" w:firstLineChars="1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由于轴承磨损，使定子与转子间空气间隙沿圆周方向向分布不均匀而产生噪声时，则应更换轴承。</w:t>
      </w:r>
    </w:p>
    <w:p>
      <w:pPr>
        <w:pStyle w:val="2"/>
        <w:numPr>
          <w:ilvl w:val="0"/>
          <w:numId w:val="12"/>
        </w:numPr>
        <w:ind w:left="420" w:leftChars="200" w:firstLine="280" w:firstLineChars="1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滚动轴承应用锂基润滑脂填入约等于轴承室2/3的容积，在工作2500-3000小时后应更换新的润滑脂。</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曳引轮</w:t>
      </w:r>
    </w:p>
    <w:p>
      <w:pPr>
        <w:pStyle w:val="2"/>
        <w:numPr>
          <w:ilvl w:val="0"/>
          <w:numId w:val="13"/>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曳引轮槽的工作表面是否平滑，检查钢丝绳卧入曳引轮槽内的深度是否一致以衡量每根钢绳的受力是否均匀，把直尺沿轴向紧贴曳引轮外圆面，然后测量槽内钢丝绳顶点至直尺距离，当其差距达到1.5毫米时，应就地重新车削或更换轮缘。</w:t>
      </w:r>
    </w:p>
    <w:p>
      <w:pPr>
        <w:pStyle w:val="2"/>
        <w:numPr>
          <w:ilvl w:val="0"/>
          <w:numId w:val="13"/>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检查曳引轮槽内钢丝绳是否落底并产生打滑现象，当绳槽共同磨损至钢丝绳与槽底的间隙减缩至1毫米时，轮槽需重新车削。绳槽在切口下面的轮缘厚度，大于相应钢丝绳直径。</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导向轮</w:t>
      </w:r>
    </w:p>
    <w:p>
      <w:pPr>
        <w:pStyle w:val="2"/>
        <w:numPr>
          <w:ilvl w:val="0"/>
          <w:numId w:val="0"/>
        </w:numPr>
        <w:ind w:leftChars="200" w:firstLine="280" w:firstLineChars="1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导向传轮、轿顶轮和对重轮的润滑装置应保持完整良好，并应注满钙基润滑脂，每年清洗更换一次。如润滑失败，滑轮心轴被“咬死”将引起严重事故和损坏。</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导轨与导靴</w:t>
      </w:r>
    </w:p>
    <w:p>
      <w:pPr>
        <w:pStyle w:val="2"/>
        <w:numPr>
          <w:ilvl w:val="0"/>
          <w:numId w:val="14"/>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用滚轮导靴的导轨工作面上，必须擦净润滑剂；用滑动导靴而无自动润滑装置的导轨，每半月在轿厢上以检修速度运行涂以润滑脂；对有自动润滑装置的导轨，每月检查油盒油位，并及时加注润滑油。</w:t>
      </w:r>
    </w:p>
    <w:p>
      <w:pPr>
        <w:pStyle w:val="2"/>
        <w:numPr>
          <w:ilvl w:val="0"/>
          <w:numId w:val="14"/>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当导轨工作面由于安全钳动作造成损伤时，应及时用油石修光。</w:t>
      </w:r>
    </w:p>
    <w:p>
      <w:pPr>
        <w:pStyle w:val="2"/>
        <w:numPr>
          <w:ilvl w:val="0"/>
          <w:numId w:val="14"/>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每年应详细检查导轨连接板和导轨架的连接螺栓，如有松动应及时坚固，并对导轨的端面重新校正。</w:t>
      </w:r>
    </w:p>
    <w:p>
      <w:pPr>
        <w:pStyle w:val="2"/>
        <w:numPr>
          <w:ilvl w:val="0"/>
          <w:numId w:val="14"/>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每月检查滚轮导靴滚轮，如发现有脱圈、剥落、轴承损坏等应及时更换。</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井道电缆</w:t>
      </w:r>
    </w:p>
    <w:p>
      <w:pPr>
        <w:pStyle w:val="2"/>
        <w:numPr>
          <w:ilvl w:val="0"/>
          <w:numId w:val="15"/>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检查随行电缆的安装状况。有无固定部位松动现象。</w:t>
      </w:r>
    </w:p>
    <w:p>
      <w:pPr>
        <w:pStyle w:val="2"/>
        <w:numPr>
          <w:ilvl w:val="0"/>
          <w:numId w:val="15"/>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表面有无损失和绝缘不良情况，并用软刷扫除插子等处的尘垢。</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井道开关和隔磁板</w:t>
      </w:r>
    </w:p>
    <w:p>
      <w:pPr>
        <w:pStyle w:val="2"/>
        <w:numPr>
          <w:ilvl w:val="0"/>
          <w:numId w:val="16"/>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限位开关和极限开关的动作应灵活可靠，在低速运行轿厢的同时，当轿厢到达上或下端站时，应能不借助操纵装置的作用，自动将轿厢停止（用手触动开关，检查轿厢是否停止），因极限开关动作使电梯停止后应不能再向原方向启动，只能向相反方向开动。</w:t>
      </w:r>
    </w:p>
    <w:p>
      <w:pPr>
        <w:pStyle w:val="2"/>
        <w:numPr>
          <w:ilvl w:val="0"/>
          <w:numId w:val="16"/>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检查限位和极限开关时，应先拭去尘垢，将盖子开启。核实触点接触的可靠性，弹性触头的压缩裕度，将触头表面的积垢和烧灼部分用细纱布擦清，转动和摩擦部分可用钙基润滑脂润滑。</w:t>
      </w:r>
    </w:p>
    <w:p>
      <w:pPr>
        <w:pStyle w:val="2"/>
        <w:numPr>
          <w:ilvl w:val="0"/>
          <w:numId w:val="16"/>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检查井道其他开关，隔磁板的安装情况，有无松动、变形。</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曳引钢丝绳</w:t>
      </w:r>
    </w:p>
    <w:p>
      <w:pPr>
        <w:pStyle w:val="2"/>
        <w:numPr>
          <w:ilvl w:val="0"/>
          <w:numId w:val="17"/>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电梯的全部曳引钢丝绳所受的张力应保持均衡。如张力有不均衡现象可用钢丝绳锥套螺栓上的螺母来调节弹簧的进度使其平均。</w:t>
      </w:r>
    </w:p>
    <w:p>
      <w:pPr>
        <w:pStyle w:val="2"/>
        <w:numPr>
          <w:ilvl w:val="0"/>
          <w:numId w:val="17"/>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钢丝绳应有适宜的润滑，可以降低绳丝之间的摩擦损耗，同时也保护其表面不被锈蚀，钢丝绳内原有油浸麻芯一根，使用时油逐渐外渗则不需要再在表面涂油，如使用日久，则油逐渐耗完，就须定时上油，油质宜较薄，上油不可太多，使钢丝绳表面有能渗透的轻微润滑（手摸有油感即可）。但当渗油过多时应及时除油，防治因渗油过多而造成钢丝绳在曳引轮上有打滑现象。</w:t>
      </w:r>
    </w:p>
    <w:p>
      <w:pPr>
        <w:pStyle w:val="2"/>
        <w:numPr>
          <w:ilvl w:val="0"/>
          <w:numId w:val="17"/>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检查钢丝绳有无机械损伤，有无断丝爆股情况，检查锈蚀和磨损的程度，接头是否完好和有无松动现象。</w:t>
      </w:r>
    </w:p>
    <w:p>
      <w:pPr>
        <w:pStyle w:val="2"/>
        <w:numPr>
          <w:ilvl w:val="0"/>
          <w:numId w:val="17"/>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检查曳引钢丝绳如发现下列情况之一时，应予以更换。</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①断丝在各股之间均布时，在一个拧距内的最大断线数超过32根。</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②断丝集中在1或2个绳股中，在一个拧距中的最大断丝数超过16根。</w:t>
      </w:r>
    </w:p>
    <w:p>
      <w:pPr>
        <w:pStyle w:val="2"/>
        <w:numPr>
          <w:ilvl w:val="0"/>
          <w:numId w:val="0"/>
        </w:numPr>
        <w:ind w:leftChars="300"/>
        <w:rPr>
          <w:rFonts w:hint="eastAsia" w:ascii="Calibri" w:hAnsi="Calibri" w:eastAsia="宋体" w:cs="Calibri"/>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③</w:t>
      </w:r>
      <w:r>
        <w:rPr>
          <w:rFonts w:hint="eastAsia" w:ascii="Calibri" w:hAnsi="Calibri" w:eastAsia="宋体" w:cs="Calibri"/>
          <w:b w:val="0"/>
          <w:bCs/>
          <w:snapToGrid w:val="0"/>
          <w:kern w:val="0"/>
          <w:sz w:val="28"/>
          <w:szCs w:val="28"/>
          <w:lang w:val="en-US" w:eastAsia="zh-CN"/>
        </w:rPr>
        <w:t>曳引绳表面的钢丝有较大磨损和锈蚀。</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④曳引绳严重磨损后其直径小于原直径90%。</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⑤当曳引钢丝绳过分伸长时应予截短。</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轿厢门和自动门机构</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经常检查吊门滚轮，当其磨损致使轿门不能正常工作时，应予以更换。</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门导轨应经常擦拭并涂抹少量机油，使门轻快灵活、运行平稳，门导靴工作面因磨损影响使用时，应及时更换。</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对设有自动门机构的轿厢门，在开、关行程100毫米行程内应慢速运行，以防止撞击。</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每半月检查自动门机构的传动皮带，伸长而引起张力降低，影响开关门的性能时，可调整传动皮带轮的偏心轴或电动机的底盘螺钉，使皮带适当地张紧。</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每周检查开关门机构的微动开关，保证动作准确。</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每半月检查触板、要求动作灵活可靠。</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每月检查开关门时运行速度，通过调涡流制动电阻的滑动接点及微动开关的位置，确保门速适中。</w:t>
      </w:r>
    </w:p>
    <w:p>
      <w:pPr>
        <w:pStyle w:val="2"/>
        <w:numPr>
          <w:ilvl w:val="0"/>
          <w:numId w:val="18"/>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每月检查光电门保护装置，擦净尘土，检查功能使其动作可靠。</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轿厢</w:t>
      </w:r>
    </w:p>
    <w:p>
      <w:pPr>
        <w:pStyle w:val="2"/>
        <w:numPr>
          <w:ilvl w:val="0"/>
          <w:numId w:val="19"/>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轿厢内部</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①轿厢内开关应灵活可靠。</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②检查轿内操纵按钮的接触情况。检查钥匙开关，内部通话装置及报警装置，照明及风扇的开关接触是否良好，如有故障应及时处理。</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③检查轿厢内显示的情况，如有与楼层不符应找出原因，排除故障。</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④检查轿厢本身在运动中是否有摆动、振动。一般来说，导靴的磨损、导轨接头连接不良或导轨歪都将引起轿厢的摆动或振动。</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⑤检查平层精度是否在规定范围内，如超出规定值，则应调整平层感应器的上下位置或隔磁板的相对位置。</w:t>
      </w:r>
    </w:p>
    <w:p>
      <w:pPr>
        <w:pStyle w:val="2"/>
        <w:numPr>
          <w:ilvl w:val="0"/>
          <w:numId w:val="19"/>
        </w:numPr>
        <w:ind w:left="420" w:leftChars="200" w:firstLine="280" w:firstLineChars="1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轿厢外部</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①对驱动轿厢门的电动机轴承应定期加钙基润滑油，每年清洗一次。</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②传动皮带张力的调整，在使用过程中传动皮带如出现伸长现象引起张力降低而打滑，可以调节电动机的底座，调节螺钉使皮带至适当张紧。</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③安全触板动作应灵活可靠，共碰撞力不大于5牛顿。</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④电梯因中途停电或电气系统发生故障而停止运行时，在轿厢内能用于将门拨开，其拨力应在200-300牛顿范围内。</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⑤门导轨每次保养时，应清扫，使门移动轻便灵活运行时无跳动、噪声，吊门滚轮外圈直径磨损3毫米时应予以更换，每次应检查连接螺栓并紧固。</w:t>
      </w:r>
    </w:p>
    <w:p>
      <w:pPr>
        <w:pStyle w:val="2"/>
        <w:numPr>
          <w:ilvl w:val="0"/>
          <w:numId w:val="0"/>
        </w:numPr>
        <w:ind w:leftChars="3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⑥在轿厢门完全关门，安全开关闭合后，电梯方能行驶。</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限速器和安全钳</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限速器的动作应灵活可靠，旋转部分的润滑装置应保持良好，每月加油一次，每年清洗更换一次。</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限速器的张紧装置应工作正常，绳轮和导向装置的润滑应保持良好，每月加油一次，每年清洗一次。</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安全钳的动作灵活可靠，有足够强度，能承受相应的冲击力。</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当轿厢安全钳加持在导轨上时，位于轿厢两边的安全钳装置应当同时发生作用，并且两边的作用力均匀，此时轿厢不应有显著地歪斜。</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安全钳的传动杠杆应予润滑，钳口斜块或滚柱可用钙基润滑脂防锈。</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当安全钳起作用时，安全钳连锁触头应即时起断电作用，将控制电路断开，使用电动机停止运转</w:t>
      </w:r>
    </w:p>
    <w:p>
      <w:pPr>
        <w:pStyle w:val="2"/>
        <w:numPr>
          <w:ilvl w:val="0"/>
          <w:numId w:val="20"/>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当安全钳作用后，应重新检查和调整间隙，并将导轨进行修正。</w:t>
      </w:r>
    </w:p>
    <w:p>
      <w:pPr>
        <w:pStyle w:val="2"/>
        <w:numPr>
          <w:ilvl w:val="0"/>
          <w:numId w:val="9"/>
        </w:numPr>
        <w:ind w:left="0" w:leftChars="0" w:firstLine="560" w:firstLine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缓冲器</w:t>
      </w:r>
    </w:p>
    <w:p>
      <w:pPr>
        <w:pStyle w:val="2"/>
        <w:numPr>
          <w:ilvl w:val="0"/>
          <w:numId w:val="21"/>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液压缓冲器柱塞不能生锈，应定期加油。使用日久后，如发生油量减少现象，应及时补充。</w:t>
      </w:r>
    </w:p>
    <w:p>
      <w:pPr>
        <w:pStyle w:val="2"/>
        <w:numPr>
          <w:ilvl w:val="0"/>
          <w:numId w:val="21"/>
        </w:numPr>
        <w:ind w:leftChars="200"/>
        <w:rPr>
          <w:rFonts w:hint="eastAsia" w:ascii="宋体" w:hAnsi="宋体" w:eastAsia="宋体" w:cs="宋体"/>
          <w:b w:val="0"/>
          <w:bCs/>
          <w:snapToGrid w:val="0"/>
          <w:kern w:val="0"/>
          <w:sz w:val="28"/>
          <w:szCs w:val="28"/>
          <w:lang w:val="en-US" w:eastAsia="zh-CN"/>
        </w:rPr>
      </w:pPr>
      <w:r>
        <w:rPr>
          <w:rFonts w:hint="eastAsia" w:ascii="宋体" w:hAnsi="宋体" w:eastAsia="宋体" w:cs="宋体"/>
          <w:b w:val="0"/>
          <w:bCs/>
          <w:snapToGrid w:val="0"/>
          <w:kern w:val="0"/>
          <w:sz w:val="28"/>
          <w:szCs w:val="28"/>
          <w:lang w:val="en-US" w:eastAsia="zh-CN"/>
        </w:rPr>
        <w:t>加油步骤：用旋具吧柱塞封闭盖帽去除，打开油位指示器，排出空气，加入油（加油至置杆的上标记）后马上拧紧盖帽。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BDA7CA"/>
    <w:multiLevelType w:val="singleLevel"/>
    <w:tmpl w:val="8DBDA7CA"/>
    <w:lvl w:ilvl="0" w:tentative="0">
      <w:start w:val="1"/>
      <w:numFmt w:val="upperLetter"/>
      <w:suff w:val="nothing"/>
      <w:lvlText w:val="%1、"/>
      <w:lvlJc w:val="left"/>
    </w:lvl>
  </w:abstractNum>
  <w:abstractNum w:abstractNumId="1">
    <w:nsid w:val="9E80FE04"/>
    <w:multiLevelType w:val="singleLevel"/>
    <w:tmpl w:val="9E80FE04"/>
    <w:lvl w:ilvl="0" w:tentative="0">
      <w:start w:val="1"/>
      <w:numFmt w:val="decimal"/>
      <w:suff w:val="nothing"/>
      <w:lvlText w:val="（%1）"/>
      <w:lvlJc w:val="left"/>
    </w:lvl>
  </w:abstractNum>
  <w:abstractNum w:abstractNumId="2">
    <w:nsid w:val="A28134C4"/>
    <w:multiLevelType w:val="singleLevel"/>
    <w:tmpl w:val="A28134C4"/>
    <w:lvl w:ilvl="0" w:tentative="0">
      <w:start w:val="1"/>
      <w:numFmt w:val="decimal"/>
      <w:suff w:val="nothing"/>
      <w:lvlText w:val="（%1）"/>
      <w:lvlJc w:val="left"/>
    </w:lvl>
  </w:abstractNum>
  <w:abstractNum w:abstractNumId="3">
    <w:nsid w:val="AF58F499"/>
    <w:multiLevelType w:val="singleLevel"/>
    <w:tmpl w:val="AF58F499"/>
    <w:lvl w:ilvl="0" w:tentative="0">
      <w:start w:val="1"/>
      <w:numFmt w:val="decimal"/>
      <w:suff w:val="nothing"/>
      <w:lvlText w:val="%1、"/>
      <w:lvlJc w:val="left"/>
    </w:lvl>
  </w:abstractNum>
  <w:abstractNum w:abstractNumId="4">
    <w:nsid w:val="BAC1A180"/>
    <w:multiLevelType w:val="singleLevel"/>
    <w:tmpl w:val="BAC1A180"/>
    <w:lvl w:ilvl="0" w:tentative="0">
      <w:start w:val="1"/>
      <w:numFmt w:val="decimal"/>
      <w:suff w:val="nothing"/>
      <w:lvlText w:val="%1、"/>
      <w:lvlJc w:val="left"/>
    </w:lvl>
  </w:abstractNum>
  <w:abstractNum w:abstractNumId="5">
    <w:nsid w:val="CC58DBF0"/>
    <w:multiLevelType w:val="singleLevel"/>
    <w:tmpl w:val="CC58DBF0"/>
    <w:lvl w:ilvl="0" w:tentative="0">
      <w:start w:val="1"/>
      <w:numFmt w:val="decimal"/>
      <w:suff w:val="nothing"/>
      <w:lvlText w:val="%1、"/>
      <w:lvlJc w:val="left"/>
    </w:lvl>
  </w:abstractNum>
  <w:abstractNum w:abstractNumId="6">
    <w:nsid w:val="D0FE167A"/>
    <w:multiLevelType w:val="singleLevel"/>
    <w:tmpl w:val="D0FE167A"/>
    <w:lvl w:ilvl="0" w:tentative="0">
      <w:start w:val="1"/>
      <w:numFmt w:val="decimal"/>
      <w:suff w:val="nothing"/>
      <w:lvlText w:val="%1、"/>
      <w:lvlJc w:val="left"/>
    </w:lvl>
  </w:abstractNum>
  <w:abstractNum w:abstractNumId="7">
    <w:nsid w:val="D2D3F29F"/>
    <w:multiLevelType w:val="singleLevel"/>
    <w:tmpl w:val="D2D3F29F"/>
    <w:lvl w:ilvl="0" w:tentative="0">
      <w:start w:val="1"/>
      <w:numFmt w:val="decimal"/>
      <w:suff w:val="nothing"/>
      <w:lvlText w:val="（%1）"/>
      <w:lvlJc w:val="left"/>
    </w:lvl>
  </w:abstractNum>
  <w:abstractNum w:abstractNumId="8">
    <w:nsid w:val="D9618250"/>
    <w:multiLevelType w:val="singleLevel"/>
    <w:tmpl w:val="D9618250"/>
    <w:lvl w:ilvl="0" w:tentative="0">
      <w:start w:val="1"/>
      <w:numFmt w:val="decimal"/>
      <w:suff w:val="nothing"/>
      <w:lvlText w:val="（%1）"/>
      <w:lvlJc w:val="left"/>
    </w:lvl>
  </w:abstractNum>
  <w:abstractNum w:abstractNumId="9">
    <w:nsid w:val="E7FCC037"/>
    <w:multiLevelType w:val="singleLevel"/>
    <w:tmpl w:val="E7FCC037"/>
    <w:lvl w:ilvl="0" w:tentative="0">
      <w:start w:val="1"/>
      <w:numFmt w:val="decimal"/>
      <w:suff w:val="nothing"/>
      <w:lvlText w:val="（%1）"/>
      <w:lvlJc w:val="left"/>
    </w:lvl>
  </w:abstractNum>
  <w:abstractNum w:abstractNumId="10">
    <w:nsid w:val="EF537867"/>
    <w:multiLevelType w:val="singleLevel"/>
    <w:tmpl w:val="EF537867"/>
    <w:lvl w:ilvl="0" w:tentative="0">
      <w:start w:val="1"/>
      <w:numFmt w:val="upperLetter"/>
      <w:suff w:val="nothing"/>
      <w:lvlText w:val="%1、"/>
      <w:lvlJc w:val="left"/>
    </w:lvl>
  </w:abstractNum>
  <w:abstractNum w:abstractNumId="11">
    <w:nsid w:val="0CA53EDE"/>
    <w:multiLevelType w:val="singleLevel"/>
    <w:tmpl w:val="0CA53EDE"/>
    <w:lvl w:ilvl="0" w:tentative="0">
      <w:start w:val="1"/>
      <w:numFmt w:val="decimal"/>
      <w:suff w:val="nothing"/>
      <w:lvlText w:val="（%1）"/>
      <w:lvlJc w:val="left"/>
    </w:lvl>
  </w:abstractNum>
  <w:abstractNum w:abstractNumId="12">
    <w:nsid w:val="1A728222"/>
    <w:multiLevelType w:val="singleLevel"/>
    <w:tmpl w:val="1A728222"/>
    <w:lvl w:ilvl="0" w:tentative="0">
      <w:start w:val="1"/>
      <w:numFmt w:val="decimal"/>
      <w:suff w:val="nothing"/>
      <w:lvlText w:val="（%1）"/>
      <w:lvlJc w:val="left"/>
    </w:lvl>
  </w:abstractNum>
  <w:abstractNum w:abstractNumId="13">
    <w:nsid w:val="1F4EBCCB"/>
    <w:multiLevelType w:val="singleLevel"/>
    <w:tmpl w:val="1F4EBCCB"/>
    <w:lvl w:ilvl="0" w:tentative="0">
      <w:start w:val="1"/>
      <w:numFmt w:val="decimal"/>
      <w:suff w:val="nothing"/>
      <w:lvlText w:val="（%1）"/>
      <w:lvlJc w:val="left"/>
    </w:lvl>
  </w:abstractNum>
  <w:abstractNum w:abstractNumId="14">
    <w:nsid w:val="22B5801A"/>
    <w:multiLevelType w:val="singleLevel"/>
    <w:tmpl w:val="22B5801A"/>
    <w:lvl w:ilvl="0" w:tentative="0">
      <w:start w:val="1"/>
      <w:numFmt w:val="decimal"/>
      <w:suff w:val="nothing"/>
      <w:lvlText w:val="（%1）"/>
      <w:lvlJc w:val="left"/>
    </w:lvl>
  </w:abstractNum>
  <w:abstractNum w:abstractNumId="15">
    <w:nsid w:val="23356A86"/>
    <w:multiLevelType w:val="singleLevel"/>
    <w:tmpl w:val="23356A86"/>
    <w:lvl w:ilvl="0" w:tentative="0">
      <w:start w:val="1"/>
      <w:numFmt w:val="decimal"/>
      <w:suff w:val="nothing"/>
      <w:lvlText w:val="%1、"/>
      <w:lvlJc w:val="left"/>
    </w:lvl>
  </w:abstractNum>
  <w:abstractNum w:abstractNumId="16">
    <w:nsid w:val="3174E6C2"/>
    <w:multiLevelType w:val="singleLevel"/>
    <w:tmpl w:val="3174E6C2"/>
    <w:lvl w:ilvl="0" w:tentative="0">
      <w:start w:val="1"/>
      <w:numFmt w:val="decimal"/>
      <w:suff w:val="nothing"/>
      <w:lvlText w:val="（%1）"/>
      <w:lvlJc w:val="left"/>
    </w:lvl>
  </w:abstractNum>
  <w:abstractNum w:abstractNumId="17">
    <w:nsid w:val="3ABB6092"/>
    <w:multiLevelType w:val="singleLevel"/>
    <w:tmpl w:val="3ABB6092"/>
    <w:lvl w:ilvl="0" w:tentative="0">
      <w:start w:val="1"/>
      <w:numFmt w:val="decimal"/>
      <w:suff w:val="nothing"/>
      <w:lvlText w:val="%1、"/>
      <w:lvlJc w:val="left"/>
      <w:pPr>
        <w:ind w:left="560" w:leftChars="0" w:firstLine="0" w:firstLineChars="0"/>
      </w:pPr>
    </w:lvl>
  </w:abstractNum>
  <w:abstractNum w:abstractNumId="18">
    <w:nsid w:val="41AFCF2E"/>
    <w:multiLevelType w:val="singleLevel"/>
    <w:tmpl w:val="41AFCF2E"/>
    <w:lvl w:ilvl="0" w:tentative="0">
      <w:start w:val="1"/>
      <w:numFmt w:val="decimal"/>
      <w:suff w:val="nothing"/>
      <w:lvlText w:val="（%1）"/>
      <w:lvlJc w:val="left"/>
    </w:lvl>
  </w:abstractNum>
  <w:abstractNum w:abstractNumId="19">
    <w:nsid w:val="47D59F9C"/>
    <w:multiLevelType w:val="singleLevel"/>
    <w:tmpl w:val="47D59F9C"/>
    <w:lvl w:ilvl="0" w:tentative="0">
      <w:start w:val="1"/>
      <w:numFmt w:val="decimal"/>
      <w:suff w:val="nothing"/>
      <w:lvlText w:val="%1、"/>
      <w:lvlJc w:val="left"/>
    </w:lvl>
  </w:abstractNum>
  <w:abstractNum w:abstractNumId="20">
    <w:nsid w:val="658B51F1"/>
    <w:multiLevelType w:val="singleLevel"/>
    <w:tmpl w:val="658B51F1"/>
    <w:lvl w:ilvl="0" w:tentative="0">
      <w:start w:val="1"/>
      <w:numFmt w:val="decimal"/>
      <w:suff w:val="nothing"/>
      <w:lvlText w:val="（%1）"/>
      <w:lvlJc w:val="left"/>
    </w:lvl>
  </w:abstractNum>
  <w:num w:numId="1">
    <w:abstractNumId w:val="10"/>
  </w:num>
  <w:num w:numId="2">
    <w:abstractNumId w:val="6"/>
  </w:num>
  <w:num w:numId="3">
    <w:abstractNumId w:val="5"/>
  </w:num>
  <w:num w:numId="4">
    <w:abstractNumId w:val="0"/>
  </w:num>
  <w:num w:numId="5">
    <w:abstractNumId w:val="15"/>
  </w:num>
  <w:num w:numId="6">
    <w:abstractNumId w:val="19"/>
  </w:num>
  <w:num w:numId="7">
    <w:abstractNumId w:val="4"/>
  </w:num>
  <w:num w:numId="8">
    <w:abstractNumId w:val="17"/>
  </w:num>
  <w:num w:numId="9">
    <w:abstractNumId w:val="3"/>
  </w:num>
  <w:num w:numId="10">
    <w:abstractNumId w:val="9"/>
  </w:num>
  <w:num w:numId="11">
    <w:abstractNumId w:val="8"/>
  </w:num>
  <w:num w:numId="12">
    <w:abstractNumId w:val="7"/>
  </w:num>
  <w:num w:numId="13">
    <w:abstractNumId w:val="1"/>
  </w:num>
  <w:num w:numId="14">
    <w:abstractNumId w:val="12"/>
  </w:num>
  <w:num w:numId="15">
    <w:abstractNumId w:val="18"/>
  </w:num>
  <w:num w:numId="16">
    <w:abstractNumId w:val="11"/>
  </w:num>
  <w:num w:numId="17">
    <w:abstractNumId w:val="16"/>
  </w:num>
  <w:num w:numId="18">
    <w:abstractNumId w:val="20"/>
  </w:num>
  <w:num w:numId="19">
    <w:abstractNumId w:val="14"/>
  </w:num>
  <w:num w:numId="20">
    <w:abstractNumId w:val="1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75FE5"/>
    <w:rsid w:val="6F17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2019-03-14T02:32:00Z</dcterms:created>
  <dc:creator>河南弘新工程咨询有限公司:杨尚斌</dc:creator>
  <cp:lastModifiedBy>河南弘新工程咨询有限公司:杨尚斌</cp:lastModifiedBy>
  <dcterms:modified xsi:type="dcterms:W3CDTF">2019-03-14T02:34:26Z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