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spacing w:line="360" w:lineRule="auto"/>
        <w:ind w:firstLine="1280" w:firstLineChars="400"/>
        <w:rPr>
          <w:rFonts w:hint="eastAsia" w:ascii="Times New Roman" w:hAnsi="华文中宋" w:eastAsia="华文中宋" w:cs="Times New Roman"/>
          <w:sz w:val="32"/>
          <w:szCs w:val="32"/>
          <w:lang w:val="zh-CN" w:eastAsia="zh-CN"/>
        </w:rPr>
      </w:pPr>
      <w:r>
        <w:rPr>
          <w:rFonts w:hAnsi="华文中宋" w:eastAsia="华文中宋"/>
          <w:sz w:val="32"/>
          <w:szCs w:val="32"/>
          <w:highlight w:val="none"/>
        </w:rPr>
        <w:t>项目编</w:t>
      </w:r>
      <w:r>
        <w:rPr>
          <w:rFonts w:hint="eastAsia" w:ascii="Times New Roman" w:hAnsi="华文中宋" w:eastAsia="华文中宋" w:cs="Times New Roman"/>
          <w:sz w:val="32"/>
          <w:szCs w:val="32"/>
          <w:lang w:val="zh-CN" w:eastAsia="zh-CN"/>
        </w:rPr>
        <w:t>号：建安建工公字〔201</w:t>
      </w:r>
      <w:r>
        <w:rPr>
          <w:rFonts w:hint="eastAsia" w:ascii="Times New Roman" w:hAnsi="华文中宋" w:eastAsia="华文中宋" w:cs="Times New Roman"/>
          <w:sz w:val="32"/>
          <w:szCs w:val="32"/>
          <w:lang w:val="en-US" w:eastAsia="zh-CN"/>
        </w:rPr>
        <w:t>9</w:t>
      </w:r>
      <w:r>
        <w:rPr>
          <w:rFonts w:hint="eastAsia" w:ascii="Times New Roman" w:hAnsi="华文中宋" w:eastAsia="华文中宋" w:cs="Times New Roman"/>
          <w:sz w:val="32"/>
          <w:szCs w:val="32"/>
          <w:lang w:val="zh-CN" w:eastAsia="zh-CN"/>
        </w:rPr>
        <w:t>〕</w:t>
      </w:r>
      <w:r>
        <w:rPr>
          <w:rFonts w:hint="eastAsia" w:hAnsi="华文中宋" w:eastAsia="华文中宋" w:cs="Times New Roman"/>
          <w:sz w:val="32"/>
          <w:szCs w:val="32"/>
          <w:lang w:val="en-US" w:eastAsia="zh-CN"/>
        </w:rPr>
        <w:t>42</w:t>
      </w:r>
      <w:r>
        <w:rPr>
          <w:rFonts w:hint="eastAsia" w:ascii="Times New Roman" w:hAnsi="华文中宋" w:eastAsia="华文中宋" w:cs="Times New Roman"/>
          <w:sz w:val="32"/>
          <w:szCs w:val="32"/>
          <w:lang w:val="zh-CN" w:eastAsia="zh-CN"/>
        </w:rPr>
        <w:t>号</w:t>
      </w:r>
    </w:p>
    <w:p>
      <w:pPr>
        <w:spacing w:line="360" w:lineRule="auto"/>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 xml:space="preserve">     </w:t>
      </w:r>
      <w:r>
        <w:rPr>
          <w:rFonts w:hint="eastAsia" w:ascii="Times New Roman" w:hAnsi="华文中宋" w:eastAsia="华文中宋" w:cs="Times New Roman"/>
          <w:sz w:val="32"/>
          <w:szCs w:val="32"/>
          <w:lang w:val="en-US" w:eastAsia="zh-CN"/>
        </w:rPr>
        <w:t xml:space="preserve">  </w:t>
      </w:r>
      <w:r>
        <w:rPr>
          <w:rFonts w:hint="eastAsia" w:ascii="Times New Roman" w:hAnsi="华文中宋" w:eastAsia="华文中宋" w:cs="Times New Roman"/>
          <w:sz w:val="32"/>
          <w:szCs w:val="32"/>
          <w:lang w:val="zh-CN" w:eastAsia="zh-CN"/>
        </w:rPr>
        <w:t>项目名称：许昌市建安区县道X007线小召至陈曹界段大修工程</w:t>
      </w:r>
    </w:p>
    <w:p>
      <w:pPr>
        <w:spacing w:line="360" w:lineRule="auto"/>
        <w:ind w:firstLine="960" w:firstLineChars="300"/>
        <w:rPr>
          <w:rFonts w:hint="eastAsia" w:ascii="Times New Roman" w:hAnsi="华文中宋" w:eastAsia="华文中宋" w:cs="Times New Roman"/>
          <w:sz w:val="32"/>
          <w:szCs w:val="32"/>
          <w:lang w:val="zh-CN" w:eastAsia="zh-CN"/>
        </w:rPr>
      </w:pPr>
      <w:r>
        <w:rPr>
          <w:rFonts w:hint="eastAsia" w:ascii="Times New Roman" w:hAnsi="华文中宋" w:eastAsia="华文中宋" w:cs="Times New Roman"/>
          <w:sz w:val="32"/>
          <w:szCs w:val="32"/>
          <w:lang w:val="zh-CN" w:eastAsia="zh-CN"/>
        </w:rPr>
        <w:t>招 标 人：许昌市建安区交通运输局</w:t>
      </w:r>
    </w:p>
    <w:p>
      <w:pPr>
        <w:spacing w:line="360" w:lineRule="auto"/>
        <w:rPr>
          <w:rFonts w:hint="eastAsia" w:hAnsi="华文中宋" w:eastAsia="华文中宋"/>
          <w:sz w:val="32"/>
          <w:szCs w:val="32"/>
          <w:lang w:val="zh-CN" w:eastAsia="zh-CN"/>
        </w:rPr>
      </w:pPr>
      <w:r>
        <w:rPr>
          <w:rFonts w:hint="eastAsia" w:hAnsi="华文中宋" w:eastAsia="华文中宋"/>
          <w:sz w:val="32"/>
          <w:szCs w:val="32"/>
        </w:rPr>
        <w:t xml:space="preserve">      </w:t>
      </w:r>
      <w:r>
        <w:rPr>
          <w:rFonts w:hint="eastAsia" w:hAnsi="华文中宋" w:eastAsia="华文中宋"/>
          <w:sz w:val="32"/>
          <w:szCs w:val="32"/>
          <w:lang w:val="en-US" w:eastAsia="zh-CN"/>
        </w:rPr>
        <w:t xml:space="preserve"> </w:t>
      </w:r>
      <w:r>
        <w:rPr>
          <w:rFonts w:hAnsi="华文中宋" w:eastAsia="华文中宋"/>
          <w:sz w:val="32"/>
          <w:szCs w:val="32"/>
        </w:rPr>
        <w:t>代理机构：</w:t>
      </w:r>
      <w:r>
        <w:rPr>
          <w:rFonts w:hint="eastAsia" w:hAnsi="华文中宋" w:eastAsia="华文中宋"/>
          <w:sz w:val="32"/>
          <w:szCs w:val="32"/>
          <w:lang w:val="zh-CN" w:eastAsia="zh-CN"/>
        </w:rPr>
        <w:t>中睿智工程管理有限公司</w:t>
      </w:r>
    </w:p>
    <w:p>
      <w:pPr>
        <w:spacing w:line="360" w:lineRule="auto"/>
        <w:ind w:firstLine="2880" w:firstLineChars="900"/>
        <w:rPr>
          <w:rFonts w:ascii="宋体" w:hAnsi="宋体"/>
          <w:color w:val="auto"/>
          <w:sz w:val="24"/>
          <w:highlight w:val="none"/>
        </w:rPr>
      </w:pPr>
      <w:r>
        <w:rPr>
          <w:rFonts w:hint="eastAsia" w:hAnsi="华文中宋" w:eastAsia="华文中宋"/>
          <w:sz w:val="32"/>
          <w:szCs w:val="32"/>
        </w:rPr>
        <w:t>二〇一</w:t>
      </w:r>
      <w:r>
        <w:rPr>
          <w:rFonts w:hint="eastAsia" w:hAnsi="华文中宋" w:eastAsia="华文中宋"/>
          <w:sz w:val="32"/>
          <w:szCs w:val="32"/>
          <w:lang w:eastAsia="zh-CN"/>
        </w:rPr>
        <w:t>九</w:t>
      </w:r>
      <w:r>
        <w:rPr>
          <w:rFonts w:hint="eastAsia" w:hAnsi="华文中宋" w:eastAsia="华文中宋"/>
          <w:sz w:val="32"/>
          <w:szCs w:val="32"/>
        </w:rPr>
        <w:t>年</w:t>
      </w:r>
      <w:r>
        <w:rPr>
          <w:rFonts w:hint="eastAsia" w:hAnsi="华文中宋" w:eastAsia="华文中宋"/>
          <w:sz w:val="32"/>
          <w:szCs w:val="32"/>
          <w:lang w:val="en-US" w:eastAsia="zh-CN"/>
        </w:rPr>
        <w:t>三</w:t>
      </w:r>
      <w:r>
        <w:rPr>
          <w:rFonts w:hint="eastAsia" w:hAnsi="华文中宋" w:eastAsia="华文中宋"/>
          <w:sz w:val="32"/>
          <w:szCs w:val="32"/>
        </w:rPr>
        <w:t xml:space="preserve">月 </w:t>
      </w:r>
    </w:p>
    <w:p>
      <w:pPr>
        <w:spacing w:line="360" w:lineRule="auto"/>
        <w:jc w:val="both"/>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ind w:firstLine="3855" w:firstLineChars="800"/>
        <w:jc w:val="both"/>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9"/>
        <w:tabs>
          <w:tab w:val="right" w:leader="dot" w:pos="9299"/>
        </w:tabs>
        <w:spacing w:line="360" w:lineRule="auto"/>
        <w:rPr>
          <w:rFonts w:ascii="宋体" w:hAnsi="宋体" w:eastAsia="宋体" w:cs="宋体"/>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宋体" w:hAnsi="宋体" w:eastAsia="宋体" w:cs="宋体"/>
          <w:bCs/>
          <w:color w:val="auto"/>
          <w:sz w:val="28"/>
          <w:szCs w:val="28"/>
          <w:highlight w:val="none"/>
        </w:rPr>
        <w:t>第一章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9"/>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宋体" w:hAnsi="宋体" w:eastAsia="宋体" w:cs="宋体"/>
          <w:bCs/>
          <w:color w:val="auto"/>
          <w:sz w:val="28"/>
          <w:szCs w:val="28"/>
          <w:highlight w:val="none"/>
        </w:rPr>
        <w:t>第二章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_Toc30837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9"/>
        <w:tabs>
          <w:tab w:val="right" w:leader="dot" w:pos="9299"/>
        </w:tabs>
        <w:spacing w:line="360" w:lineRule="auto"/>
        <w:rPr>
          <w:rFonts w:ascii="宋体" w:hAnsi="宋体" w:eastAsia="宋体" w:cs="宋体"/>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宋体" w:hAnsi="宋体" w:eastAsia="宋体" w:cs="宋体"/>
          <w:bCs/>
          <w:color w:val="auto"/>
          <w:sz w:val="28"/>
          <w:szCs w:val="28"/>
          <w:highlight w:val="none"/>
        </w:rPr>
        <w:t>第三章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_Toc28210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9"/>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宋体" w:hAnsi="宋体" w:eastAsia="宋体" w:cs="宋体"/>
          <w:color w:val="auto"/>
          <w:sz w:val="28"/>
          <w:szCs w:val="28"/>
          <w:highlight w:val="none"/>
        </w:rPr>
        <w:t>第四章 合同条款及格式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pStyle w:val="9"/>
        <w:tabs>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宋体" w:hAnsi="宋体" w:eastAsia="宋体" w:cs="宋体"/>
          <w:color w:val="auto"/>
          <w:sz w:val="28"/>
          <w:szCs w:val="28"/>
          <w:highlight w:val="none"/>
        </w:rPr>
        <w:t>第五章 工程量清单</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6</w:t>
      </w:r>
    </w:p>
    <w:p>
      <w:pPr>
        <w:pStyle w:val="9"/>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宋体" w:hAnsi="宋体" w:eastAsia="宋体" w:cs="宋体"/>
          <w:bCs/>
          <w:color w:val="auto"/>
          <w:sz w:val="28"/>
          <w:szCs w:val="28"/>
          <w:highlight w:val="none"/>
        </w:rPr>
        <w:t xml:space="preserve">第六章 </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图纸（另附）</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pPr>
        <w:pStyle w:val="9"/>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宋体" w:hAnsi="宋体" w:eastAsia="宋体" w:cs="宋体"/>
          <w:bCs/>
          <w:color w:val="auto"/>
          <w:sz w:val="28"/>
          <w:szCs w:val="28"/>
          <w:highlight w:val="none"/>
        </w:rPr>
        <w:t>第七章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技术规范（另册出版）</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00</w:t>
      </w:r>
    </w:p>
    <w:p>
      <w:pPr>
        <w:pStyle w:val="9"/>
        <w:tabs>
          <w:tab w:val="right" w:pos="2400"/>
          <w:tab w:val="right" w:leader="dot" w:pos="9299"/>
        </w:tabs>
        <w:spacing w:line="36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宋体" w:hAnsi="宋体" w:eastAsia="宋体" w:cs="宋体"/>
          <w:bCs/>
          <w:color w:val="auto"/>
          <w:sz w:val="28"/>
          <w:szCs w:val="28"/>
          <w:highlight w:val="none"/>
        </w:rPr>
        <w:t>第八章</w:t>
      </w:r>
      <w:r>
        <w:rPr>
          <w:rFonts w:hint="eastAsia" w:ascii="宋体" w:hAnsi="宋体" w:eastAsia="宋体" w:cs="宋体"/>
          <w:bCs/>
          <w:color w:val="auto"/>
          <w:sz w:val="28"/>
          <w:szCs w:val="28"/>
          <w:highlight w:val="none"/>
        </w:rPr>
        <w:tab/>
      </w:r>
      <w:r>
        <w:rPr>
          <w:rFonts w:hint="eastAsia" w:ascii="宋体" w:hAnsi="宋体" w:eastAsia="宋体" w:cs="宋体"/>
          <w:bCs/>
          <w:color w:val="auto"/>
          <w:sz w:val="28"/>
          <w:szCs w:val="28"/>
          <w:highlight w:val="none"/>
        </w:rPr>
        <w:t xml:space="preserve"> 投标文件格式</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01</w:t>
      </w:r>
    </w:p>
    <w:p>
      <w:pPr>
        <w:pStyle w:val="9"/>
        <w:tabs>
          <w:tab w:val="right" w:leader="dot" w:pos="9299"/>
        </w:tabs>
        <w:spacing w:line="36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"_Toc12556" </w:instrText>
      </w:r>
      <w:r>
        <w:rPr>
          <w:color w:val="auto"/>
          <w:highlight w:val="none"/>
        </w:rPr>
        <w:fldChar w:fldCharType="separate"/>
      </w:r>
      <w:r>
        <w:rPr>
          <w:rFonts w:hint="eastAsia" w:ascii="宋体" w:hAnsi="宋体" w:eastAsia="宋体" w:cs="宋体"/>
          <w:bCs/>
          <w:color w:val="auto"/>
          <w:sz w:val="28"/>
          <w:szCs w:val="28"/>
          <w:highlight w:val="none"/>
        </w:rPr>
        <w:t>第九章 投标人须知前附表规定的其他材料</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36</w:t>
      </w:r>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both"/>
        <w:outlineLvl w:val="0"/>
        <w:rPr>
          <w:rFonts w:ascii="黑体" w:eastAsia="黑体"/>
          <w:bCs/>
          <w:color w:val="auto"/>
          <w:sz w:val="44"/>
          <w:szCs w:val="44"/>
          <w:highlight w:val="none"/>
        </w:rPr>
      </w:pPr>
      <w:bookmarkStart w:id="1" w:name="_Toc240"/>
    </w:p>
    <w:p>
      <w:pPr>
        <w:jc w:val="both"/>
        <w:outlineLvl w:val="0"/>
        <w:rPr>
          <w:rFonts w:ascii="黑体" w:eastAsia="黑体"/>
          <w:bCs/>
          <w:color w:val="auto"/>
          <w:sz w:val="44"/>
          <w:szCs w:val="44"/>
          <w:highlight w:val="none"/>
        </w:rPr>
      </w:pPr>
    </w:p>
    <w:p>
      <w:pPr>
        <w:keepNext w:val="0"/>
        <w:keepLines w:val="0"/>
        <w:pageBreakBefore w:val="0"/>
        <w:widowControl w:val="0"/>
        <w:kinsoku/>
        <w:wordWrap/>
        <w:overflowPunct/>
        <w:topLinePunct w:val="0"/>
        <w:bidi w:val="0"/>
        <w:snapToGrid/>
        <w:spacing w:line="312" w:lineRule="auto"/>
        <w:jc w:val="center"/>
        <w:textAlignment w:val="auto"/>
        <w:outlineLvl w:val="0"/>
        <w:rPr>
          <w:rFonts w:ascii="黑体" w:hAnsi="宋体" w:eastAsia="黑体"/>
          <w:bCs/>
          <w:color w:val="auto"/>
          <w:sz w:val="44"/>
          <w:szCs w:val="44"/>
          <w:highlight w:val="none"/>
        </w:rPr>
      </w:pPr>
      <w:r>
        <w:rPr>
          <w:rFonts w:hint="eastAsia" w:ascii="黑体" w:eastAsia="黑体"/>
          <w:bCs/>
          <w:color w:val="auto"/>
          <w:sz w:val="44"/>
          <w:szCs w:val="44"/>
          <w:highlight w:val="none"/>
        </w:rPr>
        <w:t>第一章  招标公告</w:t>
      </w:r>
      <w:bookmarkEnd w:id="0"/>
      <w:bookmarkEnd w:id="1"/>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eastAsia="zh-CN"/>
        </w:rPr>
      </w:pPr>
      <w:bookmarkStart w:id="317" w:name="_GoBack"/>
      <w:r>
        <w:rPr>
          <w:rFonts w:hint="eastAsia" w:ascii="宋体" w:hAnsi="宋体" w:eastAsia="宋体" w:cs="Times New Roman"/>
          <w:b/>
          <w:color w:val="auto"/>
          <w:sz w:val="32"/>
          <w:szCs w:val="32"/>
          <w:highlight w:val="none"/>
          <w:lang w:eastAsia="zh-CN"/>
        </w:rPr>
        <w:t>建安建工公字〔201</w:t>
      </w:r>
      <w:r>
        <w:rPr>
          <w:rFonts w:hint="eastAsia" w:ascii="宋体" w:hAnsi="宋体" w:eastAsia="宋体" w:cs="Times New Roman"/>
          <w:b/>
          <w:color w:val="auto"/>
          <w:sz w:val="32"/>
          <w:szCs w:val="32"/>
          <w:highlight w:val="none"/>
          <w:lang w:val="en-US" w:eastAsia="zh-CN"/>
        </w:rPr>
        <w:t>9</w:t>
      </w:r>
      <w:r>
        <w:rPr>
          <w:rFonts w:hint="eastAsia" w:ascii="宋体" w:hAnsi="宋体" w:eastAsia="宋体" w:cs="Times New Roman"/>
          <w:b/>
          <w:color w:val="auto"/>
          <w:sz w:val="32"/>
          <w:szCs w:val="32"/>
          <w:highlight w:val="none"/>
          <w:lang w:eastAsia="zh-CN"/>
        </w:rPr>
        <w:t>〕</w:t>
      </w:r>
      <w:r>
        <w:rPr>
          <w:rFonts w:hint="eastAsia" w:ascii="宋体" w:hAnsi="宋体" w:cs="Times New Roman"/>
          <w:b/>
          <w:color w:val="auto"/>
          <w:sz w:val="32"/>
          <w:szCs w:val="32"/>
          <w:highlight w:val="none"/>
          <w:lang w:val="en-US" w:eastAsia="zh-CN"/>
        </w:rPr>
        <w:t>42</w:t>
      </w:r>
      <w:r>
        <w:rPr>
          <w:rFonts w:hint="eastAsia" w:ascii="宋体" w:hAnsi="宋体" w:eastAsia="宋体" w:cs="Times New Roman"/>
          <w:b/>
          <w:color w:val="auto"/>
          <w:sz w:val="32"/>
          <w:szCs w:val="32"/>
          <w:highlight w:val="none"/>
          <w:lang w:eastAsia="zh-CN"/>
        </w:rPr>
        <w:t>号</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eastAsia="宋体" w:cs="Times New Roman"/>
          <w:b/>
          <w:color w:val="auto"/>
          <w:sz w:val="32"/>
          <w:szCs w:val="32"/>
          <w:highlight w:val="none"/>
          <w:lang w:val="zh-CN" w:eastAsia="zh-CN"/>
        </w:rPr>
      </w:pPr>
      <w:r>
        <w:rPr>
          <w:rFonts w:hint="eastAsia" w:ascii="宋体" w:hAnsi="宋体" w:eastAsia="宋体" w:cs="Times New Roman"/>
          <w:b/>
          <w:color w:val="auto"/>
          <w:sz w:val="32"/>
          <w:szCs w:val="32"/>
          <w:highlight w:val="none"/>
          <w:lang w:val="zh-CN" w:eastAsia="zh-CN"/>
        </w:rPr>
        <w:t>许昌市建安区交通运输局</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cs="Times New Roman"/>
          <w:b/>
          <w:color w:val="auto"/>
          <w:sz w:val="32"/>
          <w:szCs w:val="32"/>
          <w:highlight w:val="none"/>
          <w:lang w:val="en-US" w:eastAsia="zh-CN"/>
        </w:rPr>
        <w:t>许昌市建安区县道X007线小召至陈曹界段大修工程</w:t>
      </w:r>
    </w:p>
    <w:p>
      <w:pPr>
        <w:keepNext w:val="0"/>
        <w:keepLines w:val="0"/>
        <w:pageBreakBefore w:val="0"/>
        <w:widowControl w:val="0"/>
        <w:kinsoku/>
        <w:wordWrap/>
        <w:overflowPunct/>
        <w:topLinePunct w:val="0"/>
        <w:bidi w:val="0"/>
        <w:adjustRightInd/>
        <w:snapToGrid/>
        <w:spacing w:line="312" w:lineRule="auto"/>
        <w:ind w:left="0" w:leftChars="0" w:right="0"/>
        <w:jc w:val="center"/>
        <w:textAlignment w:val="auto"/>
        <w:outlineLvl w:val="9"/>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公开招标公告</w:t>
      </w:r>
    </w:p>
    <w:p>
      <w:pPr>
        <w:keepNext w:val="0"/>
        <w:keepLines w:val="0"/>
        <w:pageBreakBefore w:val="0"/>
        <w:widowControl w:val="0"/>
        <w:kinsoku/>
        <w:wordWrap/>
        <w:overflowPunct/>
        <w:topLinePunct w:val="0"/>
        <w:bidi w:val="0"/>
        <w:adjustRightInd/>
        <w:snapToGrid/>
        <w:spacing w:line="312" w:lineRule="auto"/>
        <w:ind w:left="0" w:leftChars="0" w:right="0"/>
        <w:textAlignment w:val="auto"/>
        <w:outlineLvl w:val="9"/>
        <w:rPr>
          <w:rFonts w:ascii="宋体" w:hAnsi="宋体"/>
          <w:b/>
          <w:color w:val="auto"/>
          <w:sz w:val="24"/>
          <w:highlight w:val="none"/>
        </w:rPr>
      </w:pPr>
      <w:r>
        <w:rPr>
          <w:rFonts w:hint="eastAsia" w:ascii="宋体" w:hAnsi="宋体"/>
          <w:b/>
          <w:color w:val="auto"/>
          <w:sz w:val="24"/>
          <w:highlight w:val="none"/>
        </w:rPr>
        <w:t>一、项目概况</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1、项目编号：建安建工公字〔2019〕</w:t>
      </w:r>
      <w:r>
        <w:rPr>
          <w:rFonts w:hint="eastAsia" w:ascii="宋体" w:hAnsi="宋体" w:cs="Times New Roman"/>
          <w:color w:val="auto"/>
          <w:sz w:val="24"/>
          <w:highlight w:val="none"/>
          <w:lang w:val="en-US" w:eastAsia="zh-CN"/>
        </w:rPr>
        <w:t>42</w:t>
      </w:r>
      <w:r>
        <w:rPr>
          <w:rFonts w:hint="eastAsia" w:ascii="宋体" w:hAnsi="宋体" w:eastAsia="宋体" w:cs="Times New Roman"/>
          <w:color w:val="auto"/>
          <w:sz w:val="24"/>
          <w:highlight w:val="none"/>
          <w:lang w:val="en-US" w:eastAsia="zh-CN"/>
        </w:rPr>
        <w:t>号</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2、项目名称：</w:t>
      </w:r>
      <w:r>
        <w:rPr>
          <w:rFonts w:hint="eastAsia" w:ascii="宋体" w:hAnsi="宋体" w:cs="Times New Roman"/>
          <w:color w:val="auto"/>
          <w:sz w:val="24"/>
          <w:highlight w:val="none"/>
          <w:lang w:val="en-US" w:eastAsia="zh-CN"/>
        </w:rPr>
        <w:t>许昌市建安区县道X007线小召至陈曹界段大修工程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olor w:val="auto"/>
          <w:sz w:val="24"/>
          <w:highlight w:val="none"/>
          <w:lang w:val="en-US" w:eastAsia="zh-CN"/>
        </w:rPr>
      </w:pPr>
      <w:r>
        <w:rPr>
          <w:rFonts w:hint="eastAsia" w:ascii="宋体" w:hAnsi="宋体" w:eastAsia="宋体" w:cs="Times New Roman"/>
          <w:color w:val="auto"/>
          <w:sz w:val="24"/>
          <w:highlight w:val="none"/>
          <w:lang w:val="en-US" w:eastAsia="zh-CN"/>
        </w:rPr>
        <w:t>3、招标单位：</w:t>
      </w:r>
      <w:r>
        <w:rPr>
          <w:rFonts w:hint="eastAsia" w:ascii="宋体" w:hAnsi="宋体" w:eastAsia="宋体" w:cs="Times New Roman"/>
          <w:color w:val="auto"/>
          <w:sz w:val="24"/>
          <w:highlight w:val="none"/>
          <w:lang w:val="zh-CN" w:eastAsia="zh-CN"/>
        </w:rPr>
        <w:t>许昌市建安区交通运输局</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zh-CN" w:eastAsia="zh-CN"/>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lang w:val="en-US" w:eastAsia="zh-CN"/>
        </w:rPr>
        <w:t>、项目</w:t>
      </w:r>
      <w:r>
        <w:rPr>
          <w:rFonts w:hint="eastAsia" w:ascii="宋体" w:hAnsi="宋体" w:cs="Times New Roman"/>
          <w:color w:val="auto"/>
          <w:sz w:val="24"/>
          <w:highlight w:val="none"/>
          <w:lang w:val="en-US" w:eastAsia="zh-CN"/>
        </w:rPr>
        <w:t>简介</w:t>
      </w:r>
      <w:r>
        <w:rPr>
          <w:rFonts w:hint="eastAsia" w:ascii="宋体" w:hAnsi="宋体" w:eastAsia="宋体" w:cs="Times New Roman"/>
          <w:color w:val="auto"/>
          <w:sz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cs="Times New Roman"/>
          <w:color w:val="auto"/>
          <w:sz w:val="24"/>
          <w:highlight w:val="none"/>
          <w:lang w:val="zh-CN" w:eastAsia="zh-CN"/>
        </w:rPr>
      </w:pPr>
      <w:r>
        <w:rPr>
          <w:rFonts w:hint="eastAsia" w:ascii="微软雅黑" w:hAnsi="微软雅黑" w:eastAsia="微软雅黑" w:cs="微软雅黑"/>
          <w:b/>
          <w:i w:val="0"/>
          <w:color w:val="000000"/>
          <w:kern w:val="0"/>
          <w:sz w:val="24"/>
          <w:szCs w:val="24"/>
          <w:u w:val="none"/>
          <w:shd w:val="clear" w:fill="FFFFFF"/>
          <w:lang w:val="en-US" w:eastAsia="zh-CN" w:bidi="ar"/>
        </w:rPr>
        <w:t>一标段：</w:t>
      </w:r>
      <w:r>
        <w:rPr>
          <w:rFonts w:hint="eastAsia" w:ascii="宋体" w:hAnsi="宋体" w:cs="Times New Roman"/>
          <w:color w:val="auto"/>
          <w:sz w:val="24"/>
          <w:highlight w:val="none"/>
          <w:lang w:val="en-US" w:eastAsia="zh-CN"/>
        </w:rPr>
        <w:t>施工标，</w:t>
      </w:r>
      <w:r>
        <w:rPr>
          <w:rFonts w:hint="eastAsia" w:ascii="宋体" w:hAnsi="宋体" w:eastAsia="宋体" w:cs="Times New Roman"/>
          <w:color w:val="auto"/>
          <w:sz w:val="24"/>
          <w:highlight w:val="none"/>
          <w:lang w:val="zh-CN" w:eastAsia="zh-CN"/>
        </w:rPr>
        <w:t>许昌市建安区县道X007线小召至陈曹界段大修工程 ，本次拟大修项目位于建安区东北部小召乡，项目起点位于县道X007与省道S220（许开路）平面交叉处，路线沿县道X007老路方向向东前行，经小召乡、北寨村，与中原西路、中原路平交，下穿郑合高铁后继续向东，经大屈村后与新国道G107平交，向东经郑杨村至与陈曹交界处结束，全长6.749公里</w:t>
      </w:r>
      <w:r>
        <w:rPr>
          <w:rFonts w:hint="eastAsia" w:ascii="宋体" w:hAnsi="宋体" w:cs="Times New Roman"/>
          <w:color w:val="auto"/>
          <w:sz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微软雅黑" w:hAnsi="微软雅黑" w:eastAsia="微软雅黑" w:cs="微软雅黑"/>
          <w:b w:val="0"/>
          <w:i w:val="0"/>
          <w:color w:val="000000"/>
          <w:kern w:val="0"/>
          <w:sz w:val="24"/>
          <w:szCs w:val="24"/>
          <w:u w:val="none"/>
          <w:shd w:val="clear" w:fill="FFFFFF"/>
          <w:lang w:val="en-US" w:eastAsia="zh-CN" w:bidi="ar"/>
        </w:rPr>
      </w:pPr>
      <w:r>
        <w:rPr>
          <w:rFonts w:ascii="微软雅黑" w:hAnsi="微软雅黑" w:eastAsia="微软雅黑" w:cs="微软雅黑"/>
          <w:b/>
          <w:i w:val="0"/>
          <w:color w:val="000000"/>
          <w:kern w:val="0"/>
          <w:sz w:val="24"/>
          <w:szCs w:val="24"/>
          <w:u w:val="none"/>
          <w:shd w:val="clear" w:fill="FFFFFF"/>
          <w:lang w:val="en-US" w:eastAsia="zh-CN" w:bidi="ar"/>
        </w:rPr>
        <w:t>二标段：</w:t>
      </w:r>
      <w:r>
        <w:rPr>
          <w:rFonts w:hint="eastAsia" w:ascii="宋体" w:hAnsi="宋体" w:eastAsia="宋体" w:cs="Times New Roman"/>
          <w:color w:val="auto"/>
          <w:sz w:val="24"/>
          <w:highlight w:val="none"/>
          <w:lang w:val="en-US" w:eastAsia="zh-CN"/>
        </w:rPr>
        <w:t>监理标</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施工及保修阶段全过程监理工作。</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480" w:firstLineChars="200"/>
        <w:textAlignment w:val="auto"/>
        <w:outlineLvl w:val="9"/>
        <w:rPr>
          <w:rFonts w:hint="eastAsia" w:ascii="微软雅黑" w:hAnsi="微软雅黑" w:eastAsia="微软雅黑" w:cs="微软雅黑"/>
          <w:b w:val="0"/>
          <w:i w:val="0"/>
          <w:color w:val="000000"/>
          <w:kern w:val="0"/>
          <w:sz w:val="24"/>
          <w:szCs w:val="24"/>
          <w:u w:val="none"/>
          <w:shd w:val="clear" w:fill="FFFFFF"/>
          <w:lang w:val="en-US" w:eastAsia="zh-CN" w:bidi="ar"/>
        </w:rPr>
      </w:pPr>
      <w:r>
        <w:rPr>
          <w:rFonts w:hint="eastAsia" w:hAnsi="宋体" w:cs="宋体"/>
          <w:sz w:val="24"/>
          <w:szCs w:val="24"/>
        </w:rPr>
        <w:t>招标范</w:t>
      </w:r>
      <w:r>
        <w:rPr>
          <w:rFonts w:hint="eastAsia" w:hAnsi="宋体" w:cs="宋体"/>
          <w:sz w:val="24"/>
          <w:szCs w:val="24"/>
          <w:lang w:val="en-US" w:eastAsia="zh-CN"/>
        </w:rPr>
        <w:t>围：招标文件、工程量清单、施工图纸、答疑纪要和补充文件（如有）范围内的所有建设内容。监理招标范围：施工及保修阶段全过程监理工作。</w:t>
      </w:r>
      <w:r>
        <w:rPr>
          <w:rFonts w:hint="eastAsia" w:ascii="微软雅黑" w:hAnsi="微软雅黑" w:eastAsia="微软雅黑" w:cs="微软雅黑"/>
          <w:b w:val="0"/>
          <w:i w:val="0"/>
          <w:color w:val="000000"/>
          <w:kern w:val="0"/>
          <w:sz w:val="24"/>
          <w:szCs w:val="24"/>
          <w:u w:val="none"/>
          <w:shd w:val="clear"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outlineLvl w:val="9"/>
        <w:rPr>
          <w:rFonts w:hint="eastAsia" w:hAnsi="宋体" w:cs="宋体"/>
          <w:sz w:val="24"/>
          <w:szCs w:val="24"/>
        </w:rPr>
      </w:pP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hAnsi="宋体" w:cs="宋体"/>
          <w:sz w:val="24"/>
          <w:szCs w:val="24"/>
        </w:rPr>
        <w:t>资金预算：</w:t>
      </w:r>
      <w:r>
        <w:rPr>
          <w:rFonts w:hint="eastAsia" w:hAnsi="宋体" w:cs="宋体"/>
          <w:sz w:val="24"/>
          <w:szCs w:val="24"/>
          <w:lang w:eastAsia="zh-CN"/>
        </w:rPr>
        <w:t>一标段：</w:t>
      </w:r>
      <w:r>
        <w:rPr>
          <w:rFonts w:hint="eastAsia" w:hAnsi="宋体" w:cs="宋体"/>
          <w:sz w:val="24"/>
          <w:szCs w:val="24"/>
          <w:lang w:val="en-US" w:eastAsia="zh-CN"/>
        </w:rPr>
        <w:t>39909668.00</w:t>
      </w:r>
      <w:r>
        <w:rPr>
          <w:rFonts w:hint="eastAsia" w:hAnsi="宋体" w:cs="宋体"/>
          <w:sz w:val="24"/>
          <w:szCs w:val="24"/>
        </w:rPr>
        <w:t>元；</w:t>
      </w:r>
      <w:r>
        <w:rPr>
          <w:rFonts w:hint="eastAsia" w:hAnsi="宋体" w:cs="宋体"/>
          <w:sz w:val="24"/>
          <w:szCs w:val="24"/>
          <w:lang w:eastAsia="zh-CN"/>
        </w:rPr>
        <w:t>二标段：</w:t>
      </w:r>
      <w:r>
        <w:rPr>
          <w:rFonts w:hint="eastAsia" w:hAnsi="宋体" w:cs="宋体"/>
          <w:sz w:val="24"/>
          <w:szCs w:val="24"/>
          <w:lang w:val="en-US" w:eastAsia="zh-CN"/>
        </w:rPr>
        <w:t>279000.00元</w:t>
      </w:r>
      <w:r>
        <w:rPr>
          <w:rFonts w:hint="eastAsia"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lang w:val="en-US" w:eastAsia="zh-CN"/>
        </w:rPr>
        <w:t>、计划工期：</w:t>
      </w:r>
      <w:r>
        <w:rPr>
          <w:rFonts w:hint="eastAsia" w:ascii="宋体" w:hAnsi="宋体" w:cs="Times New Roman"/>
          <w:color w:val="auto"/>
          <w:sz w:val="24"/>
          <w:highlight w:val="none"/>
          <w:lang w:val="en-US" w:eastAsia="zh-CN"/>
        </w:rPr>
        <w:t>150日历天</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rPr>
      </w:pPr>
      <w:r>
        <w:rPr>
          <w:rFonts w:hint="eastAsia" w:hAnsi="宋体" w:cs="宋体"/>
          <w:sz w:val="24"/>
          <w:szCs w:val="24"/>
        </w:rPr>
        <w:t>8、质量要求：</w:t>
      </w:r>
      <w:r>
        <w:rPr>
          <w:rFonts w:hint="eastAsia" w:hAnsi="宋体" w:cs="仿宋_GB2312"/>
          <w:sz w:val="24"/>
        </w:rPr>
        <w:t>合格（符合国家现行的验收规范和标准）。</w:t>
      </w:r>
    </w:p>
    <w:p>
      <w:pPr>
        <w:keepNext w:val="0"/>
        <w:keepLines w:val="0"/>
        <w:pageBreakBefore w:val="0"/>
        <w:widowControl w:val="0"/>
        <w:kinsoku/>
        <w:wordWrap/>
        <w:overflowPunct/>
        <w:topLinePunct w:val="0"/>
        <w:bidi w:val="0"/>
        <w:snapToGrid/>
        <w:spacing w:line="312"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、不组织勘察施工现场。</w:t>
      </w:r>
    </w:p>
    <w:p>
      <w:pPr>
        <w:keepNext w:val="0"/>
        <w:keepLines w:val="0"/>
        <w:pageBreakBefore w:val="0"/>
        <w:widowControl w:val="0"/>
        <w:kinsoku/>
        <w:wordWrap/>
        <w:overflowPunct/>
        <w:topLinePunct w:val="0"/>
        <w:bidi w:val="0"/>
        <w:snapToGrid/>
        <w:spacing w:line="312" w:lineRule="auto"/>
        <w:textAlignment w:val="auto"/>
        <w:rPr>
          <w:rFonts w:hint="eastAsia" w:ascii="宋体" w:hAnsi="宋体"/>
          <w:b/>
          <w:color w:val="auto"/>
          <w:sz w:val="24"/>
          <w:highlight w:val="none"/>
        </w:rPr>
      </w:pPr>
      <w:r>
        <w:rPr>
          <w:rFonts w:hint="eastAsia" w:ascii="宋体" w:hAnsi="宋体"/>
          <w:b/>
          <w:color w:val="auto"/>
          <w:sz w:val="24"/>
          <w:highlight w:val="none"/>
        </w:rPr>
        <w:t>二、投标人资格要求</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1、一标段：须</w:t>
      </w:r>
      <w:r>
        <w:rPr>
          <w:rFonts w:hint="eastAsia" w:ascii="宋体" w:hAnsi="宋体"/>
          <w:color w:val="auto"/>
          <w:sz w:val="24"/>
          <w:highlight w:val="none"/>
        </w:rPr>
        <w:t>具备独立法人资格；须具备建设行政主管部门颁发的公路工程施工总承包三级及以上资质，并具备有效的企业安全生产许可证，在人员、设备、资金等方面具有相应的施工能力</w:t>
      </w:r>
      <w:r>
        <w:rPr>
          <w:rFonts w:hint="eastAsia" w:ascii="宋体" w:hAnsi="宋体"/>
          <w:color w:val="auto"/>
          <w:sz w:val="24"/>
          <w:highlight w:val="none"/>
          <w:lang w:eastAsia="zh-CN"/>
        </w:rPr>
        <w:t>；</w:t>
      </w:r>
      <w:r>
        <w:rPr>
          <w:rFonts w:hint="eastAsia" w:ascii="宋体" w:hAnsi="宋体"/>
          <w:color w:val="auto"/>
          <w:sz w:val="24"/>
          <w:highlight w:val="none"/>
        </w:rPr>
        <w:t>拟派建造师须具备贰级及以上公路工程专业注册建造师执业资格，具备有效的安全生产考核合格证书，且未担任其他在施建设项目的项目经理。拟派项目总工</w:t>
      </w:r>
      <w:r>
        <w:rPr>
          <w:rFonts w:hint="eastAsia" w:ascii="宋体" w:hAnsi="宋体"/>
          <w:color w:val="auto"/>
          <w:sz w:val="24"/>
          <w:highlight w:val="none"/>
          <w:lang w:eastAsia="zh-CN"/>
        </w:rPr>
        <w:t>须</w:t>
      </w:r>
      <w:r>
        <w:rPr>
          <w:rFonts w:hint="eastAsia" w:ascii="宋体" w:hAnsi="宋体"/>
          <w:color w:val="auto"/>
          <w:sz w:val="24"/>
          <w:highlight w:val="none"/>
        </w:rPr>
        <w:t>具备中级及以上相关专业技术职称</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二标段：要求投标人须具备交通主管部门颁发的乙级及以上（含乙级）公路工程监理企业资质；总监理工程师具备公路工程专业监理工程师资格。</w:t>
      </w:r>
    </w:p>
    <w:p>
      <w:pPr>
        <w:keepNext w:val="0"/>
        <w:keepLines w:val="0"/>
        <w:pageBreakBefore w:val="0"/>
        <w:widowControl w:val="0"/>
        <w:kinsoku/>
        <w:wordWrap/>
        <w:overflowPunct/>
        <w:topLinePunct w:val="0"/>
        <w:bidi w:val="0"/>
        <w:snapToGrid/>
        <w:spacing w:line="312" w:lineRule="auto"/>
        <w:ind w:firstLine="240" w:firstLineChars="100"/>
        <w:textAlignment w:val="auto"/>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根据《河南省公路建设市场从业单位及人员信用管理办法》第二十一条“对信用考核定级为D级即黑名单的从业单位，”不得参与本项目投标。</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hint="eastAsia" w:ascii="宋体" w:hAnsi="宋体"/>
          <w:color w:val="auto"/>
          <w:sz w:val="24"/>
          <w:highlight w:val="none"/>
        </w:rPr>
      </w:pPr>
      <w:r>
        <w:rPr>
          <w:rFonts w:hint="eastAsia" w:ascii="宋体" w:hAnsi="宋体" w:eastAsia="新宋体"/>
          <w:color w:val="auto"/>
          <w:sz w:val="24"/>
          <w:highlight w:val="none"/>
          <w:lang w:val="en-US" w:eastAsia="zh-CN"/>
        </w:rPr>
        <w:t>4、</w:t>
      </w:r>
      <w:r>
        <w:rPr>
          <w:rFonts w:hint="eastAsia" w:ascii="新宋体" w:hAnsi="新宋体" w:eastAsia="新宋体" w:cs="新宋体"/>
          <w:sz w:val="24"/>
          <w:szCs w:val="22"/>
          <w:lang w:eastAsia="zh-CN"/>
        </w:rPr>
        <w:t>不接受</w:t>
      </w:r>
      <w:r>
        <w:rPr>
          <w:rFonts w:hint="eastAsia" w:ascii="新宋体" w:hAnsi="新宋体" w:eastAsia="新宋体" w:cs="新宋体"/>
          <w:sz w:val="24"/>
          <w:szCs w:val="22"/>
        </w:rPr>
        <w:t>被</w:t>
      </w:r>
      <w:r>
        <w:rPr>
          <w:rFonts w:hint="eastAsia" w:ascii="新宋体" w:hAnsi="新宋体" w:eastAsia="新宋体" w:cs="新宋体"/>
          <w:sz w:val="24"/>
          <w:szCs w:val="22"/>
          <w:lang w:eastAsia="zh-CN"/>
        </w:rPr>
        <w:t>列入</w:t>
      </w:r>
      <w:r>
        <w:rPr>
          <w:rFonts w:hint="eastAsia" w:ascii="新宋体" w:hAnsi="新宋体" w:eastAsia="新宋体" w:cs="新宋体"/>
          <w:sz w:val="24"/>
          <w:szCs w:val="22"/>
        </w:rPr>
        <w:t>国家发改委等部门联合惩戒备忘录（黑名单）</w:t>
      </w:r>
      <w:r>
        <w:rPr>
          <w:rFonts w:hint="eastAsia" w:ascii="新宋体" w:hAnsi="新宋体" w:eastAsia="新宋体" w:cs="新宋体"/>
          <w:sz w:val="24"/>
          <w:szCs w:val="22"/>
          <w:lang w:eastAsia="zh-CN"/>
        </w:rPr>
        <w:t>及</w:t>
      </w:r>
      <w:r>
        <w:rPr>
          <w:rFonts w:hint="default" w:ascii="新宋体" w:hAnsi="新宋体" w:eastAsia="新宋体" w:cs="新宋体"/>
          <w:sz w:val="24"/>
          <w:szCs w:val="22"/>
        </w:rPr>
        <w:t>“信用中国”</w:t>
      </w:r>
      <w:r>
        <w:rPr>
          <w:rFonts w:hint="eastAsia" w:ascii="新宋体" w:hAnsi="新宋体" w:eastAsia="新宋体" w:cs="新宋体"/>
          <w:sz w:val="24"/>
          <w:szCs w:val="22"/>
          <w:lang w:val="en-US" w:eastAsia="zh-CN"/>
        </w:rPr>
        <w:t>（www.creditchina.gov.cn）</w:t>
      </w:r>
      <w:r>
        <w:rPr>
          <w:rFonts w:hint="default" w:ascii="新宋体" w:hAnsi="新宋体" w:eastAsia="新宋体" w:cs="新宋体"/>
          <w:sz w:val="24"/>
          <w:szCs w:val="22"/>
        </w:rPr>
        <w:t>和“信用河南”</w:t>
      </w:r>
      <w:r>
        <w:rPr>
          <w:rFonts w:hint="eastAsia" w:ascii="新宋体" w:hAnsi="新宋体" w:eastAsia="新宋体" w:cs="新宋体"/>
          <w:sz w:val="24"/>
          <w:szCs w:val="22"/>
          <w:lang w:eastAsia="zh-CN"/>
        </w:rPr>
        <w:t>（http://www.xyhn.gov.cn）</w:t>
      </w:r>
      <w:r>
        <w:rPr>
          <w:rFonts w:hint="default" w:ascii="新宋体" w:hAnsi="新宋体" w:eastAsia="新宋体" w:cs="新宋体"/>
          <w:sz w:val="24"/>
          <w:szCs w:val="22"/>
        </w:rPr>
        <w:t>网站信用信息栏黑名单</w:t>
      </w:r>
      <w:r>
        <w:rPr>
          <w:rFonts w:hint="eastAsia" w:ascii="新宋体" w:hAnsi="新宋体" w:eastAsia="新宋体" w:cs="新宋体"/>
          <w:sz w:val="24"/>
          <w:szCs w:val="22"/>
          <w:lang w:eastAsia="zh-CN"/>
        </w:rPr>
        <w:t>、</w:t>
      </w:r>
      <w:r>
        <w:rPr>
          <w:rFonts w:hint="default" w:ascii="新宋体" w:hAnsi="新宋体" w:eastAsia="新宋体" w:cs="新宋体"/>
          <w:sz w:val="24"/>
          <w:szCs w:val="22"/>
        </w:rPr>
        <w:t>“国家企业信用信息公示系统”</w:t>
      </w:r>
      <w:r>
        <w:rPr>
          <w:rFonts w:hint="eastAsia" w:ascii="新宋体" w:hAnsi="新宋体" w:eastAsia="新宋体" w:cs="新宋体"/>
          <w:sz w:val="24"/>
          <w:szCs w:val="22"/>
          <w:lang w:val="en-US" w:eastAsia="zh-CN"/>
        </w:rPr>
        <w:t>（www.gsxt.gov.cn）</w:t>
      </w:r>
      <w:r>
        <w:rPr>
          <w:rFonts w:hint="default" w:ascii="新宋体" w:hAnsi="新宋体" w:eastAsia="新宋体" w:cs="新宋体"/>
          <w:sz w:val="24"/>
          <w:szCs w:val="22"/>
        </w:rPr>
        <w:t>经营异常名录或严重失信黑名单</w:t>
      </w:r>
      <w:r>
        <w:rPr>
          <w:rFonts w:hint="eastAsia" w:ascii="新宋体" w:hAnsi="新宋体" w:eastAsia="新宋体" w:cs="新宋体"/>
          <w:sz w:val="24"/>
          <w:szCs w:val="22"/>
          <w:lang w:eastAsia="zh-CN"/>
        </w:rPr>
        <w:t>的投标单位</w:t>
      </w:r>
      <w:r>
        <w:rPr>
          <w:rFonts w:hint="eastAsia" w:ascii="宋体" w:hAnsi="宋体"/>
          <w:color w:val="auto"/>
          <w:sz w:val="24"/>
          <w:highlight w:val="none"/>
        </w:rPr>
        <w:t>。</w:t>
      </w:r>
    </w:p>
    <w:p>
      <w:pPr>
        <w:keepNext w:val="0"/>
        <w:keepLines w:val="0"/>
        <w:pageBreakBefore w:val="0"/>
        <w:widowControl w:val="0"/>
        <w:kinsoku/>
        <w:wordWrap/>
        <w:overflowPunct/>
        <w:topLinePunct w:val="0"/>
        <w:bidi w:val="0"/>
        <w:snapToGrid/>
        <w:spacing w:line="312" w:lineRule="auto"/>
        <w:ind w:firstLine="480" w:firstLineChars="200"/>
        <w:jc w:val="left"/>
        <w:textAlignment w:val="auto"/>
        <w:outlineLvl w:val="0"/>
        <w:rPr>
          <w:rFonts w:hint="eastAsia" w:hAnsi="宋体" w:cs="宋体"/>
          <w:sz w:val="24"/>
          <w:szCs w:val="24"/>
          <w:lang w:val="en-US" w:eastAsia="zh-CN"/>
        </w:rPr>
      </w:pPr>
      <w:r>
        <w:rPr>
          <w:rFonts w:hint="eastAsia" w:hAnsi="宋体" w:cs="宋体"/>
          <w:sz w:val="24"/>
          <w:szCs w:val="24"/>
          <w:lang w:val="en-US" w:eastAsia="zh-CN"/>
        </w:rPr>
        <w:t>5、本次招标不接受联合体投标。</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三、投标报名时间及方式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1</w:t>
      </w:r>
      <w:r>
        <w:rPr>
          <w:rFonts w:hint="eastAsia" w:ascii="Times New Roman" w:hAnsi="宋体" w:eastAsia="宋体" w:cs="Times New Roman"/>
          <w:color w:val="000000"/>
          <w:sz w:val="24"/>
          <w:highlight w:val="none"/>
        </w:rPr>
        <w:t>、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lang w:val="en-US" w:eastAsia="zh-CN"/>
        </w:rPr>
        <w:t>2</w:t>
      </w:r>
      <w:r>
        <w:rPr>
          <w:rFonts w:hint="eastAsia" w:ascii="Times New Roman" w:hAnsi="宋体" w:eastAsia="宋体" w:cs="Times New Roman"/>
          <w:color w:val="000000"/>
          <w:sz w:val="24"/>
          <w:highlight w:val="none"/>
        </w:rPr>
        <w:t>、在投标截止时间前均可登录【全国公共资源交易平台（河南省·许昌市）】“投标人/供应商登录”入口（http://221.14.6.70:8088/ggzy/）自行下载招标文件等（详见“常见问题解答-交易系统操作手册”）。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四、招标文件和施工图纸的获取</w:t>
      </w:r>
    </w:p>
    <w:p>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jc w:val="left"/>
        <w:textAlignment w:val="auto"/>
        <w:outlineLvl w:val="0"/>
        <w:rPr>
          <w:rFonts w:hAnsi="宋体" w:cs="宋体"/>
          <w:sz w:val="24"/>
          <w:szCs w:val="24"/>
        </w:rPr>
      </w:pPr>
      <w:r>
        <w:rPr>
          <w:rFonts w:hint="eastAsia" w:hAnsi="宋体" w:cs="宋体"/>
          <w:sz w:val="24"/>
          <w:szCs w:val="24"/>
          <w:lang w:val="en-US" w:eastAsia="zh-CN"/>
        </w:rPr>
        <w:t>1、</w:t>
      </w:r>
      <w:r>
        <w:rPr>
          <w:rFonts w:hint="eastAsia" w:hAnsi="宋体" w:cs="宋体"/>
          <w:sz w:val="24"/>
          <w:szCs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keepNext w:val="0"/>
        <w:keepLines w:val="0"/>
        <w:pageBreakBefore w:val="0"/>
        <w:widowControl w:val="0"/>
        <w:kinsoku/>
        <w:wordWrap/>
        <w:overflowPunct/>
        <w:topLinePunct w:val="0"/>
        <w:bidi w:val="0"/>
        <w:snapToGrid/>
        <w:spacing w:line="312" w:lineRule="auto"/>
        <w:ind w:firstLine="480" w:firstLineChars="200"/>
        <w:jc w:val="left"/>
        <w:textAlignment w:val="auto"/>
        <w:rPr>
          <w:rFonts w:hAnsi="宋体" w:cs="宋体"/>
          <w:sz w:val="24"/>
          <w:szCs w:val="24"/>
        </w:rPr>
      </w:pPr>
      <w:r>
        <w:rPr>
          <w:rFonts w:hint="eastAsia" w:hAnsi="宋体" w:cs="宋体"/>
          <w:sz w:val="24"/>
          <w:szCs w:val="24"/>
          <w:lang w:val="en-US" w:eastAsia="zh-CN"/>
        </w:rPr>
        <w:t>2、</w:t>
      </w:r>
      <w:r>
        <w:rPr>
          <w:rFonts w:hint="eastAsia" w:hAnsi="宋体" w:cs="宋体"/>
          <w:sz w:val="24"/>
          <w:szCs w:val="24"/>
        </w:rPr>
        <w:t>招标文件每套售价300元，于递交投标文件时缴纳给招标代理机构，售后不退。</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五、投标文件的递交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1、投标文件递交的</w:t>
      </w:r>
      <w:r>
        <w:rPr>
          <w:rFonts w:hint="eastAsia" w:hAnsi="宋体" w:cs="宋体"/>
          <w:sz w:val="24"/>
          <w:szCs w:val="24"/>
        </w:rPr>
        <w:t>截止时间为201</w:t>
      </w:r>
      <w:r>
        <w:rPr>
          <w:rFonts w:hint="eastAsia" w:hAnsi="宋体" w:cs="宋体"/>
          <w:sz w:val="24"/>
          <w:szCs w:val="24"/>
          <w:lang w:val="en-US" w:eastAsia="zh-CN"/>
        </w:rPr>
        <w:t>9</w:t>
      </w:r>
      <w:r>
        <w:rPr>
          <w:rFonts w:hint="eastAsia" w:hAnsi="宋体" w:cs="宋体"/>
          <w:sz w:val="24"/>
          <w:szCs w:val="24"/>
        </w:rPr>
        <w:t>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3</w:t>
      </w:r>
      <w:r>
        <w:rPr>
          <w:rFonts w:hint="eastAsia" w:hAnsi="宋体" w:cs="宋体"/>
          <w:sz w:val="24"/>
          <w:szCs w:val="24"/>
        </w:rPr>
        <w:t>日</w:t>
      </w:r>
      <w:r>
        <w:rPr>
          <w:rFonts w:hint="eastAsia" w:hAnsi="宋体" w:cs="宋体"/>
          <w:sz w:val="24"/>
          <w:szCs w:val="24"/>
          <w:lang w:val="en-US" w:eastAsia="zh-CN"/>
        </w:rPr>
        <w:t xml:space="preserve">10 </w:t>
      </w:r>
      <w:r>
        <w:rPr>
          <w:rFonts w:hint="eastAsia" w:hAnsi="宋体" w:cs="宋体"/>
          <w:sz w:val="24"/>
          <w:szCs w:val="24"/>
        </w:rPr>
        <w:t>时</w:t>
      </w:r>
      <w:r>
        <w:rPr>
          <w:rFonts w:hint="eastAsia" w:hAnsi="宋体" w:cs="宋体"/>
          <w:sz w:val="24"/>
          <w:szCs w:val="24"/>
          <w:lang w:val="en-US" w:eastAsia="zh-CN"/>
        </w:rPr>
        <w:t xml:space="preserve">30 </w:t>
      </w:r>
      <w:r>
        <w:rPr>
          <w:rFonts w:hint="eastAsia" w:hAnsi="宋体" w:cs="宋体"/>
          <w:sz w:val="24"/>
          <w:szCs w:val="24"/>
        </w:rPr>
        <w:t>分，地</w:t>
      </w:r>
      <w:r>
        <w:rPr>
          <w:rFonts w:hint="eastAsia" w:hAnsi="宋体"/>
          <w:color w:val="000000"/>
          <w:sz w:val="24"/>
          <w:highlight w:val="none"/>
        </w:rPr>
        <w:t>点为许昌市建安区新元大道兴业大厦4楼</w:t>
      </w:r>
      <w:r>
        <w:rPr>
          <w:rFonts w:hint="eastAsia" w:hAnsi="宋体"/>
          <w:color w:val="000000"/>
          <w:sz w:val="24"/>
          <w:highlight w:val="none"/>
          <w:lang w:val="en-US" w:eastAsia="zh-CN"/>
        </w:rPr>
        <w:t xml:space="preserve">4165 </w:t>
      </w:r>
      <w:r>
        <w:rPr>
          <w:rFonts w:hint="eastAsia" w:hAnsi="宋体"/>
          <w:color w:val="000000"/>
          <w:sz w:val="24"/>
          <w:highlight w:val="none"/>
        </w:rPr>
        <w:t>室。</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2、逾期送达的或者未送达指定地点的投标文件，招标人不予受理。</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Ansi="宋体"/>
          <w:color w:val="000000"/>
          <w:sz w:val="24"/>
          <w:highlight w:val="none"/>
        </w:rPr>
      </w:pPr>
      <w:r>
        <w:rPr>
          <w:rFonts w:hint="eastAsia" w:hAnsi="宋体"/>
          <w:color w:val="000000"/>
          <w:sz w:val="24"/>
          <w:highlight w:val="none"/>
        </w:rPr>
        <w:t>3、未通过《全国公共资源交易平台（河南省·许昌市）》下载招标文件的投标人，其投标文件不予受理。</w:t>
      </w:r>
    </w:p>
    <w:p>
      <w:pPr>
        <w:keepNext w:val="0"/>
        <w:keepLines w:val="0"/>
        <w:pageBreakBefore w:val="0"/>
        <w:widowControl w:val="0"/>
        <w:kinsoku/>
        <w:wordWrap/>
        <w:overflowPunct/>
        <w:topLinePunct w:val="0"/>
        <w:bidi w:val="0"/>
        <w:snapToGrid/>
        <w:spacing w:line="312" w:lineRule="auto"/>
        <w:textAlignment w:val="auto"/>
        <w:rPr>
          <w:rFonts w:hAnsi="宋体"/>
          <w:b/>
          <w:color w:val="000000"/>
          <w:sz w:val="24"/>
          <w:highlight w:val="none"/>
        </w:rPr>
      </w:pPr>
      <w:r>
        <w:rPr>
          <w:rFonts w:hint="eastAsia" w:hAnsi="宋体"/>
          <w:b/>
          <w:color w:val="000000"/>
          <w:sz w:val="24"/>
          <w:highlight w:val="none"/>
        </w:rPr>
        <w:t>六、发布公告的媒介</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本公告同时在《全国公共资源交易平台(河南省▪许昌市)》、《河南省电子招标投标公共服务平台》上发布。</w:t>
      </w:r>
    </w:p>
    <w:p>
      <w:pPr>
        <w:keepNext w:val="0"/>
        <w:keepLines w:val="0"/>
        <w:pageBreakBefore w:val="0"/>
        <w:widowControl w:val="0"/>
        <w:kinsoku/>
        <w:wordWrap/>
        <w:overflowPunct/>
        <w:topLinePunct w:val="0"/>
        <w:bidi w:val="0"/>
        <w:snapToGrid/>
        <w:spacing w:line="312" w:lineRule="auto"/>
        <w:textAlignment w:val="auto"/>
        <w:rPr>
          <w:rFonts w:ascii="宋体" w:hAnsi="宋体"/>
          <w:b/>
          <w:color w:val="auto"/>
          <w:sz w:val="24"/>
          <w:highlight w:val="none"/>
        </w:rPr>
      </w:pPr>
      <w:r>
        <w:rPr>
          <w:rFonts w:hint="eastAsia" w:ascii="宋体" w:hAnsi="宋体"/>
          <w:b/>
          <w:color w:val="auto"/>
          <w:sz w:val="24"/>
          <w:highlight w:val="none"/>
        </w:rPr>
        <w:t>七、联系方式</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hAnsi="宋体"/>
          <w:color w:val="000000"/>
          <w:sz w:val="24"/>
          <w:highlight w:val="none"/>
        </w:rPr>
        <w:t xml:space="preserve">招 </w:t>
      </w:r>
      <w:r>
        <w:rPr>
          <w:rFonts w:hint="eastAsia" w:ascii="Times New Roman" w:hAnsi="宋体" w:eastAsia="宋体" w:cs="Times New Roman"/>
          <w:color w:val="000000"/>
          <w:sz w:val="24"/>
          <w:highlight w:val="none"/>
        </w:rPr>
        <w:t xml:space="preserve">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Times New Roman" w:hAnsi="宋体" w:eastAsia="宋体" w:cs="Times New Roman"/>
          <w:color w:val="000000"/>
          <w:sz w:val="24"/>
          <w:highlight w:val="none"/>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r>
        <w:rPr>
          <w:rFonts w:hint="eastAsia" w:hAnsi="宋体" w:cs="Times New Roman"/>
          <w:color w:val="000000"/>
          <w:sz w:val="24"/>
          <w:highlight w:val="none"/>
          <w:lang w:val="en-US" w:eastAsia="zh-CN"/>
        </w:rPr>
        <w:t xml:space="preserve">   </w:t>
      </w: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hAnsi="宋体"/>
          <w:color w:val="000000"/>
          <w:sz w:val="24"/>
          <w:highlight w:val="none"/>
        </w:rPr>
      </w:pPr>
      <w:r>
        <w:rPr>
          <w:rFonts w:hint="eastAsia" w:hAnsi="宋体"/>
          <w:color w:val="000000"/>
          <w:sz w:val="24"/>
          <w:highlight w:val="none"/>
        </w:rPr>
        <w:t>代理  机构：</w:t>
      </w:r>
      <w:r>
        <w:rPr>
          <w:rFonts w:hint="eastAsia" w:hAnsi="宋体"/>
          <w:color w:val="000000"/>
          <w:sz w:val="24"/>
          <w:highlight w:val="none"/>
          <w:lang w:eastAsia="zh-CN"/>
        </w:rPr>
        <w:t>中睿智工程管理有限公司</w:t>
      </w:r>
    </w:p>
    <w:p>
      <w:pPr>
        <w:keepNext w:val="0"/>
        <w:keepLines w:val="0"/>
        <w:pageBreakBefore w:val="0"/>
        <w:widowControl w:val="0"/>
        <w:kinsoku/>
        <w:wordWrap/>
        <w:overflowPunct/>
        <w:topLinePunct w:val="0"/>
        <w:bidi w:val="0"/>
        <w:snapToGrid/>
        <w:spacing w:line="312" w:lineRule="auto"/>
        <w:ind w:firstLine="480" w:firstLineChars="200"/>
        <w:textAlignment w:val="auto"/>
        <w:rPr>
          <w:rFonts w:hint="eastAsia" w:ascii="宋体" w:hAnsi="宋体"/>
          <w:color w:val="auto"/>
          <w:sz w:val="24"/>
          <w:highlight w:val="none"/>
          <w:lang w:val="en-US"/>
        </w:rPr>
      </w:pPr>
      <w:r>
        <w:rPr>
          <w:rFonts w:hint="eastAsia" w:hAnsi="宋体"/>
          <w:color w:val="000000"/>
          <w:sz w:val="24"/>
          <w:highlight w:val="none"/>
        </w:rPr>
        <w:t>项目负责人：</w:t>
      </w:r>
      <w:r>
        <w:rPr>
          <w:rFonts w:hint="eastAsia" w:hAnsi="宋体"/>
          <w:color w:val="000000"/>
          <w:sz w:val="24"/>
          <w:highlight w:val="none"/>
          <w:lang w:val="en-US" w:eastAsia="zh-CN"/>
        </w:rPr>
        <w:t xml:space="preserve">俎俊恒   </w:t>
      </w:r>
      <w:r>
        <w:rPr>
          <w:rFonts w:hint="eastAsia" w:hAnsi="宋体"/>
          <w:color w:val="000000"/>
          <w:sz w:val="24"/>
          <w:highlight w:val="none"/>
        </w:rPr>
        <w:t>电    话：</w:t>
      </w:r>
      <w:r>
        <w:rPr>
          <w:rFonts w:hint="eastAsia" w:hAnsi="宋体"/>
          <w:color w:val="000000"/>
          <w:sz w:val="24"/>
          <w:highlight w:val="none"/>
          <w:lang w:val="en-US" w:eastAsia="zh-CN"/>
        </w:rPr>
        <w:t>17703741399</w:t>
      </w: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color w:val="000000"/>
          <w:sz w:val="24"/>
          <w:highlight w:val="none"/>
          <w:lang w:val="zh-CN"/>
        </w:rPr>
      </w:pPr>
      <w:r>
        <w:rPr>
          <w:rFonts w:hint="eastAsia" w:hAnsi="宋体"/>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ind w:firstLine="480" w:firstLineChars="200"/>
        <w:jc w:val="right"/>
        <w:textAlignment w:val="auto"/>
        <w:rPr>
          <w:rFonts w:hint="eastAsia" w:hAnsi="宋体"/>
          <w:color w:val="000000"/>
          <w:sz w:val="24"/>
          <w:highlight w:val="none"/>
          <w:lang w:val="en-US" w:eastAsia="zh-CN"/>
        </w:rPr>
      </w:pPr>
      <w:r>
        <w:rPr>
          <w:rFonts w:hint="eastAsia" w:hAnsi="宋体"/>
          <w:color w:val="000000"/>
          <w:sz w:val="24"/>
          <w:highlight w:val="none"/>
          <w:lang w:val="en-US" w:eastAsia="zh-CN"/>
        </w:rPr>
        <w:t>2019年3月13日</w:t>
      </w:r>
      <w:bookmarkStart w:id="2" w:name="_Toc30837"/>
    </w:p>
    <w:bookmarkEnd w:id="317"/>
    <w:p>
      <w:pPr>
        <w:keepNext w:val="0"/>
        <w:keepLines w:val="0"/>
        <w:pageBreakBefore w:val="0"/>
        <w:widowControl w:val="0"/>
        <w:kinsoku/>
        <w:wordWrap/>
        <w:overflowPunct/>
        <w:topLinePunct w:val="0"/>
        <w:bidi w:val="0"/>
        <w:snapToGrid/>
        <w:spacing w:line="312" w:lineRule="auto"/>
        <w:ind w:firstLine="883" w:firstLineChars="200"/>
        <w:jc w:val="center"/>
        <w:textAlignment w:val="auto"/>
        <w:rPr>
          <w:rFonts w:ascii="宋体" w:hAnsi="宋体"/>
          <w:b/>
          <w:bCs w:val="0"/>
          <w:color w:val="auto"/>
          <w:sz w:val="44"/>
          <w:szCs w:val="44"/>
          <w:highlight w:val="none"/>
        </w:rPr>
      </w:pPr>
      <w:r>
        <w:rPr>
          <w:rFonts w:hint="eastAsia" w:ascii="黑体" w:eastAsia="黑体"/>
          <w:b/>
          <w:bCs w:val="0"/>
          <w:color w:val="auto"/>
          <w:sz w:val="44"/>
          <w:szCs w:val="44"/>
          <w:highlight w:val="none"/>
        </w:rPr>
        <w:t>第二章  投标人须知</w:t>
      </w:r>
      <w:bookmarkEnd w:id="2"/>
    </w:p>
    <w:p>
      <w:pPr>
        <w:spacing w:line="360" w:lineRule="auto"/>
        <w:jc w:val="center"/>
        <w:rPr>
          <w:rFonts w:ascii="宋体" w:hAnsi="宋体"/>
          <w:b/>
          <w:bCs w:val="0"/>
          <w:color w:val="auto"/>
          <w:sz w:val="24"/>
          <w:highlight w:val="none"/>
        </w:rPr>
      </w:pPr>
      <w:bookmarkStart w:id="3" w:name="_Toc234382587"/>
      <w:r>
        <w:rPr>
          <w:rFonts w:hint="eastAsia" w:ascii="黑体" w:eastAsia="黑体"/>
          <w:b/>
          <w:bCs w:val="0"/>
          <w:color w:val="auto"/>
          <w:sz w:val="30"/>
          <w:szCs w:val="30"/>
          <w:highlight w:val="none"/>
        </w:rPr>
        <w:t>投标人须知前附表</w:t>
      </w:r>
      <w:bookmarkEnd w:id="3"/>
      <w:bookmarkStart w:id="4" w:name="_Hlt111980600"/>
      <w:bookmarkEnd w:id="4"/>
    </w:p>
    <w:tbl>
      <w:tblPr>
        <w:tblStyle w:val="17"/>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29"/>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53" w:type="dxa"/>
            <w:vAlign w:val="top"/>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 款 名 称</w:t>
            </w:r>
          </w:p>
        </w:tc>
        <w:tc>
          <w:tcPr>
            <w:tcW w:w="5805"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w:t>
            </w:r>
          </w:p>
        </w:tc>
        <w:tc>
          <w:tcPr>
            <w:tcW w:w="5805" w:type="dxa"/>
            <w:gridSpan w:val="2"/>
            <w:tcBorders>
              <w:bottom w:val="single" w:color="auto" w:sz="4" w:space="0"/>
            </w:tcBorders>
            <w:vAlign w:val="center"/>
          </w:tcPr>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rPr>
            </w:pPr>
            <w:r>
              <w:rPr>
                <w:rFonts w:hint="eastAsia" w:hAnsi="宋体"/>
                <w:color w:val="000000"/>
                <w:sz w:val="24"/>
                <w:highlight w:val="none"/>
              </w:rPr>
              <w:t xml:space="preserve">招 </w:t>
            </w:r>
            <w:r>
              <w:rPr>
                <w:rFonts w:hint="eastAsia" w:ascii="Times New Roman" w:hAnsi="宋体" w:eastAsia="宋体" w:cs="Times New Roman"/>
                <w:color w:val="000000"/>
                <w:sz w:val="24"/>
                <w:highlight w:val="none"/>
              </w:rPr>
              <w:t xml:space="preserve"> 标  人：</w:t>
            </w:r>
            <w:r>
              <w:rPr>
                <w:rFonts w:hint="eastAsia" w:ascii="Times New Roman" w:hAnsi="宋体" w:eastAsia="宋体" w:cs="Times New Roman"/>
                <w:color w:val="000000"/>
                <w:sz w:val="24"/>
                <w:highlight w:val="none"/>
                <w:lang w:val="zh-CN"/>
              </w:rPr>
              <w:t>许昌市建安区交通运输局</w:t>
            </w:r>
          </w:p>
          <w:p>
            <w:pPr>
              <w:keepNext w:val="0"/>
              <w:keepLines w:val="0"/>
              <w:pageBreakBefore w:val="0"/>
              <w:widowControl w:val="0"/>
              <w:kinsoku/>
              <w:wordWrap/>
              <w:overflowPunct/>
              <w:topLinePunct w:val="0"/>
              <w:bidi w:val="0"/>
              <w:snapToGrid/>
              <w:spacing w:line="312" w:lineRule="auto"/>
              <w:textAlignment w:val="auto"/>
              <w:rPr>
                <w:rFonts w:hint="eastAsia" w:ascii="Times New Roman" w:hAnsi="宋体" w:eastAsia="宋体" w:cs="Times New Roman"/>
                <w:color w:val="000000"/>
                <w:sz w:val="24"/>
                <w:highlight w:val="none"/>
                <w:lang w:eastAsia="zh-CN"/>
              </w:rPr>
            </w:pPr>
            <w:r>
              <w:rPr>
                <w:rFonts w:hint="eastAsia" w:ascii="Times New Roman" w:hAnsi="宋体" w:eastAsia="宋体" w:cs="Times New Roman"/>
                <w:color w:val="000000"/>
                <w:sz w:val="24"/>
                <w:highlight w:val="none"/>
              </w:rPr>
              <w:t>项目负责人：</w:t>
            </w:r>
            <w:r>
              <w:rPr>
                <w:rFonts w:hint="eastAsia" w:ascii="Times New Roman" w:hAnsi="宋体" w:eastAsia="宋体" w:cs="Times New Roman"/>
                <w:color w:val="000000"/>
                <w:sz w:val="24"/>
                <w:highlight w:val="none"/>
                <w:lang w:eastAsia="zh-CN"/>
              </w:rPr>
              <w:t>黄向远</w:t>
            </w:r>
          </w:p>
          <w:p>
            <w:pPr>
              <w:keepNext w:val="0"/>
              <w:keepLines w:val="0"/>
              <w:pageBreakBefore w:val="0"/>
              <w:widowControl w:val="0"/>
              <w:kinsoku/>
              <w:wordWrap/>
              <w:overflowPunct/>
              <w:topLinePunct w:val="0"/>
              <w:bidi w:val="0"/>
              <w:snapToGrid/>
              <w:spacing w:line="312" w:lineRule="auto"/>
              <w:textAlignment w:val="auto"/>
              <w:rPr>
                <w:rFonts w:ascii="宋体" w:hAnsi="宋体"/>
                <w:color w:val="auto"/>
                <w:sz w:val="24"/>
                <w:highlight w:val="none"/>
                <w:u w:val="single"/>
              </w:rPr>
            </w:pPr>
            <w:r>
              <w:rPr>
                <w:rFonts w:hint="eastAsia" w:ascii="Times New Roman" w:hAnsi="宋体" w:eastAsia="宋体" w:cs="Times New Roman"/>
                <w:color w:val="000000"/>
                <w:sz w:val="24"/>
                <w:highlight w:val="none"/>
              </w:rPr>
              <w:t>电      话：</w:t>
            </w:r>
            <w:r>
              <w:rPr>
                <w:rFonts w:hint="eastAsia" w:ascii="Times New Roman" w:hAnsi="宋体" w:eastAsia="宋体" w:cs="Times New Roman"/>
                <w:color w:val="000000"/>
                <w:sz w:val="24"/>
                <w:highlight w:val="none"/>
                <w:lang w:val="en-US" w:eastAsia="zh-CN"/>
              </w:rPr>
              <w:t>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5805" w:type="dxa"/>
            <w:gridSpan w:val="2"/>
            <w:tcBorders>
              <w:bottom w:val="single" w:color="auto" w:sz="4" w:space="0"/>
            </w:tcBorders>
            <w:vAlign w:val="center"/>
          </w:tcPr>
          <w:p>
            <w:pPr>
              <w:autoSpaceDE w:val="0"/>
              <w:autoSpaceDN w:val="0"/>
              <w:adjustRightInd w:val="0"/>
              <w:spacing w:line="360" w:lineRule="exact"/>
              <w:rPr>
                <w:rFonts w:hint="eastAsia" w:hAnsi="宋体" w:cs="宋体"/>
                <w:sz w:val="24"/>
                <w:szCs w:val="24"/>
                <w:lang w:eastAsia="zh-CN"/>
              </w:rPr>
            </w:pPr>
            <w:r>
              <w:rPr>
                <w:rFonts w:hint="eastAsia" w:hAnsi="宋体"/>
                <w:sz w:val="24"/>
              </w:rPr>
              <w:t>招标代理机构名称：</w:t>
            </w:r>
            <w:r>
              <w:rPr>
                <w:rFonts w:hint="eastAsia" w:hAnsi="宋体" w:cs="宋体"/>
                <w:sz w:val="24"/>
                <w:szCs w:val="24"/>
                <w:lang w:eastAsia="zh-CN"/>
              </w:rPr>
              <w:t>中睿智工程管理有限公司</w:t>
            </w:r>
          </w:p>
          <w:p>
            <w:pPr>
              <w:autoSpaceDE w:val="0"/>
              <w:autoSpaceDN w:val="0"/>
              <w:adjustRightInd w:val="0"/>
              <w:spacing w:line="360" w:lineRule="exact"/>
              <w:rPr>
                <w:rFonts w:hint="eastAsia" w:hAnsi="宋体"/>
                <w:sz w:val="24"/>
              </w:rPr>
            </w:pPr>
            <w:r>
              <w:rPr>
                <w:rFonts w:hint="eastAsia" w:hAnsi="宋体"/>
                <w:sz w:val="24"/>
              </w:rPr>
              <w:t>项目负责人：</w:t>
            </w:r>
            <w:r>
              <w:rPr>
                <w:rFonts w:hint="eastAsia" w:hAnsi="宋体"/>
                <w:color w:val="000000"/>
                <w:sz w:val="24"/>
                <w:highlight w:val="none"/>
                <w:lang w:val="en-US" w:eastAsia="zh-CN"/>
              </w:rPr>
              <w:t>俎俊恒</w:t>
            </w:r>
          </w:p>
          <w:p>
            <w:pPr>
              <w:keepNext w:val="0"/>
              <w:keepLines w:val="0"/>
              <w:pageBreakBefore w:val="0"/>
              <w:widowControl w:val="0"/>
              <w:kinsoku/>
              <w:wordWrap/>
              <w:overflowPunct/>
              <w:topLinePunct w:val="0"/>
              <w:bidi w:val="0"/>
              <w:snapToGrid/>
              <w:spacing w:line="312" w:lineRule="auto"/>
              <w:textAlignment w:val="auto"/>
              <w:rPr>
                <w:rFonts w:ascii="宋体" w:hAnsi="宋体"/>
                <w:color w:val="auto"/>
                <w:sz w:val="24"/>
                <w:highlight w:val="none"/>
              </w:rPr>
            </w:pPr>
            <w:r>
              <w:rPr>
                <w:rFonts w:hint="eastAsia" w:hAnsi="宋体"/>
                <w:sz w:val="24"/>
              </w:rPr>
              <w:t>电    话</w:t>
            </w:r>
            <w:r>
              <w:rPr>
                <w:rFonts w:hint="eastAsia" w:hAnsi="宋体" w:cs="宋体"/>
                <w:sz w:val="24"/>
                <w:szCs w:val="24"/>
                <w:lang w:eastAsia="zh-CN"/>
              </w:rPr>
              <w:t>：</w:t>
            </w:r>
            <w:r>
              <w:rPr>
                <w:rFonts w:hint="eastAsia" w:hAnsi="宋体"/>
                <w:color w:val="000000"/>
                <w:sz w:val="24"/>
                <w:highlight w:val="none"/>
                <w:lang w:val="en-US" w:eastAsia="zh-CN"/>
              </w:rPr>
              <w:t>17703741399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1.1.3</w:t>
            </w:r>
          </w:p>
        </w:tc>
        <w:tc>
          <w:tcPr>
            <w:tcW w:w="2233" w:type="dxa"/>
            <w:gridSpan w:val="2"/>
            <w:tcBorders>
              <w:right w:val="single" w:color="auto" w:sz="4" w:space="0"/>
            </w:tcBorders>
            <w:vAlign w:val="center"/>
          </w:tcPr>
          <w:p>
            <w:pPr>
              <w:spacing w:line="500" w:lineRule="exact"/>
              <w:jc w:val="cente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项目名称</w:t>
            </w:r>
          </w:p>
        </w:tc>
        <w:tc>
          <w:tcPr>
            <w:tcW w:w="5805" w:type="dxa"/>
            <w:gridSpan w:val="2"/>
            <w:tcBorders>
              <w:left w:val="single" w:color="auto" w:sz="4" w:space="0"/>
              <w:right w:val="single" w:color="auto" w:sz="4" w:space="0"/>
            </w:tcBorders>
            <w:vAlign w:val="center"/>
          </w:tcPr>
          <w:p>
            <w:pPr>
              <w:spacing w:line="500" w:lineRule="exact"/>
              <w:jc w:val="both"/>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val="en-US" w:eastAsia="zh-CN"/>
              </w:rPr>
              <w:t>许昌市建安区县道X007线小召至陈曹界段大修工程</w:t>
            </w:r>
            <w:r>
              <w:rPr>
                <w:rFonts w:hint="eastAsia" w:ascii="宋体" w:hAnsi="宋体" w:eastAsia="宋体" w:cs="Times New Roman"/>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1.1.4</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5805" w:type="dxa"/>
            <w:gridSpan w:val="2"/>
            <w:tcBorders>
              <w:left w:val="single" w:color="auto" w:sz="4" w:space="0"/>
              <w:right w:val="single" w:color="auto" w:sz="4" w:space="0"/>
            </w:tcBorders>
            <w:vAlign w:val="center"/>
          </w:tcPr>
          <w:p>
            <w:pPr>
              <w:spacing w:line="360" w:lineRule="auto"/>
              <w:rPr>
                <w:rFonts w:ascii="宋体" w:hAnsi="宋体"/>
                <w:color w:val="auto"/>
                <w:sz w:val="24"/>
                <w:highlight w:val="none"/>
              </w:rPr>
            </w:pPr>
            <w:r>
              <w:rPr>
                <w:rFonts w:hint="eastAsia" w:hAnsi="宋体" w:cs="宋体"/>
                <w:sz w:val="24"/>
                <w:szCs w:val="24"/>
                <w:lang w:val="zh-CN"/>
              </w:rPr>
              <w:t>位于</w:t>
            </w:r>
            <w:r>
              <w:rPr>
                <w:rFonts w:hint="eastAsia" w:hAnsi="宋体" w:cs="宋体"/>
                <w:sz w:val="24"/>
                <w:szCs w:val="24"/>
                <w:lang w:eastAsia="zh-CN"/>
              </w:rPr>
              <w:t>许昌市建安区</w:t>
            </w:r>
            <w:r>
              <w:rPr>
                <w:rFonts w:hint="eastAsia" w:ascii="宋体" w:hAnsi="宋体" w:cs="Times New Roman"/>
                <w:color w:val="auto"/>
                <w:sz w:val="24"/>
                <w:highlight w:val="none"/>
                <w:lang w:val="en-US" w:eastAsia="zh-CN"/>
              </w:rPr>
              <w:t>小召至陈曹界</w:t>
            </w:r>
            <w:r>
              <w:rPr>
                <w:rFonts w:hint="eastAsia" w:hAnsi="宋体" w:cs="宋体"/>
                <w:sz w:val="24"/>
                <w:szCs w:val="24"/>
                <w:lang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1.1.5</w:t>
            </w:r>
          </w:p>
        </w:tc>
        <w:tc>
          <w:tcPr>
            <w:tcW w:w="2233"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5805" w:type="dxa"/>
            <w:gridSpan w:val="2"/>
            <w:tcBorders>
              <w:left w:val="single" w:color="auto" w:sz="4" w:space="0"/>
              <w:bottom w:val="single" w:color="auto" w:sz="4" w:space="0"/>
              <w:right w:val="single" w:color="auto" w:sz="4" w:space="0"/>
            </w:tcBorders>
            <w:vAlign w:val="center"/>
          </w:tcPr>
          <w:p>
            <w:pPr>
              <w:pStyle w:val="19"/>
              <w:snapToGrid w:val="0"/>
              <w:spacing w:line="0" w:lineRule="atLeast"/>
              <w:textAlignment w:val="auto"/>
              <w:outlineLvl w:val="9"/>
              <w:rPr>
                <w:rFonts w:ascii="宋体" w:hAnsi="宋体"/>
                <w:color w:val="auto"/>
                <w:sz w:val="24"/>
                <w:highlight w:val="none"/>
              </w:rPr>
            </w:pPr>
            <w:r>
              <w:rPr>
                <w:rFonts w:hint="eastAsia" w:ascii="宋体" w:hAnsi="宋体" w:cs="宋体"/>
                <w:bCs/>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出资比例</w:t>
            </w:r>
          </w:p>
        </w:tc>
        <w:tc>
          <w:tcPr>
            <w:tcW w:w="5805" w:type="dxa"/>
            <w:gridSpan w:val="2"/>
            <w:tcBorders>
              <w:top w:val="single" w:color="auto" w:sz="4" w:space="0"/>
            </w:tcBorders>
            <w:vAlign w:val="center"/>
          </w:tcPr>
          <w:p>
            <w:pPr>
              <w:spacing w:line="500" w:lineRule="exact"/>
              <w:rPr>
                <w:rFonts w:ascii="宋体" w:hAnsi="宋体"/>
                <w:color w:val="auto"/>
                <w:sz w:val="24"/>
                <w:highlight w:val="none"/>
              </w:rPr>
            </w:pPr>
            <w:r>
              <w:rPr>
                <w:rFonts w:hint="eastAsia" w:ascii="宋体" w:hAnsi="宋体"/>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1.2.2</w:t>
            </w:r>
          </w:p>
        </w:tc>
        <w:tc>
          <w:tcPr>
            <w:tcW w:w="2233" w:type="dxa"/>
            <w:gridSpan w:val="2"/>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资金落实情况</w:t>
            </w:r>
          </w:p>
        </w:tc>
        <w:tc>
          <w:tcPr>
            <w:tcW w:w="5805" w:type="dxa"/>
            <w:gridSpan w:val="2"/>
            <w:tcBorders>
              <w:top w:val="single" w:color="auto" w:sz="4" w:space="0"/>
            </w:tcBorders>
            <w:vAlign w:val="center"/>
          </w:tcPr>
          <w:p>
            <w:pPr>
              <w:spacing w:line="500" w:lineRule="exact"/>
              <w:rPr>
                <w:rFonts w:hint="eastAsia" w:ascii="宋体" w:hAnsi="宋体"/>
                <w:bCs/>
                <w:color w:val="auto"/>
                <w:sz w:val="24"/>
                <w:highlight w:val="none"/>
              </w:rPr>
            </w:pPr>
            <w:r>
              <w:rPr>
                <w:rFonts w:hint="eastAsia" w:ascii="宋体" w:hAnsi="宋体"/>
                <w:color w:val="auto"/>
                <w:sz w:val="24"/>
                <w:highlight w:val="none"/>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1.2.3</w:t>
            </w:r>
          </w:p>
        </w:tc>
        <w:tc>
          <w:tcPr>
            <w:tcW w:w="2233" w:type="dxa"/>
            <w:gridSpan w:val="2"/>
            <w:vAlign w:val="center"/>
          </w:tcPr>
          <w:p>
            <w:pPr>
              <w:pStyle w:val="19"/>
              <w:snapToGrid w:val="0"/>
              <w:spacing w:line="0" w:lineRule="atLeast"/>
              <w:jc w:val="center"/>
              <w:textAlignment w:val="auto"/>
              <w:outlineLvl w:val="9"/>
              <w:rPr>
                <w:rFonts w:ascii="宋体" w:hAnsi="宋体"/>
                <w:color w:val="auto"/>
                <w:sz w:val="24"/>
                <w:highlight w:val="none"/>
              </w:rPr>
            </w:pPr>
            <w:r>
              <w:rPr>
                <w:rFonts w:hint="eastAsia" w:ascii="宋体" w:hAnsi="宋体" w:cs="宋体"/>
                <w:sz w:val="24"/>
                <w:szCs w:val="24"/>
              </w:rPr>
              <w:t>批准文号</w:t>
            </w:r>
          </w:p>
        </w:tc>
        <w:tc>
          <w:tcPr>
            <w:tcW w:w="5805" w:type="dxa"/>
            <w:gridSpan w:val="2"/>
            <w:vAlign w:val="center"/>
          </w:tcPr>
          <w:p>
            <w:pPr>
              <w:pStyle w:val="19"/>
              <w:snapToGrid w:val="0"/>
              <w:spacing w:line="0" w:lineRule="atLeast"/>
              <w:jc w:val="center"/>
              <w:textAlignment w:val="auto"/>
              <w:outlineLvl w:val="9"/>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1.3.2</w:t>
            </w:r>
          </w:p>
        </w:tc>
        <w:tc>
          <w:tcPr>
            <w:tcW w:w="2233"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eastAsia="zh-CN"/>
              </w:rPr>
              <w:t>工期要求</w:t>
            </w:r>
          </w:p>
        </w:tc>
        <w:tc>
          <w:tcPr>
            <w:tcW w:w="5805" w:type="dxa"/>
            <w:gridSpan w:val="2"/>
            <w:vAlign w:val="center"/>
          </w:tcPr>
          <w:p>
            <w:pPr>
              <w:spacing w:line="500" w:lineRule="exact"/>
              <w:jc w:val="center"/>
              <w:rPr>
                <w:rFonts w:hint="eastAsia" w:ascii="宋体" w:hAnsi="宋体" w:cs="宋体"/>
                <w:color w:val="auto"/>
                <w:kern w:val="0"/>
                <w:sz w:val="24"/>
                <w:highlight w:val="none"/>
                <w:shd w:val="clear" w:color="auto" w:fill="FFFFFF"/>
                <w:lang w:eastAsia="zh-CN"/>
              </w:rPr>
            </w:pPr>
            <w:r>
              <w:rPr>
                <w:rFonts w:hint="eastAsia" w:ascii="宋体" w:hAnsi="宋体" w:cs="宋体"/>
                <w:color w:val="auto"/>
                <w:kern w:val="0"/>
                <w:sz w:val="24"/>
                <w:highlight w:val="none"/>
                <w:shd w:val="clear" w:color="auto" w:fill="FFFFFF"/>
                <w:lang w:val="en-US" w:eastAsia="zh-CN"/>
              </w:rPr>
              <w:t>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质量要求</w:t>
            </w:r>
          </w:p>
        </w:tc>
        <w:tc>
          <w:tcPr>
            <w:tcW w:w="5805" w:type="dxa"/>
            <w:gridSpan w:val="2"/>
            <w:vAlign w:val="center"/>
          </w:tcPr>
          <w:p>
            <w:pPr>
              <w:tabs>
                <w:tab w:val="right" w:leader="dot" w:pos="8295"/>
              </w:tabs>
              <w:spacing w:line="500" w:lineRule="exact"/>
              <w:rPr>
                <w:color w:val="auto"/>
                <w:sz w:val="24"/>
                <w:highlight w:val="none"/>
                <w:u w:val="single"/>
              </w:rPr>
            </w:pPr>
            <w:r>
              <w:rPr>
                <w:rFonts w:hint="eastAsia"/>
                <w:color w:val="auto"/>
                <w:sz w:val="24"/>
                <w:highlight w:val="none"/>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053" w:type="dxa"/>
            <w:tcBorders>
              <w:top w:val="single" w:color="auto" w:sz="4" w:space="0"/>
              <w:left w:val="single" w:color="auto" w:sz="4" w:space="0"/>
            </w:tcBorders>
            <w:vAlign w:val="center"/>
          </w:tcPr>
          <w:p>
            <w:pPr>
              <w:spacing w:line="500" w:lineRule="exact"/>
              <w:jc w:val="center"/>
              <w:rPr>
                <w:rFonts w:ascii="宋体" w:hAnsi="宋体"/>
                <w:color w:val="auto"/>
                <w:sz w:val="24"/>
                <w:highlight w:val="none"/>
                <w:vertAlign w:val="superscript"/>
              </w:rPr>
            </w:pPr>
            <w:r>
              <w:rPr>
                <w:rFonts w:ascii="宋体" w:hAnsi="宋体"/>
                <w:color w:val="auto"/>
                <w:sz w:val="24"/>
                <w:highlight w:val="none"/>
              </w:rPr>
              <w:t>1.4.</w:t>
            </w:r>
            <w:r>
              <w:rPr>
                <w:rFonts w:hint="eastAsia" w:ascii="宋体" w:hAnsi="宋体"/>
                <w:color w:val="auto"/>
                <w:sz w:val="24"/>
                <w:highlight w:val="none"/>
              </w:rPr>
              <w:t>1</w:t>
            </w:r>
            <w:r>
              <w:rPr>
                <w:rFonts w:hint="eastAsia" w:ascii="宋体" w:hAnsi="宋体"/>
                <w:color w:val="auto"/>
                <w:sz w:val="24"/>
                <w:highlight w:val="none"/>
                <w:vertAlign w:val="superscript"/>
              </w:rPr>
              <w:t xml:space="preserve"> </w:t>
            </w:r>
          </w:p>
        </w:tc>
        <w:tc>
          <w:tcPr>
            <w:tcW w:w="2233" w:type="dxa"/>
            <w:gridSpan w:val="2"/>
            <w:tcBorders>
              <w:top w:val="single" w:color="auto" w:sz="4" w:space="0"/>
            </w:tcBorders>
            <w:vAlign w:val="center"/>
          </w:tcPr>
          <w:p>
            <w:pPr>
              <w:spacing w:line="500" w:lineRule="exact"/>
              <w:jc w:val="center"/>
              <w:rPr>
                <w:rFonts w:ascii="宋体" w:hAnsi="宋体"/>
                <w:color w:val="auto"/>
                <w:sz w:val="24"/>
                <w:highlight w:val="none"/>
              </w:rPr>
            </w:pPr>
            <w:r>
              <w:rPr>
                <w:rFonts w:ascii="宋体" w:hAnsi="宋体"/>
                <w:color w:val="auto"/>
                <w:sz w:val="24"/>
                <w:highlight w:val="none"/>
              </w:rPr>
              <w:t>投标人资质条件、能力和信誉</w:t>
            </w:r>
          </w:p>
        </w:tc>
        <w:tc>
          <w:tcPr>
            <w:tcW w:w="5805" w:type="dxa"/>
            <w:gridSpan w:val="2"/>
            <w:tcBorders>
              <w:right w:val="single" w:color="auto" w:sz="4" w:space="0"/>
            </w:tcBorders>
            <w:vAlign w:val="center"/>
          </w:tcPr>
          <w:p>
            <w:pPr>
              <w:spacing w:line="500" w:lineRule="exact"/>
              <w:rPr>
                <w:rFonts w:ascii="宋体" w:hAnsi="宋体"/>
                <w:color w:val="auto"/>
                <w:sz w:val="24"/>
                <w:highlight w:val="none"/>
              </w:rPr>
            </w:pPr>
            <w:r>
              <w:rPr>
                <w:rFonts w:ascii="宋体" w:hAnsi="宋体"/>
                <w:color w:val="auto"/>
                <w:sz w:val="24"/>
                <w:highlight w:val="none"/>
              </w:rPr>
              <w:t>资质条件：</w:t>
            </w:r>
            <w:r>
              <w:rPr>
                <w:rFonts w:hint="eastAsia" w:ascii="宋体" w:hAnsi="宋体"/>
                <w:color w:val="auto"/>
                <w:sz w:val="24"/>
                <w:highlight w:val="none"/>
              </w:rPr>
              <w:t>见附录1</w:t>
            </w:r>
          </w:p>
          <w:p>
            <w:pPr>
              <w:spacing w:line="500" w:lineRule="exact"/>
              <w:rPr>
                <w:rFonts w:ascii="宋体" w:hAnsi="宋体"/>
                <w:color w:val="auto"/>
                <w:sz w:val="24"/>
                <w:highlight w:val="none"/>
              </w:rPr>
            </w:pPr>
            <w:r>
              <w:rPr>
                <w:rFonts w:ascii="宋体" w:hAnsi="宋体"/>
                <w:color w:val="auto"/>
                <w:sz w:val="24"/>
                <w:highlight w:val="none"/>
              </w:rPr>
              <w:t>财务要求：</w:t>
            </w:r>
            <w:r>
              <w:rPr>
                <w:rFonts w:hint="eastAsia" w:ascii="宋体" w:hAnsi="宋体"/>
                <w:color w:val="auto"/>
                <w:sz w:val="24"/>
                <w:highlight w:val="none"/>
              </w:rPr>
              <w:t>见附录2</w:t>
            </w:r>
          </w:p>
          <w:p>
            <w:pPr>
              <w:spacing w:line="500" w:lineRule="exact"/>
              <w:rPr>
                <w:rFonts w:ascii="宋体" w:hAnsi="宋体"/>
                <w:color w:val="auto"/>
                <w:sz w:val="24"/>
                <w:highlight w:val="none"/>
              </w:rPr>
            </w:pPr>
            <w:r>
              <w:rPr>
                <w:rFonts w:ascii="宋体" w:hAnsi="宋体"/>
                <w:color w:val="auto"/>
                <w:sz w:val="24"/>
                <w:highlight w:val="none"/>
              </w:rPr>
              <w:t>业绩要求：</w:t>
            </w:r>
            <w:r>
              <w:rPr>
                <w:rFonts w:hint="eastAsia" w:ascii="宋体" w:hAnsi="宋体"/>
                <w:color w:val="auto"/>
                <w:sz w:val="24"/>
                <w:highlight w:val="none"/>
              </w:rPr>
              <w:t>见附录3</w:t>
            </w:r>
          </w:p>
          <w:p>
            <w:pPr>
              <w:spacing w:line="500" w:lineRule="exact"/>
              <w:rPr>
                <w:rFonts w:ascii="宋体" w:hAnsi="宋体"/>
                <w:color w:val="auto"/>
                <w:sz w:val="24"/>
                <w:highlight w:val="none"/>
              </w:rPr>
            </w:pPr>
            <w:r>
              <w:rPr>
                <w:rFonts w:hint="eastAsia" w:ascii="宋体" w:hAnsi="宋体"/>
                <w:color w:val="auto"/>
                <w:sz w:val="24"/>
                <w:highlight w:val="none"/>
              </w:rPr>
              <w:t>信誉要求：见附录4</w:t>
            </w:r>
          </w:p>
          <w:p>
            <w:pPr>
              <w:spacing w:line="500" w:lineRule="exact"/>
              <w:rPr>
                <w:rFonts w:ascii="宋体" w:hAnsi="宋体"/>
                <w:color w:val="auto"/>
                <w:sz w:val="24"/>
                <w:highlight w:val="none"/>
              </w:rPr>
            </w:pPr>
            <w:r>
              <w:rPr>
                <w:rFonts w:hint="eastAsia" w:ascii="宋体" w:hAnsi="宋体"/>
                <w:color w:val="auto"/>
                <w:sz w:val="24"/>
                <w:highlight w:val="none"/>
              </w:rPr>
              <w:t>项目经理和项目总工资格：见附录5</w:t>
            </w:r>
          </w:p>
          <w:p>
            <w:pPr>
              <w:spacing w:line="500" w:lineRule="exact"/>
              <w:rPr>
                <w:rFonts w:ascii="宋体" w:hAnsi="宋体"/>
                <w:color w:val="auto"/>
                <w:sz w:val="24"/>
                <w:highlight w:val="none"/>
              </w:rPr>
            </w:pPr>
            <w:r>
              <w:rPr>
                <w:rFonts w:hint="eastAsia" w:ascii="宋体" w:hAnsi="宋体"/>
                <w:color w:val="auto"/>
                <w:sz w:val="24"/>
                <w:highlight w:val="none"/>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踏勘现场</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投标人提出问题的截止时间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递交投标文件的截止之日10日前以书面形式提出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1.10.3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招标人书面澄清的时间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递交投标文件的截止之日15日前以书面形式提出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偏离</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投标人要求澄清招标文件的截止时间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2.2.2</w:t>
            </w:r>
          </w:p>
        </w:tc>
        <w:tc>
          <w:tcPr>
            <w:tcW w:w="2233"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投标截止时间</w:t>
            </w:r>
          </w:p>
        </w:tc>
        <w:tc>
          <w:tcPr>
            <w:tcW w:w="5805" w:type="dxa"/>
            <w:gridSpan w:val="2"/>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9</w:t>
            </w:r>
            <w:r>
              <w:rPr>
                <w:rFonts w:hint="eastAsia" w:ascii="宋体" w:hAnsi="宋体"/>
                <w:color w:val="auto"/>
                <w:sz w:val="24"/>
                <w:highlight w:val="none"/>
              </w:rPr>
              <w:t>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3 日10 </w:t>
            </w:r>
            <w:r>
              <w:rPr>
                <w:rFonts w:hint="eastAsia" w:ascii="宋体" w:hAnsi="宋体"/>
                <w:color w:val="auto"/>
                <w:sz w:val="24"/>
                <w:highlight w:val="none"/>
              </w:rPr>
              <w:t>时</w:t>
            </w:r>
            <w:r>
              <w:rPr>
                <w:rFonts w:hint="eastAsia" w:ascii="宋体" w:hAnsi="宋体"/>
                <w:color w:val="auto"/>
                <w:sz w:val="24"/>
                <w:highlight w:val="none"/>
                <w:lang w:val="en-US" w:eastAsia="zh-CN"/>
              </w:rPr>
              <w:t xml:space="preserve"> 30 </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2.2.3</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收到澄清后24小时内（以发出时间为准）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2.3.2</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投标人确认收到招标文件修改的时间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收到修改后</w:t>
            </w:r>
            <w:r>
              <w:rPr>
                <w:rFonts w:hint="eastAsia" w:ascii="宋体" w:hAnsi="宋体"/>
                <w:color w:val="auto"/>
                <w:sz w:val="24"/>
                <w:highlight w:val="none"/>
                <w:u w:val="single"/>
              </w:rPr>
              <w:t>24</w:t>
            </w:r>
            <w:r>
              <w:rPr>
                <w:rFonts w:hint="eastAsia" w:ascii="宋体" w:hAnsi="宋体"/>
                <w:color w:val="auto"/>
                <w:sz w:val="24"/>
                <w:highlight w:val="none"/>
              </w:rPr>
              <w:t>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053"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3.1.1</w:t>
            </w:r>
          </w:p>
        </w:tc>
        <w:tc>
          <w:tcPr>
            <w:tcW w:w="2233"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构成投标文件的其他材料</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（1）投标人认为其它需要补充的内容</w:t>
            </w:r>
          </w:p>
          <w:p>
            <w:pPr>
              <w:spacing w:line="500" w:lineRule="exact"/>
              <w:rPr>
                <w:rFonts w:ascii="宋体" w:hAnsi="宋体"/>
                <w:b/>
                <w:color w:val="auto"/>
                <w:sz w:val="24"/>
                <w:highlight w:val="none"/>
              </w:rPr>
            </w:pPr>
            <w:r>
              <w:rPr>
                <w:rFonts w:hint="eastAsia" w:ascii="宋体" w:hAnsi="宋体"/>
                <w:color w:val="auto"/>
                <w:sz w:val="24"/>
                <w:highlight w:val="none"/>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053" w:type="dxa"/>
            <w:tcBorders>
              <w:left w:val="single" w:color="auto" w:sz="4" w:space="0"/>
            </w:tcBorders>
            <w:vAlign w:val="center"/>
          </w:tcPr>
          <w:p>
            <w:pPr>
              <w:adjustRightInd w:val="0"/>
              <w:snapToGrid w:val="0"/>
              <w:spacing w:line="500" w:lineRule="exact"/>
              <w:jc w:val="center"/>
              <w:rPr>
                <w:color w:val="auto"/>
                <w:sz w:val="24"/>
                <w:highlight w:val="none"/>
              </w:rPr>
            </w:pPr>
            <w:r>
              <w:rPr>
                <w:color w:val="auto"/>
                <w:sz w:val="24"/>
                <w:highlight w:val="none"/>
              </w:rPr>
              <w:t>3.2.4</w:t>
            </w:r>
          </w:p>
        </w:tc>
        <w:tc>
          <w:tcPr>
            <w:tcW w:w="2233" w:type="dxa"/>
            <w:gridSpan w:val="2"/>
            <w:vAlign w:val="center"/>
          </w:tcPr>
          <w:p>
            <w:pPr>
              <w:adjustRightInd w:val="0"/>
              <w:snapToGrid w:val="0"/>
              <w:spacing w:line="500" w:lineRule="exact"/>
              <w:jc w:val="center"/>
              <w:rPr>
                <w:color w:val="auto"/>
                <w:sz w:val="24"/>
                <w:highlight w:val="none"/>
              </w:rPr>
            </w:pPr>
            <w:r>
              <w:rPr>
                <w:color w:val="auto"/>
                <w:sz w:val="24"/>
                <w:highlight w:val="none"/>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color w:val="auto"/>
                <w:sz w:val="24"/>
                <w:highlight w:val="none"/>
              </w:rPr>
            </w:pPr>
            <w:r>
              <w:rPr>
                <w:rFonts w:hint="eastAsia" w:ascii="宋体" w:hAnsi="宋体"/>
                <w:color w:val="auto"/>
                <w:sz w:val="24"/>
                <w:highlight w:val="none"/>
              </w:rPr>
              <w:t>201</w:t>
            </w:r>
            <w:r>
              <w:rPr>
                <w:rFonts w:hint="eastAsia" w:ascii="宋体" w:hAnsi="宋体"/>
                <w:color w:val="auto"/>
                <w:sz w:val="24"/>
                <w:highlight w:val="none"/>
                <w:lang w:val="en-US" w:eastAsia="zh-CN"/>
              </w:rPr>
              <w:t>6</w:t>
            </w:r>
            <w:r>
              <w:rPr>
                <w:rFonts w:hint="eastAsia" w:ascii="宋体" w:hAnsi="宋体"/>
                <w:color w:val="auto"/>
                <w:sz w:val="24"/>
                <w:highlight w:val="none"/>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3.2.9</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调价函</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053"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3.3.1</w:t>
            </w:r>
          </w:p>
        </w:tc>
        <w:tc>
          <w:tcPr>
            <w:tcW w:w="2233"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5805" w:type="dxa"/>
            <w:gridSpan w:val="2"/>
            <w:tcBorders>
              <w:bottom w:val="single" w:color="auto" w:sz="4" w:space="0"/>
            </w:tcBorders>
            <w:vAlign w:val="center"/>
          </w:tcPr>
          <w:p>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投标截止时间起</w:t>
            </w:r>
            <w:r>
              <w:rPr>
                <w:rFonts w:hint="eastAsia" w:ascii="宋体" w:hAnsi="宋体"/>
                <w:color w:val="auto"/>
                <w:sz w:val="24"/>
                <w:highlight w:val="none"/>
                <w:lang w:val="en-US" w:eastAsia="zh-CN"/>
              </w:rPr>
              <w:t>60</w:t>
            </w:r>
            <w:r>
              <w:rPr>
                <w:rFonts w:hint="eastAsia" w:ascii="宋体" w:hAnsi="宋体"/>
                <w:color w:val="auto"/>
                <w:sz w:val="24"/>
                <w:highlight w:val="none"/>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05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233"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color w:val="auto"/>
                <w:sz w:val="24"/>
                <w:highlight w:val="none"/>
              </w:rPr>
            </w:pPr>
            <w:r>
              <w:rPr>
                <w:rFonts w:hint="eastAsia" w:ascii="宋体" w:hAnsi="宋体"/>
                <w:color w:val="auto"/>
                <w:sz w:val="24"/>
                <w:highlight w:val="none"/>
              </w:rPr>
              <w:t>是否允许递交备选投标方案</w:t>
            </w:r>
          </w:p>
        </w:tc>
        <w:tc>
          <w:tcPr>
            <w:tcW w:w="5805" w:type="dxa"/>
            <w:gridSpan w:val="2"/>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签字或盖章要求</w:t>
            </w:r>
          </w:p>
        </w:tc>
        <w:tc>
          <w:tcPr>
            <w:tcW w:w="5805" w:type="dxa"/>
            <w:gridSpan w:val="2"/>
            <w:vAlign w:val="center"/>
          </w:tcPr>
          <w:p>
            <w:pPr>
              <w:rPr>
                <w:rFonts w:hint="eastAsia" w:ascii="宋体" w:hAnsi="宋体"/>
                <w:color w:val="auto"/>
                <w:sz w:val="24"/>
                <w:highlight w:val="none"/>
              </w:rPr>
            </w:pPr>
            <w:r>
              <w:rPr>
                <w:rFonts w:hint="eastAsia" w:ascii="宋体" w:hAnsi="宋体"/>
                <w:color w:val="auto"/>
                <w:sz w:val="24"/>
                <w:highlight w:val="none"/>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3.7.4</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投标文件及电子版本的份数</w:t>
            </w:r>
          </w:p>
        </w:tc>
        <w:tc>
          <w:tcPr>
            <w:tcW w:w="5805" w:type="dxa"/>
            <w:gridSpan w:val="2"/>
            <w:vAlign w:val="center"/>
          </w:tcPr>
          <w:p>
            <w:pPr>
              <w:rPr>
                <w:rFonts w:ascii="宋体" w:hAnsi="宋体"/>
                <w:color w:val="auto"/>
                <w:sz w:val="24"/>
                <w:highlight w:val="none"/>
              </w:rPr>
            </w:pPr>
            <w:r>
              <w:rPr>
                <w:rFonts w:hint="eastAsia" w:ascii="宋体" w:hAnsi="宋体"/>
                <w:color w:val="auto"/>
                <w:sz w:val="24"/>
                <w:highlight w:val="none"/>
              </w:rPr>
              <w:t>正本1份，副本</w:t>
            </w:r>
            <w:r>
              <w:rPr>
                <w:rFonts w:hint="eastAsia" w:ascii="宋体" w:hAnsi="宋体"/>
                <w:color w:val="auto"/>
                <w:sz w:val="24"/>
                <w:highlight w:val="none"/>
                <w:lang w:val="en-US" w:eastAsia="zh-CN"/>
              </w:rPr>
              <w:t>6</w:t>
            </w:r>
            <w:r>
              <w:rPr>
                <w:rFonts w:hint="eastAsia" w:ascii="宋体" w:hAnsi="宋体"/>
                <w:color w:val="auto"/>
                <w:sz w:val="24"/>
                <w:highlight w:val="none"/>
              </w:rPr>
              <w:t>份，</w:t>
            </w:r>
            <w:r>
              <w:rPr>
                <w:rFonts w:hint="eastAsia" w:ascii="宋体" w:hAnsi="宋体"/>
                <w:color w:val="auto"/>
                <w:sz w:val="24"/>
                <w:szCs w:val="28"/>
                <w:highlight w:val="none"/>
              </w:rPr>
              <w:t>U盘电子版本</w:t>
            </w:r>
            <w:r>
              <w:rPr>
                <w:rFonts w:hint="eastAsia" w:ascii="宋体" w:hAnsi="宋体"/>
                <w:color w:val="auto"/>
                <w:sz w:val="24"/>
                <w:highlight w:val="none"/>
              </w:rPr>
              <w:t>1</w:t>
            </w:r>
            <w:r>
              <w:rPr>
                <w:rFonts w:hint="eastAsia" w:ascii="宋体" w:hAnsi="宋体"/>
                <w:color w:val="auto"/>
                <w:sz w:val="24"/>
                <w:szCs w:val="28"/>
                <w:highlight w:val="none"/>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3.7.5</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装订要求</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053" w:type="dxa"/>
            <w:tcBorders>
              <w:lef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封套上写明</w:t>
            </w:r>
          </w:p>
        </w:tc>
        <w:tc>
          <w:tcPr>
            <w:tcW w:w="5805"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投标文件第一个信封（商务及技术文件）内层封套：</w:t>
            </w:r>
          </w:p>
          <w:p>
            <w:pPr>
              <w:ind w:left="113" w:right="113"/>
              <w:rPr>
                <w:rFonts w:ascii="宋体" w:hAnsi="宋体"/>
                <w:color w:val="auto"/>
                <w:sz w:val="24"/>
                <w:highlight w:val="none"/>
                <w:u w:val="singl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标段施工招标第一个信封（商务及技术文件）投标文件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投标文件第二个信封（投标报价和工程量清单）内层封套：</w:t>
            </w:r>
          </w:p>
          <w:p>
            <w:pPr>
              <w:ind w:left="113" w:right="113"/>
              <w:rPr>
                <w:rFonts w:ascii="宋体" w:hAnsi="宋体"/>
                <w:color w:val="auto"/>
                <w:sz w:val="24"/>
                <w:highlight w:val="non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标段施工招标第二个信封（投标报价和工程量清单）投标文件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4.2.2</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递交投标文件</w:t>
            </w:r>
          </w:p>
          <w:p>
            <w:pPr>
              <w:spacing w:line="360" w:lineRule="auto"/>
              <w:jc w:val="center"/>
              <w:rPr>
                <w:rFonts w:ascii="宋体" w:hAnsi="宋体"/>
                <w:color w:val="auto"/>
                <w:sz w:val="24"/>
                <w:highlight w:val="none"/>
              </w:rPr>
            </w:pPr>
            <w:r>
              <w:rPr>
                <w:rFonts w:hint="eastAsia" w:ascii="宋体" w:hAnsi="宋体"/>
                <w:color w:val="auto"/>
                <w:sz w:val="24"/>
                <w:highlight w:val="none"/>
              </w:rPr>
              <w:t>地点</w:t>
            </w:r>
          </w:p>
        </w:tc>
        <w:tc>
          <w:tcPr>
            <w:tcW w:w="5805" w:type="dxa"/>
            <w:gridSpan w:val="2"/>
            <w:vAlign w:val="center"/>
          </w:tcPr>
          <w:p>
            <w:pPr>
              <w:spacing w:line="360" w:lineRule="auto"/>
              <w:rPr>
                <w:rFonts w:ascii="宋体" w:hAnsi="宋体"/>
                <w:b/>
                <w:color w:val="auto"/>
                <w:sz w:val="24"/>
                <w:highlight w:val="none"/>
                <w:lang w:val="en-US"/>
              </w:rPr>
            </w:pPr>
            <w:r>
              <w:rPr>
                <w:rFonts w:hint="eastAsia" w:ascii="宋体" w:hAnsi="宋体"/>
                <w:color w:val="auto"/>
                <w:sz w:val="24"/>
                <w:highlight w:val="none"/>
              </w:rPr>
              <w:t>许昌市建安区兴业大厦</w:t>
            </w:r>
            <w:r>
              <w:rPr>
                <w:rFonts w:hint="eastAsia" w:ascii="宋体" w:hAnsi="宋体"/>
                <w:color w:val="auto"/>
                <w:sz w:val="24"/>
                <w:highlight w:val="none"/>
                <w:lang w:val="en-US" w:eastAsia="zh-CN"/>
              </w:rPr>
              <w:t>四楼4165室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4.2.3</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是否退还投标文件</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开标时间和地点</w:t>
            </w:r>
          </w:p>
        </w:tc>
        <w:tc>
          <w:tcPr>
            <w:tcW w:w="5805" w:type="dxa"/>
            <w:gridSpan w:val="2"/>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开标时间：20</w:t>
            </w:r>
            <w:r>
              <w:rPr>
                <w:rFonts w:hint="eastAsia" w:ascii="宋体" w:hAnsi="宋体"/>
                <w:color w:val="auto"/>
                <w:sz w:val="24"/>
                <w:highlight w:val="none"/>
                <w:lang w:val="en-US" w:eastAsia="zh-CN"/>
              </w:rPr>
              <w:t>19</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4 月3</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10 </w:t>
            </w:r>
            <w:r>
              <w:rPr>
                <w:rFonts w:hint="eastAsia" w:ascii="宋体" w:hAnsi="宋体"/>
                <w:color w:val="auto"/>
                <w:sz w:val="24"/>
                <w:highlight w:val="none"/>
              </w:rPr>
              <w:t>时</w:t>
            </w:r>
            <w:r>
              <w:rPr>
                <w:rFonts w:hint="eastAsia" w:ascii="宋体" w:hAnsi="宋体"/>
                <w:color w:val="auto"/>
                <w:sz w:val="24"/>
                <w:highlight w:val="none"/>
                <w:lang w:val="en-US" w:eastAsia="zh-CN"/>
              </w:rPr>
              <w:t xml:space="preserve"> 30 </w:t>
            </w:r>
            <w:r>
              <w:rPr>
                <w:rFonts w:hint="eastAsia" w:ascii="宋体" w:hAnsi="宋体"/>
                <w:color w:val="auto"/>
                <w:sz w:val="24"/>
                <w:highlight w:val="none"/>
              </w:rPr>
              <w:t>分</w:t>
            </w:r>
          </w:p>
          <w:p>
            <w:pPr>
              <w:ind w:left="113" w:right="113"/>
              <w:rPr>
                <w:rFonts w:ascii="宋体" w:hAnsi="宋体"/>
                <w:color w:val="auto"/>
                <w:sz w:val="24"/>
                <w:highlight w:val="none"/>
                <w:lang w:val="en-US"/>
              </w:rPr>
            </w:pPr>
            <w:r>
              <w:rPr>
                <w:rFonts w:hint="eastAsia" w:ascii="宋体" w:hAnsi="宋体"/>
                <w:color w:val="auto"/>
                <w:sz w:val="24"/>
                <w:highlight w:val="none"/>
              </w:rPr>
              <w:t>开标地点：许昌市建安区兴业大厦</w:t>
            </w:r>
            <w:r>
              <w:rPr>
                <w:rFonts w:hint="eastAsia" w:ascii="宋体" w:hAnsi="宋体"/>
                <w:color w:val="auto"/>
                <w:sz w:val="24"/>
                <w:highlight w:val="none"/>
                <w:lang w:val="en-US" w:eastAsia="zh-CN"/>
              </w:rPr>
              <w:t>四楼4165室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5.2.1</w:t>
            </w:r>
          </w:p>
        </w:tc>
        <w:tc>
          <w:tcPr>
            <w:tcW w:w="2233"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开标程序</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密封情况检查：由投标人代表检查其投标文件是否密封完好。</w:t>
            </w:r>
          </w:p>
          <w:p>
            <w:pPr>
              <w:ind w:left="113" w:right="113"/>
              <w:rPr>
                <w:rFonts w:ascii="宋体" w:hAnsi="宋体"/>
                <w:b/>
                <w:color w:val="auto"/>
                <w:sz w:val="24"/>
                <w:highlight w:val="none"/>
              </w:rPr>
            </w:pPr>
            <w:r>
              <w:rPr>
                <w:rFonts w:hint="eastAsia" w:ascii="宋体" w:hAnsi="宋体"/>
                <w:color w:val="auto"/>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6.1.1</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评标委员会的组建</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评标委员会构成：</w:t>
            </w: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rPr>
              <w:t xml:space="preserve"> 人，其中招标人代表 </w:t>
            </w: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rPr>
              <w:t xml:space="preserve"> 人，专家 </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 xml:space="preserve"> 人；</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6.3</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评标办法</w:t>
            </w:r>
          </w:p>
        </w:tc>
        <w:tc>
          <w:tcPr>
            <w:tcW w:w="5805"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6.4</w:t>
            </w:r>
          </w:p>
        </w:tc>
        <w:tc>
          <w:tcPr>
            <w:tcW w:w="2233" w:type="dxa"/>
            <w:gridSpan w:val="2"/>
            <w:vAlign w:val="center"/>
          </w:tcPr>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p>
        </w:tc>
        <w:tc>
          <w:tcPr>
            <w:tcW w:w="5805" w:type="dxa"/>
            <w:gridSpan w:val="2"/>
            <w:vAlign w:val="center"/>
          </w:tcPr>
          <w:p>
            <w:pPr>
              <w:ind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招标控制价：</w:t>
            </w:r>
            <w:r>
              <w:rPr>
                <w:rFonts w:hint="eastAsia" w:ascii="宋体" w:hAnsi="宋体" w:cs="Times New Roman"/>
                <w:color w:val="auto"/>
                <w:sz w:val="24"/>
                <w:highlight w:val="none"/>
                <w:lang w:val="en-US" w:eastAsia="zh-CN"/>
              </w:rPr>
              <w:t>叁仟玖佰玖拾万玖仟陆佰陆拾捌圆零角零分。</w:t>
            </w:r>
            <w:r>
              <w:rPr>
                <w:rFonts w:hint="eastAsia" w:ascii="宋体" w:hAnsi="宋体" w:eastAsia="宋体" w:cs="Times New Roman"/>
                <w:color w:val="auto"/>
                <w:sz w:val="24"/>
                <w:highlight w:val="none"/>
              </w:rPr>
              <w:t>（小</w:t>
            </w:r>
            <w:r>
              <w:rPr>
                <w:rFonts w:hint="eastAsia" w:ascii="宋体" w:hAnsi="宋体" w:eastAsia="宋体" w:cs="Times New Roman"/>
                <w:color w:val="auto"/>
                <w:sz w:val="24"/>
                <w:highlight w:val="none"/>
                <w:lang w:eastAsia="zh-CN"/>
              </w:rPr>
              <w:t>写：</w:t>
            </w:r>
            <w:r>
              <w:rPr>
                <w:rFonts w:hint="eastAsia" w:hAnsi="宋体" w:cs="宋体"/>
                <w:sz w:val="24"/>
                <w:szCs w:val="24"/>
                <w:lang w:val="en-US" w:eastAsia="zh-CN"/>
              </w:rPr>
              <w:t>39909668.00</w:t>
            </w:r>
            <w:r>
              <w:rPr>
                <w:rFonts w:hint="eastAsia" w:hAnsi="宋体" w:cs="宋体"/>
                <w:sz w:val="24"/>
                <w:szCs w:val="24"/>
              </w:rPr>
              <w:t>元；</w:t>
            </w:r>
            <w:r>
              <w:rPr>
                <w:rFonts w:hint="eastAsia" w:ascii="宋体" w:hAnsi="宋体" w:eastAsia="宋体" w:cs="Times New Roman"/>
                <w:color w:val="auto"/>
                <w:sz w:val="24"/>
                <w:highlight w:val="none"/>
                <w:lang w:eastAsia="zh-CN"/>
              </w:rPr>
              <w:t>）</w:t>
            </w:r>
          </w:p>
          <w:p>
            <w:pPr>
              <w:ind w:left="113" w:right="113"/>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凡投标人的投标报价超出“招标控制价”（不含等于“招标控制价”）的，该投标人的投标文件应作废标处理。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6.5</w:t>
            </w:r>
          </w:p>
        </w:tc>
        <w:tc>
          <w:tcPr>
            <w:tcW w:w="2233" w:type="dxa"/>
            <w:gridSpan w:val="2"/>
            <w:vAlign w:val="center"/>
          </w:tcPr>
          <w:p>
            <w:pPr>
              <w:ind w:left="237"/>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投标文件的拒收 </w:t>
            </w:r>
          </w:p>
          <w:p>
            <w:pPr>
              <w:jc w:val="center"/>
              <w:rPr>
                <w:rFonts w:ascii="宋体" w:hAnsi="宋体"/>
                <w:color w:val="auto"/>
                <w:sz w:val="24"/>
                <w:highlight w:val="none"/>
              </w:rPr>
            </w:pPr>
          </w:p>
        </w:tc>
        <w:tc>
          <w:tcPr>
            <w:tcW w:w="5805" w:type="dxa"/>
            <w:gridSpan w:val="2"/>
            <w:vAlign w:val="center"/>
          </w:tcPr>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1、</w:t>
            </w:r>
            <w:r>
              <w:rPr>
                <w:rFonts w:hint="eastAsia" w:hAnsi="宋体"/>
                <w:color w:val="auto"/>
                <w:spacing w:val="2"/>
                <w:sz w:val="24"/>
                <w:highlight w:val="none"/>
              </w:rPr>
              <w:t>未按招标文件规定提交投标保证金的，</w:t>
            </w:r>
            <w:r>
              <w:rPr>
                <w:rFonts w:hint="eastAsia" w:ascii="宋体" w:hAnsi="宋体"/>
                <w:color w:val="auto"/>
                <w:spacing w:val="2"/>
                <w:sz w:val="24"/>
                <w:highlight w:val="none"/>
              </w:rPr>
              <w:t>投标文件将被拒收。</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2、法定代表人</w:t>
            </w:r>
            <w:r>
              <w:rPr>
                <w:rFonts w:hint="eastAsia" w:hAnsi="宋体"/>
                <w:color w:val="auto"/>
                <w:sz w:val="24"/>
                <w:highlight w:val="none"/>
              </w:rPr>
              <w:t>或</w:t>
            </w:r>
            <w:r>
              <w:rPr>
                <w:rFonts w:hint="eastAsia" w:ascii="宋体" w:hAnsi="宋体"/>
                <w:color w:val="auto"/>
                <w:sz w:val="24"/>
                <w:highlight w:val="none"/>
              </w:rPr>
              <w:t>其委托代理人</w:t>
            </w:r>
            <w:r>
              <w:rPr>
                <w:rFonts w:hint="eastAsia" w:hAnsi="宋体" w:cs="仿宋_GB2312"/>
                <w:color w:val="auto"/>
                <w:sz w:val="24"/>
                <w:highlight w:val="none"/>
              </w:rPr>
              <w:t>（持有效的授权委托书）在规定时间内未携带本人身份证到开标现场并签到的</w:t>
            </w:r>
            <w:r>
              <w:rPr>
                <w:rFonts w:hint="eastAsia" w:ascii="宋体" w:hAnsi="宋体"/>
                <w:color w:val="auto"/>
                <w:spacing w:val="2"/>
                <w:sz w:val="24"/>
                <w:highlight w:val="none"/>
              </w:rPr>
              <w:t xml:space="preserve">，投标文件将被拒收。    </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3、投标文件逾期送达或未按招标文件要求密封的，投标文件将被拒收。</w:t>
            </w:r>
          </w:p>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4、未按规定支付招标文件费用的。</w:t>
            </w:r>
          </w:p>
          <w:p>
            <w:pPr>
              <w:spacing w:line="340" w:lineRule="exact"/>
              <w:rPr>
                <w:rFonts w:hAnsi="宋体" w:cs="仿宋_GB2312"/>
                <w:b/>
                <w:color w:val="auto"/>
                <w:sz w:val="24"/>
                <w:highlight w:val="none"/>
              </w:rPr>
            </w:pPr>
            <w:r>
              <w:rPr>
                <w:rFonts w:hint="eastAsia" w:ascii="宋体" w:hAnsi="宋体"/>
                <w:color w:val="auto"/>
                <w:spacing w:val="2"/>
                <w:sz w:val="24"/>
                <w:highlight w:val="none"/>
              </w:rPr>
              <w:t xml:space="preserve">  5、未通过</w:t>
            </w:r>
            <w:r>
              <w:rPr>
                <w:rFonts w:hint="eastAsia" w:hAnsi="宋体" w:eastAsia="宋体" w:cs="仿宋_GB2312"/>
                <w:color w:val="000000"/>
                <w:sz w:val="24"/>
                <w:highlight w:val="none"/>
              </w:rPr>
              <w:t>《全国公共资源交易平台（河南省•许昌市）》</w:t>
            </w:r>
            <w:r>
              <w:rPr>
                <w:rFonts w:hint="eastAsia" w:ascii="宋体" w:hAnsi="宋体"/>
                <w:color w:val="auto"/>
                <w:spacing w:val="2"/>
                <w:sz w:val="24"/>
                <w:highlight w:val="none"/>
              </w:rPr>
              <w:t xml:space="preserve">下载招标文件的。    </w:t>
            </w:r>
            <w:r>
              <w:rPr>
                <w:rFonts w:hint="eastAsia" w:ascii="宋体" w:hAnsi="宋体" w:cs="仿宋_GB2312"/>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7.1</w:t>
            </w:r>
          </w:p>
        </w:tc>
        <w:tc>
          <w:tcPr>
            <w:tcW w:w="2233" w:type="dxa"/>
            <w:gridSpan w:val="2"/>
            <w:vAlign w:val="center"/>
          </w:tcPr>
          <w:p>
            <w:pPr>
              <w:spacing w:line="360" w:lineRule="auto"/>
              <w:ind w:left="-107" w:leftChars="-51" w:right="-107" w:rightChars="-51"/>
              <w:jc w:val="center"/>
              <w:rPr>
                <w:rFonts w:ascii="宋体" w:hAnsi="宋体"/>
                <w:color w:val="auto"/>
                <w:sz w:val="24"/>
                <w:highlight w:val="none"/>
              </w:rPr>
            </w:pPr>
            <w:r>
              <w:rPr>
                <w:rFonts w:hint="eastAsia" w:ascii="宋体" w:hAnsi="宋体"/>
                <w:color w:val="auto"/>
                <w:sz w:val="24"/>
                <w:highlight w:val="none"/>
              </w:rPr>
              <w:t>是否授权评标委员会确定中标人</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7.2</w:t>
            </w:r>
          </w:p>
        </w:tc>
        <w:tc>
          <w:tcPr>
            <w:tcW w:w="2233" w:type="dxa"/>
            <w:gridSpan w:val="2"/>
            <w:vAlign w:val="center"/>
          </w:tcPr>
          <w:p>
            <w:pPr>
              <w:widowControl w:val="0"/>
              <w:spacing w:line="360" w:lineRule="auto"/>
              <w:ind w:left="-107" w:leftChars="-51" w:right="-107" w:rightChars="-51"/>
              <w:jc w:val="center"/>
              <w:rPr>
                <w:rFonts w:hint="eastAsia" w:ascii="宋体" w:hAnsi="宋体"/>
                <w:color w:val="auto"/>
                <w:sz w:val="24"/>
                <w:highlight w:val="none"/>
              </w:rPr>
            </w:pPr>
            <w:r>
              <w:rPr>
                <w:rFonts w:hint="eastAsia" w:ascii="宋体" w:hAnsi="宋体"/>
                <w:kern w:val="2"/>
                <w:sz w:val="24"/>
                <w:szCs w:val="24"/>
              </w:rPr>
              <w:t>是否采用电子招标投标</w:t>
            </w:r>
          </w:p>
        </w:tc>
        <w:tc>
          <w:tcPr>
            <w:tcW w:w="5805" w:type="dxa"/>
            <w:gridSpan w:val="2"/>
            <w:vAlign w:val="center"/>
          </w:tcPr>
          <w:p>
            <w:pPr>
              <w:widowControl w:val="0"/>
              <w:spacing w:line="360" w:lineRule="auto"/>
              <w:ind w:firstLine="240" w:firstLineChars="100"/>
              <w:jc w:val="both"/>
              <w:rPr>
                <w:rFonts w:hint="eastAsia" w:ascii="宋体" w:hAnsi="宋体"/>
                <w:color w:val="auto"/>
                <w:sz w:val="24"/>
                <w:highlight w:val="none"/>
              </w:rPr>
            </w:pPr>
            <w:r>
              <w:rPr>
                <w:rFonts w:hint="eastAsia" w:ascii="宋体" w:hAnsi="宋体"/>
                <w:kern w:val="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053"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7.3.1</w:t>
            </w:r>
          </w:p>
        </w:tc>
        <w:tc>
          <w:tcPr>
            <w:tcW w:w="223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履约担保</w:t>
            </w:r>
          </w:p>
        </w:tc>
        <w:tc>
          <w:tcPr>
            <w:tcW w:w="5805" w:type="dxa"/>
            <w:gridSpan w:val="2"/>
            <w:vAlign w:val="center"/>
          </w:tcPr>
          <w:p>
            <w:pPr>
              <w:widowControl/>
              <w:spacing w:line="240" w:lineRule="atLeast"/>
              <w:rPr>
                <w:rFonts w:ascii="宋体" w:cs="宋体"/>
                <w:b/>
                <w:bCs/>
                <w:color w:val="auto"/>
                <w:kern w:val="0"/>
                <w:sz w:val="24"/>
                <w:highlight w:val="none"/>
              </w:rPr>
            </w:pPr>
            <w:r>
              <w:rPr>
                <w:rFonts w:hint="eastAsia" w:ascii="宋体" w:hAnsi="宋体"/>
                <w:sz w:val="24"/>
                <w:szCs w:val="24"/>
                <w:lang w:val="en-US" w:eastAsia="zh-CN"/>
              </w:rPr>
              <w:t>不超过</w:t>
            </w:r>
            <w:r>
              <w:rPr>
                <w:rFonts w:hint="eastAsia" w:ascii="宋体" w:hAnsi="宋体"/>
                <w:sz w:val="24"/>
                <w:szCs w:val="24"/>
              </w:rPr>
              <w:t>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color w:val="auto"/>
                <w:sz w:val="24"/>
                <w:highlight w:val="none"/>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7802" w:type="dxa"/>
            <w:gridSpan w:val="2"/>
            <w:tcBorders>
              <w:bottom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3</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在中标通知书发出前，招标人将中标候选人的情况在《全国公共资源交易平台（河南省·许昌市）》、《河南招标采购综合网》和《中国采购与招标网》上予以公示，公示期不少于3日。根据《关于在招标投标活动中全面开展行贿犯罪档案查询的通知》（高检会〔2015〕3号）要求，中标企业领取中标通知书时需提供注册地或项目所在地检察机关出具的行贿犯罪档案查询结果告知函（告知函需在有效期内，查询对象包含单位、法定代表人、项目经理、授权委托人）；若中标候选人第一名存在行贿犯罪记录，按照招标委员会提供的评标报告，按序推荐中标候选人，若均存在行贿犯罪记录，则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4</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投标人在投标截止时间前应随时关注《全国公共资源交易平台（河南省·许昌市）》发出的有关本工程的答疑、修改等相关内容。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5</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6</w:t>
            </w:r>
          </w:p>
        </w:tc>
        <w:tc>
          <w:tcPr>
            <w:tcW w:w="7802" w:type="dxa"/>
            <w:gridSpan w:val="2"/>
            <w:tcBorders>
              <w:right w:val="single" w:color="auto" w:sz="4" w:space="0"/>
            </w:tcBorders>
            <w:vAlign w:val="center"/>
          </w:tcPr>
          <w:p>
            <w:pPr>
              <w:ind w:left="113" w:right="113"/>
              <w:rPr>
                <w:rFonts w:hint="eastAsia" w:ascii="宋体" w:hAnsi="宋体"/>
                <w:b/>
                <w:color w:val="auto"/>
                <w:sz w:val="24"/>
                <w:highlight w:val="none"/>
              </w:rPr>
            </w:pPr>
            <w:r>
              <w:rPr>
                <w:rFonts w:hint="eastAsia" w:ascii="宋体" w:hAnsi="宋体"/>
                <w:b/>
                <w:color w:val="auto"/>
                <w:sz w:val="24"/>
                <w:highlight w:val="none"/>
              </w:rPr>
              <w:t>类似工程是指指201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年1月1日以来承建过的</w:t>
            </w:r>
            <w:r>
              <w:rPr>
                <w:rFonts w:hint="eastAsia" w:ascii="宋体" w:hAnsi="宋体"/>
                <w:b/>
                <w:color w:val="auto"/>
                <w:sz w:val="24"/>
                <w:highlight w:val="none"/>
                <w:lang w:eastAsia="zh-CN"/>
              </w:rPr>
              <w:t>公路</w:t>
            </w:r>
            <w:r>
              <w:rPr>
                <w:rFonts w:hint="eastAsia" w:ascii="宋体" w:hAnsi="宋体"/>
                <w:b/>
                <w:color w:val="auto"/>
                <w:sz w:val="24"/>
                <w:highlight w:val="none"/>
              </w:rPr>
              <w:t>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7</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潜在投标人如对招标文件有异议，请在规定时间内在</w:t>
            </w:r>
            <w:r>
              <w:rPr>
                <w:rFonts w:hint="eastAsia" w:ascii="宋体" w:hAnsi="宋体"/>
                <w:b/>
                <w:color w:val="auto"/>
                <w:sz w:val="24"/>
                <w:highlight w:val="none"/>
              </w:rPr>
              <w:t>《全国公共资源交易平台（河南省·许昌市）》</w:t>
            </w:r>
            <w:r>
              <w:rPr>
                <w:rFonts w:hint="eastAsia" w:ascii="宋体" w:hAnsi="宋体"/>
                <w:b/>
                <w:bCs/>
                <w:color w:val="auto"/>
                <w:sz w:val="24"/>
                <w:highlight w:val="none"/>
              </w:rPr>
              <w:t>上提出，以其他方式递交的异议不予接受。</w:t>
            </w:r>
          </w:p>
        </w:tc>
      </w:tr>
    </w:tbl>
    <w:p>
      <w:pPr>
        <w:pStyle w:val="4"/>
        <w:spacing w:before="240" w:after="240" w:line="240" w:lineRule="auto"/>
        <w:jc w:val="both"/>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485889001"/>
      <w:bookmarkStart w:id="7" w:name="_Toc31404"/>
      <w:bookmarkStart w:id="8" w:name="_Toc486277862"/>
      <w:r>
        <w:rPr>
          <w:rFonts w:hint="eastAsia" w:ascii="黑体" w:eastAsia="黑体"/>
          <w:color w:val="auto"/>
          <w:sz w:val="30"/>
          <w:szCs w:val="30"/>
          <w:highlight w:val="none"/>
        </w:rPr>
        <w:t>附录1   资格审查条件(资质最低条件)</w:t>
      </w:r>
      <w:bookmarkEnd w:id="5"/>
      <w:bookmarkEnd w:id="6"/>
      <w:bookmarkEnd w:id="7"/>
      <w:bookmarkEnd w:id="8"/>
    </w:p>
    <w:tbl>
      <w:tblPr>
        <w:tblStyle w:val="17"/>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2、资质要求：</w:t>
            </w:r>
            <w:r>
              <w:rPr>
                <w:rFonts w:hint="eastAsia" w:ascii="宋体" w:hAnsi="宋体" w:cs="宋体"/>
                <w:color w:val="auto"/>
                <w:kern w:val="0"/>
                <w:sz w:val="24"/>
                <w:highlight w:val="none"/>
                <w:lang w:val="zh-CN"/>
              </w:rPr>
              <w:t>公路工程施工总承包叁级及以上资</w:t>
            </w:r>
            <w:r>
              <w:rPr>
                <w:rFonts w:hint="eastAsia" w:ascii="宋体" w:hAnsi="宋体" w:cs="宋体"/>
                <w:color w:val="auto"/>
                <w:kern w:val="0"/>
                <w:sz w:val="24"/>
                <w:highlight w:val="none"/>
              </w:rPr>
              <w:t>质，并具备有效的企业安全生产许可证，在人员、设备、资金等方面具有相应能力的施工企业。</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Style w:val="17"/>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投标申请人应提交最近三年内（</w:t>
            </w:r>
            <w:r>
              <w:rPr>
                <w:rFonts w:hint="eastAsia" w:ascii="宋体" w:hAnsi="宋体" w:cs="仿宋_GB2312"/>
                <w:color w:val="auto"/>
                <w:sz w:val="24"/>
                <w:highlight w:val="none"/>
              </w:rPr>
              <w:t>201</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年1月1日至201</w:t>
            </w:r>
            <w:r>
              <w:rPr>
                <w:rFonts w:hint="eastAsia" w:ascii="宋体" w:hAnsi="宋体" w:cs="仿宋_GB2312"/>
                <w:color w:val="auto"/>
                <w:sz w:val="24"/>
                <w:highlight w:val="none"/>
                <w:lang w:val="en-US" w:eastAsia="zh-CN"/>
              </w:rPr>
              <w:t>7</w:t>
            </w:r>
            <w:r>
              <w:rPr>
                <w:rFonts w:hint="eastAsia" w:ascii="宋体" w:hAnsi="宋体" w:cs="仿宋_GB2312"/>
                <w:color w:val="auto"/>
                <w:sz w:val="24"/>
                <w:highlight w:val="none"/>
              </w:rPr>
              <w:t>年12月31日</w:t>
            </w:r>
            <w:r>
              <w:rPr>
                <w:rFonts w:hint="eastAsia" w:ascii="宋体" w:hAnsi="宋体"/>
                <w:color w:val="auto"/>
                <w:sz w:val="24"/>
                <w:highlight w:val="none"/>
              </w:rPr>
              <w:t>）(</w:t>
            </w:r>
            <w:r>
              <w:rPr>
                <w:rFonts w:hint="eastAsia" w:hAnsi="宋体"/>
                <w:bCs/>
                <w:color w:val="auto"/>
                <w:sz w:val="24"/>
                <w:highlight w:val="none"/>
              </w:rPr>
              <w:t>若公司成立未满三年，须提供成立当年至今的财务报告</w:t>
            </w:r>
            <w:r>
              <w:rPr>
                <w:rFonts w:hint="eastAsia" w:ascii="宋体" w:hAnsi="宋体"/>
                <w:color w:val="auto"/>
                <w:sz w:val="24"/>
                <w:highlight w:val="none"/>
              </w:rPr>
              <w:t>)经审计的资产负债表、</w:t>
            </w:r>
            <w:r>
              <w:rPr>
                <w:rFonts w:hint="eastAsia" w:ascii="宋体" w:hAnsi="宋体"/>
                <w:color w:val="auto"/>
                <w:sz w:val="24"/>
                <w:highlight w:val="none"/>
                <w:lang w:val="en-US" w:eastAsia="zh-CN"/>
              </w:rPr>
              <w:t>利润表</w:t>
            </w:r>
            <w:r>
              <w:rPr>
                <w:rFonts w:hint="eastAsia" w:ascii="宋体" w:hAnsi="宋体"/>
                <w:color w:val="auto"/>
                <w:sz w:val="24"/>
                <w:highlight w:val="none"/>
              </w:rPr>
              <w:t>、现金流量表，证明资格预审申请人的财务状况良好，财务无亏损，没有被接管、冻结、破产状态；必要时，业主将向投标申请人的开户银行进行查询；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Style w:val="17"/>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ind w:firstLine="2891" w:firstLineChars="1200"/>
              <w:jc w:val="both"/>
              <w:rPr>
                <w:rFonts w:ascii="宋体" w:hAnsi="宋体"/>
                <w:color w:val="auto"/>
                <w:sz w:val="24"/>
                <w:highlight w:val="none"/>
              </w:rPr>
            </w:pPr>
            <w:r>
              <w:rPr>
                <w:rFonts w:hint="eastAsia" w:ascii="宋体" w:hAnsi="宋体"/>
                <w:b/>
                <w:color w:val="auto"/>
                <w:sz w:val="24"/>
                <w:highlight w:val="none"/>
              </w:rPr>
              <w:t>201</w:t>
            </w:r>
            <w:r>
              <w:rPr>
                <w:rFonts w:hint="eastAsia" w:ascii="宋体" w:hAnsi="宋体"/>
                <w:b/>
                <w:color w:val="auto"/>
                <w:sz w:val="24"/>
                <w:highlight w:val="none"/>
                <w:lang w:val="en-US" w:eastAsia="zh-CN"/>
              </w:rPr>
              <w:t>6</w:t>
            </w:r>
            <w:r>
              <w:rPr>
                <w:rFonts w:hint="eastAsia" w:ascii="宋体" w:hAnsi="宋体"/>
                <w:b/>
                <w:color w:val="auto"/>
                <w:sz w:val="24"/>
                <w:highlight w:val="none"/>
              </w:rPr>
              <w:t>年1月1日以来承建过</w:t>
            </w:r>
            <w:r>
              <w:rPr>
                <w:rFonts w:hint="eastAsia" w:ascii="宋体" w:hAnsi="宋体"/>
                <w:b/>
                <w:color w:val="auto"/>
                <w:sz w:val="24"/>
                <w:highlight w:val="none"/>
                <w:lang w:eastAsia="zh-CN"/>
              </w:rPr>
              <w:t>公路</w:t>
            </w:r>
            <w:r>
              <w:rPr>
                <w:rFonts w:hint="eastAsia" w:ascii="宋体" w:hAnsi="宋体"/>
                <w:b/>
                <w:color w:val="auto"/>
                <w:sz w:val="24"/>
                <w:highlight w:val="none"/>
              </w:rPr>
              <w:t>工程。</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Style w:val="17"/>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不接受</w:t>
            </w:r>
            <w:r>
              <w:rPr>
                <w:rFonts w:hint="eastAsia" w:ascii="宋体" w:hAnsi="宋体" w:eastAsia="宋体" w:cs="Times New Roman"/>
                <w:color w:val="auto"/>
                <w:sz w:val="24"/>
                <w:highlight w:val="none"/>
              </w:rPr>
              <w:t>被</w:t>
            </w:r>
            <w:r>
              <w:rPr>
                <w:rFonts w:hint="eastAsia" w:ascii="宋体" w:hAnsi="宋体" w:eastAsia="宋体" w:cs="Times New Roman"/>
                <w:color w:val="auto"/>
                <w:sz w:val="24"/>
                <w:highlight w:val="none"/>
                <w:lang w:eastAsia="zh-CN"/>
              </w:rPr>
              <w:t>列入</w:t>
            </w:r>
            <w:r>
              <w:rPr>
                <w:rFonts w:hint="eastAsia" w:ascii="宋体" w:hAnsi="宋体" w:eastAsia="宋体" w:cs="Times New Roman"/>
                <w:color w:val="auto"/>
                <w:sz w:val="24"/>
                <w:highlight w:val="none"/>
              </w:rPr>
              <w:t>国家发改委等部门联合惩戒备忘录（黑名单）</w:t>
            </w:r>
            <w:r>
              <w:rPr>
                <w:rFonts w:hint="eastAsia" w:ascii="宋体" w:hAnsi="宋体" w:eastAsia="宋体" w:cs="Times New Roman"/>
                <w:color w:val="auto"/>
                <w:sz w:val="24"/>
                <w:highlight w:val="none"/>
                <w:lang w:eastAsia="zh-CN"/>
              </w:rPr>
              <w:t>及</w:t>
            </w:r>
            <w:r>
              <w:rPr>
                <w:rFonts w:hint="default" w:ascii="宋体" w:hAnsi="宋体" w:eastAsia="宋体" w:cs="Times New Roman"/>
                <w:color w:val="auto"/>
                <w:sz w:val="24"/>
                <w:highlight w:val="none"/>
              </w:rPr>
              <w:t>“信用中国”</w:t>
            </w:r>
            <w:r>
              <w:rPr>
                <w:rFonts w:hint="eastAsia" w:ascii="宋体" w:hAnsi="宋体" w:eastAsia="宋体" w:cs="Times New Roman"/>
                <w:color w:val="auto"/>
                <w:sz w:val="24"/>
                <w:highlight w:val="none"/>
                <w:lang w:val="en-US" w:eastAsia="zh-CN"/>
              </w:rPr>
              <w:t>（www.creditchina.gov.cn）</w:t>
            </w:r>
            <w:r>
              <w:rPr>
                <w:rFonts w:hint="default" w:ascii="宋体" w:hAnsi="宋体" w:eastAsia="宋体" w:cs="Times New Roman"/>
                <w:color w:val="auto"/>
                <w:sz w:val="24"/>
                <w:highlight w:val="none"/>
              </w:rPr>
              <w:t>和“信用河南”</w:t>
            </w:r>
            <w:r>
              <w:rPr>
                <w:rFonts w:hint="eastAsia" w:ascii="宋体" w:hAnsi="宋体" w:eastAsia="宋体" w:cs="Times New Roman"/>
                <w:color w:val="auto"/>
                <w:sz w:val="24"/>
                <w:highlight w:val="none"/>
                <w:lang w:eastAsia="zh-CN"/>
              </w:rPr>
              <w:t>（http://www.xyhn.gov.cn）</w:t>
            </w:r>
            <w:r>
              <w:rPr>
                <w:rFonts w:hint="default" w:ascii="宋体" w:hAnsi="宋体" w:eastAsia="宋体" w:cs="Times New Roman"/>
                <w:color w:val="auto"/>
                <w:sz w:val="24"/>
                <w:highlight w:val="none"/>
              </w:rPr>
              <w:t>网站信用信息栏黑名单</w:t>
            </w:r>
            <w:r>
              <w:rPr>
                <w:rFonts w:hint="eastAsia" w:ascii="宋体" w:hAnsi="宋体" w:eastAsia="宋体" w:cs="Times New Roman"/>
                <w:color w:val="auto"/>
                <w:sz w:val="24"/>
                <w:highlight w:val="none"/>
                <w:lang w:eastAsia="zh-CN"/>
              </w:rPr>
              <w:t>、</w:t>
            </w:r>
            <w:r>
              <w:rPr>
                <w:rFonts w:hint="default" w:ascii="宋体" w:hAnsi="宋体" w:eastAsia="宋体" w:cs="Times New Roman"/>
                <w:color w:val="auto"/>
                <w:sz w:val="24"/>
                <w:highlight w:val="none"/>
              </w:rPr>
              <w:t>“国家企业信用信息公示系统”</w:t>
            </w:r>
            <w:r>
              <w:rPr>
                <w:rFonts w:hint="eastAsia" w:ascii="宋体" w:hAnsi="宋体" w:eastAsia="宋体" w:cs="Times New Roman"/>
                <w:color w:val="auto"/>
                <w:sz w:val="24"/>
                <w:highlight w:val="none"/>
                <w:lang w:val="en-US" w:eastAsia="zh-CN"/>
              </w:rPr>
              <w:t>（www.gsxt.gov.cn）</w:t>
            </w:r>
            <w:r>
              <w:rPr>
                <w:rFonts w:hint="default" w:ascii="宋体" w:hAnsi="宋体" w:eastAsia="宋体" w:cs="Times New Roman"/>
                <w:color w:val="auto"/>
                <w:sz w:val="24"/>
                <w:highlight w:val="none"/>
              </w:rPr>
              <w:t>经营异常名录或严重失信黑名单</w:t>
            </w:r>
            <w:r>
              <w:rPr>
                <w:rFonts w:hint="eastAsia" w:ascii="宋体" w:hAnsi="宋体" w:eastAsia="宋体" w:cs="Times New Roman"/>
                <w:color w:val="auto"/>
                <w:sz w:val="24"/>
                <w:highlight w:val="none"/>
                <w:lang w:eastAsia="zh-CN"/>
              </w:rPr>
              <w:t>的投标单位</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根据《河南省公路建设市场从业单位及人员信用管理办法》第二十一条“对信用考核定级为D级即黑名单的从业单位，”不得参与本项目投标。</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Style w:val="17"/>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20"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vAlign w:val="top"/>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Style w:val="17"/>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rPr>
          <w:rFonts w:ascii="宋体" w:hAnsi="宋体"/>
          <w:color w:val="auto"/>
          <w:sz w:val="24"/>
          <w:highlight w:val="none"/>
        </w:rPr>
      </w:pPr>
    </w:p>
    <w:p>
      <w:pPr>
        <w:pStyle w:val="4"/>
        <w:spacing w:beforeLines="150" w:after="480" w:line="400" w:lineRule="exact"/>
        <w:rPr>
          <w:rFonts w:ascii="宋体" w:hAnsi="宋体"/>
          <w:color w:val="auto"/>
          <w:sz w:val="24"/>
          <w:szCs w:val="24"/>
          <w:highlight w:val="none"/>
        </w:rPr>
      </w:pPr>
      <w:bookmarkStart w:id="9" w:name="_Toc485889002"/>
      <w:bookmarkStart w:id="10" w:name="_Toc2209"/>
      <w:bookmarkStart w:id="11" w:name="_Toc486277863"/>
      <w:r>
        <w:rPr>
          <w:rFonts w:ascii="宋体" w:hAnsi="宋体"/>
          <w:color w:val="auto"/>
          <w:sz w:val="24"/>
          <w:szCs w:val="24"/>
          <w:highlight w:val="none"/>
        </w:rPr>
        <w:t>1. 总则</w:t>
      </w:r>
      <w:bookmarkEnd w:id="9"/>
      <w:bookmarkEnd w:id="10"/>
      <w:bookmarkEnd w:id="11"/>
    </w:p>
    <w:p>
      <w:pPr>
        <w:pStyle w:val="4"/>
        <w:spacing w:before="0" w:after="0" w:line="400" w:lineRule="exact"/>
        <w:rPr>
          <w:rFonts w:ascii="宋体" w:hAnsi="宋体"/>
          <w:color w:val="auto"/>
          <w:sz w:val="24"/>
          <w:szCs w:val="24"/>
          <w:highlight w:val="none"/>
        </w:rPr>
      </w:pPr>
      <w:bookmarkStart w:id="12" w:name="_Toc486277864"/>
      <w:bookmarkStart w:id="13" w:name="_Toc485889003"/>
      <w:bookmarkStart w:id="14" w:name="_Toc29730"/>
      <w:bookmarkStart w:id="15" w:name="_Toc234382590"/>
      <w:r>
        <w:rPr>
          <w:rFonts w:ascii="宋体" w:hAnsi="宋体"/>
          <w:color w:val="auto"/>
          <w:sz w:val="24"/>
          <w:szCs w:val="24"/>
          <w:highlight w:val="none"/>
        </w:rPr>
        <w:t>1.1 项目概况</w:t>
      </w:r>
      <w:bookmarkEnd w:id="12"/>
      <w:bookmarkEnd w:id="13"/>
      <w:bookmarkEnd w:id="14"/>
      <w:bookmarkEnd w:id="15"/>
    </w:p>
    <w:p>
      <w:pPr>
        <w:spacing w:line="400" w:lineRule="exact"/>
        <w:ind w:firstLine="480"/>
        <w:rPr>
          <w:rFonts w:ascii="宋体" w:hAnsi="宋体"/>
          <w:color w:val="auto"/>
          <w:sz w:val="24"/>
          <w:highlight w:val="none"/>
        </w:rPr>
      </w:pPr>
      <w:bookmarkStart w:id="16"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4"/>
        <w:spacing w:beforeLines="150" w:after="480" w:line="400" w:lineRule="exact"/>
        <w:rPr>
          <w:rFonts w:ascii="宋体" w:hAnsi="宋体"/>
          <w:color w:val="auto"/>
          <w:sz w:val="24"/>
          <w:szCs w:val="24"/>
          <w:highlight w:val="none"/>
        </w:rPr>
      </w:pPr>
      <w:bookmarkStart w:id="17" w:name="_Toc486277865"/>
      <w:bookmarkStart w:id="18" w:name="_Toc14323"/>
      <w:bookmarkStart w:id="19" w:name="_Toc485889004"/>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6"/>
      <w:bookmarkEnd w:id="17"/>
      <w:bookmarkEnd w:id="18"/>
      <w:bookmarkEnd w:id="19"/>
    </w:p>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4"/>
        <w:spacing w:beforeLines="50" w:after="0" w:line="400" w:lineRule="exact"/>
        <w:rPr>
          <w:rFonts w:ascii="宋体" w:hAnsi="宋体"/>
          <w:color w:val="auto"/>
          <w:sz w:val="24"/>
          <w:szCs w:val="24"/>
          <w:highlight w:val="none"/>
        </w:rPr>
      </w:pPr>
      <w:bookmarkStart w:id="20" w:name="_Toc486277866"/>
      <w:bookmarkStart w:id="21" w:name="_Toc485889005"/>
      <w:bookmarkStart w:id="22" w:name="_Toc17973"/>
      <w:bookmarkStart w:id="23" w:name="_Toc234382592"/>
      <w:r>
        <w:rPr>
          <w:rFonts w:ascii="宋体" w:hAnsi="宋体"/>
          <w:color w:val="auto"/>
          <w:sz w:val="24"/>
          <w:szCs w:val="24"/>
          <w:highlight w:val="none"/>
        </w:rPr>
        <w:t>1.3 招标范围、计划工期和质量要求</w:t>
      </w:r>
      <w:bookmarkEnd w:id="20"/>
      <w:bookmarkEnd w:id="21"/>
      <w:bookmarkEnd w:id="22"/>
      <w:bookmarkEnd w:id="23"/>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4"/>
        <w:spacing w:beforeLines="50" w:after="0" w:line="400" w:lineRule="exact"/>
        <w:rPr>
          <w:rFonts w:ascii="宋体" w:hAnsi="宋体"/>
          <w:color w:val="auto"/>
          <w:sz w:val="24"/>
          <w:szCs w:val="24"/>
          <w:highlight w:val="none"/>
        </w:rPr>
      </w:pPr>
      <w:bookmarkStart w:id="24" w:name="_Toc486277867"/>
      <w:bookmarkStart w:id="25" w:name="_Toc234382594"/>
      <w:bookmarkStart w:id="26" w:name="_Toc485889006"/>
      <w:bookmarkStart w:id="27" w:name="_Toc2109"/>
      <w:r>
        <w:rPr>
          <w:rFonts w:ascii="宋体" w:hAnsi="宋体"/>
          <w:color w:val="auto"/>
          <w:sz w:val="24"/>
          <w:szCs w:val="24"/>
          <w:highlight w:val="none"/>
        </w:rPr>
        <w:t>1.4 投标人资格要求（适用于未进行资格预审的）</w:t>
      </w:r>
      <w:bookmarkEnd w:id="24"/>
      <w:bookmarkEnd w:id="25"/>
      <w:bookmarkEnd w:id="26"/>
      <w:bookmarkEnd w:id="27"/>
    </w:p>
    <w:p>
      <w:pPr>
        <w:spacing w:line="400" w:lineRule="exact"/>
        <w:ind w:firstLine="480" w:firstLineChars="200"/>
        <w:rPr>
          <w:rFonts w:ascii="宋体" w:hAnsi="宋体"/>
          <w:color w:val="auto"/>
          <w:sz w:val="24"/>
          <w:highlight w:val="none"/>
        </w:rPr>
      </w:pPr>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投标人不得存在下列情形之一：</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（2）为本标段前期准备提供设计或咨询服务的，但设计施工总承包的除外；</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（5）为本标段提供招标代理服务的；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（6）与本标段的监理人或代建人或招标代理机构同为一个法定代表人的；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（7）与本标段的监理人或代建人或招标代理机构相互控股或参股的；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（8）与本标段的监理人或代建人或招标代理机构相互任职或工作的；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（9）被责令停业的；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（10）被暂停或取消投标资格的；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（11）财产被接管或冻结的；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（12）在最近三年内有骗取中标或严重违约或重大工程质量问题的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（13）涉及正在诉讼的案件，或涉及正在诉讼的案件但经审查委员会认定不会对承担本项目造成重大影响；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（14）被省级及以上交通主管部门取消项目所在地的投标资格或禁止进入该区域公路建设市场且处于有效期内；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（15）为投资参股本项目的法人单位。</w:t>
      </w:r>
    </w:p>
    <w:p>
      <w:pPr>
        <w:pStyle w:val="4"/>
        <w:spacing w:beforeLines="50" w:after="0" w:line="400" w:lineRule="exact"/>
        <w:rPr>
          <w:rFonts w:ascii="宋体" w:hAnsi="宋体"/>
          <w:color w:val="auto"/>
          <w:sz w:val="24"/>
          <w:szCs w:val="24"/>
          <w:highlight w:val="none"/>
        </w:rPr>
      </w:pPr>
      <w:bookmarkStart w:id="28" w:name="_Toc485889007"/>
      <w:bookmarkStart w:id="29" w:name="_Toc486277868"/>
      <w:bookmarkStart w:id="30" w:name="_Toc19946"/>
      <w:bookmarkStart w:id="31" w:name="_Toc234382595"/>
      <w:r>
        <w:rPr>
          <w:rFonts w:ascii="宋体" w:hAnsi="宋体"/>
          <w:color w:val="auto"/>
          <w:sz w:val="24"/>
          <w:szCs w:val="24"/>
          <w:highlight w:val="none"/>
        </w:rPr>
        <w:t>1.5 费用承担</w:t>
      </w:r>
      <w:bookmarkEnd w:id="28"/>
      <w:bookmarkEnd w:id="29"/>
      <w:bookmarkEnd w:id="30"/>
      <w:bookmarkEnd w:id="31"/>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4"/>
        <w:spacing w:beforeLines="50" w:after="0" w:line="400" w:lineRule="exact"/>
        <w:rPr>
          <w:rFonts w:ascii="宋体" w:hAnsi="宋体"/>
          <w:color w:val="auto"/>
          <w:sz w:val="24"/>
          <w:szCs w:val="24"/>
          <w:highlight w:val="none"/>
        </w:rPr>
      </w:pPr>
      <w:bookmarkStart w:id="32" w:name="_Toc485889008"/>
      <w:bookmarkStart w:id="33" w:name="_Toc486277869"/>
      <w:bookmarkStart w:id="34" w:name="_Toc234382596"/>
      <w:bookmarkStart w:id="35" w:name="_Toc8968"/>
      <w:r>
        <w:rPr>
          <w:rFonts w:ascii="宋体" w:hAnsi="宋体"/>
          <w:color w:val="auto"/>
          <w:sz w:val="24"/>
          <w:szCs w:val="24"/>
          <w:highlight w:val="none"/>
        </w:rPr>
        <w:t>1.6 保密</w:t>
      </w:r>
      <w:bookmarkEnd w:id="32"/>
      <w:bookmarkEnd w:id="33"/>
      <w:bookmarkEnd w:id="34"/>
      <w:bookmarkEnd w:id="35"/>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color w:val="auto"/>
          <w:sz w:val="24"/>
          <w:szCs w:val="24"/>
          <w:highlight w:val="none"/>
        </w:rPr>
      </w:pPr>
      <w:bookmarkStart w:id="36" w:name="_Toc486277870"/>
      <w:bookmarkStart w:id="37" w:name="_Toc234382597"/>
      <w:bookmarkStart w:id="38" w:name="_Toc5358"/>
      <w:bookmarkStart w:id="39" w:name="_Toc485889009"/>
      <w:r>
        <w:rPr>
          <w:rFonts w:ascii="宋体" w:hAnsi="宋体"/>
          <w:color w:val="auto"/>
          <w:sz w:val="24"/>
          <w:szCs w:val="24"/>
          <w:highlight w:val="none"/>
        </w:rPr>
        <w:t>1.7 语言文字</w:t>
      </w:r>
      <w:bookmarkEnd w:id="36"/>
      <w:bookmarkEnd w:id="37"/>
      <w:bookmarkEnd w:id="38"/>
      <w:bookmarkEnd w:id="39"/>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4"/>
        <w:spacing w:beforeLines="50" w:after="0" w:line="400" w:lineRule="exact"/>
        <w:rPr>
          <w:rFonts w:ascii="宋体" w:hAnsi="宋体"/>
          <w:color w:val="auto"/>
          <w:sz w:val="24"/>
          <w:szCs w:val="24"/>
          <w:highlight w:val="none"/>
        </w:rPr>
      </w:pPr>
      <w:bookmarkStart w:id="40" w:name="_Toc234382598"/>
      <w:bookmarkStart w:id="41" w:name="_Toc105"/>
      <w:bookmarkStart w:id="42" w:name="_Toc485889010"/>
      <w:bookmarkStart w:id="43" w:name="_Toc486277871"/>
      <w:r>
        <w:rPr>
          <w:rFonts w:ascii="宋体" w:hAnsi="宋体"/>
          <w:color w:val="auto"/>
          <w:sz w:val="24"/>
          <w:szCs w:val="24"/>
          <w:highlight w:val="none"/>
        </w:rPr>
        <w:t>1.8 计量单位</w:t>
      </w:r>
      <w:bookmarkEnd w:id="40"/>
      <w:bookmarkEnd w:id="41"/>
      <w:bookmarkEnd w:id="42"/>
      <w:bookmarkEnd w:id="43"/>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4"/>
        <w:spacing w:beforeLines="50" w:after="0" w:line="400" w:lineRule="exact"/>
        <w:rPr>
          <w:rFonts w:ascii="宋体" w:hAnsi="宋体"/>
          <w:color w:val="auto"/>
          <w:sz w:val="24"/>
          <w:szCs w:val="24"/>
          <w:highlight w:val="none"/>
        </w:rPr>
      </w:pPr>
      <w:bookmarkStart w:id="44" w:name="_Toc485889011"/>
      <w:bookmarkStart w:id="45" w:name="_Toc486277872"/>
      <w:bookmarkStart w:id="46" w:name="_Toc31645"/>
      <w:bookmarkStart w:id="47" w:name="_Toc234382599"/>
      <w:r>
        <w:rPr>
          <w:rFonts w:ascii="宋体" w:hAnsi="宋体"/>
          <w:color w:val="auto"/>
          <w:sz w:val="24"/>
          <w:szCs w:val="24"/>
          <w:highlight w:val="none"/>
        </w:rPr>
        <w:t>1.9 踏勘现场</w:t>
      </w:r>
      <w:bookmarkEnd w:id="44"/>
      <w:bookmarkEnd w:id="45"/>
      <w:bookmarkEnd w:id="46"/>
      <w:bookmarkEnd w:id="47"/>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color w:val="auto"/>
          <w:sz w:val="24"/>
          <w:szCs w:val="24"/>
          <w:highlight w:val="none"/>
        </w:rPr>
      </w:pPr>
      <w:bookmarkStart w:id="48" w:name="_Toc234382600"/>
      <w:bookmarkStart w:id="49" w:name="_Toc486277873"/>
      <w:bookmarkStart w:id="50" w:name="_Toc3462"/>
      <w:bookmarkStart w:id="51" w:name="_Toc485889012"/>
      <w:r>
        <w:rPr>
          <w:rFonts w:ascii="宋体" w:hAnsi="宋体"/>
          <w:color w:val="auto"/>
          <w:sz w:val="24"/>
          <w:szCs w:val="24"/>
          <w:highlight w:val="none"/>
        </w:rPr>
        <w:t>1.10 投标预备会</w:t>
      </w:r>
      <w:bookmarkEnd w:id="48"/>
      <w:r>
        <w:rPr>
          <w:rFonts w:hint="eastAsia" w:ascii="宋体" w:hAnsi="宋体"/>
          <w:color w:val="auto"/>
          <w:sz w:val="24"/>
          <w:szCs w:val="24"/>
          <w:highlight w:val="none"/>
        </w:rPr>
        <w:t>（无）</w:t>
      </w:r>
      <w:bookmarkEnd w:id="49"/>
      <w:bookmarkEnd w:id="50"/>
      <w:bookmarkEnd w:id="51"/>
    </w:p>
    <w:p>
      <w:pPr>
        <w:pStyle w:val="4"/>
        <w:spacing w:beforeLines="50" w:after="0" w:line="400" w:lineRule="exact"/>
        <w:rPr>
          <w:rFonts w:ascii="宋体" w:hAnsi="宋体"/>
          <w:color w:val="auto"/>
          <w:sz w:val="24"/>
          <w:szCs w:val="24"/>
          <w:highlight w:val="none"/>
        </w:rPr>
      </w:pPr>
      <w:bookmarkStart w:id="52" w:name="_Toc486277874"/>
      <w:bookmarkStart w:id="53" w:name="_Toc22514"/>
      <w:bookmarkStart w:id="54" w:name="_Toc485889013"/>
      <w:bookmarkStart w:id="55" w:name="_Toc234382601"/>
      <w:r>
        <w:rPr>
          <w:rFonts w:ascii="宋体" w:hAnsi="宋体"/>
          <w:color w:val="auto"/>
          <w:sz w:val="24"/>
          <w:szCs w:val="24"/>
          <w:highlight w:val="none"/>
        </w:rPr>
        <w:t>1.11 分包</w:t>
      </w:r>
      <w:bookmarkEnd w:id="52"/>
      <w:bookmarkEnd w:id="53"/>
      <w:bookmarkEnd w:id="54"/>
      <w:bookmarkEnd w:id="55"/>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分包内容要求：允许分包的工程范围仅限于非关键性工程或者适合专业化队伍施工的专业工程；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分包金额要求：专业工程分包的工程量累计不得超过总工程量的30%；</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color w:val="auto"/>
          <w:sz w:val="24"/>
          <w:szCs w:val="24"/>
          <w:highlight w:val="none"/>
          <w:vertAlign w:val="superscript"/>
        </w:rPr>
      </w:pPr>
      <w:bookmarkStart w:id="56" w:name="_Toc485889014"/>
      <w:bookmarkStart w:id="57" w:name="_Toc234382602"/>
      <w:bookmarkStart w:id="58" w:name="_Toc486277875"/>
      <w:bookmarkStart w:id="59" w:name="_Toc6184"/>
      <w:r>
        <w:rPr>
          <w:rFonts w:ascii="宋体" w:hAnsi="宋体"/>
          <w:color w:val="auto"/>
          <w:sz w:val="24"/>
          <w:szCs w:val="24"/>
          <w:highlight w:val="none"/>
        </w:rPr>
        <w:t>1.12 偏离</w:t>
      </w:r>
      <w:bookmarkEnd w:id="56"/>
      <w:bookmarkEnd w:id="57"/>
      <w:bookmarkEnd w:id="58"/>
      <w:bookmarkEnd w:id="59"/>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投标人须知前附表允许投标文件偏离招标文件某些要求的，偏离应当符合招标文件规定的偏离范围和幅度。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偏离即偏差，偏差分重大偏差和细微偏差。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1.12.2 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1.12.3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150" w:after="480" w:line="400" w:lineRule="exact"/>
        <w:rPr>
          <w:rFonts w:ascii="宋体" w:hAnsi="宋体"/>
          <w:color w:val="auto"/>
          <w:sz w:val="24"/>
          <w:szCs w:val="24"/>
          <w:highlight w:val="none"/>
        </w:rPr>
      </w:pPr>
      <w:bookmarkStart w:id="60" w:name="_Toc234382603"/>
      <w:bookmarkStart w:id="61" w:name="_Toc22855"/>
      <w:bookmarkStart w:id="62" w:name="_Toc485889015"/>
      <w:bookmarkStart w:id="63" w:name="_Toc486277876"/>
      <w:r>
        <w:rPr>
          <w:rFonts w:ascii="宋体" w:hAnsi="宋体"/>
          <w:color w:val="auto"/>
          <w:sz w:val="24"/>
          <w:szCs w:val="24"/>
          <w:highlight w:val="none"/>
        </w:rPr>
        <w:t>2. 招标文件</w:t>
      </w:r>
      <w:bookmarkEnd w:id="60"/>
      <w:bookmarkEnd w:id="61"/>
      <w:bookmarkEnd w:id="62"/>
      <w:bookmarkEnd w:id="63"/>
    </w:p>
    <w:p>
      <w:pPr>
        <w:pStyle w:val="4"/>
        <w:spacing w:before="0" w:after="0" w:line="400" w:lineRule="exact"/>
        <w:rPr>
          <w:rFonts w:ascii="宋体" w:hAnsi="宋体"/>
          <w:color w:val="auto"/>
          <w:sz w:val="24"/>
          <w:szCs w:val="24"/>
          <w:highlight w:val="none"/>
        </w:rPr>
      </w:pPr>
      <w:bookmarkStart w:id="64" w:name="_Toc485889016"/>
      <w:bookmarkStart w:id="65" w:name="_Toc12310"/>
      <w:bookmarkStart w:id="66" w:name="_Toc486277877"/>
      <w:bookmarkStart w:id="67" w:name="_Toc234382604"/>
      <w:r>
        <w:rPr>
          <w:rFonts w:ascii="宋体" w:hAnsi="宋体"/>
          <w:color w:val="auto"/>
          <w:sz w:val="24"/>
          <w:szCs w:val="24"/>
          <w:highlight w:val="none"/>
        </w:rPr>
        <w:t>2.1 招标文件的组成</w:t>
      </w:r>
      <w:bookmarkEnd w:id="64"/>
      <w:bookmarkEnd w:id="65"/>
      <w:bookmarkEnd w:id="66"/>
      <w:bookmarkEnd w:id="67"/>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4"/>
        <w:spacing w:beforeLines="50" w:after="0" w:line="400" w:lineRule="exact"/>
        <w:rPr>
          <w:rFonts w:ascii="宋体" w:hAnsi="宋体"/>
          <w:color w:val="auto"/>
          <w:sz w:val="24"/>
          <w:szCs w:val="24"/>
          <w:highlight w:val="none"/>
        </w:rPr>
      </w:pPr>
      <w:bookmarkStart w:id="68" w:name="_Toc16084"/>
      <w:bookmarkStart w:id="69" w:name="_Toc485889017"/>
      <w:bookmarkStart w:id="70" w:name="_Toc234382605"/>
      <w:bookmarkStart w:id="71" w:name="_Toc486277878"/>
      <w:r>
        <w:rPr>
          <w:rFonts w:ascii="宋体" w:hAnsi="宋体"/>
          <w:color w:val="auto"/>
          <w:sz w:val="24"/>
          <w:szCs w:val="24"/>
          <w:highlight w:val="none"/>
        </w:rPr>
        <w:t>2.2 招标文件的澄清</w:t>
      </w:r>
      <w:bookmarkEnd w:id="68"/>
      <w:bookmarkEnd w:id="69"/>
      <w:bookmarkEnd w:id="70"/>
      <w:bookmarkEnd w:id="71"/>
    </w:p>
    <w:p>
      <w:pPr>
        <w:spacing w:line="400" w:lineRule="exact"/>
        <w:ind w:firstLine="480" w:firstLineChars="200"/>
        <w:rPr>
          <w:rFonts w:ascii="宋体" w:hAnsi="宋体" w:cs="宋体"/>
          <w:color w:val="auto"/>
          <w:kern w:val="0"/>
          <w:sz w:val="24"/>
          <w:highlight w:val="none"/>
        </w:rPr>
      </w:pPr>
      <w:bookmarkStart w:id="72" w:name="_Toc234382606"/>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通过公共资源交易系统电子平台发出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天前通过公共资源交易系统电子平台发出，但不指明澄清问题的来源。如果澄清发出的时间距投标截止时间不足15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4"/>
        <w:spacing w:beforeLines="50" w:after="0" w:line="400" w:lineRule="exact"/>
        <w:rPr>
          <w:rFonts w:ascii="宋体" w:hAnsi="宋体"/>
          <w:color w:val="auto"/>
          <w:sz w:val="24"/>
          <w:szCs w:val="24"/>
          <w:highlight w:val="none"/>
        </w:rPr>
      </w:pPr>
      <w:bookmarkStart w:id="73" w:name="_Toc486277879"/>
      <w:bookmarkStart w:id="74" w:name="_Toc29706"/>
      <w:bookmarkStart w:id="75" w:name="_Toc485889018"/>
      <w:r>
        <w:rPr>
          <w:rFonts w:ascii="宋体" w:hAnsi="宋体"/>
          <w:color w:val="auto"/>
          <w:sz w:val="24"/>
          <w:szCs w:val="24"/>
          <w:highlight w:val="none"/>
        </w:rPr>
        <w:t>2.3 招标文件的修改</w:t>
      </w:r>
      <w:bookmarkEnd w:id="72"/>
      <w:bookmarkEnd w:id="73"/>
      <w:bookmarkEnd w:id="74"/>
      <w:bookmarkEnd w:id="75"/>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bookmarkStart w:id="76"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天前，招标人可以通过全国公共资源交易平台（河南省·许昌市）修改招标文件，如果修改招标文件的时间距投标截止时间不足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keepNext/>
        <w:keepLines/>
        <w:spacing w:beforeLines="150" w:after="480" w:line="400" w:lineRule="exact"/>
        <w:rPr>
          <w:rFonts w:ascii="宋体" w:hAnsi="宋体"/>
          <w:color w:val="auto"/>
          <w:sz w:val="24"/>
          <w:highlight w:val="none"/>
        </w:rPr>
      </w:pPr>
      <w:r>
        <w:rPr>
          <w:rFonts w:hint="eastAsia" w:ascii="宋体" w:hAnsi="宋体"/>
          <w:color w:val="auto"/>
          <w:sz w:val="24"/>
          <w:highlight w:val="none"/>
        </w:rPr>
        <w:t xml:space="preserve">     </w:t>
      </w:r>
      <w:bookmarkStart w:id="77" w:name="_Toc485889019"/>
      <w:bookmarkStart w:id="78" w:name="_Toc486277880"/>
      <w:r>
        <w:rPr>
          <w:rFonts w:hint="eastAsia" w:ascii="宋体" w:hAnsi="宋体"/>
          <w:color w:val="auto"/>
          <w:sz w:val="24"/>
          <w:highlight w:val="none"/>
        </w:rPr>
        <w:t>2.3.2 当招标文件（含评标、定标办法）、补充通知、答疑纪要，内容相互矛盾时，以最后发出的通知（或纪要）为准。</w:t>
      </w:r>
      <w:bookmarkEnd w:id="77"/>
      <w:bookmarkEnd w:id="78"/>
    </w:p>
    <w:p>
      <w:pPr>
        <w:pStyle w:val="4"/>
        <w:spacing w:beforeLines="150" w:after="480" w:line="400" w:lineRule="exact"/>
        <w:rPr>
          <w:rFonts w:ascii="宋体" w:hAnsi="宋体"/>
          <w:color w:val="auto"/>
          <w:sz w:val="24"/>
          <w:szCs w:val="24"/>
          <w:highlight w:val="none"/>
        </w:rPr>
      </w:pPr>
      <w:bookmarkStart w:id="79" w:name="_Toc486277881"/>
      <w:bookmarkStart w:id="80" w:name="_Toc8003"/>
      <w:bookmarkStart w:id="81" w:name="_Toc485889020"/>
      <w:r>
        <w:rPr>
          <w:rFonts w:ascii="宋体" w:hAnsi="宋体"/>
          <w:color w:val="auto"/>
          <w:sz w:val="24"/>
          <w:szCs w:val="24"/>
          <w:highlight w:val="none"/>
        </w:rPr>
        <w:t>3. 投标文件</w:t>
      </w:r>
      <w:bookmarkEnd w:id="76"/>
      <w:bookmarkEnd w:id="79"/>
      <w:bookmarkEnd w:id="80"/>
      <w:bookmarkEnd w:id="81"/>
    </w:p>
    <w:p>
      <w:pPr>
        <w:pStyle w:val="4"/>
        <w:spacing w:before="0" w:after="0" w:line="400" w:lineRule="exact"/>
        <w:rPr>
          <w:rFonts w:ascii="宋体" w:hAnsi="宋体"/>
          <w:color w:val="auto"/>
          <w:sz w:val="24"/>
          <w:szCs w:val="24"/>
          <w:highlight w:val="none"/>
        </w:rPr>
      </w:pPr>
      <w:bookmarkStart w:id="82" w:name="_Toc485889021"/>
      <w:bookmarkStart w:id="83" w:name="_Toc486277882"/>
      <w:bookmarkStart w:id="84" w:name="_Toc12156"/>
      <w:bookmarkStart w:id="85" w:name="_Toc234382608"/>
      <w:r>
        <w:rPr>
          <w:rFonts w:ascii="宋体" w:hAnsi="宋体"/>
          <w:color w:val="auto"/>
          <w:sz w:val="24"/>
          <w:szCs w:val="24"/>
          <w:highlight w:val="none"/>
        </w:rPr>
        <w:t>3.1 投标文件的组成</w:t>
      </w:r>
      <w:bookmarkEnd w:id="82"/>
      <w:bookmarkEnd w:id="83"/>
      <w:bookmarkEnd w:id="84"/>
      <w:bookmarkEnd w:id="85"/>
    </w:p>
    <w:p>
      <w:pPr>
        <w:spacing w:line="400" w:lineRule="exact"/>
        <w:ind w:firstLine="480" w:firstLineChars="200"/>
        <w:rPr>
          <w:rFonts w:ascii="宋体" w:hAnsi="宋体"/>
          <w:color w:val="auto"/>
          <w:sz w:val="24"/>
          <w:highlight w:val="none"/>
        </w:rPr>
      </w:pPr>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主要进场管理人员和技术人员最低要求；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）农民工工资支付承诺书；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）扬尘治理专项承诺书；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第二个信封（投标报价和工程量清单）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（2）已标价工程量清单；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（3）拟分包项目情况表；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（4）合同用款估算表。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3.1.2 投标人须知前附表规定不接受联合体投标的，或投标人没有组成联合体的，投标文件不包括本章第 3.1.1（3）目所指的联合体协议书。</w:t>
      </w:r>
    </w:p>
    <w:p>
      <w:pPr>
        <w:pStyle w:val="4"/>
        <w:spacing w:beforeLines="50" w:after="0" w:line="400" w:lineRule="exact"/>
        <w:rPr>
          <w:rFonts w:ascii="宋体" w:hAnsi="宋体"/>
          <w:color w:val="auto"/>
          <w:sz w:val="24"/>
          <w:szCs w:val="24"/>
          <w:highlight w:val="none"/>
        </w:rPr>
      </w:pPr>
      <w:bookmarkStart w:id="86" w:name="_Toc234382609"/>
      <w:bookmarkStart w:id="87" w:name="_Toc12761"/>
      <w:bookmarkStart w:id="88" w:name="_Toc486277883"/>
      <w:bookmarkStart w:id="89" w:name="_Toc485889022"/>
      <w:r>
        <w:rPr>
          <w:rFonts w:ascii="宋体" w:hAnsi="宋体"/>
          <w:color w:val="auto"/>
          <w:sz w:val="24"/>
          <w:szCs w:val="24"/>
          <w:highlight w:val="none"/>
        </w:rPr>
        <w:t>3.2 投标报价</w:t>
      </w:r>
      <w:bookmarkEnd w:id="86"/>
      <w:bookmarkEnd w:id="87"/>
      <w:bookmarkEnd w:id="88"/>
      <w:bookmarkEnd w:id="89"/>
    </w:p>
    <w:p>
      <w:pPr>
        <w:spacing w:line="400" w:lineRule="exact"/>
        <w:ind w:firstLine="480" w:firstLineChars="200"/>
        <w:rPr>
          <w:rFonts w:ascii="宋体" w:hAnsi="宋体"/>
          <w:color w:val="auto"/>
          <w:sz w:val="24"/>
          <w:highlight w:val="none"/>
        </w:rPr>
      </w:pPr>
      <w:r>
        <w:rPr>
          <w:rFonts w:ascii="宋体" w:hAnsi="宋体"/>
          <w:color w:val="auto"/>
          <w:sz w:val="24"/>
          <w:highlight w:val="none"/>
        </w:rPr>
        <w:t>3.2.1 投标人应按第五章“工程量清单”的要求填写相应表格。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投标人应按投标人须知前附表规定的方式填写工程量清单。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spacing w:beforeLines="50" w:after="0" w:line="400" w:lineRule="exact"/>
        <w:rPr>
          <w:rFonts w:ascii="宋体" w:hAnsi="宋体"/>
          <w:color w:val="auto"/>
          <w:sz w:val="24"/>
          <w:szCs w:val="24"/>
          <w:highlight w:val="none"/>
        </w:rPr>
      </w:pPr>
      <w:bookmarkStart w:id="90" w:name="_Toc6040"/>
      <w:bookmarkStart w:id="91" w:name="_Toc234382610"/>
      <w:bookmarkStart w:id="92" w:name="_Toc485889023"/>
      <w:bookmarkStart w:id="93" w:name="_Toc486277884"/>
      <w:r>
        <w:rPr>
          <w:rFonts w:ascii="宋体" w:hAnsi="宋体"/>
          <w:color w:val="auto"/>
          <w:sz w:val="24"/>
          <w:szCs w:val="24"/>
          <w:highlight w:val="none"/>
        </w:rPr>
        <w:t>3.3 投标有效期</w:t>
      </w:r>
      <w:bookmarkEnd w:id="90"/>
      <w:bookmarkEnd w:id="91"/>
      <w:bookmarkEnd w:id="92"/>
      <w:bookmarkEnd w:id="93"/>
    </w:p>
    <w:p>
      <w:pPr>
        <w:spacing w:line="400" w:lineRule="exact"/>
        <w:ind w:firstLine="480" w:firstLineChars="200"/>
        <w:rPr>
          <w:rFonts w:ascii="宋体" w:hAnsi="宋体"/>
          <w:color w:val="auto"/>
          <w:sz w:val="24"/>
          <w:highlight w:val="none"/>
        </w:rPr>
      </w:pPr>
      <w:r>
        <w:rPr>
          <w:rFonts w:ascii="宋体" w:hAnsi="宋体"/>
          <w:color w:val="auto"/>
          <w:sz w:val="24"/>
          <w:highlight w:val="none"/>
        </w:rPr>
        <w:t>3.3.1 在投标人须知前附表规定的投标有效期内，投标人不得要求撤销或修改其投标文件。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bookmarkStart w:id="94" w:name="_Toc19976"/>
      <w:bookmarkStart w:id="95" w:name="_Toc234382611"/>
      <w:bookmarkStart w:id="96" w:name="_Toc486277885"/>
      <w:bookmarkStart w:id="97" w:name="_Toc485889024"/>
      <w:r>
        <w:rPr>
          <w:rFonts w:ascii="宋体" w:hAnsi="宋体"/>
          <w:color w:val="auto"/>
          <w:sz w:val="24"/>
          <w:szCs w:val="24"/>
          <w:highlight w:val="none"/>
        </w:rPr>
        <w:t xml:space="preserve">3.4 </w:t>
      </w:r>
      <w:bookmarkEnd w:id="94"/>
      <w:bookmarkEnd w:id="95"/>
      <w:bookmarkEnd w:id="96"/>
      <w:bookmarkEnd w:id="97"/>
      <w:bookmarkStart w:id="98" w:name="_Toc234382613"/>
      <w:r>
        <w:rPr>
          <w:rFonts w:hint="eastAsia" w:hAnsi="宋体" w:cs="宋体"/>
          <w:b/>
          <w:bCs/>
          <w:sz w:val="24"/>
        </w:rPr>
        <w:t>投标保证金</w:t>
      </w:r>
      <w:r>
        <w:rPr>
          <w:rFonts w:hint="eastAsia" w:hAnsi="宋体" w:cs="宋体"/>
          <w:b/>
          <w:bCs/>
          <w:sz w:val="24"/>
          <w:szCs w:val="22"/>
        </w:rPr>
        <w:t>（见附表）</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 投标保证金的退还：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（1）中标公告发出后，5个工作日内退还非中标候选人投标保证金及银行同期活期存款利息。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（2）在法定期限内签订书面合同，中标人执投标保证金退还申请表（单位加盖行政公章）及合同原件</w:t>
      </w:r>
      <w:r>
        <w:rPr>
          <w:rFonts w:hint="eastAsia" w:ascii="宋体" w:hAnsi="宋体" w:cs="Times New Roman"/>
          <w:color w:val="auto"/>
          <w:sz w:val="24"/>
          <w:highlight w:val="none"/>
          <w:lang w:eastAsia="zh-CN"/>
        </w:rPr>
        <w:t>、履约保证金缴纳通知书</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履约保证金转账凭证</w:t>
      </w:r>
      <w:r>
        <w:rPr>
          <w:rFonts w:hint="eastAsia" w:ascii="宋体" w:hAnsi="宋体" w:eastAsia="宋体" w:cs="Times New Roman"/>
          <w:color w:val="auto"/>
          <w:sz w:val="24"/>
          <w:highlight w:val="none"/>
        </w:rPr>
        <w:t>到中心业务部室办理退款手续，中心在5个工作日内向中标人和其他中标候选人退还投标保证金及银行同期活期存款利息。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（3）项目废标或招标人终止招标的，在此后5个工作日内退还投标保证金及银行同期活期存利息。</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（4）投标活动中出现质疑、投诉的，中标候选人、质疑人和被质疑人、投诉人和被投诉人的投标保证金暂停退还。</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（5）相关投标人有违法违规行为的项目，其投标保证金暂不退还，待行政监督部门对相关情况处置后，按照有关规定办理。</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（6）退还投标保证金，除另有规定外，一般以转账方式一次性退还至投标保证金的原提交账户。</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2、投标人有下列情形之一的，不予退还投标保证金：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（一）在招标文件要求提交投标文件的截止时间后至投标文件有效期满前撤回投标的；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（二）中标通知书发出后，中标人无故放弃中标项目或无正当理由在规定时间内不与招标人签订合同或未按招标文件规定提交履约担保的；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（三）将中标项目转让给他人，或者在投标文件中未说明，且未经招标人同意，将中标项目分包给他人的；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（四）投标人在招投标活动中弄虚作假、围标串标，骗取中标并经招投标行政监督部门调查核实的；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（五）拒绝履行合同义务的；</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（六）相关法律、法规规定不予退还的其它情形。</w:t>
      </w:r>
    </w:p>
    <w:p>
      <w:pPr>
        <w:spacing w:line="400" w:lineRule="exact"/>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4"/>
        <w:spacing w:beforeLines="50" w:after="0" w:line="400" w:lineRule="exact"/>
        <w:rPr>
          <w:rFonts w:ascii="宋体" w:hAnsi="宋体"/>
          <w:color w:val="auto"/>
          <w:sz w:val="24"/>
          <w:szCs w:val="24"/>
          <w:highlight w:val="none"/>
        </w:rPr>
      </w:pPr>
      <w:bookmarkStart w:id="99" w:name="_Toc10524"/>
      <w:bookmarkStart w:id="100" w:name="_Toc485889025"/>
      <w:bookmarkStart w:id="101" w:name="_Toc486277886"/>
      <w:r>
        <w:rPr>
          <w:rFonts w:ascii="宋体" w:hAnsi="宋体"/>
          <w:color w:val="auto"/>
          <w:sz w:val="24"/>
          <w:szCs w:val="24"/>
          <w:highlight w:val="none"/>
        </w:rPr>
        <w:t>3.5 资格审查资料</w:t>
      </w:r>
      <w:bookmarkEnd w:id="98"/>
      <w:bookmarkEnd w:id="99"/>
      <w:bookmarkEnd w:id="100"/>
      <w:bookmarkEnd w:id="101"/>
    </w:p>
    <w:p>
      <w:pPr>
        <w:spacing w:line="400" w:lineRule="exact"/>
        <w:ind w:firstLine="480" w:firstLineChars="200"/>
        <w:rPr>
          <w:rFonts w:ascii="宋体" w:hAnsi="宋体"/>
          <w:color w:val="auto"/>
          <w:sz w:val="24"/>
          <w:highlight w:val="none"/>
        </w:rPr>
      </w:pPr>
      <w:r>
        <w:rPr>
          <w:rFonts w:ascii="宋体" w:hAnsi="宋体"/>
          <w:color w:val="auto"/>
          <w:sz w:val="24"/>
          <w:highlight w:val="none"/>
        </w:rPr>
        <w:t>3.5.1 “投标人基本情况表”应附</w:t>
      </w:r>
      <w:r>
        <w:rPr>
          <w:rFonts w:hint="eastAsia" w:ascii="宋体" w:hAnsi="宋体"/>
          <w:color w:val="auto"/>
          <w:sz w:val="24"/>
          <w:highlight w:val="none"/>
        </w:rPr>
        <w:t>企业法人</w:t>
      </w:r>
      <w:r>
        <w:rPr>
          <w:rFonts w:ascii="宋体" w:hAnsi="宋体"/>
          <w:color w:val="auto"/>
          <w:sz w:val="24"/>
          <w:highlight w:val="none"/>
        </w:rPr>
        <w:t>营业执照副本</w:t>
      </w:r>
      <w:r>
        <w:rPr>
          <w:rFonts w:hint="eastAsia" w:ascii="宋体" w:hAnsi="宋体"/>
          <w:color w:val="auto"/>
          <w:sz w:val="24"/>
          <w:highlight w:val="none"/>
        </w:rPr>
        <w:t>（全本）的复印件（并加盖单位章）、施工资质证书副本（全本）的复印件（并加盖单位章）、安全生产许可证副本（全本）的复印件（并加盖单位章）、基本账户开户许可证的复印件（并加盖单位章）</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3.5.4 “正在施工和新承接的项目情况表”应附中标通知书和合同协议书复印件。每张表格只填写一个项目，并标明序号。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3.5.7 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color w:val="auto"/>
          <w:sz w:val="24"/>
          <w:szCs w:val="24"/>
          <w:highlight w:val="none"/>
        </w:rPr>
      </w:pPr>
      <w:bookmarkStart w:id="102" w:name="_Toc486277887"/>
      <w:bookmarkStart w:id="103" w:name="_Toc15460"/>
      <w:bookmarkStart w:id="104" w:name="_Toc234382614"/>
      <w:bookmarkStart w:id="105" w:name="_Toc485889026"/>
      <w:r>
        <w:rPr>
          <w:rFonts w:ascii="宋体" w:hAnsi="宋体"/>
          <w:color w:val="auto"/>
          <w:sz w:val="24"/>
          <w:szCs w:val="24"/>
          <w:highlight w:val="none"/>
        </w:rPr>
        <w:t>3.6 备选投标方案</w:t>
      </w:r>
      <w:bookmarkEnd w:id="102"/>
      <w:bookmarkEnd w:id="103"/>
      <w:bookmarkEnd w:id="104"/>
      <w:bookmarkEnd w:id="105"/>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color w:val="auto"/>
          <w:sz w:val="24"/>
          <w:szCs w:val="24"/>
          <w:highlight w:val="none"/>
        </w:rPr>
      </w:pPr>
      <w:bookmarkStart w:id="106" w:name="_Toc485889027"/>
      <w:bookmarkStart w:id="107" w:name="_Toc30194"/>
      <w:bookmarkStart w:id="108" w:name="_Toc486277888"/>
      <w:bookmarkStart w:id="109" w:name="_Toc234382615"/>
      <w:r>
        <w:rPr>
          <w:rFonts w:ascii="宋体" w:hAnsi="宋体"/>
          <w:color w:val="auto"/>
          <w:sz w:val="24"/>
          <w:szCs w:val="24"/>
          <w:highlight w:val="none"/>
        </w:rPr>
        <w:t>3.7 投标文件的编制</w:t>
      </w:r>
      <w:bookmarkEnd w:id="106"/>
      <w:bookmarkEnd w:id="107"/>
      <w:bookmarkEnd w:id="108"/>
      <w:bookmarkEnd w:id="109"/>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3.7.3 </w:t>
      </w:r>
      <w:r>
        <w:rPr>
          <w:rFonts w:hint="eastAsia" w:ascii="宋体" w:hAnsi="宋体"/>
          <w:color w:val="auto"/>
          <w:sz w:val="24"/>
          <w:highlight w:val="none"/>
        </w:rPr>
        <w:t>投标文件应用不褪色的材料书写或打印，投标函及投标函附录、承诺函、已标价工程量清单（包括工程量清单说明、投标报价说明、计日工说明、其他说明及工程量清单各项表格&lt;工程量清单表5.1～表5.5&gt;）、调价函及调价后的工程量清单（如有）的内容应由投标人的法定代表人或其委托代理人逐页签署姓名（本页正文内容已由投标人的法定代表人或其委托代理人签署姓名的可不签署）并逐页加盖投标人单位章（本页正文内容已加盖单位章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如果由投标人的法定代表人亲自签署投标文件，则不需提交授权委托书。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投标文件应尽量避免涂改、行间插字或删除。如果出现上述情况，改动之处应加盖单位章或由投标人的法定代表人或其授权的代理人签字确认。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签字或盖章的其他要求见投标人须知前附表。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3.7.4 投标文件正本一份</w:t>
      </w:r>
      <w:r>
        <w:rPr>
          <w:rFonts w:hint="eastAsia" w:ascii="宋体" w:hAnsi="宋体"/>
          <w:color w:val="auto"/>
          <w:sz w:val="24"/>
          <w:highlight w:val="none"/>
        </w:rPr>
        <w:t>，</w:t>
      </w:r>
      <w:r>
        <w:rPr>
          <w:rFonts w:ascii="宋体" w:hAnsi="宋体"/>
          <w:color w:val="auto"/>
          <w:sz w:val="24"/>
          <w:highlight w:val="none"/>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color w:val="auto"/>
          <w:sz w:val="24"/>
          <w:szCs w:val="24"/>
          <w:highlight w:val="none"/>
        </w:rPr>
      </w:pPr>
      <w:bookmarkStart w:id="110" w:name="_Toc3142"/>
      <w:bookmarkStart w:id="111" w:name="_Toc485889028"/>
      <w:bookmarkStart w:id="112" w:name="_Toc234382616"/>
      <w:bookmarkStart w:id="113" w:name="_Toc486277889"/>
      <w:r>
        <w:rPr>
          <w:rFonts w:ascii="宋体" w:hAnsi="宋体"/>
          <w:color w:val="auto"/>
          <w:sz w:val="24"/>
          <w:szCs w:val="24"/>
          <w:highlight w:val="none"/>
        </w:rPr>
        <w:t>4. 投标</w:t>
      </w:r>
      <w:bookmarkEnd w:id="110"/>
      <w:bookmarkEnd w:id="111"/>
      <w:bookmarkEnd w:id="112"/>
      <w:bookmarkEnd w:id="113"/>
    </w:p>
    <w:p>
      <w:pPr>
        <w:pStyle w:val="4"/>
        <w:spacing w:before="0" w:after="0" w:line="400" w:lineRule="exact"/>
        <w:rPr>
          <w:rFonts w:ascii="宋体" w:hAnsi="宋体"/>
          <w:color w:val="auto"/>
          <w:sz w:val="24"/>
          <w:szCs w:val="24"/>
          <w:highlight w:val="none"/>
        </w:rPr>
      </w:pPr>
      <w:bookmarkStart w:id="114" w:name="_Toc486277890"/>
      <w:bookmarkStart w:id="115" w:name="_Toc234382617"/>
      <w:bookmarkStart w:id="116" w:name="_Toc485889029"/>
      <w:bookmarkStart w:id="117" w:name="_Toc26813"/>
      <w:r>
        <w:rPr>
          <w:rFonts w:ascii="宋体" w:hAnsi="宋体"/>
          <w:color w:val="auto"/>
          <w:sz w:val="24"/>
          <w:szCs w:val="24"/>
          <w:highlight w:val="none"/>
        </w:rPr>
        <w:t>4.1 投标文件的密封和标记</w:t>
      </w:r>
      <w:bookmarkEnd w:id="114"/>
      <w:bookmarkEnd w:id="115"/>
      <w:bookmarkEnd w:id="116"/>
      <w:bookmarkEnd w:id="11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投标文件第一个信封（商务及技术文件）以及第二个信封（投标报价和工程量清单）</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4"/>
        <w:spacing w:beforeLines="50" w:after="0" w:line="400" w:lineRule="exact"/>
        <w:rPr>
          <w:rFonts w:ascii="宋体" w:hAnsi="宋体"/>
          <w:color w:val="auto"/>
          <w:sz w:val="24"/>
          <w:szCs w:val="24"/>
          <w:highlight w:val="none"/>
        </w:rPr>
      </w:pPr>
      <w:bookmarkStart w:id="118" w:name="_Toc31665"/>
      <w:bookmarkStart w:id="119" w:name="_Toc486277891"/>
      <w:bookmarkStart w:id="120" w:name="_Toc485889030"/>
      <w:bookmarkStart w:id="121" w:name="_Toc234382618"/>
      <w:r>
        <w:rPr>
          <w:rFonts w:ascii="宋体" w:hAnsi="宋体"/>
          <w:color w:val="auto"/>
          <w:sz w:val="24"/>
          <w:szCs w:val="24"/>
          <w:highlight w:val="none"/>
        </w:rPr>
        <w:t>4.2 投标文件的递交</w:t>
      </w:r>
      <w:bookmarkEnd w:id="118"/>
      <w:bookmarkEnd w:id="119"/>
      <w:bookmarkEnd w:id="120"/>
      <w:bookmarkEnd w:id="121"/>
    </w:p>
    <w:p>
      <w:pPr>
        <w:spacing w:line="400" w:lineRule="exact"/>
        <w:ind w:firstLine="480" w:firstLineChars="200"/>
        <w:rPr>
          <w:rFonts w:ascii="宋体" w:hAnsi="宋体"/>
          <w:color w:val="auto"/>
          <w:sz w:val="24"/>
          <w:highlight w:val="none"/>
        </w:rPr>
      </w:pPr>
      <w:r>
        <w:rPr>
          <w:rFonts w:ascii="宋体" w:hAnsi="宋体"/>
          <w:color w:val="auto"/>
          <w:sz w:val="24"/>
          <w:highlight w:val="none"/>
        </w:rPr>
        <w:t>4.2.1 投标人应在本章第 2.2.2 项规定的投标截止时间前递交投标文件。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4.2.3 除投标人须知前附表另有规定外，投标人所递交的投标文件不予退还。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4.2.6在特殊情况下，招标人如果决定延后递交投标截止时间，应在投标人须知前附表规定的时间前，</w:t>
      </w:r>
      <w:r>
        <w:rPr>
          <w:rFonts w:hint="eastAsia" w:hAnsi="宋体"/>
          <w:color w:val="auto"/>
          <w:spacing w:val="2"/>
          <w:sz w:val="24"/>
          <w:highlight w:val="none"/>
        </w:rPr>
        <w:t>通过</w:t>
      </w:r>
      <w:r>
        <w:rPr>
          <w:rFonts w:hint="eastAsia" w:ascii="宋体" w:hAnsi="宋体"/>
          <w:color w:val="auto"/>
          <w:spacing w:val="2"/>
          <w:sz w:val="24"/>
          <w:highlight w:val="none"/>
        </w:rPr>
        <w:t>公共资源交易系统电子平台</w:t>
      </w:r>
      <w:r>
        <w:rPr>
          <w:rFonts w:hint="eastAsia" w:ascii="宋体" w:hAnsi="宋体"/>
          <w:color w:val="auto"/>
          <w:sz w:val="24"/>
          <w:highlight w:val="none"/>
        </w:rPr>
        <w:t>延后投标截止时间。在此情况下，招标人和投标人的权利和义务相应延后至新的投标截止时间。</w:t>
      </w:r>
    </w:p>
    <w:p>
      <w:pPr>
        <w:pStyle w:val="4"/>
        <w:spacing w:beforeLines="50" w:after="0" w:line="400" w:lineRule="exact"/>
        <w:rPr>
          <w:rFonts w:ascii="宋体" w:hAnsi="宋体"/>
          <w:color w:val="auto"/>
          <w:sz w:val="24"/>
          <w:szCs w:val="24"/>
          <w:highlight w:val="none"/>
        </w:rPr>
      </w:pPr>
      <w:bookmarkStart w:id="122" w:name="_Toc486277892"/>
      <w:bookmarkStart w:id="123" w:name="_Toc485889031"/>
      <w:bookmarkStart w:id="124" w:name="_Toc234382619"/>
      <w:bookmarkStart w:id="125" w:name="_Toc30135"/>
      <w:r>
        <w:rPr>
          <w:rFonts w:ascii="宋体" w:hAnsi="宋体"/>
          <w:color w:val="auto"/>
          <w:sz w:val="24"/>
          <w:szCs w:val="24"/>
          <w:highlight w:val="none"/>
        </w:rPr>
        <w:t>4.3 投标文件的修改与撤回</w:t>
      </w:r>
      <w:bookmarkEnd w:id="122"/>
      <w:bookmarkEnd w:id="123"/>
      <w:bookmarkEnd w:id="124"/>
      <w:bookmarkEnd w:id="125"/>
    </w:p>
    <w:p>
      <w:pPr>
        <w:spacing w:line="400" w:lineRule="exact"/>
        <w:ind w:firstLine="480" w:firstLineChars="200"/>
        <w:rPr>
          <w:rFonts w:ascii="宋体" w:hAnsi="宋体"/>
          <w:color w:val="auto"/>
          <w:sz w:val="24"/>
          <w:highlight w:val="none"/>
        </w:rPr>
      </w:pPr>
      <w:r>
        <w:rPr>
          <w:rFonts w:ascii="宋体" w:hAnsi="宋体"/>
          <w:color w:val="auto"/>
          <w:sz w:val="24"/>
          <w:highlight w:val="none"/>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4.3.3 修改的内容为投标文件的组成部分。修改的投标文件应按照本章第3条、第4条规定进行编制、密封、标记和递交，并标明“修改”字样。</w:t>
      </w:r>
      <w:bookmarkStart w:id="126" w:name="_Toc11058"/>
      <w:bookmarkStart w:id="127" w:name="_Toc486277893"/>
      <w:bookmarkStart w:id="128" w:name="_Toc234382620"/>
      <w:bookmarkStart w:id="129" w:name="_Toc485889032"/>
    </w:p>
    <w:p>
      <w:pPr>
        <w:spacing w:line="400" w:lineRule="exact"/>
        <w:ind w:firstLine="482" w:firstLineChars="200"/>
        <w:rPr>
          <w:rFonts w:ascii="宋体" w:hAnsi="宋体" w:eastAsia="宋体" w:cs="Times New Roman"/>
          <w:b/>
          <w:bCs/>
          <w:color w:val="auto"/>
          <w:kern w:val="44"/>
          <w:sz w:val="24"/>
          <w:szCs w:val="24"/>
          <w:highlight w:val="none"/>
          <w:lang w:val="en-US" w:eastAsia="zh-CN" w:bidi="ar-SA"/>
        </w:rPr>
      </w:pPr>
      <w:r>
        <w:rPr>
          <w:rFonts w:ascii="宋体" w:hAnsi="宋体" w:eastAsia="宋体" w:cs="Times New Roman"/>
          <w:b/>
          <w:bCs/>
          <w:color w:val="auto"/>
          <w:kern w:val="44"/>
          <w:sz w:val="24"/>
          <w:szCs w:val="24"/>
          <w:highlight w:val="none"/>
          <w:lang w:val="en-US" w:eastAsia="zh-CN" w:bidi="ar-SA"/>
        </w:rPr>
        <w:t>5. 开标</w:t>
      </w:r>
      <w:bookmarkEnd w:id="126"/>
      <w:bookmarkEnd w:id="127"/>
      <w:bookmarkEnd w:id="128"/>
      <w:bookmarkEnd w:id="129"/>
    </w:p>
    <w:p>
      <w:pPr>
        <w:pStyle w:val="4"/>
        <w:spacing w:before="0" w:after="0" w:line="400" w:lineRule="exact"/>
        <w:rPr>
          <w:rFonts w:ascii="宋体" w:hAnsi="宋体"/>
          <w:color w:val="auto"/>
          <w:sz w:val="24"/>
          <w:szCs w:val="24"/>
          <w:highlight w:val="none"/>
        </w:rPr>
      </w:pPr>
      <w:bookmarkStart w:id="130" w:name="_Toc11150"/>
      <w:bookmarkStart w:id="131" w:name="_Toc234382622"/>
      <w:bookmarkStart w:id="132" w:name="_Toc486277894"/>
      <w:bookmarkStart w:id="133" w:name="_Toc485889033"/>
      <w:r>
        <w:rPr>
          <w:rFonts w:ascii="宋体" w:hAnsi="宋体"/>
          <w:color w:val="auto"/>
          <w:sz w:val="24"/>
          <w:szCs w:val="24"/>
          <w:highlight w:val="none"/>
        </w:rPr>
        <w:t>5.1 开标时间和地点</w:t>
      </w:r>
      <w:bookmarkEnd w:id="130"/>
      <w:bookmarkEnd w:id="131"/>
      <w:bookmarkEnd w:id="132"/>
      <w:bookmarkEnd w:id="133"/>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招标人在本章第 2.2.2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4"/>
        <w:spacing w:beforeLines="50" w:after="0" w:line="400" w:lineRule="exact"/>
        <w:rPr>
          <w:rFonts w:ascii="宋体" w:hAnsi="宋体"/>
          <w:color w:val="auto"/>
          <w:sz w:val="24"/>
          <w:szCs w:val="24"/>
          <w:highlight w:val="none"/>
        </w:rPr>
      </w:pPr>
      <w:bookmarkStart w:id="134" w:name="_Toc234382624"/>
      <w:bookmarkStart w:id="135" w:name="_Toc485889034"/>
      <w:bookmarkStart w:id="136" w:name="_Toc26054"/>
      <w:bookmarkStart w:id="137" w:name="_Toc486277895"/>
      <w:r>
        <w:rPr>
          <w:rFonts w:ascii="宋体" w:hAnsi="宋体"/>
          <w:color w:val="auto"/>
          <w:sz w:val="24"/>
          <w:szCs w:val="24"/>
          <w:highlight w:val="none"/>
        </w:rPr>
        <w:t>5.2 开标程序</w:t>
      </w:r>
      <w:bookmarkEnd w:id="134"/>
      <w:bookmarkEnd w:id="135"/>
      <w:bookmarkEnd w:id="136"/>
      <w:bookmarkEnd w:id="137"/>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（4）按照投标人须知前附表规定检查投标文件的密封情况；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5.2.3 投标文件第二个信封（投标报价和工程量清单）不予开封，并交监标人密封保存。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（6）设有标底的，公布标底；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w:t>
      </w:r>
      <w:r>
        <w:rPr>
          <w:rStyle w:val="16"/>
          <w:rFonts w:ascii="宋体" w:hAnsi="宋体"/>
          <w:color w:val="auto"/>
          <w:sz w:val="24"/>
          <w:highlight w:val="none"/>
        </w:rPr>
        <w:footnoteReference w:id="0"/>
      </w:r>
      <w:r>
        <w:rPr>
          <w:rFonts w:hint="eastAsia" w:ascii="宋体" w:hAnsi="宋体"/>
          <w:color w:val="auto"/>
          <w:sz w:val="24"/>
          <w:highlight w:val="none"/>
        </w:rPr>
        <w:t>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（1）未在投标函上填写投标总价；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（2）投标报价或调价函中的报价超出招标人公布的投标控制价上限（如有）。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150" w:after="480" w:line="400" w:lineRule="exact"/>
        <w:rPr>
          <w:rFonts w:ascii="宋体" w:hAnsi="宋体"/>
          <w:color w:val="auto"/>
          <w:sz w:val="24"/>
          <w:szCs w:val="24"/>
          <w:highlight w:val="none"/>
        </w:rPr>
      </w:pPr>
      <w:bookmarkStart w:id="138" w:name="_Toc485889035"/>
      <w:bookmarkStart w:id="139" w:name="_Toc234382625"/>
      <w:bookmarkStart w:id="140" w:name="_Toc486277896"/>
      <w:bookmarkStart w:id="141" w:name="_Toc27685"/>
      <w:r>
        <w:rPr>
          <w:rFonts w:ascii="宋体" w:hAnsi="宋体"/>
          <w:color w:val="auto"/>
          <w:sz w:val="24"/>
          <w:szCs w:val="24"/>
          <w:highlight w:val="none"/>
        </w:rPr>
        <w:t>6. 评标</w:t>
      </w:r>
      <w:bookmarkEnd w:id="138"/>
      <w:bookmarkEnd w:id="139"/>
      <w:bookmarkEnd w:id="140"/>
      <w:bookmarkEnd w:id="141"/>
    </w:p>
    <w:p>
      <w:pPr>
        <w:pStyle w:val="4"/>
        <w:spacing w:before="0" w:after="0" w:line="400" w:lineRule="exact"/>
        <w:rPr>
          <w:rFonts w:ascii="宋体" w:hAnsi="宋体"/>
          <w:color w:val="auto"/>
          <w:sz w:val="24"/>
          <w:szCs w:val="24"/>
          <w:highlight w:val="none"/>
        </w:rPr>
      </w:pPr>
      <w:bookmarkStart w:id="142" w:name="_Toc234382626"/>
      <w:bookmarkStart w:id="143" w:name="_Toc485889036"/>
      <w:bookmarkStart w:id="144" w:name="_Toc17693"/>
      <w:bookmarkStart w:id="145" w:name="_Toc486277897"/>
      <w:r>
        <w:rPr>
          <w:rFonts w:ascii="宋体" w:hAnsi="宋体"/>
          <w:color w:val="auto"/>
          <w:sz w:val="24"/>
          <w:szCs w:val="24"/>
          <w:highlight w:val="none"/>
        </w:rPr>
        <w:t>6.1 评标委员会</w:t>
      </w:r>
      <w:bookmarkEnd w:id="142"/>
      <w:bookmarkEnd w:id="143"/>
      <w:bookmarkEnd w:id="144"/>
      <w:bookmarkEnd w:id="145"/>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（1）招标人或投标人的主要负责人的近亲属；</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（2）项目主管部门或者行政监督部门的人员；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（3）与投标人有经济利益关系，可能影响对投标公正评审的；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（4）曾因在招标、评标以及其他与招标投标有关活动中从事违法行为而受过行政处罚或刑事处罚的。</w:t>
      </w:r>
    </w:p>
    <w:p>
      <w:pPr>
        <w:pStyle w:val="4"/>
        <w:spacing w:beforeLines="50" w:after="0" w:line="400" w:lineRule="exact"/>
        <w:rPr>
          <w:rFonts w:ascii="宋体" w:hAnsi="宋体"/>
          <w:color w:val="auto"/>
          <w:sz w:val="24"/>
          <w:szCs w:val="24"/>
          <w:highlight w:val="none"/>
        </w:rPr>
      </w:pPr>
      <w:bookmarkStart w:id="146" w:name="_Toc5222"/>
      <w:bookmarkStart w:id="147" w:name="_Toc234382627"/>
      <w:bookmarkStart w:id="148" w:name="_Toc486277898"/>
      <w:bookmarkStart w:id="149" w:name="_Toc485889037"/>
      <w:r>
        <w:rPr>
          <w:rFonts w:ascii="宋体" w:hAnsi="宋体"/>
          <w:color w:val="auto"/>
          <w:sz w:val="24"/>
          <w:szCs w:val="24"/>
          <w:highlight w:val="none"/>
        </w:rPr>
        <w:t>6.2 评标原则</w:t>
      </w:r>
      <w:bookmarkEnd w:id="146"/>
      <w:bookmarkEnd w:id="147"/>
      <w:bookmarkEnd w:id="148"/>
      <w:bookmarkEnd w:id="149"/>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4"/>
        <w:spacing w:beforeLines="50" w:after="0" w:line="400" w:lineRule="exact"/>
        <w:rPr>
          <w:rFonts w:ascii="宋体" w:hAnsi="宋体"/>
          <w:color w:val="auto"/>
          <w:sz w:val="24"/>
          <w:szCs w:val="24"/>
          <w:highlight w:val="none"/>
        </w:rPr>
      </w:pPr>
      <w:bookmarkStart w:id="150" w:name="_Toc486277899"/>
      <w:bookmarkStart w:id="151" w:name="_Toc31911"/>
      <w:bookmarkStart w:id="152" w:name="_Toc234382628"/>
      <w:bookmarkStart w:id="153" w:name="_Toc485889038"/>
      <w:r>
        <w:rPr>
          <w:rFonts w:ascii="宋体" w:hAnsi="宋体"/>
          <w:color w:val="auto"/>
          <w:sz w:val="24"/>
          <w:szCs w:val="24"/>
          <w:highlight w:val="none"/>
        </w:rPr>
        <w:t>6.3 评标</w:t>
      </w:r>
      <w:bookmarkEnd w:id="150"/>
      <w:bookmarkEnd w:id="151"/>
      <w:bookmarkEnd w:id="152"/>
      <w:bookmarkEnd w:id="153"/>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color w:val="auto"/>
          <w:sz w:val="24"/>
          <w:szCs w:val="24"/>
          <w:highlight w:val="none"/>
        </w:rPr>
      </w:pPr>
      <w:bookmarkStart w:id="154" w:name="_Toc485889039"/>
      <w:bookmarkStart w:id="155" w:name="_Toc234382629"/>
      <w:bookmarkStart w:id="156" w:name="_Toc486277900"/>
      <w:bookmarkStart w:id="157" w:name="_Toc21378"/>
      <w:r>
        <w:rPr>
          <w:rFonts w:ascii="宋体" w:hAnsi="宋体"/>
          <w:color w:val="auto"/>
          <w:sz w:val="24"/>
          <w:szCs w:val="24"/>
          <w:highlight w:val="none"/>
        </w:rPr>
        <w:t>7. 合同授予</w:t>
      </w:r>
      <w:bookmarkEnd w:id="154"/>
      <w:bookmarkEnd w:id="155"/>
      <w:bookmarkEnd w:id="156"/>
      <w:bookmarkEnd w:id="157"/>
    </w:p>
    <w:p>
      <w:pPr>
        <w:pStyle w:val="4"/>
        <w:spacing w:before="0" w:after="0" w:line="400" w:lineRule="exact"/>
        <w:rPr>
          <w:rFonts w:ascii="宋体" w:hAnsi="宋体"/>
          <w:color w:val="auto"/>
          <w:sz w:val="24"/>
          <w:szCs w:val="24"/>
          <w:highlight w:val="none"/>
        </w:rPr>
      </w:pPr>
      <w:bookmarkStart w:id="158" w:name="_Toc485889040"/>
      <w:bookmarkStart w:id="159" w:name="_Toc486277901"/>
      <w:bookmarkStart w:id="160" w:name="_Toc10828"/>
      <w:bookmarkStart w:id="161" w:name="_Toc234382630"/>
      <w:r>
        <w:rPr>
          <w:rFonts w:ascii="宋体" w:hAnsi="宋体"/>
          <w:color w:val="auto"/>
          <w:sz w:val="24"/>
          <w:szCs w:val="24"/>
          <w:highlight w:val="none"/>
        </w:rPr>
        <w:t>7.1 定标方式</w:t>
      </w:r>
      <w:bookmarkEnd w:id="158"/>
      <w:bookmarkEnd w:id="159"/>
      <w:bookmarkEnd w:id="160"/>
      <w:bookmarkEnd w:id="161"/>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color w:val="auto"/>
          <w:sz w:val="24"/>
          <w:szCs w:val="24"/>
          <w:highlight w:val="none"/>
        </w:rPr>
      </w:pPr>
      <w:bookmarkStart w:id="162" w:name="_Toc13648"/>
      <w:bookmarkStart w:id="163" w:name="_Toc485889041"/>
      <w:bookmarkStart w:id="164" w:name="_Toc234382631"/>
      <w:bookmarkStart w:id="165" w:name="_Toc486277902"/>
      <w:r>
        <w:rPr>
          <w:rFonts w:ascii="宋体" w:hAnsi="宋体"/>
          <w:color w:val="auto"/>
          <w:sz w:val="24"/>
          <w:szCs w:val="24"/>
          <w:highlight w:val="none"/>
        </w:rPr>
        <w:t>7.2 中标通知</w:t>
      </w:r>
      <w:bookmarkEnd w:id="162"/>
      <w:bookmarkEnd w:id="163"/>
      <w:bookmarkEnd w:id="164"/>
      <w:bookmarkEnd w:id="165"/>
    </w:p>
    <w:p>
      <w:pPr>
        <w:spacing w:line="400" w:lineRule="exact"/>
        <w:ind w:firstLine="480" w:firstLineChars="200"/>
        <w:rPr>
          <w:rFonts w:ascii="宋体" w:hAnsi="宋体"/>
          <w:color w:val="auto"/>
          <w:sz w:val="24"/>
          <w:highlight w:val="none"/>
        </w:rPr>
      </w:pPr>
      <w:r>
        <w:rPr>
          <w:rFonts w:ascii="宋体" w:hAnsi="宋体"/>
          <w:color w:val="auto"/>
          <w:sz w:val="24"/>
          <w:highlight w:val="none"/>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color w:val="auto"/>
          <w:sz w:val="24"/>
          <w:szCs w:val="24"/>
          <w:highlight w:val="none"/>
        </w:rPr>
      </w:pPr>
      <w:bookmarkStart w:id="166" w:name="_Toc485889042"/>
      <w:bookmarkStart w:id="167" w:name="_Toc486277903"/>
      <w:bookmarkStart w:id="168" w:name="_Toc234382633"/>
      <w:bookmarkStart w:id="169" w:name="_Toc16842"/>
      <w:r>
        <w:rPr>
          <w:rFonts w:ascii="宋体" w:hAnsi="宋体"/>
          <w:color w:val="auto"/>
          <w:sz w:val="24"/>
          <w:szCs w:val="24"/>
          <w:highlight w:val="none"/>
        </w:rPr>
        <w:t>7.</w:t>
      </w:r>
      <w:r>
        <w:rPr>
          <w:rFonts w:hint="eastAsia" w:ascii="宋体" w:hAnsi="宋体"/>
          <w:color w:val="auto"/>
          <w:sz w:val="24"/>
          <w:szCs w:val="24"/>
          <w:highlight w:val="none"/>
        </w:rPr>
        <w:t>3</w:t>
      </w:r>
      <w:r>
        <w:rPr>
          <w:rFonts w:ascii="宋体" w:hAnsi="宋体"/>
          <w:color w:val="auto"/>
          <w:sz w:val="24"/>
          <w:szCs w:val="24"/>
          <w:highlight w:val="none"/>
        </w:rPr>
        <w:t>签订合同</w:t>
      </w:r>
      <w:bookmarkEnd w:id="166"/>
      <w:bookmarkEnd w:id="167"/>
      <w:bookmarkEnd w:id="168"/>
      <w:bookmarkEnd w:id="169"/>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7.3.3 签约合同价的确定原则如下：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autoSpaceDE w:val="0"/>
        <w:autoSpaceDN w:val="0"/>
        <w:jc w:val="left"/>
        <w:outlineLvl w:val="0"/>
        <w:rPr>
          <w:rFonts w:hint="eastAsia" w:ascii="宋体" w:hAnsi="宋体" w:eastAsia="宋体" w:cs="宋体"/>
          <w:b/>
          <w:sz w:val="24"/>
          <w:szCs w:val="22"/>
          <w:lang w:val="en-US" w:eastAsia="zh-CN"/>
        </w:rPr>
      </w:pPr>
      <w:bookmarkStart w:id="170" w:name="_Toc16570"/>
      <w:bookmarkStart w:id="171" w:name="_Toc485889043"/>
      <w:bookmarkStart w:id="172" w:name="_Toc234382634"/>
      <w:bookmarkStart w:id="173" w:name="_Toc486277904"/>
      <w:r>
        <w:rPr>
          <w:rFonts w:hint="eastAsia" w:ascii="宋体" w:hAnsi="宋体" w:eastAsia="宋体" w:cs="宋体"/>
          <w:b/>
          <w:sz w:val="24"/>
          <w:szCs w:val="22"/>
          <w:lang w:val="en-US" w:eastAsia="zh-CN"/>
        </w:rPr>
        <w:t>7.4履约保证金</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7.4.1</w:t>
      </w:r>
      <w:r>
        <w:rPr>
          <w:rFonts w:hint="eastAsia" w:ascii="宋体" w:hAnsi="宋体" w:eastAsia="宋体" w:cs="Times New Roman"/>
          <w:color w:val="auto"/>
          <w:sz w:val="24"/>
          <w:highlight w:val="none"/>
        </w:rPr>
        <w:t xml:space="preserve">履约保证金提交方式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1、以网银、银行转账支票、银行电汇方式提交。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2、现金支票和现金不得作为履约保证金提交方式。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3、中标人必须通过其公司账户按照规定的方式提交，其名称应与中标单位的名称一致。</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7.4.2</w:t>
      </w:r>
      <w:r>
        <w:rPr>
          <w:rFonts w:hint="eastAsia" w:ascii="宋体" w:hAnsi="宋体" w:eastAsia="宋体" w:cs="Times New Roman"/>
          <w:color w:val="auto"/>
          <w:sz w:val="24"/>
          <w:highlight w:val="none"/>
        </w:rPr>
        <w:t xml:space="preserve">履约保证金提交比例和数额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履约保证金数额不得超过中标合同金额的10%。</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7.4.3</w:t>
      </w:r>
      <w:r>
        <w:rPr>
          <w:rFonts w:hint="eastAsia" w:ascii="宋体" w:hAnsi="宋体" w:eastAsia="宋体" w:cs="Times New Roman"/>
          <w:color w:val="auto"/>
          <w:sz w:val="24"/>
          <w:highlight w:val="none"/>
        </w:rPr>
        <w:t xml:space="preserve"> 履约保证金的退还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1、项目完工后，由招标人出具《履约保证金退还通知单》，中心财务凭《履约保证金退还通知单》在五个工作日内退还履约保证金及银行同期活期存款利息至中标人账户。  </w:t>
      </w:r>
    </w:p>
    <w:p>
      <w:pPr>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2、中标人因发生质疑、投诉、举报或有关部门立案调查的，中心依据相关行政监督部门的意见暂停退还或没收其履约保证金，待行政监督部门对相关情况处置后，按照有关规定办理。 </w:t>
      </w: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1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hint="eastAsia" w:ascii="宋体" w:hAnsi="宋体"/>
                <w:sz w:val="24"/>
              </w:rPr>
            </w:pPr>
          </w:p>
        </w:tc>
        <w:tc>
          <w:tcPr>
            <w:tcW w:w="1440" w:type="dxa"/>
            <w:gridSpan w:val="2"/>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vAlign w:val="center"/>
          </w:tcPr>
          <w:p>
            <w:pPr>
              <w:rPr>
                <w:rFonts w:hint="eastAsia" w:ascii="宋体" w:hAnsi="宋体"/>
                <w:sz w:val="24"/>
              </w:rPr>
            </w:pPr>
          </w:p>
        </w:tc>
        <w:tc>
          <w:tcPr>
            <w:tcW w:w="722" w:type="dxa"/>
            <w:gridSpan w:val="2"/>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spacing w:line="400" w:lineRule="exact"/>
        <w:ind w:firstLine="482" w:firstLineChars="200"/>
        <w:rPr>
          <w:rFonts w:ascii="宋体" w:hAnsi="宋体" w:eastAsia="宋体" w:cs="Times New Roman"/>
          <w:b/>
          <w:bCs/>
          <w:color w:val="auto"/>
          <w:kern w:val="44"/>
          <w:sz w:val="24"/>
          <w:szCs w:val="24"/>
          <w:highlight w:val="none"/>
          <w:lang w:val="en-US" w:eastAsia="zh-CN" w:bidi="ar-SA"/>
        </w:rPr>
      </w:pPr>
      <w:r>
        <w:rPr>
          <w:rFonts w:ascii="宋体" w:hAnsi="宋体" w:eastAsia="宋体" w:cs="Times New Roman"/>
          <w:b/>
          <w:bCs/>
          <w:color w:val="auto"/>
          <w:kern w:val="44"/>
          <w:sz w:val="24"/>
          <w:szCs w:val="24"/>
          <w:highlight w:val="none"/>
          <w:lang w:val="en-US" w:eastAsia="zh-CN" w:bidi="ar-SA"/>
        </w:rPr>
        <w:t>8. 重新招标和不再招标</w:t>
      </w:r>
      <w:bookmarkEnd w:id="170"/>
      <w:bookmarkEnd w:id="171"/>
      <w:bookmarkEnd w:id="172"/>
      <w:bookmarkEnd w:id="173"/>
    </w:p>
    <w:p>
      <w:pPr>
        <w:pStyle w:val="4"/>
        <w:spacing w:before="0" w:after="0" w:line="400" w:lineRule="exact"/>
        <w:rPr>
          <w:rFonts w:ascii="宋体" w:hAnsi="宋体"/>
          <w:color w:val="auto"/>
          <w:sz w:val="24"/>
          <w:szCs w:val="24"/>
          <w:highlight w:val="none"/>
        </w:rPr>
      </w:pPr>
      <w:bookmarkStart w:id="174" w:name="_Toc234382635"/>
      <w:bookmarkStart w:id="175" w:name="_Toc485889044"/>
      <w:bookmarkStart w:id="176" w:name="_Toc4100"/>
      <w:bookmarkStart w:id="177" w:name="_Toc486277905"/>
      <w:r>
        <w:rPr>
          <w:rFonts w:ascii="宋体" w:hAnsi="宋体"/>
          <w:color w:val="auto"/>
          <w:sz w:val="24"/>
          <w:szCs w:val="24"/>
          <w:highlight w:val="none"/>
        </w:rPr>
        <w:t>8.1 重新招标</w:t>
      </w:r>
      <w:bookmarkEnd w:id="174"/>
      <w:bookmarkEnd w:id="175"/>
      <w:bookmarkEnd w:id="176"/>
      <w:bookmarkEnd w:id="177"/>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4"/>
        <w:spacing w:beforeLines="50" w:after="0" w:line="400" w:lineRule="exact"/>
        <w:rPr>
          <w:rFonts w:ascii="宋体" w:hAnsi="宋体"/>
          <w:color w:val="auto"/>
          <w:sz w:val="24"/>
          <w:szCs w:val="24"/>
          <w:highlight w:val="none"/>
        </w:rPr>
      </w:pPr>
      <w:bookmarkStart w:id="178" w:name="_Toc21063"/>
      <w:bookmarkStart w:id="179" w:name="_Toc486277906"/>
      <w:bookmarkStart w:id="180" w:name="_Toc234382636"/>
      <w:bookmarkStart w:id="181" w:name="_Toc485889045"/>
      <w:r>
        <w:rPr>
          <w:rFonts w:ascii="宋体" w:hAnsi="宋体"/>
          <w:color w:val="auto"/>
          <w:sz w:val="24"/>
          <w:szCs w:val="24"/>
          <w:highlight w:val="none"/>
        </w:rPr>
        <w:t>8.2 不再招标</w:t>
      </w:r>
      <w:bookmarkEnd w:id="178"/>
      <w:bookmarkEnd w:id="179"/>
      <w:bookmarkEnd w:id="180"/>
      <w:bookmarkEnd w:id="181"/>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color w:val="auto"/>
          <w:sz w:val="24"/>
          <w:szCs w:val="24"/>
          <w:highlight w:val="none"/>
        </w:rPr>
      </w:pPr>
      <w:bookmarkStart w:id="182" w:name="_Toc486277907"/>
      <w:bookmarkStart w:id="183" w:name="_Toc32202"/>
      <w:bookmarkStart w:id="184" w:name="_Toc485889046"/>
      <w:bookmarkStart w:id="185" w:name="_Toc234382637"/>
      <w:r>
        <w:rPr>
          <w:rFonts w:ascii="宋体" w:hAnsi="宋体"/>
          <w:color w:val="auto"/>
          <w:sz w:val="24"/>
          <w:szCs w:val="24"/>
          <w:highlight w:val="none"/>
        </w:rPr>
        <w:t>9. 纪律和监督</w:t>
      </w:r>
      <w:bookmarkEnd w:id="182"/>
      <w:bookmarkEnd w:id="183"/>
      <w:bookmarkEnd w:id="184"/>
      <w:bookmarkEnd w:id="185"/>
    </w:p>
    <w:p>
      <w:pPr>
        <w:pStyle w:val="4"/>
        <w:spacing w:before="0" w:after="0" w:line="400" w:lineRule="exact"/>
        <w:rPr>
          <w:rFonts w:ascii="宋体" w:hAnsi="宋体"/>
          <w:color w:val="auto"/>
          <w:sz w:val="24"/>
          <w:szCs w:val="24"/>
          <w:highlight w:val="none"/>
        </w:rPr>
      </w:pPr>
      <w:bookmarkStart w:id="186" w:name="_Toc485889047"/>
      <w:bookmarkStart w:id="187" w:name="_Toc23625"/>
      <w:bookmarkStart w:id="188" w:name="_Toc486277908"/>
      <w:bookmarkStart w:id="189" w:name="_Toc234382638"/>
      <w:r>
        <w:rPr>
          <w:rFonts w:ascii="宋体" w:hAnsi="宋体"/>
          <w:color w:val="auto"/>
          <w:sz w:val="24"/>
          <w:szCs w:val="24"/>
          <w:highlight w:val="none"/>
        </w:rPr>
        <w:t>9.1 对招标人的纪律要求</w:t>
      </w:r>
      <w:bookmarkEnd w:id="186"/>
      <w:bookmarkEnd w:id="187"/>
      <w:bookmarkEnd w:id="188"/>
      <w:bookmarkEnd w:id="189"/>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color w:val="auto"/>
          <w:sz w:val="24"/>
          <w:szCs w:val="24"/>
          <w:highlight w:val="none"/>
        </w:rPr>
      </w:pPr>
      <w:bookmarkStart w:id="190" w:name="_Toc234382639"/>
      <w:bookmarkStart w:id="191" w:name="_Toc486277909"/>
      <w:bookmarkStart w:id="192" w:name="_Toc485889048"/>
      <w:bookmarkStart w:id="193" w:name="_Toc13796"/>
      <w:r>
        <w:rPr>
          <w:rFonts w:ascii="宋体" w:hAnsi="宋体"/>
          <w:color w:val="auto"/>
          <w:sz w:val="24"/>
          <w:szCs w:val="24"/>
          <w:highlight w:val="none"/>
        </w:rPr>
        <w:t>9.2 对投标人的纪律要求</w:t>
      </w:r>
      <w:bookmarkEnd w:id="190"/>
      <w:bookmarkEnd w:id="191"/>
      <w:bookmarkEnd w:id="192"/>
      <w:bookmarkEnd w:id="193"/>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color w:val="auto"/>
          <w:sz w:val="24"/>
          <w:szCs w:val="24"/>
          <w:highlight w:val="none"/>
        </w:rPr>
      </w:pPr>
      <w:bookmarkStart w:id="194" w:name="_Toc485889049"/>
      <w:bookmarkStart w:id="195" w:name="_Toc486277910"/>
      <w:bookmarkStart w:id="196" w:name="_Toc16702"/>
      <w:bookmarkStart w:id="197" w:name="_Toc234382640"/>
      <w:r>
        <w:rPr>
          <w:rFonts w:ascii="宋体" w:hAnsi="宋体"/>
          <w:color w:val="auto"/>
          <w:sz w:val="24"/>
          <w:szCs w:val="24"/>
          <w:highlight w:val="none"/>
        </w:rPr>
        <w:t>9.3 对评标委员会成员的纪律要求</w:t>
      </w:r>
      <w:bookmarkEnd w:id="194"/>
      <w:bookmarkEnd w:id="195"/>
      <w:bookmarkEnd w:id="196"/>
      <w:bookmarkEnd w:id="197"/>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color w:val="auto"/>
          <w:sz w:val="24"/>
          <w:szCs w:val="24"/>
          <w:highlight w:val="none"/>
        </w:rPr>
      </w:pPr>
      <w:bookmarkStart w:id="198" w:name="_Toc12383"/>
      <w:bookmarkStart w:id="199" w:name="_Toc485889050"/>
      <w:bookmarkStart w:id="200" w:name="_Toc234382641"/>
      <w:bookmarkStart w:id="201" w:name="_Toc486277911"/>
      <w:r>
        <w:rPr>
          <w:rFonts w:ascii="宋体" w:hAnsi="宋体"/>
          <w:color w:val="auto"/>
          <w:sz w:val="24"/>
          <w:szCs w:val="24"/>
          <w:highlight w:val="none"/>
        </w:rPr>
        <w:t>9.4 对与评标活动有关的工作人员的纪律要求</w:t>
      </w:r>
      <w:bookmarkEnd w:id="198"/>
      <w:bookmarkEnd w:id="199"/>
      <w:bookmarkEnd w:id="200"/>
      <w:bookmarkEnd w:id="201"/>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color w:val="auto"/>
          <w:sz w:val="24"/>
          <w:szCs w:val="24"/>
          <w:highlight w:val="none"/>
        </w:rPr>
      </w:pPr>
      <w:bookmarkStart w:id="202" w:name="_Toc25179"/>
      <w:bookmarkStart w:id="203" w:name="_Toc485889051"/>
      <w:bookmarkStart w:id="204" w:name="_Toc234382642"/>
      <w:bookmarkStart w:id="205" w:name="_Toc486277912"/>
      <w:r>
        <w:rPr>
          <w:rFonts w:ascii="宋体" w:hAnsi="宋体"/>
          <w:color w:val="auto"/>
          <w:sz w:val="24"/>
          <w:szCs w:val="24"/>
          <w:highlight w:val="none"/>
        </w:rPr>
        <w:t>9.5 投诉</w:t>
      </w:r>
      <w:bookmarkEnd w:id="202"/>
      <w:bookmarkEnd w:id="203"/>
      <w:bookmarkEnd w:id="204"/>
      <w:bookmarkEnd w:id="205"/>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投标人和其他利害关系人认为本次招标活动违反法律、法规和规章规定的，有权向有关行政监督部门投诉。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监督部门的联系方式见投标人须知前附表。</w:t>
      </w:r>
    </w:p>
    <w:p>
      <w:pPr>
        <w:pStyle w:val="4"/>
        <w:spacing w:beforeLines="150" w:after="480" w:line="400" w:lineRule="exact"/>
        <w:rPr>
          <w:rFonts w:ascii="宋体" w:hAnsi="宋体"/>
          <w:color w:val="auto"/>
          <w:sz w:val="24"/>
          <w:szCs w:val="24"/>
          <w:highlight w:val="none"/>
        </w:rPr>
      </w:pPr>
      <w:bookmarkStart w:id="206" w:name="_Toc486277913"/>
      <w:bookmarkStart w:id="207" w:name="_Toc30072"/>
      <w:bookmarkStart w:id="208" w:name="_Toc485889052"/>
      <w:bookmarkStart w:id="209" w:name="_Toc234382643"/>
      <w:r>
        <w:rPr>
          <w:rFonts w:ascii="宋体" w:hAnsi="宋体"/>
          <w:color w:val="auto"/>
          <w:sz w:val="24"/>
          <w:szCs w:val="24"/>
          <w:highlight w:val="none"/>
        </w:rPr>
        <w:t>10. 需要补充的其他内容</w:t>
      </w:r>
      <w:bookmarkEnd w:id="206"/>
      <w:bookmarkEnd w:id="207"/>
      <w:bookmarkEnd w:id="208"/>
      <w:bookmarkEnd w:id="209"/>
    </w:p>
    <w:p>
      <w:pPr>
        <w:spacing w:line="400" w:lineRule="exact"/>
        <w:ind w:firstLine="480" w:firstLineChars="200"/>
        <w:rPr>
          <w:rFonts w:ascii="宋体" w:hAnsi="宋体"/>
          <w:color w:val="auto"/>
          <w:sz w:val="24"/>
          <w:highlight w:val="none"/>
        </w:rPr>
      </w:pPr>
      <w:r>
        <w:rPr>
          <w:rFonts w:ascii="宋体" w:hAnsi="宋体"/>
          <w:color w:val="auto"/>
          <w:sz w:val="24"/>
          <w:highlight w:val="none"/>
        </w:rPr>
        <w:t>需要补充的其他内容：见投标人须知前附表。</w:t>
      </w:r>
    </w:p>
    <w:p>
      <w:pPr>
        <w:rPr>
          <w:rFonts w:ascii="宋体" w:hAnsi="宋体"/>
          <w:color w:val="auto"/>
          <w:sz w:val="24"/>
          <w:highlight w:val="none"/>
        </w:rPr>
      </w:pPr>
      <w:bookmarkStart w:id="210" w:name="_Toc234382644"/>
    </w:p>
    <w:bookmarkEnd w:id="210"/>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7"/>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lang w:val="en-US" w:eastAsia="zh-CN"/>
              </w:rPr>
              <w:t>建安建工公字〔2019〕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rPr>
            </w:pPr>
            <w:r>
              <w:rPr>
                <w:rFonts w:hint="eastAsia" w:ascii="仿宋_GB2312" w:hAnsi="宋体" w:eastAsia="仿宋_GB2312" w:cs="宋体"/>
                <w:sz w:val="24"/>
                <w:szCs w:val="22"/>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许昌市建安区县道X007线小召至陈曹界段大修工程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柒拾万元整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700000</w:t>
            </w:r>
            <w:r>
              <w:rPr>
                <w:rFonts w:hint="eastAsia" w:ascii="仿宋_GB2312" w:hAnsi="宋体" w:eastAsia="仿宋_GB2312" w:cs="宋体"/>
                <w:sz w:val="24"/>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15"/>
                <w:rFonts w:hint="eastAsia" w:ascii="仿宋_GB2312" w:hAnsi="宋体" w:eastAsia="仿宋_GB2312" w:cs="宋体"/>
                <w:sz w:val="24"/>
              </w:rPr>
              <w:t>http://221.14.6.70:8088/ggzy</w:t>
            </w:r>
            <w:r>
              <w:rPr>
                <w:rStyle w:val="15"/>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ind w:firstLine="2160" w:firstLineChars="600"/>
        <w:jc w:val="both"/>
        <w:rPr>
          <w:rFonts w:hint="eastAsia" w:ascii="方正小标宋简体" w:hAnsi="宋体" w:eastAsia="方正小标宋简体" w:cs="宋体"/>
          <w:sz w:val="36"/>
          <w:szCs w:val="36"/>
        </w:rPr>
      </w:pPr>
    </w:p>
    <w:p>
      <w:pPr>
        <w:ind w:firstLine="2160" w:firstLineChars="600"/>
        <w:jc w:val="both"/>
        <w:rPr>
          <w:rFonts w:hint="eastAsia" w:ascii="方正小标宋简体" w:hAnsi="宋体" w:eastAsia="方正小标宋简体" w:cs="宋体"/>
          <w:sz w:val="36"/>
          <w:szCs w:val="36"/>
        </w:rPr>
      </w:pPr>
    </w:p>
    <w:p>
      <w:pPr>
        <w:ind w:firstLine="2160" w:firstLineChars="600"/>
        <w:jc w:val="both"/>
        <w:rPr>
          <w:rFonts w:hint="eastAsia" w:ascii="方正小标宋简体" w:hAnsi="宋体" w:eastAsia="方正小标宋简体" w:cs="宋体"/>
          <w:sz w:val="36"/>
          <w:szCs w:val="36"/>
        </w:rPr>
      </w:pPr>
    </w:p>
    <w:p>
      <w:pPr>
        <w:ind w:firstLine="2160" w:firstLineChars="600"/>
        <w:jc w:val="both"/>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7"/>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hint="eastAsia" w:ascii="黑体" w:eastAsia="黑体"/>
          <w:b/>
          <w:color w:val="auto"/>
          <w:sz w:val="24"/>
          <w:highlight w:val="none"/>
        </w:rPr>
      </w:pPr>
    </w:p>
    <w:p>
      <w:pPr>
        <w:spacing w:afterLines="50" w:line="440" w:lineRule="exact"/>
        <w:rPr>
          <w:rFonts w:ascii="黑体" w:eastAsia="黑体"/>
          <w:b/>
          <w:color w:val="auto"/>
          <w:sz w:val="24"/>
          <w:highlight w:val="none"/>
        </w:rPr>
      </w:pPr>
      <w:r>
        <w:rPr>
          <w:rFonts w:hint="eastAsia" w:ascii="黑体" w:eastAsia="黑体"/>
          <w:b/>
          <w:color w:val="auto"/>
          <w:sz w:val="24"/>
          <w:highlight w:val="none"/>
        </w:rPr>
        <w:t>附表二：提交证件及业绩格式</w:t>
      </w:r>
    </w:p>
    <w:p>
      <w:pPr>
        <w:spacing w:afterLines="50" w:line="440" w:lineRule="exact"/>
        <w:ind w:firstLine="562" w:firstLineChars="200"/>
        <w:rPr>
          <w:rFonts w:ascii="新宋体" w:hAnsi="新宋体" w:eastAsia="新宋体"/>
          <w:color w:val="auto"/>
          <w:sz w:val="28"/>
          <w:szCs w:val="28"/>
          <w:highlight w:val="none"/>
        </w:rPr>
      </w:pPr>
      <w:r>
        <w:rPr>
          <w:rFonts w:hint="eastAsia" w:ascii="新宋体" w:hAnsi="新宋体" w:eastAsia="新宋体"/>
          <w:b/>
          <w:color w:val="auto"/>
          <w:sz w:val="28"/>
          <w:szCs w:val="28"/>
          <w:highlight w:val="none"/>
          <w:u w:val="single"/>
        </w:rPr>
        <w:t xml:space="preserve">                        </w:t>
      </w:r>
      <w:r>
        <w:rPr>
          <w:rFonts w:hint="eastAsia" w:ascii="新宋体" w:hAnsi="新宋体" w:eastAsia="新宋体"/>
          <w:b/>
          <w:color w:val="auto"/>
          <w:sz w:val="28"/>
          <w:szCs w:val="28"/>
          <w:highlight w:val="none"/>
        </w:rPr>
        <w:t>工程提交证件及业绩提交及领取一览表</w:t>
      </w:r>
    </w:p>
    <w:tbl>
      <w:tblPr>
        <w:tblStyle w:val="17"/>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w:t>
            </w:r>
          </w:p>
        </w:tc>
        <w:tc>
          <w:tcPr>
            <w:tcW w:w="4777" w:type="dxa"/>
            <w:gridSpan w:val="3"/>
            <w:vAlign w:val="center"/>
          </w:tcPr>
          <w:p>
            <w:pPr>
              <w:ind w:firstLine="420" w:firstLineChars="200"/>
              <w:jc w:val="center"/>
              <w:rPr>
                <w:rFonts w:ascii="新宋体" w:hAnsi="新宋体" w:eastAsia="新宋体"/>
                <w:b/>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b/>
                <w:color w:val="auto"/>
                <w:szCs w:val="21"/>
                <w:highlight w:val="none"/>
              </w:rPr>
              <w:t>（盖章）</w:t>
            </w:r>
          </w:p>
        </w:tc>
        <w:tc>
          <w:tcPr>
            <w:tcW w:w="795"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联系电话</w:t>
            </w:r>
          </w:p>
        </w:tc>
        <w:tc>
          <w:tcPr>
            <w:tcW w:w="1832" w:type="dxa"/>
            <w:gridSpan w:val="3"/>
            <w:vAlign w:val="center"/>
          </w:tcPr>
          <w:p>
            <w:pPr>
              <w:ind w:firstLine="422" w:firstLineChars="200"/>
              <w:jc w:val="center"/>
              <w:rPr>
                <w:rFonts w:ascii="新宋体" w:hAnsi="新宋体" w:eastAsia="新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6940" w:type="dxa"/>
            <w:gridSpan w:val="6"/>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证件名称</w:t>
            </w:r>
          </w:p>
        </w:tc>
        <w:tc>
          <w:tcPr>
            <w:tcW w:w="813"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份数</w:t>
            </w:r>
          </w:p>
        </w:tc>
        <w:tc>
          <w:tcPr>
            <w:tcW w:w="800"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提交及归还时间</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提交时间：    年  月   日   时</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投标单位授权委托人</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招标人或代理机构</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签收人签字：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发放人签字：</w:t>
            </w:r>
          </w:p>
        </w:tc>
      </w:tr>
    </w:tbl>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注：</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1、投标人向评标委员会提交的所有证书及相关材料应打印目录并加盖公章；</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3、招标人或委托的代理机构和投标单位委托人双方对照目录核查后，由双方签字确认。</w:t>
      </w:r>
    </w:p>
    <w:p>
      <w:pPr>
        <w:pStyle w:val="4"/>
        <w:spacing w:beforeLines="50" w:after="0" w:line="400" w:lineRule="exact"/>
        <w:rPr>
          <w:rFonts w:ascii="黑体" w:hAnsi="宋体" w:eastAsia="黑体"/>
          <w:color w:val="auto"/>
          <w:sz w:val="24"/>
          <w:szCs w:val="24"/>
          <w:highlight w:val="none"/>
          <w:vertAlign w:val="superscript"/>
        </w:rPr>
      </w:pPr>
      <w:r>
        <w:rPr>
          <w:rFonts w:hint="eastAsia" w:ascii="新宋体" w:hAnsi="新宋体" w:eastAsia="新宋体"/>
          <w:b w:val="0"/>
          <w:bCs w:val="0"/>
          <w:color w:val="auto"/>
          <w:kern w:val="2"/>
          <w:sz w:val="21"/>
          <w:szCs w:val="21"/>
          <w:highlight w:val="none"/>
        </w:rPr>
        <w:t xml:space="preserve">    </w:t>
      </w:r>
      <w:bookmarkStart w:id="211" w:name="_Toc486277914"/>
      <w:bookmarkStart w:id="212" w:name="_Toc2916"/>
      <w:bookmarkStart w:id="213" w:name="_Toc485889053"/>
      <w:r>
        <w:rPr>
          <w:rFonts w:hint="eastAsia" w:ascii="新宋体" w:hAnsi="新宋体" w:eastAsia="新宋体"/>
          <w:b w:val="0"/>
          <w:bCs w:val="0"/>
          <w:color w:val="auto"/>
          <w:kern w:val="2"/>
          <w:sz w:val="21"/>
          <w:szCs w:val="21"/>
          <w:highlight w:val="none"/>
        </w:rPr>
        <w:t>4、评标委员会依法成立后，不再接受投标人任何材料。</w:t>
      </w:r>
      <w:r>
        <w:rPr>
          <w:rFonts w:hint="eastAsia" w:ascii="黑体" w:hAnsi="宋体" w:eastAsia="黑体"/>
          <w:color w:val="auto"/>
          <w:sz w:val="24"/>
          <w:szCs w:val="24"/>
          <w:highlight w:val="none"/>
        </w:rPr>
        <w:br w:type="page"/>
      </w:r>
      <w:r>
        <w:rPr>
          <w:rFonts w:hint="eastAsia" w:ascii="黑体" w:hAnsi="宋体" w:eastAsia="黑体"/>
          <w:color w:val="auto"/>
          <w:sz w:val="24"/>
          <w:szCs w:val="24"/>
          <w:highlight w:val="none"/>
        </w:rPr>
        <w:t>附表三：开标记录表</w:t>
      </w:r>
      <w:bookmarkEnd w:id="211"/>
      <w:bookmarkEnd w:id="212"/>
      <w:bookmarkEnd w:id="213"/>
    </w:p>
    <w:p>
      <w:pPr>
        <w:rPr>
          <w:rFonts w:ascii="宋体" w:hAnsi="宋体"/>
          <w:color w:val="auto"/>
          <w:sz w:val="24"/>
          <w:highlight w:val="none"/>
        </w:rPr>
      </w:pPr>
    </w:p>
    <w:p>
      <w:pPr>
        <w:pStyle w:val="4"/>
        <w:spacing w:beforeLines="50" w:afterLines="50" w:line="40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214" w:name="_Toc234382645"/>
      <w:bookmarkStart w:id="215" w:name="_Toc15502"/>
      <w:bookmarkStart w:id="216" w:name="_Toc485889054"/>
      <w:bookmarkStart w:id="217" w:name="_Toc486277915"/>
      <w:r>
        <w:rPr>
          <w:rFonts w:ascii="黑体" w:hAnsi="宋体" w:eastAsia="黑体"/>
          <w:color w:val="auto"/>
          <w:sz w:val="28"/>
          <w:szCs w:val="28"/>
          <w:highlight w:val="none"/>
        </w:rPr>
        <w:t>（项目名称）</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rPr>
        <w:t>标段施工开标记录表</w:t>
      </w:r>
      <w:bookmarkEnd w:id="214"/>
      <w:bookmarkEnd w:id="215"/>
      <w:bookmarkEnd w:id="216"/>
      <w:bookmarkEnd w:id="217"/>
    </w:p>
    <w:p>
      <w:pPr>
        <w:jc w:val="righ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rPr>
        <w:t>分</w:t>
      </w:r>
    </w:p>
    <w:tbl>
      <w:tblPr>
        <w:tblStyle w:val="17"/>
        <w:tblW w:w="90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zCs w:val="21"/>
                <w:highlight w:val="none"/>
              </w:rPr>
            </w:pPr>
            <w:r>
              <w:rPr>
                <w:rFonts w:hint="eastAsia" w:ascii="宋体" w:hAnsi="宋体"/>
                <w:color w:val="auto"/>
                <w:szCs w:val="21"/>
                <w:highlight w:val="none"/>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 w:val="24"/>
          <w:highlight w:val="none"/>
          <w:u w:val="single"/>
        </w:rPr>
      </w:pPr>
      <w:r>
        <w:rPr>
          <w:rFonts w:ascii="宋体" w:hAnsi="宋体"/>
          <w:color w:val="auto"/>
          <w:sz w:val="24"/>
          <w:highlight w:val="none"/>
        </w:rPr>
        <w:t>招标人代表：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记录人：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监标人：</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黑体" w:hAnsi="宋体" w:eastAsia="黑体"/>
          <w:b/>
          <w:color w:val="auto"/>
          <w:sz w:val="24"/>
          <w:highlight w:val="none"/>
        </w:rPr>
      </w:pPr>
      <w:r>
        <w:rPr>
          <w:rFonts w:ascii="宋体" w:hAnsi="宋体"/>
          <w:color w:val="auto"/>
          <w:sz w:val="24"/>
          <w:highlight w:val="none"/>
        </w:rPr>
        <w:br w:type="page"/>
      </w:r>
      <w:bookmarkStart w:id="218" w:name="_Toc234382646"/>
      <w:r>
        <w:rPr>
          <w:rFonts w:ascii="黑体" w:hAnsi="宋体" w:eastAsia="黑体"/>
          <w:b/>
          <w:color w:val="auto"/>
          <w:sz w:val="24"/>
          <w:highlight w:val="none"/>
        </w:rPr>
        <w:t>附表</w:t>
      </w:r>
      <w:r>
        <w:rPr>
          <w:rFonts w:hint="eastAsia" w:ascii="黑体" w:hAnsi="宋体" w:eastAsia="黑体"/>
          <w:b/>
          <w:color w:val="auto"/>
          <w:sz w:val="24"/>
          <w:highlight w:val="none"/>
        </w:rPr>
        <w:t>四</w:t>
      </w:r>
      <w:r>
        <w:rPr>
          <w:rFonts w:ascii="黑体" w:hAnsi="宋体" w:eastAsia="黑体"/>
          <w:b/>
          <w:color w:val="auto"/>
          <w:sz w:val="24"/>
          <w:highlight w:val="none"/>
        </w:rPr>
        <w:t>：问题澄清通知</w:t>
      </w:r>
      <w:bookmarkEnd w:id="218"/>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（项目名称）  标段施工招标评标委员会</w:t>
      </w:r>
    </w:p>
    <w:p>
      <w:pPr>
        <w:jc w:val="right"/>
        <w:rPr>
          <w:rFonts w:ascii="宋体" w:hAnsi="宋体"/>
          <w:color w:val="auto"/>
          <w:sz w:val="24"/>
          <w:highlight w:val="none"/>
          <w:u w:val="single"/>
        </w:rPr>
      </w:pPr>
      <w:r>
        <w:rPr>
          <w:rFonts w:hint="eastAsia" w:ascii="宋体" w:hAnsi="宋体"/>
          <w:color w:val="auto"/>
          <w:sz w:val="24"/>
          <w:highlight w:val="none"/>
          <w:u w:val="single"/>
        </w:rPr>
        <w:t>招标人</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盖单位章</w:t>
      </w:r>
      <w:r>
        <w:rPr>
          <w:rFonts w:ascii="宋体" w:hAnsi="宋体"/>
          <w:color w:val="auto"/>
          <w:sz w:val="24"/>
          <w:highlight w:val="none"/>
          <w:u w:val="singl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19" w:name="_Toc234382647"/>
      <w:r>
        <w:rPr>
          <w:rFonts w:ascii="黑体" w:hAnsi="宋体" w:eastAsia="黑体"/>
          <w:b/>
          <w:color w:val="auto"/>
          <w:sz w:val="24"/>
          <w:highlight w:val="none"/>
        </w:rPr>
        <w:t>附表</w:t>
      </w:r>
      <w:r>
        <w:rPr>
          <w:rFonts w:hint="eastAsia" w:ascii="黑体" w:hAnsi="宋体" w:eastAsia="黑体"/>
          <w:b/>
          <w:color w:val="auto"/>
          <w:sz w:val="24"/>
          <w:highlight w:val="none"/>
        </w:rPr>
        <w:t>五</w:t>
      </w:r>
      <w:r>
        <w:rPr>
          <w:rFonts w:ascii="黑体" w:hAnsi="宋体" w:eastAsia="黑体"/>
          <w:b/>
          <w:color w:val="auto"/>
          <w:sz w:val="24"/>
          <w:highlight w:val="none"/>
        </w:rPr>
        <w:t>：问题的澄清</w:t>
      </w:r>
      <w:bookmarkEnd w:id="219"/>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pStyle w:val="2"/>
        <w:rPr>
          <w:rFonts w:ascii="黑体" w:eastAsia="黑体"/>
          <w:color w:val="auto"/>
          <w:sz w:val="52"/>
          <w:szCs w:val="52"/>
          <w:highlight w:val="none"/>
        </w:rPr>
      </w:pPr>
    </w:p>
    <w:p>
      <w:pPr>
        <w:numPr>
          <w:ilvl w:val="0"/>
          <w:numId w:val="2"/>
        </w:numPr>
        <w:jc w:val="center"/>
        <w:outlineLvl w:val="0"/>
        <w:rPr>
          <w:rFonts w:ascii="黑体" w:eastAsia="黑体"/>
          <w:bCs/>
          <w:color w:val="auto"/>
          <w:sz w:val="44"/>
          <w:szCs w:val="44"/>
          <w:highlight w:val="none"/>
        </w:rPr>
      </w:pPr>
      <w:r>
        <w:rPr>
          <w:rFonts w:ascii="黑体" w:eastAsia="黑体"/>
          <w:bCs/>
          <w:color w:val="auto"/>
          <w:sz w:val="44"/>
          <w:szCs w:val="44"/>
          <w:highlight w:val="none"/>
        </w:rPr>
        <w:t xml:space="preserve"> </w:t>
      </w:r>
      <w:bookmarkStart w:id="220" w:name="_Toc28210"/>
      <w:r>
        <w:rPr>
          <w:rFonts w:ascii="黑体" w:eastAsia="黑体"/>
          <w:bCs/>
          <w:color w:val="auto"/>
          <w:sz w:val="44"/>
          <w:szCs w:val="44"/>
          <w:highlight w:val="none"/>
        </w:rPr>
        <w:t>评标办法</w:t>
      </w:r>
      <w:bookmarkEnd w:id="220"/>
    </w:p>
    <w:p>
      <w:pPr>
        <w:jc w:val="center"/>
        <w:outlineLvl w:val="0"/>
        <w:rPr>
          <w:rFonts w:ascii="宋体" w:hAnsi="宋体"/>
          <w:color w:val="auto"/>
          <w:sz w:val="44"/>
          <w:szCs w:val="44"/>
          <w:highlight w:val="none"/>
        </w:rPr>
      </w:pPr>
      <w:bookmarkStart w:id="221" w:name="_Toc28682"/>
      <w:r>
        <w:rPr>
          <w:rFonts w:hint="eastAsia" w:ascii="宋体" w:hAnsi="宋体"/>
          <w:color w:val="auto"/>
          <w:sz w:val="44"/>
          <w:szCs w:val="44"/>
          <w:highlight w:val="none"/>
        </w:rPr>
        <w:t>评标办法(技术评分最低标价法)</w:t>
      </w:r>
      <w:bookmarkEnd w:id="221"/>
    </w:p>
    <w:p>
      <w:pPr>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 xml:space="preserve">    </w:t>
      </w:r>
    </w:p>
    <w:p>
      <w:pPr>
        <w:ind w:firstLine="480" w:firstLineChars="200"/>
        <w:rPr>
          <w:rFonts w:ascii="宋体" w:hAnsi="宋体"/>
          <w:color w:val="auto"/>
          <w:sz w:val="30"/>
          <w:szCs w:val="30"/>
          <w:highlight w:val="none"/>
        </w:rPr>
      </w:pPr>
      <w:r>
        <w:rPr>
          <w:rFonts w:hint="eastAsia" w:ascii="新宋体" w:hAnsi="新宋体" w:eastAsia="新宋体" w:cs="新宋体"/>
          <w:sz w:val="24"/>
        </w:rPr>
        <w:t>评标依据公路工程建设项目招标投标管理办法（中华人民共和国交通运输部令2015年第24号）。评标应遵循公正、公平、择优的原则严格按照招标文件进行。</w:t>
      </w:r>
    </w:p>
    <w:p>
      <w:pPr>
        <w:jc w:val="center"/>
        <w:rPr>
          <w:rFonts w:hint="eastAsia" w:ascii="宋体" w:hAnsi="宋体"/>
          <w:color w:val="auto"/>
          <w:sz w:val="24"/>
          <w:highlight w:val="none"/>
        </w:rPr>
      </w:pPr>
    </w:p>
    <w:p>
      <w:pPr>
        <w:jc w:val="center"/>
        <w:rPr>
          <w:rFonts w:ascii="宋体" w:hAnsi="宋体"/>
          <w:color w:val="auto"/>
          <w:sz w:val="24"/>
          <w:highlight w:val="none"/>
        </w:rPr>
      </w:pPr>
      <w:r>
        <w:rPr>
          <w:rFonts w:hint="eastAsia" w:ascii="宋体" w:hAnsi="宋体"/>
          <w:color w:val="auto"/>
          <w:sz w:val="24"/>
          <w:highlight w:val="none"/>
        </w:rPr>
        <w:t>评标办法前附表</w:t>
      </w:r>
    </w:p>
    <w:tbl>
      <w:tblPr>
        <w:tblStyle w:val="17"/>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2.1.1</w:t>
            </w:r>
          </w:p>
          <w:p>
            <w:pPr>
              <w:jc w:val="center"/>
              <w:rPr>
                <w:rFonts w:ascii="宋体" w:hAnsi="宋体"/>
                <w:color w:val="auto"/>
                <w:szCs w:val="21"/>
                <w:highlight w:val="none"/>
              </w:rPr>
            </w:pPr>
            <w:r>
              <w:rPr>
                <w:rFonts w:hint="eastAsia" w:ascii="宋体" w:hAnsi="宋体"/>
                <w:color w:val="auto"/>
                <w:szCs w:val="21"/>
                <w:highlight w:val="none"/>
              </w:rPr>
              <w:t>2.1.3</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形式评审与</w:t>
            </w:r>
          </w:p>
          <w:p>
            <w:pPr>
              <w:jc w:val="center"/>
              <w:rPr>
                <w:rFonts w:ascii="宋体" w:hAnsi="宋体"/>
                <w:color w:val="auto"/>
                <w:szCs w:val="21"/>
                <w:highlight w:val="none"/>
              </w:rPr>
            </w:pPr>
            <w:r>
              <w:rPr>
                <w:rFonts w:hint="eastAsia" w:ascii="宋体" w:hAnsi="宋体"/>
                <w:color w:val="auto"/>
                <w:szCs w:val="21"/>
                <w:highlight w:val="none"/>
              </w:rPr>
              <w:t>响应性评审</w:t>
            </w:r>
          </w:p>
          <w:p>
            <w:pPr>
              <w:jc w:val="center"/>
              <w:rPr>
                <w:rFonts w:ascii="宋体" w:hAnsi="宋体"/>
                <w:color w:val="auto"/>
                <w:szCs w:val="21"/>
                <w:highlight w:val="none"/>
              </w:rPr>
            </w:pPr>
            <w:r>
              <w:rPr>
                <w:rFonts w:hint="eastAsia" w:ascii="宋体" w:hAnsi="宋体"/>
                <w:color w:val="auto"/>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a.投标函按招标文件规定填报了工期、工程质量目标及安全目标；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c.承诺函文字与招标文件规定一致，未进行修改和删减；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d.按照招标文件规定的格式、内容编制了施工组织设计及项目管理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机构相关图表；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e.投标文件组成齐全完整，内容均按规定填写。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投标文件上法定代表人或其授权代理人的签字、投标人的单位</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投标人按照招标文件的规定提供了投标保证金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(5)投标文件中未出现有关投标报价的内容。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(6)投标文件载明的招标项目完成期限未超过招标文件规定的时</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(7)投标文件对招标文件的实质性要求和条件作出响应。</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(8)权利义务符合招标文件规定：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分办法；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(9)投标文件正、副本份数符合招标文件第二章“投标人须知”第</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3.7.4 项规定。</w:t>
            </w:r>
          </w:p>
          <w:p>
            <w:pPr>
              <w:spacing w:line="400" w:lineRule="exact"/>
              <w:jc w:val="left"/>
              <w:rPr>
                <w:rFonts w:ascii="宋体" w:hAnsi="宋体"/>
                <w:b/>
                <w:color w:val="auto"/>
                <w:szCs w:val="21"/>
                <w:highlight w:val="none"/>
              </w:rPr>
            </w:pPr>
            <w:r>
              <w:rPr>
                <w:rFonts w:hint="eastAsia" w:ascii="宋体" w:hAnsi="宋体"/>
                <w:b/>
                <w:color w:val="auto"/>
                <w:szCs w:val="21"/>
                <w:highlight w:val="none"/>
              </w:rPr>
              <w:t>第二个信封（报价文件）评审标准：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内容齐全完整：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a.投标函按招标文件规定填报了投标价（包括大写金额和小写金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额），且投标价未超过招标文件设定的最高投标限价（如有）；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b.已标价工程量清单说明文字与招标文件规定一致，未进行修改和</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(3)同一投标人未提交两个以上不同的投标报价，但招标文件要求提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交备选投标的除外。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(4)投标人若填写工程量固化清单，填写完毕的工程量固化清单未对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工程量固化清单电子文件中的数据、格式和运算定义进行修改。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(5)投标文件正、副本份数符合招标文件第二章“投标人须知”第</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1214" w:type="dxa"/>
            <w:tcBorders>
              <w:left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(1)投标人具备有效的营业执照、资质证书和安全生产许可证和基本账户开户许可证；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(2)投标人的资质等级符合招标文件规定；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(3)投标人的财务状况符合招标文件规定；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(5)投标人的信誉符合招标文件规定；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(6)投标人的项目经理资格符合招标文件规定；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(7)投标人的其他要求符合招标文件规定；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第一个信封</w:t>
            </w:r>
          </w:p>
          <w:p>
            <w:pPr>
              <w:jc w:val="center"/>
              <w:rPr>
                <w:rFonts w:ascii="宋体" w:hAnsi="宋体"/>
                <w:color w:val="auto"/>
                <w:szCs w:val="21"/>
                <w:highlight w:val="none"/>
              </w:rPr>
            </w:pPr>
            <w:r>
              <w:rPr>
                <w:rFonts w:hint="eastAsia" w:ascii="宋体" w:hAnsi="宋体"/>
                <w:color w:val="auto"/>
                <w:szCs w:val="21"/>
                <w:highlight w:val="none"/>
              </w:rPr>
              <w:t>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项目管理机构</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技术能力</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履约信誉1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17" w:hRule="atLeast"/>
          <w:jc w:val="center"/>
        </w:trPr>
        <w:tc>
          <w:tcPr>
            <w:tcW w:w="1219"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3.2.4</w:t>
            </w:r>
          </w:p>
        </w:tc>
        <w:tc>
          <w:tcPr>
            <w:tcW w:w="1214" w:type="dxa"/>
            <w:tcBorders>
              <w:top w:val="single" w:color="auto" w:sz="4" w:space="0"/>
              <w:bottom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按照投标人的商务和技术得分由高到低排序，选择前</w:t>
            </w:r>
            <w:r>
              <w:rPr>
                <w:rFonts w:hint="eastAsia" w:ascii="宋体" w:hAnsi="宋体"/>
                <w:color w:val="auto"/>
                <w:szCs w:val="21"/>
                <w:highlight w:val="none"/>
                <w:u w:val="none"/>
                <w:lang w:eastAsia="zh-CN"/>
              </w:rPr>
              <w:t>三</w:t>
            </w:r>
            <w:r>
              <w:rPr>
                <w:rFonts w:hint="eastAsia" w:ascii="宋体" w:hAnsi="宋体"/>
                <w:color w:val="auto"/>
                <w:szCs w:val="21"/>
                <w:highlight w:val="none"/>
                <w:lang w:eastAsia="zh-CN"/>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施工组织设计（0-</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1、投标人应按以下要点编制施工组织设计（文字宜精炼、内容具有针对性，总体控制在30000字以内）；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（1）总体施工组织布置及规划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（2）主要工程项目的施工方案、方法与技术措施（尤其对重点、关键和难点工程的施工方案、方法及其措施）                  0-</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（3）工期的保证体系及保证措施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（4）工程质量管理体系及保证措施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（5）安全生产管理体系及保证措施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b/>
                <w:bCs/>
                <w:color w:val="auto"/>
                <w:szCs w:val="21"/>
                <w:highlight w:val="none"/>
              </w:rPr>
            </w:pPr>
            <w:r>
              <w:rPr>
                <w:rFonts w:hint="eastAsia" w:ascii="宋体" w:hAnsi="宋体"/>
                <w:color w:val="auto"/>
                <w:szCs w:val="21"/>
                <w:highlight w:val="none"/>
              </w:rPr>
              <w:t>（6）环境保护、水土保持保证体系及保证措施</w:t>
            </w:r>
            <w:r>
              <w:rPr>
                <w:rFonts w:hint="eastAsia" w:ascii="宋体" w:hAnsi="宋体"/>
                <w:b/>
                <w:bCs/>
                <w:color w:val="auto"/>
                <w:szCs w:val="21"/>
                <w:highlight w:val="none"/>
              </w:rPr>
              <w:t xml:space="preserve">（含扬尘治理措施）                                                                  </w:t>
            </w:r>
          </w:p>
          <w:p>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（7）文明施工、文物保护保证体系及保证措施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（8）项目风险预测与防范，事故应急预案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施工组织设计除采用文字表述外可附下列图表，图表及格式要求附后。</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附表一  施工总体计划表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附表二  分项工程进度率计划（斜率图）       0-</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分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附表三  工程管理曲线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附表四  分项工程生产率和施工周期表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附表五  施工总平面图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附表六  劳动力计划表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附表七  临时用地计划表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val="en-US" w:eastAsia="zh-CN"/>
              </w:rPr>
              <w:t xml:space="preserve">                                                                                                                                                          </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附表八  外供电力需求计划表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附表九  合同用款估算表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2.2.3</w:t>
            </w:r>
          </w:p>
        </w:tc>
        <w:tc>
          <w:tcPr>
            <w:tcW w:w="1214" w:type="dxa"/>
            <w:tcBorders>
              <w:top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项目管理机构（0-</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380" w:type="dxa"/>
            <w:tcBorders>
              <w:top w:val="single" w:color="auto" w:sz="4" w:space="0"/>
              <w:left w:val="single" w:color="auto" w:sz="4" w:space="0"/>
            </w:tcBorders>
            <w:vAlign w:val="center"/>
          </w:tcPr>
          <w:p>
            <w:pPr>
              <w:spacing w:line="400" w:lineRule="exact"/>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拟派项目技术负责人</w:t>
            </w:r>
            <w:r>
              <w:rPr>
                <w:rFonts w:hint="eastAsia" w:ascii="宋体" w:hAnsi="宋体"/>
                <w:color w:val="auto"/>
                <w:szCs w:val="21"/>
                <w:highlight w:val="none"/>
                <w:lang w:val="en-US" w:eastAsia="zh-CN"/>
              </w:rPr>
              <w:t>具</w:t>
            </w:r>
            <w:r>
              <w:rPr>
                <w:rFonts w:hint="eastAsia" w:ascii="宋体" w:hAnsi="宋体"/>
                <w:color w:val="auto"/>
                <w:szCs w:val="21"/>
                <w:highlight w:val="none"/>
              </w:rPr>
              <w:t>中级</w:t>
            </w:r>
            <w:r>
              <w:rPr>
                <w:rFonts w:hint="eastAsia" w:ascii="宋体" w:hAnsi="宋体"/>
                <w:color w:val="auto"/>
                <w:szCs w:val="21"/>
                <w:highlight w:val="none"/>
                <w:lang w:val="en-US" w:eastAsia="zh-CN"/>
              </w:rPr>
              <w:t>职称</w:t>
            </w:r>
            <w:r>
              <w:rPr>
                <w:rFonts w:hint="eastAsia" w:ascii="宋体" w:hAnsi="宋体"/>
                <w:color w:val="auto"/>
                <w:szCs w:val="21"/>
                <w:highlight w:val="none"/>
              </w:rPr>
              <w:t>者得</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zCs w:val="21"/>
                <w:highlight w:val="none"/>
                <w:lang w:val="en-US" w:eastAsia="zh-CN"/>
              </w:rPr>
              <w:t>具有</w:t>
            </w:r>
            <w:r>
              <w:rPr>
                <w:rFonts w:hint="eastAsia" w:ascii="宋体" w:hAnsi="宋体"/>
                <w:color w:val="auto"/>
                <w:szCs w:val="21"/>
                <w:highlight w:val="none"/>
              </w:rPr>
              <w:t>高级</w:t>
            </w:r>
            <w:r>
              <w:rPr>
                <w:rFonts w:hint="eastAsia" w:ascii="宋体" w:hAnsi="宋体"/>
                <w:color w:val="auto"/>
                <w:szCs w:val="21"/>
                <w:highlight w:val="none"/>
                <w:lang w:val="en-US" w:eastAsia="zh-CN"/>
              </w:rPr>
              <w:t>职称</w:t>
            </w:r>
            <w:r>
              <w:rPr>
                <w:rFonts w:hint="eastAsia" w:ascii="宋体" w:hAnsi="宋体"/>
                <w:color w:val="auto"/>
                <w:szCs w:val="21"/>
                <w:highlight w:val="none"/>
              </w:rPr>
              <w:t>者得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spacing w:line="400" w:lineRule="exact"/>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拟派</w:t>
            </w:r>
            <w:r>
              <w:rPr>
                <w:rFonts w:hint="eastAsia" w:ascii="宋体" w:hAnsi="宋体"/>
                <w:color w:val="auto"/>
                <w:szCs w:val="21"/>
                <w:highlight w:val="none"/>
                <w:lang w:val="en-US" w:eastAsia="zh-CN"/>
              </w:rPr>
              <w:t>进场人员</w:t>
            </w:r>
            <w:r>
              <w:rPr>
                <w:rFonts w:hint="eastAsia" w:ascii="宋体" w:hAnsi="宋体"/>
                <w:color w:val="auto"/>
                <w:szCs w:val="21"/>
                <w:highlight w:val="none"/>
              </w:rPr>
              <w:t>齐全者得</w:t>
            </w:r>
            <w:r>
              <w:rPr>
                <w:rFonts w:hint="eastAsia" w:ascii="宋体" w:hAnsi="宋体"/>
                <w:color w:val="auto"/>
                <w:szCs w:val="21"/>
                <w:highlight w:val="none"/>
                <w:lang w:val="en-US" w:eastAsia="zh-CN"/>
              </w:rPr>
              <w:t>10</w:t>
            </w:r>
            <w:r>
              <w:rPr>
                <w:rFonts w:hint="eastAsia" w:ascii="宋体" w:hAnsi="宋体"/>
                <w:color w:val="auto"/>
                <w:szCs w:val="21"/>
                <w:highlight w:val="none"/>
              </w:rPr>
              <w:t>分，缺一项</w:t>
            </w:r>
            <w:r>
              <w:rPr>
                <w:rFonts w:hint="eastAsia" w:ascii="宋体" w:hAnsi="宋体"/>
                <w:color w:val="auto"/>
                <w:szCs w:val="21"/>
                <w:highlight w:val="none"/>
                <w:lang w:val="en-US" w:eastAsia="zh-CN"/>
              </w:rPr>
              <w:t>扣2分</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技术能力</w:t>
            </w:r>
          </w:p>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w:t>
            </w:r>
            <w:r>
              <w:rPr>
                <w:rFonts w:hint="eastAsia" w:ascii="宋体" w:hAnsi="宋体"/>
                <w:color w:val="auto"/>
                <w:szCs w:val="21"/>
                <w:highlight w:val="none"/>
              </w:rPr>
              <w:t>0分）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1、企业业绩（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企业近年来承建过类似项目者每项得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w:t>
            </w:r>
          </w:p>
          <w:p>
            <w:pPr>
              <w:spacing w:line="400" w:lineRule="exact"/>
              <w:rPr>
                <w:rFonts w:ascii="宋体" w:hAnsi="宋体"/>
                <w:color w:val="auto"/>
                <w:szCs w:val="21"/>
                <w:highlight w:val="none"/>
              </w:rPr>
            </w:pPr>
            <w:r>
              <w:rPr>
                <w:rFonts w:hint="eastAsia" w:ascii="宋体" w:hAnsi="宋体"/>
                <w:color w:val="auto"/>
                <w:szCs w:val="21"/>
                <w:highlight w:val="none"/>
              </w:rPr>
              <w:t>2、项目经理业绩（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adjustRightInd w:val="0"/>
              <w:snapToGrid w:val="0"/>
              <w:spacing w:line="480" w:lineRule="exact"/>
              <w:ind w:firstLine="480"/>
              <w:rPr>
                <w:rFonts w:ascii="宋体" w:hAnsi="宋体"/>
                <w:b/>
                <w:bCs/>
                <w:color w:val="auto"/>
                <w:szCs w:val="21"/>
                <w:highlight w:val="none"/>
              </w:rPr>
            </w:pPr>
            <w:r>
              <w:rPr>
                <w:rFonts w:hint="eastAsia" w:ascii="宋体" w:hAnsi="宋体"/>
                <w:color w:val="auto"/>
                <w:szCs w:val="21"/>
                <w:highlight w:val="none"/>
              </w:rPr>
              <w:t>近年来拟派建造师承建过类似项目者每项得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分【须提供合同原件、中标通知书原件、竣工验收证明材料原件和中标公示网页版】，若上述资料不显示项目经理姓名，还须同时提供建设单位出具的相关证明文件。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numPr>
                <w:ilvl w:val="0"/>
                <w:numId w:val="3"/>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业绩合同以合同签订日期为准，获奖证书以发证日期为准，企业业绩和项目经理业绩不重复计分；</w:t>
            </w:r>
          </w:p>
          <w:p>
            <w:pPr>
              <w:numPr>
                <w:ilvl w:val="0"/>
                <w:numId w:val="0"/>
              </w:numPr>
              <w:adjustRightInd w:val="0"/>
              <w:snapToGrid w:val="0"/>
              <w:spacing w:line="480" w:lineRule="exact"/>
              <w:rPr>
                <w:rFonts w:hint="eastAsia" w:ascii="新宋体" w:hAnsi="新宋体" w:eastAsia="新宋体"/>
                <w:b/>
                <w:sz w:val="21"/>
                <w:szCs w:val="21"/>
                <w:lang w:val="en-US" w:eastAsia="zh-CN"/>
              </w:rPr>
            </w:pPr>
            <w:r>
              <w:rPr>
                <w:rFonts w:hint="eastAsia" w:ascii="新宋体" w:hAnsi="新宋体" w:eastAsia="新宋体"/>
                <w:b/>
                <w:sz w:val="21"/>
                <w:szCs w:val="21"/>
                <w:lang w:val="en-US" w:eastAsia="zh-CN"/>
              </w:rPr>
              <w:t>2、凡评标办法里涉及到的证书、证件及业绩材料等，均以原件并结合投标文件中所附复印件进行评审，二者缺其一，则该项得分应作0分处理（营业执照、资质证书、拟派项目经理注册建造师证及其安全生产考核合格证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履约信誉（0-10分）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1、企业信用（4分）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投标人须提供工商企业信用信息公示报告（国家企业信用信息公示系统http//</w:t>
            </w:r>
            <w:r>
              <w:rPr>
                <w:rFonts w:ascii="宋体" w:hAnsi="宋体" w:eastAsia="宋体" w:cs="Times New Roman"/>
                <w:color w:val="auto"/>
                <w:kern w:val="2"/>
                <w:sz w:val="21"/>
                <w:szCs w:val="21"/>
                <w:highlight w:val="none"/>
                <w:lang w:val="en-US" w:eastAsia="zh-CN" w:bidi="ar-SA"/>
              </w:rPr>
              <w:pict>
                <v:shape id="_x0000_i1025" o:spt="75" type="#_x0000_t75" style="height:11.25pt;width:1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ascii="宋体" w:hAnsi="宋体"/>
                <w:color w:val="auto"/>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olor w:val="auto"/>
                <w:szCs w:val="21"/>
                <w:highlight w:val="none"/>
              </w:rPr>
              <w:t>。</w:t>
            </w:r>
            <w:r>
              <w:rPr>
                <w:rFonts w:ascii="宋体" w:hAnsi="宋体"/>
                <w:color w:val="auto"/>
                <w:szCs w:val="21"/>
                <w:highlight w:val="none"/>
              </w:rPr>
              <w:t>无不良信息者每项得</w:t>
            </w:r>
            <w:r>
              <w:rPr>
                <w:rFonts w:hint="eastAsia" w:ascii="宋体" w:hAnsi="宋体"/>
                <w:color w:val="auto"/>
                <w:szCs w:val="21"/>
                <w:highlight w:val="none"/>
              </w:rPr>
              <w:t>2</w:t>
            </w:r>
            <w:r>
              <w:rPr>
                <w:rFonts w:ascii="宋体" w:hAnsi="宋体"/>
                <w:color w:val="auto"/>
                <w:szCs w:val="21"/>
                <w:highlight w:val="none"/>
              </w:rPr>
              <w:t>分，最多得</w:t>
            </w:r>
            <w:r>
              <w:rPr>
                <w:rFonts w:hint="eastAsia" w:ascii="宋体" w:hAnsi="宋体"/>
                <w:color w:val="auto"/>
                <w:szCs w:val="21"/>
                <w:highlight w:val="none"/>
              </w:rPr>
              <w:t>4</w:t>
            </w:r>
            <w:r>
              <w:rPr>
                <w:rFonts w:ascii="宋体" w:hAnsi="宋体"/>
                <w:color w:val="auto"/>
                <w:szCs w:val="21"/>
                <w:highlight w:val="none"/>
              </w:rPr>
              <w:t>分，未提供或有不良信息者不得分。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2、服务承诺（含扬尘治理等内容）（6分）</w:t>
            </w:r>
          </w:p>
          <w:p>
            <w:pPr>
              <w:adjustRightInd w:val="0"/>
              <w:snapToGrid w:val="0"/>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p>
          <w:p>
            <w:pPr>
              <w:ind w:firstLine="420" w:firstLineChars="20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评标程序如下：</w:t>
            </w:r>
          </w:p>
          <w:p>
            <w:pPr>
              <w:spacing w:line="340" w:lineRule="exact"/>
              <w:rPr>
                <w:rFonts w:ascii="宋体" w:hAnsi="宋体"/>
                <w:color w:val="auto"/>
                <w:szCs w:val="21"/>
                <w:highlight w:val="none"/>
              </w:rPr>
            </w:pPr>
            <w:r>
              <w:rPr>
                <w:rFonts w:hint="eastAsia" w:ascii="宋体" w:hAnsi="宋体"/>
                <w:color w:val="auto"/>
                <w:szCs w:val="21"/>
                <w:highlight w:val="none"/>
              </w:rPr>
              <w:t>1、招标人按照第二章“投标人须知”第5.2.1-5.2.3项的规定对投标文件第一信封（商务及技术文件）进行开标。</w:t>
            </w:r>
          </w:p>
          <w:p>
            <w:pPr>
              <w:spacing w:line="340" w:lineRule="exact"/>
              <w:rPr>
                <w:rFonts w:ascii="宋体" w:hAnsi="宋体"/>
                <w:color w:val="auto"/>
                <w:szCs w:val="21"/>
                <w:highlight w:val="none"/>
              </w:rPr>
            </w:pPr>
            <w:r>
              <w:rPr>
                <w:rFonts w:hint="eastAsia" w:ascii="宋体" w:hAnsi="宋体"/>
                <w:color w:val="auto"/>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color w:val="auto"/>
                <w:szCs w:val="21"/>
                <w:highlight w:val="none"/>
              </w:rPr>
              <w:t>各项打分保留小数点后两位，小数点后第三位“四舍五入”。</w:t>
            </w:r>
          </w:p>
          <w:p>
            <w:pPr>
              <w:spacing w:line="340" w:lineRule="exact"/>
              <w:rPr>
                <w:rFonts w:ascii="宋体" w:hAnsi="宋体"/>
                <w:color w:val="auto"/>
                <w:szCs w:val="21"/>
                <w:highlight w:val="none"/>
              </w:rPr>
            </w:pPr>
            <w:r>
              <w:rPr>
                <w:rFonts w:hint="eastAsia" w:ascii="宋体" w:hAnsi="宋体"/>
                <w:color w:val="auto"/>
                <w:szCs w:val="21"/>
                <w:highlight w:val="none"/>
              </w:rPr>
              <w:t>3、招标人按照第二章“投标人须知”第5.2.4-5.2.6项的规定对投标文件第一信封（商务及技术文件）评审得分前</w:t>
            </w:r>
            <w:r>
              <w:rPr>
                <w:rFonts w:hint="eastAsia" w:ascii="宋体" w:hAnsi="宋体"/>
                <w:color w:val="auto"/>
                <w:szCs w:val="21"/>
                <w:highlight w:val="none"/>
                <w:u w:val="single"/>
              </w:rPr>
              <w:t xml:space="preserve"> 3 </w:t>
            </w:r>
            <w:r>
              <w:rPr>
                <w:rFonts w:hint="eastAsia" w:ascii="宋体" w:hAnsi="宋体"/>
                <w:color w:val="auto"/>
                <w:szCs w:val="21"/>
                <w:highlight w:val="none"/>
              </w:rPr>
              <w:t>名的投标文件第二个信封（投标文件）进行开启。</w:t>
            </w:r>
          </w:p>
          <w:p>
            <w:pPr>
              <w:spacing w:line="340" w:lineRule="exact"/>
              <w:rPr>
                <w:rFonts w:ascii="宋体" w:hAnsi="宋体"/>
                <w:color w:val="auto"/>
                <w:szCs w:val="21"/>
                <w:highlight w:val="none"/>
              </w:rPr>
            </w:pPr>
            <w:r>
              <w:rPr>
                <w:rFonts w:hint="eastAsia" w:ascii="宋体" w:hAnsi="宋体"/>
                <w:color w:val="auto"/>
                <w:szCs w:val="21"/>
                <w:highlight w:val="none"/>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color w:val="auto"/>
                <w:szCs w:val="21"/>
                <w:highlight w:val="none"/>
              </w:rPr>
            </w:pPr>
            <w:r>
              <w:rPr>
                <w:rFonts w:hint="eastAsia" w:ascii="宋体" w:hAnsi="宋体"/>
                <w:b/>
                <w:color w:val="auto"/>
                <w:szCs w:val="21"/>
                <w:highlight w:val="none"/>
              </w:rPr>
              <w:t>5、本评分标准中所要求提供的各种证明材料，投标文件中须提供复印件，且在评标时按要求提供与复印件一致的原件，否则不得分。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次评标采用技术评分最低标价法。评标委员会对满足招标文件实质性要求的投标文件，按照本章第2.2款规定的评分标准对投标文件第一信封（商务及技术）进行打分，按得分由高到低顺序取前三名进入第二信封（投标报价和工程量清单）评审，并按投标报价由低到高顺序推荐中标候选人，或根据招标人授权直接确定中标人，但投标报价低于其成本的除外。投标报价相等的，以技术标得分高低进行排序；若技术标得分相等时，可以通过公开随机抽取方式确定中标候选人的排序。</w:t>
      </w:r>
    </w:p>
    <w:p>
      <w:pPr>
        <w:spacing w:line="500" w:lineRule="exact"/>
        <w:rPr>
          <w:rFonts w:ascii="宋体" w:hAnsi="宋体"/>
          <w:b/>
          <w:color w:val="auto"/>
          <w:sz w:val="24"/>
          <w:highlight w:val="none"/>
        </w:rPr>
      </w:pP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履约信誉评审标准：见评标办法前附表。 </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ascii="宋体" w:hAnsi="宋体"/>
          <w:b/>
          <w:color w:val="auto"/>
          <w:sz w:val="24"/>
          <w:highlight w:val="none"/>
        </w:rPr>
      </w:pPr>
      <w:r>
        <w:rPr>
          <w:rFonts w:hint="eastAsia" w:ascii="宋体" w:hAnsi="宋体"/>
          <w:b/>
          <w:color w:val="auto"/>
          <w:sz w:val="24"/>
          <w:highlight w:val="none"/>
        </w:rPr>
        <w:t>3.1初步评审</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3.1.1</w:t>
      </w:r>
      <w:r>
        <w:rPr>
          <w:rFonts w:hint="eastAsia" w:ascii="宋体" w:hAnsi="宋体"/>
          <w:color w:val="auto"/>
          <w:sz w:val="24"/>
          <w:highlight w:val="none"/>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3.1.2 </w:t>
      </w:r>
      <w:r>
        <w:rPr>
          <w:rFonts w:hint="eastAsia" w:ascii="宋体" w:hAnsi="宋体"/>
          <w:color w:val="auto"/>
          <w:sz w:val="24"/>
          <w:highlight w:val="none"/>
        </w:rPr>
        <w:t>投标人有以下情形之一的其投标作废标处理：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（1）第二章“投标人须知”第 1.4.3 项规定的任何一种情形的。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（2）串通投标或弄虚作假或有其他违法行为的。</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3.1.3</w:t>
      </w:r>
      <w:r>
        <w:rPr>
          <w:rFonts w:hint="eastAsia" w:ascii="宋体" w:hAnsi="宋体"/>
          <w:color w:val="auto"/>
          <w:sz w:val="24"/>
          <w:highlight w:val="none"/>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(2)总价金额与依据单价计算出的结果不一致的，以单价金额为准修正总价，但单价金额小数点有明显错误的除外；</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3.1.4</w:t>
      </w:r>
      <w:r>
        <w:rPr>
          <w:rFonts w:hint="eastAsia" w:ascii="宋体" w:hAnsi="宋体"/>
          <w:color w:val="auto"/>
          <w:sz w:val="24"/>
          <w:highlight w:val="none"/>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3.1.5</w:t>
      </w:r>
      <w:r>
        <w:rPr>
          <w:rFonts w:hint="eastAsia" w:ascii="宋体" w:hAnsi="宋体"/>
          <w:color w:val="auto"/>
          <w:sz w:val="24"/>
          <w:highlight w:val="none"/>
        </w:rPr>
        <w:t>修正后的最终投标报价若超过投标控制价上限(如有)，投标人的投标文件作废标处理。</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3.1.6</w:t>
      </w:r>
      <w:r>
        <w:rPr>
          <w:rFonts w:hint="eastAsia" w:ascii="宋体" w:hAnsi="宋体"/>
          <w:color w:val="auto"/>
          <w:sz w:val="24"/>
          <w:highlight w:val="none"/>
        </w:rPr>
        <w:t>修正后的最终投标报价作为签订合同的一个依据，不参与评标价得分的计算。</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3.2 详细评审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3.2.2 评标得分计算保留小数点后两位，小数点后第三位“四舍五入”。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 xml:space="preserve">投标文件的澄清和补正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3.3.3评标委员会对投标人提交的澄清、说明或补正有疑问的，可以要求投标人进一步澄清、说明或补正，直至满足评标委员会的要求。</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3.3.4</w:t>
      </w:r>
      <w:r>
        <w:rPr>
          <w:rFonts w:hint="eastAsia" w:ascii="宋体" w:hAnsi="宋体"/>
          <w:color w:val="auto"/>
          <w:sz w:val="24"/>
          <w:highlight w:val="none"/>
        </w:rPr>
        <w:t>凡超出招标文件规定的或给发包人带来未曾要求的利益的变化、偏差或其他因素在评标时不予考虑。</w:t>
      </w:r>
    </w:p>
    <w:p>
      <w:pPr>
        <w:spacing w:line="500" w:lineRule="exact"/>
        <w:rPr>
          <w:rFonts w:ascii="宋体" w:hAnsi="宋体"/>
          <w:b/>
          <w:color w:val="auto"/>
          <w:sz w:val="24"/>
          <w:highlight w:val="none"/>
        </w:rPr>
      </w:pPr>
      <w:r>
        <w:rPr>
          <w:rFonts w:hint="eastAsia" w:ascii="宋体" w:hAnsi="宋体"/>
          <w:b/>
          <w:color w:val="auto"/>
          <w:sz w:val="24"/>
          <w:highlight w:val="none"/>
        </w:rPr>
        <w:t>3.4评标结果</w:t>
      </w:r>
    </w:p>
    <w:p>
      <w:pPr>
        <w:spacing w:line="340" w:lineRule="exact"/>
        <w:rPr>
          <w:rFonts w:ascii="宋体" w:hAnsi="宋体"/>
          <w:color w:val="auto"/>
          <w:sz w:val="24"/>
          <w:highlight w:val="none"/>
        </w:rPr>
      </w:pPr>
      <w:r>
        <w:rPr>
          <w:rFonts w:hint="eastAsia" w:ascii="宋体" w:hAnsi="宋体"/>
          <w:color w:val="auto"/>
          <w:sz w:val="24"/>
          <w:highlight w:val="none"/>
        </w:rPr>
        <w:t xml:space="preserve">   3.4.1评标委员会按照通过投标文件第一信封（商务及技术文件）评审的前三名投标报价由低到高的顺序推荐中标候选人。 </w:t>
      </w:r>
    </w:p>
    <w:p>
      <w:pPr>
        <w:spacing w:line="500" w:lineRule="exact"/>
        <w:rPr>
          <w:rFonts w:ascii="宋体" w:hAnsi="宋体"/>
          <w:color w:val="auto"/>
          <w:sz w:val="24"/>
          <w:highlight w:val="none"/>
        </w:rPr>
      </w:pPr>
      <w:r>
        <w:rPr>
          <w:rFonts w:hint="eastAsia" w:ascii="宋体" w:hAnsi="宋体"/>
          <w:color w:val="auto"/>
          <w:sz w:val="24"/>
          <w:highlight w:val="none"/>
        </w:rPr>
        <w:t xml:space="preserve">   3.4.2 评标委员会完成评标后，应当向招标人提交书面评标报告。</w:t>
      </w: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hint="eastAsia" w:ascii="宋体" w:hAnsi="宋体"/>
          <w:b/>
          <w:bCs/>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jc w:val="center"/>
        <w:rPr>
          <w:b/>
          <w:bCs/>
          <w:color w:val="auto"/>
          <w:sz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bookmarkStart w:id="222" w:name="_Toc13221"/>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hint="eastAsia" w:ascii="黑体" w:eastAsia="黑体"/>
          <w:color w:val="auto"/>
          <w:sz w:val="44"/>
          <w:szCs w:val="44"/>
          <w:highlight w:val="none"/>
        </w:rPr>
      </w:pPr>
    </w:p>
    <w:p>
      <w:pPr>
        <w:adjustRightInd w:val="0"/>
        <w:snapToGrid w:val="0"/>
        <w:spacing w:line="360" w:lineRule="auto"/>
        <w:jc w:val="center"/>
        <w:outlineLvl w:val="0"/>
        <w:rPr>
          <w:rFonts w:ascii="黑体" w:eastAsia="黑体"/>
          <w:color w:val="auto"/>
          <w:sz w:val="44"/>
          <w:szCs w:val="44"/>
          <w:highlight w:val="none"/>
        </w:rPr>
      </w:pPr>
      <w:r>
        <w:rPr>
          <w:rFonts w:hint="eastAsia" w:ascii="黑体" w:eastAsia="黑体"/>
          <w:color w:val="auto"/>
          <w:sz w:val="44"/>
          <w:szCs w:val="44"/>
          <w:highlight w:val="none"/>
        </w:rPr>
        <w:t>第四章 合同条款及格式</w:t>
      </w:r>
      <w:bookmarkEnd w:id="222"/>
    </w:p>
    <w:p>
      <w:pPr>
        <w:adjustRightInd w:val="0"/>
        <w:snapToGrid w:val="0"/>
        <w:spacing w:line="360" w:lineRule="auto"/>
        <w:jc w:val="center"/>
        <w:outlineLvl w:val="0"/>
        <w:rPr>
          <w:rFonts w:ascii="黑体" w:eastAsia="黑体"/>
          <w:bCs/>
          <w:color w:val="auto"/>
          <w:sz w:val="36"/>
          <w:szCs w:val="36"/>
          <w:highlight w:val="none"/>
        </w:rPr>
      </w:pPr>
      <w:bookmarkStart w:id="223" w:name="_Toc9501"/>
      <w:r>
        <w:rPr>
          <w:rFonts w:hint="eastAsia" w:ascii="黑体" w:eastAsia="黑体"/>
          <w:bCs/>
          <w:color w:val="auto"/>
          <w:sz w:val="36"/>
          <w:szCs w:val="36"/>
          <w:highlight w:val="none"/>
        </w:rPr>
        <w:t>第一节 通用合同条款</w:t>
      </w:r>
      <w:bookmarkEnd w:id="223"/>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参见中华人民共和国《标准施工招标文件》（2007年版）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widowControl/>
        <w:jc w:val="left"/>
      </w:pPr>
      <w:r>
        <w:rPr>
          <w:rFonts w:ascii="宋体" w:hAnsi="宋体" w:eastAsia="宋体" w:cs="宋体"/>
          <w:kern w:val="0"/>
          <w:sz w:val="24"/>
          <w:szCs w:val="24"/>
          <w:lang w:val="en-US" w:eastAsia="zh-CN"/>
        </w:rPr>
        <w:pict>
          <v:shape id="_x0000_i1026" o:spt="75" type="#_x0000_t75" style="height:24pt;width:24pt;" fillcolor="#FFFFFF" filled="f" o:preferrelative="t" stroked="f" coordsize="21600,21600">
            <v:path/>
            <v:fill on="f" color2="#FFFFFF" focussize="0,0"/>
            <v:stroke on="f"/>
            <v:imagedata gain="65536f" blacklevel="0f" gamma="0" o:title=""/>
            <o:lock v:ext="edit" position="f" selection="f" grouping="f" rotation="f" cropping="f" text="f" aspectratio="t"/>
            <w10:wrap type="none"/>
            <w10:anchorlock/>
          </v:shape>
        </w:pic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24"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1.1.1.6技术规范：为本合同所约定的</w:t>
      </w:r>
      <w:r>
        <w:rPr>
          <w:rFonts w:ascii="宋体" w:hAnsi="宋体"/>
          <w:color w:val="auto"/>
          <w:sz w:val="24"/>
          <w:highlight w:val="none"/>
        </w:rPr>
        <w:t>技</w:t>
      </w:r>
      <w:r>
        <w:rPr>
          <w:color w:val="auto"/>
          <w:sz w:val="24"/>
          <w:highlight w:val="none"/>
        </w:rPr>
        <w:t>术标准和要求。</w:t>
      </w:r>
    </w:p>
    <w:p>
      <w:pPr>
        <w:adjustRightInd w:val="0"/>
        <w:snapToGrid w:val="0"/>
        <w:spacing w:line="360" w:lineRule="auto"/>
        <w:ind w:firstLine="720" w:firstLineChars="300"/>
        <w:rPr>
          <w:color w:val="auto"/>
          <w:sz w:val="24"/>
          <w:highlight w:val="none"/>
        </w:rPr>
      </w:pPr>
      <w:r>
        <w:rPr>
          <w:color w:val="auto"/>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color w:val="auto"/>
          <w:sz w:val="24"/>
          <w:highlight w:val="none"/>
        </w:rPr>
      </w:pPr>
      <w:r>
        <w:rPr>
          <w:color w:val="auto"/>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rPr>
        <w:t>1</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adjustRightInd w:val="0"/>
        <w:snapToGrid w:val="0"/>
        <w:spacing w:line="360" w:lineRule="auto"/>
        <w:ind w:firstLine="720" w:firstLineChars="300"/>
        <w:rPr>
          <w:color w:val="auto"/>
          <w:sz w:val="24"/>
          <w:highlight w:val="none"/>
        </w:rPr>
      </w:pPr>
      <w:r>
        <w:rPr>
          <w:color w:val="auto"/>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color w:val="auto"/>
          <w:sz w:val="24"/>
          <w:highlight w:val="none"/>
        </w:rPr>
      </w:pPr>
      <w:r>
        <w:rPr>
          <w:color w:val="auto"/>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1.7联络</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1.7.2来往函件送达的期限：</w:t>
      </w:r>
      <w:r>
        <w:rPr>
          <w:rFonts w:hint="eastAsia" w:eastAsia="黑体"/>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color w:val="auto"/>
          <w:sz w:val="24"/>
          <w:highlight w:val="none"/>
        </w:rPr>
      </w:pPr>
      <w:r>
        <w:rPr>
          <w:color w:val="auto"/>
          <w:sz w:val="24"/>
          <w:highlight w:val="none"/>
        </w:rPr>
        <w:t>2.3.2提供临时占地</w:t>
      </w:r>
    </w:p>
    <w:p>
      <w:pPr>
        <w:adjustRightInd w:val="0"/>
        <w:snapToGrid w:val="0"/>
        <w:spacing w:line="360" w:lineRule="auto"/>
        <w:ind w:firstLine="480" w:firstLineChars="200"/>
        <w:rPr>
          <w:color w:val="auto"/>
          <w:sz w:val="24"/>
          <w:highlight w:val="none"/>
        </w:rPr>
      </w:pPr>
      <w:r>
        <w:rPr>
          <w:color w:val="auto"/>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color w:val="auto"/>
          <w:sz w:val="24"/>
          <w:highlight w:val="none"/>
          <w:u w:val="single"/>
        </w:rPr>
        <w:t xml:space="preserve">          </w:t>
      </w:r>
      <w:r>
        <w:rPr>
          <w:color w:val="auto"/>
          <w:sz w:val="24"/>
          <w:highlight w:val="none"/>
        </w:rPr>
        <w:t>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color w:val="auto"/>
          <w:sz w:val="24"/>
          <w:highlight w:val="none"/>
        </w:rPr>
      </w:pPr>
      <w:r>
        <w:rPr>
          <w:color w:val="auto"/>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2.8其他义务</w:t>
      </w:r>
    </w:p>
    <w:p>
      <w:pPr>
        <w:adjustRightInd w:val="0"/>
        <w:snapToGrid w:val="0"/>
        <w:spacing w:line="360" w:lineRule="auto"/>
        <w:ind w:firstLine="480" w:firstLineChars="200"/>
        <w:rPr>
          <w:color w:val="auto"/>
          <w:sz w:val="24"/>
          <w:highlight w:val="none"/>
          <w:u w:val="single"/>
        </w:rPr>
      </w:pPr>
      <w:r>
        <w:rPr>
          <w:color w:val="auto"/>
          <w:sz w:val="24"/>
          <w:highlight w:val="none"/>
        </w:rPr>
        <w:t>发包人应履行的其他义务</w:t>
      </w:r>
      <w:r>
        <w:rPr>
          <w:rFonts w:hint="eastAsia"/>
          <w:color w:val="auto"/>
          <w:sz w:val="24"/>
          <w:highlight w:val="none"/>
        </w:rPr>
        <w:t>：</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hAnsi="Times New Roman" w:eastAsia="黑体" w:cs="Times New Roman"/>
          <w:color w:val="auto"/>
          <w:kern w:val="2"/>
          <w:position w:val="-34"/>
          <w:sz w:val="40"/>
          <w:szCs w:val="24"/>
          <w:highlight w:val="none"/>
          <w:lang w:val="en-US" w:eastAsia="zh-CN" w:bidi="ar-SA"/>
        </w:rPr>
        <w:object>
          <v:shape id="_x0000_i1027" o:spt="75" type="#_x0000_t75" style="height:40.1pt;width:277.8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quations" ShapeID="_x0000_i1027" DrawAspect="Content" ObjectID="_1468075725" r:id="rId10">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开工预付款的额度为签约合同价的</w:t>
      </w:r>
      <w:r>
        <w:rPr>
          <w:rFonts w:hint="eastAsia"/>
          <w:color w:val="auto"/>
          <w:sz w:val="24"/>
          <w:highlight w:val="none"/>
          <w:u w:val="single"/>
        </w:rPr>
        <w:t xml:space="preserve"> 10 </w:t>
      </w:r>
      <w:r>
        <w:rPr>
          <w:color w:val="auto"/>
          <w:sz w:val="24"/>
          <w:highlight w:val="none"/>
        </w:rPr>
        <w:t>％（在项目专用合同条款中约定）。在承包人签订了合同协议书并提交了开工预付款保函后，监理人应在当期进度付款证书中向承包人支付开工预付款的70%的价款；在投标文件载明的主要设备进场后，再支付预付款30%。</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材料、设备预付款的额度为项目专用合同条款中所列主要材料、设备单据费用（进口的材料、设备为到岸价，国内采购的为出厂价或销售价，地方材料为堆场价）的</w:t>
      </w:r>
      <w:r>
        <w:rPr>
          <w:rFonts w:hint="eastAsia"/>
          <w:color w:val="auto"/>
          <w:sz w:val="24"/>
          <w:highlight w:val="none"/>
          <w:u w:val="single"/>
        </w:rPr>
        <w:t xml:space="preserve"> 10  </w:t>
      </w:r>
      <w:r>
        <w:rPr>
          <w:color w:val="auto"/>
          <w:sz w:val="24"/>
          <w:highlight w:val="none"/>
        </w:rPr>
        <w:t>％（在项目专用条款数据表中约定）。其预付条件为：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发包人不按期支付的，按</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color w:val="auto"/>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进度付款涉及政府投资资金的，按照以下规定办理：</w:t>
      </w:r>
      <w:r>
        <w:rPr>
          <w:rFonts w:hint="eastAsia"/>
          <w:color w:val="auto"/>
          <w:sz w:val="24"/>
          <w:highlight w:val="none"/>
          <w:u w:val="single"/>
        </w:rPr>
        <w:t xml:space="preserve">  （见项目专用合同条款</w:t>
      </w:r>
      <w:r>
        <w:rPr>
          <w:color w:val="auto"/>
          <w:sz w:val="24"/>
          <w:highlight w:val="none"/>
          <w:u w:val="single"/>
        </w:rPr>
        <w:t>）</w:t>
      </w:r>
      <w:r>
        <w:rPr>
          <w:rFonts w:hint="eastAsia"/>
          <w:color w:val="auto"/>
          <w:sz w:val="24"/>
          <w:highlight w:val="none"/>
          <w:u w:val="single"/>
        </w:rPr>
        <w:t xml:space="preserve">  </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17.4.1项细化为：</w:t>
      </w:r>
    </w:p>
    <w:p>
      <w:pPr>
        <w:adjustRightInd w:val="0"/>
        <w:snapToGrid w:val="0"/>
        <w:spacing w:line="360" w:lineRule="auto"/>
        <w:ind w:firstLine="480" w:firstLineChars="200"/>
        <w:rPr>
          <w:color w:val="auto"/>
          <w:sz w:val="24"/>
          <w:highlight w:val="none"/>
        </w:rPr>
      </w:pPr>
      <w:r>
        <w:rPr>
          <w:color w:val="auto"/>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line="360" w:lineRule="auto"/>
        <w:ind w:firstLine="480" w:firstLineChars="200"/>
        <w:rPr>
          <w:color w:val="auto"/>
          <w:sz w:val="24"/>
          <w:highlight w:val="none"/>
        </w:rPr>
      </w:pP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第三者责任险的最低保险金额：</w:t>
      </w:r>
      <w:r>
        <w:rPr>
          <w:rFonts w:hint="eastAsia"/>
          <w:color w:val="auto"/>
          <w:sz w:val="24"/>
          <w:highlight w:val="none"/>
          <w:u w:val="single"/>
        </w:rPr>
        <w:t xml:space="preserve">    </w:t>
      </w:r>
      <w:r>
        <w:rPr>
          <w:color w:val="auto"/>
          <w:sz w:val="24"/>
          <w:highlight w:val="none"/>
        </w:rPr>
        <w:t>万元人民币，事故次数不限（不计免赔额）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color w:val="auto"/>
          <w:sz w:val="24"/>
          <w:highlight w:val="none"/>
        </w:rPr>
        <w:t>％。（在项目专用合同条款中约定）</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rFonts w:hint="eastAsia" w:ascii="黑体" w:eastAsia="黑体"/>
          <w:bCs/>
          <w:color w:val="auto"/>
          <w:sz w:val="36"/>
          <w:szCs w:val="36"/>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施工过程中，对于施工质量差、进度严重滞后的施工单位，发包人可以将其驱逐出场，或者强行分割其承包工程。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本工程质量目标要求竣工为</w:t>
      </w:r>
      <w:r>
        <w:rPr>
          <w:rFonts w:hint="eastAsia" w:ascii="宋体" w:hAnsi="宋体"/>
          <w:color w:val="auto"/>
          <w:sz w:val="24"/>
          <w:highlight w:val="none"/>
          <w:lang w:eastAsia="zh-CN"/>
        </w:rPr>
        <w:t>合格工程</w:t>
      </w:r>
      <w:r>
        <w:rPr>
          <w:rFonts w:hint="eastAsia" w:ascii="宋体" w:hAnsi="宋体"/>
          <w:color w:val="auto"/>
          <w:sz w:val="24"/>
          <w:highlight w:val="none"/>
        </w:rPr>
        <w:t>，</w:t>
      </w:r>
      <w:r>
        <w:rPr>
          <w:rFonts w:hint="eastAsia" w:ascii="宋体" w:hAnsi="宋体"/>
          <w:color w:val="auto"/>
          <w:sz w:val="24"/>
          <w:highlight w:val="none"/>
          <w:lang w:eastAsia="zh-CN"/>
        </w:rPr>
        <w:t>经验收标段工程不合格的</w:t>
      </w:r>
      <w:r>
        <w:rPr>
          <w:rFonts w:hint="eastAsia" w:ascii="宋体" w:hAnsi="宋体"/>
          <w:color w:val="auto"/>
          <w:sz w:val="24"/>
          <w:highlight w:val="none"/>
        </w:rPr>
        <w:t>质量保证金不予支付，同时在许昌交通建设市场给予通报批评，并上报省</w:t>
      </w:r>
      <w:r>
        <w:rPr>
          <w:rFonts w:ascii="宋体" w:hAnsi="宋体"/>
          <w:color w:val="auto"/>
          <w:sz w:val="24"/>
          <w:highlight w:val="none"/>
        </w:rPr>
        <w:t>交通运输</w:t>
      </w:r>
      <w:r>
        <w:rPr>
          <w:rFonts w:hint="eastAsia" w:ascii="宋体" w:hAnsi="宋体"/>
          <w:color w:val="auto"/>
          <w:sz w:val="24"/>
          <w:highlight w:val="none"/>
        </w:rPr>
        <w:t>厅</w:t>
      </w:r>
      <w:r>
        <w:rPr>
          <w:rFonts w:ascii="宋体" w:hAnsi="宋体"/>
          <w:color w:val="auto"/>
          <w:sz w:val="24"/>
          <w:highlight w:val="none"/>
        </w:rPr>
        <w:t>建议降低</w:t>
      </w:r>
      <w:r>
        <w:rPr>
          <w:rFonts w:hint="eastAsia" w:ascii="宋体" w:hAnsi="宋体"/>
          <w:color w:val="auto"/>
          <w:sz w:val="24"/>
          <w:highlight w:val="none"/>
        </w:rPr>
        <w:t>施工单位信用等级评价。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因本项目要求工期短，合同期内不调价</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3、双方承担比例：材料价格涨（降）幅度超过10％的部分，由承包人和业主进行协商解决。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4、因施工单位原因造成工期延误的，在延误期间价格变化引起的增加费用由施工单位承担。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both"/>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rPr>
          <w:color w:val="auto"/>
          <w:sz w:val="24"/>
          <w:highlight w:val="none"/>
        </w:rPr>
      </w:pPr>
      <w:r>
        <w:rPr>
          <w:rFonts w:hint="eastAsia"/>
          <w:color w:val="auto"/>
          <w:sz w:val="24"/>
          <w:highlight w:val="none"/>
        </w:rPr>
        <w:t>说明：本数据表是项目专用合同条款中适用于本项目的信息和数据的归纳与提</w:t>
      </w:r>
    </w:p>
    <w:p>
      <w:pPr>
        <w:adjustRightInd w:val="0"/>
        <w:snapToGrid w:val="0"/>
        <w:spacing w:line="360" w:lineRule="auto"/>
        <w:ind w:firstLine="811" w:firstLineChars="338"/>
        <w:rPr>
          <w:color w:val="auto"/>
          <w:sz w:val="24"/>
          <w:highlight w:val="none"/>
        </w:rPr>
      </w:pPr>
      <w:r>
        <w:rPr>
          <w:rFonts w:hint="eastAsia"/>
          <w:color w:val="auto"/>
          <w:sz w:val="24"/>
          <w:highlight w:val="none"/>
        </w:rPr>
        <w:t>示，是项目专用合同条款的组成部分。第三卷投标函附录中的数据（供</w:t>
      </w:r>
    </w:p>
    <w:p>
      <w:pPr>
        <w:adjustRightInd w:val="0"/>
        <w:snapToGrid w:val="0"/>
        <w:spacing w:line="360" w:lineRule="auto"/>
        <w:ind w:firstLine="811" w:firstLineChars="338"/>
        <w:rPr>
          <w:color w:val="auto"/>
          <w:sz w:val="24"/>
          <w:highlight w:val="none"/>
        </w:rPr>
      </w:pPr>
      <w:r>
        <w:rPr>
          <w:rFonts w:hint="eastAsia"/>
          <w:color w:val="auto"/>
          <w:sz w:val="24"/>
          <w:highlight w:val="none"/>
        </w:rPr>
        <w:t>投标人确认）与本表所列有重复。编写招标文件的单位应仔细校核，不</w:t>
      </w:r>
    </w:p>
    <w:p>
      <w:pPr>
        <w:adjustRightInd w:val="0"/>
        <w:snapToGrid w:val="0"/>
        <w:spacing w:line="360" w:lineRule="auto"/>
        <w:ind w:firstLine="811" w:firstLineChars="338"/>
        <w:rPr>
          <w:color w:val="auto"/>
          <w:sz w:val="24"/>
          <w:highlight w:val="none"/>
        </w:rPr>
      </w:pPr>
      <w:r>
        <w:rPr>
          <w:rFonts w:hint="eastAsia"/>
          <w:color w:val="auto"/>
          <w:sz w:val="24"/>
          <w:highlight w:val="none"/>
        </w:rPr>
        <w:t>使数据出现差错或不一致。</w:t>
      </w:r>
    </w:p>
    <w:tbl>
      <w:tblPr>
        <w:tblStyle w:val="17"/>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序号</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条款号</w:t>
            </w:r>
          </w:p>
        </w:tc>
        <w:tc>
          <w:tcPr>
            <w:tcW w:w="7027" w:type="dxa"/>
            <w:vAlign w:val="center"/>
          </w:tcPr>
          <w:p>
            <w:pPr>
              <w:adjustRightInd w:val="0"/>
              <w:snapToGrid w:val="0"/>
              <w:spacing w:line="312"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1.1.2.2</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发包人：</w:t>
            </w:r>
            <w:r>
              <w:rPr>
                <w:rFonts w:hint="eastAsia" w:hAnsi="宋体" w:cs="宋体"/>
                <w:sz w:val="24"/>
                <w:szCs w:val="24"/>
                <w:lang w:val="zh-CN"/>
              </w:rPr>
              <w:t>许昌市建安区交通运输局</w:t>
            </w:r>
          </w:p>
          <w:p>
            <w:pPr>
              <w:adjustRightInd w:val="0"/>
              <w:snapToGrid w:val="0"/>
              <w:spacing w:line="312" w:lineRule="auto"/>
              <w:rPr>
                <w:color w:val="auto"/>
                <w:sz w:val="24"/>
                <w:highlight w:val="none"/>
              </w:rPr>
            </w:pPr>
            <w:r>
              <w:rPr>
                <w:rFonts w:hint="eastAsia"/>
                <w:color w:val="auto"/>
                <w:sz w:val="24"/>
                <w:highlight w:val="none"/>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监理人：</w:t>
            </w:r>
          </w:p>
          <w:p>
            <w:pPr>
              <w:adjustRightInd w:val="0"/>
              <w:snapToGrid w:val="0"/>
              <w:spacing w:line="312" w:lineRule="auto"/>
              <w:rPr>
                <w:color w:val="auto"/>
                <w:sz w:val="24"/>
                <w:highlight w:val="none"/>
              </w:rPr>
            </w:pPr>
            <w:r>
              <w:rPr>
                <w:rFonts w:hint="eastAsia"/>
                <w:color w:val="auto"/>
                <w:sz w:val="24"/>
                <w:highlight w:val="none"/>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1.1.4.3</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工期：</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缺陷责任期：</w:t>
            </w:r>
            <w:r>
              <w:rPr>
                <w:rFonts w:hint="eastAsia"/>
                <w:color w:val="auto"/>
                <w:sz w:val="24"/>
                <w:highlight w:val="none"/>
                <w:u w:val="single"/>
              </w:rPr>
              <w:t xml:space="preserve">  2  </w:t>
            </w:r>
            <w:r>
              <w:rPr>
                <w:rFonts w:hint="eastAsia"/>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1.6.3</w:t>
            </w:r>
          </w:p>
        </w:tc>
        <w:tc>
          <w:tcPr>
            <w:tcW w:w="7027" w:type="dxa"/>
            <w:vAlign w:val="top"/>
          </w:tcPr>
          <w:p>
            <w:pPr>
              <w:adjustRightInd w:val="0"/>
              <w:snapToGrid w:val="0"/>
              <w:spacing w:line="312" w:lineRule="auto"/>
              <w:rPr>
                <w:color w:val="auto"/>
                <w:sz w:val="24"/>
                <w:highlight w:val="none"/>
                <w:u w:val="single"/>
              </w:rPr>
            </w:pPr>
            <w:r>
              <w:rPr>
                <w:rFonts w:hint="eastAsia"/>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7 </w:t>
            </w:r>
            <w:r>
              <w:rPr>
                <w:rFonts w:hint="eastAsia"/>
                <w:color w:val="auto"/>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6</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3.1.1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单项工程变更涉及的金额超过了该单项工程原合同价的</w:t>
            </w:r>
            <w:r>
              <w:rPr>
                <w:rFonts w:hint="eastAsia"/>
                <w:color w:val="auto"/>
                <w:sz w:val="24"/>
                <w:highlight w:val="none"/>
                <w:u w:val="single"/>
              </w:rPr>
              <w:t xml:space="preserve">   </w:t>
            </w:r>
            <w:r>
              <w:rPr>
                <w:rFonts w:hint="eastAsia"/>
                <w:color w:val="auto"/>
                <w:sz w:val="24"/>
                <w:highlight w:val="none"/>
              </w:rPr>
              <w:t>%或累计变更超过了原总合同的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7</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4.2</w:t>
            </w:r>
          </w:p>
        </w:tc>
        <w:tc>
          <w:tcPr>
            <w:tcW w:w="7027" w:type="dxa"/>
            <w:vAlign w:val="top"/>
          </w:tcPr>
          <w:p>
            <w:pPr>
              <w:widowControl/>
              <w:spacing w:line="240" w:lineRule="atLeast"/>
              <w:rPr>
                <w:rFonts w:ascii="宋体" w:hAnsi="宋体" w:cs="宋体"/>
                <w:color w:val="auto"/>
                <w:kern w:val="0"/>
                <w:sz w:val="24"/>
                <w:highlight w:val="none"/>
              </w:rPr>
            </w:pPr>
            <w:r>
              <w:rPr>
                <w:rFonts w:hint="eastAsia"/>
                <w:color w:val="auto"/>
                <w:sz w:val="22"/>
                <w:highlight w:val="none"/>
              </w:rPr>
              <w:t>履约担保金额：</w:t>
            </w:r>
            <w:r>
              <w:rPr>
                <w:rFonts w:hint="eastAsia" w:ascii="宋体" w:hAnsi="宋体" w:cs="宋体"/>
                <w:color w:val="auto"/>
                <w:kern w:val="0"/>
                <w:sz w:val="24"/>
                <w:highlight w:val="none"/>
              </w:rPr>
              <w:t>中标</w:t>
            </w:r>
            <w:r>
              <w:rPr>
                <w:rFonts w:hint="eastAsia" w:ascii="宋体" w:hAnsi="宋体" w:cs="宋体"/>
                <w:color w:val="auto"/>
                <w:kern w:val="0"/>
                <w:sz w:val="24"/>
                <w:highlight w:val="none"/>
                <w:lang w:eastAsia="zh-CN"/>
              </w:rPr>
              <w:t>金额</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10</w:t>
            </w:r>
            <w:r>
              <w:rPr>
                <w:rFonts w:ascii="宋体" w:hAnsi="宋体" w:cs="宋体"/>
                <w:color w:val="auto"/>
                <w:kern w:val="0"/>
                <w:sz w:val="24"/>
                <w:highlight w:val="none"/>
              </w:rPr>
              <w:t xml:space="preserve">% </w:t>
            </w:r>
          </w:p>
          <w:p>
            <w:pPr>
              <w:adjustRightInd w:val="0"/>
              <w:snapToGrid w:val="0"/>
              <w:spacing w:line="312" w:lineRule="auto"/>
              <w:rPr>
                <w:color w:val="auto"/>
                <w:sz w:val="22"/>
                <w:highlight w:val="none"/>
              </w:rPr>
            </w:pPr>
            <w:r>
              <w:rPr>
                <w:rFonts w:hint="eastAsia"/>
                <w:color w:val="auto"/>
                <w:sz w:val="22"/>
                <w:highlight w:val="none"/>
              </w:rPr>
              <w:t>提交履约担保的时间：在签订合同协议书之前</w:t>
            </w:r>
          </w:p>
          <w:p>
            <w:pPr>
              <w:adjustRightInd w:val="0"/>
              <w:snapToGrid w:val="0"/>
              <w:spacing w:line="312" w:lineRule="auto"/>
              <w:rPr>
                <w:color w:val="auto"/>
                <w:sz w:val="22"/>
                <w:highlight w:val="none"/>
              </w:rPr>
            </w:pPr>
            <w:r>
              <w:rPr>
                <w:rFonts w:hint="eastAsia"/>
                <w:color w:val="auto"/>
                <w:sz w:val="22"/>
                <w:highlight w:val="none"/>
              </w:rPr>
              <w:t>履约担保形式：</w:t>
            </w:r>
            <w:r>
              <w:rPr>
                <w:rFonts w:hint="eastAsia" w:ascii="宋体" w:hAnsi="宋体" w:cs="宋体"/>
                <w:color w:val="auto"/>
                <w:kern w:val="0"/>
                <w:sz w:val="24"/>
                <w:highlight w:val="none"/>
              </w:rPr>
              <w:t>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8</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9</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10.2</w:t>
            </w:r>
          </w:p>
        </w:tc>
        <w:tc>
          <w:tcPr>
            <w:tcW w:w="7027" w:type="dxa"/>
            <w:vAlign w:val="top"/>
          </w:tcPr>
          <w:p>
            <w:pPr>
              <w:adjustRightInd w:val="0"/>
              <w:snapToGrid w:val="0"/>
              <w:spacing w:line="312" w:lineRule="auto"/>
              <w:rPr>
                <w:color w:val="auto"/>
                <w:sz w:val="24"/>
                <w:highlight w:val="none"/>
              </w:rPr>
            </w:pPr>
            <w:r>
              <w:rPr>
                <w:rFonts w:hint="eastAsia"/>
                <w:color w:val="auto"/>
                <w:sz w:val="22"/>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10</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10.4</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提交合同用款计划的时间：</w:t>
            </w:r>
          </w:p>
          <w:p>
            <w:pPr>
              <w:adjustRightInd w:val="0"/>
              <w:snapToGrid w:val="0"/>
              <w:spacing w:line="312" w:lineRule="auto"/>
              <w:rPr>
                <w:color w:val="auto"/>
                <w:sz w:val="24"/>
                <w:highlight w:val="none"/>
              </w:rPr>
            </w:pPr>
            <w:r>
              <w:rPr>
                <w:rFonts w:hint="eastAsia"/>
                <w:color w:val="auto"/>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11.1</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逾期竣工违约金：人民币</w:t>
            </w:r>
            <w:r>
              <w:rPr>
                <w:rFonts w:hint="eastAsia"/>
                <w:color w:val="auto"/>
                <w:sz w:val="24"/>
                <w:highlight w:val="none"/>
                <w:u w:val="single"/>
              </w:rPr>
              <w:t xml:space="preserve">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提前竣工的奖金：人民币</w:t>
            </w:r>
            <w:r>
              <w:rPr>
                <w:rFonts w:hint="eastAsia"/>
                <w:color w:val="auto"/>
                <w:sz w:val="24"/>
                <w:highlight w:val="none"/>
                <w:u w:val="single"/>
              </w:rPr>
              <w:t xml:space="preserve">  0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vAlign w:val="top"/>
          </w:tcPr>
          <w:p>
            <w:pPr>
              <w:adjustRightInd w:val="0"/>
              <w:snapToGrid w:val="0"/>
              <w:spacing w:line="312" w:lineRule="auto"/>
              <w:rPr>
                <w:color w:val="auto"/>
                <w:sz w:val="24"/>
                <w:highlight w:val="none"/>
              </w:rPr>
            </w:pPr>
            <w:r>
              <w:rPr>
                <w:rFonts w:hint="eastAsia"/>
                <w:color w:val="auto"/>
                <w:sz w:val="24"/>
                <w:highlight w:val="none"/>
              </w:rPr>
              <w:t>提前竣工的奖金限额：签约合同价的</w:t>
            </w:r>
            <w:r>
              <w:rPr>
                <w:rFonts w:hint="eastAsia"/>
                <w:color w:val="auto"/>
                <w:sz w:val="24"/>
                <w:highlight w:val="none"/>
                <w:u w:val="single"/>
              </w:rPr>
              <w:t xml:space="preserve"> 0 </w:t>
            </w:r>
            <w:r>
              <w:rPr>
                <w:rFonts w:hint="eastAsia"/>
                <w:color w:val="auto"/>
                <w:sz w:val="24"/>
                <w:highlight w:val="none"/>
              </w:rPr>
              <w:t>%</w:t>
            </w:r>
          </w:p>
        </w:tc>
      </w:tr>
    </w:tbl>
    <w:p>
      <w:pPr>
        <w:rPr>
          <w:color w:val="auto"/>
          <w:sz w:val="18"/>
          <w:szCs w:val="18"/>
          <w:highlight w:val="none"/>
        </w:rPr>
      </w:pPr>
    </w:p>
    <w:p>
      <w:pPr>
        <w:rPr>
          <w:color w:val="auto"/>
          <w:sz w:val="18"/>
          <w:szCs w:val="18"/>
          <w:highlight w:val="none"/>
        </w:rPr>
      </w:pPr>
      <w:r>
        <w:rPr>
          <w:color w:val="auto"/>
          <w:sz w:val="18"/>
          <w:szCs w:val="18"/>
          <w:highlight w:val="none"/>
        </w:rPr>
        <w:br w:type="page"/>
      </w:r>
    </w:p>
    <w:tbl>
      <w:tblPr>
        <w:tblStyle w:val="17"/>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序号</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条款号</w:t>
            </w:r>
          </w:p>
        </w:tc>
        <w:tc>
          <w:tcPr>
            <w:tcW w:w="7560" w:type="dxa"/>
            <w:vAlign w:val="center"/>
          </w:tcPr>
          <w:p>
            <w:pPr>
              <w:adjustRightInd w:val="0"/>
              <w:snapToGrid w:val="0"/>
              <w:spacing w:line="324"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15.2.2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按所节约或增加收益的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开工预付款比例：</w:t>
            </w:r>
            <w:r>
              <w:rPr>
                <w:rFonts w:hint="eastAsia"/>
                <w:color w:val="auto"/>
                <w:sz w:val="24"/>
                <w:highlight w:val="none"/>
                <w:u w:val="single"/>
              </w:rPr>
              <w:t xml:space="preserve">   </w:t>
            </w:r>
            <w:r>
              <w:rPr>
                <w:rFonts w:hint="eastAsia"/>
                <w:color w:val="auto"/>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材料、设备预付款比例：</w:t>
            </w:r>
            <w:r>
              <w:rPr>
                <w:rFonts w:hint="eastAsia"/>
                <w:color w:val="auto"/>
                <w:sz w:val="24"/>
                <w:highlight w:val="none"/>
                <w:u w:val="single"/>
              </w:rPr>
              <w:t xml:space="preserve">   </w:t>
            </w:r>
            <w:r>
              <w:rPr>
                <w:rFonts w:hint="eastAsia"/>
                <w:color w:val="auto"/>
                <w:sz w:val="24"/>
                <w:highlight w:val="none"/>
              </w:rPr>
              <w:t>等主要材料、设备单据所列费用的</w:t>
            </w:r>
            <w:r>
              <w:rPr>
                <w:rFonts w:hint="eastAsia"/>
                <w:color w:val="auto"/>
                <w:sz w:val="24"/>
                <w:highlight w:val="none"/>
                <w:u w:val="single"/>
              </w:rPr>
              <w:t xml:space="preserve">   </w:t>
            </w:r>
            <w:r>
              <w:rPr>
                <w:rFonts w:hint="eastAsia"/>
                <w:color w:val="auto"/>
                <w:sz w:val="24"/>
                <w:highlight w:val="none"/>
              </w:rPr>
              <w:t>%</w:t>
            </w:r>
            <w:r>
              <w:rPr>
                <w:rStyle w:val="16"/>
                <w:color w:val="auto"/>
                <w:sz w:val="24"/>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进度付款申请单：向监理人提交进度付款申请单的份数：</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jc w:val="left"/>
              <w:rPr>
                <w:color w:val="auto"/>
                <w:sz w:val="24"/>
                <w:highlight w:val="none"/>
              </w:rPr>
            </w:pPr>
            <w:r>
              <w:rPr>
                <w:rFonts w:hint="eastAsia"/>
                <w:color w:val="auto"/>
                <w:sz w:val="24"/>
                <w:highlight w:val="none"/>
              </w:rPr>
              <w:t>进度付款申请证书最低限额：签约合同价的</w:t>
            </w:r>
            <w:r>
              <w:rPr>
                <w:rFonts w:hint="eastAsia"/>
                <w:color w:val="auto"/>
                <w:sz w:val="24"/>
                <w:highlight w:val="none"/>
                <w:u w:val="single"/>
              </w:rPr>
              <w:t xml:space="preserve">  </w:t>
            </w:r>
            <w:r>
              <w:rPr>
                <w:rFonts w:hint="eastAsia"/>
                <w:color w:val="auto"/>
                <w:sz w:val="24"/>
                <w:highlight w:val="none"/>
              </w:rPr>
              <w:t>%或人民币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进度付款支付期限：</w:t>
            </w:r>
          </w:p>
          <w:p>
            <w:pPr>
              <w:adjustRightInd w:val="0"/>
              <w:snapToGrid w:val="0"/>
              <w:spacing w:line="324" w:lineRule="auto"/>
              <w:rPr>
                <w:color w:val="auto"/>
                <w:sz w:val="24"/>
                <w:highlight w:val="none"/>
              </w:rPr>
            </w:pPr>
            <w:r>
              <w:rPr>
                <w:rFonts w:hint="eastAsia"/>
                <w:color w:val="auto"/>
                <w:sz w:val="24"/>
                <w:highlight w:val="none"/>
              </w:rPr>
              <w:t>监理人收到进度付款申请单后</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hint="eastAsia"/>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逾期付款违约金：</w:t>
            </w:r>
            <w:r>
              <w:rPr>
                <w:rFonts w:hint="eastAsia"/>
                <w:color w:val="auto"/>
                <w:sz w:val="24"/>
                <w:highlight w:val="none"/>
                <w:u w:val="single"/>
              </w:rPr>
              <w:t xml:space="preserve">    </w:t>
            </w:r>
            <w:r>
              <w:rPr>
                <w:rFonts w:hint="eastAsia" w:ascii="宋体" w:hAnsi="宋体"/>
                <w:color w:val="auto"/>
                <w:sz w:val="24"/>
                <w:highlight w:val="none"/>
              </w:rPr>
              <w:t>‰/天</w:t>
            </w:r>
            <w:r>
              <w:rPr>
                <w:rStyle w:val="16"/>
                <w:color w:val="auto"/>
                <w:sz w:val="24"/>
                <w:highlight w:val="none"/>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24</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质量保证金百分比：月支付额的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25</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质量保证金限额：合同价格的</w:t>
            </w:r>
            <w:r>
              <w:rPr>
                <w:rFonts w:hint="eastAsia"/>
                <w:color w:val="auto"/>
                <w:sz w:val="24"/>
                <w:highlight w:val="none"/>
                <w:lang w:val="en-US" w:eastAsia="zh-CN"/>
              </w:rPr>
              <w:t>3</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竣工付款申请单：承包人向监理人提交竣工付款申请单（包括相关证明材料）的份数：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竣工付款支付期限：</w:t>
            </w:r>
          </w:p>
          <w:p>
            <w:pPr>
              <w:adjustRightInd w:val="0"/>
              <w:snapToGrid w:val="0"/>
              <w:spacing w:line="324" w:lineRule="auto"/>
              <w:rPr>
                <w:color w:val="auto"/>
                <w:sz w:val="24"/>
                <w:highlight w:val="none"/>
              </w:rPr>
            </w:pPr>
            <w:r>
              <w:rPr>
                <w:rFonts w:hint="eastAsia"/>
                <w:color w:val="auto"/>
                <w:sz w:val="24"/>
                <w:highlight w:val="none"/>
              </w:rPr>
              <w:t>监理人出具工程竣工付款证书后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最终结清申请单：承包人向监理人提交终结清申请单（包括相关证明材料）的份数：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最终付款支付期限：</w:t>
            </w:r>
          </w:p>
          <w:p>
            <w:pPr>
              <w:adjustRightInd w:val="0"/>
              <w:snapToGrid w:val="0"/>
              <w:spacing w:line="324" w:lineRule="auto"/>
              <w:rPr>
                <w:color w:val="auto"/>
                <w:sz w:val="24"/>
                <w:highlight w:val="none"/>
              </w:rPr>
            </w:pPr>
            <w:r>
              <w:rPr>
                <w:rFonts w:hint="eastAsia"/>
                <w:color w:val="auto"/>
                <w:sz w:val="24"/>
                <w:highlight w:val="none"/>
              </w:rPr>
              <w:t>监理人出具最终结清证书后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19.7</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保修期：</w:t>
            </w:r>
            <w:r>
              <w:rPr>
                <w:rFonts w:hint="eastAsia"/>
                <w:color w:val="auto"/>
                <w:sz w:val="24"/>
                <w:highlight w:val="none"/>
                <w:u w:val="single"/>
              </w:rPr>
              <w:t xml:space="preserve"> 5  </w:t>
            </w:r>
            <w:r>
              <w:rPr>
                <w:rFonts w:hint="eastAsia"/>
                <w:color w:val="auto"/>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20.1</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建筑工程一切险的保险费率：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20.4.2</w:t>
            </w:r>
          </w:p>
        </w:tc>
        <w:tc>
          <w:tcPr>
            <w:tcW w:w="7560" w:type="dxa"/>
            <w:vAlign w:val="top"/>
          </w:tcPr>
          <w:p>
            <w:pPr>
              <w:adjustRightInd w:val="0"/>
              <w:snapToGrid w:val="0"/>
              <w:spacing w:line="324" w:lineRule="auto"/>
              <w:rPr>
                <w:color w:val="auto"/>
                <w:sz w:val="24"/>
                <w:highlight w:val="none"/>
              </w:rPr>
            </w:pPr>
            <w:r>
              <w:rPr>
                <w:rFonts w:hint="eastAsia"/>
                <w:color w:val="auto"/>
                <w:sz w:val="24"/>
                <w:highlight w:val="none"/>
              </w:rPr>
              <w:t>第三者责任的最低投保金额：</w:t>
            </w:r>
            <w:r>
              <w:rPr>
                <w:rFonts w:hint="eastAsia"/>
                <w:color w:val="auto"/>
                <w:sz w:val="24"/>
                <w:highlight w:val="none"/>
                <w:u w:val="single"/>
              </w:rPr>
              <w:t xml:space="preserve">    </w:t>
            </w:r>
            <w:r>
              <w:rPr>
                <w:rFonts w:hint="eastAsia"/>
                <w:color w:val="auto"/>
                <w:sz w:val="24"/>
                <w:highlight w:val="none"/>
              </w:rPr>
              <w:t>万元人民币，事故次数不限（不计免赔额）     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24.1</w:t>
            </w:r>
          </w:p>
        </w:tc>
        <w:tc>
          <w:tcPr>
            <w:tcW w:w="7560" w:type="dxa"/>
            <w:vAlign w:val="top"/>
          </w:tcPr>
          <w:p>
            <w:pPr>
              <w:adjustRightInd w:val="0"/>
              <w:snapToGrid w:val="0"/>
              <w:spacing w:line="324" w:lineRule="auto"/>
              <w:rPr>
                <w:color w:val="auto"/>
                <w:sz w:val="24"/>
                <w:highlight w:val="none"/>
                <w:u w:val="single"/>
              </w:rPr>
            </w:pPr>
            <w:r>
              <w:rPr>
                <w:rFonts w:hint="eastAsia"/>
                <w:color w:val="auto"/>
                <w:sz w:val="24"/>
                <w:highlight w:val="none"/>
              </w:rPr>
              <w:t>争议的最终解决方式：</w:t>
            </w:r>
            <w:r>
              <w:rPr>
                <w:rFonts w:hint="eastAsia"/>
                <w:color w:val="auto"/>
                <w:sz w:val="24"/>
                <w:highlight w:val="none"/>
                <w:u w:val="single"/>
              </w:rPr>
              <w:t xml:space="preserve">      诉讼     </w:t>
            </w:r>
          </w:p>
          <w:p>
            <w:pPr>
              <w:adjustRightInd w:val="0"/>
              <w:snapToGrid w:val="0"/>
              <w:spacing w:line="324" w:lineRule="auto"/>
              <w:rPr>
                <w:color w:val="auto"/>
                <w:sz w:val="24"/>
                <w:highlight w:val="none"/>
              </w:rPr>
            </w:pPr>
            <w:r>
              <w:rPr>
                <w:rFonts w:hint="eastAsia"/>
                <w:color w:val="auto"/>
                <w:sz w:val="24"/>
                <w:highlight w:val="none"/>
              </w:rPr>
              <w:t>如采用仲裁，仲裁委员会名称</w:t>
            </w:r>
            <w:r>
              <w:rPr>
                <w:rFonts w:hint="eastAsia"/>
                <w:color w:val="auto"/>
                <w:sz w:val="24"/>
                <w:highlight w:val="none"/>
                <w:u w:val="single"/>
              </w:rPr>
              <w:t xml:space="preserve">：  许昌市中级人民法院  </w:t>
            </w:r>
          </w:p>
        </w:tc>
      </w:tr>
    </w:tbl>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360" w:lineRule="auto"/>
        <w:rPr>
          <w:rFonts w:hint="eastAsia" w:ascii="黑体" w:eastAsia="黑体"/>
          <w:color w:val="auto"/>
          <w:sz w:val="30"/>
          <w:highlight w:val="none"/>
        </w:rPr>
      </w:pPr>
    </w:p>
    <w:p>
      <w:pPr>
        <w:adjustRightInd w:val="0"/>
        <w:snapToGrid w:val="0"/>
        <w:spacing w:beforeLines="50" w:afterLines="50" w:line="360" w:lineRule="auto"/>
        <w:ind w:firstLine="3000" w:firstLineChars="1000"/>
        <w:rPr>
          <w:rFonts w:ascii="黑体" w:eastAsia="黑体"/>
          <w:color w:val="auto"/>
          <w:sz w:val="30"/>
          <w:highlight w:val="none"/>
        </w:rPr>
      </w:pPr>
      <w:r>
        <w:rPr>
          <w:rFonts w:hint="eastAsia" w:ascii="黑体" w:eastAsia="黑体"/>
          <w:color w:val="auto"/>
          <w:sz w:val="30"/>
          <w:highlight w:val="none"/>
        </w:rPr>
        <w:t>项目专用条款</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1.4合同文件的优先顺序：</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1.7.2来往函件送达的期限：</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2.8发包人应履行的其他义务：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4.1.2依法纳税：</w:t>
      </w:r>
      <w:r>
        <w:rPr>
          <w:rFonts w:hint="eastAsia" w:ascii="黑体" w:eastAsia="黑体"/>
          <w:color w:val="auto"/>
          <w:sz w:val="24"/>
          <w:highlight w:val="none"/>
          <w:u w:val="single"/>
        </w:rPr>
        <w:t xml:space="preserve">     </w:t>
      </w:r>
      <w:r>
        <w:rPr>
          <w:rFonts w:hint="eastAsia" w:ascii="黑体" w:eastAsia="黑体"/>
          <w:color w:val="auto"/>
          <w:sz w:val="24"/>
          <w:highlight w:val="none"/>
          <w:u w:val="single"/>
        </w:rPr>
        <w:tab/>
      </w:r>
      <w:r>
        <w:rPr>
          <w:rFonts w:hint="eastAsia" w:ascii="黑体" w:eastAsia="黑体"/>
          <w:color w:val="auto"/>
          <w:sz w:val="24"/>
          <w:highlight w:val="none"/>
          <w:u w:val="singl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4.1.8为他人提供方便</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承包人为他人提供条件的内容：</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承包人为他人提供条件可能发生费用的处理方法：</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4.1.10其他义务：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4.2履约担保：</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4.11.1不利物质条件的范围：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6.2发包人提供的施工设备和临时设施：</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8.1.1发包人向承包人提供测量准点、基准线和水准点及其书面资料的时间：</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。承包人监理人报送施工控制网资料的时间：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9.2承包人的施工安全责任：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10.1合同进度计划</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承包人编制施工方案的内容：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11.4异常恶劣的气候条件：</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11.5承包人的工期延误：</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11.6工期提前：</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12.1承包人暂停停工的责任：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15.4变更的佶价原则：</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17.3.3进度付款证书和支付时间：</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进度付款涉及政府投资资金的,按照以下规定办理：</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18.5施工期运行</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单位工程或工程设备是否需投入施工期运行：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18.6试运行</w:t>
      </w:r>
      <w:r>
        <w:rPr>
          <w:rFonts w:ascii="黑体" w:hAnsi="Times New Roman" w:eastAsia="黑体" w:cs="Times New Roman"/>
          <w:color w:val="auto"/>
          <w:kern w:val="2"/>
          <w:position w:val="-10"/>
          <w:sz w:val="24"/>
          <w:szCs w:val="24"/>
          <w:highlight w:val="none"/>
          <w:lang w:val="en-US" w:eastAsia="zh-CN" w:bidi="ar-SA"/>
        </w:rPr>
        <w:object>
          <v:shape id="_x0000_i1028" o:spt="75" type="#_x0000_t75" style="height:17pt;width:8.85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Equations" ShapeID="_x0000_i1028" DrawAspect="Content" ObjectID="_1468075726" r:id="rId12">
            <o:LockedField>false</o:LockedField>
          </o:OLEObject>
        </w:objec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18.6.1项约定：</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本工程及工程设备是否进行试运行：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试运行的费用约定：</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21.1不可抗力的确认：</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22.1.2对承包人违约的处理：</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p>
      <w:pPr>
        <w:pStyle w:val="18"/>
        <w:snapToGrid w:val="0"/>
        <w:spacing w:line="300" w:lineRule="auto"/>
        <w:rPr>
          <w:b/>
          <w:bCs/>
          <w:color w:val="auto"/>
          <w:sz w:val="44"/>
          <w:highlight w:val="none"/>
        </w:rPr>
      </w:pPr>
    </w:p>
    <w:bookmarkEnd w:id="224"/>
    <w:p>
      <w:pPr>
        <w:pStyle w:val="18"/>
        <w:snapToGrid w:val="0"/>
        <w:spacing w:line="300" w:lineRule="auto"/>
        <w:rPr>
          <w:b/>
          <w:bCs/>
          <w:color w:val="auto"/>
          <w:sz w:val="44"/>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）施工组织设计安排；</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农民工工资支付承诺书</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（15）扬尘治理专项承诺书；</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）其他合同文件。</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。技术负责人：</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工程质量符合</w:t>
      </w:r>
      <w:r>
        <w:rPr>
          <w:rFonts w:hint="eastAsia"/>
          <w:color w:val="auto"/>
          <w:sz w:val="24"/>
          <w:highlight w:val="none"/>
          <w:u w:val="single"/>
        </w:rPr>
        <w:t xml:space="preserve">              </w:t>
      </w:r>
      <w:r>
        <w:rPr>
          <w:color w:val="auto"/>
          <w:sz w:val="24"/>
          <w:highlight w:val="none"/>
        </w:rPr>
        <w:t>标准。</w:t>
      </w:r>
    </w:p>
    <w:p>
      <w:pPr>
        <w:adjustRightInd w:val="0"/>
        <w:snapToGrid w:val="0"/>
        <w:spacing w:line="360" w:lineRule="auto"/>
        <w:ind w:firstLine="480" w:firstLineChars="200"/>
        <w:rPr>
          <w:color w:val="auto"/>
          <w:sz w:val="24"/>
          <w:highlight w:val="none"/>
        </w:rPr>
      </w:pPr>
      <w:r>
        <w:rPr>
          <w:color w:val="auto"/>
          <w:sz w:val="24"/>
          <w:highlight w:val="none"/>
        </w:rPr>
        <w:t>7．承包人承诺按合同约定承担工程的实施、完成及缺陷修复。</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auto"/>
          <w:sz w:val="24"/>
          <w:highlight w:val="none"/>
        </w:rPr>
      </w:pPr>
      <w:r>
        <w:rPr>
          <w:color w:val="auto"/>
          <w:sz w:val="24"/>
          <w:highlight w:val="none"/>
        </w:rPr>
        <w:t>11．本协议书正本二份、副本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12</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olor w:val="auto"/>
          <w:sz w:val="24"/>
          <w:highlight w:val="none"/>
          <w:u w:val="single"/>
        </w:rPr>
        <w:t xml:space="preserve">    （全称）   </w:t>
      </w:r>
      <w:r>
        <w:rPr>
          <w:color w:val="auto"/>
          <w:sz w:val="24"/>
          <w:highlight w:val="none"/>
        </w:rPr>
        <w:t>（以下简称“甲方”）与施工单位</w:t>
      </w:r>
      <w:r>
        <w:rPr>
          <w:rFonts w:hint="eastAsia"/>
          <w:color w:val="auto"/>
          <w:sz w:val="24"/>
          <w:highlight w:val="none"/>
          <w:u w:val="single"/>
        </w:rPr>
        <w:t xml:space="preserve">    （全称）   </w:t>
      </w:r>
      <w:r>
        <w:rPr>
          <w:color w:val="auto"/>
          <w:sz w:val="24"/>
          <w:highlight w:val="none"/>
        </w:rPr>
        <w:t>（以下简称“乙方”），特订立如下合同。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1．甲乙双方的权利和义务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严格执行．（项目名称）工程的合同文件，自觉按合同办事。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2．甲方的义务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color w:val="auto"/>
          <w:sz w:val="24"/>
          <w:highlight w:val="none"/>
        </w:rPr>
        <w:t>甲方工作人员及其配偶、子女不得从事与甲方工程有关的材料设备供应、工程分包、劳务等经济活动等。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3．乙方的义务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乙方不得以任何理由向甲方及其工作人员行贿或馈赠礼金、有价证券、贵重礼品。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3）乙方不得以任何理由安排甲方工作人员参加超标准宴请及娱乐活动。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color w:val="auto"/>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24"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24"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24"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24"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24"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24" w:lineRule="auto"/>
        <w:rPr>
          <w:color w:val="auto"/>
          <w:sz w:val="24"/>
          <w:highlight w:val="none"/>
          <w:u w:val="single"/>
        </w:rPr>
      </w:pPr>
      <w:r>
        <w:rPr>
          <w:color w:val="auto"/>
          <w:sz w:val="24"/>
          <w:highlight w:val="none"/>
        </w:rPr>
        <w:t>甲方监督单位：</w:t>
      </w:r>
      <w:r>
        <w:rPr>
          <w:rFonts w:hint="eastAsia"/>
          <w:color w:val="auto"/>
          <w:sz w:val="24"/>
          <w:highlight w:val="none"/>
          <w:u w:val="single"/>
        </w:rPr>
        <w:t xml:space="preserve"> （全称）  （盖章）</w:t>
      </w:r>
      <w:r>
        <w:rPr>
          <w:rFonts w:hint="eastAsia"/>
          <w:color w:val="auto"/>
          <w:sz w:val="24"/>
          <w:highlight w:val="none"/>
        </w:rPr>
        <w:t xml:space="preserve">      </w:t>
      </w:r>
      <w:r>
        <w:rPr>
          <w:color w:val="auto"/>
          <w:sz w:val="24"/>
          <w:highlight w:val="none"/>
        </w:rPr>
        <w:t>乙方监督单位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（以下简称“甲方</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（以下简称“乙方</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一、甲方职责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二、乙方职责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4、乙方在任何时候都应采取各种合理的预防措施，防止其员工发生任何违法、违禁、暴力或妨碍治安的行为。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如因甲方或乙方违约造成安全事故，将依法追究责任。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43" w:lineRule="auto"/>
        <w:ind w:firstLine="960" w:firstLineChars="400"/>
        <w:rPr>
          <w:color w:val="auto"/>
          <w:sz w:val="24"/>
          <w:highlight w:val="none"/>
        </w:rPr>
      </w:pPr>
      <w:r>
        <w:rPr>
          <w:color w:val="auto"/>
          <w:sz w:val="24"/>
          <w:highlight w:val="none"/>
        </w:rPr>
        <w:t>或</w:t>
      </w:r>
      <w:r>
        <w:rPr>
          <w:rFonts w:hint="eastAsia"/>
          <w:color w:val="auto"/>
          <w:sz w:val="24"/>
          <w:highlight w:val="none"/>
        </w:rPr>
        <w:t xml:space="preserve">                                     </w:t>
      </w:r>
      <w:r>
        <w:rPr>
          <w:color w:val="auto"/>
          <w:sz w:val="24"/>
          <w:highlight w:val="none"/>
        </w:rPr>
        <w:t>或</w:t>
      </w:r>
    </w:p>
    <w:p>
      <w:pPr>
        <w:adjustRightInd w:val="0"/>
        <w:snapToGrid w:val="0"/>
        <w:spacing w:line="343" w:lineRule="auto"/>
        <w:rPr>
          <w:color w:val="auto"/>
          <w:sz w:val="24"/>
          <w:highlight w:val="none"/>
        </w:rPr>
      </w:pPr>
      <w:r>
        <w:rPr>
          <w:color w:val="auto"/>
          <w:sz w:val="24"/>
          <w:highlight w:val="none"/>
        </w:rPr>
        <w:t>其授权的代理人</w:t>
      </w:r>
      <w:r>
        <w:rPr>
          <w:rFonts w:hint="eastAsia"/>
          <w:color w:val="auto"/>
          <w:sz w:val="24"/>
          <w:highlight w:val="none"/>
          <w:u w:val="single"/>
        </w:rPr>
        <w:t xml:space="preserve">   （职务）   </w:t>
      </w:r>
      <w:r>
        <w:rPr>
          <w:rFonts w:hint="eastAsia"/>
          <w:color w:val="auto"/>
          <w:sz w:val="24"/>
          <w:highlight w:val="none"/>
        </w:rPr>
        <w:t xml:space="preserve">           </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43" w:lineRule="auto"/>
        <w:ind w:firstLine="1680" w:firstLineChars="7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43" w:lineRule="auto"/>
        <w:ind w:firstLine="1680" w:firstLineChars="7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43"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43"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43"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附件四：农民工工资支付承诺书</w:t>
      </w:r>
    </w:p>
    <w:p>
      <w:pPr>
        <w:adjustRightInd w:val="0"/>
        <w:snapToGrid w:val="0"/>
        <w:spacing w:afterLines="50" w:line="343" w:lineRule="auto"/>
        <w:rPr>
          <w:rFonts w:ascii="黑体" w:eastAsia="黑体"/>
          <w:color w:val="auto"/>
          <w:sz w:val="18"/>
          <w:szCs w:val="18"/>
          <w:highlight w:val="none"/>
        </w:rPr>
      </w:pP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u w:val="single"/>
        </w:rPr>
        <w:t>（合同工程名称）</w:t>
      </w:r>
      <w:r>
        <w:rPr>
          <w:rFonts w:ascii="黑体" w:eastAsia="黑体"/>
          <w:color w:val="auto"/>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承诺人：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adjustRightInd w:val="0"/>
        <w:snapToGrid w:val="0"/>
        <w:spacing w:line="360" w:lineRule="auto"/>
        <w:rPr>
          <w:rFonts w:ascii="黑体" w:eastAsia="黑体"/>
          <w:color w:val="auto"/>
          <w:sz w:val="24"/>
          <w:highlight w:val="none"/>
        </w:rPr>
      </w:pPr>
      <w:r>
        <w:rPr>
          <w:rFonts w:ascii="黑体" w:eastAsia="黑体"/>
          <w:color w:val="auto"/>
          <w:sz w:val="24"/>
          <w:highlight w:val="none"/>
        </w:rPr>
        <w:br w:type="page"/>
      </w:r>
      <w:r>
        <w:rPr>
          <w:rFonts w:hint="eastAsia" w:ascii="黑体" w:eastAsia="黑体"/>
          <w:color w:val="auto"/>
          <w:sz w:val="24"/>
          <w:highlight w:val="none"/>
        </w:rPr>
        <w:t>附件五：项目经理委任书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附件六：履约担保格式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履 约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附件七：预付款担保格式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预 付 款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rPr>
        <w:t xml:space="preserve">          </w:t>
      </w:r>
      <w:r>
        <w:rPr>
          <w:color w:val="auto"/>
          <w:sz w:val="24"/>
          <w:highlight w:val="none"/>
        </w:rPr>
        <w:t>（承包人名称）（以下称“承包人”）与</w:t>
      </w:r>
      <w:r>
        <w:rPr>
          <w:rFonts w:hint="eastAsia"/>
          <w:color w:val="auto"/>
          <w:sz w:val="24"/>
          <w:highlight w:val="none"/>
          <w:u w:val="single"/>
        </w:rPr>
        <w:t xml:space="preserve">                 </w:t>
      </w:r>
      <w:r>
        <w:rPr>
          <w:color w:val="auto"/>
          <w:sz w:val="24"/>
          <w:highlight w:val="none"/>
        </w:rPr>
        <w:t>（发包人名称）（以下简称“发包人”）于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日签订的</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担保有效期自预付款支付给承包人起生效，至发包人签发的进度付款证书说明</w:t>
      </w:r>
      <w:r>
        <w:rPr>
          <w:rFonts w:hint="eastAsia"/>
          <w:color w:val="auto"/>
          <w:sz w:val="24"/>
          <w:highlight w:val="none"/>
        </w:rPr>
        <w:t>已</w:t>
      </w:r>
      <w:r>
        <w:rPr>
          <w:color w:val="auto"/>
          <w:sz w:val="24"/>
          <w:highlight w:val="none"/>
        </w:rPr>
        <w:t>完全扣清止。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发包人和承包人按《通用合同条款》第15条变更合同时，我方承担本保函规定的义务不变。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spacing w:line="400" w:lineRule="exact"/>
        <w:ind w:firstLine="480" w:firstLineChars="200"/>
        <w:rPr>
          <w:rFonts w:ascii="宋体" w:hAnsi="宋体"/>
          <w:color w:val="auto"/>
          <w:sz w:val="24"/>
          <w:highlight w:val="none"/>
        </w:rPr>
      </w:pPr>
    </w:p>
    <w:p>
      <w:pPr>
        <w:rPr>
          <w:rFonts w:ascii="宋体" w:hAnsi="宋体"/>
          <w:color w:val="auto"/>
          <w:sz w:val="24"/>
          <w:highlight w:val="none"/>
        </w:rPr>
      </w:pPr>
    </w:p>
    <w:p>
      <w:pPr>
        <w:spacing w:line="400" w:lineRule="exact"/>
        <w:rPr>
          <w:rFonts w:ascii="隶书" w:hAnsi="宋体" w:eastAsia="隶书"/>
          <w:color w:val="auto"/>
          <w:sz w:val="24"/>
          <w:highlight w:val="none"/>
        </w:rPr>
      </w:pPr>
    </w:p>
    <w:p>
      <w:pPr>
        <w:rPr>
          <w:rFonts w:ascii="宋体" w:hAnsi="宋体"/>
          <w:color w:val="auto"/>
          <w:sz w:val="44"/>
          <w:szCs w:val="44"/>
          <w:highlight w:val="none"/>
        </w:rPr>
      </w:pPr>
    </w:p>
    <w:p>
      <w:pPr>
        <w:pStyle w:val="4"/>
        <w:spacing w:after="600" w:line="240" w:lineRule="auto"/>
        <w:jc w:val="center"/>
        <w:rPr>
          <w:b w:val="0"/>
          <w:sz w:val="28"/>
          <w:szCs w:val="28"/>
        </w:rPr>
      </w:pPr>
      <w:bookmarkStart w:id="225" w:name="_Toc237866020"/>
      <w:bookmarkStart w:id="226" w:name="_Toc483496978"/>
      <w:r>
        <w:rPr>
          <w:rFonts w:hint="eastAsia" w:ascii="黑体" w:eastAsia="黑体"/>
          <w:sz w:val="28"/>
          <w:szCs w:val="28"/>
          <w:lang w:eastAsia="zh-CN"/>
        </w:rPr>
        <w:t>第五章、</w:t>
      </w:r>
      <w:r>
        <w:rPr>
          <w:rFonts w:ascii="黑体" w:eastAsia="黑体"/>
          <w:sz w:val="28"/>
          <w:szCs w:val="28"/>
        </w:rPr>
        <w:t>工程量清单说明</w:t>
      </w:r>
      <w:bookmarkEnd w:id="225"/>
      <w:bookmarkEnd w:id="226"/>
    </w:p>
    <w:p>
      <w:pPr>
        <w:spacing w:line="400" w:lineRule="exact"/>
        <w:ind w:firstLine="480" w:firstLineChars="200"/>
        <w:rPr>
          <w:sz w:val="24"/>
        </w:rPr>
      </w:pPr>
      <w:bookmarkStart w:id="227" w:name="_Hlt236721459"/>
      <w:bookmarkEnd w:id="227"/>
      <w:r>
        <w:rPr>
          <w:rFonts w:hint="eastAsia"/>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sz w:val="24"/>
        </w:rPr>
      </w:pPr>
      <w:r>
        <w:rPr>
          <w:rFonts w:hint="eastAsia"/>
          <w:sz w:val="24"/>
        </w:rPr>
        <w:t>1.2 本工程量清单应与招标文件中的投标人须知、通用合同条款、专用合同条款、技术规范及图纸等一起阅读和理解。</w:t>
      </w:r>
    </w:p>
    <w:p>
      <w:pPr>
        <w:spacing w:line="400" w:lineRule="exact"/>
        <w:ind w:firstLine="480" w:firstLineChars="200"/>
        <w:rPr>
          <w:sz w:val="24"/>
        </w:rPr>
      </w:pPr>
      <w:r>
        <w:rPr>
          <w:rFonts w:hint="eastAsia"/>
          <w:sz w:val="24"/>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pacing w:line="400" w:lineRule="exact"/>
        <w:ind w:firstLine="480" w:firstLineChars="200"/>
        <w:rPr>
          <w:sz w:val="24"/>
        </w:rPr>
      </w:pPr>
      <w:r>
        <w:rPr>
          <w:rFonts w:hint="eastAsia"/>
          <w:sz w:val="24"/>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sz w:val="24"/>
        </w:rPr>
      </w:pPr>
      <w:r>
        <w:rPr>
          <w:rFonts w:hint="eastAsia"/>
          <w:sz w:val="24"/>
        </w:rPr>
        <w:t>1.5 对作业和材料的—般说明或规定，未重复写入工程量清单内，在给工程量清单各子目标价前，应参阅第七章“技术规范”的有关内容。</w:t>
      </w:r>
    </w:p>
    <w:p>
      <w:pPr>
        <w:spacing w:line="400" w:lineRule="exact"/>
        <w:ind w:firstLine="480" w:firstLineChars="200"/>
        <w:rPr>
          <w:sz w:val="24"/>
        </w:rPr>
      </w:pPr>
      <w:r>
        <w:rPr>
          <w:rFonts w:hint="eastAsia"/>
          <w:sz w:val="24"/>
        </w:rPr>
        <w:t>1.6 工程量清单中所列工程量的变动，丝毫不会降低或影响合同条款的效力，也不免除承包人按规定的标准进行施工和修复缺陷的责任。</w:t>
      </w:r>
    </w:p>
    <w:p>
      <w:pPr>
        <w:spacing w:line="400" w:lineRule="exact"/>
        <w:ind w:firstLine="480" w:firstLineChars="200"/>
        <w:rPr>
          <w:sz w:val="24"/>
        </w:rPr>
      </w:pPr>
      <w:r>
        <w:rPr>
          <w:rFonts w:hint="eastAsia"/>
          <w:sz w:val="24"/>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sz w:val="28"/>
          <w:szCs w:val="28"/>
        </w:rPr>
      </w:pPr>
      <w:r>
        <w:rPr>
          <w:rFonts w:hint="eastAsia" w:ascii="黑体" w:eastAsia="黑体"/>
          <w:sz w:val="28"/>
          <w:szCs w:val="28"/>
        </w:rPr>
        <w:t>2．投标报价说明</w:t>
      </w:r>
    </w:p>
    <w:p>
      <w:pPr>
        <w:spacing w:line="400" w:lineRule="exact"/>
        <w:ind w:firstLine="480" w:firstLineChars="200"/>
        <w:rPr>
          <w:sz w:val="24"/>
        </w:rPr>
      </w:pPr>
      <w:r>
        <w:rPr>
          <w:rFonts w:hint="eastAsia"/>
          <w:sz w:val="24"/>
        </w:rPr>
        <w:t>2.1 工程量清单中的每一子目须填入单价或价格，且只允许有一个报价。</w:t>
      </w:r>
    </w:p>
    <w:p>
      <w:pPr>
        <w:spacing w:line="400" w:lineRule="exact"/>
        <w:ind w:firstLine="480" w:firstLineChars="200"/>
        <w:rPr>
          <w:sz w:val="24"/>
        </w:rPr>
      </w:pPr>
      <w:r>
        <w:rPr>
          <w:rFonts w:hint="eastAsia"/>
          <w:sz w:val="24"/>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sz w:val="24"/>
        </w:rPr>
      </w:pPr>
      <w:r>
        <w:rPr>
          <w:rFonts w:hint="eastAsia"/>
          <w:sz w:val="24"/>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sz w:val="24"/>
        </w:rPr>
      </w:pPr>
      <w:r>
        <w:rPr>
          <w:rFonts w:hint="eastAsia"/>
          <w:sz w:val="24"/>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sz w:val="24"/>
        </w:rPr>
      </w:pPr>
      <w:r>
        <w:rPr>
          <w:rFonts w:hint="eastAsia"/>
          <w:sz w:val="24"/>
        </w:rPr>
        <w:t>2.5承包人用于本合同工程的各类装备的提供、运输、维护、拆卸、拼装等支付的费用，已包括在工程量清单的单价与总额价之中。</w:t>
      </w:r>
    </w:p>
    <w:p>
      <w:pPr>
        <w:spacing w:line="400" w:lineRule="exact"/>
        <w:ind w:firstLine="480" w:firstLineChars="200"/>
        <w:rPr>
          <w:sz w:val="24"/>
        </w:rPr>
      </w:pPr>
      <w:r>
        <w:rPr>
          <w:rFonts w:hint="eastAsia"/>
          <w:sz w:val="24"/>
        </w:rPr>
        <w:t>2.6 工程量清单中各项金额均以人民币（元）结算。</w:t>
      </w:r>
    </w:p>
    <w:p>
      <w:pPr>
        <w:spacing w:line="400" w:lineRule="exact"/>
        <w:ind w:firstLine="480" w:firstLineChars="200"/>
        <w:rPr>
          <w:sz w:val="24"/>
        </w:rPr>
      </w:pPr>
      <w:r>
        <w:rPr>
          <w:rFonts w:hint="eastAsia"/>
          <w:sz w:val="24"/>
        </w:rPr>
        <w:t>2.8 暂列金额（不含计日工总额）的数量及拟用子目的说明：。</w:t>
      </w:r>
    </w:p>
    <w:p>
      <w:pPr>
        <w:spacing w:line="400" w:lineRule="exact"/>
        <w:ind w:firstLine="480" w:firstLineChars="200"/>
        <w:rPr>
          <w:sz w:val="24"/>
        </w:rPr>
      </w:pPr>
      <w:r>
        <w:rPr>
          <w:rFonts w:hint="eastAsia"/>
          <w:sz w:val="24"/>
        </w:rPr>
        <w:t>2.9 暂估价的数量及拟用子目的说明：。</w:t>
      </w:r>
    </w:p>
    <w:p>
      <w:pPr>
        <w:spacing w:before="240" w:after="120"/>
        <w:rPr>
          <w:rFonts w:ascii="黑体" w:eastAsia="黑体"/>
          <w:sz w:val="28"/>
          <w:szCs w:val="28"/>
        </w:rPr>
      </w:pPr>
      <w:r>
        <w:rPr>
          <w:rFonts w:hint="eastAsia" w:ascii="黑体" w:eastAsia="黑体"/>
          <w:sz w:val="28"/>
          <w:szCs w:val="28"/>
        </w:rPr>
        <w:t>3．计日工说明</w:t>
      </w:r>
    </w:p>
    <w:p>
      <w:pPr>
        <w:spacing w:line="400" w:lineRule="exact"/>
        <w:rPr>
          <w:sz w:val="24"/>
        </w:rPr>
      </w:pPr>
      <w:r>
        <w:rPr>
          <w:rFonts w:hint="eastAsia"/>
          <w:sz w:val="24"/>
        </w:rPr>
        <w:t xml:space="preserve">    3.1 总则</w:t>
      </w:r>
    </w:p>
    <w:p>
      <w:pPr>
        <w:spacing w:line="400" w:lineRule="exact"/>
        <w:ind w:firstLine="360" w:firstLineChars="150"/>
        <w:rPr>
          <w:sz w:val="24"/>
        </w:rPr>
      </w:pPr>
      <w:r>
        <w:rPr>
          <w:rFonts w:hint="eastAsia"/>
          <w:sz w:val="24"/>
        </w:rPr>
        <w:t>（l）本说明应参照通用合同条款第15.7款一并理解。</w:t>
      </w:r>
    </w:p>
    <w:p>
      <w:pPr>
        <w:spacing w:line="400" w:lineRule="exact"/>
        <w:ind w:firstLine="360" w:firstLineChars="150"/>
        <w:rPr>
          <w:sz w:val="24"/>
        </w:rPr>
      </w:pPr>
      <w:r>
        <w:rPr>
          <w:rFonts w:hint="eastAsia"/>
          <w:sz w:val="24"/>
        </w:rPr>
        <w:t>（2）未经监理人书面指令，任何工程不得按计日工施工；接到监理人按计日工施工的书面指令，承包人也不得拒绝。</w:t>
      </w:r>
    </w:p>
    <w:p>
      <w:pPr>
        <w:spacing w:line="400" w:lineRule="exact"/>
        <w:ind w:firstLine="360" w:firstLineChars="150"/>
        <w:rPr>
          <w:sz w:val="24"/>
        </w:rPr>
      </w:pPr>
      <w:r>
        <w:rPr>
          <w:rFonts w:hint="eastAsia"/>
          <w:sz w:val="24"/>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sz w:val="24"/>
        </w:rPr>
      </w:pPr>
      <w:r>
        <w:rPr>
          <w:rFonts w:hint="eastAsia"/>
          <w:sz w:val="24"/>
        </w:rPr>
        <w:t>（4）计日工不调价。</w:t>
      </w:r>
    </w:p>
    <w:p>
      <w:pPr>
        <w:spacing w:line="400" w:lineRule="exact"/>
        <w:ind w:firstLine="480" w:firstLineChars="200"/>
        <w:rPr>
          <w:sz w:val="24"/>
        </w:rPr>
      </w:pPr>
      <w:r>
        <w:rPr>
          <w:rFonts w:hint="eastAsia"/>
          <w:sz w:val="24"/>
        </w:rPr>
        <w:t>3.2 计日工劳务</w:t>
      </w:r>
    </w:p>
    <w:p>
      <w:pPr>
        <w:spacing w:line="400" w:lineRule="exact"/>
        <w:ind w:firstLine="360" w:firstLineChars="150"/>
        <w:rPr>
          <w:sz w:val="24"/>
        </w:rPr>
      </w:pPr>
      <w:r>
        <w:rPr>
          <w:rFonts w:hint="eastAsia"/>
          <w:sz w:val="24"/>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sz w:val="24"/>
        </w:rPr>
      </w:pPr>
      <w:r>
        <w:rPr>
          <w:rFonts w:hint="eastAsia"/>
          <w:sz w:val="24"/>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sz w:val="24"/>
        </w:rPr>
      </w:pPr>
      <w:r>
        <w:rPr>
          <w:rFonts w:hint="eastAsia"/>
          <w:sz w:val="24"/>
        </w:rPr>
        <w:t>a.劳务基本单价包括：承包人劳务的全部直接费用，如：工资、加班费、津贴、福利费及劳动保护费等。</w:t>
      </w:r>
    </w:p>
    <w:p>
      <w:pPr>
        <w:spacing w:line="400" w:lineRule="exact"/>
        <w:ind w:firstLine="480" w:firstLineChars="200"/>
        <w:rPr>
          <w:sz w:val="24"/>
        </w:rPr>
      </w:pPr>
      <w:r>
        <w:rPr>
          <w:rFonts w:hint="eastAsia"/>
          <w:sz w:val="24"/>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sz w:val="24"/>
        </w:rPr>
      </w:pPr>
      <w:r>
        <w:rPr>
          <w:rFonts w:hint="eastAsia"/>
          <w:sz w:val="24"/>
        </w:rPr>
        <w:t>3.3 计日工材料</w:t>
      </w:r>
    </w:p>
    <w:p>
      <w:pPr>
        <w:spacing w:line="400" w:lineRule="exact"/>
        <w:ind w:firstLine="360" w:firstLineChars="150"/>
        <w:rPr>
          <w:sz w:val="24"/>
        </w:rPr>
      </w:pPr>
      <w:r>
        <w:rPr>
          <w:rFonts w:hint="eastAsia"/>
          <w:sz w:val="24"/>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sz w:val="24"/>
        </w:rPr>
      </w:pPr>
      <w:r>
        <w:rPr>
          <w:rFonts w:hint="eastAsia"/>
          <w:sz w:val="24"/>
        </w:rPr>
        <w:t>a．材料基本单价按供货价加运杂费（到达承包人现场仓库）、保险费、仓库管理费以及运输损耗等计算。</w:t>
      </w:r>
    </w:p>
    <w:p>
      <w:pPr>
        <w:spacing w:line="400" w:lineRule="exact"/>
        <w:ind w:firstLine="480" w:firstLineChars="200"/>
        <w:rPr>
          <w:sz w:val="24"/>
        </w:rPr>
      </w:pPr>
      <w:r>
        <w:rPr>
          <w:rFonts w:hint="eastAsia"/>
          <w:sz w:val="24"/>
        </w:rPr>
        <w:t>b. 承包人的利润、管理、质检、保险、税费及其他附加费：</w:t>
      </w:r>
    </w:p>
    <w:p>
      <w:pPr>
        <w:spacing w:line="400" w:lineRule="exact"/>
        <w:ind w:firstLine="480" w:firstLineChars="200"/>
        <w:rPr>
          <w:sz w:val="24"/>
        </w:rPr>
      </w:pPr>
      <w:r>
        <w:rPr>
          <w:rFonts w:hint="eastAsia"/>
          <w:sz w:val="24"/>
        </w:rPr>
        <w:t>c．从现场运至使用地点的人工费和施工机械使用费不包括在上述基本单价内。</w:t>
      </w:r>
    </w:p>
    <w:p>
      <w:pPr>
        <w:spacing w:line="400" w:lineRule="exact"/>
        <w:ind w:firstLine="480" w:firstLineChars="200"/>
        <w:rPr>
          <w:sz w:val="24"/>
        </w:rPr>
      </w:pPr>
      <w:r>
        <w:rPr>
          <w:rFonts w:hint="eastAsia"/>
          <w:sz w:val="24"/>
        </w:rPr>
        <w:t>3.4 计日工施工机械</w:t>
      </w:r>
    </w:p>
    <w:p>
      <w:pPr>
        <w:spacing w:line="400" w:lineRule="exact"/>
        <w:ind w:firstLine="480" w:firstLineChars="200"/>
        <w:rPr>
          <w:sz w:val="24"/>
        </w:rPr>
      </w:pPr>
      <w:r>
        <w:rPr>
          <w:rFonts w:hint="eastAsia"/>
          <w:sz w:val="24"/>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sz w:val="24"/>
        </w:rPr>
      </w:pPr>
      <w:r>
        <w:rPr>
          <w:rFonts w:hint="eastAsia"/>
          <w:sz w:val="24"/>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sz w:val="28"/>
          <w:szCs w:val="28"/>
        </w:rPr>
      </w:pPr>
      <w:r>
        <w:rPr>
          <w:rFonts w:hint="eastAsia" w:ascii="黑体" w:eastAsia="黑体"/>
          <w:sz w:val="28"/>
          <w:szCs w:val="28"/>
        </w:rPr>
        <w:t>4．其他说明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编制说明：</w:t>
      </w:r>
    </w:p>
    <w:p>
      <w:pPr>
        <w:spacing w:line="40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w:t>
      </w:r>
      <w:r>
        <w:rPr>
          <w:rFonts w:hint="eastAsia" w:ascii="Times New Roman" w:hAnsi="Times New Roman" w:eastAsia="宋体" w:cs="Times New Roman"/>
          <w:sz w:val="24"/>
          <w:lang w:val="en-US" w:eastAsia="zh-CN"/>
        </w:rPr>
        <w:t>施工图设计</w:t>
      </w:r>
      <w:r>
        <w:rPr>
          <w:rFonts w:hint="eastAsia" w:ascii="Times New Roman" w:hAnsi="Times New Roman" w:eastAsia="宋体" w:cs="Times New Roman"/>
          <w:sz w:val="24"/>
        </w:rPr>
        <w:t>；</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交通部颁发的《公路工程预算定额》</w:t>
      </w:r>
      <w:r>
        <w:rPr>
          <w:rFonts w:hint="eastAsia" w:ascii="Times New Roman" w:hAnsi="Times New Roman" w:eastAsia="宋体" w:cs="Times New Roman"/>
          <w:sz w:val="24"/>
          <w:lang w:val="en-US" w:eastAsia="zh-CN"/>
        </w:rPr>
        <w:t>(JTC/TB06-02-2007)</w:t>
      </w:r>
      <w:r>
        <w:rPr>
          <w:rFonts w:hint="eastAsia" w:ascii="Times New Roman" w:hAnsi="Times New Roman" w:eastAsia="宋体" w:cs="Times New Roman"/>
          <w:sz w:val="24"/>
        </w:rPr>
        <w:t>；</w:t>
      </w:r>
      <w:r>
        <w:rPr>
          <w:rFonts w:hint="eastAsia" w:ascii="Times New Roman" w:hAnsi="Times New Roman" w:eastAsia="宋体" w:cs="Times New Roman"/>
          <w:sz w:val="24"/>
          <w:lang w:eastAsia="zh-CN"/>
        </w:rPr>
        <w:t>《</w:t>
      </w:r>
      <w:r>
        <w:rPr>
          <w:rFonts w:hint="eastAsia" w:cs="Times New Roman"/>
          <w:sz w:val="24"/>
          <w:lang w:val="en-US" w:eastAsia="zh-CN"/>
        </w:rPr>
        <w:t>建设工程工程量清单计价规范</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w:t>
      </w:r>
      <w:r>
        <w:rPr>
          <w:rFonts w:hint="eastAsia" w:cs="Times New Roman"/>
          <w:sz w:val="24"/>
          <w:lang w:val="en-US" w:eastAsia="zh-CN"/>
        </w:rPr>
        <w:t>GB50500</w:t>
      </w:r>
      <w:r>
        <w:rPr>
          <w:rFonts w:hint="eastAsia" w:ascii="Times New Roman" w:hAnsi="Times New Roman" w:eastAsia="宋体" w:cs="Times New Roman"/>
          <w:sz w:val="24"/>
          <w:lang w:val="en-US" w:eastAsia="zh-CN"/>
        </w:rPr>
        <w:t>-</w:t>
      </w:r>
      <w:r>
        <w:rPr>
          <w:rFonts w:hint="eastAsia" w:cs="Times New Roman"/>
          <w:sz w:val="24"/>
          <w:lang w:val="en-US" w:eastAsia="zh-CN"/>
        </w:rPr>
        <w:t>2013</w:t>
      </w:r>
      <w:r>
        <w:rPr>
          <w:rFonts w:hint="eastAsia" w:ascii="Times New Roman" w:hAnsi="Times New Roman" w:eastAsia="宋体" w:cs="Times New Roman"/>
          <w:sz w:val="24"/>
          <w:lang w:val="en-US" w:eastAsia="zh-CN"/>
        </w:rPr>
        <w:t>)</w:t>
      </w:r>
      <w:r>
        <w:rPr>
          <w:rFonts w:hint="eastAsia" w:cs="Times New Roman"/>
          <w:sz w:val="24"/>
          <w:lang w:val="en-US" w:eastAsia="zh-CN"/>
        </w:rPr>
        <w:t>、</w:t>
      </w:r>
      <w:r>
        <w:rPr>
          <w:rFonts w:hint="eastAsia" w:ascii="Times New Roman" w:hAnsi="Times New Roman" w:eastAsia="宋体" w:cs="Times New Roman"/>
          <w:sz w:val="24"/>
          <w:lang w:eastAsia="zh-CN"/>
        </w:rPr>
        <w:t>《</w:t>
      </w:r>
      <w:r>
        <w:rPr>
          <w:rFonts w:hint="eastAsia" w:cs="Times New Roman"/>
          <w:sz w:val="24"/>
          <w:lang w:val="en-US" w:eastAsia="zh-CN"/>
        </w:rPr>
        <w:t>河南省房屋建筑与装饰工程预算定额</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w:t>
      </w:r>
      <w:r>
        <w:rPr>
          <w:rFonts w:hint="eastAsia" w:cs="Times New Roman"/>
          <w:sz w:val="24"/>
          <w:lang w:val="en-US" w:eastAsia="zh-CN"/>
        </w:rPr>
        <w:t>HA01</w:t>
      </w:r>
      <w:r>
        <w:rPr>
          <w:rFonts w:hint="eastAsia" w:ascii="Times New Roman" w:hAnsi="Times New Roman" w:eastAsia="宋体" w:cs="Times New Roman"/>
          <w:sz w:val="24"/>
          <w:lang w:val="en-US" w:eastAsia="zh-CN"/>
        </w:rPr>
        <w:t>-</w:t>
      </w:r>
      <w:r>
        <w:rPr>
          <w:rFonts w:hint="eastAsia" w:cs="Times New Roman"/>
          <w:sz w:val="24"/>
          <w:lang w:val="en-US" w:eastAsia="zh-CN"/>
        </w:rPr>
        <w:t>31</w:t>
      </w:r>
      <w:r>
        <w:rPr>
          <w:rFonts w:hint="eastAsia" w:ascii="Times New Roman" w:hAnsi="Times New Roman" w:eastAsia="宋体" w:cs="Times New Roman"/>
          <w:sz w:val="24"/>
          <w:lang w:val="en-US" w:eastAsia="zh-CN"/>
        </w:rPr>
        <w:t>-</w:t>
      </w:r>
      <w:r>
        <w:rPr>
          <w:rFonts w:hint="eastAsia" w:cs="Times New Roman"/>
          <w:sz w:val="24"/>
          <w:lang w:val="en-US" w:eastAsia="zh-CN"/>
        </w:rPr>
        <w:t>2016</w:t>
      </w:r>
      <w:r>
        <w:rPr>
          <w:rFonts w:hint="eastAsia" w:ascii="Times New Roman" w:hAnsi="Times New Roman" w:eastAsia="宋体" w:cs="Times New Roman"/>
          <w:sz w:val="24"/>
          <w:lang w:val="en-US" w:eastAsia="zh-CN"/>
        </w:rPr>
        <w:t>)</w:t>
      </w:r>
      <w:r>
        <w:rPr>
          <w:rFonts w:hint="eastAsia" w:cs="Times New Roman"/>
          <w:sz w:val="24"/>
          <w:lang w:val="en-US" w:eastAsia="zh-CN"/>
        </w:rPr>
        <w:t>、</w:t>
      </w:r>
      <w:r>
        <w:rPr>
          <w:rFonts w:hint="eastAsia" w:ascii="Times New Roman" w:hAnsi="Times New Roman" w:eastAsia="宋体" w:cs="Times New Roman"/>
          <w:sz w:val="24"/>
          <w:lang w:eastAsia="zh-CN"/>
        </w:rPr>
        <w:t>《</w:t>
      </w:r>
      <w:r>
        <w:rPr>
          <w:rFonts w:hint="eastAsia" w:cs="Times New Roman"/>
          <w:sz w:val="24"/>
          <w:lang w:val="en-US" w:eastAsia="zh-CN"/>
        </w:rPr>
        <w:t>河南省通用安装工程工程预算定额</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w:t>
      </w:r>
      <w:r>
        <w:rPr>
          <w:rFonts w:hint="eastAsia" w:cs="Times New Roman"/>
          <w:sz w:val="24"/>
          <w:lang w:val="en-US" w:eastAsia="zh-CN"/>
        </w:rPr>
        <w:t>HA02</w:t>
      </w:r>
      <w:r>
        <w:rPr>
          <w:rFonts w:hint="eastAsia" w:ascii="Times New Roman" w:hAnsi="Times New Roman" w:eastAsia="宋体" w:cs="Times New Roman"/>
          <w:sz w:val="24"/>
          <w:lang w:val="en-US" w:eastAsia="zh-CN"/>
        </w:rPr>
        <w:t>-</w:t>
      </w:r>
      <w:r>
        <w:rPr>
          <w:rFonts w:hint="eastAsia" w:cs="Times New Roman"/>
          <w:sz w:val="24"/>
          <w:lang w:val="en-US" w:eastAsia="zh-CN"/>
        </w:rPr>
        <w:t>31</w:t>
      </w:r>
      <w:r>
        <w:rPr>
          <w:rFonts w:hint="eastAsia" w:ascii="Times New Roman" w:hAnsi="Times New Roman" w:eastAsia="宋体" w:cs="Times New Roman"/>
          <w:sz w:val="24"/>
          <w:lang w:val="en-US" w:eastAsia="zh-CN"/>
        </w:rPr>
        <w:t>-</w:t>
      </w:r>
      <w:r>
        <w:rPr>
          <w:rFonts w:hint="eastAsia" w:cs="Times New Roman"/>
          <w:sz w:val="24"/>
          <w:lang w:val="en-US" w:eastAsia="zh-CN"/>
        </w:rPr>
        <w:t>2016</w:t>
      </w:r>
      <w:r>
        <w:rPr>
          <w:rFonts w:hint="eastAsia" w:ascii="Times New Roman" w:hAnsi="Times New Roman" w:eastAsia="宋体" w:cs="Times New Roman"/>
          <w:sz w:val="24"/>
          <w:lang w:val="en-US" w:eastAsia="zh-CN"/>
        </w:rPr>
        <w:t>)</w:t>
      </w:r>
      <w:r>
        <w:rPr>
          <w:rFonts w:hint="eastAsia" w:cs="Times New Roman"/>
          <w:sz w:val="24"/>
          <w:lang w:val="en-US" w:eastAsia="zh-CN"/>
        </w:rPr>
        <w:t>及相关技术资料。</w:t>
      </w:r>
    </w:p>
    <w:p>
      <w:pPr>
        <w:spacing w:line="40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3.主要材料价格参考《许昌信息价》2018年第4期，及结合市场询价；</w:t>
      </w:r>
    </w:p>
    <w:p>
      <w:pPr>
        <w:spacing w:line="400" w:lineRule="exact"/>
        <w:ind w:firstLine="480" w:firstLineChars="200"/>
        <w:rPr>
          <w:rFonts w:hint="eastAsia" w:ascii="Times New Roman" w:hAnsi="Times New Roman" w:eastAsia="宋体" w:cs="Times New Roman"/>
          <w:sz w:val="24"/>
          <w:lang w:val="en-US" w:eastAsia="zh-CN"/>
        </w:rPr>
      </w:pPr>
      <w:r>
        <w:rPr>
          <w:rFonts w:hint="eastAsia" w:cs="Times New Roman"/>
          <w:sz w:val="24"/>
          <w:lang w:val="en-US" w:eastAsia="zh-CN"/>
        </w:rPr>
        <w:t>4</w:t>
      </w:r>
      <w:r>
        <w:rPr>
          <w:rFonts w:hint="eastAsia" w:ascii="Times New Roman" w:hAnsi="Times New Roman" w:eastAsia="宋体" w:cs="Times New Roman"/>
          <w:sz w:val="24"/>
          <w:lang w:val="en-US" w:eastAsia="zh-CN"/>
        </w:rPr>
        <w:t>、材料价格依据2018年《许昌工程造价信息》第</w:t>
      </w:r>
      <w:r>
        <w:rPr>
          <w:rFonts w:hint="eastAsia" w:cs="Times New Roman"/>
          <w:sz w:val="24"/>
          <w:lang w:val="en-US" w:eastAsia="zh-CN"/>
        </w:rPr>
        <w:t>6</w:t>
      </w:r>
      <w:r>
        <w:rPr>
          <w:rFonts w:hint="eastAsia" w:ascii="Times New Roman" w:hAnsi="Times New Roman" w:eastAsia="宋体" w:cs="Times New Roman"/>
          <w:sz w:val="24"/>
          <w:lang w:val="en-US" w:eastAsia="zh-CN"/>
        </w:rPr>
        <w:t>期、201</w:t>
      </w:r>
      <w:r>
        <w:rPr>
          <w:rFonts w:hint="eastAsia" w:cs="Times New Roman"/>
          <w:sz w:val="24"/>
          <w:lang w:val="en-US" w:eastAsia="zh-CN"/>
        </w:rPr>
        <w:t>9</w:t>
      </w:r>
      <w:r>
        <w:rPr>
          <w:rFonts w:hint="eastAsia" w:ascii="Times New Roman" w:hAnsi="Times New Roman" w:eastAsia="宋体" w:cs="Times New Roman"/>
          <w:sz w:val="24"/>
          <w:lang w:val="en-US" w:eastAsia="zh-CN"/>
        </w:rPr>
        <w:t>年1月份主材及市场调查价调整</w:t>
      </w:r>
    </w:p>
    <w:p>
      <w:pPr>
        <w:spacing w:before="240" w:after="120"/>
        <w:rPr>
          <w:rFonts w:ascii="黑体" w:eastAsia="黑体"/>
          <w:sz w:val="28"/>
          <w:szCs w:val="28"/>
          <w:highlight w:val="none"/>
          <w:lang w:val="en-US"/>
        </w:rPr>
      </w:pPr>
      <w:r>
        <w:rPr>
          <w:rFonts w:hint="eastAsia" w:ascii="黑体" w:eastAsia="黑体"/>
          <w:sz w:val="28"/>
          <w:szCs w:val="28"/>
          <w:highlight w:val="none"/>
          <w:lang w:val="en-US"/>
        </w:rPr>
        <w:t>5.工程量清单（另附）。</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center"/>
        <w:rPr>
          <w:rFonts w:ascii="黑体" w:eastAsia="黑体"/>
          <w:color w:val="auto"/>
          <w:sz w:val="52"/>
          <w:szCs w:val="52"/>
          <w:highlight w:val="none"/>
        </w:rPr>
      </w:pPr>
    </w:p>
    <w:p>
      <w:pPr>
        <w:jc w:val="both"/>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bookmarkStart w:id="228" w:name="_Toc20155"/>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ind w:firstLine="2640" w:firstLineChars="600"/>
        <w:jc w:val="both"/>
        <w:outlineLvl w:val="0"/>
        <w:rPr>
          <w:rFonts w:ascii="宋体" w:hAnsi="宋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（另附）</w:t>
      </w:r>
      <w:bookmarkEnd w:id="228"/>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29" w:name="_Toc18036"/>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规范（另册出版）</w:t>
      </w:r>
      <w:bookmarkEnd w:id="229"/>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30" w:name="_Toc27978"/>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第八章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30"/>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eastAsia="zh-CN"/>
        </w:rPr>
        <w:t>项目</w:t>
      </w:r>
      <w:r>
        <w:rPr>
          <w:rFonts w:hint="eastAsia" w:ascii="黑体" w:hAnsi="宋体" w:eastAsia="黑体"/>
          <w:bCs/>
          <w:color w:val="auto"/>
          <w:sz w:val="52"/>
          <w:szCs w:val="52"/>
          <w:highlight w:val="none"/>
          <w:u w:val="single"/>
          <w:lang w:val="en-US" w:eastAsia="zh-CN"/>
        </w:rPr>
        <w:t xml:space="preserve">   </w:t>
      </w:r>
      <w:r>
        <w:rPr>
          <w:rFonts w:hint="eastAsia" w:ascii="黑体" w:hAnsi="宋体" w:eastAsia="黑体"/>
          <w:bCs/>
          <w:color w:val="auto"/>
          <w:sz w:val="52"/>
          <w:szCs w:val="52"/>
          <w:highlight w:val="none"/>
          <w:lang w:val="en-US" w:eastAsia="zh-CN"/>
        </w:rPr>
        <w:t xml:space="preserve">标段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 xml:space="preserve">   </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rPr>
        <w:t>七、主要进场管理人员和技术人员最低要求；</w:t>
      </w:r>
    </w:p>
    <w:p>
      <w:pPr>
        <w:spacing w:line="440" w:lineRule="exact"/>
        <w:rPr>
          <w:rFonts w:ascii="宋体" w:hAnsi="宋体"/>
          <w:color w:val="auto"/>
          <w:sz w:val="24"/>
          <w:highlight w:val="none"/>
        </w:rPr>
      </w:pPr>
      <w:r>
        <w:rPr>
          <w:rFonts w:hint="eastAsia" w:ascii="宋体" w:hAnsi="宋体"/>
          <w:color w:val="auto"/>
          <w:sz w:val="24"/>
          <w:highlight w:val="none"/>
          <w:lang w:eastAsia="zh-CN"/>
        </w:rPr>
        <w:t>八</w:t>
      </w:r>
      <w:r>
        <w:rPr>
          <w:rFonts w:hint="eastAsia" w:ascii="宋体" w:hAnsi="宋体"/>
          <w:color w:val="auto"/>
          <w:sz w:val="24"/>
          <w:highlight w:val="none"/>
        </w:rPr>
        <w:t>、农民工工资支付承诺书；</w:t>
      </w:r>
    </w:p>
    <w:p>
      <w:pPr>
        <w:spacing w:line="440" w:lineRule="exact"/>
        <w:rPr>
          <w:rFonts w:ascii="宋体" w:hAnsi="宋体"/>
          <w:color w:val="auto"/>
          <w:sz w:val="24"/>
          <w:highlight w:val="none"/>
        </w:rPr>
      </w:pPr>
      <w:r>
        <w:rPr>
          <w:rFonts w:hint="eastAsia" w:ascii="宋体" w:hAnsi="宋体"/>
          <w:color w:val="auto"/>
          <w:sz w:val="24"/>
          <w:highlight w:val="none"/>
          <w:lang w:eastAsia="zh-CN"/>
        </w:rPr>
        <w:t>九</w:t>
      </w:r>
      <w:r>
        <w:rPr>
          <w:rFonts w:hint="eastAsia" w:ascii="宋体" w:hAnsi="宋体"/>
          <w:color w:val="auto"/>
          <w:sz w:val="24"/>
          <w:highlight w:val="none"/>
        </w:rPr>
        <w:t>、扬尘治理专项承诺书；</w:t>
      </w:r>
    </w:p>
    <w:p>
      <w:pPr>
        <w:spacing w:line="440" w:lineRule="exact"/>
        <w:rPr>
          <w:rFonts w:ascii="宋体" w:hAnsi="宋体"/>
          <w:color w:val="auto"/>
          <w:sz w:val="24"/>
          <w:highlight w:val="none"/>
        </w:rPr>
      </w:pPr>
      <w:r>
        <w:rPr>
          <w:rFonts w:hint="eastAsia" w:ascii="宋体" w:hAnsi="宋体"/>
          <w:color w:val="auto"/>
          <w:sz w:val="24"/>
          <w:highlight w:val="none"/>
        </w:rPr>
        <w:t>十、其他材料。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4"/>
        <w:spacing w:beforeLines="50" w:after="0" w:line="360" w:lineRule="exact"/>
        <w:jc w:val="center"/>
        <w:rPr>
          <w:rFonts w:ascii="黑体" w:hAnsi="宋体" w:eastAsia="黑体"/>
          <w:color w:val="auto"/>
          <w:sz w:val="28"/>
          <w:szCs w:val="28"/>
          <w:highlight w:val="none"/>
        </w:rPr>
      </w:pPr>
      <w:bookmarkStart w:id="231" w:name="_Toc485889055"/>
      <w:bookmarkStart w:id="232" w:name="_Toc4791"/>
      <w:bookmarkStart w:id="233" w:name="_Toc234382957"/>
      <w:bookmarkStart w:id="234" w:name="_Toc486277922"/>
      <w:r>
        <w:rPr>
          <w:rFonts w:hint="eastAsia" w:ascii="黑体" w:hAnsi="宋体" w:eastAsia="黑体"/>
          <w:color w:val="auto"/>
          <w:sz w:val="28"/>
          <w:szCs w:val="28"/>
          <w:highlight w:val="none"/>
        </w:rPr>
        <w:t>一、投标函及投标函附录</w:t>
      </w:r>
      <w:bookmarkEnd w:id="231"/>
      <w:bookmarkEnd w:id="232"/>
      <w:bookmarkEnd w:id="233"/>
      <w:bookmarkEnd w:id="234"/>
    </w:p>
    <w:p>
      <w:pPr>
        <w:pStyle w:val="4"/>
        <w:spacing w:beforeLines="50" w:after="0" w:line="360" w:lineRule="exact"/>
        <w:jc w:val="center"/>
        <w:rPr>
          <w:rFonts w:ascii="黑体" w:hAnsi="宋体" w:eastAsia="黑体"/>
          <w:color w:val="auto"/>
          <w:sz w:val="28"/>
          <w:szCs w:val="28"/>
          <w:highlight w:val="none"/>
        </w:rPr>
      </w:pPr>
      <w:bookmarkStart w:id="235" w:name="_Toc18643"/>
      <w:bookmarkStart w:id="236" w:name="_Toc486277923"/>
      <w:bookmarkStart w:id="237" w:name="_Toc485889056"/>
      <w:bookmarkStart w:id="238" w:name="_Toc234382958"/>
      <w:r>
        <w:rPr>
          <w:rFonts w:hint="eastAsia" w:ascii="黑体" w:hAnsi="宋体" w:eastAsia="黑体"/>
          <w:color w:val="auto"/>
          <w:sz w:val="28"/>
          <w:szCs w:val="28"/>
          <w:highlight w:val="none"/>
        </w:rPr>
        <w:t>（一）投标函</w:t>
      </w:r>
      <w:bookmarkEnd w:id="235"/>
      <w:bookmarkEnd w:id="236"/>
      <w:bookmarkEnd w:id="237"/>
      <w:bookmarkEnd w:id="238"/>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如我方中标：</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（3）我方承诺按照招标文件规定向你方递交履约担保。</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Lines="100" w:line="360" w:lineRule="exact"/>
        <w:jc w:val="center"/>
        <w:rPr>
          <w:color w:val="auto"/>
          <w:sz w:val="24"/>
          <w:highlight w:val="none"/>
        </w:rPr>
      </w:pPr>
      <w:r>
        <w:rPr>
          <w:rFonts w:ascii="宋体" w:hAnsi="宋体"/>
          <w:color w:val="auto"/>
          <w:sz w:val="24"/>
          <w:highlight w:val="none"/>
        </w:rPr>
        <w:br w:type="page"/>
      </w:r>
      <w:bookmarkStart w:id="239" w:name="_Toc485889057"/>
      <w:bookmarkStart w:id="240" w:name="_Toc486277924"/>
      <w:bookmarkStart w:id="241" w:name="_Toc5832"/>
      <w:bookmarkStart w:id="242" w:name="_Toc234382959"/>
      <w:r>
        <w:rPr>
          <w:rFonts w:hint="eastAsia" w:ascii="黑体" w:hAnsi="宋体" w:eastAsia="黑体"/>
          <w:color w:val="auto"/>
          <w:sz w:val="28"/>
          <w:szCs w:val="28"/>
          <w:highlight w:val="none"/>
        </w:rPr>
        <w:t>（二）投标函附录</w:t>
      </w:r>
      <w:bookmarkEnd w:id="239"/>
      <w:bookmarkEnd w:id="240"/>
      <w:bookmarkEnd w:id="241"/>
      <w:bookmarkEnd w:id="242"/>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合同条目号</w:t>
            </w:r>
          </w:p>
        </w:tc>
        <w:tc>
          <w:tcPr>
            <w:tcW w:w="3686"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1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jc w:val="center"/>
              <w:rPr>
                <w:rFonts w:ascii="宋体" w:hAnsi="宋体"/>
                <w:color w:val="auto"/>
                <w:szCs w:val="21"/>
                <w:highlight w:val="none"/>
              </w:rPr>
            </w:pP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姓名：</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1.1.4.3</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天数：</w:t>
            </w:r>
            <w:r>
              <w:rPr>
                <w:rFonts w:hint="eastAsia" w:ascii="宋体" w:hAnsi="宋体"/>
                <w:color w:val="auto"/>
                <w:szCs w:val="21"/>
                <w:highlight w:val="none"/>
                <w:u w:val="single"/>
              </w:rPr>
              <w:t xml:space="preserve">       日历天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1.1.4.5</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价格调整的差额计算</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16.1.1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见价格指数和权重表</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开工预付款金额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材料、设备预付款</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进度付款证书最低限额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%签约合同价或</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12</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逾期付款违约金的利率</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17.3.3(2)</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质量保证金百分比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月支付额的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%合同价格，若交工验收时承包人具备被招标项目所在地省级交通主管部门评定的最高信用等级，发包人给予 </w:t>
            </w:r>
            <w:r>
              <w:rPr>
                <w:rFonts w:hint="eastAsia" w:ascii="宋体" w:hAnsi="宋体"/>
                <w:color w:val="auto"/>
                <w:szCs w:val="21"/>
                <w:highlight w:val="none"/>
                <w:u w:val="single"/>
              </w:rPr>
              <w:t xml:space="preserve">  </w:t>
            </w:r>
            <w:r>
              <w:rPr>
                <w:rFonts w:hint="eastAsia" w:ascii="宋体" w:hAnsi="宋体"/>
                <w:color w:val="auto"/>
                <w:szCs w:val="21"/>
                <w:highlight w:val="none"/>
              </w:rPr>
              <w:t>%合同价格质量保证金的优惠，并在交工验收时向承包人返还质量保证金优惠的金额</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保修期</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19.7</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ascii="宋体" w:hAnsi="宋体"/>
          <w:color w:val="auto"/>
          <w:sz w:val="24"/>
          <w:highlight w:val="none"/>
        </w:rPr>
      </w:pPr>
    </w:p>
    <w:p>
      <w:pPr>
        <w:pStyle w:val="4"/>
        <w:spacing w:beforeLines="50" w:after="0" w:line="360" w:lineRule="exact"/>
        <w:jc w:val="center"/>
        <w:rPr>
          <w:rFonts w:ascii="黑体" w:hAnsi="宋体" w:eastAsia="黑体"/>
          <w:color w:val="auto"/>
          <w:sz w:val="28"/>
          <w:szCs w:val="28"/>
          <w:highlight w:val="none"/>
        </w:rPr>
      </w:pPr>
      <w:bookmarkStart w:id="243" w:name="_Toc485889059"/>
      <w:bookmarkStart w:id="244" w:name="_Toc486277926"/>
      <w:bookmarkStart w:id="245" w:name="_Toc234382961"/>
      <w:bookmarkStart w:id="246" w:name="_Toc29117"/>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43"/>
      <w:bookmarkEnd w:id="244"/>
      <w:bookmarkEnd w:id="245"/>
      <w:bookmarkEnd w:id="246"/>
    </w:p>
    <w:p>
      <w:pPr>
        <w:pStyle w:val="4"/>
        <w:spacing w:beforeLines="100" w:afterLines="150" w:line="360" w:lineRule="exact"/>
        <w:jc w:val="center"/>
        <w:rPr>
          <w:rFonts w:ascii="黑体" w:hAnsi="宋体" w:eastAsia="黑体"/>
          <w:color w:val="auto"/>
          <w:sz w:val="28"/>
          <w:szCs w:val="28"/>
          <w:highlight w:val="none"/>
        </w:rPr>
      </w:pPr>
      <w:bookmarkStart w:id="247" w:name="_Toc4437"/>
      <w:bookmarkStart w:id="248" w:name="_Toc234382962"/>
      <w:bookmarkStart w:id="249" w:name="_Toc486277927"/>
      <w:bookmarkStart w:id="250" w:name="_Toc485889060"/>
      <w:r>
        <w:rPr>
          <w:rFonts w:hint="eastAsia" w:ascii="黑体" w:hAnsi="宋体" w:eastAsia="黑体"/>
          <w:color w:val="auto"/>
          <w:sz w:val="28"/>
          <w:szCs w:val="28"/>
          <w:highlight w:val="none"/>
        </w:rPr>
        <w:t>（一）法定代表人身份证明</w:t>
      </w:r>
      <w:bookmarkEnd w:id="247"/>
      <w:bookmarkEnd w:id="248"/>
      <w:bookmarkEnd w:id="249"/>
      <w:bookmarkEnd w:id="250"/>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u w:val="single"/>
        </w:rPr>
      </w:pPr>
      <w:r>
        <w:rPr>
          <w:rFonts w:hint="eastAsia" w:ascii="宋体" w:hAnsi="宋体"/>
          <w:color w:val="auto"/>
          <w:spacing w:val="40"/>
          <w:kern w:val="0"/>
          <w:sz w:val="24"/>
          <w:highlight w:val="none"/>
        </w:rPr>
        <w:t>单位性</w:t>
      </w:r>
      <w:r>
        <w:rPr>
          <w:rFonts w:hint="eastAsia" w:ascii="宋体" w:hAnsi="宋体"/>
          <w:color w:val="auto"/>
          <w:kern w:val="0"/>
          <w:sz w:val="24"/>
          <w:highlight w:val="none"/>
        </w:rPr>
        <w:t>质</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pacing w:val="360"/>
          <w:kern w:val="0"/>
          <w:sz w:val="24"/>
          <w:highlight w:val="none"/>
        </w:rPr>
        <w:t>地</w:t>
      </w:r>
      <w:r>
        <w:rPr>
          <w:rFonts w:hint="eastAsia" w:ascii="宋体" w:hAnsi="宋体"/>
          <w:color w:val="auto"/>
          <w:kern w:val="0"/>
          <w:sz w:val="24"/>
          <w:highlight w:val="none"/>
        </w:rPr>
        <w:t>址</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_________</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注：法定代表人的签字必须是亲笔签名，不得使用印章、签名章或其他电子制版签名。</w:t>
      </w:r>
    </w:p>
    <w:p>
      <w:pPr>
        <w:rPr>
          <w:rFonts w:ascii="宋体" w:hAnsi="宋体"/>
          <w:color w:val="auto"/>
          <w:sz w:val="24"/>
          <w:highlight w:val="none"/>
        </w:rPr>
      </w:pPr>
    </w:p>
    <w:p>
      <w:pPr>
        <w:jc w:val="center"/>
        <w:rPr>
          <w:b/>
          <w:color w:val="auto"/>
          <w:sz w:val="32"/>
          <w:szCs w:val="32"/>
          <w:highlight w:val="none"/>
        </w:rPr>
      </w:pPr>
      <w:r>
        <w:rPr>
          <w:rFonts w:ascii="宋体" w:hAnsi="宋体"/>
          <w:color w:val="auto"/>
          <w:sz w:val="24"/>
          <w:highlight w:val="none"/>
        </w:rPr>
        <w:br w:type="page"/>
      </w:r>
      <w:r>
        <w:rPr>
          <w:rFonts w:hint="eastAsia" w:ascii="黑体" w:hAnsi="宋体" w:eastAsia="黑体"/>
          <w:b/>
          <w:bCs/>
          <w:color w:val="auto"/>
          <w:kern w:val="44"/>
          <w:sz w:val="28"/>
          <w:szCs w:val="28"/>
          <w:highlight w:val="none"/>
        </w:rPr>
        <w:t>（二）授权委托书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121"/>
          <w:kern w:val="0"/>
          <w:sz w:val="24"/>
          <w:highlight w:val="none"/>
        </w:rPr>
        <w:t>申请</w:t>
      </w:r>
      <w:r>
        <w:rPr>
          <w:rFonts w:hint="eastAsia" w:ascii="宋体" w:hAnsi="宋体"/>
          <w:color w:val="auto"/>
          <w:spacing w:val="-1"/>
          <w:kern w:val="0"/>
          <w:sz w:val="24"/>
          <w:highlight w:val="none"/>
        </w:rPr>
        <w:t>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rPr>
          <w:rFonts w:ascii="宋体" w:hAnsi="宋体"/>
          <w:color w:val="auto"/>
          <w:sz w:val="24"/>
          <w:highlight w:val="none"/>
        </w:rPr>
      </w:pPr>
    </w:p>
    <w:p>
      <w:pPr>
        <w:pStyle w:val="4"/>
        <w:spacing w:beforeLines="100" w:afterLines="150" w:line="360" w:lineRule="exact"/>
        <w:jc w:val="center"/>
        <w:rPr>
          <w:rFonts w:ascii="黑体" w:hAnsi="宋体" w:eastAsia="黑体"/>
          <w:color w:val="auto"/>
          <w:sz w:val="28"/>
          <w:szCs w:val="28"/>
          <w:highlight w:val="none"/>
        </w:rPr>
      </w:pPr>
      <w:bookmarkStart w:id="251" w:name="_Toc234382964"/>
      <w:r>
        <w:rPr>
          <w:rFonts w:ascii="黑体" w:hAnsi="宋体" w:eastAsia="黑体"/>
          <w:color w:val="auto"/>
          <w:sz w:val="28"/>
          <w:szCs w:val="28"/>
          <w:highlight w:val="none"/>
        </w:rPr>
        <w:br w:type="page"/>
      </w:r>
      <w:bookmarkStart w:id="252" w:name="_Toc25686"/>
      <w:bookmarkStart w:id="253" w:name="_Toc485889061"/>
      <w:bookmarkStart w:id="254" w:name="_Toc486277928"/>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51"/>
      <w:bookmarkEnd w:id="252"/>
      <w:bookmarkEnd w:id="253"/>
      <w:bookmarkEnd w:id="254"/>
    </w:p>
    <w:p>
      <w:pPr>
        <w:rPr>
          <w:rFonts w:ascii="宋体" w:hAnsi="宋体"/>
          <w:color w:val="auto"/>
          <w:sz w:val="24"/>
          <w:highlight w:val="none"/>
        </w:rPr>
      </w:pPr>
      <w:r>
        <w:rPr>
          <w:rFonts w:hint="eastAsia" w:ascii="宋体" w:hAnsi="宋体"/>
          <w:color w:val="auto"/>
          <w:sz w:val="24"/>
          <w:highlight w:val="none"/>
        </w:rPr>
        <w:t xml:space="preserve">     此处附投标人递交投标保证金的银行转账证明复印件。</w:t>
      </w:r>
    </w:p>
    <w:p>
      <w:pPr>
        <w:pStyle w:val="4"/>
        <w:spacing w:beforeLines="100" w:afterLines="150" w:line="360" w:lineRule="exact"/>
        <w:jc w:val="center"/>
        <w:rPr>
          <w:color w:val="auto"/>
          <w:highlight w:val="none"/>
        </w:rPr>
      </w:pPr>
      <w:r>
        <w:rPr>
          <w:rFonts w:ascii="宋体"/>
          <w:color w:val="auto"/>
          <w:highlight w:val="none"/>
        </w:rPr>
        <w:br w:type="page"/>
      </w:r>
      <w:bookmarkStart w:id="255" w:name="_Toc486277929"/>
      <w:bookmarkStart w:id="256" w:name="_Toc19556"/>
      <w:bookmarkStart w:id="257" w:name="_Toc234382966"/>
      <w:bookmarkStart w:id="258" w:name="_Toc485889062"/>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55"/>
      <w:bookmarkEnd w:id="256"/>
      <w:bookmarkEnd w:id="257"/>
      <w:bookmarkEnd w:id="258"/>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附表九  合同用款估算表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cols w:space="720" w:num="1"/>
        </w:sectPr>
      </w:pPr>
      <w:bookmarkStart w:id="259" w:name="_Toc19898"/>
      <w:bookmarkStart w:id="260" w:name="_Toc486277936"/>
      <w:bookmarkStart w:id="261" w:name="_Toc234382974"/>
      <w:bookmarkStart w:id="262" w:name="_Toc485889070"/>
    </w:p>
    <w:p>
      <w:pPr>
        <w:pStyle w:val="6"/>
        <w:spacing w:before="120" w:after="120" w:line="377" w:lineRule="auto"/>
        <w:rPr>
          <w:rFonts w:hint="eastAsia"/>
          <w:color w:val="auto"/>
          <w:highlight w:val="none"/>
        </w:rPr>
      </w:pPr>
      <w:r>
        <w:rPr>
          <w:rFonts w:hint="eastAsia"/>
          <w:color w:val="auto"/>
          <w:highlight w:val="none"/>
        </w:rPr>
        <w:t>附表一   施工总体计划表</w:t>
      </w:r>
    </w:p>
    <w:tbl>
      <w:tblPr>
        <w:tblStyle w:val="17"/>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年度</w:t>
            </w:r>
          </w:p>
        </w:tc>
        <w:tc>
          <w:tcPr>
            <w:tcW w:w="4922"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956"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059"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月份</w:t>
            </w: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2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4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1.施工准备</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2.下部结构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3.上部结构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4.附属工程</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bl>
    <w:p>
      <w:pPr>
        <w:pStyle w:val="6"/>
        <w:spacing w:before="120" w:after="0" w:line="240" w:lineRule="auto"/>
        <w:rPr>
          <w:color w:val="auto"/>
          <w:highlight w:val="none"/>
        </w:rPr>
      </w:pPr>
    </w:p>
    <w:p>
      <w:pPr>
        <w:pStyle w:val="6"/>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Style w:val="1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年  度</w:t>
            </w:r>
          </w:p>
        </w:tc>
        <w:tc>
          <w:tcPr>
            <w:tcW w:w="5605" w:type="dxa"/>
            <w:gridSpan w:val="12"/>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5139" w:type="dxa"/>
            <w:gridSpan w:val="11"/>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  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  份</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top w:val="single" w:color="auto" w:sz="6" w:space="0"/>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100（%）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下部结构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上部结构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附属工程</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color w:val="auto"/>
                <w:szCs w:val="21"/>
                <w:highlight w:val="none"/>
              </w:rPr>
            </w:pPr>
          </w:p>
        </w:tc>
        <w:tc>
          <w:tcPr>
            <w:tcW w:w="1276" w:type="dxa"/>
            <w:tcBorders>
              <w:top w:val="nil"/>
              <w:left w:val="nil"/>
              <w:bottom w:val="single" w:color="auto" w:sz="12" w:space="0"/>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color w:val="auto"/>
          <w:szCs w:val="21"/>
          <w:highlight w:val="none"/>
        </w:rPr>
        <w:t xml:space="preserve">    2.各个项目的进程可用线条的长短来表示。</w:t>
      </w:r>
    </w:p>
    <w:p>
      <w:pPr>
        <w:pStyle w:val="4"/>
        <w:spacing w:beforeLines="50" w:after="0" w:line="400" w:lineRule="exact"/>
        <w:rPr>
          <w:rFonts w:ascii="Arial" w:hAnsi="Arial" w:eastAsia="黑体"/>
          <w:color w:val="auto"/>
          <w:kern w:val="2"/>
          <w:sz w:val="28"/>
          <w:szCs w:val="28"/>
          <w:highlight w:val="none"/>
        </w:rPr>
      </w:pPr>
      <w:bookmarkStart w:id="263"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63"/>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shape id="自选图形 3" o:spid="_x0000_s1026" o:spt="32" type="#_x0000_t32" style="position:absolute;left:0pt;margin-left:-5.9pt;margin-top:-0.3pt;height:44.35pt;width:110pt;z-index:251659264;mso-width-relative:page;mso-height-relative:page;" fillcolor="#FFFFFF" filled="t" o:preferrelative="t" stroked="t" coordsize="21600,21600">
                  <v:path arrowok="t"/>
                  <v:fill on="t" focussize="0,0"/>
                  <v:stroke color="#000000" color2="#FFFFFF" opacity="65536f" miterlimit="2"/>
                  <v:imagedata gain="65536f" blacklevel="0f" gamma="0" o:title=""/>
                  <o:lock v:ext="edit" position="f" selection="f" grouping="f" rotation="f" cropping="f" text="f" aspectratio="f"/>
                </v:shape>
              </w:pict>
            </w:r>
            <w:r>
              <w:rPr>
                <w:rFonts w:hint="eastAsia"/>
                <w:color w:val="auto"/>
                <w:highlight w:val="none"/>
              </w:rPr>
              <w:t xml:space="preserve">            年  度</w:t>
            </w:r>
          </w:p>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4" o:spid="_x0000_s1027" o:spt="1" style="position:absolute;left:0pt;margin-left:61.5pt;margin-top:1.6pt;height:21.55pt;width:17.15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季</w:t>
                        </w:r>
                      </w:p>
                    </w:txbxContent>
                  </v:textbox>
                </v:rect>
              </w:pict>
            </w:r>
            <w:r>
              <w:rPr>
                <w:rFonts w:hint="eastAsia"/>
                <w:color w:val="auto"/>
                <w:highlight w:val="none"/>
              </w:rPr>
              <w:t xml:space="preserve">        </w:t>
            </w:r>
          </w:p>
          <w:p>
            <w:pPr>
              <w:jc w:val="center"/>
              <w:rPr>
                <w:color w:val="auto"/>
                <w:highlight w:val="none"/>
              </w:rPr>
            </w:pPr>
          </w:p>
        </w:tc>
        <w:tc>
          <w:tcPr>
            <w:tcW w:w="4537" w:type="dxa"/>
            <w:gridSpan w:val="12"/>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896" w:type="dxa"/>
            <w:gridSpan w:val="8"/>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5" o:spid="_x0000_s1028" o:spt="1" style="position:absolute;left:0pt;margin-left:84pt;margin-top:-0.45pt;height:21.55pt;width:17.15pt;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度</w:t>
                        </w:r>
                      </w:p>
                    </w:txbxContent>
                  </v:textbox>
                </v:rect>
              </w:pict>
            </w:r>
            <w:r>
              <w:rPr>
                <w:rFonts w:hint="eastAsia"/>
                <w:color w:val="auto"/>
                <w:highlight w:val="none"/>
              </w:rPr>
              <w:t xml:space="preserve">     </w:t>
            </w:r>
          </w:p>
          <w:p>
            <w:pPr>
              <w:jc w:val="left"/>
              <w:rPr>
                <w:rFonts w:hint="eastAsia"/>
                <w:color w:val="auto"/>
                <w:highlight w:val="none"/>
              </w:rPr>
            </w:pPr>
          </w:p>
          <w:p>
            <w:pPr>
              <w:jc w:val="left"/>
              <w:rPr>
                <w:color w:val="auto"/>
                <w:highlight w:val="none"/>
              </w:rPr>
            </w:pPr>
            <w:r>
              <w:rPr>
                <w:rFonts w:hint="eastAsia" w:ascii="Times New Roman" w:hAnsi="Times New Roman" w:eastAsia="宋体" w:cs="Times New Roman"/>
                <w:color w:val="auto"/>
                <w:kern w:val="2"/>
                <w:sz w:val="21"/>
                <w:szCs w:val="24"/>
                <w:highlight w:val="none"/>
                <w:lang w:val="en-US" w:eastAsia="zh-CN" w:bidi="ar-SA"/>
              </w:rPr>
              <w:pict>
                <v:rect id="矩形 6" o:spid="_x0000_s1029" o:spt="1" style="position:absolute;left:0pt;margin-left:-5.55pt;margin-top:19.35pt;height:454.5pt;width:89.9pt;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w:r>
            <w:r>
              <w:rPr>
                <w:rFonts w:hint="eastAsia"/>
                <w:color w:val="auto"/>
                <w:highlight w:val="none"/>
              </w:rPr>
              <w:t>进  度</w:t>
            </w:r>
          </w:p>
        </w:tc>
        <w:tc>
          <w:tcPr>
            <w:tcW w:w="1093" w:type="dxa"/>
            <w:gridSpan w:val="3"/>
            <w:vAlign w:val="center"/>
          </w:tcPr>
          <w:p>
            <w:pPr>
              <w:jc w:val="center"/>
              <w:rPr>
                <w:color w:val="auto"/>
                <w:highlight w:val="none"/>
              </w:rPr>
            </w:pPr>
            <w:r>
              <w:rPr>
                <w:rFonts w:hint="eastAsia"/>
                <w:color w:val="auto"/>
                <w:highlight w:val="none"/>
              </w:rPr>
              <w:t>一</w:t>
            </w:r>
          </w:p>
        </w:tc>
        <w:tc>
          <w:tcPr>
            <w:tcW w:w="1089" w:type="dxa"/>
            <w:gridSpan w:val="3"/>
            <w:vAlign w:val="center"/>
          </w:tcPr>
          <w:p>
            <w:pPr>
              <w:jc w:val="center"/>
              <w:rPr>
                <w:color w:val="auto"/>
                <w:highlight w:val="none"/>
              </w:rPr>
            </w:pPr>
            <w:r>
              <w:rPr>
                <w:rFonts w:hint="eastAsia"/>
                <w:color w:val="auto"/>
                <w:highlight w:val="none"/>
              </w:rPr>
              <w:t>二</w:t>
            </w:r>
          </w:p>
        </w:tc>
        <w:tc>
          <w:tcPr>
            <w:tcW w:w="1084" w:type="dxa"/>
            <w:gridSpan w:val="3"/>
            <w:vAlign w:val="center"/>
          </w:tcPr>
          <w:p>
            <w:pPr>
              <w:jc w:val="center"/>
              <w:rPr>
                <w:color w:val="auto"/>
                <w:highlight w:val="none"/>
              </w:rPr>
            </w:pPr>
            <w:r>
              <w:rPr>
                <w:rFonts w:hint="eastAsia"/>
                <w:color w:val="auto"/>
                <w:highlight w:val="none"/>
              </w:rPr>
              <w:t>三</w:t>
            </w:r>
          </w:p>
        </w:tc>
        <w:tc>
          <w:tcPr>
            <w:tcW w:w="1271" w:type="dxa"/>
            <w:gridSpan w:val="3"/>
            <w:vAlign w:val="center"/>
          </w:tcPr>
          <w:p>
            <w:pPr>
              <w:jc w:val="center"/>
              <w:rPr>
                <w:color w:val="auto"/>
                <w:highlight w:val="none"/>
              </w:rPr>
            </w:pPr>
            <w:r>
              <w:rPr>
                <w:rFonts w:hint="eastAsia"/>
                <w:color w:val="auto"/>
                <w:highlight w:val="none"/>
              </w:rPr>
              <w:t>四</w:t>
            </w:r>
          </w:p>
        </w:tc>
        <w:tc>
          <w:tcPr>
            <w:tcW w:w="1084" w:type="dxa"/>
            <w:gridSpan w:val="3"/>
            <w:vAlign w:val="center"/>
          </w:tcPr>
          <w:p>
            <w:pPr>
              <w:jc w:val="center"/>
              <w:rPr>
                <w:color w:val="auto"/>
                <w:highlight w:val="none"/>
              </w:rPr>
            </w:pPr>
            <w:r>
              <w:rPr>
                <w:rFonts w:hint="eastAsia"/>
                <w:color w:val="auto"/>
                <w:highlight w:val="none"/>
              </w:rPr>
              <w:t>一</w:t>
            </w:r>
          </w:p>
        </w:tc>
        <w:tc>
          <w:tcPr>
            <w:tcW w:w="1088" w:type="dxa"/>
            <w:gridSpan w:val="3"/>
            <w:vAlign w:val="center"/>
          </w:tcPr>
          <w:p>
            <w:pPr>
              <w:jc w:val="center"/>
              <w:rPr>
                <w:color w:val="auto"/>
                <w:highlight w:val="none"/>
              </w:rPr>
            </w:pPr>
            <w:r>
              <w:rPr>
                <w:rFonts w:hint="eastAsia"/>
                <w:color w:val="auto"/>
                <w:highlight w:val="none"/>
              </w:rPr>
              <w:t>二</w:t>
            </w:r>
          </w:p>
        </w:tc>
        <w:tc>
          <w:tcPr>
            <w:tcW w:w="724" w:type="dxa"/>
            <w:gridSpan w:val="2"/>
            <w:vAlign w:val="center"/>
          </w:tcPr>
          <w:p>
            <w:pPr>
              <w:jc w:val="center"/>
              <w:rPr>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rPr>
                <w:color w:val="auto"/>
                <w:highlight w:val="none"/>
              </w:rPr>
            </w:pPr>
          </w:p>
        </w:tc>
        <w:tc>
          <w:tcPr>
            <w:tcW w:w="361" w:type="dxa"/>
            <w:vAlign w:val="center"/>
          </w:tcPr>
          <w:p>
            <w:pPr>
              <w:jc w:val="center"/>
              <w:rPr>
                <w:color w:val="auto"/>
                <w:highlight w:val="none"/>
              </w:rPr>
            </w:pPr>
            <w:r>
              <w:rPr>
                <w:rFonts w:hint="eastAsia"/>
                <w:color w:val="auto"/>
                <w:highlight w:val="none"/>
              </w:rPr>
              <w:t>1</w:t>
            </w:r>
          </w:p>
        </w:tc>
        <w:tc>
          <w:tcPr>
            <w:tcW w:w="361" w:type="dxa"/>
            <w:vAlign w:val="center"/>
          </w:tcPr>
          <w:p>
            <w:pPr>
              <w:jc w:val="center"/>
              <w:rPr>
                <w:color w:val="auto"/>
                <w:highlight w:val="none"/>
              </w:rPr>
            </w:pPr>
            <w:r>
              <w:rPr>
                <w:rFonts w:hint="eastAsia"/>
                <w:color w:val="auto"/>
                <w:highlight w:val="none"/>
              </w:rPr>
              <w:t>2</w:t>
            </w:r>
          </w:p>
        </w:tc>
        <w:tc>
          <w:tcPr>
            <w:tcW w:w="371" w:type="dxa"/>
            <w:vAlign w:val="center"/>
          </w:tcPr>
          <w:p>
            <w:pPr>
              <w:jc w:val="center"/>
              <w:rPr>
                <w:color w:val="auto"/>
                <w:highlight w:val="none"/>
              </w:rPr>
            </w:pPr>
            <w:r>
              <w:rPr>
                <w:rFonts w:hint="eastAsia"/>
                <w:color w:val="auto"/>
                <w:highlight w:val="none"/>
              </w:rPr>
              <w:t>3</w:t>
            </w:r>
          </w:p>
        </w:tc>
        <w:tc>
          <w:tcPr>
            <w:tcW w:w="361" w:type="dxa"/>
            <w:vAlign w:val="center"/>
          </w:tcPr>
          <w:p>
            <w:pPr>
              <w:jc w:val="center"/>
              <w:rPr>
                <w:color w:val="auto"/>
                <w:highlight w:val="none"/>
              </w:rPr>
            </w:pPr>
            <w:r>
              <w:rPr>
                <w:rFonts w:hint="eastAsia"/>
                <w:color w:val="auto"/>
                <w:highlight w:val="none"/>
              </w:rPr>
              <w:t>4</w:t>
            </w:r>
          </w:p>
        </w:tc>
        <w:tc>
          <w:tcPr>
            <w:tcW w:w="361" w:type="dxa"/>
            <w:vAlign w:val="center"/>
          </w:tcPr>
          <w:p>
            <w:pPr>
              <w:jc w:val="center"/>
              <w:rPr>
                <w:color w:val="auto"/>
                <w:highlight w:val="none"/>
              </w:rPr>
            </w:pPr>
            <w:r>
              <w:rPr>
                <w:rFonts w:hint="eastAsia"/>
                <w:color w:val="auto"/>
                <w:highlight w:val="none"/>
              </w:rPr>
              <w:t>5</w:t>
            </w:r>
          </w:p>
        </w:tc>
        <w:tc>
          <w:tcPr>
            <w:tcW w:w="367" w:type="dxa"/>
            <w:vAlign w:val="center"/>
          </w:tcPr>
          <w:p>
            <w:pPr>
              <w:jc w:val="center"/>
              <w:rPr>
                <w:color w:val="auto"/>
                <w:highlight w:val="none"/>
              </w:rPr>
            </w:pPr>
            <w:r>
              <w:rPr>
                <w:rFonts w:hint="eastAsia"/>
                <w:color w:val="auto"/>
                <w:highlight w:val="none"/>
              </w:rPr>
              <w:t>6</w:t>
            </w:r>
          </w:p>
        </w:tc>
        <w:tc>
          <w:tcPr>
            <w:tcW w:w="360" w:type="dxa"/>
            <w:vAlign w:val="center"/>
          </w:tcPr>
          <w:p>
            <w:pPr>
              <w:jc w:val="center"/>
              <w:rPr>
                <w:color w:val="auto"/>
                <w:highlight w:val="none"/>
              </w:rPr>
            </w:pPr>
            <w:r>
              <w:rPr>
                <w:rFonts w:hint="eastAsia"/>
                <w:color w:val="auto"/>
                <w:highlight w:val="none"/>
              </w:rPr>
              <w:t>7</w:t>
            </w:r>
          </w:p>
        </w:tc>
        <w:tc>
          <w:tcPr>
            <w:tcW w:w="360" w:type="dxa"/>
            <w:vAlign w:val="center"/>
          </w:tcPr>
          <w:p>
            <w:pPr>
              <w:jc w:val="center"/>
              <w:rPr>
                <w:color w:val="auto"/>
                <w:highlight w:val="none"/>
              </w:rPr>
            </w:pPr>
            <w:r>
              <w:rPr>
                <w:rFonts w:hint="eastAsia"/>
                <w:color w:val="auto"/>
                <w:highlight w:val="none"/>
              </w:rPr>
              <w:t>8</w:t>
            </w:r>
          </w:p>
        </w:tc>
        <w:tc>
          <w:tcPr>
            <w:tcW w:w="364" w:type="dxa"/>
            <w:vAlign w:val="center"/>
          </w:tcPr>
          <w:p>
            <w:pPr>
              <w:jc w:val="center"/>
              <w:rPr>
                <w:color w:val="auto"/>
                <w:highlight w:val="none"/>
              </w:rPr>
            </w:pPr>
            <w:r>
              <w:rPr>
                <w:rFonts w:hint="eastAsia"/>
                <w:color w:val="auto"/>
                <w:highlight w:val="none"/>
              </w:rPr>
              <w:t>9</w:t>
            </w:r>
          </w:p>
        </w:tc>
        <w:tc>
          <w:tcPr>
            <w:tcW w:w="426" w:type="dxa"/>
            <w:vAlign w:val="center"/>
          </w:tcPr>
          <w:p>
            <w:pPr>
              <w:jc w:val="center"/>
              <w:rPr>
                <w:color w:val="auto"/>
                <w:highlight w:val="none"/>
              </w:rPr>
            </w:pPr>
            <w:r>
              <w:rPr>
                <w:rFonts w:hint="eastAsia"/>
                <w:color w:val="auto"/>
                <w:highlight w:val="none"/>
              </w:rPr>
              <w:t>10</w:t>
            </w:r>
          </w:p>
        </w:tc>
        <w:tc>
          <w:tcPr>
            <w:tcW w:w="419" w:type="dxa"/>
            <w:vAlign w:val="center"/>
          </w:tcPr>
          <w:p>
            <w:pPr>
              <w:jc w:val="center"/>
              <w:rPr>
                <w:color w:val="auto"/>
                <w:highlight w:val="none"/>
              </w:rPr>
            </w:pPr>
            <w:r>
              <w:rPr>
                <w:rFonts w:hint="eastAsia"/>
                <w:color w:val="auto"/>
                <w:highlight w:val="none"/>
              </w:rPr>
              <w:t>11</w:t>
            </w:r>
          </w:p>
        </w:tc>
        <w:tc>
          <w:tcPr>
            <w:tcW w:w="426" w:type="dxa"/>
            <w:vAlign w:val="center"/>
          </w:tcPr>
          <w:p>
            <w:pPr>
              <w:jc w:val="center"/>
              <w:rPr>
                <w:color w:val="auto"/>
                <w:highlight w:val="none"/>
              </w:rPr>
            </w:pPr>
            <w:r>
              <w:rPr>
                <w:rFonts w:hint="eastAsia"/>
                <w:color w:val="auto"/>
                <w:highlight w:val="none"/>
              </w:rPr>
              <w:t>12</w:t>
            </w:r>
          </w:p>
        </w:tc>
        <w:tc>
          <w:tcPr>
            <w:tcW w:w="360" w:type="dxa"/>
            <w:vAlign w:val="center"/>
          </w:tcPr>
          <w:p>
            <w:pPr>
              <w:jc w:val="center"/>
              <w:rPr>
                <w:color w:val="auto"/>
                <w:highlight w:val="none"/>
              </w:rPr>
            </w:pPr>
            <w:r>
              <w:rPr>
                <w:rFonts w:hint="eastAsia"/>
                <w:color w:val="auto"/>
                <w:highlight w:val="none"/>
              </w:rPr>
              <w:t>1</w:t>
            </w:r>
          </w:p>
        </w:tc>
        <w:tc>
          <w:tcPr>
            <w:tcW w:w="360" w:type="dxa"/>
            <w:vAlign w:val="center"/>
          </w:tcPr>
          <w:p>
            <w:pPr>
              <w:jc w:val="center"/>
              <w:rPr>
                <w:color w:val="auto"/>
                <w:highlight w:val="none"/>
              </w:rPr>
            </w:pPr>
            <w:r>
              <w:rPr>
                <w:rFonts w:hint="eastAsia"/>
                <w:color w:val="auto"/>
                <w:highlight w:val="none"/>
              </w:rPr>
              <w:t>2</w:t>
            </w:r>
          </w:p>
        </w:tc>
        <w:tc>
          <w:tcPr>
            <w:tcW w:w="364" w:type="dxa"/>
            <w:vAlign w:val="center"/>
          </w:tcPr>
          <w:p>
            <w:pPr>
              <w:jc w:val="center"/>
              <w:rPr>
                <w:color w:val="auto"/>
                <w:highlight w:val="none"/>
              </w:rPr>
            </w:pPr>
            <w:r>
              <w:rPr>
                <w:rFonts w:hint="eastAsia"/>
                <w:color w:val="auto"/>
                <w:highlight w:val="none"/>
              </w:rPr>
              <w:t>3</w:t>
            </w:r>
          </w:p>
        </w:tc>
        <w:tc>
          <w:tcPr>
            <w:tcW w:w="362" w:type="dxa"/>
            <w:vAlign w:val="center"/>
          </w:tcPr>
          <w:p>
            <w:pPr>
              <w:jc w:val="center"/>
              <w:rPr>
                <w:color w:val="auto"/>
                <w:highlight w:val="none"/>
              </w:rPr>
            </w:pPr>
            <w:r>
              <w:rPr>
                <w:rFonts w:hint="eastAsia"/>
                <w:color w:val="auto"/>
                <w:highlight w:val="none"/>
              </w:rPr>
              <w:t>4</w:t>
            </w:r>
          </w:p>
        </w:tc>
        <w:tc>
          <w:tcPr>
            <w:tcW w:w="362" w:type="dxa"/>
            <w:vAlign w:val="center"/>
          </w:tcPr>
          <w:p>
            <w:pPr>
              <w:jc w:val="center"/>
              <w:rPr>
                <w:color w:val="auto"/>
                <w:highlight w:val="none"/>
              </w:rPr>
            </w:pPr>
            <w:r>
              <w:rPr>
                <w:rFonts w:hint="eastAsia"/>
                <w:color w:val="auto"/>
                <w:highlight w:val="none"/>
              </w:rPr>
              <w:t>5</w:t>
            </w:r>
          </w:p>
        </w:tc>
        <w:tc>
          <w:tcPr>
            <w:tcW w:w="364" w:type="dxa"/>
            <w:vAlign w:val="center"/>
          </w:tcPr>
          <w:p>
            <w:pPr>
              <w:jc w:val="center"/>
              <w:rPr>
                <w:color w:val="auto"/>
                <w:highlight w:val="none"/>
              </w:rPr>
            </w:pPr>
            <w:r>
              <w:rPr>
                <w:rFonts w:hint="eastAsia"/>
                <w:color w:val="auto"/>
                <w:highlight w:val="none"/>
              </w:rPr>
              <w:t>6</w:t>
            </w:r>
          </w:p>
        </w:tc>
        <w:tc>
          <w:tcPr>
            <w:tcW w:w="724" w:type="dxa"/>
            <w:gridSpan w:val="2"/>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color w:val="auto"/>
                <w:highlight w:val="none"/>
              </w:rPr>
            </w:pPr>
            <w:r>
              <w:rPr>
                <w:rFonts w:hint="eastAsia"/>
                <w:color w:val="auto"/>
                <w:highlight w:val="none"/>
              </w:rPr>
              <w:t>100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90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80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70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60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50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40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30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20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10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bl>
    <w:p>
      <w:pPr>
        <w:rPr>
          <w:rFonts w:hint="eastAsia"/>
          <w:color w:val="auto"/>
          <w:highlight w:val="none"/>
        </w:rPr>
      </w:pPr>
      <w:r>
        <w:rPr>
          <w:rFonts w:hint="eastAsia" w:ascii="隶书" w:hAnsi="Times New Roman" w:eastAsia="隶书" w:cs="Times New Roman"/>
          <w:color w:val="auto"/>
          <w:kern w:val="2"/>
          <w:sz w:val="24"/>
          <w:szCs w:val="24"/>
          <w:highlight w:val="none"/>
          <w:lang w:val="en-US" w:eastAsia="zh-CN" w:bidi="ar-SA"/>
        </w:rPr>
        <w:pict>
          <v:rect id="文本框 2" o:spid="_x0000_s1025" o:spt="1" style="position:absolute;left:0pt;margin-left:72.35pt;margin-top:29.85pt;height:23pt;width:288pt;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jc w:val="center"/>
                    <w:rPr>
                      <w:rFonts w:hint="eastAsia" w:ascii="宋体" w:hAnsi="宋体"/>
                    </w:rPr>
                  </w:pPr>
                  <w:r>
                    <w:rPr>
                      <w:rFonts w:hint="eastAsia" w:ascii="宋体" w:hAnsi="宋体"/>
                    </w:rPr>
                    <w:t>工期历程的百分比（%）</w:t>
                  </w:r>
                </w:p>
              </w:txbxContent>
            </v:textbox>
          </v:rect>
        </w:pict>
      </w:r>
      <w:r>
        <w:rPr>
          <w:rFonts w:ascii="Times New Roman" w:hAnsi="Times New Roman" w:eastAsia="宋体" w:cs="Times New Roman"/>
          <w:color w:val="auto"/>
          <w:kern w:val="2"/>
          <w:sz w:val="21"/>
          <w:szCs w:val="24"/>
          <w:highlight w:val="none"/>
          <w:lang w:val="en-US" w:eastAsia="zh-CN" w:bidi="ar-SA"/>
        </w:rPr>
        <w:pict>
          <v:rect id="矩形 19" o:spid="_x0000_s1030" o:spt="1" style="position:absolute;left:0pt;margin-left:90.5pt;margin-top:1.65pt;height:21.05pt;width:410.9pt;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r>
                    <w:rPr>
                      <w:rFonts w:hint="eastAsia"/>
                    </w:rPr>
                    <w:t>0     10     20     30     40      50     60     70     80     90    100</w:t>
                  </w:r>
                </w:p>
              </w:txbxContent>
            </v:textbox>
          </v:rect>
        </w:pic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pageBreakBefore/>
        <w:spacing w:beforeLines="100" w:afterLines="150" w:line="360" w:lineRule="exact"/>
        <w:jc w:val="center"/>
        <w:sectPr>
          <w:footnotePr>
            <w:numFmt w:val="decimalEnclosedCircleChinese"/>
            <w:numRestart w:val="eachPage"/>
          </w:footnotePr>
          <w:pgSz w:w="11907" w:h="16840"/>
          <w:pgMar w:top="1440" w:right="1361" w:bottom="1440" w:left="1361" w:header="720" w:footer="907" w:gutter="0"/>
          <w:cols w:space="720" w:num="1"/>
        </w:sectPr>
      </w:pPr>
    </w:p>
    <w:p>
      <w:pPr>
        <w:pStyle w:val="4"/>
        <w:spacing w:beforeLines="50" w:after="240" w:line="400" w:lineRule="exact"/>
        <w:rPr>
          <w:rFonts w:ascii="Arial" w:hAnsi="Arial" w:eastAsia="黑体"/>
          <w:color w:val="auto"/>
          <w:kern w:val="2"/>
          <w:sz w:val="28"/>
          <w:szCs w:val="28"/>
          <w:highlight w:val="none"/>
        </w:rPr>
      </w:pPr>
      <w:bookmarkStart w:id="264"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64"/>
    </w:p>
    <w:tbl>
      <w:tblPr>
        <w:tblStyle w:val="17"/>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25" w:type="dxa"/>
            <w:vAlign w:val="center"/>
          </w:tcPr>
          <w:p>
            <w:pPr>
              <w:jc w:val="center"/>
              <w:rPr>
                <w:rFonts w:ascii="宋体" w:hAnsi="宋体"/>
                <w:color w:val="auto"/>
                <w:szCs w:val="21"/>
                <w:highlight w:val="none"/>
              </w:rPr>
            </w:pPr>
            <w:r>
              <w:rPr>
                <w:rFonts w:hint="eastAsia" w:ascii="宋体" w:hAnsi="宋体"/>
                <w:color w:val="auto"/>
                <w:szCs w:val="21"/>
                <w:highlight w:val="none"/>
              </w:rPr>
              <w:t>工程项目</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3400"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平均每生产单位规模（</w:t>
            </w:r>
            <w:r>
              <w:rPr>
                <w:rFonts w:hint="eastAsia" w:ascii="宋体" w:hAnsi="宋体"/>
                <w:color w:val="auto"/>
                <w:szCs w:val="21"/>
                <w:highlight w:val="none"/>
                <w:u w:val="single"/>
              </w:rPr>
              <w:t xml:space="preserve">    </w:t>
            </w:r>
            <w:r>
              <w:rPr>
                <w:rFonts w:hint="eastAsia" w:ascii="宋体" w:hAnsi="宋体"/>
                <w:color w:val="auto"/>
                <w:szCs w:val="21"/>
                <w:highlight w:val="none"/>
              </w:rPr>
              <w:t>人，各种机械</w:t>
            </w:r>
            <w:r>
              <w:rPr>
                <w:rFonts w:hint="eastAsia" w:ascii="宋体" w:hAnsi="宋体"/>
                <w:color w:val="auto"/>
                <w:szCs w:val="21"/>
                <w:highlight w:val="none"/>
                <w:u w:val="single"/>
              </w:rPr>
              <w:t xml:space="preserve">    </w:t>
            </w:r>
            <w:r>
              <w:rPr>
                <w:rFonts w:hint="eastAsia" w:ascii="宋体" w:hAnsi="宋体"/>
                <w:color w:val="auto"/>
                <w:szCs w:val="21"/>
                <w:highlight w:val="none"/>
              </w:rPr>
              <w:t>台）</w:t>
            </w:r>
          </w:p>
        </w:tc>
        <w:tc>
          <w:tcPr>
            <w:tcW w:w="2185"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平均每生产单位生产率（数量，每周）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每生产单位</w:t>
            </w:r>
          </w:p>
          <w:p>
            <w:pPr>
              <w:jc w:val="center"/>
              <w:rPr>
                <w:rFonts w:ascii="宋体" w:hAnsi="宋体"/>
                <w:color w:val="auto"/>
                <w:szCs w:val="21"/>
                <w:highlight w:val="none"/>
              </w:rPr>
            </w:pPr>
            <w:r>
              <w:rPr>
                <w:rFonts w:hint="eastAsia" w:ascii="宋体" w:hAnsi="宋体"/>
                <w:color w:val="auto"/>
                <w:szCs w:val="21"/>
                <w:highlight w:val="none"/>
              </w:rPr>
              <w:t>平均施工时间（周）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生产单位总数</w:t>
            </w:r>
          </w:p>
          <w:p>
            <w:pPr>
              <w:jc w:val="center"/>
              <w:rPr>
                <w:rFonts w:ascii="宋体" w:hAnsi="宋体"/>
                <w:color w:val="auto"/>
                <w:szCs w:val="21"/>
                <w:highlight w:val="none"/>
              </w:rPr>
            </w:pPr>
            <w:r>
              <w:rPr>
                <w:rFonts w:hint="eastAsia" w:ascii="宋体" w:hAnsi="宋体"/>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下部结构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3</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25" w:type="dxa"/>
            <w:vAlign w:val="center"/>
          </w:tcPr>
          <w:p>
            <w:pPr>
              <w:ind w:left="113"/>
              <w:rPr>
                <w:rFonts w:hint="eastAsia" w:ascii="宋体" w:hAnsi="宋体"/>
                <w:color w:val="auto"/>
                <w:szCs w:val="21"/>
                <w:highlight w:val="none"/>
              </w:rPr>
            </w:pPr>
            <w:r>
              <w:rPr>
                <w:rFonts w:hint="eastAsia" w:ascii="宋体" w:hAnsi="宋体"/>
                <w:color w:val="auto"/>
                <w:szCs w:val="21"/>
                <w:highlight w:val="none"/>
              </w:rPr>
              <w:t>上部结构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附属工程</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bl>
    <w:p>
      <w:pPr>
        <w:sectPr>
          <w:footnotePr>
            <w:numFmt w:val="decimalEnclosedCircleChinese"/>
            <w:numRestart w:val="eachPage"/>
          </w:footnotePr>
          <w:type w:val="continuous"/>
          <w:pgSz w:w="16840" w:h="11907" w:orient="landscape"/>
          <w:pgMar w:top="1361" w:right="1440" w:bottom="1361" w:left="1440" w:header="720" w:footer="907" w:gutter="0"/>
          <w:cols w:space="720" w:num="1"/>
        </w:sectPr>
      </w:pPr>
    </w:p>
    <w:p>
      <w:pPr>
        <w:pStyle w:val="4"/>
        <w:spacing w:beforeLines="50" w:after="240" w:line="400" w:lineRule="exact"/>
        <w:rPr>
          <w:rFonts w:ascii="Arial" w:hAnsi="Arial" w:eastAsia="黑体"/>
          <w:color w:val="auto"/>
          <w:kern w:val="2"/>
          <w:sz w:val="28"/>
          <w:szCs w:val="28"/>
          <w:highlight w:val="none"/>
        </w:rPr>
      </w:pPr>
      <w:bookmarkStart w:id="265"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65"/>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bookmarkStart w:id="266"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66"/>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bl>
    <w:p>
      <w:pPr>
        <w:ind w:firstLine="6600" w:firstLineChars="2750"/>
        <w:rPr>
          <w:rFonts w:hint="eastAsia" w:ascii="宋体" w:hAnsi="宋体"/>
          <w:color w:val="auto"/>
          <w:sz w:val="24"/>
          <w:highlight w:val="none"/>
        </w:rPr>
      </w:pPr>
    </w:p>
    <w:p>
      <w:pPr>
        <w:pStyle w:val="4"/>
        <w:spacing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67"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67"/>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pStyle w:val="4"/>
        <w:spacing w:beforeLines="50" w:after="240" w:line="400" w:lineRule="exact"/>
        <w:rPr>
          <w:rFonts w:hint="eastAsia" w:ascii="隶书" w:hAnsi="宋体" w:eastAsia="隶书"/>
          <w:color w:val="auto"/>
          <w:sz w:val="30"/>
          <w:szCs w:val="30"/>
          <w:highlight w:val="none"/>
        </w:rPr>
      </w:pPr>
      <w:r>
        <w:rPr>
          <w:rFonts w:ascii="宋体" w:hAnsi="宋体"/>
          <w:color w:val="auto"/>
          <w:sz w:val="24"/>
          <w:highlight w:val="none"/>
        </w:rPr>
        <w:br w:type="page"/>
      </w:r>
      <w:bookmarkStart w:id="268" w:name="_Toc234382972"/>
      <w:r>
        <w:rPr>
          <w:rFonts w:hint="eastAsia" w:ascii="Arial" w:hAnsi="Arial" w:eastAsia="黑体"/>
          <w:color w:val="auto"/>
          <w:kern w:val="2"/>
          <w:sz w:val="28"/>
          <w:szCs w:val="28"/>
          <w:highlight w:val="none"/>
        </w:rPr>
        <w:t>附表八  外供电力需求计划表</w:t>
      </w:r>
      <w:bookmarkEnd w:id="268"/>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hint="eastAsia" w:ascii="宋体" w:hAnsi="宋体"/>
                <w:color w:val="auto"/>
                <w:szCs w:val="21"/>
                <w:highlight w:val="none"/>
              </w:rPr>
            </w:pPr>
          </w:p>
        </w:tc>
        <w:tc>
          <w:tcPr>
            <w:tcW w:w="1701" w:type="dxa"/>
            <w:vMerge w:val="continue"/>
            <w:vAlign w:val="center"/>
          </w:tcPr>
          <w:p>
            <w:pPr>
              <w:jc w:val="center"/>
              <w:rPr>
                <w:rFonts w:hint="eastAsia" w:ascii="宋体" w:hAnsi="宋体"/>
                <w:color w:val="auto"/>
                <w:szCs w:val="21"/>
                <w:highlight w:val="none"/>
              </w:rPr>
            </w:pPr>
          </w:p>
        </w:tc>
        <w:tc>
          <w:tcPr>
            <w:tcW w:w="2552" w:type="dxa"/>
            <w:vMerge w:val="continue"/>
            <w:vAlign w:val="center"/>
          </w:tcPr>
          <w:p>
            <w:pPr>
              <w:jc w:val="center"/>
              <w:rPr>
                <w:rFonts w:hint="eastAsia" w:ascii="宋体" w:hAnsi="宋体"/>
                <w:color w:val="auto"/>
                <w:szCs w:val="21"/>
                <w:highlight w:val="none"/>
              </w:rPr>
            </w:pPr>
          </w:p>
        </w:tc>
        <w:tc>
          <w:tcPr>
            <w:tcW w:w="1190" w:type="dxa"/>
            <w:vMerge w:val="continue"/>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bl>
    <w:p>
      <w:pPr>
        <w:pStyle w:val="4"/>
        <w:spacing w:beforeLines="50" w:after="240" w:line="400" w:lineRule="exact"/>
        <w:rPr>
          <w:rFonts w:hint="eastAsia" w:ascii="Arial" w:hAnsi="Arial" w:eastAsia="黑体"/>
          <w:color w:val="auto"/>
          <w:kern w:val="2"/>
          <w:sz w:val="28"/>
          <w:szCs w:val="28"/>
          <w:highlight w:val="none"/>
        </w:rPr>
      </w:pPr>
      <w:r>
        <w:rPr>
          <w:rFonts w:hint="eastAsia" w:ascii="Arial" w:hAnsi="Arial" w:eastAsia="黑体"/>
          <w:color w:val="auto"/>
          <w:kern w:val="2"/>
          <w:sz w:val="28"/>
          <w:szCs w:val="28"/>
          <w:highlight w:val="none"/>
        </w:rPr>
        <w:t>附表九   合同用款估算表</w:t>
      </w:r>
    </w:p>
    <w:tbl>
      <w:tblPr>
        <w:tblStyle w:val="17"/>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3462"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hint="eastAsia"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说</w:t>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hint="eastAsia" w:ascii="宋体" w:hAnsi="宋体"/>
                <w:color w:val="auto"/>
                <w:szCs w:val="21"/>
                <w:highlight w:val="none"/>
              </w:rPr>
            </w:pPr>
          </w:p>
          <w:p>
            <w:pPr>
              <w:jc w:val="center"/>
              <w:rPr>
                <w:rFonts w:hint="eastAsia" w:ascii="宋体" w:hAnsi="宋体"/>
                <w:color w:val="auto"/>
                <w:szCs w:val="21"/>
                <w:highlight w:val="none"/>
              </w:rPr>
            </w:pPr>
          </w:p>
        </w:tc>
      </w:tr>
    </w:tbl>
    <w:p>
      <w:pPr>
        <w:jc w:val="center"/>
        <w:rPr>
          <w:rFonts w:hint="eastAsia" w:ascii="隶书" w:hAnsi="宋体" w:eastAsia="隶书"/>
          <w:color w:val="auto"/>
          <w:sz w:val="24"/>
          <w:highlight w:val="none"/>
        </w:rPr>
      </w:pPr>
    </w:p>
    <w:p>
      <w:pPr>
        <w:rPr>
          <w:rFonts w:hint="eastAsia"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hint="eastAsia"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hint="eastAsia" w:ascii="宋体" w:hAnsi="宋体"/>
          <w:color w:val="auto"/>
          <w:sz w:val="24"/>
          <w:highlight w:val="none"/>
        </w:rPr>
      </w:pPr>
    </w:p>
    <w:p>
      <w:pPr>
        <w:pStyle w:val="4"/>
        <w:pageBreakBefore/>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五</w:t>
      </w:r>
      <w:r>
        <w:rPr>
          <w:rFonts w:ascii="黑体" w:hAnsi="宋体" w:eastAsia="黑体"/>
          <w:color w:val="auto"/>
          <w:sz w:val="28"/>
          <w:szCs w:val="28"/>
          <w:highlight w:val="none"/>
        </w:rPr>
        <w:t>、项目管理机构</w:t>
      </w:r>
      <w:bookmarkEnd w:id="259"/>
      <w:bookmarkEnd w:id="260"/>
      <w:bookmarkEnd w:id="261"/>
      <w:bookmarkEnd w:id="262"/>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说明</w:t>
            </w:r>
          </w:p>
        </w:tc>
      </w:tr>
    </w:tbl>
    <w:p>
      <w:pPr>
        <w:rPr>
          <w:color w:val="auto"/>
          <w:highlight w:val="none"/>
        </w:rPr>
      </w:pPr>
    </w:p>
    <w:p>
      <w:pPr>
        <w:pStyle w:val="4"/>
        <w:spacing w:beforeLines="100" w:afterLines="150" w:line="360" w:lineRule="exact"/>
        <w:jc w:val="center"/>
        <w:rPr>
          <w:rFonts w:ascii="黑体" w:hAnsi="宋体" w:eastAsia="黑体"/>
          <w:color w:val="auto"/>
          <w:sz w:val="28"/>
          <w:szCs w:val="28"/>
          <w:highlight w:val="none"/>
        </w:rPr>
      </w:pPr>
      <w:bookmarkStart w:id="269" w:name="_Toc486277938"/>
      <w:bookmarkStart w:id="270" w:name="_Toc485889072"/>
      <w:bookmarkStart w:id="271" w:name="_Toc234382977"/>
      <w:bookmarkStart w:id="272" w:name="_Toc18211"/>
      <w:r>
        <w:rPr>
          <w:rFonts w:hint="eastAsia" w:ascii="黑体" w:hAnsi="宋体" w:eastAsia="黑体"/>
          <w:color w:val="auto"/>
          <w:sz w:val="28"/>
          <w:szCs w:val="28"/>
          <w:highlight w:val="none"/>
        </w:rPr>
        <w:t>六、资格审查资料</w:t>
      </w:r>
      <w:bookmarkEnd w:id="269"/>
      <w:bookmarkEnd w:id="270"/>
      <w:bookmarkEnd w:id="271"/>
      <w:bookmarkEnd w:id="272"/>
    </w:p>
    <w:p>
      <w:pPr>
        <w:pStyle w:val="4"/>
        <w:spacing w:beforeLines="100" w:afterLines="150" w:line="360" w:lineRule="exact"/>
        <w:jc w:val="center"/>
        <w:rPr>
          <w:rFonts w:ascii="黑体" w:hAnsi="宋体" w:eastAsia="黑体"/>
          <w:color w:val="auto"/>
          <w:sz w:val="28"/>
          <w:szCs w:val="28"/>
          <w:highlight w:val="none"/>
        </w:rPr>
      </w:pPr>
      <w:bookmarkStart w:id="273" w:name="_Toc234382978"/>
      <w:bookmarkStart w:id="274" w:name="_Toc486277939"/>
      <w:bookmarkStart w:id="275" w:name="_Toc9432"/>
      <w:bookmarkStart w:id="276" w:name="_Toc485889073"/>
      <w:r>
        <w:rPr>
          <w:rFonts w:hint="eastAsia" w:ascii="黑体" w:hAnsi="宋体" w:eastAsia="黑体"/>
          <w:color w:val="auto"/>
          <w:sz w:val="28"/>
          <w:szCs w:val="28"/>
          <w:highlight w:val="none"/>
        </w:rPr>
        <w:t>（一）投标人基本情况表</w:t>
      </w:r>
      <w:bookmarkEnd w:id="273"/>
      <w:bookmarkEnd w:id="274"/>
      <w:bookmarkEnd w:id="275"/>
      <w:bookmarkEnd w:id="276"/>
    </w:p>
    <w:tbl>
      <w:tblPr>
        <w:tblStyle w:val="17"/>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846" w:type="dxa"/>
            <w:gridSpan w:val="4"/>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auto"/>
                <w:kern w:val="0"/>
                <w:szCs w:val="21"/>
                <w:highlight w:val="none"/>
              </w:rPr>
            </w:pPr>
          </w:p>
        </w:tc>
        <w:tc>
          <w:tcPr>
            <w:tcW w:w="1010" w:type="dxa"/>
            <w:vAlign w:val="center"/>
          </w:tcPr>
          <w:p>
            <w:pPr>
              <w:tabs>
                <w:tab w:val="left" w:pos="540"/>
              </w:tabs>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电子邮件</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color w:val="auto"/>
                <w:kern w:val="0"/>
                <w:szCs w:val="21"/>
                <w:highlight w:val="none"/>
              </w:rPr>
            </w:pPr>
            <w:r>
              <w:rPr>
                <w:rFonts w:hint="eastAsia" w:ascii="宋体" w:hAnsi="宋体" w:cs="MingLiU"/>
                <w:color w:val="auto"/>
                <w:kern w:val="0"/>
                <w:szCs w:val="21"/>
                <w:highlight w:val="none"/>
              </w:rPr>
              <w:t>技工</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备    注</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bl>
    <w:p>
      <w:pPr>
        <w:rPr>
          <w:color w:val="auto"/>
          <w:highlight w:val="none"/>
        </w:rPr>
      </w:pPr>
      <w:r>
        <w:rPr>
          <w:rFonts w:hint="eastAsia" w:ascii="宋体" w:hAnsi="宋体"/>
          <w:color w:val="auto"/>
          <w:szCs w:val="21"/>
          <w:highlight w:val="none"/>
        </w:rPr>
        <w:t>注：1.企业法人营业执照副本（全本）、施工资质证书副本（全本）、安全生产许可证副本（全本）和基本账户开户许可证的彩色扫描件并加盖单位章。</w:t>
      </w:r>
    </w:p>
    <w:p>
      <w:pPr>
        <w:pStyle w:val="4"/>
        <w:spacing w:beforeLines="100" w:afterLines="150" w:line="360" w:lineRule="exact"/>
        <w:jc w:val="center"/>
        <w:rPr>
          <w:rFonts w:ascii="黑体" w:hAnsi="宋体" w:eastAsia="黑体"/>
          <w:color w:val="auto"/>
          <w:sz w:val="28"/>
          <w:szCs w:val="28"/>
          <w:highlight w:val="none"/>
        </w:rPr>
      </w:pPr>
      <w:bookmarkStart w:id="277" w:name="_Toc486277940"/>
      <w:bookmarkStart w:id="278" w:name="_Toc485889074"/>
      <w:bookmarkStart w:id="279" w:name="_Toc10076"/>
      <w:bookmarkStart w:id="280" w:name="_Toc234382979"/>
      <w:r>
        <w:rPr>
          <w:rFonts w:hint="eastAsia" w:ascii="黑体" w:hAnsi="宋体" w:eastAsia="黑体"/>
          <w:color w:val="auto"/>
          <w:sz w:val="28"/>
          <w:szCs w:val="28"/>
          <w:highlight w:val="none"/>
        </w:rPr>
        <w:t>（二）投标人企业组织结构框图</w:t>
      </w:r>
      <w:bookmarkEnd w:id="277"/>
      <w:bookmarkEnd w:id="278"/>
      <w:bookmarkEnd w:id="279"/>
      <w:bookmarkEnd w:id="280"/>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vAlign w:val="top"/>
          </w:tcPr>
          <w:p>
            <w:pPr>
              <w:rPr>
                <w:color w:val="auto"/>
                <w:highlight w:val="none"/>
              </w:rPr>
            </w:pPr>
          </w:p>
          <w:p>
            <w:pPr>
              <w:rPr>
                <w:rFonts w:cs="宋体"/>
                <w:color w:val="auto"/>
                <w:szCs w:val="21"/>
                <w:highlight w:val="none"/>
              </w:rPr>
            </w:pPr>
            <w:r>
              <w:rPr>
                <w:rFonts w:hint="eastAsia" w:cs="宋体"/>
                <w:color w:val="auto"/>
                <w:sz w:val="24"/>
                <w:szCs w:val="21"/>
                <w:highlight w:val="none"/>
              </w:rPr>
              <w:t>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vAlign w:val="top"/>
          </w:tcPr>
          <w:p>
            <w:pPr>
              <w:rPr>
                <w:rFonts w:cs="宋体"/>
                <w:color w:val="auto"/>
                <w:sz w:val="24"/>
                <w:highlight w:val="none"/>
              </w:rPr>
            </w:pPr>
          </w:p>
          <w:p>
            <w:pPr>
              <w:rPr>
                <w:rFonts w:cs="宋体"/>
                <w:color w:val="auto"/>
                <w:szCs w:val="21"/>
                <w:highlight w:val="none"/>
              </w:rPr>
            </w:pPr>
            <w:r>
              <w:rPr>
                <w:rFonts w:hint="eastAsia" w:cs="宋体"/>
                <w:color w:val="auto"/>
                <w:szCs w:val="21"/>
                <w:highlight w:val="none"/>
              </w:rPr>
              <w:t>说明</w:t>
            </w:r>
          </w:p>
        </w:tc>
      </w:tr>
    </w:tbl>
    <w:p>
      <w:pPr>
        <w:pStyle w:val="4"/>
        <w:spacing w:beforeLines="100" w:afterLines="150" w:line="360" w:lineRule="exact"/>
        <w:jc w:val="center"/>
        <w:rPr>
          <w:color w:val="auto"/>
          <w:highlight w:val="none"/>
        </w:rPr>
      </w:pPr>
      <w:r>
        <w:rPr>
          <w:color w:val="auto"/>
          <w:highlight w:val="none"/>
        </w:rPr>
        <w:br w:type="page"/>
      </w:r>
      <w:bookmarkStart w:id="281" w:name="_Toc486277941"/>
      <w:bookmarkStart w:id="282" w:name="_Toc234382980"/>
      <w:bookmarkStart w:id="283" w:name="_Toc485889075"/>
      <w:bookmarkStart w:id="284" w:name="_Toc8347"/>
      <w:r>
        <w:rPr>
          <w:rFonts w:hint="eastAsia" w:ascii="黑体" w:hAnsi="宋体" w:eastAsia="黑体"/>
          <w:color w:val="auto"/>
          <w:sz w:val="28"/>
          <w:szCs w:val="28"/>
          <w:highlight w:val="none"/>
        </w:rPr>
        <w:t>（三）拟委任的项目经理和项目总工资历表</w:t>
      </w:r>
      <w:bookmarkEnd w:id="281"/>
      <w:bookmarkEnd w:id="282"/>
      <w:bookmarkEnd w:id="283"/>
      <w:bookmarkEnd w:id="284"/>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专  业</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公司单位</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    务</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拟在本标段</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工程担任职务</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月毕业于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学校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专业，学制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023" w:type="dxa"/>
            <w:gridSpan w:val="3"/>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参加过的工程项目名称</w:t>
            </w:r>
          </w:p>
        </w:tc>
        <w:tc>
          <w:tcPr>
            <w:tcW w:w="1392" w:type="dxa"/>
            <w:gridSpan w:val="2"/>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担任何职</w:t>
            </w:r>
          </w:p>
        </w:tc>
        <w:tc>
          <w:tcPr>
            <w:tcW w:w="2870" w:type="dxa"/>
            <w:gridSpan w:val="2"/>
            <w:vAlign w:val="center"/>
          </w:tcPr>
          <w:p>
            <w:pPr>
              <w:jc w:val="center"/>
              <w:rPr>
                <w:rFonts w:ascii="宋体" w:hAnsi="宋体" w:cs="MingLiU"/>
                <w:color w:val="auto"/>
                <w:kern w:val="0"/>
                <w:szCs w:val="21"/>
                <w:highlight w:val="none"/>
              </w:rPr>
            </w:pPr>
            <w:r>
              <w:rPr>
                <w:rFonts w:hint="eastAsia" w:ascii="宋体" w:hAnsi="宋体" w:cs="MingLiU"/>
                <w:color w:val="auto"/>
                <w:kern w:val="0"/>
                <w:szCs w:val="21"/>
                <w:highlight w:val="none"/>
              </w:rPr>
              <w:t>发包人及</w:t>
            </w:r>
          </w:p>
          <w:p>
            <w:pPr>
              <w:jc w:val="center"/>
              <w:rPr>
                <w:rFonts w:ascii="宋体" w:hAnsi="宋体"/>
                <w:color w:val="auto"/>
                <w:szCs w:val="21"/>
                <w:highlight w:val="none"/>
              </w:rPr>
            </w:pPr>
            <w:r>
              <w:rPr>
                <w:rFonts w:hint="eastAsia" w:ascii="宋体" w:hAnsi="宋体" w:cs="MingLiU"/>
                <w:color w:val="auto"/>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获奖情况</w:t>
            </w: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目前任职</w:t>
            </w:r>
          </w:p>
          <w:p>
            <w:pPr>
              <w:jc w:val="center"/>
              <w:rPr>
                <w:rFonts w:ascii="宋体" w:hAnsi="宋体"/>
                <w:color w:val="auto"/>
                <w:szCs w:val="21"/>
                <w:highlight w:val="none"/>
              </w:rPr>
            </w:pPr>
            <w:r>
              <w:rPr>
                <w:rFonts w:hint="eastAsia" w:ascii="宋体" w:hAnsi="宋体"/>
                <w:color w:val="auto"/>
                <w:szCs w:val="21"/>
                <w:highlight w:val="none"/>
              </w:rPr>
              <w:t>项目状况</w:t>
            </w: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担任职位</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可以调离日期</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8285" w:type="dxa"/>
            <w:gridSpan w:val="7"/>
            <w:vAlign w:val="center"/>
          </w:tcPr>
          <w:p>
            <w:pPr>
              <w:jc w:val="center"/>
              <w:rPr>
                <w:rFonts w:ascii="宋体" w:hAnsi="宋体"/>
                <w:color w:val="auto"/>
                <w:szCs w:val="21"/>
                <w:highlight w:val="none"/>
              </w:rPr>
            </w:pPr>
          </w:p>
        </w:tc>
      </w:tr>
    </w:tbl>
    <w:p>
      <w:pPr>
        <w:ind w:left="735" w:hanging="735" w:hangingChars="350"/>
        <w:rPr>
          <w:rFonts w:ascii="宋体" w:hAnsi="宋体"/>
          <w:color w:val="auto"/>
          <w:szCs w:val="21"/>
          <w:highlight w:val="none"/>
        </w:rPr>
      </w:pPr>
      <w:r>
        <w:rPr>
          <w:rFonts w:hint="eastAsia" w:ascii="宋体" w:hAnsi="宋体"/>
          <w:color w:val="auto"/>
          <w:szCs w:val="21"/>
          <w:highlight w:val="none"/>
        </w:rPr>
        <w:t>注：1、本表后项目经理和项目总工的身份证、职称资格证书以及资格预审条件所要求其他相关证书（如建造师注册证书、安全生产考核合格证书等）的复印件，并应提供其担任类似项目的项目经理和项目总工的相关业绩证明材料复印件。</w:t>
      </w:r>
    </w:p>
    <w:p>
      <w:pPr>
        <w:ind w:left="105" w:firstLine="315"/>
        <w:rPr>
          <w:rFonts w:ascii="宋体" w:hAnsi="宋体"/>
          <w:color w:val="auto"/>
          <w:szCs w:val="21"/>
          <w:highlight w:val="none"/>
        </w:rPr>
      </w:pPr>
      <w:r>
        <w:rPr>
          <w:rFonts w:hint="eastAsia" w:ascii="宋体" w:hAnsi="宋体"/>
          <w:color w:val="auto"/>
          <w:szCs w:val="21"/>
          <w:highlight w:val="none"/>
        </w:rPr>
        <w:t>2、目前未在具体项目上任职的，请在备注栏说明现在负责的工作内容。</w:t>
      </w:r>
      <w:bookmarkStart w:id="285" w:name="_Toc234382981"/>
      <w:bookmarkStart w:id="286" w:name="_Toc193904176"/>
      <w:bookmarkStart w:id="287" w:name="_Toc234242180"/>
    </w:p>
    <w:p>
      <w:pPr>
        <w:ind w:left="105" w:firstLine="315"/>
        <w:jc w:val="center"/>
        <w:rPr>
          <w:rFonts w:ascii="宋体" w:hAnsi="宋体"/>
          <w:color w:val="auto"/>
          <w:szCs w:val="21"/>
          <w:highlight w:val="none"/>
        </w:rPr>
      </w:pPr>
      <w:r>
        <w:rPr>
          <w:rFonts w:hint="eastAsia" w:ascii="黑体" w:hAnsi="宋体" w:eastAsia="黑体"/>
          <w:color w:val="auto"/>
          <w:sz w:val="28"/>
          <w:szCs w:val="28"/>
          <w:highlight w:val="none"/>
        </w:rPr>
        <w:br w:type="page"/>
      </w:r>
      <w:bookmarkStart w:id="288" w:name="_Toc485889076"/>
      <w:r>
        <w:rPr>
          <w:rFonts w:hint="eastAsia" w:ascii="黑体" w:hAnsi="宋体" w:eastAsia="黑体"/>
          <w:b/>
          <w:bCs/>
          <w:color w:val="auto"/>
          <w:kern w:val="44"/>
          <w:sz w:val="28"/>
          <w:szCs w:val="28"/>
          <w:highlight w:val="none"/>
        </w:rPr>
        <w:t>（四）近年财务状况表</w:t>
      </w:r>
      <w:bookmarkEnd w:id="285"/>
      <w:bookmarkEnd w:id="286"/>
      <w:bookmarkEnd w:id="287"/>
      <w:bookmarkEnd w:id="288"/>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auto"/>
                <w:szCs w:val="21"/>
                <w:highlight w:val="none"/>
              </w:rPr>
            </w:pPr>
            <w:r>
              <w:rPr>
                <w:rFonts w:hint="eastAsia" w:ascii="宋体" w:hAnsi="宋体"/>
                <w:color w:val="auto"/>
                <w:szCs w:val="21"/>
                <w:highlight w:val="none"/>
              </w:rPr>
              <w:t>项目或指标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58"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990" w:type="dxa"/>
            <w:vAlign w:val="center"/>
          </w:tcPr>
          <w:p>
            <w:pPr>
              <w:jc w:val="center"/>
              <w:rPr>
                <w:rFonts w:ascii="宋体" w:hAnsi="宋体"/>
                <w:color w:val="auto"/>
                <w:szCs w:val="21"/>
                <w:highlight w:val="none"/>
              </w:rPr>
            </w:pP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1．净资产收益率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2．总资产报酬</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3．主营业务利润率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4．资产负债率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5、流动比率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6、速动比率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p>
    <w:p>
      <w:pPr>
        <w:jc w:val="center"/>
        <w:rPr>
          <w:rFonts w:ascii="隶书" w:eastAsia="隶书"/>
          <w:color w:val="auto"/>
          <w:sz w:val="24"/>
          <w:highlight w:val="none"/>
        </w:rPr>
      </w:pPr>
    </w:p>
    <w:p>
      <w:pPr>
        <w:jc w:val="center"/>
        <w:rPr>
          <w:rFonts w:ascii="隶书" w:eastAsia="隶书"/>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289" w:name="_Toc234242181"/>
      <w:bookmarkStart w:id="290" w:name="_Toc486277942"/>
      <w:bookmarkStart w:id="291" w:name="_Toc234382982"/>
      <w:bookmarkStart w:id="292" w:name="_Toc30568"/>
      <w:bookmarkStart w:id="293" w:name="_Toc485889077"/>
      <w:r>
        <w:rPr>
          <w:rFonts w:hint="eastAsia" w:ascii="黑体" w:hAnsi="宋体" w:eastAsia="黑体"/>
          <w:color w:val="auto"/>
          <w:sz w:val="28"/>
          <w:szCs w:val="28"/>
          <w:highlight w:val="none"/>
        </w:rPr>
        <w:t>（五）近年完成的类似项目汇总表</w:t>
      </w:r>
      <w:bookmarkEnd w:id="289"/>
      <w:bookmarkEnd w:id="290"/>
      <w:bookmarkEnd w:id="291"/>
      <w:bookmarkEnd w:id="292"/>
      <w:bookmarkEnd w:id="293"/>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注：1.本汇总表必须与近年（自2014年1月1日以来）完成的类似项目情况表中的内容相对应。</w:t>
      </w:r>
    </w:p>
    <w:p>
      <w:pPr>
        <w:rPr>
          <w:rFonts w:hint="eastAsia" w:ascii="宋体" w:hAnsi="宋体"/>
          <w:color w:val="auto"/>
          <w:szCs w:val="21"/>
          <w:highlight w:val="none"/>
        </w:rPr>
      </w:pPr>
      <w:r>
        <w:rPr>
          <w:rFonts w:hint="eastAsia" w:ascii="宋体" w:hAnsi="宋体"/>
          <w:color w:val="auto"/>
          <w:szCs w:val="21"/>
          <w:highlight w:val="none"/>
        </w:rPr>
        <w:t>2.当本表内容与所附证据材料不一致时，应以所附证据材料为准。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4"/>
        <w:spacing w:beforeLines="100" w:afterLines="100" w:line="360" w:lineRule="exact"/>
        <w:jc w:val="center"/>
        <w:rPr>
          <w:rFonts w:ascii="黑体" w:hAnsi="宋体" w:eastAsia="黑体"/>
          <w:color w:val="auto"/>
          <w:sz w:val="28"/>
          <w:szCs w:val="28"/>
          <w:highlight w:val="none"/>
        </w:rPr>
      </w:pPr>
      <w:bookmarkStart w:id="294" w:name="_Toc234242182"/>
      <w:bookmarkStart w:id="295" w:name="_Toc193904177"/>
      <w:bookmarkStart w:id="296" w:name="_Toc234382983"/>
      <w:bookmarkStart w:id="297" w:name="_Toc486277943"/>
      <w:bookmarkStart w:id="298" w:name="_Toc7313"/>
      <w:bookmarkStart w:id="299" w:name="_Toc485889078"/>
      <w:r>
        <w:rPr>
          <w:rFonts w:hint="eastAsia" w:ascii="黑体" w:hAnsi="宋体" w:eastAsia="黑体"/>
          <w:color w:val="auto"/>
          <w:sz w:val="28"/>
          <w:szCs w:val="28"/>
          <w:highlight w:val="none"/>
        </w:rPr>
        <w:t>（六）正在施工和新承接的项目情况表</w:t>
      </w:r>
      <w:bookmarkEnd w:id="294"/>
      <w:bookmarkEnd w:id="295"/>
      <w:bookmarkEnd w:id="296"/>
      <w:bookmarkEnd w:id="297"/>
      <w:bookmarkEnd w:id="298"/>
      <w:bookmarkEnd w:id="299"/>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计划交工日期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工程质量要求</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autoSpaceDE w:val="0"/>
        <w:autoSpaceDN w:val="0"/>
        <w:adjustRightInd w:val="0"/>
        <w:spacing w:before="4" w:line="100" w:lineRule="exact"/>
        <w:jc w:val="left"/>
        <w:rPr>
          <w:color w:val="auto"/>
          <w:kern w:val="0"/>
          <w:sz w:val="10"/>
          <w:szCs w:val="10"/>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300" w:name="_Toc486277944"/>
      <w:bookmarkStart w:id="301" w:name="_Toc234382984"/>
      <w:bookmarkStart w:id="302" w:name="_Toc485889079"/>
      <w:bookmarkStart w:id="303" w:name="_Toc7381"/>
      <w:r>
        <w:rPr>
          <w:rFonts w:hint="eastAsia" w:ascii="黑体" w:hAnsi="宋体" w:eastAsia="黑体"/>
          <w:color w:val="auto"/>
          <w:sz w:val="28"/>
          <w:szCs w:val="28"/>
          <w:highlight w:val="none"/>
        </w:rPr>
        <w:t>（七）近年发生的诉讼及仲裁情况</w:t>
      </w:r>
      <w:bookmarkEnd w:id="300"/>
      <w:bookmarkEnd w:id="301"/>
      <w:bookmarkEnd w:id="302"/>
      <w:bookmarkEnd w:id="303"/>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4820" w:type="dxa"/>
            <w:vAlign w:val="center"/>
          </w:tcPr>
          <w:p>
            <w:pPr>
              <w:jc w:val="center"/>
              <w:rPr>
                <w:rFonts w:ascii="宋体" w:hAnsi="宋体"/>
                <w:color w:val="auto"/>
                <w:szCs w:val="21"/>
                <w:highlight w:val="none"/>
              </w:rPr>
            </w:pPr>
            <w:r>
              <w:rPr>
                <w:rFonts w:hint="eastAsia" w:ascii="宋体" w:hAnsi="宋体"/>
                <w:color w:val="auto"/>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七、主要进场管理人员和技术人员最低要求</w:t>
      </w:r>
    </w:p>
    <w:tbl>
      <w:tblPr>
        <w:tblStyle w:val="17"/>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bookmarkStart w:id="304" w:name="_Toc234382989"/>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vAlign w:val="top"/>
          </w:tcPr>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bookmarkEnd w:id="304"/>
    <w:p>
      <w:pPr>
        <w:spacing w:before="120" w:after="120"/>
        <w:jc w:val="center"/>
        <w:rPr>
          <w:rFonts w:ascii="黑体" w:eastAsia="黑体"/>
          <w:b/>
          <w:bCs/>
          <w:color w:val="auto"/>
          <w:kern w:val="44"/>
          <w:sz w:val="30"/>
          <w:szCs w:val="30"/>
          <w:highlight w:val="none"/>
        </w:rPr>
      </w:pPr>
      <w:bookmarkStart w:id="305" w:name="_Toc234382990"/>
      <w:r>
        <w:rPr>
          <w:rFonts w:hint="eastAsia" w:ascii="黑体" w:eastAsia="黑体"/>
          <w:b/>
          <w:bCs/>
          <w:color w:val="auto"/>
          <w:kern w:val="44"/>
          <w:sz w:val="30"/>
          <w:szCs w:val="30"/>
          <w:highlight w:val="none"/>
          <w:lang w:eastAsia="zh-CN"/>
        </w:rPr>
        <w:t>八</w:t>
      </w:r>
      <w:r>
        <w:rPr>
          <w:rFonts w:hint="eastAsia" w:ascii="黑体" w:eastAsia="黑体"/>
          <w:b/>
          <w:bCs/>
          <w:color w:val="auto"/>
          <w:kern w:val="44"/>
          <w:sz w:val="30"/>
          <w:szCs w:val="30"/>
          <w:highlight w:val="none"/>
        </w:rPr>
        <w:t>、</w:t>
      </w:r>
      <w:r>
        <w:rPr>
          <w:rFonts w:ascii="黑体" w:eastAsia="黑体"/>
          <w:b/>
          <w:bCs/>
          <w:color w:val="auto"/>
          <w:kern w:val="44"/>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 xml:space="preserve"> 承 诺 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pStyle w:val="4"/>
        <w:spacing w:beforeLines="100" w:afterLines="150" w:line="360" w:lineRule="exact"/>
        <w:jc w:val="center"/>
        <w:rPr>
          <w:rFonts w:ascii="黑体" w:eastAsia="黑体"/>
          <w:color w:val="auto"/>
          <w:sz w:val="30"/>
          <w:szCs w:val="30"/>
          <w:highlight w:val="none"/>
        </w:rPr>
      </w:pPr>
      <w:bookmarkStart w:id="306" w:name="_Toc18302"/>
      <w:bookmarkStart w:id="307" w:name="_Toc485889080"/>
      <w:bookmarkStart w:id="308" w:name="_Toc486277945"/>
      <w:r>
        <w:rPr>
          <w:rFonts w:hint="eastAsia" w:ascii="黑体" w:eastAsia="黑体"/>
          <w:color w:val="auto"/>
          <w:sz w:val="30"/>
          <w:szCs w:val="30"/>
          <w:highlight w:val="none"/>
          <w:lang w:eastAsia="zh-CN"/>
        </w:rPr>
        <w:t>九</w:t>
      </w:r>
      <w:r>
        <w:rPr>
          <w:rFonts w:hint="eastAsia" w:ascii="黑体" w:eastAsia="黑体"/>
          <w:color w:val="auto"/>
          <w:sz w:val="30"/>
          <w:szCs w:val="30"/>
          <w:highlight w:val="none"/>
        </w:rPr>
        <w:t>、扬尘治理专项承诺书</w:t>
      </w:r>
      <w:bookmarkEnd w:id="306"/>
      <w:bookmarkEnd w:id="307"/>
      <w:bookmarkEnd w:id="308"/>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30"/>
          <w:szCs w:val="30"/>
          <w:highlight w:val="none"/>
        </w:rPr>
      </w:pPr>
    </w:p>
    <w:p>
      <w:pPr>
        <w:pStyle w:val="4"/>
        <w:spacing w:beforeLines="100" w:afterLines="150" w:line="360" w:lineRule="exact"/>
        <w:jc w:val="center"/>
        <w:rPr>
          <w:rFonts w:ascii="黑体" w:hAnsi="宋体" w:eastAsia="黑体"/>
          <w:color w:val="auto"/>
          <w:sz w:val="30"/>
          <w:szCs w:val="30"/>
          <w:highlight w:val="none"/>
        </w:rPr>
      </w:pPr>
      <w:bookmarkStart w:id="309" w:name="_Toc5401"/>
      <w:bookmarkStart w:id="310" w:name="_Toc485889081"/>
      <w:bookmarkStart w:id="311" w:name="_Toc486277946"/>
      <w:r>
        <w:rPr>
          <w:rFonts w:hint="eastAsia" w:ascii="黑体" w:hAnsi="宋体" w:eastAsia="黑体"/>
          <w:color w:val="auto"/>
          <w:sz w:val="30"/>
          <w:szCs w:val="30"/>
          <w:highlight w:val="none"/>
        </w:rPr>
        <w:t>十、其 他 材 料</w:t>
      </w:r>
      <w:bookmarkEnd w:id="305"/>
      <w:bookmarkEnd w:id="309"/>
      <w:bookmarkEnd w:id="310"/>
      <w:bookmarkEnd w:id="311"/>
    </w:p>
    <w:p>
      <w:pPr>
        <w:rPr>
          <w:color w:val="auto"/>
          <w:highlight w:val="none"/>
        </w:rPr>
      </w:pPr>
    </w:p>
    <w:p>
      <w:pPr>
        <w:rPr>
          <w:color w:val="auto"/>
          <w:highlight w:val="none"/>
        </w:rPr>
      </w:pPr>
    </w:p>
    <w:p>
      <w:pPr>
        <w:pStyle w:val="4"/>
        <w:spacing w:beforeLines="100" w:afterLines="150" w:line="360" w:lineRule="exact"/>
        <w:jc w:val="center"/>
        <w:rPr>
          <w:color w:val="auto"/>
          <w:highlight w:val="none"/>
        </w:rPr>
      </w:pPr>
    </w:p>
    <w:p>
      <w:pPr>
        <w:pStyle w:val="4"/>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jc w:val="center"/>
        <w:rPr>
          <w:rFonts w:hint="eastAsia" w:ascii="黑体" w:hAnsi="华文中宋" w:eastAsia="黑体"/>
          <w:b w:val="0"/>
          <w:bCs/>
          <w:color w:val="auto"/>
          <w:sz w:val="36"/>
          <w:szCs w:val="36"/>
          <w:highlight w:val="none"/>
          <w:lang w:eastAsia="zh-CN"/>
        </w:rPr>
      </w:pP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 xml:space="preserve"> </w:t>
      </w:r>
      <w:r>
        <w:rPr>
          <w:rFonts w:hint="eastAsia" w:ascii="黑体" w:hAnsi="宋体" w:eastAsia="黑体"/>
          <w:b w:val="0"/>
          <w:bCs/>
          <w:color w:val="auto"/>
          <w:sz w:val="52"/>
          <w:szCs w:val="52"/>
          <w:highlight w:val="none"/>
          <w:lang w:eastAsia="zh-CN"/>
        </w:rPr>
        <w:t>项目</w:t>
      </w:r>
      <w:r>
        <w:rPr>
          <w:rFonts w:hint="eastAsia" w:ascii="黑体" w:hAnsi="宋体" w:eastAsia="黑体"/>
          <w:b w:val="0"/>
          <w:bCs/>
          <w:color w:val="auto"/>
          <w:sz w:val="52"/>
          <w:szCs w:val="52"/>
          <w:highlight w:val="none"/>
          <w:u w:val="single"/>
          <w:lang w:val="en-US" w:eastAsia="zh-CN"/>
        </w:rPr>
        <w:t xml:space="preserve">   </w:t>
      </w:r>
      <w:r>
        <w:rPr>
          <w:rFonts w:hint="eastAsia" w:ascii="黑体" w:hAnsi="宋体" w:eastAsia="黑体"/>
          <w:b w:val="0"/>
          <w:bCs/>
          <w:color w:val="auto"/>
          <w:sz w:val="52"/>
          <w:szCs w:val="52"/>
          <w:highlight w:val="none"/>
          <w:lang w:val="en-US" w:eastAsia="zh-CN"/>
        </w:rPr>
        <w:t>标段</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w:t>
      </w:r>
      <w:r>
        <w:rPr>
          <w:rFonts w:hint="eastAsia" w:ascii="黑体" w:hAnsi="华文中宋" w:eastAsia="黑体"/>
          <w:color w:val="auto"/>
          <w:sz w:val="36"/>
          <w:szCs w:val="36"/>
          <w:highlight w:val="none"/>
          <w:lang w:val="en-US" w:eastAsia="zh-CN"/>
        </w:rPr>
        <w:t>9</w:t>
      </w:r>
      <w:r>
        <w:rPr>
          <w:rFonts w:hint="eastAsia" w:ascii="黑体" w:hAnsi="华文中宋" w:eastAsia="黑体"/>
          <w:color w:val="auto"/>
          <w:sz w:val="36"/>
          <w:szCs w:val="36"/>
          <w:highlight w:val="none"/>
          <w:lang w:eastAsia="zh-CN"/>
        </w:rPr>
        <w:t>〕</w:t>
      </w:r>
      <w:r>
        <w:rPr>
          <w:rFonts w:hint="eastAsia" w:ascii="黑体" w:hAnsi="华文中宋" w:eastAsia="黑体"/>
          <w:color w:val="auto"/>
          <w:sz w:val="36"/>
          <w:szCs w:val="36"/>
          <w:highlight w:val="none"/>
          <w:lang w:val="en-US" w:eastAsia="zh-CN"/>
        </w:rPr>
        <w:t xml:space="preserve">   </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（投标报价及工程量清单）</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宋体" w:hAnsi="宋体" w:eastAsia="宋体"/>
          <w:color w:val="auto"/>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目 录</w:t>
      </w:r>
    </w:p>
    <w:p>
      <w:pPr>
        <w:spacing w:line="360" w:lineRule="auto"/>
        <w:jc w:val="center"/>
        <w:rPr>
          <w:rFonts w:ascii="宋体" w:hAnsi="宋体" w:eastAsia="宋体"/>
          <w:b/>
          <w:color w:val="auto"/>
          <w:sz w:val="32"/>
          <w:szCs w:val="32"/>
          <w:highlight w:val="none"/>
        </w:rPr>
      </w:pP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一、投标函</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二、已标价工程量清单</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三、拟分包项目情况表</w:t>
      </w:r>
    </w:p>
    <w:p>
      <w:pPr>
        <w:spacing w:line="360" w:lineRule="auto"/>
        <w:jc w:val="left"/>
        <w:rPr>
          <w:rFonts w:ascii="宋体" w:hAnsi="宋体" w:eastAsia="宋体"/>
          <w:color w:val="auto"/>
          <w:sz w:val="28"/>
          <w:szCs w:val="28"/>
          <w:highlight w:val="none"/>
        </w:rPr>
      </w:pPr>
      <w:r>
        <w:rPr>
          <w:rFonts w:hint="eastAsia" w:ascii="宋体" w:hAnsi="宋体" w:eastAsia="宋体"/>
          <w:color w:val="auto"/>
          <w:sz w:val="28"/>
          <w:szCs w:val="28"/>
          <w:highlight w:val="none"/>
        </w:rPr>
        <w:t>四、合同用款估算表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一、投标函</w:t>
      </w:r>
    </w:p>
    <w:p>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投 标 函</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_________________________(招标人名称)：</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1．我方已仔细研究________________(项目名称)施工招标文件的全部内容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宋体" w:hAnsi="宋体" w:eastAsia="宋体"/>
          <w:color w:val="auto"/>
          <w:sz w:val="24"/>
          <w:highlight w:val="none"/>
        </w:rPr>
        <w:t>，在考察工程现场后，愿意以人民币(大写)________元(¥________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3．__________________________________(其他补充说明)。</w:t>
      </w:r>
    </w:p>
    <w:p>
      <w:pPr>
        <w:spacing w:line="360" w:lineRule="auto"/>
        <w:ind w:firstLine="480" w:firstLineChars="200"/>
        <w:jc w:val="left"/>
        <w:rPr>
          <w:rFonts w:ascii="宋体" w:hAnsi="宋体" w:eastAsia="宋体"/>
          <w:color w:val="auto"/>
          <w:sz w:val="24"/>
          <w:highlight w:val="none"/>
        </w:rPr>
      </w:pPr>
    </w:p>
    <w:p>
      <w:pPr>
        <w:spacing w:line="360" w:lineRule="auto"/>
        <w:ind w:firstLine="480" w:firstLineChars="200"/>
        <w:jc w:val="left"/>
        <w:rPr>
          <w:rFonts w:ascii="宋体" w:hAnsi="宋体" w:eastAsia="宋体"/>
          <w:color w:val="auto"/>
          <w:sz w:val="24"/>
          <w:highlight w:val="none"/>
        </w:rPr>
      </w:pP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投 标 人：___________________(盖单位章)</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法定代表人或其委托代理人:____________(签字)</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地址：________________________________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网址：________________________________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电话：________________________________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传真：________________________________</w:t>
      </w:r>
    </w:p>
    <w:p>
      <w:pPr>
        <w:spacing w:line="360" w:lineRule="auto"/>
        <w:ind w:left="3543" w:leftChars="1687"/>
        <w:jc w:val="left"/>
        <w:rPr>
          <w:rFonts w:ascii="宋体" w:hAnsi="宋体" w:eastAsia="宋体"/>
          <w:color w:val="auto"/>
          <w:sz w:val="24"/>
          <w:highlight w:val="none"/>
        </w:rPr>
      </w:pPr>
      <w:r>
        <w:rPr>
          <w:rFonts w:hint="eastAsia" w:ascii="宋体" w:hAnsi="宋体" w:eastAsia="宋体"/>
          <w:color w:val="auto"/>
          <w:sz w:val="24"/>
          <w:highlight w:val="none"/>
        </w:rPr>
        <w:t>邮政编码：____________________________</w:t>
      </w:r>
    </w:p>
    <w:p>
      <w:pPr>
        <w:spacing w:line="360" w:lineRule="auto"/>
        <w:ind w:left="3543" w:leftChars="1687"/>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r>
        <w:rPr>
          <w:rFonts w:hint="eastAsia" w:ascii="宋体" w:hAnsi="宋体" w:eastAsia="宋体"/>
          <w:color w:val="auto"/>
          <w:sz w:val="24"/>
          <w:highlight w:val="none"/>
        </w:rPr>
        <w:t>________年______月_______日</w:t>
      </w:r>
    </w:p>
    <w:p>
      <w:pPr>
        <w:spacing w:line="360" w:lineRule="auto"/>
        <w:ind w:left="1"/>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jc w:val="left"/>
        <w:rPr>
          <w:rFonts w:ascii="宋体" w:hAnsi="宋体" w:eastAsia="宋体"/>
          <w:color w:val="auto"/>
          <w:sz w:val="24"/>
          <w:highlight w:val="none"/>
        </w:rPr>
      </w:pPr>
    </w:p>
    <w:p>
      <w:pPr>
        <w:spacing w:line="360" w:lineRule="auto"/>
        <w:ind w:left="1"/>
        <w:jc w:val="left"/>
        <w:rPr>
          <w:rFonts w:ascii="宋体" w:hAnsi="宋体" w:eastAsia="宋体"/>
          <w:color w:val="auto"/>
          <w:sz w:val="24"/>
          <w:highlight w:val="none"/>
        </w:rPr>
      </w:pPr>
    </w:p>
    <w:p>
      <w:pPr>
        <w:spacing w:line="360" w:lineRule="auto"/>
        <w:ind w:left="3543" w:leftChars="1687" w:firstLine="720" w:firstLineChars="300"/>
        <w:jc w:val="left"/>
        <w:rPr>
          <w:rFonts w:ascii="宋体" w:hAnsi="宋体" w:eastAsia="宋体"/>
          <w:color w:val="auto"/>
          <w:sz w:val="24"/>
          <w:highlight w:val="none"/>
        </w:rPr>
      </w:pP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二、已标价工程量清单</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投标人应按照第五章“工程量清单”的要求逐项填报工程量清单，包括工程量清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单说明、投标报价说明、计日工说明、其他说明及工程量清单各项表格（工程量清</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单表 5.1～表 5.5）</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both"/>
        <w:rPr>
          <w:rFonts w:ascii="宋体" w:hAnsi="宋体" w:eastAsia="宋体"/>
          <w:b/>
          <w:color w:val="auto"/>
          <w:sz w:val="32"/>
          <w:szCs w:val="32"/>
          <w:highlight w:val="none"/>
        </w:rPr>
      </w:pPr>
    </w:p>
    <w:p>
      <w:pPr>
        <w:pageBreakBefore/>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三、拟分包项目情况表</w:t>
      </w:r>
    </w:p>
    <w:p>
      <w:pPr>
        <w:rPr>
          <w:rFonts w:ascii="宋体" w:hAnsi="宋体" w:cs="宋体"/>
          <w:color w:val="auto"/>
          <w:highlight w:val="none"/>
        </w:rPr>
      </w:pPr>
    </w:p>
    <w:tbl>
      <w:tblPr>
        <w:tblStyle w:val="17"/>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分包人名称</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拟分包的工程项目</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预计造价（万元）</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Merge w:val="restart"/>
            <w:vAlign w:val="top"/>
          </w:tcPr>
          <w:p>
            <w:pPr>
              <w:ind w:firstLine="210" w:firstLineChars="100"/>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1.本栏应写明分包人以往做过的类似工程，包括工程名称、地点、造价、工期、交工年份和其发包人与总监理工程师的姓名和地址。</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分包值合计（万元）</w:t>
            </w: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bl>
    <w:p>
      <w:pPr>
        <w:pStyle w:val="4"/>
        <w:spacing w:beforeLines="50" w:after="240" w:line="400" w:lineRule="exact"/>
        <w:jc w:val="both"/>
        <w:rPr>
          <w:rFonts w:hint="eastAsia" w:ascii="宋体" w:hAnsi="宋体" w:eastAsia="宋体"/>
          <w:color w:val="auto"/>
          <w:kern w:val="2"/>
          <w:sz w:val="32"/>
          <w:szCs w:val="28"/>
          <w:highlight w:val="none"/>
        </w:rPr>
      </w:pPr>
      <w:bookmarkStart w:id="312" w:name="_Toc234382973"/>
      <w:bookmarkStart w:id="313" w:name="_Toc486277947"/>
      <w:bookmarkStart w:id="314" w:name="_Toc485889069"/>
      <w:bookmarkStart w:id="315" w:name="_Toc5044"/>
    </w:p>
    <w:p>
      <w:pPr>
        <w:pStyle w:val="4"/>
        <w:spacing w:beforeLines="50" w:after="240" w:line="400" w:lineRule="exact"/>
        <w:ind w:firstLine="2570" w:firstLineChars="800"/>
        <w:jc w:val="both"/>
        <w:rPr>
          <w:rFonts w:ascii="宋体" w:hAnsi="宋体" w:eastAsia="宋体"/>
          <w:color w:val="auto"/>
          <w:kern w:val="2"/>
          <w:sz w:val="32"/>
          <w:szCs w:val="28"/>
          <w:highlight w:val="none"/>
        </w:rPr>
      </w:pPr>
      <w:r>
        <w:rPr>
          <w:rFonts w:hint="eastAsia" w:ascii="宋体" w:hAnsi="宋体" w:eastAsia="宋体"/>
          <w:color w:val="auto"/>
          <w:kern w:val="2"/>
          <w:sz w:val="32"/>
          <w:szCs w:val="28"/>
          <w:highlight w:val="none"/>
        </w:rPr>
        <w:t>四、合同用款估算表</w:t>
      </w:r>
      <w:bookmarkEnd w:id="312"/>
      <w:bookmarkEnd w:id="313"/>
      <w:bookmarkEnd w:id="314"/>
      <w:bookmarkEnd w:id="315"/>
    </w:p>
    <w:tbl>
      <w:tblPr>
        <w:tblStyle w:val="17"/>
        <w:tblpPr w:leftFromText="180" w:rightFromText="180" w:vertAnchor="text" w:horzAnchor="margin" w:tblpXSpec="left"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3462"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color w:val="auto"/>
                <w:szCs w:val="21"/>
                <w:highlight w:val="none"/>
              </w:rPr>
            </w:pPr>
            <w:r>
              <w:rPr>
                <w:rFonts w:hint="eastAsia" w:ascii="宋体" w:hAnsi="宋体"/>
                <w:color w:val="auto"/>
                <w:szCs w:val="21"/>
                <w:highlight w:val="none"/>
              </w:rPr>
              <w:t>说</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隶书" w:hAnsi="宋体" w:eastAsia="隶书"/>
          <w:color w:val="auto"/>
          <w:sz w:val="24"/>
          <w:highlight w:val="none"/>
        </w:rPr>
      </w:pPr>
    </w:p>
    <w:p>
      <w:pPr>
        <w:rPr>
          <w:rFonts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spacing w:line="360" w:lineRule="auto"/>
        <w:rPr>
          <w:color w:val="auto"/>
          <w:highlight w:val="none"/>
        </w:rPr>
      </w:pPr>
    </w:p>
    <w:p>
      <w:pPr>
        <w:spacing w:line="360" w:lineRule="auto"/>
        <w:rPr>
          <w:color w:val="auto"/>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316" w:name="_Toc12556"/>
      <w:r>
        <w:rPr>
          <w:rFonts w:hint="eastAsia" w:ascii="黑体" w:eastAsia="黑体"/>
          <w:bCs/>
          <w:color w:val="auto"/>
          <w:sz w:val="44"/>
          <w:szCs w:val="44"/>
          <w:highlight w:val="none"/>
        </w:rPr>
        <w:t>第九章 投标人须知前附表规定的其他材料</w:t>
      </w:r>
      <w:bookmarkEnd w:id="316"/>
    </w:p>
    <w:p>
      <w:pPr>
        <w:rPr>
          <w:color w:val="auto"/>
          <w:highlight w:val="none"/>
        </w:rPr>
      </w:pP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20"/>
      </w:rPr>
    </w:pPr>
  </w:p>
  <w:p>
    <w:pPr>
      <w:pStyle w:val="7"/>
      <w:ind w:right="360"/>
      <w:jc w:val="both"/>
    </w:pPr>
    <w:r>
      <w:rPr>
        <w:rFonts w:hint="eastAsia"/>
      </w:rPr>
      <w:t xml:space="preserve">                                                       </w:t>
    </w:r>
  </w:p>
  <w:p>
    <w:pPr>
      <w:pStyle w:val="7"/>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20"/>
      </w:rPr>
    </w:pPr>
    <w:r>
      <w:rPr>
        <w:rFonts w:ascii="Times New Roman" w:hAnsi="Times New Roman" w:eastAsia="宋体" w:cs="Times New Roman"/>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p>
    <w:pPr>
      <w:pStyle w:val="7"/>
      <w:ind w:right="360"/>
      <w:jc w:val="both"/>
    </w:pPr>
    <w:r>
      <w:rPr>
        <w:rFonts w:hint="eastAsia"/>
      </w:rPr>
      <w:t xml:space="preserve">                                                       </w:t>
    </w:r>
  </w:p>
  <w:p>
    <w:pPr>
      <w:pStyle w:val="7"/>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6"/>
        </w:rPr>
        <w:footnoteRef/>
      </w:r>
      <w:r>
        <w:t xml:space="preserve"> </w:t>
      </w:r>
      <w:r>
        <w:rPr>
          <w:rFonts w:hint="eastAsia"/>
        </w:rPr>
        <w:t>若投标函中的投标价大小写金额不一致，应以大写金额为准。</w:t>
      </w:r>
    </w:p>
  </w:footnote>
  <w:footnote w:id="1">
    <w:p>
      <w:pPr>
        <w:pStyle w:val="10"/>
      </w:pPr>
      <w:r>
        <w:rPr>
          <w:rStyle w:val="16"/>
        </w:rPr>
        <w:footnoteRef/>
      </w:r>
      <w:r>
        <w:rPr>
          <w:rFonts w:hint="eastAsia" w:ascii="宋体" w:hAnsi="宋体"/>
          <w:sz w:val="15"/>
          <w:szCs w:val="15"/>
        </w:rPr>
        <w:t xml:space="preserve"> 指主要材料，一般应为70％-75%，最低不少于60％。</w:t>
      </w:r>
    </w:p>
  </w:footnote>
  <w:footnote w:id="2">
    <w:p>
      <w:pPr>
        <w:pStyle w:val="10"/>
      </w:pPr>
      <w:r>
        <w:rPr>
          <w:rStyle w:val="16"/>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u w:val="single"/>
      </w:rPr>
    </w:pPr>
    <w:r>
      <w:rPr>
        <w:rFonts w:hint="eastAsia" w:ascii="仿宋" w:hAnsi="仿宋" w:eastAsia="仿宋" w:cs="仿宋"/>
        <w:b/>
        <w:bCs/>
        <w:sz w:val="21"/>
        <w:szCs w:val="21"/>
        <w:u w:val="single"/>
        <w:lang w:val="en-US" w:eastAsia="zh-CN"/>
      </w:rPr>
      <w:t xml:space="preserve">许昌市建安区县道X007线小召至陈曹界段大修工程        </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u w:val="single"/>
        <w:lang w:val="en-US" w:eastAsia="zh-CN"/>
      </w:rPr>
      <w:t xml:space="preserve">    </w:t>
    </w:r>
    <w:r>
      <w:rPr>
        <w:rFonts w:hint="eastAsia" w:ascii="仿宋" w:hAnsi="仿宋" w:eastAsia="仿宋" w:cs="仿宋"/>
        <w:b/>
        <w:bCs/>
        <w:sz w:val="21"/>
        <w:szCs w:val="21"/>
        <w:u w:val="single"/>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3"/>
      <w:numFmt w:val="chineseCounting"/>
      <w:suff w:val="space"/>
      <w:lvlText w:val="第%1章"/>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9C89929"/>
    <w:multiLevelType w:val="singleLevel"/>
    <w:tmpl w:val="09C89929"/>
    <w:lvl w:ilvl="0" w:tentative="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AC2868"/>
    <w:rsid w:val="00B3455B"/>
    <w:rsid w:val="018E70BD"/>
    <w:rsid w:val="0229377B"/>
    <w:rsid w:val="0271799F"/>
    <w:rsid w:val="032B2AA0"/>
    <w:rsid w:val="05D34285"/>
    <w:rsid w:val="07166FD9"/>
    <w:rsid w:val="076B1037"/>
    <w:rsid w:val="076F2B95"/>
    <w:rsid w:val="08616A01"/>
    <w:rsid w:val="0A0E2699"/>
    <w:rsid w:val="0B790FD2"/>
    <w:rsid w:val="0CB44842"/>
    <w:rsid w:val="0CEE06A1"/>
    <w:rsid w:val="0E012298"/>
    <w:rsid w:val="0F41338C"/>
    <w:rsid w:val="10A60FA7"/>
    <w:rsid w:val="10C71133"/>
    <w:rsid w:val="1223561C"/>
    <w:rsid w:val="13BB6A45"/>
    <w:rsid w:val="152B1E65"/>
    <w:rsid w:val="15850763"/>
    <w:rsid w:val="160427B0"/>
    <w:rsid w:val="1744206A"/>
    <w:rsid w:val="1BA305DE"/>
    <w:rsid w:val="1D3E691A"/>
    <w:rsid w:val="1DBB258E"/>
    <w:rsid w:val="1DEE19DD"/>
    <w:rsid w:val="1F5E15B0"/>
    <w:rsid w:val="1F790BAC"/>
    <w:rsid w:val="1F7D1ADA"/>
    <w:rsid w:val="212669EE"/>
    <w:rsid w:val="222B0425"/>
    <w:rsid w:val="22822A94"/>
    <w:rsid w:val="2AFD4DDF"/>
    <w:rsid w:val="2C5A2FE4"/>
    <w:rsid w:val="2E61046A"/>
    <w:rsid w:val="2F4477FF"/>
    <w:rsid w:val="2FF17511"/>
    <w:rsid w:val="335C72AB"/>
    <w:rsid w:val="33807E8C"/>
    <w:rsid w:val="34DD2533"/>
    <w:rsid w:val="352912AE"/>
    <w:rsid w:val="352A27AE"/>
    <w:rsid w:val="36B7759B"/>
    <w:rsid w:val="36D95C0D"/>
    <w:rsid w:val="37C82798"/>
    <w:rsid w:val="38352729"/>
    <w:rsid w:val="391C6C99"/>
    <w:rsid w:val="3ADA208B"/>
    <w:rsid w:val="3BF56589"/>
    <w:rsid w:val="3CE7428B"/>
    <w:rsid w:val="3E164169"/>
    <w:rsid w:val="4198671F"/>
    <w:rsid w:val="4278268E"/>
    <w:rsid w:val="42CE1E8B"/>
    <w:rsid w:val="43F26642"/>
    <w:rsid w:val="446D17F9"/>
    <w:rsid w:val="44776A41"/>
    <w:rsid w:val="464B57C6"/>
    <w:rsid w:val="47A30CFF"/>
    <w:rsid w:val="47FD2319"/>
    <w:rsid w:val="49C37696"/>
    <w:rsid w:val="4A9243E8"/>
    <w:rsid w:val="4B2479F0"/>
    <w:rsid w:val="4B7D49B8"/>
    <w:rsid w:val="4B7F66B3"/>
    <w:rsid w:val="4C165BB5"/>
    <w:rsid w:val="4F575BE2"/>
    <w:rsid w:val="4F8F59C2"/>
    <w:rsid w:val="50487856"/>
    <w:rsid w:val="50E37893"/>
    <w:rsid w:val="546515DC"/>
    <w:rsid w:val="54C41C4B"/>
    <w:rsid w:val="57884C26"/>
    <w:rsid w:val="57B81892"/>
    <w:rsid w:val="592A4009"/>
    <w:rsid w:val="5B7A62B4"/>
    <w:rsid w:val="5B8C7AFA"/>
    <w:rsid w:val="5D01347E"/>
    <w:rsid w:val="5E5E486A"/>
    <w:rsid w:val="5ED638C9"/>
    <w:rsid w:val="61EF3F15"/>
    <w:rsid w:val="62A96217"/>
    <w:rsid w:val="62BF1B22"/>
    <w:rsid w:val="634509A9"/>
    <w:rsid w:val="662A0F42"/>
    <w:rsid w:val="66C54E7C"/>
    <w:rsid w:val="687139A7"/>
    <w:rsid w:val="690B47CB"/>
    <w:rsid w:val="69672F46"/>
    <w:rsid w:val="699C17C4"/>
    <w:rsid w:val="69D76CA2"/>
    <w:rsid w:val="6A842C8F"/>
    <w:rsid w:val="6AF01156"/>
    <w:rsid w:val="6B256AE3"/>
    <w:rsid w:val="6B6F03F6"/>
    <w:rsid w:val="6CC2235A"/>
    <w:rsid w:val="6D6652EF"/>
    <w:rsid w:val="70BC2C51"/>
    <w:rsid w:val="71AF1B8E"/>
    <w:rsid w:val="7354268E"/>
    <w:rsid w:val="73EC63E0"/>
    <w:rsid w:val="75692A3A"/>
    <w:rsid w:val="78437B92"/>
    <w:rsid w:val="7A414B85"/>
    <w:rsid w:val="7A865338"/>
    <w:rsid w:val="7BF10EAE"/>
    <w:rsid w:val="7D537B10"/>
    <w:rsid w:val="7E1B5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kern w:val="2"/>
      <w:sz w:val="28"/>
      <w:szCs w:val="28"/>
      <w:lang w:val="en-US" w:eastAsia="zh-CN" w:bidi="ar-SA"/>
    </w:rPr>
  </w:style>
  <w:style w:type="character" w:default="1" w:styleId="11">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before="100" w:beforeAutospacing="1" w:after="0"/>
      <w:ind w:firstLine="420" w:firstLineChars="100"/>
    </w:pPr>
  </w:style>
  <w:style w:type="paragraph" w:styleId="3">
    <w:name w:val="Body Text"/>
    <w:basedOn w:val="1"/>
    <w:qFormat/>
    <w:uiPriority w:val="0"/>
    <w:pPr>
      <w:jc w:val="center"/>
    </w:pPr>
    <w:rPr>
      <w:sz w:val="7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szCs w:val="20"/>
    </w:rPr>
  </w:style>
  <w:style w:type="paragraph" w:styleId="10">
    <w:name w:val="footnote text"/>
    <w:basedOn w:val="1"/>
    <w:qFormat/>
    <w:uiPriority w:val="0"/>
    <w:pPr>
      <w:snapToGrid w:val="0"/>
      <w:jc w:val="left"/>
    </w:pPr>
    <w:rPr>
      <w:sz w:val="18"/>
      <w:szCs w:val="18"/>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Emphasis"/>
    <w:basedOn w:val="11"/>
    <w:qFormat/>
    <w:uiPriority w:val="0"/>
  </w:style>
  <w:style w:type="character" w:styleId="15">
    <w:name w:val="Hyperlink"/>
    <w:basedOn w:val="11"/>
    <w:qFormat/>
    <w:uiPriority w:val="0"/>
    <w:rPr>
      <w:color w:val="000000"/>
      <w:u w:val="none"/>
    </w:rPr>
  </w:style>
  <w:style w:type="character" w:styleId="16">
    <w:name w:val="footnote reference"/>
    <w:qFormat/>
    <w:uiPriority w:val="0"/>
    <w:rPr>
      <w:vertAlign w:val="superscript"/>
    </w:rPr>
  </w:style>
  <w:style w:type="paragraph" w:customStyle="1" w:styleId="18">
    <w:name w:val="Plain Text"/>
    <w:basedOn w:val="1"/>
    <w:qFormat/>
    <w:uiPriority w:val="0"/>
    <w:rPr>
      <w:rFonts w:ascii="宋体" w:hAnsi="Courier New"/>
      <w:color w:val="000000"/>
      <w:szCs w:val="20"/>
    </w:rPr>
  </w:style>
  <w:style w:type="paragraph" w:customStyle="1" w:styleId="19">
    <w:name w:val="p0"/>
    <w:basedOn w:val="1"/>
    <w:qFormat/>
    <w:uiPriority w:val="0"/>
    <w:pPr>
      <w:widowControl/>
    </w:pPr>
    <w:rPr>
      <w:kern w:val="0"/>
      <w:szCs w:val="21"/>
    </w:rPr>
  </w:style>
  <w:style w:type="character" w:customStyle="1" w:styleId="20">
    <w:name w:val="page number"/>
    <w:basedOn w:val="11"/>
    <w:qFormat/>
    <w:uiPriority w:val="0"/>
  </w:style>
  <w:style w:type="character" w:customStyle="1" w:styleId="21">
    <w:name w:val="red"/>
    <w:basedOn w:val="11"/>
    <w:qFormat/>
    <w:uiPriority w:val="0"/>
    <w:rPr>
      <w:color w:val="FF0000"/>
      <w:sz w:val="18"/>
      <w:szCs w:val="18"/>
    </w:rPr>
  </w:style>
  <w:style w:type="character" w:customStyle="1" w:styleId="22">
    <w:name w:val="red1"/>
    <w:basedOn w:val="11"/>
    <w:qFormat/>
    <w:uiPriority w:val="0"/>
    <w:rPr>
      <w:color w:val="FF0000"/>
      <w:sz w:val="18"/>
      <w:szCs w:val="18"/>
    </w:rPr>
  </w:style>
  <w:style w:type="character" w:customStyle="1" w:styleId="23">
    <w:name w:val="red2"/>
    <w:basedOn w:val="11"/>
    <w:qFormat/>
    <w:uiPriority w:val="0"/>
    <w:rPr>
      <w:color w:val="CC0000"/>
    </w:rPr>
  </w:style>
  <w:style w:type="character" w:customStyle="1" w:styleId="24">
    <w:name w:val="red3"/>
    <w:basedOn w:val="11"/>
    <w:qFormat/>
    <w:uiPriority w:val="0"/>
    <w:rPr>
      <w:color w:val="FF0000"/>
    </w:rPr>
  </w:style>
  <w:style w:type="character" w:customStyle="1" w:styleId="25">
    <w:name w:val="green"/>
    <w:basedOn w:val="11"/>
    <w:qFormat/>
    <w:uiPriority w:val="0"/>
    <w:rPr>
      <w:color w:val="66AE00"/>
      <w:sz w:val="18"/>
      <w:szCs w:val="18"/>
    </w:rPr>
  </w:style>
  <w:style w:type="character" w:customStyle="1" w:styleId="26">
    <w:name w:val="green1"/>
    <w:basedOn w:val="11"/>
    <w:qFormat/>
    <w:uiPriority w:val="0"/>
    <w:rPr>
      <w:color w:val="66AE00"/>
      <w:sz w:val="18"/>
      <w:szCs w:val="18"/>
    </w:rPr>
  </w:style>
  <w:style w:type="character" w:customStyle="1" w:styleId="27">
    <w:name w:val="hover24"/>
    <w:basedOn w:val="11"/>
    <w:qFormat/>
    <w:uiPriority w:val="0"/>
  </w:style>
  <w:style w:type="character" w:customStyle="1" w:styleId="28">
    <w:name w:val="gb-jt"/>
    <w:basedOn w:val="11"/>
    <w:qFormat/>
    <w:uiPriority w:val="0"/>
  </w:style>
  <w:style w:type="character" w:customStyle="1" w:styleId="29">
    <w:name w:val="right"/>
    <w:basedOn w:val="11"/>
    <w:qFormat/>
    <w:uiPriority w:val="0"/>
    <w:rPr>
      <w:color w:val="999999"/>
      <w:sz w:val="18"/>
      <w:szCs w:val="18"/>
    </w:rPr>
  </w:style>
  <w:style w:type="character" w:customStyle="1" w:styleId="30">
    <w:name w:val="blue"/>
    <w:basedOn w:val="11"/>
    <w:qFormat/>
    <w:uiPriority w:val="0"/>
    <w:rPr>
      <w:color w:val="0371C6"/>
      <w:sz w:val="21"/>
      <w:szCs w:val="21"/>
    </w:rPr>
  </w:style>
  <w:style w:type="character" w:customStyle="1" w:styleId="31">
    <w:name w:val="hover"/>
    <w:basedOn w:val="11"/>
    <w:qFormat/>
    <w:uiPriority w:val="0"/>
  </w:style>
  <w:style w:type="character" w:customStyle="1" w:styleId="32">
    <w:name w:val="hover25"/>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textRotate="1"/>
    <customShpInfo spid="_x0000_s1027"/>
    <customShpInfo spid="_x0000_s1028"/>
    <customShpInfo spid="_x0000_s1029"/>
    <customShpInfo spid="_x0000_s102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2017-07-25T16:53:00Z</dcterms:created>
  <dc:creator>Administrator</dc:creator>
  <cp:lastModifiedBy>A 帅气小仙女</cp:lastModifiedBy>
  <cp:lastPrinted>2017-12-15T06:46:00Z</cp:lastPrinted>
  <dcterms:modified xsi:type="dcterms:W3CDTF">2019-03-13T06:31:19Z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