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b/>
          <w:bCs/>
          <w:color w:val="000000"/>
        </w:rPr>
      </w:pPr>
      <w:r>
        <w:rPr>
          <w:rFonts w:hint="eastAsia" w:ascii="黑体" w:hAnsi="黑体" w:eastAsia="黑体" w:cs="黑体"/>
          <w:b/>
          <w:bCs/>
          <w:color w:val="000000"/>
          <w:sz w:val="44"/>
          <w:szCs w:val="44"/>
          <w:lang w:val="en-US" w:eastAsia="zh-CN"/>
        </w:rPr>
        <w:t>禹州市城市管理局垃圾场渗滤液调节池覆盖膜采购项目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w:t>
      </w:r>
      <w:r>
        <w:rPr>
          <w:rFonts w:hint="eastAsia" w:ascii="仿宋" w:hAnsi="仿宋" w:eastAsia="仿宋" w:cs="仿宋"/>
          <w:b/>
          <w:bCs/>
          <w:color w:val="000000"/>
          <w:sz w:val="32"/>
          <w:szCs w:val="32"/>
          <w:lang w:val="en-US" w:eastAsia="zh-CN"/>
        </w:rPr>
        <w:t>9044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jc w:val="center"/>
        <w:rPr>
          <w:rFonts w:hint="eastAsia" w:ascii="仿宋" w:hAnsi="仿宋" w:eastAsia="仿宋" w:cs="仿宋"/>
          <w:color w:val="000000"/>
          <w:sz w:val="24"/>
          <w:szCs w:val="24"/>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禹州市城市管理局垃圾场渗滤液调节池覆盖膜采购项目</w:t>
      </w: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禹州市城市管理局垃圾场渗滤液调节池覆盖膜采购项目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禹州市城市管理局垃圾场渗滤液调节池覆盖膜采购项目</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9044</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膜浮盖主体、导气浮阀膜袋等（详见招标文件）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90</w:t>
      </w:r>
      <w:r>
        <w:rPr>
          <w:rFonts w:hint="eastAsia" w:ascii="仿宋" w:hAnsi="仿宋" w:eastAsia="仿宋" w:cs="仿宋"/>
          <w:color w:val="000000"/>
          <w:kern w:val="0"/>
          <w:sz w:val="24"/>
          <w:szCs w:val="24"/>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仿宋"/>
          <w:color w:val="000000"/>
          <w:kern w:val="0"/>
          <w:sz w:val="24"/>
          <w:szCs w:val="24"/>
          <w:lang w:val="en-US" w:eastAsia="zh-CN"/>
        </w:rPr>
        <w:t>招标</w:t>
      </w:r>
      <w:r>
        <w:rPr>
          <w:rFonts w:hint="eastAsia" w:ascii="仿宋" w:hAnsi="仿宋" w:eastAsia="仿宋" w:cs="仿宋"/>
          <w:color w:val="000000"/>
          <w:kern w:val="0"/>
          <w:sz w:val="24"/>
          <w:szCs w:val="24"/>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具有相应的经营范围（以营业执照</w:t>
      </w:r>
      <w:r>
        <w:rPr>
          <w:rFonts w:hint="eastAsia" w:ascii="仿宋" w:hAnsi="仿宋" w:eastAsia="仿宋" w:cs="仿宋"/>
          <w:color w:val="000000"/>
          <w:kern w:val="0"/>
          <w:sz w:val="24"/>
          <w:szCs w:val="24"/>
          <w:lang w:val="en-US" w:eastAsia="zh-CN"/>
        </w:rPr>
        <w:t>为准</w:t>
      </w:r>
      <w:r>
        <w:rPr>
          <w:rFonts w:hint="eastAsia" w:ascii="仿宋" w:hAnsi="仿宋" w:eastAsia="仿宋" w:cs="仿宋"/>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 ：00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_GB2312"/>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6"/>
        <w:tblW w:w="8652" w:type="dxa"/>
        <w:jc w:val="center"/>
        <w:tblInd w:w="0" w:type="dxa"/>
        <w:tblLayout w:type="fixed"/>
        <w:tblCellMar>
          <w:top w:w="0" w:type="dxa"/>
          <w:left w:w="0" w:type="dxa"/>
          <w:bottom w:w="0" w:type="dxa"/>
          <w:right w:w="0" w:type="dxa"/>
        </w:tblCellMar>
      </w:tblPr>
      <w:tblGrid>
        <w:gridCol w:w="681"/>
        <w:gridCol w:w="1800"/>
        <w:gridCol w:w="3855"/>
        <w:gridCol w:w="645"/>
        <w:gridCol w:w="675"/>
        <w:gridCol w:w="996"/>
      </w:tblGrid>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序号</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货物名称</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技术规格及主要参数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单位</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数量</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是否为核心产品</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膜浮盖主体</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HDPE材质，厚度≥2.0mm，抗氧化、抗紫外线，符合CJ/T234-2006</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2500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是</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2.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Y型重力压管加强条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HDPE材质，厚度≥2.0mm，抗氧化、抗紫外线，符合CJ/T234-2006</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3.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导气浮阀膜袋</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HDPE材质，厚度≥2.0mm，抗氧化、抗紫外线，符合CJ/T234-2006</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4.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浮块膜袋</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HDPE材质，厚度≥2.0mm，抗氧化、抗紫外线，符合CJ/T234-2006</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5.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集气管吊带膜</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HDPE材质，厚度≥2.0mm，抗氧化、抗紫外线，符合CJ/T234-2006</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6.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配重管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90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7.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管帽</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个</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70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8.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不锈钢链条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DN8</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60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9.</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不锈钢吊环吊扣</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DN8</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个</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60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10.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浮块</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聚氯乙烯泡沫</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个</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280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11.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防腐绳</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φ12</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12.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集气花管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13.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集气实管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100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14.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集气管弯头</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个</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16</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15.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集气管三通</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个</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16.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提升井连通管</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HDPE材质，DN200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24</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17.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除臭系统</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5000风量</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套</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是</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18.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自吸泵</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不锈钢材质，Q=20m³，H=10m，N=2.2KW</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台</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19. </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电控系统</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水泵配套配电</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项</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20.</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护栏</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护栏翻新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项</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r>
        <w:tblPrEx>
          <w:tblLayout w:type="fixed"/>
          <w:tblCellMar>
            <w:top w:w="0" w:type="dxa"/>
            <w:left w:w="0" w:type="dxa"/>
            <w:bottom w:w="0" w:type="dxa"/>
            <w:right w:w="0" w:type="dxa"/>
          </w:tblCellMar>
        </w:tblPrEx>
        <w:trPr>
          <w:trHeight w:val="680" w:hRule="atLeast"/>
          <w:jc w:val="center"/>
        </w:trPr>
        <w:tc>
          <w:tcPr>
            <w:tcW w:w="6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21.</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商砼</w:t>
            </w:r>
          </w:p>
        </w:tc>
        <w:tc>
          <w:tcPr>
            <w:tcW w:w="38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C30</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m³</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30</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否</w:t>
            </w:r>
          </w:p>
        </w:tc>
      </w:tr>
    </w:tbl>
    <w:p>
      <w:pPr>
        <w:numPr>
          <w:ilvl w:val="0"/>
          <w:numId w:val="0"/>
        </w:numPr>
        <w:jc w:val="both"/>
        <w:rPr>
          <w:rFonts w:hint="eastAsia" w:ascii="仿宋" w:hAnsi="仿宋" w:eastAsia="仿宋" w:cs="仿宋"/>
          <w:sz w:val="24"/>
          <w:szCs w:val="24"/>
          <w:lang w:val="en-US" w:eastAsia="zh-CN"/>
        </w:rPr>
      </w:pP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交付（服务、完工）时间：自签订合同之日起30日历天。</w:t>
      </w: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ascii="仿宋" w:hAnsi="仿宋" w:eastAsia="仿宋" w:cs="仿宋"/>
          <w:sz w:val="24"/>
          <w:szCs w:val="24"/>
          <w:lang w:val="en-US" w:eastAsia="zh-CN"/>
        </w:rPr>
        <w:t>服务标准、期限、效率等要求：在交付期限内完成浮盖安装工程，质保一年。</w:t>
      </w: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、付款方式：3%做为质保金，质保金自验收合格1年后无息付清，其余款验收合格后自财政拨付10日内到账。</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禹州市城市管理局垃圾场渗滤液调节池覆盖膜采购项目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w:t>
            </w:r>
            <w:r>
              <w:rPr>
                <w:rFonts w:hint="eastAsia" w:cs="仿宋_GB2312" w:asciiTheme="minorEastAsia" w:hAnsiTheme="minorEastAsia"/>
                <w:sz w:val="24"/>
                <w:szCs w:val="24"/>
                <w:lang w:val="en-US" w:eastAsia="zh-CN"/>
              </w:rPr>
              <w:t>9044</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膜浮盖主体、导气浮阀膜袋等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地址：禹州市逍遥路97号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2017年度或2018年度由专业部门出具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kern w:val="0"/>
                <w:sz w:val="24"/>
                <w:szCs w:val="24"/>
              </w:rPr>
              <w:t>（格式自拟）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1、符合《政府采购法》第二十二条之规定，具有相应的经营范围（以营业执照）；</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90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3</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w:t>
      </w:r>
      <w:r>
        <w:rPr>
          <w:rFonts w:hint="eastAsia" w:cs="宋体" w:asciiTheme="minorEastAsia" w:hAnsiTheme="minorEastAsia"/>
          <w:kern w:val="0"/>
          <w:sz w:val="24"/>
          <w:szCs w:val="24"/>
          <w:lang w:eastAsia="zh-CN"/>
        </w:rPr>
        <w:t>任何</w:t>
      </w:r>
      <w:r>
        <w:rPr>
          <w:rFonts w:hint="eastAsia" w:cs="宋体" w:asciiTheme="minorEastAsia" w:hAnsiTheme="minorEastAsia"/>
          <w:kern w:val="0"/>
          <w:sz w:val="24"/>
          <w:szCs w:val="24"/>
        </w:rPr>
        <w:t>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1、符合《政府采购法》第二十二条之规定，具有相应的经营范围（以营业执照）；</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6"/>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0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(总分100分)</w:t>
            </w:r>
          </w:p>
        </w:tc>
        <w:tc>
          <w:tcPr>
            <w:tcW w:w="72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价格分值：</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0分</w:t>
            </w:r>
          </w:p>
          <w:p>
            <w:pPr>
              <w:keepNext w:val="0"/>
              <w:keepLines w:val="0"/>
              <w:pageBreakBefore w:val="0"/>
              <w:widowControl/>
              <w:kinsoku/>
              <w:wordWrap/>
              <w:overflowPunct/>
              <w:topLinePunct w:val="0"/>
              <w:autoSpaceDE/>
              <w:autoSpaceDN/>
              <w:bidi w:val="0"/>
              <w:adjustRightInd/>
              <w:snapToGrid/>
              <w:spacing w:line="240" w:lineRule="atLeas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商务部分：</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分</w:t>
            </w:r>
          </w:p>
          <w:p>
            <w:pPr>
              <w:keepNext w:val="0"/>
              <w:keepLines w:val="0"/>
              <w:pageBreakBefore w:val="0"/>
              <w:widowControl/>
              <w:kinsoku/>
              <w:wordWrap/>
              <w:overflowPunct/>
              <w:topLinePunct w:val="0"/>
              <w:autoSpaceDE/>
              <w:autoSpaceDN/>
              <w:bidi w:val="0"/>
              <w:adjustRightInd/>
              <w:snapToGrid/>
              <w:spacing w:line="240" w:lineRule="atLeast"/>
              <w:ind w:firstLine="48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技术部分：</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一、价格部分（满分</w:t>
            </w:r>
            <w:r>
              <w:rPr>
                <w:rFonts w:hint="eastAsia" w:ascii="仿宋" w:hAnsi="仿宋" w:eastAsia="仿宋" w:cs="仿宋"/>
                <w:bCs/>
                <w:color w:val="000000"/>
                <w:kern w:val="0"/>
                <w:sz w:val="32"/>
                <w:szCs w:val="32"/>
                <w:lang w:val="en-US" w:eastAsia="zh-CN"/>
              </w:rPr>
              <w:t>50</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投标报价得分=（评标基准价/投标报价）×</w:t>
            </w:r>
            <w:r>
              <w:rPr>
                <w:rFonts w:hint="eastAsia" w:ascii="仿宋" w:hAnsi="仿宋" w:eastAsia="仿宋" w:cs="仿宋"/>
                <w:color w:val="000000"/>
                <w:kern w:val="0"/>
                <w:sz w:val="32"/>
                <w:szCs w:val="32"/>
                <w:lang w:val="en-US" w:eastAsia="zh-CN"/>
              </w:rPr>
              <w:t>50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二、商务部分（满分</w:t>
            </w:r>
            <w:r>
              <w:rPr>
                <w:rFonts w:hint="eastAsia" w:ascii="仿宋" w:hAnsi="仿宋" w:eastAsia="仿宋" w:cs="仿宋"/>
                <w:bCs/>
                <w:color w:val="000000"/>
                <w:kern w:val="0"/>
                <w:sz w:val="32"/>
                <w:szCs w:val="32"/>
                <w:lang w:val="en-US" w:eastAsia="zh-CN"/>
              </w:rPr>
              <w:t>22</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有HDPE膜制造商提供的针对本次采购的HDPE膜及售后服务</w:t>
            </w:r>
            <w:r>
              <w:rPr>
                <w:rFonts w:hint="eastAsia" w:ascii="仿宋" w:hAnsi="仿宋" w:eastAsia="仿宋" w:cs="仿宋"/>
                <w:color w:val="000000"/>
                <w:kern w:val="0"/>
                <w:sz w:val="32"/>
                <w:szCs w:val="32"/>
                <w:lang w:eastAsia="zh-CN"/>
              </w:rPr>
              <w:t>承诺</w:t>
            </w:r>
            <w:r>
              <w:rPr>
                <w:rFonts w:hint="eastAsia" w:ascii="仿宋" w:hAnsi="仿宋" w:eastAsia="仿宋" w:cs="仿宋"/>
                <w:color w:val="000000"/>
                <w:kern w:val="0"/>
                <w:sz w:val="32"/>
                <w:szCs w:val="32"/>
              </w:rPr>
              <w:t>书</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HDPE膜供应商或制造商具有有效的质量、环境、质量健康安全管理体系，每提供一项得2分最多得6分</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HDPE膜供应商或制造商具有有效的防水防腐保温工程专业承包资质</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所投HDPE膜属于环保产品并有中国环保产品认证证书</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HDPE膜供应商或制造商有相关发明专利的每有一个得2分，最多得8分</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HDPE膜供应商或制造商有国家级实验室并提供相关认证证书</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三、技术部分（满分</w:t>
            </w:r>
            <w:r>
              <w:rPr>
                <w:rFonts w:hint="eastAsia" w:ascii="仿宋" w:hAnsi="仿宋" w:eastAsia="仿宋" w:cs="仿宋"/>
                <w:bCs/>
                <w:color w:val="000000"/>
                <w:kern w:val="0"/>
                <w:sz w:val="32"/>
                <w:szCs w:val="32"/>
                <w:lang w:val="en-US" w:eastAsia="zh-CN"/>
              </w:rPr>
              <w:t>28</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供货计划、安装和调试方案内容编制</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货物安装质量和安装工期的保证措施内容编制</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质量保证期内、外服务内容、标准及承诺</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人员培训承诺及服务响应承诺</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货物安装过程中的安全保证措施内容编制</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投标文件应当符合招标文件编制要求，内容详实，编制有序、书面整洁、装订整齐</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p>
        </w:tc>
      </w:tr>
    </w:tbl>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20" w:firstLineChars="700"/>
        <w:jc w:val="left"/>
        <w:rPr>
          <w:rFonts w:hint="eastAsia" w:cs="宋体" w:asciiTheme="majorEastAsia" w:hAnsiTheme="majorEastAsia" w:eastAsiaTheme="majorEastAsia"/>
          <w:b w:val="0"/>
          <w:bCs/>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bookmarkStart w:id="9" w:name="_GoBack"/>
      <w:bookmarkEnd w:id="9"/>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0"/>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0"/>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0"/>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0"/>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0"/>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0"/>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0"/>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0"/>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0"/>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0"/>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0"/>
              <w:spacing w:line="360" w:lineRule="auto"/>
              <w:rPr>
                <w:rFonts w:ascii="宋体" w:hAnsi="宋体" w:eastAsia="宋体" w:cs="Times New Roman"/>
                <w:sz w:val="24"/>
                <w:szCs w:val="24"/>
              </w:rPr>
            </w:pPr>
          </w:p>
        </w:tc>
        <w:tc>
          <w:tcPr>
            <w:tcW w:w="991" w:type="dxa"/>
            <w:vAlign w:val="center"/>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135" w:type="dxa"/>
          </w:tcPr>
          <w:p>
            <w:pPr>
              <w:pStyle w:val="10"/>
              <w:spacing w:line="360" w:lineRule="auto"/>
              <w:rPr>
                <w:rFonts w:ascii="宋体" w:hAnsi="宋体" w:eastAsia="宋体" w:cs="Times New Roman"/>
                <w:sz w:val="24"/>
                <w:szCs w:val="24"/>
              </w:rPr>
            </w:pPr>
          </w:p>
        </w:tc>
        <w:tc>
          <w:tcPr>
            <w:tcW w:w="1276" w:type="dxa"/>
          </w:tcPr>
          <w:p>
            <w:pPr>
              <w:pStyle w:val="10"/>
              <w:spacing w:line="360" w:lineRule="auto"/>
              <w:rPr>
                <w:rFonts w:ascii="宋体" w:hAnsi="宋体" w:eastAsia="宋体" w:cs="Times New Roman"/>
                <w:sz w:val="24"/>
                <w:szCs w:val="24"/>
              </w:rPr>
            </w:pPr>
          </w:p>
        </w:tc>
        <w:tc>
          <w:tcPr>
            <w:tcW w:w="1439" w:type="dxa"/>
          </w:tcPr>
          <w:p>
            <w:pPr>
              <w:pStyle w:val="10"/>
              <w:spacing w:line="360" w:lineRule="auto"/>
              <w:rPr>
                <w:rFonts w:ascii="宋体" w:hAnsi="宋体" w:eastAsia="宋体" w:cs="Times New Roman"/>
                <w:sz w:val="24"/>
                <w:szCs w:val="24"/>
              </w:rPr>
            </w:pPr>
          </w:p>
        </w:tc>
        <w:tc>
          <w:tcPr>
            <w:tcW w:w="1252" w:type="dxa"/>
          </w:tcPr>
          <w:p>
            <w:pPr>
              <w:pStyle w:val="10"/>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65EBA"/>
    <w:rsid w:val="01BD0CBA"/>
    <w:rsid w:val="01FF6E04"/>
    <w:rsid w:val="040A364A"/>
    <w:rsid w:val="0464615F"/>
    <w:rsid w:val="049F1C5A"/>
    <w:rsid w:val="04B95177"/>
    <w:rsid w:val="04CD55F1"/>
    <w:rsid w:val="069A1B20"/>
    <w:rsid w:val="06A11B87"/>
    <w:rsid w:val="06B25156"/>
    <w:rsid w:val="07007F19"/>
    <w:rsid w:val="07324D24"/>
    <w:rsid w:val="07835514"/>
    <w:rsid w:val="07C16548"/>
    <w:rsid w:val="085C218F"/>
    <w:rsid w:val="08E05950"/>
    <w:rsid w:val="08E076B2"/>
    <w:rsid w:val="0A4D6671"/>
    <w:rsid w:val="0B9B78CF"/>
    <w:rsid w:val="0C3D4298"/>
    <w:rsid w:val="0C9523A6"/>
    <w:rsid w:val="0CA67F00"/>
    <w:rsid w:val="0CF658BA"/>
    <w:rsid w:val="0D0B369F"/>
    <w:rsid w:val="0D1964DC"/>
    <w:rsid w:val="0D1B18EA"/>
    <w:rsid w:val="0D2603D8"/>
    <w:rsid w:val="0DC470D4"/>
    <w:rsid w:val="0E0A0070"/>
    <w:rsid w:val="0E720BA1"/>
    <w:rsid w:val="0EA634D8"/>
    <w:rsid w:val="0F710DBD"/>
    <w:rsid w:val="0FCB42FC"/>
    <w:rsid w:val="0FDC5067"/>
    <w:rsid w:val="10082CFB"/>
    <w:rsid w:val="10173B0E"/>
    <w:rsid w:val="109B612E"/>
    <w:rsid w:val="10C30357"/>
    <w:rsid w:val="10D87FC9"/>
    <w:rsid w:val="112F307F"/>
    <w:rsid w:val="116D26CD"/>
    <w:rsid w:val="11745362"/>
    <w:rsid w:val="117D64F3"/>
    <w:rsid w:val="11C23651"/>
    <w:rsid w:val="11CA2A4A"/>
    <w:rsid w:val="125E42B3"/>
    <w:rsid w:val="126429C6"/>
    <w:rsid w:val="133645AA"/>
    <w:rsid w:val="14120035"/>
    <w:rsid w:val="146642E5"/>
    <w:rsid w:val="150703E1"/>
    <w:rsid w:val="155F2638"/>
    <w:rsid w:val="15EE7B69"/>
    <w:rsid w:val="16361215"/>
    <w:rsid w:val="16735EBD"/>
    <w:rsid w:val="16A211D3"/>
    <w:rsid w:val="16B47E06"/>
    <w:rsid w:val="16F51800"/>
    <w:rsid w:val="17CE6051"/>
    <w:rsid w:val="189035FD"/>
    <w:rsid w:val="18D55096"/>
    <w:rsid w:val="18D87F10"/>
    <w:rsid w:val="197F5DF8"/>
    <w:rsid w:val="19ED396D"/>
    <w:rsid w:val="19FF3602"/>
    <w:rsid w:val="1A08396D"/>
    <w:rsid w:val="1A7E44CB"/>
    <w:rsid w:val="1AD41B77"/>
    <w:rsid w:val="1C2D1536"/>
    <w:rsid w:val="1CCF2F1D"/>
    <w:rsid w:val="1DB600E3"/>
    <w:rsid w:val="1EBA7A7F"/>
    <w:rsid w:val="1ECE4957"/>
    <w:rsid w:val="1F7208EE"/>
    <w:rsid w:val="1F8B6EB8"/>
    <w:rsid w:val="1FE15514"/>
    <w:rsid w:val="207222EC"/>
    <w:rsid w:val="2157706F"/>
    <w:rsid w:val="21DD4A96"/>
    <w:rsid w:val="22151D9F"/>
    <w:rsid w:val="22545B0C"/>
    <w:rsid w:val="228A3FE5"/>
    <w:rsid w:val="23B06195"/>
    <w:rsid w:val="24274B97"/>
    <w:rsid w:val="2486268A"/>
    <w:rsid w:val="25225C14"/>
    <w:rsid w:val="25D431AD"/>
    <w:rsid w:val="260F2E0A"/>
    <w:rsid w:val="26B55F12"/>
    <w:rsid w:val="271F4B16"/>
    <w:rsid w:val="275E7B6C"/>
    <w:rsid w:val="27894EC3"/>
    <w:rsid w:val="282869EB"/>
    <w:rsid w:val="2879418B"/>
    <w:rsid w:val="28AB7259"/>
    <w:rsid w:val="29FA1D77"/>
    <w:rsid w:val="2A553543"/>
    <w:rsid w:val="2A581CC0"/>
    <w:rsid w:val="2A5B3AB4"/>
    <w:rsid w:val="2A717F08"/>
    <w:rsid w:val="2AEC21FE"/>
    <w:rsid w:val="2B4146B6"/>
    <w:rsid w:val="2B853781"/>
    <w:rsid w:val="2C1F57C1"/>
    <w:rsid w:val="2C735341"/>
    <w:rsid w:val="2D79396D"/>
    <w:rsid w:val="2D976D16"/>
    <w:rsid w:val="2DD9073A"/>
    <w:rsid w:val="2EB00D39"/>
    <w:rsid w:val="2EBA3914"/>
    <w:rsid w:val="2EBD4647"/>
    <w:rsid w:val="2F4904FD"/>
    <w:rsid w:val="2F6E19B3"/>
    <w:rsid w:val="2FDB6ADB"/>
    <w:rsid w:val="2FF65953"/>
    <w:rsid w:val="30025079"/>
    <w:rsid w:val="301131A9"/>
    <w:rsid w:val="302A6FD2"/>
    <w:rsid w:val="310504FB"/>
    <w:rsid w:val="31774086"/>
    <w:rsid w:val="31C6178D"/>
    <w:rsid w:val="31E535F4"/>
    <w:rsid w:val="32EA70CF"/>
    <w:rsid w:val="33563CED"/>
    <w:rsid w:val="34057EE9"/>
    <w:rsid w:val="34B644B7"/>
    <w:rsid w:val="35155A29"/>
    <w:rsid w:val="35641360"/>
    <w:rsid w:val="367945A4"/>
    <w:rsid w:val="374E69D0"/>
    <w:rsid w:val="37546E3C"/>
    <w:rsid w:val="37844818"/>
    <w:rsid w:val="386F7994"/>
    <w:rsid w:val="39276007"/>
    <w:rsid w:val="399F337F"/>
    <w:rsid w:val="3AAA79CB"/>
    <w:rsid w:val="3ADD0A2E"/>
    <w:rsid w:val="3B3D5565"/>
    <w:rsid w:val="3B502A23"/>
    <w:rsid w:val="3BB96859"/>
    <w:rsid w:val="3CF30DAA"/>
    <w:rsid w:val="3CFD6A55"/>
    <w:rsid w:val="3CFE244D"/>
    <w:rsid w:val="3D706AEA"/>
    <w:rsid w:val="3DA638E1"/>
    <w:rsid w:val="3DE427E6"/>
    <w:rsid w:val="3F263B0E"/>
    <w:rsid w:val="3F453022"/>
    <w:rsid w:val="40885AD6"/>
    <w:rsid w:val="41D35F29"/>
    <w:rsid w:val="4214049D"/>
    <w:rsid w:val="425D1CA9"/>
    <w:rsid w:val="429A1E61"/>
    <w:rsid w:val="42B86602"/>
    <w:rsid w:val="42C328CF"/>
    <w:rsid w:val="42FB76AE"/>
    <w:rsid w:val="4330233E"/>
    <w:rsid w:val="43AF27C5"/>
    <w:rsid w:val="44440736"/>
    <w:rsid w:val="44AC41A3"/>
    <w:rsid w:val="45F05B79"/>
    <w:rsid w:val="471B41AB"/>
    <w:rsid w:val="47D61AD9"/>
    <w:rsid w:val="47E3352A"/>
    <w:rsid w:val="484F2855"/>
    <w:rsid w:val="488363E7"/>
    <w:rsid w:val="48D84F97"/>
    <w:rsid w:val="49C45791"/>
    <w:rsid w:val="49FD6D8B"/>
    <w:rsid w:val="4A0717C1"/>
    <w:rsid w:val="4A0F5E0D"/>
    <w:rsid w:val="4AE22F4C"/>
    <w:rsid w:val="4B7069AF"/>
    <w:rsid w:val="4B84675A"/>
    <w:rsid w:val="4CE51226"/>
    <w:rsid w:val="4D0F0AAF"/>
    <w:rsid w:val="4E9C78C3"/>
    <w:rsid w:val="4EB72836"/>
    <w:rsid w:val="4ECE6EDA"/>
    <w:rsid w:val="4F1221AF"/>
    <w:rsid w:val="50594C1B"/>
    <w:rsid w:val="50DA36B6"/>
    <w:rsid w:val="50DC0421"/>
    <w:rsid w:val="515865B5"/>
    <w:rsid w:val="51B331C2"/>
    <w:rsid w:val="52851F8A"/>
    <w:rsid w:val="52AF7BCF"/>
    <w:rsid w:val="52B05FA2"/>
    <w:rsid w:val="52BA74B4"/>
    <w:rsid w:val="53EE2569"/>
    <w:rsid w:val="53EF42DA"/>
    <w:rsid w:val="54D310F8"/>
    <w:rsid w:val="555A0AC0"/>
    <w:rsid w:val="5615446E"/>
    <w:rsid w:val="5622683A"/>
    <w:rsid w:val="56234D4A"/>
    <w:rsid w:val="569466E8"/>
    <w:rsid w:val="56B753BE"/>
    <w:rsid w:val="57104168"/>
    <w:rsid w:val="57206EC5"/>
    <w:rsid w:val="57481F16"/>
    <w:rsid w:val="57DC465A"/>
    <w:rsid w:val="58077CBD"/>
    <w:rsid w:val="580C72BE"/>
    <w:rsid w:val="589448AE"/>
    <w:rsid w:val="58A31527"/>
    <w:rsid w:val="58A631A5"/>
    <w:rsid w:val="58B4092E"/>
    <w:rsid w:val="58FD658D"/>
    <w:rsid w:val="590053AA"/>
    <w:rsid w:val="59AD4BF8"/>
    <w:rsid w:val="5A897C2D"/>
    <w:rsid w:val="5AB75E2C"/>
    <w:rsid w:val="5B5730E1"/>
    <w:rsid w:val="5B7A326F"/>
    <w:rsid w:val="5BB63045"/>
    <w:rsid w:val="5BC64F24"/>
    <w:rsid w:val="5CB15BE4"/>
    <w:rsid w:val="5D351440"/>
    <w:rsid w:val="5E2C7B65"/>
    <w:rsid w:val="5E8D7C1D"/>
    <w:rsid w:val="5EB84AC3"/>
    <w:rsid w:val="5F582ECF"/>
    <w:rsid w:val="5FAC6F34"/>
    <w:rsid w:val="5FD472DE"/>
    <w:rsid w:val="6035704F"/>
    <w:rsid w:val="60951519"/>
    <w:rsid w:val="61D91559"/>
    <w:rsid w:val="61F06C48"/>
    <w:rsid w:val="622A1A1E"/>
    <w:rsid w:val="62601735"/>
    <w:rsid w:val="627010E0"/>
    <w:rsid w:val="633270C2"/>
    <w:rsid w:val="6378133C"/>
    <w:rsid w:val="652001B4"/>
    <w:rsid w:val="65345AE7"/>
    <w:rsid w:val="655E27C0"/>
    <w:rsid w:val="65970713"/>
    <w:rsid w:val="65BD6DDA"/>
    <w:rsid w:val="65E1731F"/>
    <w:rsid w:val="66C84D25"/>
    <w:rsid w:val="6782628D"/>
    <w:rsid w:val="67E96092"/>
    <w:rsid w:val="68427219"/>
    <w:rsid w:val="68591A62"/>
    <w:rsid w:val="68741D48"/>
    <w:rsid w:val="6A133E72"/>
    <w:rsid w:val="6B90034E"/>
    <w:rsid w:val="6C1E550C"/>
    <w:rsid w:val="6C946AB5"/>
    <w:rsid w:val="6CD85218"/>
    <w:rsid w:val="6D287038"/>
    <w:rsid w:val="6D5C690A"/>
    <w:rsid w:val="6DFC3DF2"/>
    <w:rsid w:val="6E275931"/>
    <w:rsid w:val="6E6F6961"/>
    <w:rsid w:val="6E9D2198"/>
    <w:rsid w:val="6EE066C7"/>
    <w:rsid w:val="6F272507"/>
    <w:rsid w:val="70312317"/>
    <w:rsid w:val="70B56A88"/>
    <w:rsid w:val="710021D5"/>
    <w:rsid w:val="71E53350"/>
    <w:rsid w:val="71FE4216"/>
    <w:rsid w:val="721F1724"/>
    <w:rsid w:val="723C0F13"/>
    <w:rsid w:val="72F404E5"/>
    <w:rsid w:val="730A33D2"/>
    <w:rsid w:val="73D40348"/>
    <w:rsid w:val="73DE285C"/>
    <w:rsid w:val="75C55A4B"/>
    <w:rsid w:val="761D07E6"/>
    <w:rsid w:val="76FF11D3"/>
    <w:rsid w:val="772A49DE"/>
    <w:rsid w:val="7779656F"/>
    <w:rsid w:val="77860700"/>
    <w:rsid w:val="77C565F8"/>
    <w:rsid w:val="780666FB"/>
    <w:rsid w:val="792A5DD1"/>
    <w:rsid w:val="7A0142A3"/>
    <w:rsid w:val="7A77760E"/>
    <w:rsid w:val="7AFD3E45"/>
    <w:rsid w:val="7CDE0D17"/>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Body Text First Indent"/>
    <w:basedOn w:val="8"/>
    <w:link w:val="52"/>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7"/>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3"/>
    <w:qFormat/>
    <w:uiPriority w:val="0"/>
    <w:rPr>
      <w:rFonts w:ascii="Calibri" w:hAnsi="Calibri" w:eastAsia="宋体" w:cs="Times New Roman"/>
      <w:b/>
      <w:bCs/>
      <w:kern w:val="44"/>
      <w:sz w:val="44"/>
      <w:szCs w:val="44"/>
    </w:rPr>
  </w:style>
  <w:style w:type="character" w:customStyle="1" w:styleId="29">
    <w:name w:val="标题 2 Char"/>
    <w:basedOn w:val="21"/>
    <w:link w:val="4"/>
    <w:qFormat/>
    <w:uiPriority w:val="0"/>
    <w:rPr>
      <w:rFonts w:ascii="Arial" w:hAnsi="Arial" w:eastAsia="黑体" w:cs="Times New Roman"/>
      <w:b/>
      <w:bCs/>
      <w:kern w:val="0"/>
      <w:sz w:val="32"/>
      <w:szCs w:val="32"/>
    </w:rPr>
  </w:style>
  <w:style w:type="character" w:customStyle="1" w:styleId="30">
    <w:name w:val="标题 3 Char"/>
    <w:basedOn w:val="21"/>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1"/>
    <w:link w:val="6"/>
    <w:qFormat/>
    <w:uiPriority w:val="0"/>
    <w:rPr>
      <w:rFonts w:ascii="Arial" w:hAnsi="Arial" w:eastAsia="黑体" w:cs="Times New Roman"/>
      <w:b/>
      <w:bCs/>
      <w:kern w:val="0"/>
      <w:sz w:val="28"/>
      <w:szCs w:val="28"/>
    </w:rPr>
  </w:style>
  <w:style w:type="character" w:customStyle="1" w:styleId="32">
    <w:name w:val="纯文本 Char"/>
    <w:basedOn w:val="21"/>
    <w:link w:val="14"/>
    <w:qFormat/>
    <w:uiPriority w:val="0"/>
    <w:rPr>
      <w:rFonts w:eastAsia="宋体"/>
      <w:sz w:val="24"/>
    </w:rPr>
  </w:style>
  <w:style w:type="character" w:customStyle="1" w:styleId="33">
    <w:name w:val="日期 Char"/>
    <w:basedOn w:val="21"/>
    <w:link w:val="15"/>
    <w:qFormat/>
    <w:uiPriority w:val="99"/>
  </w:style>
  <w:style w:type="character" w:customStyle="1" w:styleId="34">
    <w:name w:val="页脚 Char"/>
    <w:basedOn w:val="21"/>
    <w:link w:val="16"/>
    <w:qFormat/>
    <w:uiPriority w:val="99"/>
    <w:rPr>
      <w:sz w:val="18"/>
      <w:szCs w:val="18"/>
    </w:rPr>
  </w:style>
  <w:style w:type="character" w:customStyle="1" w:styleId="35">
    <w:name w:val="页眉 Char"/>
    <w:basedOn w:val="21"/>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1"/>
    <w:link w:val="11"/>
    <w:qFormat/>
    <w:uiPriority w:val="0"/>
    <w:rPr>
      <w:rFonts w:ascii="Times New Roman" w:hAnsi="Times New Roman" w:eastAsia="宋体" w:cs="Times New Roman"/>
      <w:color w:val="FF0000"/>
      <w:sz w:val="24"/>
      <w:szCs w:val="24"/>
    </w:rPr>
  </w:style>
  <w:style w:type="character" w:customStyle="1" w:styleId="48">
    <w:name w:val="edittexttarea"/>
    <w:basedOn w:val="21"/>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1"/>
    <w:link w:val="8"/>
    <w:semiHidden/>
    <w:qFormat/>
    <w:uiPriority w:val="99"/>
  </w:style>
  <w:style w:type="character" w:customStyle="1" w:styleId="52">
    <w:name w:val="正文首行缩进 Char"/>
    <w:basedOn w:val="51"/>
    <w:link w:val="7"/>
    <w:qFormat/>
    <w:uiPriority w:val="0"/>
    <w:rPr>
      <w:rFonts w:ascii="宋体" w:hAnsi="Times New Roman" w:eastAsia="宋体" w:cs="Times New Roman"/>
      <w:kern w:val="0"/>
      <w:sz w:val="34"/>
      <w:szCs w:val="20"/>
    </w:rPr>
  </w:style>
  <w:style w:type="character" w:customStyle="1" w:styleId="53">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12</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2019-03-13T02:25:44Z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