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长招采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eastAsia="zh-CN"/>
        </w:rPr>
        <w:t>询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字[201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]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004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农产品质量追溯体系建设采购设备一批</w:t>
      </w:r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评审结果公告</w:t>
      </w:r>
    </w:p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一、项目概况</w:t>
      </w:r>
    </w:p>
    <w:p>
      <w:pPr>
        <w:adjustRightInd w:val="0"/>
        <w:snapToGrid w:val="0"/>
        <w:spacing w:line="300" w:lineRule="auto"/>
        <w:ind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农产品质量追溯体系建设采购设备一批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（二）项目编号：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长招采询字[201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（三）招标公告发布日期：201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（四）变更公告发布日期：无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（五）开标日期：201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00分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询价</w:t>
      </w:r>
    </w:p>
    <w:p>
      <w:pPr>
        <w:snapToGrid w:val="0"/>
        <w:spacing w:line="360" w:lineRule="auto"/>
        <w:ind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（七）最高限价：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80000元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（八）评标办法：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最低评标价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法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（九）资格审查方式：资格后审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资格审查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情况</w:t>
      </w:r>
    </w:p>
    <w:tbl>
      <w:tblPr>
        <w:tblStyle w:val="10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通过资格审查的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河南睿腾信息技术有限公司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河南智锐科技有限公司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郑州希尔德科技有限公司</w:t>
            </w:r>
          </w:p>
        </w:tc>
      </w:tr>
    </w:tbl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eastAsia="zh-CN"/>
        </w:rPr>
        <w:t>未通过资格性审查情况：（无）</w:t>
      </w:r>
    </w:p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评审情况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（一）符合性审查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通过资格性审查供应商均通过符合性审查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</w:rPr>
        <w:t>。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比较与评审结果</w:t>
      </w:r>
    </w:p>
    <w:tbl>
      <w:tblPr>
        <w:tblStyle w:val="10"/>
        <w:tblW w:w="8376" w:type="dxa"/>
        <w:jc w:val="center"/>
        <w:tblInd w:w="-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  <w:gridCol w:w="175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2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河南睿腾信息技术有限公司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78830.00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河南智锐科技有限公司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79780.00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郑州希尔德科技有限公司</w:t>
            </w:r>
          </w:p>
        </w:tc>
        <w:tc>
          <w:tcPr>
            <w:tcW w:w="17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79450.00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四、询价小组推荐成交候选人（或采购人授权确定成交供应商）情况</w:t>
      </w:r>
    </w:p>
    <w:p>
      <w:pPr>
        <w:pStyle w:val="2"/>
        <w:numPr>
          <w:ilvl w:val="0"/>
          <w:numId w:val="0"/>
        </w:numPr>
        <w:outlineLvl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成交候选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（成交供应商）名称：河南睿腾信息技术有限公司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地址：郑州市金水区东风路东段11号705号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联系方式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13633714059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成交金额：78830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.00</w:t>
      </w:r>
    </w:p>
    <w:p>
      <w:pPr>
        <w:widowControl/>
        <w:shd w:val="clear" w:color="auto" w:fill="FFFFFF"/>
        <w:spacing w:before="227" w:beforeLines="0"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五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、评标委员会成员名单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张军培（采购人代表）郑志强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（询价小组组长）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田瑞红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六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、公告期限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结果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公告自发布之日起公告期限为1个工作日。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七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采购人：长葛市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农业林业局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地址：长葛市葛天大道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 xml:space="preserve"> 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联系人及联系电话：张军培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13937401767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集中采购机构：长葛市公共资源交易中心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长葛市葛天大道东段商务区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6号楼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：  0374-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6189667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before="227" w:line="360" w:lineRule="auto"/>
        <w:ind w:firstLine="3520" w:firstLineChars="110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7" w:line="360" w:lineRule="auto"/>
        <w:contextualSpacing/>
        <w:jc w:val="left"/>
      </w:pPr>
    </w:p>
    <w:sectPr>
      <w:pgSz w:w="11906" w:h="16838"/>
      <w:pgMar w:top="2098" w:right="1474" w:bottom="192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9A20"/>
    <w:multiLevelType w:val="singleLevel"/>
    <w:tmpl w:val="76009A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1ABD"/>
    <w:rsid w:val="19827C99"/>
    <w:rsid w:val="217C6E58"/>
    <w:rsid w:val="254E0337"/>
    <w:rsid w:val="25BF6B5D"/>
    <w:rsid w:val="3D374F22"/>
    <w:rsid w:val="4EA71193"/>
    <w:rsid w:val="56FE5181"/>
    <w:rsid w:val="58AE3FFE"/>
    <w:rsid w:val="602F2D85"/>
    <w:rsid w:val="676F1C8A"/>
    <w:rsid w:val="7024644F"/>
    <w:rsid w:val="72014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before="0" w:after="160" w:line="240" w:lineRule="auto"/>
      <w:ind w:left="0"/>
      <w:jc w:val="both"/>
    </w:pPr>
    <w:rPr>
      <w:sz w:val="28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000000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00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aragraphind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Char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Char Char"/>
    <w:basedOn w:val="11"/>
    <w:link w:val="5"/>
    <w:qFormat/>
    <w:uiPriority w:val="99"/>
    <w:rPr>
      <w:sz w:val="18"/>
      <w:szCs w:val="18"/>
    </w:rPr>
  </w:style>
  <w:style w:type="character" w:customStyle="1" w:styleId="20">
    <w:name w:val="批注框文本 Char Char"/>
    <w:basedOn w:val="11"/>
    <w:link w:val="4"/>
    <w:qFormat/>
    <w:uiPriority w:val="99"/>
    <w:rPr>
      <w:sz w:val="18"/>
      <w:szCs w:val="18"/>
    </w:rPr>
  </w:style>
  <w:style w:type="character" w:customStyle="1" w:styleId="21">
    <w:name w:val="green"/>
    <w:basedOn w:val="11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1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1"/>
    <w:qFormat/>
    <w:uiPriority w:val="0"/>
    <w:rPr>
      <w:color w:val="FF0000"/>
    </w:rPr>
  </w:style>
  <w:style w:type="character" w:customStyle="1" w:styleId="26">
    <w:name w:val="hover25"/>
    <w:basedOn w:val="11"/>
    <w:qFormat/>
    <w:uiPriority w:val="0"/>
  </w:style>
  <w:style w:type="character" w:customStyle="1" w:styleId="27">
    <w:name w:val="gb-jt"/>
    <w:basedOn w:val="11"/>
    <w:qFormat/>
    <w:uiPriority w:val="0"/>
  </w:style>
  <w:style w:type="character" w:customStyle="1" w:styleId="28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11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331</Words>
  <Characters>1893</Characters>
  <Lines>15</Lines>
  <Paragraphs>4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2017-10-12T03:31:00Z</dcterms:created>
  <dc:creator>许昌市公共资源交易中心:孟莉</dc:creator>
  <cp:lastModifiedBy>长葛市公共资源交易中心:周幸</cp:lastModifiedBy>
  <cp:lastPrinted>2017-11-21T03:09:00Z</cp:lastPrinted>
  <dcterms:modified xsi:type="dcterms:W3CDTF">2019-03-13T01:14:35Z</dcterms:modified>
  <dc:title>长招采公字[2017]xx号长葛市xxxxxxxx项目评审结果公告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