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F2AD5" w14:textId="3AC897AF" w:rsidR="00B86225" w:rsidRPr="001F0F98" w:rsidRDefault="00B86225" w:rsidP="00B86225">
      <w:pPr>
        <w:pStyle w:val="1"/>
        <w:jc w:val="center"/>
        <w:rPr>
          <w:snapToGrid w:val="0"/>
        </w:rPr>
      </w:pPr>
      <w:bookmarkStart w:id="0" w:name="_Toc2442521"/>
      <w:r w:rsidRPr="001F0F98">
        <w:rPr>
          <w:rFonts w:hint="eastAsia"/>
          <w:snapToGrid w:val="0"/>
        </w:rPr>
        <w:t>二、</w:t>
      </w:r>
      <w:r w:rsidR="00EC7E71">
        <w:rPr>
          <w:rFonts w:hint="eastAsia"/>
          <w:snapToGrid w:val="0"/>
        </w:rPr>
        <w:t>二次</w:t>
      </w:r>
      <w:r w:rsidR="00F64260">
        <w:rPr>
          <w:rFonts w:hint="eastAsia"/>
          <w:snapToGrid w:val="0"/>
        </w:rPr>
        <w:t>报价</w:t>
      </w:r>
      <w:r w:rsidRPr="001F0F98">
        <w:rPr>
          <w:rFonts w:hint="eastAsia"/>
          <w:snapToGrid w:val="0"/>
        </w:rPr>
        <w:t>一览表</w:t>
      </w:r>
      <w:bookmarkEnd w:id="0"/>
    </w:p>
    <w:p w14:paraId="56FB051E" w14:textId="77777777" w:rsidR="00B86225" w:rsidRPr="003807DA" w:rsidRDefault="00B86225" w:rsidP="00B86225">
      <w:pPr>
        <w:spacing w:before="50" w:afterLines="50" w:after="211" w:line="360" w:lineRule="auto"/>
        <w:contextualSpacing/>
        <w:jc w:val="left"/>
        <w:rPr>
          <w:rFonts w:asciiTheme="minorEastAsia" w:hAnsiTheme="minorEastAsia"/>
          <w:sz w:val="24"/>
          <w:szCs w:val="24"/>
        </w:rPr>
      </w:pPr>
      <w:r w:rsidRPr="003807DA">
        <w:rPr>
          <w:rFonts w:asciiTheme="minorEastAsia" w:hAnsiTheme="minorEastAsia" w:hint="eastAsia"/>
          <w:sz w:val="24"/>
          <w:szCs w:val="24"/>
        </w:rPr>
        <w:t>项目编号：</w:t>
      </w:r>
      <w:r w:rsidRPr="003807DA">
        <w:rPr>
          <w:rFonts w:asciiTheme="minorEastAsia" w:hAnsiTheme="minorEastAsia"/>
          <w:sz w:val="24"/>
          <w:szCs w:val="24"/>
        </w:rPr>
        <w:t xml:space="preserve"> </w:t>
      </w:r>
      <w:r w:rsidRPr="003807DA">
        <w:rPr>
          <w:rFonts w:asciiTheme="minorEastAsia" w:hAnsiTheme="minorEastAsia" w:cs="仿宋_GB2312" w:hint="eastAsia"/>
          <w:sz w:val="24"/>
          <w:szCs w:val="24"/>
          <w:shd w:val="clear" w:color="auto" w:fill="FFFFFF"/>
        </w:rPr>
        <w:t>ZFCG-T2019008号</w:t>
      </w:r>
      <w:bookmarkStart w:id="1" w:name="_GoBack"/>
      <w:bookmarkEnd w:id="1"/>
    </w:p>
    <w:p w14:paraId="770044A2" w14:textId="77777777" w:rsidR="00B86225" w:rsidRPr="003807DA" w:rsidRDefault="00B86225" w:rsidP="00B86225">
      <w:pPr>
        <w:rPr>
          <w:sz w:val="24"/>
          <w:szCs w:val="24"/>
        </w:rPr>
      </w:pPr>
      <w:r w:rsidRPr="003807DA">
        <w:rPr>
          <w:rFonts w:hint="eastAsia"/>
          <w:sz w:val="24"/>
          <w:szCs w:val="24"/>
        </w:rPr>
        <w:t xml:space="preserve">项目名称：  </w:t>
      </w:r>
      <w:r w:rsidRPr="003807DA">
        <w:rPr>
          <w:rFonts w:cs="仿宋_GB2312" w:hint="eastAsia"/>
          <w:sz w:val="24"/>
          <w:szCs w:val="24"/>
          <w:shd w:val="clear" w:color="auto" w:fill="FFFFFF"/>
        </w:rPr>
        <w:t>智慧新能源实训系统</w:t>
      </w:r>
      <w:r w:rsidRPr="003807DA">
        <w:rPr>
          <w:rFonts w:hint="eastAsia"/>
          <w:sz w:val="24"/>
          <w:szCs w:val="24"/>
        </w:rPr>
        <w:t xml:space="preserve">             </w:t>
      </w:r>
      <w:r>
        <w:rPr>
          <w:rFonts w:hint="eastAsia"/>
          <w:sz w:val="24"/>
          <w:szCs w:val="24"/>
        </w:rPr>
        <w:t xml:space="preserve">           </w:t>
      </w:r>
      <w:r w:rsidRPr="003807DA">
        <w:rPr>
          <w:rFonts w:cs="Arial" w:hint="eastAsia"/>
          <w:sz w:val="24"/>
          <w:szCs w:val="24"/>
        </w:rPr>
        <w:t>单位：元（人民币）</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43"/>
        <w:gridCol w:w="3685"/>
        <w:gridCol w:w="1843"/>
        <w:gridCol w:w="850"/>
      </w:tblGrid>
      <w:tr w:rsidR="00B86225" w:rsidRPr="003807DA" w14:paraId="58ABFA85" w14:textId="77777777" w:rsidTr="003C5810">
        <w:trPr>
          <w:trHeight w:val="851"/>
        </w:trPr>
        <w:tc>
          <w:tcPr>
            <w:tcW w:w="959" w:type="dxa"/>
            <w:shd w:val="clear" w:color="auto" w:fill="auto"/>
            <w:vAlign w:val="center"/>
          </w:tcPr>
          <w:p w14:paraId="6055FAE7" w14:textId="77777777" w:rsidR="00B86225" w:rsidRPr="003807DA" w:rsidRDefault="00B86225" w:rsidP="003C5810">
            <w:pPr>
              <w:autoSpaceDE w:val="0"/>
              <w:autoSpaceDN w:val="0"/>
              <w:adjustRightInd w:val="0"/>
              <w:spacing w:line="480" w:lineRule="exact"/>
              <w:jc w:val="center"/>
              <w:rPr>
                <w:rFonts w:asciiTheme="minorEastAsia" w:hAnsiTheme="minorEastAsia" w:cs="宋体"/>
                <w:b/>
                <w:sz w:val="24"/>
                <w:szCs w:val="24"/>
                <w:lang w:val="zh-CN"/>
              </w:rPr>
            </w:pPr>
            <w:r w:rsidRPr="003807DA">
              <w:rPr>
                <w:rFonts w:asciiTheme="minorEastAsia" w:hAnsiTheme="minorEastAsia" w:cs="宋体" w:hint="eastAsia"/>
                <w:b/>
                <w:sz w:val="24"/>
                <w:szCs w:val="24"/>
                <w:lang w:val="zh-CN"/>
              </w:rPr>
              <w:t>标段</w:t>
            </w:r>
          </w:p>
        </w:tc>
        <w:tc>
          <w:tcPr>
            <w:tcW w:w="1843" w:type="dxa"/>
            <w:shd w:val="clear" w:color="auto" w:fill="auto"/>
            <w:vAlign w:val="center"/>
          </w:tcPr>
          <w:p w14:paraId="5D875A17" w14:textId="77777777" w:rsidR="00B86225" w:rsidRPr="003807DA" w:rsidRDefault="00B86225" w:rsidP="003C5810">
            <w:pPr>
              <w:autoSpaceDE w:val="0"/>
              <w:autoSpaceDN w:val="0"/>
              <w:adjustRightInd w:val="0"/>
              <w:spacing w:line="480" w:lineRule="exact"/>
              <w:jc w:val="center"/>
              <w:rPr>
                <w:rFonts w:asciiTheme="minorEastAsia" w:hAnsiTheme="minorEastAsia" w:cs="宋体"/>
                <w:b/>
                <w:sz w:val="24"/>
                <w:szCs w:val="24"/>
                <w:lang w:val="zh-CN"/>
              </w:rPr>
            </w:pPr>
            <w:r w:rsidRPr="003807DA">
              <w:rPr>
                <w:rFonts w:asciiTheme="minorEastAsia" w:hAnsiTheme="minorEastAsia" w:cs="宋体" w:hint="eastAsia"/>
                <w:b/>
                <w:sz w:val="24"/>
                <w:szCs w:val="24"/>
                <w:lang w:val="zh-CN"/>
              </w:rPr>
              <w:t>项目名称</w:t>
            </w:r>
          </w:p>
        </w:tc>
        <w:tc>
          <w:tcPr>
            <w:tcW w:w="3685" w:type="dxa"/>
            <w:shd w:val="clear" w:color="auto" w:fill="auto"/>
            <w:vAlign w:val="center"/>
          </w:tcPr>
          <w:p w14:paraId="2C980CF5" w14:textId="77777777" w:rsidR="00B86225" w:rsidRPr="003807DA" w:rsidRDefault="00B86225" w:rsidP="003C5810">
            <w:pPr>
              <w:autoSpaceDE w:val="0"/>
              <w:autoSpaceDN w:val="0"/>
              <w:adjustRightInd w:val="0"/>
              <w:spacing w:line="480" w:lineRule="exact"/>
              <w:jc w:val="center"/>
              <w:rPr>
                <w:rFonts w:asciiTheme="minorEastAsia" w:hAnsiTheme="minorEastAsia" w:cs="宋体"/>
                <w:b/>
                <w:sz w:val="24"/>
                <w:szCs w:val="24"/>
                <w:lang w:val="zh-CN"/>
              </w:rPr>
            </w:pPr>
            <w:r w:rsidRPr="003807DA">
              <w:rPr>
                <w:rFonts w:asciiTheme="minorEastAsia" w:hAnsiTheme="minorEastAsia" w:cs="宋体" w:hint="eastAsia"/>
                <w:b/>
                <w:sz w:val="24"/>
                <w:szCs w:val="24"/>
                <w:lang w:val="zh-CN"/>
              </w:rPr>
              <w:t>投标报价</w:t>
            </w:r>
          </w:p>
        </w:tc>
        <w:tc>
          <w:tcPr>
            <w:tcW w:w="1843" w:type="dxa"/>
            <w:shd w:val="clear" w:color="auto" w:fill="auto"/>
            <w:vAlign w:val="center"/>
          </w:tcPr>
          <w:p w14:paraId="6035DC5B" w14:textId="77777777" w:rsidR="00B86225" w:rsidRPr="003807DA" w:rsidRDefault="00B86225" w:rsidP="003C5810">
            <w:pPr>
              <w:autoSpaceDE w:val="0"/>
              <w:autoSpaceDN w:val="0"/>
              <w:adjustRightInd w:val="0"/>
              <w:spacing w:line="480" w:lineRule="exact"/>
              <w:jc w:val="center"/>
              <w:rPr>
                <w:rFonts w:asciiTheme="minorEastAsia" w:hAnsiTheme="minorEastAsia" w:cs="宋体"/>
                <w:b/>
                <w:sz w:val="24"/>
                <w:szCs w:val="24"/>
                <w:lang w:val="zh-CN"/>
              </w:rPr>
            </w:pPr>
            <w:r w:rsidRPr="003807DA">
              <w:rPr>
                <w:rFonts w:asciiTheme="minorEastAsia" w:hAnsiTheme="minorEastAsia" w:cs="宋体" w:hint="eastAsia"/>
                <w:b/>
                <w:sz w:val="24"/>
                <w:szCs w:val="24"/>
                <w:lang w:val="zh-CN"/>
              </w:rPr>
              <w:t>交付日期（天）</w:t>
            </w:r>
          </w:p>
        </w:tc>
        <w:tc>
          <w:tcPr>
            <w:tcW w:w="850" w:type="dxa"/>
            <w:shd w:val="clear" w:color="auto" w:fill="auto"/>
            <w:vAlign w:val="center"/>
          </w:tcPr>
          <w:p w14:paraId="0D538898" w14:textId="77777777" w:rsidR="00B86225" w:rsidRPr="003807DA" w:rsidRDefault="00B86225" w:rsidP="003C5810">
            <w:pPr>
              <w:autoSpaceDE w:val="0"/>
              <w:autoSpaceDN w:val="0"/>
              <w:adjustRightInd w:val="0"/>
              <w:spacing w:line="480" w:lineRule="exact"/>
              <w:jc w:val="center"/>
              <w:rPr>
                <w:rFonts w:asciiTheme="minorEastAsia" w:hAnsiTheme="minorEastAsia" w:cs="宋体"/>
                <w:b/>
                <w:sz w:val="24"/>
                <w:szCs w:val="24"/>
                <w:lang w:val="zh-CN"/>
              </w:rPr>
            </w:pPr>
            <w:r w:rsidRPr="003807DA">
              <w:rPr>
                <w:rFonts w:asciiTheme="minorEastAsia" w:hAnsiTheme="minorEastAsia" w:cs="宋体" w:hint="eastAsia"/>
                <w:b/>
                <w:sz w:val="24"/>
                <w:szCs w:val="24"/>
                <w:lang w:val="zh-CN"/>
              </w:rPr>
              <w:t>备注</w:t>
            </w:r>
          </w:p>
        </w:tc>
      </w:tr>
      <w:tr w:rsidR="00B86225" w:rsidRPr="003807DA" w14:paraId="5B9A5087" w14:textId="77777777" w:rsidTr="003C5810">
        <w:trPr>
          <w:trHeight w:val="851"/>
        </w:trPr>
        <w:tc>
          <w:tcPr>
            <w:tcW w:w="959" w:type="dxa"/>
            <w:shd w:val="clear" w:color="auto" w:fill="auto"/>
            <w:vAlign w:val="center"/>
          </w:tcPr>
          <w:p w14:paraId="58B6AF36" w14:textId="77777777" w:rsidR="00B86225" w:rsidRPr="003807DA" w:rsidRDefault="00B86225" w:rsidP="003C5810">
            <w:pPr>
              <w:autoSpaceDE w:val="0"/>
              <w:autoSpaceDN w:val="0"/>
              <w:adjustRightInd w:val="0"/>
              <w:spacing w:line="480" w:lineRule="exact"/>
              <w:ind w:firstLine="240"/>
              <w:jc w:val="center"/>
              <w:rPr>
                <w:rFonts w:asciiTheme="minorEastAsia" w:hAnsiTheme="minorEastAsia"/>
                <w:sz w:val="24"/>
                <w:szCs w:val="24"/>
              </w:rPr>
            </w:pPr>
            <w:r w:rsidRPr="003807DA">
              <w:rPr>
                <w:rFonts w:asciiTheme="minorEastAsia" w:hAnsiTheme="minorEastAsia"/>
                <w:sz w:val="24"/>
                <w:szCs w:val="24"/>
              </w:rPr>
              <w:t>1</w:t>
            </w:r>
          </w:p>
        </w:tc>
        <w:tc>
          <w:tcPr>
            <w:tcW w:w="1843" w:type="dxa"/>
            <w:shd w:val="clear" w:color="auto" w:fill="auto"/>
            <w:vAlign w:val="center"/>
          </w:tcPr>
          <w:p w14:paraId="736C7DDC" w14:textId="77777777" w:rsidR="00B86225" w:rsidRPr="003807DA" w:rsidRDefault="00B86225" w:rsidP="003C5810">
            <w:pPr>
              <w:autoSpaceDE w:val="0"/>
              <w:autoSpaceDN w:val="0"/>
              <w:adjustRightInd w:val="0"/>
              <w:spacing w:line="480" w:lineRule="exact"/>
              <w:jc w:val="center"/>
              <w:rPr>
                <w:rFonts w:asciiTheme="minorEastAsia" w:hAnsiTheme="minorEastAsia"/>
                <w:sz w:val="24"/>
                <w:szCs w:val="24"/>
              </w:rPr>
            </w:pPr>
            <w:r w:rsidRPr="003807DA">
              <w:rPr>
                <w:rFonts w:cs="仿宋_GB2312" w:hint="eastAsia"/>
                <w:sz w:val="24"/>
                <w:szCs w:val="24"/>
                <w:shd w:val="clear" w:color="auto" w:fill="FFFFFF"/>
              </w:rPr>
              <w:t>智慧新能源实训系统</w:t>
            </w:r>
          </w:p>
        </w:tc>
        <w:tc>
          <w:tcPr>
            <w:tcW w:w="3685" w:type="dxa"/>
            <w:shd w:val="clear" w:color="auto" w:fill="auto"/>
            <w:vAlign w:val="center"/>
          </w:tcPr>
          <w:p w14:paraId="2425598F" w14:textId="52BF1E60" w:rsidR="00B86225" w:rsidRPr="003807DA" w:rsidRDefault="00B86225" w:rsidP="00EC7E71">
            <w:pPr>
              <w:autoSpaceDE w:val="0"/>
              <w:autoSpaceDN w:val="0"/>
              <w:adjustRightInd w:val="0"/>
              <w:spacing w:line="480" w:lineRule="exact"/>
              <w:jc w:val="center"/>
              <w:rPr>
                <w:rFonts w:asciiTheme="minorEastAsia" w:hAnsiTheme="minorEastAsia" w:cs="宋体"/>
                <w:sz w:val="24"/>
                <w:szCs w:val="24"/>
                <w:lang w:val="zh-CN"/>
              </w:rPr>
            </w:pPr>
            <w:r w:rsidRPr="003807DA">
              <w:rPr>
                <w:rFonts w:asciiTheme="minorEastAsia" w:hAnsiTheme="minorEastAsia" w:cs="宋体" w:hint="eastAsia"/>
                <w:sz w:val="24"/>
                <w:szCs w:val="24"/>
                <w:lang w:val="zh-CN"/>
              </w:rPr>
              <w:t>大写：贰拾陆万圆整　　　　　　小写：26</w:t>
            </w:r>
            <w:r w:rsidR="00EC7E71">
              <w:rPr>
                <w:rFonts w:asciiTheme="minorEastAsia" w:hAnsiTheme="minorEastAsia" w:cs="宋体" w:hint="eastAsia"/>
                <w:sz w:val="24"/>
                <w:szCs w:val="24"/>
                <w:lang w:val="zh-CN"/>
              </w:rPr>
              <w:t>0</w:t>
            </w:r>
            <w:r w:rsidRPr="003807DA">
              <w:rPr>
                <w:rFonts w:asciiTheme="minorEastAsia" w:hAnsiTheme="minorEastAsia" w:cs="宋体" w:hint="eastAsia"/>
                <w:sz w:val="24"/>
                <w:szCs w:val="24"/>
                <w:lang w:val="zh-CN"/>
              </w:rPr>
              <w:t>000</w:t>
            </w:r>
            <w:r>
              <w:rPr>
                <w:rFonts w:asciiTheme="minorEastAsia" w:hAnsiTheme="minorEastAsia" w:cs="宋体" w:hint="eastAsia"/>
                <w:sz w:val="24"/>
                <w:szCs w:val="24"/>
                <w:lang w:val="zh-CN"/>
              </w:rPr>
              <w:t>元</w:t>
            </w:r>
          </w:p>
        </w:tc>
        <w:tc>
          <w:tcPr>
            <w:tcW w:w="1843" w:type="dxa"/>
            <w:shd w:val="clear" w:color="auto" w:fill="auto"/>
            <w:vAlign w:val="center"/>
          </w:tcPr>
          <w:p w14:paraId="47E98782" w14:textId="77777777" w:rsidR="00B86225" w:rsidRPr="003807DA" w:rsidRDefault="00B86225" w:rsidP="003C5810">
            <w:pPr>
              <w:autoSpaceDE w:val="0"/>
              <w:autoSpaceDN w:val="0"/>
              <w:adjustRightInd w:val="0"/>
              <w:spacing w:line="480" w:lineRule="exact"/>
              <w:jc w:val="center"/>
              <w:rPr>
                <w:rFonts w:asciiTheme="minorEastAsia" w:hAnsiTheme="minorEastAsia" w:cs="宋体"/>
                <w:sz w:val="24"/>
                <w:szCs w:val="24"/>
                <w:lang w:val="zh-CN"/>
              </w:rPr>
            </w:pPr>
            <w:r w:rsidRPr="003807DA">
              <w:rPr>
                <w:rFonts w:asciiTheme="minorEastAsia" w:hAnsiTheme="minorEastAsia" w:cs="仿宋_GB2312" w:hint="eastAsia"/>
                <w:sz w:val="24"/>
                <w:szCs w:val="24"/>
                <w:shd w:val="clear" w:color="auto" w:fill="FFFFFF"/>
              </w:rPr>
              <w:t>合同签订后一周内</w:t>
            </w:r>
          </w:p>
        </w:tc>
        <w:tc>
          <w:tcPr>
            <w:tcW w:w="850" w:type="dxa"/>
            <w:shd w:val="clear" w:color="auto" w:fill="auto"/>
            <w:vAlign w:val="center"/>
          </w:tcPr>
          <w:p w14:paraId="650067C8" w14:textId="77777777" w:rsidR="00B86225" w:rsidRPr="003807DA" w:rsidRDefault="00B86225" w:rsidP="003C5810">
            <w:pPr>
              <w:autoSpaceDE w:val="0"/>
              <w:autoSpaceDN w:val="0"/>
              <w:adjustRightInd w:val="0"/>
              <w:spacing w:line="480" w:lineRule="exact"/>
              <w:ind w:firstLine="240"/>
              <w:jc w:val="center"/>
              <w:rPr>
                <w:rFonts w:asciiTheme="minorEastAsia" w:hAnsiTheme="minorEastAsia" w:cs="宋体"/>
                <w:sz w:val="24"/>
                <w:szCs w:val="24"/>
                <w:lang w:val="zh-CN"/>
              </w:rPr>
            </w:pPr>
            <w:r w:rsidRPr="003807DA">
              <w:rPr>
                <w:rFonts w:asciiTheme="minorEastAsia" w:hAnsiTheme="minorEastAsia" w:cs="宋体" w:hint="eastAsia"/>
                <w:sz w:val="24"/>
                <w:szCs w:val="24"/>
                <w:lang w:val="zh-CN"/>
              </w:rPr>
              <w:t>无</w:t>
            </w:r>
          </w:p>
        </w:tc>
      </w:tr>
    </w:tbl>
    <w:p w14:paraId="4A1021F6" w14:textId="77777777" w:rsidR="00B86225" w:rsidRPr="003807DA" w:rsidRDefault="00B86225" w:rsidP="00B86225">
      <w:pPr>
        <w:autoSpaceDE w:val="0"/>
        <w:autoSpaceDN w:val="0"/>
        <w:adjustRightInd w:val="0"/>
        <w:spacing w:line="480" w:lineRule="auto"/>
        <w:rPr>
          <w:rFonts w:asciiTheme="minorEastAsia" w:hAnsiTheme="minorEastAsia" w:cs="宋体"/>
          <w:sz w:val="24"/>
          <w:szCs w:val="24"/>
          <w:lang w:val="zh-CN"/>
        </w:rPr>
      </w:pPr>
      <w:r w:rsidRPr="003807DA">
        <w:rPr>
          <w:rFonts w:asciiTheme="minorEastAsia" w:hAnsiTheme="minorEastAsia" w:cs="宋体" w:hint="eastAsia"/>
          <w:sz w:val="24"/>
          <w:szCs w:val="24"/>
          <w:lang w:val="zh-CN"/>
        </w:rPr>
        <w:t>投标人名称：</w:t>
      </w:r>
      <w:r w:rsidRPr="003807DA">
        <w:rPr>
          <w:rFonts w:ascii="宋体" w:hAnsi="宋体" w:cs="宋体" w:hint="eastAsia"/>
          <w:sz w:val="24"/>
          <w:szCs w:val="24"/>
          <w:u w:val="single"/>
        </w:rPr>
        <w:t>河南宸朵商贸有限公司</w:t>
      </w:r>
      <w:r w:rsidRPr="003807DA">
        <w:rPr>
          <w:rFonts w:asciiTheme="minorEastAsia" w:hAnsiTheme="minorEastAsia" w:cs="宋体" w:hint="eastAsia"/>
          <w:sz w:val="24"/>
          <w:szCs w:val="24"/>
          <w:lang w:val="zh-CN"/>
        </w:rPr>
        <w:t>（公章）</w:t>
      </w:r>
    </w:p>
    <w:p w14:paraId="67F3A8D1" w14:textId="77777777" w:rsidR="00B86225" w:rsidRPr="003807DA" w:rsidRDefault="00B86225" w:rsidP="00B86225">
      <w:pPr>
        <w:autoSpaceDE w:val="0"/>
        <w:autoSpaceDN w:val="0"/>
        <w:adjustRightInd w:val="0"/>
        <w:spacing w:line="480" w:lineRule="auto"/>
        <w:rPr>
          <w:rFonts w:asciiTheme="minorEastAsia" w:hAnsiTheme="minorEastAsia" w:cs="宋体"/>
          <w:sz w:val="24"/>
          <w:szCs w:val="24"/>
          <w:lang w:val="zh-CN"/>
        </w:rPr>
      </w:pPr>
      <w:r w:rsidRPr="003807DA">
        <w:rPr>
          <w:rFonts w:asciiTheme="minorEastAsia" w:hAnsiTheme="minorEastAsia" w:cs="宋体" w:hint="eastAsia"/>
          <w:sz w:val="24"/>
          <w:szCs w:val="24"/>
          <w:lang w:val="zh-CN"/>
        </w:rPr>
        <w:t>投标人法定代表人（或授权代表）签字：</w:t>
      </w:r>
      <w:r w:rsidRPr="00C545CB">
        <w:rPr>
          <w:rFonts w:asciiTheme="minorEastAsia" w:hAnsiTheme="minorEastAsia" w:cs="宋体" w:hint="eastAsia"/>
          <w:sz w:val="24"/>
          <w:szCs w:val="24"/>
          <w:u w:val="single"/>
          <w:lang w:val="zh-CN"/>
        </w:rPr>
        <w:t xml:space="preserve">              </w:t>
      </w:r>
    </w:p>
    <w:p w14:paraId="09A03A96" w14:textId="77777777" w:rsidR="00B86225" w:rsidRPr="003807DA" w:rsidRDefault="00B86225" w:rsidP="00B86225">
      <w:pPr>
        <w:autoSpaceDE w:val="0"/>
        <w:autoSpaceDN w:val="0"/>
        <w:adjustRightInd w:val="0"/>
        <w:spacing w:line="480" w:lineRule="auto"/>
        <w:rPr>
          <w:rFonts w:asciiTheme="minorEastAsia" w:hAnsiTheme="minorEastAsia" w:cs="宋体"/>
          <w:sz w:val="24"/>
          <w:szCs w:val="24"/>
          <w:lang w:val="zh-CN"/>
        </w:rPr>
      </w:pPr>
      <w:r w:rsidRPr="003807DA">
        <w:rPr>
          <w:rFonts w:asciiTheme="minorEastAsia" w:hAnsiTheme="minorEastAsia" w:cs="宋体" w:hint="eastAsia"/>
          <w:sz w:val="24"/>
          <w:szCs w:val="24"/>
          <w:lang w:val="zh-CN"/>
        </w:rPr>
        <w:t>日期：</w:t>
      </w:r>
      <w:r w:rsidRPr="00C545CB">
        <w:rPr>
          <w:rFonts w:asciiTheme="minorEastAsia" w:hAnsiTheme="minorEastAsia" w:cs="宋体"/>
          <w:sz w:val="24"/>
          <w:szCs w:val="24"/>
          <w:u w:val="single"/>
          <w:lang w:val="zh-CN"/>
        </w:rPr>
        <w:t>2019</w:t>
      </w:r>
      <w:r w:rsidRPr="003807DA">
        <w:rPr>
          <w:rFonts w:asciiTheme="minorEastAsia" w:hAnsiTheme="minorEastAsia" w:cs="宋体" w:hint="eastAsia"/>
          <w:sz w:val="24"/>
          <w:szCs w:val="24"/>
          <w:lang w:val="zh-CN"/>
        </w:rPr>
        <w:t>年</w:t>
      </w:r>
      <w:r w:rsidRPr="00C545CB">
        <w:rPr>
          <w:rFonts w:asciiTheme="minorEastAsia" w:hAnsiTheme="minorEastAsia" w:cs="宋体"/>
          <w:sz w:val="24"/>
          <w:szCs w:val="24"/>
          <w:u w:val="single"/>
          <w:lang w:val="zh-CN"/>
        </w:rPr>
        <w:t xml:space="preserve"> 3 </w:t>
      </w:r>
      <w:r w:rsidRPr="003807DA">
        <w:rPr>
          <w:rFonts w:asciiTheme="minorEastAsia" w:hAnsiTheme="minorEastAsia" w:cs="宋体" w:hint="eastAsia"/>
          <w:sz w:val="24"/>
          <w:szCs w:val="24"/>
          <w:lang w:val="zh-CN"/>
        </w:rPr>
        <w:t>月</w:t>
      </w:r>
      <w:r w:rsidRPr="00C545CB">
        <w:rPr>
          <w:rFonts w:asciiTheme="minorEastAsia" w:hAnsiTheme="minorEastAsia" w:cs="宋体"/>
          <w:sz w:val="24"/>
          <w:szCs w:val="24"/>
          <w:u w:val="single"/>
          <w:lang w:val="zh-CN"/>
        </w:rPr>
        <w:t xml:space="preserve"> 6 </w:t>
      </w:r>
      <w:r w:rsidRPr="003807DA">
        <w:rPr>
          <w:rFonts w:asciiTheme="minorEastAsia" w:hAnsiTheme="minorEastAsia" w:cs="宋体" w:hint="eastAsia"/>
          <w:sz w:val="24"/>
          <w:szCs w:val="24"/>
          <w:lang w:val="zh-CN"/>
        </w:rPr>
        <w:t>日</w:t>
      </w:r>
    </w:p>
    <w:p w14:paraId="356BE0E2" w14:textId="68B30C0E" w:rsidR="00B86225" w:rsidRDefault="00B86225" w:rsidP="00B86225">
      <w:pPr>
        <w:rPr>
          <w:rFonts w:hint="eastAsia"/>
        </w:rPr>
      </w:pPr>
    </w:p>
    <w:p w14:paraId="3C6FE69F" w14:textId="6D05B34C" w:rsidR="00F64260" w:rsidRPr="001F0F98" w:rsidRDefault="00F64260" w:rsidP="00F64260">
      <w:pPr>
        <w:pStyle w:val="2"/>
        <w:jc w:val="center"/>
        <w:rPr>
          <w:snapToGrid w:val="0"/>
        </w:rPr>
      </w:pPr>
      <w:bookmarkStart w:id="2" w:name="_Toc2442539"/>
      <w:r w:rsidRPr="001F0F98">
        <w:rPr>
          <w:rFonts w:ascii="宋体" w:hint="eastAsia"/>
        </w:rPr>
        <w:lastRenderedPageBreak/>
        <w:t xml:space="preserve">4.1 </w:t>
      </w:r>
      <w:r w:rsidRPr="001F0F98">
        <w:rPr>
          <w:rFonts w:hint="eastAsia"/>
          <w:snapToGrid w:val="0"/>
        </w:rPr>
        <w:t>投标分项</w:t>
      </w:r>
      <w:r>
        <w:rPr>
          <w:rFonts w:hint="eastAsia"/>
          <w:snapToGrid w:val="0"/>
        </w:rPr>
        <w:t>二次</w:t>
      </w:r>
      <w:r w:rsidRPr="001F0F98">
        <w:rPr>
          <w:rFonts w:hint="eastAsia"/>
          <w:snapToGrid w:val="0"/>
        </w:rPr>
        <w:t>报价表</w:t>
      </w:r>
      <w:bookmarkEnd w:id="2"/>
    </w:p>
    <w:p w14:paraId="2BEF37A2" w14:textId="77777777" w:rsidR="00F64260" w:rsidRPr="0048075F" w:rsidRDefault="00F64260" w:rsidP="00F64260">
      <w:pPr>
        <w:rPr>
          <w:rFonts w:asciiTheme="majorEastAsia" w:eastAsiaTheme="majorEastAsia" w:hAnsiTheme="majorEastAsia"/>
          <w:sz w:val="24"/>
          <w:szCs w:val="24"/>
        </w:rPr>
      </w:pPr>
      <w:r w:rsidRPr="0048075F">
        <w:rPr>
          <w:rFonts w:asciiTheme="majorEastAsia" w:eastAsiaTheme="majorEastAsia" w:hAnsiTheme="majorEastAsia" w:hint="eastAsia"/>
          <w:sz w:val="24"/>
          <w:szCs w:val="24"/>
        </w:rPr>
        <w:t>项目编号：</w:t>
      </w:r>
      <w:r w:rsidRPr="0048075F">
        <w:rPr>
          <w:rFonts w:asciiTheme="majorEastAsia" w:eastAsiaTheme="majorEastAsia" w:hAnsiTheme="majorEastAsia" w:hint="eastAsia"/>
          <w:sz w:val="24"/>
          <w:szCs w:val="24"/>
          <w:shd w:val="clear" w:color="auto" w:fill="FFFFFF"/>
        </w:rPr>
        <w:t>ZFCG-T2019008号</w:t>
      </w:r>
    </w:p>
    <w:p w14:paraId="1335FB79" w14:textId="77777777" w:rsidR="00F64260" w:rsidRPr="0048075F" w:rsidRDefault="00F64260" w:rsidP="00F64260">
      <w:pPr>
        <w:rPr>
          <w:rFonts w:asciiTheme="majorEastAsia" w:eastAsiaTheme="majorEastAsia" w:hAnsiTheme="majorEastAsia"/>
          <w:sz w:val="24"/>
          <w:szCs w:val="24"/>
        </w:rPr>
      </w:pPr>
      <w:r w:rsidRPr="0048075F">
        <w:rPr>
          <w:rFonts w:asciiTheme="majorEastAsia" w:eastAsiaTheme="majorEastAsia" w:hAnsiTheme="majorEastAsia" w:hint="eastAsia"/>
          <w:sz w:val="24"/>
          <w:szCs w:val="24"/>
        </w:rPr>
        <w:t>项目名称：</w:t>
      </w:r>
      <w:r w:rsidRPr="0048075F">
        <w:rPr>
          <w:rFonts w:asciiTheme="majorEastAsia" w:eastAsiaTheme="majorEastAsia" w:hAnsiTheme="majorEastAsia" w:hint="eastAsia"/>
          <w:sz w:val="24"/>
          <w:szCs w:val="24"/>
          <w:shd w:val="clear" w:color="auto" w:fill="FFFFFF"/>
        </w:rPr>
        <w:t>智慧新能源实训系统</w:t>
      </w:r>
    </w:p>
    <w:tbl>
      <w:tblPr>
        <w:tblStyle w:val="a3"/>
        <w:tblW w:w="0" w:type="auto"/>
        <w:tblLook w:val="04A0" w:firstRow="1" w:lastRow="0" w:firstColumn="1" w:lastColumn="0" w:noHBand="0" w:noVBand="1"/>
      </w:tblPr>
      <w:tblGrid>
        <w:gridCol w:w="477"/>
        <w:gridCol w:w="627"/>
        <w:gridCol w:w="1480"/>
        <w:gridCol w:w="7365"/>
        <w:gridCol w:w="535"/>
        <w:gridCol w:w="457"/>
        <w:gridCol w:w="992"/>
        <w:gridCol w:w="992"/>
        <w:gridCol w:w="1025"/>
      </w:tblGrid>
      <w:tr w:rsidR="00F64260" w:rsidRPr="003807DA" w14:paraId="7C56E01E" w14:textId="77777777" w:rsidTr="003C5810">
        <w:tc>
          <w:tcPr>
            <w:tcW w:w="0" w:type="auto"/>
            <w:vAlign w:val="center"/>
          </w:tcPr>
          <w:p w14:paraId="18FD1E96" w14:textId="77777777" w:rsidR="00F64260" w:rsidRPr="003807DA" w:rsidRDefault="00F64260" w:rsidP="003C5810">
            <w:pPr>
              <w:autoSpaceDE w:val="0"/>
              <w:autoSpaceDN w:val="0"/>
              <w:adjustRightInd w:val="0"/>
              <w:spacing w:line="280" w:lineRule="exact"/>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序号</w:t>
            </w:r>
          </w:p>
        </w:tc>
        <w:tc>
          <w:tcPr>
            <w:tcW w:w="0" w:type="auto"/>
            <w:vAlign w:val="center"/>
          </w:tcPr>
          <w:p w14:paraId="418B1ADD"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名</w:t>
            </w:r>
            <w:r w:rsidRPr="003807DA">
              <w:rPr>
                <w:rFonts w:asciiTheme="majorEastAsia" w:eastAsiaTheme="majorEastAsia" w:hAnsiTheme="majorEastAsia" w:cs="宋体"/>
                <w:b/>
                <w:sz w:val="24"/>
                <w:szCs w:val="24"/>
                <w:lang w:val="zh-CN"/>
              </w:rPr>
              <w:t xml:space="preserve"> </w:t>
            </w:r>
            <w:r w:rsidRPr="003807DA">
              <w:rPr>
                <w:rFonts w:asciiTheme="majorEastAsia" w:eastAsiaTheme="majorEastAsia" w:hAnsiTheme="majorEastAsia" w:cs="宋体" w:hint="eastAsia"/>
                <w:b/>
                <w:sz w:val="24"/>
                <w:szCs w:val="24"/>
                <w:lang w:val="zh-CN"/>
              </w:rPr>
              <w:t>称</w:t>
            </w:r>
          </w:p>
        </w:tc>
        <w:tc>
          <w:tcPr>
            <w:tcW w:w="0" w:type="auto"/>
            <w:vAlign w:val="center"/>
          </w:tcPr>
          <w:p w14:paraId="109256DF" w14:textId="77777777" w:rsidR="00F64260" w:rsidRPr="003807DA" w:rsidRDefault="00F64260" w:rsidP="003C5810">
            <w:pPr>
              <w:autoSpaceDE w:val="0"/>
              <w:autoSpaceDN w:val="0"/>
              <w:adjustRightInd w:val="0"/>
              <w:spacing w:line="360" w:lineRule="auto"/>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品牌规格型号</w:t>
            </w:r>
          </w:p>
        </w:tc>
        <w:tc>
          <w:tcPr>
            <w:tcW w:w="7365" w:type="dxa"/>
            <w:vAlign w:val="center"/>
          </w:tcPr>
          <w:p w14:paraId="591B6088"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技术</w:t>
            </w:r>
          </w:p>
          <w:p w14:paraId="0A53321A"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参数</w:t>
            </w:r>
          </w:p>
        </w:tc>
        <w:tc>
          <w:tcPr>
            <w:tcW w:w="535" w:type="dxa"/>
            <w:vAlign w:val="center"/>
          </w:tcPr>
          <w:p w14:paraId="34B5CA1D"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单</w:t>
            </w:r>
            <w:r w:rsidRPr="003807DA">
              <w:rPr>
                <w:rFonts w:asciiTheme="majorEastAsia" w:eastAsiaTheme="majorEastAsia" w:hAnsiTheme="majorEastAsia" w:cs="宋体"/>
                <w:b/>
                <w:sz w:val="24"/>
                <w:szCs w:val="24"/>
                <w:lang w:val="zh-CN"/>
              </w:rPr>
              <w:t xml:space="preserve"> </w:t>
            </w:r>
            <w:r w:rsidRPr="003807DA">
              <w:rPr>
                <w:rFonts w:asciiTheme="majorEastAsia" w:eastAsiaTheme="majorEastAsia" w:hAnsiTheme="majorEastAsia" w:cs="宋体" w:hint="eastAsia"/>
                <w:b/>
                <w:sz w:val="24"/>
                <w:szCs w:val="24"/>
                <w:lang w:val="zh-CN"/>
              </w:rPr>
              <w:t>位</w:t>
            </w:r>
          </w:p>
        </w:tc>
        <w:tc>
          <w:tcPr>
            <w:tcW w:w="457" w:type="dxa"/>
            <w:vAlign w:val="center"/>
          </w:tcPr>
          <w:p w14:paraId="3D179CFE"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数</w:t>
            </w:r>
            <w:r w:rsidRPr="003807DA">
              <w:rPr>
                <w:rFonts w:asciiTheme="majorEastAsia" w:eastAsiaTheme="majorEastAsia" w:hAnsiTheme="majorEastAsia" w:cs="宋体"/>
                <w:b/>
                <w:sz w:val="24"/>
                <w:szCs w:val="24"/>
                <w:lang w:val="zh-CN"/>
              </w:rPr>
              <w:t xml:space="preserve"> </w:t>
            </w:r>
            <w:r w:rsidRPr="003807DA">
              <w:rPr>
                <w:rFonts w:asciiTheme="majorEastAsia" w:eastAsiaTheme="majorEastAsia" w:hAnsiTheme="majorEastAsia" w:cs="宋体" w:hint="eastAsia"/>
                <w:b/>
                <w:sz w:val="24"/>
                <w:szCs w:val="24"/>
                <w:lang w:val="zh-CN"/>
              </w:rPr>
              <w:t>量</w:t>
            </w:r>
          </w:p>
        </w:tc>
        <w:tc>
          <w:tcPr>
            <w:tcW w:w="992" w:type="dxa"/>
            <w:vAlign w:val="center"/>
          </w:tcPr>
          <w:p w14:paraId="4DEE89AD"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单价</w:t>
            </w:r>
          </w:p>
        </w:tc>
        <w:tc>
          <w:tcPr>
            <w:tcW w:w="992" w:type="dxa"/>
            <w:vAlign w:val="center"/>
          </w:tcPr>
          <w:p w14:paraId="53247DAD" w14:textId="77777777" w:rsidR="00F64260" w:rsidRPr="003807DA" w:rsidRDefault="00F64260" w:rsidP="003C5810">
            <w:pPr>
              <w:autoSpaceDE w:val="0"/>
              <w:autoSpaceDN w:val="0"/>
              <w:adjustRightInd w:val="0"/>
              <w:spacing w:line="360" w:lineRule="auto"/>
              <w:ind w:firstLine="120"/>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总价</w:t>
            </w:r>
          </w:p>
        </w:tc>
        <w:tc>
          <w:tcPr>
            <w:tcW w:w="1025" w:type="dxa"/>
            <w:vAlign w:val="center"/>
          </w:tcPr>
          <w:p w14:paraId="39F628CB" w14:textId="77777777" w:rsidR="00F64260" w:rsidRPr="003807DA" w:rsidRDefault="00F64260" w:rsidP="003C5810">
            <w:pPr>
              <w:autoSpaceDE w:val="0"/>
              <w:autoSpaceDN w:val="0"/>
              <w:adjustRightInd w:val="0"/>
              <w:spacing w:line="360" w:lineRule="auto"/>
              <w:ind w:left="120" w:hanging="120"/>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产地及</w:t>
            </w:r>
          </w:p>
          <w:p w14:paraId="3387D082" w14:textId="77777777" w:rsidR="00F64260" w:rsidRPr="003807DA" w:rsidRDefault="00F64260" w:rsidP="003C5810">
            <w:pPr>
              <w:autoSpaceDE w:val="0"/>
              <w:autoSpaceDN w:val="0"/>
              <w:adjustRightInd w:val="0"/>
              <w:spacing w:line="360" w:lineRule="auto"/>
              <w:ind w:left="120" w:hanging="120"/>
              <w:jc w:val="center"/>
              <w:rPr>
                <w:rFonts w:asciiTheme="majorEastAsia" w:eastAsiaTheme="majorEastAsia" w:hAnsiTheme="majorEastAsia" w:cs="宋体"/>
                <w:b/>
                <w:sz w:val="24"/>
                <w:szCs w:val="24"/>
                <w:lang w:val="zh-CN"/>
              </w:rPr>
            </w:pPr>
            <w:r w:rsidRPr="003807DA">
              <w:rPr>
                <w:rFonts w:asciiTheme="majorEastAsia" w:eastAsiaTheme="majorEastAsia" w:hAnsiTheme="majorEastAsia" w:cs="宋体" w:hint="eastAsia"/>
                <w:b/>
                <w:sz w:val="24"/>
                <w:szCs w:val="24"/>
                <w:lang w:val="zh-CN"/>
              </w:rPr>
              <w:t>厂家</w:t>
            </w:r>
          </w:p>
        </w:tc>
      </w:tr>
      <w:tr w:rsidR="00F64260" w:rsidRPr="003807DA" w14:paraId="6A522942" w14:textId="77777777" w:rsidTr="003C5810">
        <w:tc>
          <w:tcPr>
            <w:tcW w:w="0" w:type="auto"/>
            <w:vAlign w:val="center"/>
          </w:tcPr>
          <w:p w14:paraId="2BE0D762" w14:textId="77777777" w:rsidR="00F64260" w:rsidRPr="003807DA" w:rsidRDefault="00F64260" w:rsidP="003C5810">
            <w:pPr>
              <w:autoSpaceDE w:val="0"/>
              <w:autoSpaceDN w:val="0"/>
              <w:adjustRightInd w:val="0"/>
              <w:spacing w:line="480" w:lineRule="exact"/>
              <w:jc w:val="center"/>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w:t>
            </w:r>
          </w:p>
        </w:tc>
        <w:tc>
          <w:tcPr>
            <w:tcW w:w="0" w:type="auto"/>
            <w:vAlign w:val="center"/>
          </w:tcPr>
          <w:p w14:paraId="6BB3A76F"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智慧新能源实训系统</w:t>
            </w:r>
          </w:p>
        </w:tc>
        <w:tc>
          <w:tcPr>
            <w:tcW w:w="0" w:type="auto"/>
            <w:vAlign w:val="center"/>
          </w:tcPr>
          <w:p w14:paraId="662B4F8C"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浙江瑞亚</w:t>
            </w:r>
            <w:proofErr w:type="spellStart"/>
            <w:r w:rsidRPr="003807DA">
              <w:rPr>
                <w:rFonts w:asciiTheme="majorEastAsia" w:eastAsiaTheme="majorEastAsia" w:hAnsiTheme="majorEastAsia" w:hint="eastAsia"/>
                <w:sz w:val="24"/>
                <w:szCs w:val="24"/>
              </w:rPr>
              <w:t>Vulcan.sw</w:t>
            </w:r>
            <w:proofErr w:type="spellEnd"/>
            <w:r w:rsidRPr="003807DA">
              <w:rPr>
                <w:rFonts w:asciiTheme="majorEastAsia" w:eastAsiaTheme="majorEastAsia" w:hAnsiTheme="majorEastAsia" w:hint="eastAsia"/>
                <w:sz w:val="24"/>
                <w:szCs w:val="24"/>
              </w:rPr>
              <w:t>智慧新能源实训系统</w:t>
            </w:r>
          </w:p>
        </w:tc>
        <w:tc>
          <w:tcPr>
            <w:tcW w:w="7365" w:type="dxa"/>
          </w:tcPr>
          <w:p w14:paraId="2697A26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一、工程环境模拟平台可全面呈现并整合多种新能源部署环境，可自由组合型模拟平台，尺寸1550mm*800mm*1360mm（±5mm）。支持自由搭建地面光伏发电模块、屋顶光伏发电模块、风力发电模块等三种新能源。</w:t>
            </w:r>
          </w:p>
          <w:p w14:paraId="223D01A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1.模拟真实太阳东升西落照射轨道，可调节光照强度，并能模拟夜间，自动复轨；</w:t>
            </w:r>
          </w:p>
          <w:p w14:paraId="1975807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2.模拟南北半球不同纬度，不同安装倾角，切合实际工程；</w:t>
            </w:r>
          </w:p>
          <w:p w14:paraId="4BCF424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3.具备两种模拟的光伏安装方式；</w:t>
            </w:r>
          </w:p>
          <w:p w14:paraId="692E9C3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4.平台内嵌高清显控屏，能直观显示光照、温湿度等数据，并对光源轨道，光照强度，光源运轨进行实时调控。</w:t>
            </w:r>
          </w:p>
          <w:p w14:paraId="3C2B146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（一）、太阳能模块：提供8块可自由安装拆卸，并完成列阵安装使用的单晶硅太阳电池板。1套光伏支架，能保证在露天环境下长期使用，耐高低温、耐老化，机械强度高；安装方便快捷；可不同倾角安装。</w:t>
            </w:r>
          </w:p>
          <w:p w14:paraId="5BBAEFB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设备属性：1.17%以上转换率、高效率输出；2.具备卓越的弱光效应；采高透光率的钢化玻璃；3.铝合金工艺，坚固抗刮擦，安装方便。</w:t>
            </w:r>
          </w:p>
          <w:p w14:paraId="2D8B04B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（二）、永磁垂直发电机：自动迎风护罩式相结合技术。低风速启动，并能适应不同风向。安全可靠，防止叶片脱落、断裂和叶片飞出。发电机类型：三相交流永磁。</w:t>
            </w:r>
          </w:p>
          <w:p w14:paraId="4940B40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1.额定功率：10W；2.最大功率：15W；4.额定转速：400转/分；5.安全风速：35m/s；6.启动风速：≤2m/s；7.工作风速：3-20米。</w:t>
            </w:r>
          </w:p>
          <w:p w14:paraId="5247385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（三）、风速仪：高灵敏度，高精度，量程宽，符合国际气象组织标准。可记录、导出数据。</w:t>
            </w:r>
          </w:p>
          <w:p w14:paraId="1148A27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1.主轴机构：双轴承旋转副；</w:t>
            </w:r>
          </w:p>
          <w:p w14:paraId="2A8C9E2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2.测量精度：0-70M/S；</w:t>
            </w:r>
          </w:p>
          <w:p w14:paraId="6F9CBEA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3.测量精度：±(0.3+0.03V)M/S(V：风速)；</w:t>
            </w:r>
          </w:p>
          <w:p w14:paraId="6B4AB6C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4.启动风速：≤0.3M/S；</w:t>
            </w:r>
          </w:p>
          <w:p w14:paraId="2C52CD6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5.输入电压：24V；</w:t>
            </w:r>
          </w:p>
          <w:p w14:paraId="7F9FC66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6.输出信号：485，Modbus。</w:t>
            </w:r>
          </w:p>
          <w:p w14:paraId="2F8B6EA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二、电子中心管控平台以数据采集、集中控制、能源负载、人机界面等组件为实现载体，通过各类高精度工业级元器件部署而成的具有光伏发电控制、风力发电控制、能源转化储存、电能控制调度、存储逆变等功能的智能控制平台。</w:t>
            </w:r>
          </w:p>
          <w:p w14:paraId="131FF13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1.整体工位可拆卸、可折叠，节约设备占地空间；  </w:t>
            </w:r>
          </w:p>
          <w:p w14:paraId="4B7616A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2.采用钢结构和铝合金型材为基础材质； </w:t>
            </w:r>
          </w:p>
          <w:p w14:paraId="0C4F398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3.无缝衔接实际工程项目；</w:t>
            </w:r>
          </w:p>
          <w:p w14:paraId="565E4FA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 xml:space="preserve"> 4.套件式组件提供。</w:t>
            </w:r>
          </w:p>
          <w:p w14:paraId="7B2367B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（一）、直流电压表：</w:t>
            </w:r>
          </w:p>
          <w:p w14:paraId="184E45A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1.提供数字显示，具备本地数据查询；</w:t>
            </w:r>
          </w:p>
          <w:p w14:paraId="0DD2C27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2.电流变比可编程设置；</w:t>
            </w:r>
          </w:p>
          <w:p w14:paraId="697AAB1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3.支持RS-485通讯，Modbus-RTU协议；</w:t>
            </w:r>
          </w:p>
          <w:p w14:paraId="2203629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4.支持开关量输入、开关量输出、模拟量输出。</w:t>
            </w:r>
          </w:p>
          <w:p w14:paraId="76EAC3C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5.量程：DC450V；过负：1.2倍(持续),10倍/5秒(瞬时)； 功耗：&lt;1VA/相；阻抗：&gt;300KΩ；频率：45~65Hz；通讯接口：1路RS-485通讯，Modbus-RTU协议；波特率：1200~9600bps，默认2400bps；交流耐压：AC2KV；电磁兼容性能：静电放电：4级；电快速瞬变脉群：4级；浪涌(冲击)：4级。</w:t>
            </w:r>
          </w:p>
          <w:p w14:paraId="2766741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（二）、直流电流表：</w:t>
            </w:r>
          </w:p>
          <w:p w14:paraId="2080E13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1.提供数字显示，具备本地数据查询；</w:t>
            </w:r>
          </w:p>
          <w:p w14:paraId="0B4BBCD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2.电流变比可编程设置；</w:t>
            </w:r>
          </w:p>
          <w:p w14:paraId="7397514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3.支持RS-485通讯，Modbus-RTU协议；</w:t>
            </w:r>
          </w:p>
          <w:p w14:paraId="0F14EE5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4.支持开关量输入、开关量输出、模拟量输出。</w:t>
            </w:r>
          </w:p>
          <w:p w14:paraId="3108ADF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5、量程：DC5A；过负：1.2倍(持续),10倍/5秒(瞬时)；功耗：&lt;1VA/相；阻抗：&lt;20mΩ；频率：45~65Hz。</w:t>
            </w:r>
          </w:p>
          <w:p w14:paraId="3506AA3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6、功能模块：通讯接口：1路RS-485通讯，Modbus-RTU协议；波特率：1200~9600bps，默认2400bps。交流耐压：AC2KV。</w:t>
            </w:r>
          </w:p>
          <w:p w14:paraId="5BBC860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7、电磁兼容性能：静电放电：4级；电快速瞬变脉群：4级；浪涌(冲击)：4级。</w:t>
            </w:r>
          </w:p>
          <w:p w14:paraId="6A6F6F8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（三）、交流电压表：</w:t>
            </w:r>
          </w:p>
          <w:p w14:paraId="50172AF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1.提供数字显示，具备本地数据查询；</w:t>
            </w:r>
          </w:p>
          <w:p w14:paraId="23D94A0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2.电流变比可编程设置；</w:t>
            </w:r>
          </w:p>
          <w:p w14:paraId="61F9129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3.支持RS-485通讯，Modbus-RTU协议；</w:t>
            </w:r>
          </w:p>
          <w:p w14:paraId="2B4BA30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4.支持开关量输入、开关量输出、模拟量输出。</w:t>
            </w:r>
          </w:p>
          <w:p w14:paraId="0FB9C11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5、接线方式：单相；额定电压：AC450V；过负：1.2倍(持续),10倍/5秒(瞬时)；功耗：&lt;1VA/相；频率：45~65Hz。</w:t>
            </w:r>
          </w:p>
          <w:p w14:paraId="6430A99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6、功能模块：通讯接口：1路RS-485通讯，Modbus-RTU协议；波特率：1200~9600bps，默认2400bps。</w:t>
            </w:r>
          </w:p>
          <w:p w14:paraId="39E75F8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7、安全：绝缘放电：&gt;100MΩ；交流耐压：AC2KV。</w:t>
            </w:r>
          </w:p>
          <w:p w14:paraId="7C4864B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8、电磁兼容性能：静电放电：4级；电快速瞬变脉群：4级；浪涌(冲击)：4级。</w:t>
            </w:r>
          </w:p>
          <w:p w14:paraId="004C431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（四）、交流电流表：</w:t>
            </w:r>
          </w:p>
          <w:p w14:paraId="08B7241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1.提供数字显示，具备本地数据查询；</w:t>
            </w:r>
          </w:p>
          <w:p w14:paraId="74EFA86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2.电流变比可编程设置；</w:t>
            </w:r>
          </w:p>
          <w:p w14:paraId="291C1B7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3.支持RS-485通讯，Modbus-RTU协议；</w:t>
            </w:r>
          </w:p>
          <w:p w14:paraId="3655E39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4.支持开关量输入、开关量输出、模拟量输出。</w:t>
            </w:r>
          </w:p>
          <w:p w14:paraId="180814E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5.可以满足以下参数：接线方式：单相；量程AC5A；过负：1.2倍(持续),10倍/5秒(瞬时)；功耗：&lt;1VA/相；频率：45~65Hz。</w:t>
            </w:r>
          </w:p>
          <w:p w14:paraId="0915E87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6.功能模块：通讯接口：1路RS-485通讯，Modbus-RTU协议；波特率：1200~9600bps，默认2400bps。</w:t>
            </w:r>
          </w:p>
          <w:p w14:paraId="2883BFD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7.安全：绝缘放电：&gt;100MΩ；交流耐压：AC2KV。</w:t>
            </w:r>
          </w:p>
          <w:p w14:paraId="6163BE8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8.电磁兼容性能：静电放电：4级；电快速瞬变脉群：4级；浪涌(冲击)：4级。</w:t>
            </w:r>
          </w:p>
          <w:p w14:paraId="4A90FA9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（五）、直流电流电压组合表</w:t>
            </w:r>
          </w:p>
          <w:p w14:paraId="36EA398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1.提供数字显示，具备本地数据查询；</w:t>
            </w:r>
          </w:p>
          <w:p w14:paraId="52AD3B7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2.电流变比可编程设置；</w:t>
            </w:r>
          </w:p>
          <w:p w14:paraId="5ACE4A9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3.支持RS-485通讯，Modbus-RTU协议；</w:t>
            </w:r>
          </w:p>
          <w:p w14:paraId="3711972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4.支持开关量输入、开关量输出、模拟量输出。</w:t>
            </w:r>
          </w:p>
          <w:p w14:paraId="38E12B8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5、接线方式：单相；量程</w:t>
            </w:r>
            <w:r w:rsidRPr="003807DA">
              <w:rPr>
                <w:rFonts w:asciiTheme="majorEastAsia" w:eastAsiaTheme="majorEastAsia" w:hAnsiTheme="majorEastAsia"/>
                <w:sz w:val="24"/>
                <w:szCs w:val="24"/>
              </w:rPr>
              <w:t>：</w:t>
            </w:r>
            <w:r w:rsidRPr="003807DA">
              <w:rPr>
                <w:rFonts w:asciiTheme="majorEastAsia" w:eastAsiaTheme="majorEastAsia" w:hAnsiTheme="majorEastAsia" w:hint="eastAsia"/>
                <w:sz w:val="24"/>
                <w:szCs w:val="24"/>
              </w:rPr>
              <w:t>DC5A 220V；过负：1.2倍(持续),10倍/5秒(瞬时)；功耗：&lt;1VA/相；频率：45~65Hz。</w:t>
            </w:r>
          </w:p>
          <w:p w14:paraId="3150C5B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6、功能模块：通讯接口：1路RS-485通讯，Modbus-RTU协议；波特率：1200~9600bps，默认2400bps。</w:t>
            </w:r>
          </w:p>
          <w:p w14:paraId="02BEFE1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环境：</w:t>
            </w:r>
          </w:p>
          <w:p w14:paraId="742679B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7、安全：绝缘放电：&gt;100MΩ；交流耐压：AC2KV。</w:t>
            </w:r>
          </w:p>
          <w:p w14:paraId="0317642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（六）、三相电流电压频率组合表：</w:t>
            </w:r>
          </w:p>
          <w:p w14:paraId="336914E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1.提供数字显示，具备本地数据查询；</w:t>
            </w:r>
          </w:p>
          <w:p w14:paraId="61532C9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2.电流变比可编程设置；</w:t>
            </w:r>
          </w:p>
          <w:p w14:paraId="4EE1C14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3.支持RS-485通讯，Modbus-RTU协议；</w:t>
            </w:r>
          </w:p>
          <w:p w14:paraId="45C1356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4.支持开关量输入、开关量输出、模拟量输出。</w:t>
            </w:r>
          </w:p>
          <w:p w14:paraId="202BBF5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5、接线方式：三相；通讯速度：1200-9600；电压：量程 380V/100V；功耗 &lt;1VA；量程：AC5A</w:t>
            </w:r>
            <w:r w:rsidRPr="003807DA">
              <w:rPr>
                <w:rFonts w:asciiTheme="majorEastAsia" w:eastAsiaTheme="majorEastAsia" w:hAnsiTheme="majorEastAsia"/>
                <w:sz w:val="24"/>
                <w:szCs w:val="24"/>
              </w:rPr>
              <w:t xml:space="preserve"> 450V</w:t>
            </w:r>
            <w:r w:rsidRPr="003807DA">
              <w:rPr>
                <w:rFonts w:asciiTheme="majorEastAsia" w:eastAsiaTheme="majorEastAsia" w:hAnsiTheme="majorEastAsia" w:hint="eastAsia"/>
                <w:sz w:val="24"/>
                <w:szCs w:val="24"/>
              </w:rPr>
              <w:t>；功耗 &lt;1VA；频率：45~65Hz；电源：AC220V</w:t>
            </w:r>
          </w:p>
          <w:p w14:paraId="4958222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6、功能模块：通讯：1路RS-485通讯，Modbus-RTU协议；波特率：1200~9600bps，默认2400bps。</w:t>
            </w:r>
          </w:p>
          <w:p w14:paraId="552413A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7、安全：绝缘放电：&gt;100MΩ；交流耐压：AC2KV。</w:t>
            </w:r>
          </w:p>
          <w:p w14:paraId="6413D34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七）、PLC组件：18点NPN型输入，14点继电器（R）或晶体管（T）或继电器晶体管混合（RT）输出。AC220V（E）可外接扩展模块和BD板，可带时钟并对数据进行掉电保持，支持基本的逻辑控制和数据运算，支持高速计数、脉冲输出、外部中断、C语言编辑功能块、I/O点的自由切换、自由格式通讯、MODBUS通讯等功能。</w:t>
            </w:r>
          </w:p>
          <w:p w14:paraId="679E09B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满足以下参数：</w:t>
            </w:r>
          </w:p>
          <w:p w14:paraId="34E6812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1.绝缘电压：DC500V,2MΩ以上；</w:t>
            </w:r>
          </w:p>
          <w:p w14:paraId="09F665D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2.抗噪声：1000V 1uS 脉冲1分钟；</w:t>
            </w:r>
          </w:p>
          <w:p w14:paraId="4CAD3E9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3.环境温度：0℃~60℃；</w:t>
            </w:r>
          </w:p>
          <w:p w14:paraId="2D4833F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4.环境湿度：5%~95%；</w:t>
            </w:r>
          </w:p>
          <w:p w14:paraId="45FECBF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5.通讯口1：RS-232，连接上位机、人机界面编程或调试；</w:t>
            </w:r>
          </w:p>
          <w:p w14:paraId="5AE3D43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6.通讯口2：RS-232/RS-485，联网或连接智能仪表、变频器等；</w:t>
            </w:r>
          </w:p>
          <w:p w14:paraId="71521E9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7.通讯口3：BD板扩展通讯口RS-232/RS-485。</w:t>
            </w:r>
          </w:p>
          <w:p w14:paraId="766D9A4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性能规格：</w:t>
            </w:r>
          </w:p>
          <w:p w14:paraId="65C4211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1.程序执行方式：循环扫描方式、定时扫描方式；</w:t>
            </w:r>
          </w:p>
          <w:p w14:paraId="3036F32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2.编程方式：指令、梯形图并用；</w:t>
            </w:r>
          </w:p>
          <w:p w14:paraId="471A2F8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3.处理速度：0.5us；</w:t>
            </w:r>
          </w:p>
          <w:p w14:paraId="529E0F2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4.停电保持：使用</w:t>
            </w:r>
            <w:proofErr w:type="spellStart"/>
            <w:r w:rsidRPr="003807DA">
              <w:rPr>
                <w:rFonts w:asciiTheme="majorEastAsia" w:eastAsiaTheme="majorEastAsia" w:hAnsiTheme="majorEastAsia" w:hint="eastAsia"/>
                <w:sz w:val="24"/>
                <w:szCs w:val="24"/>
              </w:rPr>
              <w:t>FlashROM</w:t>
            </w:r>
            <w:proofErr w:type="spellEnd"/>
            <w:r w:rsidRPr="003807DA">
              <w:rPr>
                <w:rFonts w:asciiTheme="majorEastAsia" w:eastAsiaTheme="majorEastAsia" w:hAnsiTheme="majorEastAsia" w:hint="eastAsia"/>
                <w:sz w:val="24"/>
                <w:szCs w:val="24"/>
              </w:rPr>
              <w:t xml:space="preserve">及锂电池； </w:t>
            </w:r>
          </w:p>
          <w:p w14:paraId="14B8457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5.I/O点数：输入≥18点，输出≥14点；</w:t>
            </w:r>
          </w:p>
          <w:p w14:paraId="7C4D376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6.输出形式：R：继电器；T：晶体管；RT：继电器晶体管混合；</w:t>
            </w:r>
          </w:p>
          <w:p w14:paraId="3953301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7.供电电源：E：AC220V；</w:t>
            </w:r>
          </w:p>
          <w:p w14:paraId="47692C9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8.内部线圈点数(M)：8512点；</w:t>
            </w:r>
          </w:p>
          <w:p w14:paraId="28E059D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9.定时器（T）：点数：640点；规格：100mS定时器：设置时间0.1~3276.7秒，10mS定时器： 设置时间0.01~327.67秒，1mS定时器：  设置时间0.001~32.767秒；</w:t>
            </w:r>
          </w:p>
          <w:p w14:paraId="41E3AE2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10.计数器（C）：点数：640点；规格：16位计数器：设置值K0~32767，32位计数器：设置值，-2147483648~+2147483647；</w:t>
            </w:r>
          </w:p>
          <w:p w14:paraId="569BE8B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11.数据寄存器(D)：8512字；</w:t>
            </w:r>
          </w:p>
          <w:p w14:paraId="363BFF0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12.FlashROM寄存器(FD)：2048字；</w:t>
            </w:r>
          </w:p>
          <w:p w14:paraId="36B2EEF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13.高速处理功能：高速计数、脉冲输出、外部中断；</w:t>
            </w:r>
          </w:p>
          <w:p w14:paraId="0985F0D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14.口令保护：6位长度ASCII；</w:t>
            </w:r>
          </w:p>
          <w:p w14:paraId="7274442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15.自诊断功能：上电自检、监控定时器、语法检查。</w:t>
            </w:r>
          </w:p>
          <w:p w14:paraId="7167C89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（八）、逆变器：输出正弦波，具有高可靠性，低故障率的特点，与国家电网质量匹配，不损坏电气设备。</w:t>
            </w:r>
          </w:p>
          <w:p w14:paraId="3588024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1.额定功率：240W；</w:t>
            </w:r>
          </w:p>
          <w:p w14:paraId="3DCC568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2.峰值功率：400W；</w:t>
            </w:r>
          </w:p>
          <w:p w14:paraId="631F5E3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3.持续输出功率：270W；</w:t>
            </w:r>
          </w:p>
          <w:p w14:paraId="456F400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4.额定输入电压：DC24V±1.5V；</w:t>
            </w:r>
          </w:p>
          <w:p w14:paraId="57F7F54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5.额定输出电压：AC220V±5%；</w:t>
            </w:r>
          </w:p>
          <w:p w14:paraId="5E8A83F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6.频率：50Hz±0.05Hz/60Hz±0.05Hz；</w:t>
            </w:r>
          </w:p>
          <w:p w14:paraId="02F61B7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7.转化率：86%；</w:t>
            </w:r>
          </w:p>
          <w:p w14:paraId="368756B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8.输入过压保护：28V±1V；</w:t>
            </w:r>
          </w:p>
          <w:p w14:paraId="0116080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9.输入欠压保护：20V±1V；</w:t>
            </w:r>
          </w:p>
          <w:p w14:paraId="453E5D0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10.输入保险丝规格：50A；</w:t>
            </w:r>
          </w:p>
          <w:p w14:paraId="04833AF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11.工作环境温度：0℃~+55℃；</w:t>
            </w:r>
          </w:p>
          <w:p w14:paraId="397928B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12.电气特性：前级升压，后级逆变，主控检测三者完全电气隔离；</w:t>
            </w:r>
          </w:p>
          <w:p w14:paraId="781B9CF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13.板载形态：PCB模块划分，功能注解，电气安全警告提醒标志；</w:t>
            </w:r>
          </w:p>
          <w:p w14:paraId="5660A6B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14.安全保护：前级输入过欠压，过流硬件智能保护；后级母线过欠压硬件智能保护；后级逆变过压欠压，过流，过温软件件智能保护；</w:t>
            </w:r>
          </w:p>
          <w:p w14:paraId="54E77F6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15.整机显示：逆变电压电流波形显示，前后级主功率电路故障报警显示；</w:t>
            </w:r>
          </w:p>
          <w:p w14:paraId="500EBD73"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16.逆变状态：逆变输出电压频率支持软件可调，输出电压也支持硬件可调；</w:t>
            </w:r>
          </w:p>
          <w:p w14:paraId="6086BF5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17.数据计算：逆变电压有效值计算显示；电流有效值计算显示，视在功率计算显示。</w:t>
            </w:r>
          </w:p>
          <w:p w14:paraId="2C6843C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九）、风光互补控制器：适用于智能微电网系统。可同时控制风力发电机、太阳能电池板将风能和太阳能转化为电能供直流负载使用，并将多余电能存储到蓄电池中。选用优质的工业级元器件确保产品的稳定性；完善的保护功能，使得系统的可靠性更高。</w:t>
            </w:r>
          </w:p>
          <w:p w14:paraId="36FCFFD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1.整机最大输出功率达240W；</w:t>
            </w:r>
          </w:p>
          <w:p w14:paraId="22EF86B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2.模块化设计，单个功能模块与底板对插来实现通信；</w:t>
            </w:r>
          </w:p>
          <w:p w14:paraId="5A0FE96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3.具有9个功能模块：汇流模块、MPPT模块、市电补偿电源模块、液晶显示模块、单片机主控电路模块、通信模块、蓄电池充放电模块、辅助模块、</w:t>
            </w:r>
            <w:r w:rsidRPr="003807DA">
              <w:rPr>
                <w:rFonts w:asciiTheme="majorEastAsia" w:eastAsiaTheme="majorEastAsia" w:hAnsiTheme="majorEastAsia"/>
                <w:sz w:val="24"/>
                <w:szCs w:val="24"/>
              </w:rPr>
              <w:t>风能模块</w:t>
            </w:r>
            <w:r w:rsidRPr="003807DA">
              <w:rPr>
                <w:rFonts w:asciiTheme="majorEastAsia" w:eastAsiaTheme="majorEastAsia" w:hAnsiTheme="majorEastAsia" w:hint="eastAsia"/>
                <w:sz w:val="24"/>
                <w:szCs w:val="24"/>
              </w:rPr>
              <w:t>；可根据使用的需求进行模块自由组合；</w:t>
            </w:r>
          </w:p>
          <w:p w14:paraId="2F79125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4.支持6路太阳能输入，单路可支持48V/2A；</w:t>
            </w:r>
          </w:p>
          <w:p w14:paraId="52C1873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5.采用MPPT技术，提高产品能源的利用率；</w:t>
            </w:r>
          </w:p>
          <w:p w14:paraId="656D539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w:t>
            </w:r>
            <w:r w:rsidRPr="003807DA">
              <w:rPr>
                <w:rFonts w:asciiTheme="majorEastAsia" w:eastAsiaTheme="majorEastAsia" w:hAnsiTheme="majorEastAsia"/>
                <w:sz w:val="24"/>
                <w:szCs w:val="24"/>
              </w:rPr>
              <w:t>采用了</w:t>
            </w:r>
            <w:r w:rsidRPr="003807DA">
              <w:rPr>
                <w:rFonts w:asciiTheme="majorEastAsia" w:eastAsiaTheme="majorEastAsia" w:hAnsiTheme="majorEastAsia" w:hint="eastAsia"/>
                <w:sz w:val="24"/>
                <w:szCs w:val="24"/>
              </w:rPr>
              <w:t>三段智能充电方式（电池端过压保护，恒流、恒压充电模式，自动再充电，充电与结束状态指示），增加了用电时间，使系统有更长的使用寿命；</w:t>
            </w:r>
          </w:p>
          <w:p w14:paraId="2E2CEFC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7.采用真彩色电容式触摸液晶屏，可自由查看和设置各种运行参数；</w:t>
            </w:r>
          </w:p>
          <w:p w14:paraId="0CF7349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8.多种通讯方式可供选择，有RS232通讯，RS485通讯，以太网通讯，</w:t>
            </w:r>
            <w:proofErr w:type="spellStart"/>
            <w:r w:rsidRPr="003807DA">
              <w:rPr>
                <w:rFonts w:asciiTheme="majorEastAsia" w:eastAsiaTheme="majorEastAsia" w:hAnsiTheme="majorEastAsia" w:hint="eastAsia"/>
                <w:sz w:val="24"/>
                <w:szCs w:val="24"/>
              </w:rPr>
              <w:t>Wifi</w:t>
            </w:r>
            <w:proofErr w:type="spellEnd"/>
            <w:r w:rsidRPr="003807DA">
              <w:rPr>
                <w:rFonts w:asciiTheme="majorEastAsia" w:eastAsiaTheme="majorEastAsia" w:hAnsiTheme="majorEastAsia" w:hint="eastAsia"/>
                <w:sz w:val="24"/>
                <w:szCs w:val="24"/>
              </w:rPr>
              <w:t>；</w:t>
            </w:r>
          </w:p>
          <w:p w14:paraId="02A8EDB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9.可实现多种能源智能调配，能根据负载自动调配能源；</w:t>
            </w:r>
          </w:p>
          <w:p w14:paraId="25B3E75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10.各个模块具备测试点，可以方便用户更好的进行测试；</w:t>
            </w:r>
          </w:p>
          <w:p w14:paraId="01BF8D8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具有过充，过放，过载保护以及电子短路保护与蓄电池防反接保护。</w:t>
            </w:r>
          </w:p>
          <w:p w14:paraId="2CA4CA4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（十）、航空插头：31芯工业级航空插头，数据传输快速保真。防水防漏电插头,耐260度高温。</w:t>
            </w:r>
          </w:p>
          <w:p w14:paraId="48F20BD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1.工作电压：500V；</w:t>
            </w:r>
          </w:p>
          <w:p w14:paraId="08BE4C5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2.额定电流：10A；</w:t>
            </w:r>
          </w:p>
          <w:p w14:paraId="0782A542"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3.插拔次数：＞500次；</w:t>
            </w:r>
          </w:p>
          <w:p w14:paraId="3A0A82A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4.工作温度范围：-25℃-85℃；</w:t>
            </w:r>
          </w:p>
          <w:p w14:paraId="404445C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5.耐压：1500V；</w:t>
            </w:r>
          </w:p>
          <w:p w14:paraId="16357A6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6.接触电阻：2.5mΩ；</w:t>
            </w:r>
          </w:p>
          <w:p w14:paraId="1CA4664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7.绝缘电阻：2000MΩ。</w:t>
            </w:r>
          </w:p>
          <w:p w14:paraId="69F399F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一）、继电器：采用铝合金材质的多触点继电器，控制信号达到某一定值时，可以按触点组的不同形式，同时换接、开断、接通多路电路，能扩大控制范围。起着自动调节、安全保护、转换电路等作用。体积小,灵敏度高，结构合理，使用广，配插座换装方便；</w:t>
            </w:r>
          </w:p>
          <w:p w14:paraId="4167589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1.工作电压：DC24V；</w:t>
            </w:r>
          </w:p>
          <w:p w14:paraId="34BECFA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2.输出控制：4组12脚5A，每组有常开，常闭；</w:t>
            </w:r>
          </w:p>
          <w:p w14:paraId="173227D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3.主功能：开关；输入给电时，触头通或断；</w:t>
            </w:r>
          </w:p>
          <w:p w14:paraId="7A2F56F1"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4.线圈参数:1)额定功耗：0.9W、1.8VA；2)吸合电压：DC：≤75%额定电压；AC：≤80%额定电压；3)释放电压：DC：≥10%额定电压；AC：≥20%额定电压。</w:t>
            </w:r>
          </w:p>
          <w:p w14:paraId="052754B7"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（十二）、接线端子采用工程接线端子，韧性好，不易折断，卡位牢固，端子垂直度好，不滑丝，导轨式安装，方便快捷。</w:t>
            </w:r>
          </w:p>
          <w:p w14:paraId="50E9990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1.额定电压：660V；</w:t>
            </w:r>
          </w:p>
          <w:p w14:paraId="2CA0128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2.电流：15A；</w:t>
            </w:r>
          </w:p>
          <w:p w14:paraId="13F4C53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3.连接符合标准：IEC 60947-7-1；</w:t>
            </w:r>
          </w:p>
          <w:p w14:paraId="303E19C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4.接线数：0.5-2.5平方。</w:t>
            </w:r>
          </w:p>
          <w:p w14:paraId="596FE8D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（十三）、直流频闪警示灯：高亮度LED，圆形底盘固定，方便安装，采用高科技电子原理发光，模拟交通信号灯。</w:t>
            </w:r>
          </w:p>
          <w:p w14:paraId="3544827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1.工作电压：12V；</w:t>
            </w:r>
          </w:p>
          <w:p w14:paraId="204E849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2.工作电流：0.1A；</w:t>
            </w:r>
          </w:p>
          <w:p w14:paraId="7F429CB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3.功率：1W；</w:t>
            </w:r>
          </w:p>
          <w:p w14:paraId="39838B0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4.主要材质：灯罩：PC，灯座：ABS；</w:t>
            </w:r>
          </w:p>
          <w:p w14:paraId="06793DF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5.技术认证：CE；</w:t>
            </w:r>
          </w:p>
          <w:p w14:paraId="744B364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6.保护等级：IP30；</w:t>
            </w:r>
          </w:p>
          <w:p w14:paraId="046EEE5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7.颜色：红黄绿。</w:t>
            </w:r>
          </w:p>
          <w:p w14:paraId="2EB9FBEF"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（十四）、可调变阻器：可滑动调节电阻大小，满足电路负载需求；功率：100W；电阻：1000Ω。</w:t>
            </w:r>
          </w:p>
          <w:p w14:paraId="3002DD7C"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五）、交流LED灯：采用精工航天铝材，具有优良的抗腐蚀和裂开的能力，散热效果好。阳极氧化处理，不易变色，采用晶元芯片灯珠，光衰小，寿命长。功率：1W；输入电压：220V；光色：红、黄、蓝；使用寿命：30000-35000H。尺寸：灯头厚度2CM，灯头直径7CM，底座直径7.4CM,灯体高度10CM；</w:t>
            </w:r>
          </w:p>
          <w:p w14:paraId="78F7B9D5"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（十六）、交流异步电动机：可在交流供电下转动的电动机；电压：220V；额定频率：50Hz；功率：6W；转速：1400转/分。</w:t>
            </w:r>
          </w:p>
          <w:p w14:paraId="52A10DC6"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十七）、追日系统：太阳能追日系统是光热和光伏发电过程中，最优化太阳光使用，达到提高光电转换效率的机械及电控单元系统。保持太阳能电池板随时正对光源，让光线随时垂直照射太阳能电池板的动力装置，采用本系统能显著提高光伏组件的发电效率。</w:t>
            </w:r>
          </w:p>
          <w:p w14:paraId="079A4644"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1.额定功率：15W；</w:t>
            </w:r>
          </w:p>
          <w:p w14:paraId="4486504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2.额定输入电压：24V；</w:t>
            </w:r>
          </w:p>
          <w:p w14:paraId="6FC3A39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3.舵机扭矩：15kg.cm；</w:t>
            </w:r>
          </w:p>
          <w:p w14:paraId="3F68B1BA"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4.可控角度范围：0-180°；</w:t>
            </w:r>
          </w:p>
          <w:p w14:paraId="2E76F16E"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5.信号死区2us；</w:t>
            </w:r>
          </w:p>
          <w:p w14:paraId="2418E008"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6.太阳能电池板规格：63mm*63mm；</w:t>
            </w:r>
          </w:p>
          <w:p w14:paraId="695748ED"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7.太阳能电池板额定功率：4V/90mA。</w:t>
            </w:r>
          </w:p>
          <w:p w14:paraId="5495AAE0"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三、能源互联网仿真规划平台：通过高清红外触摸显示屏，以交互式仿真场景沙盘为实训载体，融合仿真建模、空间数据处理、信息通信、分布计算及显示控制领域的核心技术，模拟再现多元化的能源供需网络系统情景。实训者可根据区域整体环境状况，根据对于多种能源的不同需求，规划设计匹配的能源系统，并对其进行协同优化，以能源利用效率最大化和能效的最优化作为综合实训的评估依据之一。</w:t>
            </w:r>
          </w:p>
          <w:p w14:paraId="0CC93A1B"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1.触摸屏类型：电容式10点；</w:t>
            </w:r>
          </w:p>
          <w:p w14:paraId="1EC6D269" w14:textId="77777777" w:rsidR="00F64260" w:rsidRPr="003807DA" w:rsidRDefault="00F64260" w:rsidP="003C5810">
            <w:pPr>
              <w:jc w:val="left"/>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2.分辨率：1920x1080。</w:t>
            </w:r>
          </w:p>
          <w:p w14:paraId="4C82CD40" w14:textId="77777777" w:rsidR="00F64260" w:rsidRPr="003807DA" w:rsidRDefault="00F64260" w:rsidP="003C5810">
            <w:pPr>
              <w:jc w:val="left"/>
              <w:textAlignment w:val="top"/>
              <w:rPr>
                <w:rFonts w:asciiTheme="majorEastAsia" w:eastAsiaTheme="majorEastAsia" w:hAnsiTheme="majorEastAsia" w:cs="宋体"/>
                <w:sz w:val="24"/>
                <w:szCs w:val="24"/>
              </w:rPr>
            </w:pPr>
            <w:r w:rsidRPr="003807DA">
              <w:rPr>
                <w:rFonts w:asciiTheme="majorEastAsia" w:eastAsiaTheme="majorEastAsia" w:hAnsiTheme="majorEastAsia" w:hint="eastAsia"/>
                <w:sz w:val="24"/>
                <w:szCs w:val="24"/>
              </w:rPr>
              <w:t>四、集中式环境管控软件</w:t>
            </w:r>
            <w:r w:rsidRPr="003807DA">
              <w:rPr>
                <w:rFonts w:asciiTheme="majorEastAsia" w:eastAsiaTheme="majorEastAsia" w:hAnsiTheme="majorEastAsia" w:cs="宋体" w:hint="eastAsia"/>
                <w:sz w:val="24"/>
                <w:szCs w:val="24"/>
              </w:rPr>
              <w:t>以7寸高清显控屏为载体，基于arm平台开发，能直观显示光照、温湿度、风速等数据，并对光源轨道，光照强度，风速进行调控；配套人机界面组态软件</w:t>
            </w:r>
            <w:proofErr w:type="spellStart"/>
            <w:r w:rsidRPr="003807DA">
              <w:rPr>
                <w:rFonts w:asciiTheme="majorEastAsia" w:eastAsiaTheme="majorEastAsia" w:hAnsiTheme="majorEastAsia" w:cs="宋体" w:hint="eastAsia"/>
                <w:sz w:val="24"/>
                <w:szCs w:val="24"/>
              </w:rPr>
              <w:t>HMImaker</w:t>
            </w:r>
            <w:proofErr w:type="spellEnd"/>
            <w:r w:rsidRPr="003807DA">
              <w:rPr>
                <w:rFonts w:asciiTheme="majorEastAsia" w:eastAsiaTheme="majorEastAsia" w:hAnsiTheme="majorEastAsia" w:cs="宋体" w:hint="eastAsia"/>
                <w:sz w:val="24"/>
                <w:szCs w:val="24"/>
              </w:rPr>
              <w:t>。</w:t>
            </w:r>
          </w:p>
          <w:p w14:paraId="5108F88D" w14:textId="77777777" w:rsidR="00F64260" w:rsidRPr="003807DA" w:rsidRDefault="00F64260" w:rsidP="003C5810">
            <w:pPr>
              <w:jc w:val="left"/>
              <w:textAlignment w:val="top"/>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1.支持各单片机通讯；</w:t>
            </w:r>
          </w:p>
          <w:p w14:paraId="60340D11" w14:textId="77777777" w:rsidR="00F64260" w:rsidRPr="003807DA" w:rsidRDefault="00F64260" w:rsidP="003C5810">
            <w:pPr>
              <w:jc w:val="left"/>
              <w:textAlignment w:val="top"/>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2.支持</w:t>
            </w:r>
            <w:proofErr w:type="spellStart"/>
            <w:r w:rsidRPr="003807DA">
              <w:rPr>
                <w:rFonts w:asciiTheme="majorEastAsia" w:eastAsiaTheme="majorEastAsia" w:hAnsiTheme="majorEastAsia" w:cs="宋体" w:hint="eastAsia"/>
                <w:sz w:val="24"/>
                <w:szCs w:val="24"/>
              </w:rPr>
              <w:t>modbus</w:t>
            </w:r>
            <w:proofErr w:type="spellEnd"/>
            <w:r w:rsidRPr="003807DA">
              <w:rPr>
                <w:rFonts w:asciiTheme="majorEastAsia" w:eastAsiaTheme="majorEastAsia" w:hAnsiTheme="majorEastAsia" w:cs="宋体" w:hint="eastAsia"/>
                <w:sz w:val="24"/>
                <w:szCs w:val="24"/>
              </w:rPr>
              <w:t>通讯协议；</w:t>
            </w:r>
          </w:p>
          <w:p w14:paraId="47E628D5"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3.I2C协议,自由协议。</w:t>
            </w:r>
          </w:p>
          <w:p w14:paraId="63B93D2E"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bCs/>
                <w:sz w:val="24"/>
                <w:szCs w:val="24"/>
              </w:rPr>
              <w:t>五、电子中心管控软件：</w:t>
            </w:r>
            <w:r w:rsidRPr="003807DA">
              <w:rPr>
                <w:rFonts w:asciiTheme="majorEastAsia" w:eastAsiaTheme="majorEastAsia" w:hAnsiTheme="majorEastAsia" w:cs="宋体" w:hint="eastAsia"/>
                <w:sz w:val="24"/>
                <w:szCs w:val="24"/>
              </w:rPr>
              <w:t>通过对环境模拟平台产能模块的控制，产能数据的采集，以及就此真实数据与互联网仿真规划软件产生的模拟数据比对、调适等的互动操作，实现对于全网的电气参数采集、监视，处理报警，数据存储、分析、报表，远程控制，对于微网电源、负荷平衡计算以及新能源发电、储能、负荷综合调度管理。</w:t>
            </w:r>
          </w:p>
          <w:p w14:paraId="546D0AB1" w14:textId="77777777" w:rsidR="00F64260" w:rsidRPr="003807DA" w:rsidRDefault="00F64260" w:rsidP="003C5810">
            <w:pPr>
              <w:overflowPunct w:val="0"/>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测量记录的主要数据包括实训柜的输出电流电压波形图、外设示波器、逆变器电流波形图，可查看实时状态下输出电流，输出电压，互联网仿真规划软件数据的基本波形图，通过管控软件计算机将检测信号存贮到实时数据库中，实时数据库对用户应用程序的支持，该系统必须包括利用PLC系统、环境采集模块、风能发电机、太阳能发电板、逆变器、蓄电池等完成实时数据的采集和控制，并且具备查看实时监控数据与各设备的实时运行状态，为整个管控平台提供最基本的管控依据。</w:t>
            </w:r>
          </w:p>
          <w:p w14:paraId="7640013D" w14:textId="77777777" w:rsidR="00F64260" w:rsidRPr="003807DA" w:rsidRDefault="00F64260" w:rsidP="003C5810">
            <w:pPr>
              <w:overflowPunct w:val="0"/>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 xml:space="preserve"> 2.管控系统与光伏充、放电控制器，风能充、放电控制器，逆变控制器、仪表、PLC、变频器通信主要通过232/485接口与PLC进行连接，进行数据采集,环境控制和负载控制等。</w:t>
            </w:r>
            <w:r w:rsidRPr="003807DA">
              <w:rPr>
                <w:rFonts w:asciiTheme="majorEastAsia" w:eastAsiaTheme="majorEastAsia" w:hAnsiTheme="majorEastAsia" w:cs="宋体"/>
                <w:sz w:val="24"/>
                <w:szCs w:val="24"/>
              </w:rPr>
              <w:t>时与互联网仿真规划软件采用SOAP协议互动，通过Web Server进行数据共享。</w:t>
            </w:r>
          </w:p>
          <w:p w14:paraId="107C724E" w14:textId="77777777" w:rsidR="00F64260" w:rsidRPr="003807DA" w:rsidRDefault="00F64260" w:rsidP="003C5810">
            <w:pPr>
              <w:overflowPunct w:val="0"/>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3.收集记录历史数据，由管控平台报表系统，实现动态数据变化演示，可根据自己的需求定制报表数据，设置模拟时间（天、周、月、年）的方式回放数据内容，了解管控平台各项指标并进行数据分析。</w:t>
            </w:r>
          </w:p>
          <w:p w14:paraId="1139D89B" w14:textId="77777777" w:rsidR="00F64260" w:rsidRPr="003807DA" w:rsidRDefault="00F64260" w:rsidP="003C5810">
            <w:pPr>
              <w:overflowPunct w:val="0"/>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4.采用SQL Server数据库系统建立数据结构，建立数据间的内在联系，便于</w:t>
            </w:r>
            <w:r>
              <w:fldChar w:fldCharType="begin"/>
            </w:r>
            <w:r>
              <w:instrText xml:space="preserve"> HYPERLINK "http://baike.baidu.com/view/702991.htm" \t "http://baike.baidu.com/_blank" </w:instrText>
            </w:r>
            <w:r>
              <w:fldChar w:fldCharType="separate"/>
            </w:r>
            <w:r w:rsidRPr="003807DA">
              <w:rPr>
                <w:rFonts w:asciiTheme="majorEastAsia" w:eastAsiaTheme="majorEastAsia" w:hAnsiTheme="majorEastAsia" w:cs="宋体" w:hint="eastAsia"/>
                <w:sz w:val="24"/>
                <w:szCs w:val="24"/>
              </w:rPr>
              <w:t>数据修改</w:t>
            </w:r>
            <w:r>
              <w:rPr>
                <w:rFonts w:asciiTheme="majorEastAsia" w:eastAsiaTheme="majorEastAsia" w:hAnsiTheme="majorEastAsia" w:cs="宋体"/>
                <w:sz w:val="24"/>
                <w:szCs w:val="24"/>
              </w:rPr>
              <w:fldChar w:fldCharType="end"/>
            </w:r>
            <w:r w:rsidRPr="003807DA">
              <w:rPr>
                <w:rFonts w:asciiTheme="majorEastAsia" w:eastAsiaTheme="majorEastAsia" w:hAnsiTheme="majorEastAsia" w:cs="宋体" w:hint="eastAsia"/>
                <w:sz w:val="24"/>
                <w:szCs w:val="24"/>
              </w:rPr>
              <w:t>、更新与扩充，同时保证数据的独立性、可靠、安全性与完整性，减少</w:t>
            </w:r>
            <w:r>
              <w:fldChar w:fldCharType="begin"/>
            </w:r>
            <w:r>
              <w:instrText xml:space="preserve"> HYPERLINK "http://baike.baidu.com/view/575274.htm" \t "http://baike.baidu.com/_blank" </w:instrText>
            </w:r>
            <w:r>
              <w:fldChar w:fldCharType="separate"/>
            </w:r>
            <w:r w:rsidRPr="003807DA">
              <w:rPr>
                <w:rFonts w:asciiTheme="majorEastAsia" w:eastAsiaTheme="majorEastAsia" w:hAnsiTheme="majorEastAsia" w:cs="宋体" w:hint="eastAsia"/>
                <w:sz w:val="24"/>
                <w:szCs w:val="24"/>
              </w:rPr>
              <w:t>数据冗余</w:t>
            </w:r>
            <w:r>
              <w:rPr>
                <w:rFonts w:asciiTheme="majorEastAsia" w:eastAsiaTheme="majorEastAsia" w:hAnsiTheme="majorEastAsia" w:cs="宋体"/>
                <w:sz w:val="24"/>
                <w:szCs w:val="24"/>
              </w:rPr>
              <w:fldChar w:fldCharType="end"/>
            </w:r>
            <w:r w:rsidRPr="003807DA">
              <w:rPr>
                <w:rFonts w:asciiTheme="majorEastAsia" w:eastAsiaTheme="majorEastAsia" w:hAnsiTheme="majorEastAsia" w:cs="宋体" w:hint="eastAsia"/>
                <w:sz w:val="24"/>
                <w:szCs w:val="24"/>
              </w:rPr>
              <w:t>，提高</w:t>
            </w:r>
            <w:r>
              <w:fldChar w:fldCharType="begin"/>
            </w:r>
            <w:r>
              <w:instrText xml:space="preserve"> HYPERLINK "http://baike.baidu.com/view/125982.htm" \t "http://baike.baidu.com/_blank" </w:instrText>
            </w:r>
            <w:r>
              <w:fldChar w:fldCharType="separate"/>
            </w:r>
            <w:r w:rsidRPr="003807DA">
              <w:rPr>
                <w:rFonts w:asciiTheme="majorEastAsia" w:eastAsiaTheme="majorEastAsia" w:hAnsiTheme="majorEastAsia" w:cs="宋体" w:hint="eastAsia"/>
                <w:sz w:val="24"/>
                <w:szCs w:val="24"/>
              </w:rPr>
              <w:t>数据共享</w:t>
            </w:r>
            <w:r>
              <w:rPr>
                <w:rFonts w:asciiTheme="majorEastAsia" w:eastAsiaTheme="majorEastAsia" w:hAnsiTheme="majorEastAsia" w:cs="宋体"/>
                <w:sz w:val="24"/>
                <w:szCs w:val="24"/>
              </w:rPr>
              <w:fldChar w:fldCharType="end"/>
            </w:r>
            <w:r w:rsidRPr="003807DA">
              <w:rPr>
                <w:rFonts w:asciiTheme="majorEastAsia" w:eastAsiaTheme="majorEastAsia" w:hAnsiTheme="majorEastAsia" w:cs="宋体" w:hint="eastAsia"/>
                <w:sz w:val="24"/>
                <w:szCs w:val="24"/>
              </w:rPr>
              <w:t>程度及数据管理效率。</w:t>
            </w:r>
          </w:p>
          <w:p w14:paraId="7337639C" w14:textId="77777777" w:rsidR="00F64260" w:rsidRPr="003807DA" w:rsidRDefault="00F64260" w:rsidP="003C5810">
            <w:pPr>
              <w:overflowPunct w:val="0"/>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5.采用与PLC系统的实时通信功能，对环境平台上的风机、光源控制器、太阳运轨、风能发电组、光伏发电组、以及蓄电池进行实时控制。</w:t>
            </w:r>
          </w:p>
          <w:p w14:paraId="2EF54571" w14:textId="77777777" w:rsidR="00F64260" w:rsidRPr="003807DA" w:rsidRDefault="00F64260" w:rsidP="003C5810">
            <w:pPr>
              <w:jc w:val="left"/>
              <w:textAlignment w:val="top"/>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6.基于</w:t>
            </w:r>
            <w:proofErr w:type="spellStart"/>
            <w:r w:rsidRPr="003807DA">
              <w:rPr>
                <w:rFonts w:asciiTheme="majorEastAsia" w:eastAsiaTheme="majorEastAsia" w:hAnsiTheme="majorEastAsia" w:cs="宋体" w:hint="eastAsia"/>
                <w:sz w:val="24"/>
                <w:szCs w:val="24"/>
              </w:rPr>
              <w:t>dotNet</w:t>
            </w:r>
            <w:proofErr w:type="spellEnd"/>
            <w:r w:rsidRPr="003807DA">
              <w:rPr>
                <w:rFonts w:asciiTheme="majorEastAsia" w:eastAsiaTheme="majorEastAsia" w:hAnsiTheme="majorEastAsia" w:cs="宋体" w:hint="eastAsia"/>
                <w:sz w:val="24"/>
                <w:szCs w:val="24"/>
              </w:rPr>
              <w:t>（C#）技术。</w:t>
            </w:r>
          </w:p>
          <w:p w14:paraId="1275DDF0" w14:textId="77777777" w:rsidR="00F64260" w:rsidRPr="003807DA" w:rsidRDefault="00F64260" w:rsidP="003C5810">
            <w:pPr>
              <w:jc w:val="left"/>
              <w:textAlignment w:val="top"/>
              <w:rPr>
                <w:rFonts w:asciiTheme="majorEastAsia" w:eastAsiaTheme="majorEastAsia" w:hAnsiTheme="majorEastAsia" w:cs="宋体"/>
                <w:bCs/>
                <w:sz w:val="24"/>
                <w:szCs w:val="24"/>
              </w:rPr>
            </w:pPr>
            <w:r w:rsidRPr="003807DA">
              <w:rPr>
                <w:rFonts w:asciiTheme="majorEastAsia" w:eastAsiaTheme="majorEastAsia" w:hAnsiTheme="majorEastAsia" w:cs="宋体" w:hint="eastAsia"/>
                <w:bCs/>
                <w:sz w:val="24"/>
                <w:szCs w:val="24"/>
              </w:rPr>
              <w:t>7.拥有10项监控内容；</w:t>
            </w:r>
          </w:p>
          <w:p w14:paraId="4ED00A84" w14:textId="77777777" w:rsidR="00F64260" w:rsidRPr="003807DA" w:rsidRDefault="00F64260" w:rsidP="003C5810">
            <w:pPr>
              <w:jc w:val="left"/>
              <w:textAlignment w:val="top"/>
              <w:rPr>
                <w:rFonts w:asciiTheme="majorEastAsia" w:eastAsiaTheme="majorEastAsia" w:hAnsiTheme="majorEastAsia" w:cs="宋体"/>
                <w:bCs/>
                <w:sz w:val="24"/>
                <w:szCs w:val="24"/>
              </w:rPr>
            </w:pPr>
            <w:r w:rsidRPr="003807DA">
              <w:rPr>
                <w:rFonts w:asciiTheme="majorEastAsia" w:eastAsiaTheme="majorEastAsia" w:hAnsiTheme="majorEastAsia" w:cs="宋体" w:hint="eastAsia"/>
                <w:bCs/>
                <w:sz w:val="24"/>
                <w:szCs w:val="24"/>
              </w:rPr>
              <w:t>8.拥有15项操控对象；</w:t>
            </w:r>
          </w:p>
          <w:p w14:paraId="1E304AFD" w14:textId="77777777" w:rsidR="00F64260" w:rsidRPr="003807DA" w:rsidRDefault="00F64260" w:rsidP="003C5810">
            <w:pPr>
              <w:jc w:val="left"/>
              <w:textAlignment w:val="top"/>
              <w:rPr>
                <w:rFonts w:asciiTheme="majorEastAsia" w:eastAsiaTheme="majorEastAsia" w:hAnsiTheme="majorEastAsia" w:cs="宋体"/>
                <w:bCs/>
                <w:sz w:val="24"/>
                <w:szCs w:val="24"/>
              </w:rPr>
            </w:pPr>
            <w:r w:rsidRPr="003807DA">
              <w:rPr>
                <w:rFonts w:asciiTheme="majorEastAsia" w:eastAsiaTheme="majorEastAsia" w:hAnsiTheme="majorEastAsia" w:cs="宋体" w:hint="eastAsia"/>
                <w:bCs/>
                <w:sz w:val="24"/>
                <w:szCs w:val="24"/>
              </w:rPr>
              <w:t>9.内含40项配套实训教学内容。</w:t>
            </w:r>
          </w:p>
          <w:p w14:paraId="3DB98801"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六、能源互联网仿真规划软件：基于Eclipse的IDE进行开发，采用SQL Sever作为后台数据库，通过soap协议与管控软件进行通信,供使用者用地图属性进行修正、部署供能设备，从而模拟区域用能数据。</w:t>
            </w:r>
          </w:p>
          <w:p w14:paraId="11A35BC4" w14:textId="77777777" w:rsidR="00F64260" w:rsidRPr="003807DA" w:rsidRDefault="00F64260" w:rsidP="003C5810">
            <w:pPr>
              <w:widowControl/>
              <w:adjustRightInd w:val="0"/>
              <w:snapToGrid w:val="0"/>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lang w:val="zh-TW"/>
              </w:rPr>
              <w:t>1、根据项目不同需要导入相应的地形模块，将地形模块按照需要进行网格化，同时初始化地形参数。</w:t>
            </w:r>
          </w:p>
          <w:p w14:paraId="43043A08" w14:textId="77777777" w:rsidR="00F64260" w:rsidRPr="003807DA" w:rsidRDefault="00F64260" w:rsidP="003C5810">
            <w:pPr>
              <w:widowControl/>
              <w:adjustRightInd w:val="0"/>
              <w:snapToGrid w:val="0"/>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lang w:val="zh-TW"/>
              </w:rPr>
              <w:t>2、可选择</w:t>
            </w:r>
            <w:r w:rsidRPr="003807DA">
              <w:rPr>
                <w:rFonts w:asciiTheme="majorEastAsia" w:eastAsiaTheme="majorEastAsia" w:hAnsiTheme="majorEastAsia" w:cs="宋体"/>
                <w:sz w:val="24"/>
                <w:szCs w:val="24"/>
                <w:lang w:val="zh-TW"/>
              </w:rPr>
              <w:t>全国任意地区</w:t>
            </w:r>
            <w:r w:rsidRPr="003807DA">
              <w:rPr>
                <w:rFonts w:asciiTheme="majorEastAsia" w:eastAsiaTheme="majorEastAsia" w:hAnsiTheme="majorEastAsia" w:cs="宋体" w:hint="eastAsia"/>
                <w:sz w:val="24"/>
                <w:szCs w:val="24"/>
                <w:lang w:val="zh-TW"/>
              </w:rPr>
              <w:t>（精确</w:t>
            </w:r>
            <w:r w:rsidRPr="003807DA">
              <w:rPr>
                <w:rFonts w:asciiTheme="majorEastAsia" w:eastAsiaTheme="majorEastAsia" w:hAnsiTheme="majorEastAsia" w:cs="宋体"/>
                <w:sz w:val="24"/>
                <w:szCs w:val="24"/>
                <w:lang w:val="zh-TW"/>
              </w:rPr>
              <w:t>到省市区）</w:t>
            </w:r>
            <w:r w:rsidRPr="003807DA">
              <w:rPr>
                <w:rFonts w:asciiTheme="majorEastAsia" w:eastAsiaTheme="majorEastAsia" w:hAnsiTheme="majorEastAsia" w:cs="宋体" w:hint="eastAsia"/>
                <w:sz w:val="24"/>
                <w:szCs w:val="24"/>
                <w:lang w:val="zh-TW"/>
              </w:rPr>
              <w:t>）</w:t>
            </w:r>
            <w:r w:rsidRPr="003807DA">
              <w:rPr>
                <w:rFonts w:asciiTheme="majorEastAsia" w:eastAsiaTheme="majorEastAsia" w:hAnsiTheme="majorEastAsia" w:cs="宋体"/>
                <w:sz w:val="24"/>
                <w:szCs w:val="24"/>
                <w:lang w:val="zh-TW"/>
              </w:rPr>
              <w:t>作为</w:t>
            </w:r>
            <w:r w:rsidRPr="003807DA">
              <w:rPr>
                <w:rFonts w:asciiTheme="majorEastAsia" w:eastAsiaTheme="majorEastAsia" w:hAnsiTheme="majorEastAsia" w:cs="宋体" w:hint="eastAsia"/>
                <w:sz w:val="24"/>
                <w:szCs w:val="24"/>
                <w:lang w:val="zh-TW"/>
              </w:rPr>
              <w:t>区域能源模拟</w:t>
            </w:r>
            <w:r w:rsidRPr="003807DA">
              <w:rPr>
                <w:rFonts w:asciiTheme="majorEastAsia" w:eastAsiaTheme="majorEastAsia" w:hAnsiTheme="majorEastAsia" w:cs="宋体"/>
                <w:sz w:val="24"/>
                <w:szCs w:val="24"/>
                <w:lang w:val="zh-TW"/>
              </w:rPr>
              <w:t>的目标区域，并得出当地经纬度</w:t>
            </w:r>
            <w:r w:rsidRPr="003807DA">
              <w:rPr>
                <w:rFonts w:asciiTheme="majorEastAsia" w:eastAsiaTheme="majorEastAsia" w:hAnsiTheme="majorEastAsia" w:cs="宋体" w:hint="eastAsia"/>
                <w:sz w:val="24"/>
                <w:szCs w:val="24"/>
                <w:lang w:val="zh-TW"/>
              </w:rPr>
              <w:t>、</w:t>
            </w:r>
            <w:r w:rsidRPr="003807DA">
              <w:rPr>
                <w:rFonts w:asciiTheme="majorEastAsia" w:eastAsiaTheme="majorEastAsia" w:hAnsiTheme="majorEastAsia" w:cs="宋体"/>
                <w:sz w:val="24"/>
                <w:szCs w:val="24"/>
                <w:lang w:val="zh-TW"/>
              </w:rPr>
              <w:t>光伏组件最高最低工作温度；</w:t>
            </w:r>
          </w:p>
          <w:p w14:paraId="143317DB" w14:textId="77777777" w:rsidR="00F64260" w:rsidRPr="003807DA" w:rsidRDefault="00F64260" w:rsidP="003C5810">
            <w:pPr>
              <w:widowControl/>
              <w:adjustRightInd w:val="0"/>
              <w:snapToGrid w:val="0"/>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lang w:val="zh-TW"/>
              </w:rPr>
              <w:t>3、加载在区域模块之上的是应包含真实的地形地貌，包含设计成虚拟的地形地貌和</w:t>
            </w:r>
            <w:r w:rsidRPr="003807DA">
              <w:rPr>
                <w:rFonts w:asciiTheme="majorEastAsia" w:eastAsiaTheme="majorEastAsia" w:hAnsiTheme="majorEastAsia" w:cs="宋体" w:hint="eastAsia"/>
                <w:sz w:val="24"/>
                <w:szCs w:val="24"/>
              </w:rPr>
              <w:t>3D地图模型</w:t>
            </w:r>
            <w:r w:rsidRPr="003807DA">
              <w:rPr>
                <w:rFonts w:asciiTheme="majorEastAsia" w:eastAsiaTheme="majorEastAsia" w:hAnsiTheme="majorEastAsia" w:cs="宋体" w:hint="eastAsia"/>
                <w:sz w:val="24"/>
                <w:szCs w:val="24"/>
                <w:lang w:val="zh-TW"/>
              </w:rPr>
              <w:t>。</w:t>
            </w:r>
          </w:p>
          <w:p w14:paraId="0726E2F6" w14:textId="77777777" w:rsidR="00F64260" w:rsidRPr="003807DA" w:rsidRDefault="00F64260" w:rsidP="003C5810">
            <w:pPr>
              <w:widowControl/>
              <w:adjustRightInd w:val="0"/>
              <w:snapToGrid w:val="0"/>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rPr>
              <w:t>4.</w:t>
            </w:r>
            <w:r w:rsidRPr="003807DA">
              <w:rPr>
                <w:rFonts w:asciiTheme="majorEastAsia" w:eastAsiaTheme="majorEastAsia" w:hAnsiTheme="majorEastAsia" w:cs="宋体" w:hint="eastAsia"/>
                <w:sz w:val="24"/>
                <w:szCs w:val="24"/>
                <w:lang w:val="zh-TW"/>
              </w:rPr>
              <w:t>设计区域内的各种工商业模型，设置各种土地类型，各种用能模块的用能情况，年平均，月平均，最高用能，最高用能时段，最低用能，最低用能时段等参数。</w:t>
            </w:r>
          </w:p>
          <w:p w14:paraId="79DDA5E5"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5.设置</w:t>
            </w:r>
            <w:r w:rsidRPr="003807DA">
              <w:rPr>
                <w:rFonts w:asciiTheme="majorEastAsia" w:eastAsiaTheme="majorEastAsia" w:hAnsiTheme="majorEastAsia" w:cs="宋体" w:hint="eastAsia"/>
                <w:sz w:val="24"/>
                <w:szCs w:val="24"/>
                <w:lang w:val="zh-TW"/>
              </w:rPr>
              <w:t>主要参数为日照参数、湿度参数、风力参数、面积参数。</w:t>
            </w:r>
          </w:p>
          <w:p w14:paraId="47323AAD" w14:textId="77777777" w:rsidR="00F64260" w:rsidRPr="003807DA" w:rsidRDefault="00F64260" w:rsidP="003C5810">
            <w:pPr>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rPr>
              <w:t>6.</w:t>
            </w:r>
            <w:r w:rsidRPr="003807DA">
              <w:rPr>
                <w:rFonts w:asciiTheme="majorEastAsia" w:eastAsiaTheme="majorEastAsia" w:hAnsiTheme="majorEastAsia" w:cs="宋体" w:hint="eastAsia"/>
                <w:sz w:val="24"/>
                <w:szCs w:val="24"/>
                <w:lang w:val="zh-TW"/>
              </w:rPr>
              <w:t>在平面地图上点击拖曳“光伏发电”、“风力发电”，“生物质能发电”等多种新能源用能模块，以及相对于的“储能装置”部署到相应区域，设置各种用能模块的用能情况，设定天气模块的各种参数，部署管道，完成区域能源的初始规划。</w:t>
            </w:r>
          </w:p>
          <w:p w14:paraId="6D01DBAE" w14:textId="77777777" w:rsidR="00F64260" w:rsidRPr="003807DA" w:rsidRDefault="00F64260" w:rsidP="003C5810">
            <w:pPr>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rPr>
              <w:t>7.</w:t>
            </w:r>
            <w:r w:rsidRPr="003807DA">
              <w:rPr>
                <w:rFonts w:asciiTheme="majorEastAsia" w:eastAsiaTheme="majorEastAsia" w:hAnsiTheme="majorEastAsia" w:cs="宋体" w:hint="eastAsia"/>
                <w:sz w:val="24"/>
                <w:szCs w:val="24"/>
                <w:lang w:val="zh-TW"/>
              </w:rPr>
              <w:t>在初始化和部署完成后，展示整个区域能源状态，并根据预设值进行计算和输出，根据输出结果形成各类报表。通过模拟时间过程，可以动态调控各种能源的产能情况。</w:t>
            </w:r>
          </w:p>
          <w:p w14:paraId="7B55A46F" w14:textId="77777777" w:rsidR="00F64260" w:rsidRPr="003807DA" w:rsidRDefault="00F64260" w:rsidP="003C5810">
            <w:pPr>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sz w:val="24"/>
                <w:szCs w:val="24"/>
                <w:lang w:val="zh-TW" w:eastAsia="zh-TW"/>
              </w:rPr>
              <w:t>8</w:t>
            </w:r>
            <w:r w:rsidRPr="003807DA">
              <w:rPr>
                <w:rFonts w:asciiTheme="majorEastAsia" w:eastAsiaTheme="majorEastAsia" w:hAnsiTheme="majorEastAsia" w:cs="宋体" w:hint="eastAsia"/>
                <w:sz w:val="24"/>
                <w:szCs w:val="24"/>
                <w:lang w:val="zh-TW"/>
              </w:rPr>
              <w:t>.可以</w:t>
            </w:r>
            <w:r w:rsidRPr="003807DA">
              <w:rPr>
                <w:rFonts w:asciiTheme="majorEastAsia" w:eastAsiaTheme="majorEastAsia" w:hAnsiTheme="majorEastAsia" w:cs="宋体"/>
                <w:sz w:val="24"/>
                <w:szCs w:val="24"/>
                <w:lang w:val="zh-TW"/>
              </w:rPr>
              <w:t>根据</w:t>
            </w:r>
            <w:r w:rsidRPr="003807DA">
              <w:rPr>
                <w:rFonts w:asciiTheme="majorEastAsia" w:eastAsiaTheme="majorEastAsia" w:hAnsiTheme="majorEastAsia" w:cs="宋体" w:hint="eastAsia"/>
                <w:sz w:val="24"/>
                <w:szCs w:val="24"/>
                <w:lang w:val="zh-TW"/>
              </w:rPr>
              <w:t>家庭成员数量、工厂</w:t>
            </w:r>
            <w:r w:rsidRPr="003807DA">
              <w:rPr>
                <w:rFonts w:asciiTheme="majorEastAsia" w:eastAsiaTheme="majorEastAsia" w:hAnsiTheme="majorEastAsia" w:cs="宋体"/>
                <w:sz w:val="24"/>
                <w:szCs w:val="24"/>
                <w:lang w:val="zh-TW"/>
              </w:rPr>
              <w:t>产量、小区户数、商场面积</w:t>
            </w:r>
            <w:r w:rsidRPr="003807DA">
              <w:rPr>
                <w:rFonts w:asciiTheme="majorEastAsia" w:eastAsiaTheme="majorEastAsia" w:hAnsiTheme="majorEastAsia" w:cs="宋体" w:hint="eastAsia"/>
                <w:sz w:val="24"/>
                <w:szCs w:val="24"/>
                <w:lang w:val="zh-TW"/>
              </w:rPr>
              <w:t>产出标准</w:t>
            </w:r>
            <w:r w:rsidRPr="003807DA">
              <w:rPr>
                <w:rFonts w:asciiTheme="majorEastAsia" w:eastAsiaTheme="majorEastAsia" w:hAnsiTheme="majorEastAsia" w:cs="宋体"/>
                <w:sz w:val="24"/>
                <w:szCs w:val="24"/>
                <w:lang w:val="zh-TW"/>
              </w:rPr>
              <w:t>能耗参数；</w:t>
            </w:r>
          </w:p>
          <w:p w14:paraId="1F922AD7" w14:textId="77777777" w:rsidR="00F64260" w:rsidRPr="003807DA" w:rsidRDefault="00F64260" w:rsidP="003C5810">
            <w:pPr>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rPr>
              <w:t>9.</w:t>
            </w:r>
            <w:r w:rsidRPr="003807DA">
              <w:rPr>
                <w:rFonts w:asciiTheme="majorEastAsia" w:eastAsiaTheme="majorEastAsia" w:hAnsiTheme="majorEastAsia" w:cs="宋体" w:hint="eastAsia"/>
                <w:sz w:val="24"/>
                <w:szCs w:val="24"/>
                <w:lang w:val="zh-TW"/>
              </w:rPr>
              <w:t>根据用能模块预设的用能参数，在设定范围内模拟计算出用能情况实时曲线，并同步图表显示。</w:t>
            </w:r>
          </w:p>
          <w:p w14:paraId="45823EF7" w14:textId="77777777" w:rsidR="00F64260" w:rsidRPr="003807DA" w:rsidRDefault="00F64260" w:rsidP="003C5810">
            <w:pPr>
              <w:jc w:val="left"/>
              <w:rPr>
                <w:rFonts w:asciiTheme="majorEastAsia" w:eastAsiaTheme="majorEastAsia" w:hAnsiTheme="majorEastAsia" w:cs="宋体"/>
                <w:sz w:val="24"/>
                <w:szCs w:val="24"/>
                <w:lang w:val="zh-TW" w:eastAsia="zh-TW"/>
              </w:rPr>
            </w:pPr>
            <w:r w:rsidRPr="003807DA">
              <w:rPr>
                <w:rFonts w:asciiTheme="majorEastAsia" w:eastAsiaTheme="majorEastAsia" w:hAnsiTheme="majorEastAsia" w:cs="宋体"/>
                <w:sz w:val="24"/>
                <w:szCs w:val="24"/>
                <w:lang w:val="zh-TW" w:eastAsia="zh-TW"/>
              </w:rPr>
              <w:t>10</w:t>
            </w:r>
            <w:r w:rsidRPr="003807DA">
              <w:rPr>
                <w:rFonts w:asciiTheme="majorEastAsia" w:eastAsiaTheme="majorEastAsia" w:hAnsiTheme="majorEastAsia" w:cs="宋体" w:hint="eastAsia"/>
                <w:sz w:val="24"/>
                <w:szCs w:val="24"/>
                <w:lang w:val="zh-TW"/>
              </w:rPr>
              <w:t>.可以</w:t>
            </w:r>
            <w:r w:rsidRPr="003807DA">
              <w:rPr>
                <w:rFonts w:asciiTheme="majorEastAsia" w:eastAsiaTheme="majorEastAsia" w:hAnsiTheme="majorEastAsia" w:cs="宋体"/>
                <w:sz w:val="24"/>
                <w:szCs w:val="24"/>
                <w:lang w:val="zh-TW"/>
              </w:rPr>
              <w:t>根据</w:t>
            </w:r>
            <w:r w:rsidRPr="003807DA">
              <w:rPr>
                <w:rFonts w:asciiTheme="majorEastAsia" w:eastAsiaTheme="majorEastAsia" w:hAnsiTheme="majorEastAsia" w:cs="宋体" w:hint="eastAsia"/>
                <w:sz w:val="24"/>
                <w:szCs w:val="24"/>
                <w:lang w:val="zh-TW"/>
              </w:rPr>
              <w:t>供冷度日数、</w:t>
            </w:r>
            <w:r w:rsidRPr="003807DA">
              <w:rPr>
                <w:rFonts w:asciiTheme="majorEastAsia" w:eastAsiaTheme="majorEastAsia" w:hAnsiTheme="majorEastAsia" w:cs="宋体"/>
                <w:sz w:val="24"/>
                <w:szCs w:val="24"/>
                <w:lang w:val="zh-TW"/>
              </w:rPr>
              <w:t>供暖度日数及制冷制热能耗占比</w:t>
            </w:r>
            <w:r w:rsidRPr="003807DA">
              <w:rPr>
                <w:rFonts w:asciiTheme="majorEastAsia" w:eastAsiaTheme="majorEastAsia" w:hAnsiTheme="majorEastAsia" w:cs="宋体" w:hint="eastAsia"/>
                <w:sz w:val="24"/>
                <w:szCs w:val="24"/>
                <w:lang w:val="zh-TW"/>
              </w:rPr>
              <w:t>合理划分</w:t>
            </w:r>
            <w:r w:rsidRPr="003807DA">
              <w:rPr>
                <w:rFonts w:asciiTheme="majorEastAsia" w:eastAsiaTheme="majorEastAsia" w:hAnsiTheme="majorEastAsia" w:cs="宋体"/>
                <w:sz w:val="24"/>
                <w:szCs w:val="24"/>
                <w:lang w:val="zh-TW"/>
              </w:rPr>
              <w:t>区域内的</w:t>
            </w:r>
            <w:r w:rsidRPr="003807DA">
              <w:rPr>
                <w:rFonts w:asciiTheme="majorEastAsia" w:eastAsiaTheme="majorEastAsia" w:hAnsiTheme="majorEastAsia" w:cs="宋体" w:hint="eastAsia"/>
                <w:sz w:val="24"/>
                <w:szCs w:val="24"/>
                <w:lang w:val="zh-TW"/>
              </w:rPr>
              <w:t>一般</w:t>
            </w:r>
            <w:r w:rsidRPr="003807DA">
              <w:rPr>
                <w:rFonts w:asciiTheme="majorEastAsia" w:eastAsiaTheme="majorEastAsia" w:hAnsiTheme="majorEastAsia" w:cs="宋体"/>
                <w:sz w:val="24"/>
                <w:szCs w:val="24"/>
                <w:lang w:val="zh-TW"/>
              </w:rPr>
              <w:t>能耗</w:t>
            </w:r>
            <w:r w:rsidRPr="003807DA">
              <w:rPr>
                <w:rFonts w:asciiTheme="majorEastAsia" w:eastAsiaTheme="majorEastAsia" w:hAnsiTheme="majorEastAsia" w:cs="宋体" w:hint="eastAsia"/>
                <w:sz w:val="24"/>
                <w:szCs w:val="24"/>
                <w:lang w:val="zh-TW"/>
              </w:rPr>
              <w:t>与</w:t>
            </w:r>
            <w:r w:rsidRPr="003807DA">
              <w:rPr>
                <w:rFonts w:asciiTheme="majorEastAsia" w:eastAsiaTheme="majorEastAsia" w:hAnsiTheme="majorEastAsia" w:cs="宋体"/>
                <w:sz w:val="24"/>
                <w:szCs w:val="24"/>
                <w:lang w:val="zh-TW"/>
              </w:rPr>
              <w:t>制冷制热能耗；</w:t>
            </w:r>
          </w:p>
          <w:p w14:paraId="30B660CC" w14:textId="77777777" w:rsidR="00F64260" w:rsidRPr="003807DA" w:rsidRDefault="00F64260" w:rsidP="003C5810">
            <w:pPr>
              <w:jc w:val="left"/>
              <w:rPr>
                <w:rFonts w:asciiTheme="majorEastAsia" w:eastAsiaTheme="majorEastAsia" w:hAnsiTheme="majorEastAsia" w:cs="宋体"/>
                <w:sz w:val="24"/>
                <w:szCs w:val="24"/>
                <w:lang w:val="zh-TW"/>
              </w:rPr>
            </w:pPr>
            <w:r w:rsidRPr="003807DA">
              <w:rPr>
                <w:rFonts w:asciiTheme="majorEastAsia" w:eastAsiaTheme="majorEastAsia" w:hAnsiTheme="majorEastAsia" w:cs="宋体" w:hint="eastAsia"/>
                <w:sz w:val="24"/>
                <w:szCs w:val="24"/>
              </w:rPr>
              <w:t>11.</w:t>
            </w:r>
            <w:r w:rsidRPr="003807DA">
              <w:rPr>
                <w:rFonts w:asciiTheme="majorEastAsia" w:eastAsiaTheme="majorEastAsia" w:hAnsiTheme="majorEastAsia" w:cs="宋体" w:hint="eastAsia"/>
                <w:sz w:val="24"/>
                <w:szCs w:val="24"/>
                <w:lang w:val="zh-TW"/>
              </w:rPr>
              <w:t>根据设定模拟的间隔将天气模块加到能源模块，同步将能源模块计算产生的能源量和用能模块产生的能源量进行比较分析。</w:t>
            </w:r>
          </w:p>
          <w:p w14:paraId="5FAC4E7F"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12.拥有4种不同图层修正，</w:t>
            </w:r>
            <w:r w:rsidRPr="003807DA">
              <w:rPr>
                <w:rFonts w:asciiTheme="majorEastAsia" w:eastAsiaTheme="majorEastAsia" w:hAnsiTheme="majorEastAsia" w:cs="宋体"/>
                <w:sz w:val="24"/>
                <w:szCs w:val="24"/>
              </w:rPr>
              <w:t>拥有</w:t>
            </w:r>
            <w:r w:rsidRPr="003807DA">
              <w:rPr>
                <w:rFonts w:asciiTheme="majorEastAsia" w:eastAsiaTheme="majorEastAsia" w:hAnsiTheme="majorEastAsia" w:cs="宋体" w:hint="eastAsia"/>
                <w:sz w:val="24"/>
                <w:szCs w:val="24"/>
              </w:rPr>
              <w:t>4种环境参数；</w:t>
            </w:r>
          </w:p>
          <w:p w14:paraId="704C368D"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13.可以进行5种不同种类的能源模拟；</w:t>
            </w:r>
            <w:r w:rsidRPr="003807DA">
              <w:rPr>
                <w:rFonts w:asciiTheme="majorEastAsia" w:eastAsiaTheme="majorEastAsia" w:hAnsiTheme="majorEastAsia" w:cs="宋体" w:hint="eastAsia"/>
                <w:sz w:val="24"/>
                <w:szCs w:val="24"/>
              </w:rPr>
              <w:br/>
              <w:t>14.拥有7种不同能源方案报表参数；</w:t>
            </w:r>
            <w:r w:rsidRPr="003807DA">
              <w:rPr>
                <w:rFonts w:asciiTheme="majorEastAsia" w:eastAsiaTheme="majorEastAsia" w:hAnsiTheme="majorEastAsia" w:cs="宋体" w:hint="eastAsia"/>
                <w:sz w:val="24"/>
                <w:szCs w:val="24"/>
              </w:rPr>
              <w:br/>
              <w:t>15.精确到每一天的模拟地图气象数据，气候</w:t>
            </w:r>
            <w:r w:rsidRPr="003807DA">
              <w:rPr>
                <w:rFonts w:asciiTheme="majorEastAsia" w:eastAsiaTheme="majorEastAsia" w:hAnsiTheme="majorEastAsia" w:cs="宋体"/>
                <w:sz w:val="24"/>
                <w:szCs w:val="24"/>
              </w:rPr>
              <w:t>数据库涵盖全国</w:t>
            </w:r>
            <w:r w:rsidRPr="003807DA">
              <w:rPr>
                <w:rFonts w:asciiTheme="majorEastAsia" w:eastAsiaTheme="majorEastAsia" w:hAnsiTheme="majorEastAsia" w:cs="宋体" w:hint="eastAsia"/>
                <w:sz w:val="24"/>
                <w:szCs w:val="24"/>
              </w:rPr>
              <w:t>多数城市2013-2016年</w:t>
            </w:r>
            <w:r w:rsidRPr="003807DA">
              <w:rPr>
                <w:rFonts w:asciiTheme="majorEastAsia" w:eastAsiaTheme="majorEastAsia" w:hAnsiTheme="majorEastAsia" w:cs="宋体"/>
                <w:sz w:val="24"/>
                <w:szCs w:val="24"/>
              </w:rPr>
              <w:t>的</w:t>
            </w:r>
            <w:r w:rsidRPr="003807DA">
              <w:rPr>
                <w:rFonts w:asciiTheme="majorEastAsia" w:eastAsiaTheme="majorEastAsia" w:hAnsiTheme="majorEastAsia" w:cs="宋体" w:hint="eastAsia"/>
                <w:sz w:val="24"/>
                <w:szCs w:val="24"/>
              </w:rPr>
              <w:t>气候</w:t>
            </w:r>
            <w:r w:rsidRPr="003807DA">
              <w:rPr>
                <w:rFonts w:asciiTheme="majorEastAsia" w:eastAsiaTheme="majorEastAsia" w:hAnsiTheme="majorEastAsia" w:cs="宋体"/>
                <w:sz w:val="24"/>
                <w:szCs w:val="24"/>
              </w:rPr>
              <w:t>数据</w:t>
            </w:r>
            <w:r w:rsidRPr="003807DA">
              <w:rPr>
                <w:rFonts w:asciiTheme="majorEastAsia" w:eastAsiaTheme="majorEastAsia" w:hAnsiTheme="majorEastAsia" w:cs="宋体" w:hint="eastAsia"/>
                <w:sz w:val="24"/>
                <w:szCs w:val="24"/>
              </w:rPr>
              <w:t>；</w:t>
            </w:r>
          </w:p>
          <w:p w14:paraId="36D5A5F3"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16.拥有</w:t>
            </w:r>
            <w:r w:rsidRPr="003807DA">
              <w:rPr>
                <w:rFonts w:asciiTheme="majorEastAsia" w:eastAsiaTheme="majorEastAsia" w:hAnsiTheme="majorEastAsia" w:cs="宋体"/>
                <w:sz w:val="24"/>
                <w:szCs w:val="24"/>
              </w:rPr>
              <w:t>市面上大多数逆变器与光伏组件的</w:t>
            </w:r>
            <w:r w:rsidRPr="003807DA">
              <w:rPr>
                <w:rFonts w:asciiTheme="majorEastAsia" w:eastAsiaTheme="majorEastAsia" w:hAnsiTheme="majorEastAsia" w:cs="宋体" w:hint="eastAsia"/>
                <w:sz w:val="24"/>
                <w:szCs w:val="24"/>
              </w:rPr>
              <w:t>实际参数</w:t>
            </w:r>
            <w:r w:rsidRPr="003807DA">
              <w:rPr>
                <w:rFonts w:asciiTheme="majorEastAsia" w:eastAsiaTheme="majorEastAsia" w:hAnsiTheme="majorEastAsia" w:cs="宋体"/>
                <w:sz w:val="24"/>
                <w:szCs w:val="24"/>
              </w:rPr>
              <w:t>，</w:t>
            </w:r>
            <w:r w:rsidRPr="003807DA">
              <w:rPr>
                <w:rFonts w:asciiTheme="majorEastAsia" w:eastAsiaTheme="majorEastAsia" w:hAnsiTheme="majorEastAsia" w:cs="宋体" w:hint="eastAsia"/>
                <w:sz w:val="24"/>
                <w:szCs w:val="24"/>
              </w:rPr>
              <w:t>并可依据逆变器</w:t>
            </w:r>
            <w:r w:rsidRPr="003807DA">
              <w:rPr>
                <w:rFonts w:asciiTheme="majorEastAsia" w:eastAsiaTheme="majorEastAsia" w:hAnsiTheme="majorEastAsia" w:cs="宋体"/>
                <w:sz w:val="24"/>
                <w:szCs w:val="24"/>
              </w:rPr>
              <w:t>对光伏组件</w:t>
            </w:r>
            <w:r w:rsidRPr="003807DA">
              <w:rPr>
                <w:rFonts w:asciiTheme="majorEastAsia" w:eastAsiaTheme="majorEastAsia" w:hAnsiTheme="majorEastAsia" w:cs="宋体" w:hint="eastAsia"/>
                <w:sz w:val="24"/>
                <w:szCs w:val="24"/>
              </w:rPr>
              <w:t>串并联</w:t>
            </w:r>
            <w:r w:rsidRPr="003807DA">
              <w:rPr>
                <w:rFonts w:asciiTheme="majorEastAsia" w:eastAsiaTheme="majorEastAsia" w:hAnsiTheme="majorEastAsia" w:cs="宋体"/>
                <w:sz w:val="24"/>
                <w:szCs w:val="24"/>
              </w:rPr>
              <w:t>数量进行设计；</w:t>
            </w:r>
          </w:p>
          <w:p w14:paraId="3D4C3651"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17</w:t>
            </w:r>
            <w:r w:rsidRPr="003807DA">
              <w:rPr>
                <w:rFonts w:asciiTheme="majorEastAsia" w:eastAsiaTheme="majorEastAsia" w:hAnsiTheme="majorEastAsia" w:cs="宋体"/>
                <w:sz w:val="24"/>
                <w:szCs w:val="24"/>
              </w:rPr>
              <w:t>.</w:t>
            </w:r>
            <w:r w:rsidRPr="003807DA">
              <w:rPr>
                <w:rFonts w:asciiTheme="majorEastAsia" w:eastAsiaTheme="majorEastAsia" w:hAnsiTheme="majorEastAsia" w:cs="宋体" w:hint="eastAsia"/>
                <w:sz w:val="24"/>
                <w:szCs w:val="24"/>
              </w:rPr>
              <w:t>可以</w:t>
            </w:r>
            <w:r w:rsidRPr="003807DA">
              <w:rPr>
                <w:rFonts w:asciiTheme="majorEastAsia" w:eastAsiaTheme="majorEastAsia" w:hAnsiTheme="majorEastAsia" w:cs="宋体"/>
                <w:sz w:val="24"/>
                <w:szCs w:val="24"/>
              </w:rPr>
              <w:t>根据设施</w:t>
            </w:r>
            <w:r w:rsidRPr="003807DA">
              <w:rPr>
                <w:rFonts w:asciiTheme="majorEastAsia" w:eastAsiaTheme="majorEastAsia" w:hAnsiTheme="majorEastAsia" w:cs="宋体" w:hint="eastAsia"/>
                <w:sz w:val="24"/>
                <w:szCs w:val="24"/>
              </w:rPr>
              <w:t>地区</w:t>
            </w:r>
            <w:r w:rsidRPr="003807DA">
              <w:rPr>
                <w:rFonts w:asciiTheme="majorEastAsia" w:eastAsiaTheme="majorEastAsia" w:hAnsiTheme="majorEastAsia" w:cs="宋体"/>
                <w:sz w:val="24"/>
                <w:szCs w:val="24"/>
              </w:rPr>
              <w:t>经纬度</w:t>
            </w:r>
            <w:r w:rsidRPr="003807DA">
              <w:rPr>
                <w:rFonts w:asciiTheme="majorEastAsia" w:eastAsiaTheme="majorEastAsia" w:hAnsiTheme="majorEastAsia" w:cs="宋体" w:hint="eastAsia"/>
                <w:sz w:val="24"/>
                <w:szCs w:val="24"/>
              </w:rPr>
              <w:t>与气候参数计算单位面积</w:t>
            </w:r>
            <w:r w:rsidRPr="003807DA">
              <w:rPr>
                <w:rFonts w:asciiTheme="majorEastAsia" w:eastAsiaTheme="majorEastAsia" w:hAnsiTheme="majorEastAsia" w:cs="宋体"/>
                <w:sz w:val="24"/>
                <w:szCs w:val="24"/>
              </w:rPr>
              <w:t>内逆变器最佳数量</w:t>
            </w:r>
            <w:r w:rsidRPr="003807DA">
              <w:rPr>
                <w:rFonts w:asciiTheme="majorEastAsia" w:eastAsiaTheme="majorEastAsia" w:hAnsiTheme="majorEastAsia" w:cs="宋体" w:hint="eastAsia"/>
                <w:sz w:val="24"/>
                <w:szCs w:val="24"/>
              </w:rPr>
              <w:t>；</w:t>
            </w:r>
          </w:p>
          <w:p w14:paraId="2FCC8F81" w14:textId="77777777" w:rsidR="00F64260" w:rsidRPr="003807DA" w:rsidRDefault="00F64260" w:rsidP="003C5810">
            <w:pPr>
              <w:jc w:val="left"/>
              <w:rPr>
                <w:rFonts w:asciiTheme="majorEastAsia" w:eastAsiaTheme="majorEastAsia" w:hAnsiTheme="majorEastAsia" w:cs="宋体"/>
                <w:sz w:val="24"/>
                <w:szCs w:val="24"/>
              </w:rPr>
            </w:pPr>
            <w:r w:rsidRPr="003807DA">
              <w:rPr>
                <w:rFonts w:asciiTheme="majorEastAsia" w:eastAsiaTheme="majorEastAsia" w:hAnsiTheme="majorEastAsia" w:cs="宋体" w:hint="eastAsia"/>
                <w:sz w:val="24"/>
                <w:szCs w:val="24"/>
              </w:rPr>
              <w:t>18.可以自行比较同一模型</w:t>
            </w:r>
            <w:r w:rsidRPr="003807DA">
              <w:rPr>
                <w:rFonts w:asciiTheme="majorEastAsia" w:eastAsiaTheme="majorEastAsia" w:hAnsiTheme="majorEastAsia" w:cs="宋体"/>
                <w:sz w:val="24"/>
                <w:szCs w:val="24"/>
              </w:rPr>
              <w:t>不同能源规划方案的优劣；</w:t>
            </w:r>
          </w:p>
          <w:p w14:paraId="55AA05AE" w14:textId="77777777" w:rsidR="00F64260" w:rsidRPr="003807DA" w:rsidRDefault="00F64260" w:rsidP="003C5810">
            <w:pPr>
              <w:autoSpaceDE w:val="0"/>
              <w:autoSpaceDN w:val="0"/>
              <w:adjustRightInd w:val="0"/>
              <w:spacing w:line="360" w:lineRule="auto"/>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七、辅材及工具：1.螺丝、压铆螺母柱、铜柱、铜鼻子；接线端子、接线端子连接条、电线电缆；号码管、缠绕管、警示标志。2.工具：万能表；电烙铁、电工胶布；剥线钳、斜口钳、冷压压线钳；螺丝刀、工具刀、活动扳手。</w:t>
            </w:r>
          </w:p>
        </w:tc>
        <w:tc>
          <w:tcPr>
            <w:tcW w:w="535" w:type="dxa"/>
            <w:vAlign w:val="center"/>
          </w:tcPr>
          <w:p w14:paraId="76A8B86D"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套</w:t>
            </w:r>
          </w:p>
        </w:tc>
        <w:tc>
          <w:tcPr>
            <w:tcW w:w="457" w:type="dxa"/>
            <w:vAlign w:val="center"/>
          </w:tcPr>
          <w:p w14:paraId="41B83418"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sz w:val="24"/>
                <w:szCs w:val="24"/>
              </w:rPr>
            </w:pPr>
            <w:r w:rsidRPr="003807DA">
              <w:rPr>
                <w:rFonts w:asciiTheme="majorEastAsia" w:eastAsiaTheme="majorEastAsia" w:hAnsiTheme="majorEastAsia"/>
                <w:sz w:val="24"/>
                <w:szCs w:val="24"/>
              </w:rPr>
              <w:t>1</w:t>
            </w:r>
          </w:p>
        </w:tc>
        <w:tc>
          <w:tcPr>
            <w:tcW w:w="992" w:type="dxa"/>
            <w:vAlign w:val="center"/>
          </w:tcPr>
          <w:p w14:paraId="52B3585B" w14:textId="6BE7B011" w:rsidR="00F64260" w:rsidRPr="003807DA" w:rsidRDefault="00F64260" w:rsidP="00F64260">
            <w:pPr>
              <w:autoSpaceDE w:val="0"/>
              <w:autoSpaceDN w:val="0"/>
              <w:adjustRightInd w:val="0"/>
              <w:spacing w:line="360" w:lineRule="auto"/>
              <w:jc w:val="center"/>
              <w:rPr>
                <w:rFonts w:asciiTheme="majorEastAsia" w:eastAsiaTheme="majorEastAsia" w:hAnsiTheme="majorEastAsia"/>
                <w:sz w:val="24"/>
                <w:szCs w:val="24"/>
              </w:rPr>
            </w:pPr>
            <w:r w:rsidRPr="003807DA">
              <w:rPr>
                <w:rFonts w:asciiTheme="majorEastAsia" w:eastAsiaTheme="majorEastAsia" w:hAnsiTheme="majorEastAsia"/>
                <w:sz w:val="24"/>
                <w:szCs w:val="24"/>
              </w:rPr>
              <w:t>26</w:t>
            </w:r>
            <w:r>
              <w:rPr>
                <w:rFonts w:asciiTheme="majorEastAsia" w:eastAsiaTheme="majorEastAsia" w:hAnsiTheme="majorEastAsia" w:hint="eastAsia"/>
                <w:sz w:val="24"/>
                <w:szCs w:val="24"/>
              </w:rPr>
              <w:t>0</w:t>
            </w:r>
            <w:r w:rsidRPr="003807DA">
              <w:rPr>
                <w:rFonts w:asciiTheme="majorEastAsia" w:eastAsiaTheme="majorEastAsia" w:hAnsiTheme="majorEastAsia"/>
                <w:sz w:val="24"/>
                <w:szCs w:val="24"/>
              </w:rPr>
              <w:t>000</w:t>
            </w:r>
            <w:r w:rsidRPr="003807DA">
              <w:rPr>
                <w:rFonts w:asciiTheme="majorEastAsia" w:eastAsiaTheme="majorEastAsia" w:hAnsiTheme="majorEastAsia" w:hint="eastAsia"/>
                <w:sz w:val="24"/>
                <w:szCs w:val="24"/>
              </w:rPr>
              <w:t>元</w:t>
            </w:r>
          </w:p>
        </w:tc>
        <w:tc>
          <w:tcPr>
            <w:tcW w:w="992" w:type="dxa"/>
            <w:vAlign w:val="center"/>
          </w:tcPr>
          <w:p w14:paraId="45517A84" w14:textId="4FD63B70" w:rsidR="00F64260" w:rsidRPr="003807DA" w:rsidRDefault="00F64260" w:rsidP="00F64260">
            <w:pPr>
              <w:autoSpaceDE w:val="0"/>
              <w:autoSpaceDN w:val="0"/>
              <w:adjustRightInd w:val="0"/>
              <w:spacing w:line="360" w:lineRule="auto"/>
              <w:jc w:val="center"/>
              <w:rPr>
                <w:rFonts w:asciiTheme="majorEastAsia" w:eastAsiaTheme="majorEastAsia" w:hAnsiTheme="majorEastAsia"/>
                <w:sz w:val="24"/>
                <w:szCs w:val="24"/>
              </w:rPr>
            </w:pPr>
            <w:r w:rsidRPr="003807DA">
              <w:rPr>
                <w:rFonts w:asciiTheme="majorEastAsia" w:eastAsiaTheme="majorEastAsia" w:hAnsiTheme="majorEastAsia"/>
                <w:sz w:val="24"/>
                <w:szCs w:val="24"/>
              </w:rPr>
              <w:t>26</w:t>
            </w:r>
            <w:r>
              <w:rPr>
                <w:rFonts w:asciiTheme="majorEastAsia" w:eastAsiaTheme="majorEastAsia" w:hAnsiTheme="majorEastAsia" w:hint="eastAsia"/>
                <w:sz w:val="24"/>
                <w:szCs w:val="24"/>
              </w:rPr>
              <w:t>0</w:t>
            </w:r>
            <w:r w:rsidRPr="003807DA">
              <w:rPr>
                <w:rFonts w:asciiTheme="majorEastAsia" w:eastAsiaTheme="majorEastAsia" w:hAnsiTheme="majorEastAsia"/>
                <w:sz w:val="24"/>
                <w:szCs w:val="24"/>
              </w:rPr>
              <w:t>000</w:t>
            </w:r>
            <w:r w:rsidRPr="003807DA">
              <w:rPr>
                <w:rFonts w:asciiTheme="majorEastAsia" w:eastAsiaTheme="majorEastAsia" w:hAnsiTheme="majorEastAsia" w:hint="eastAsia"/>
                <w:sz w:val="24"/>
                <w:szCs w:val="24"/>
              </w:rPr>
              <w:t>元</w:t>
            </w:r>
          </w:p>
        </w:tc>
        <w:tc>
          <w:tcPr>
            <w:tcW w:w="1025" w:type="dxa"/>
            <w:vAlign w:val="center"/>
          </w:tcPr>
          <w:p w14:paraId="61D60386" w14:textId="77777777" w:rsidR="00F64260" w:rsidRPr="003807DA" w:rsidRDefault="00F64260" w:rsidP="003C5810">
            <w:pPr>
              <w:autoSpaceDE w:val="0"/>
              <w:autoSpaceDN w:val="0"/>
              <w:adjustRightInd w:val="0"/>
              <w:spacing w:line="360" w:lineRule="auto"/>
              <w:jc w:val="center"/>
              <w:rPr>
                <w:rFonts w:asciiTheme="majorEastAsia" w:eastAsiaTheme="majorEastAsia" w:hAnsiTheme="majorEastAsia"/>
                <w:sz w:val="24"/>
                <w:szCs w:val="24"/>
              </w:rPr>
            </w:pPr>
            <w:r w:rsidRPr="003807DA">
              <w:rPr>
                <w:rFonts w:asciiTheme="majorEastAsia" w:eastAsiaTheme="majorEastAsia" w:hAnsiTheme="majorEastAsia" w:hint="eastAsia"/>
                <w:sz w:val="24"/>
                <w:szCs w:val="24"/>
              </w:rPr>
              <w:t>浙江省杭州市、浙江瑞亚能源科技有限公司</w:t>
            </w:r>
          </w:p>
        </w:tc>
      </w:tr>
    </w:tbl>
    <w:p w14:paraId="069EFC4C" w14:textId="77777777" w:rsidR="00D85347" w:rsidRDefault="00F64260"/>
    <w:sectPr w:rsidR="00D85347" w:rsidSect="00F64260">
      <w:pgSz w:w="16840" w:h="11900" w:orient="landscape"/>
      <w:pgMar w:top="1800" w:right="1440" w:bottom="1800" w:left="144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42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25"/>
    <w:rsid w:val="00555AC5"/>
    <w:rsid w:val="007720DE"/>
    <w:rsid w:val="00B86225"/>
    <w:rsid w:val="00CE442F"/>
    <w:rsid w:val="00EC7E71"/>
    <w:rsid w:val="00F6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92AC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86225"/>
    <w:pPr>
      <w:widowControl w:val="0"/>
      <w:jc w:val="both"/>
    </w:pPr>
    <w:rPr>
      <w:sz w:val="21"/>
      <w:szCs w:val="22"/>
    </w:rPr>
  </w:style>
  <w:style w:type="paragraph" w:styleId="1">
    <w:name w:val="heading 1"/>
    <w:basedOn w:val="a"/>
    <w:next w:val="a"/>
    <w:link w:val="10"/>
    <w:uiPriority w:val="9"/>
    <w:qFormat/>
    <w:rsid w:val="00B8622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642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86225"/>
    <w:rPr>
      <w:b/>
      <w:bCs/>
      <w:kern w:val="44"/>
      <w:sz w:val="44"/>
      <w:szCs w:val="44"/>
    </w:rPr>
  </w:style>
  <w:style w:type="character" w:customStyle="1" w:styleId="20">
    <w:name w:val="标题 2字符"/>
    <w:basedOn w:val="a0"/>
    <w:link w:val="2"/>
    <w:uiPriority w:val="9"/>
    <w:rsid w:val="00F64260"/>
    <w:rPr>
      <w:rFonts w:asciiTheme="majorHAnsi" w:eastAsiaTheme="majorEastAsia" w:hAnsiTheme="majorHAnsi" w:cstheme="majorBidi"/>
      <w:b/>
      <w:bCs/>
      <w:sz w:val="32"/>
      <w:szCs w:val="32"/>
    </w:rPr>
  </w:style>
  <w:style w:type="table" w:styleId="a3">
    <w:name w:val="Table Grid"/>
    <w:basedOn w:val="a1"/>
    <w:uiPriority w:val="59"/>
    <w:rsid w:val="00F64260"/>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1252</Words>
  <Characters>7139</Characters>
  <Application>Microsoft Macintosh Word</Application>
  <DocSecurity>0</DocSecurity>
  <Lines>59</Lines>
  <Paragraphs>16</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二、二次一览表</vt:lpstr>
    </vt:vector>
  </TitlesOfParts>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dcterms:created xsi:type="dcterms:W3CDTF">2019-03-12T00:52:00Z</dcterms:created>
  <dcterms:modified xsi:type="dcterms:W3CDTF">2019-03-12T01:08:00Z</dcterms:modified>
</cp:coreProperties>
</file>