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hAnsi="华文中宋" w:eastAsia="华文中宋"/>
          <w:sz w:val="32"/>
          <w:szCs w:val="32"/>
        </w:rPr>
      </w:pPr>
    </w:p>
    <w:p>
      <w:pPr>
        <w:spacing w:line="360" w:lineRule="auto"/>
        <w:rPr>
          <w:rFonts w:hint="eastAsia" w:ascii="Times New Roman" w:hAnsi="华文中宋" w:eastAsia="华文中宋" w:cs="Times New Roman"/>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highlight w:val="none"/>
        </w:rPr>
        <w:t xml:space="preserve">  </w:t>
      </w:r>
      <w:r>
        <w:rPr>
          <w:rFonts w:hint="eastAsia" w:hAnsi="华文中宋" w:eastAsia="华文中宋"/>
          <w:sz w:val="32"/>
          <w:szCs w:val="32"/>
          <w:highlight w:val="none"/>
          <w:lang w:val="en-US" w:eastAsia="zh-CN"/>
        </w:rPr>
        <w:t xml:space="preserve"> </w:t>
      </w:r>
      <w:r>
        <w:rPr>
          <w:rFonts w:hAnsi="华文中宋" w:eastAsia="华文中宋"/>
          <w:sz w:val="32"/>
          <w:szCs w:val="32"/>
          <w:highlight w:val="none"/>
        </w:rPr>
        <w:t>项目编</w:t>
      </w:r>
      <w:r>
        <w:rPr>
          <w:rFonts w:hint="eastAsia" w:ascii="Times New Roman" w:hAnsi="华文中宋" w:eastAsia="华文中宋" w:cs="Times New Roman"/>
          <w:sz w:val="32"/>
          <w:szCs w:val="32"/>
          <w:lang w:val="zh-CN" w:eastAsia="zh-CN"/>
        </w:rPr>
        <w:t>号：建安建工公字〔201</w:t>
      </w:r>
      <w:r>
        <w:rPr>
          <w:rFonts w:hint="eastAsia" w:ascii="Times New Roman" w:hAnsi="华文中宋" w:eastAsia="华文中宋" w:cs="Times New Roman"/>
          <w:sz w:val="32"/>
          <w:szCs w:val="32"/>
          <w:lang w:val="en-US" w:eastAsia="zh-CN"/>
        </w:rPr>
        <w:t>9</w:t>
      </w:r>
      <w:r>
        <w:rPr>
          <w:rFonts w:hint="eastAsia" w:ascii="Times New Roman" w:hAnsi="华文中宋" w:eastAsia="华文中宋" w:cs="Times New Roman"/>
          <w:sz w:val="32"/>
          <w:szCs w:val="32"/>
          <w:lang w:val="zh-CN" w:eastAsia="zh-CN"/>
        </w:rPr>
        <w:t>〕</w:t>
      </w:r>
      <w:r>
        <w:rPr>
          <w:rFonts w:hint="eastAsia" w:hAnsi="华文中宋" w:eastAsia="华文中宋" w:cs="Times New Roman"/>
          <w:sz w:val="32"/>
          <w:szCs w:val="32"/>
          <w:lang w:val="en-US" w:eastAsia="zh-CN"/>
        </w:rPr>
        <w:t>37</w:t>
      </w:r>
      <w:r>
        <w:rPr>
          <w:rFonts w:hint="eastAsia" w:ascii="Times New Roman" w:hAnsi="华文中宋" w:eastAsia="华文中宋" w:cs="Times New Roman"/>
          <w:sz w:val="32"/>
          <w:szCs w:val="32"/>
          <w:lang w:val="zh-CN" w:eastAsia="zh-CN"/>
        </w:rPr>
        <w:t>号</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项目名称：</w:t>
      </w:r>
      <w:r>
        <w:rPr>
          <w:rFonts w:hint="eastAsia" w:ascii="Times New Roman" w:hAnsi="华文中宋" w:eastAsia="华文中宋" w:cs="Times New Roman"/>
          <w:sz w:val="32"/>
          <w:szCs w:val="32"/>
          <w:lang w:val="en-US" w:eastAsia="zh-CN"/>
        </w:rPr>
        <w:t>河街乡农村道路建设项目</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 xml:space="preserve"> 招 标 人：许昌市建安区交通运输局</w:t>
      </w:r>
    </w:p>
    <w:p>
      <w:pPr>
        <w:spacing w:line="360" w:lineRule="auto"/>
        <w:rPr>
          <w:rFonts w:hint="eastAsia" w:hAnsi="华文中宋" w:eastAsia="华文中宋"/>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lang w:val="en-US" w:eastAsia="zh-CN"/>
        </w:rPr>
        <w:t xml:space="preserve"> </w:t>
      </w:r>
      <w:r>
        <w:rPr>
          <w:rFonts w:hAnsi="华文中宋" w:eastAsia="华文中宋"/>
          <w:sz w:val="32"/>
          <w:szCs w:val="32"/>
        </w:rPr>
        <w:t>代理机构：</w:t>
      </w:r>
      <w:r>
        <w:rPr>
          <w:rFonts w:hint="eastAsia" w:hAnsi="华文中宋" w:eastAsia="华文中宋"/>
          <w:sz w:val="32"/>
          <w:szCs w:val="32"/>
          <w:lang w:val="zh-CN" w:eastAsia="zh-CN"/>
        </w:rPr>
        <w:t>永明项目管理有限公司</w:t>
      </w:r>
    </w:p>
    <w:p>
      <w:pPr>
        <w:spacing w:line="360" w:lineRule="auto"/>
        <w:ind w:firstLine="2880" w:firstLineChars="900"/>
        <w:rPr>
          <w:rFonts w:ascii="宋体" w:hAnsi="宋体"/>
          <w:color w:val="auto"/>
          <w:sz w:val="24"/>
          <w:highlight w:val="none"/>
        </w:rPr>
      </w:pPr>
      <w:r>
        <w:rPr>
          <w:rFonts w:hint="eastAsia" w:hAnsi="华文中宋" w:eastAsia="华文中宋"/>
          <w:sz w:val="32"/>
          <w:szCs w:val="32"/>
        </w:rPr>
        <w:t>二〇一</w:t>
      </w:r>
      <w:r>
        <w:rPr>
          <w:rFonts w:hint="eastAsia" w:hAnsi="华文中宋" w:eastAsia="华文中宋"/>
          <w:sz w:val="32"/>
          <w:szCs w:val="32"/>
          <w:lang w:eastAsia="zh-CN"/>
        </w:rPr>
        <w:t>九</w:t>
      </w:r>
      <w:r>
        <w:rPr>
          <w:rFonts w:hint="eastAsia" w:hAnsi="华文中宋" w:eastAsia="华文中宋"/>
          <w:sz w:val="32"/>
          <w:szCs w:val="32"/>
        </w:rPr>
        <w:t>年</w:t>
      </w:r>
      <w:r>
        <w:rPr>
          <w:rFonts w:hint="eastAsia" w:hAnsi="华文中宋" w:eastAsia="华文中宋"/>
          <w:sz w:val="32"/>
          <w:szCs w:val="32"/>
          <w:lang w:eastAsia="zh-CN"/>
        </w:rPr>
        <w:t>二</w:t>
      </w:r>
      <w:r>
        <w:rPr>
          <w:rFonts w:hint="eastAsia" w:hAnsi="华文中宋" w:eastAsia="华文中宋"/>
          <w:sz w:val="32"/>
          <w:szCs w:val="32"/>
        </w:rPr>
        <w:t xml:space="preserve">月 </w:t>
      </w:r>
    </w:p>
    <w:p>
      <w:pPr>
        <w:rPr>
          <w:rFonts w:ascii="宋体" w:hAnsi="宋体"/>
          <w:color w:val="auto"/>
          <w:sz w:val="24"/>
          <w:highlight w:val="none"/>
        </w:rPr>
      </w:pPr>
    </w:p>
    <w:p>
      <w:pPr>
        <w:spacing w:line="360" w:lineRule="auto"/>
        <w:jc w:val="cente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8"/>
        <w:tabs>
          <w:tab w:val="right" w:leader="dot" w:pos="9299"/>
        </w:tabs>
        <w:spacing w:line="360" w:lineRule="auto"/>
        <w:rPr>
          <w:rFonts w:ascii="宋体" w:hAnsi="宋体" w:eastAsia="宋体" w:cs="宋体"/>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宋体" w:hAnsi="宋体" w:eastAsia="宋体" w:cs="宋体"/>
          <w:bCs/>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宋体" w:hAnsi="宋体" w:eastAsia="宋体" w:cs="宋体"/>
          <w:bCs/>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宋体" w:hAnsi="宋体" w:eastAsia="宋体" w:cs="宋体"/>
          <w:bCs/>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8"/>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eastAsia="宋体" w:cs="宋体"/>
          <w:bCs/>
          <w:color w:val="auto"/>
          <w:sz w:val="28"/>
          <w:szCs w:val="28"/>
          <w:highlight w:val="none"/>
        </w:rPr>
        <w:t xml:space="preserve">第六章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图纸（另附）</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第七章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技术规范（另册出版）</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00</w:t>
      </w:r>
    </w:p>
    <w:p>
      <w:pPr>
        <w:pStyle w:val="8"/>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宋体" w:hAnsi="宋体" w:eastAsia="宋体" w:cs="宋体"/>
          <w:bCs/>
          <w:color w:val="auto"/>
          <w:sz w:val="28"/>
          <w:szCs w:val="28"/>
          <w:highlight w:val="none"/>
        </w:rPr>
        <w:t>第八章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01</w:t>
      </w:r>
    </w:p>
    <w:p>
      <w:pPr>
        <w:pStyle w:val="8"/>
        <w:tabs>
          <w:tab w:val="right" w:leader="dot" w:pos="9299"/>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"_Toc12556" </w:instrText>
      </w:r>
      <w:r>
        <w:rPr>
          <w:color w:val="auto"/>
          <w:highlight w:val="none"/>
        </w:rPr>
        <w:fldChar w:fldCharType="separate"/>
      </w:r>
      <w:r>
        <w:rPr>
          <w:rFonts w:hint="eastAsia" w:ascii="宋体" w:hAnsi="宋体" w:eastAsia="宋体" w:cs="宋体"/>
          <w:bCs/>
          <w:color w:val="auto"/>
          <w:sz w:val="28"/>
          <w:szCs w:val="28"/>
          <w:highlight w:val="none"/>
        </w:rPr>
        <w:t>第九章 投标人须知前附表规定的其他材料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36</w:t>
      </w:r>
      <w:bookmarkStart w:id="317" w:name="_GoBack"/>
      <w:bookmarkEnd w:id="317"/>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both"/>
        <w:outlineLvl w:val="0"/>
        <w:rPr>
          <w:rFonts w:ascii="黑体" w:eastAsia="黑体"/>
          <w:bCs/>
          <w:color w:val="auto"/>
          <w:sz w:val="44"/>
          <w:szCs w:val="44"/>
          <w:highlight w:val="none"/>
        </w:rPr>
      </w:pPr>
      <w:bookmarkStart w:id="1" w:name="_Toc240"/>
    </w:p>
    <w:p>
      <w:pPr>
        <w:jc w:val="both"/>
        <w:outlineLvl w:val="0"/>
        <w:rPr>
          <w:rFonts w:ascii="黑体" w:eastAsia="黑体"/>
          <w:bCs/>
          <w:color w:val="auto"/>
          <w:sz w:val="44"/>
          <w:szCs w:val="44"/>
          <w:highlight w:val="none"/>
        </w:rPr>
      </w:pPr>
    </w:p>
    <w:p>
      <w:pPr>
        <w:keepNext w:val="0"/>
        <w:keepLines w:val="0"/>
        <w:pageBreakBefore w:val="0"/>
        <w:widowControl w:val="0"/>
        <w:kinsoku/>
        <w:wordWrap/>
        <w:overflowPunct/>
        <w:topLinePunct w:val="0"/>
        <w:bidi w:val="0"/>
        <w:snapToGrid/>
        <w:spacing w:line="312" w:lineRule="auto"/>
        <w:jc w:val="center"/>
        <w:textAlignment w:val="auto"/>
        <w:outlineLvl w:val="0"/>
        <w:rPr>
          <w:rFonts w:ascii="黑体" w:hAnsi="宋体" w:eastAsia="黑体"/>
          <w:bCs/>
          <w:color w:val="auto"/>
          <w:sz w:val="44"/>
          <w:szCs w:val="44"/>
          <w:highlight w:val="none"/>
        </w:rPr>
      </w:pPr>
      <w:r>
        <w:rPr>
          <w:rFonts w:hint="eastAsia" w:ascii="黑体" w:eastAsia="黑体"/>
          <w:bCs/>
          <w:color w:val="auto"/>
          <w:sz w:val="44"/>
          <w:szCs w:val="44"/>
          <w:highlight w:val="none"/>
        </w:rPr>
        <w:t>第一章  招标公告</w:t>
      </w:r>
      <w:bookmarkEnd w:id="0"/>
      <w:bookmarkEnd w:id="1"/>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lang w:eastAsia="zh-CN"/>
        </w:rPr>
        <w:t>建安建工公字〔201</w:t>
      </w:r>
      <w:r>
        <w:rPr>
          <w:rFonts w:hint="eastAsia" w:ascii="宋体" w:hAnsi="宋体" w:eastAsia="宋体" w:cs="Times New Roman"/>
          <w:b/>
          <w:color w:val="auto"/>
          <w:sz w:val="32"/>
          <w:szCs w:val="32"/>
          <w:highlight w:val="none"/>
          <w:lang w:val="en-US" w:eastAsia="zh-CN"/>
        </w:rPr>
        <w:t>9</w:t>
      </w:r>
      <w:r>
        <w:rPr>
          <w:rFonts w:hint="eastAsia" w:ascii="宋体" w:hAnsi="宋体" w:eastAsia="宋体" w:cs="Times New Roman"/>
          <w:b/>
          <w:color w:val="auto"/>
          <w:sz w:val="32"/>
          <w:szCs w:val="32"/>
          <w:highlight w:val="none"/>
          <w:lang w:eastAsia="zh-CN"/>
        </w:rPr>
        <w:t>〕</w:t>
      </w:r>
      <w:r>
        <w:rPr>
          <w:rFonts w:hint="eastAsia" w:ascii="宋体" w:hAnsi="宋体" w:cs="Times New Roman"/>
          <w:b/>
          <w:color w:val="auto"/>
          <w:sz w:val="32"/>
          <w:szCs w:val="32"/>
          <w:highlight w:val="none"/>
          <w:lang w:val="en-US" w:eastAsia="zh-CN"/>
        </w:rPr>
        <w:t>37</w:t>
      </w:r>
      <w:r>
        <w:rPr>
          <w:rFonts w:hint="eastAsia" w:ascii="宋体" w:hAnsi="宋体" w:eastAsia="宋体" w:cs="Times New Roman"/>
          <w:b/>
          <w:color w:val="auto"/>
          <w:sz w:val="32"/>
          <w:szCs w:val="32"/>
          <w:highlight w:val="none"/>
          <w:lang w:eastAsia="zh-CN"/>
        </w:rPr>
        <w:t>号</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val="zh-CN" w:eastAsia="zh-CN"/>
        </w:rPr>
        <w:t>许昌市建安区交通运输局</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eastAsia="宋体" w:cs="Times New Roman"/>
          <w:b/>
          <w:color w:val="auto"/>
          <w:sz w:val="32"/>
          <w:szCs w:val="32"/>
          <w:highlight w:val="none"/>
          <w:lang w:val="en-US" w:eastAsia="zh-CN"/>
        </w:rPr>
        <w:t>河街乡农村道路建设项目</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公开招标公告</w:t>
      </w:r>
    </w:p>
    <w:p>
      <w:pPr>
        <w:keepNext w:val="0"/>
        <w:keepLines w:val="0"/>
        <w:pageBreakBefore w:val="0"/>
        <w:widowControl w:val="0"/>
        <w:kinsoku/>
        <w:wordWrap/>
        <w:overflowPunct/>
        <w:topLinePunct w:val="0"/>
        <w:bidi w:val="0"/>
        <w:adjustRightInd/>
        <w:snapToGrid/>
        <w:spacing w:line="312" w:lineRule="auto"/>
        <w:ind w:left="0" w:leftChars="0" w:right="0"/>
        <w:textAlignment w:val="auto"/>
        <w:outlineLvl w:val="9"/>
        <w:rPr>
          <w:rFonts w:ascii="宋体" w:hAnsi="宋体"/>
          <w:b/>
          <w:color w:val="auto"/>
          <w:sz w:val="24"/>
          <w:highlight w:val="none"/>
        </w:rPr>
      </w:pPr>
      <w:r>
        <w:rPr>
          <w:rFonts w:hint="eastAsia" w:ascii="宋体" w:hAnsi="宋体"/>
          <w:b/>
          <w:color w:val="auto"/>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1、项目编号：建安建工公字〔2019〕</w:t>
      </w:r>
      <w:r>
        <w:rPr>
          <w:rFonts w:hint="eastAsia" w:ascii="宋体" w:hAnsi="宋体" w:cs="Times New Roman"/>
          <w:color w:val="auto"/>
          <w:sz w:val="24"/>
          <w:highlight w:val="none"/>
          <w:lang w:val="en-US" w:eastAsia="zh-CN"/>
        </w:rPr>
        <w:t>37</w:t>
      </w:r>
      <w:r>
        <w:rPr>
          <w:rFonts w:hint="eastAsia" w:ascii="宋体" w:hAnsi="宋体" w:eastAsia="宋体" w:cs="Times New Roman"/>
          <w:color w:val="auto"/>
          <w:sz w:val="24"/>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2、项目名称：</w:t>
      </w:r>
      <w:r>
        <w:rPr>
          <w:rFonts w:hint="eastAsia" w:ascii="宋体" w:hAnsi="宋体" w:eastAsia="宋体" w:cs="Times New Roman"/>
          <w:color w:val="auto"/>
          <w:sz w:val="24"/>
          <w:highlight w:val="none"/>
          <w:lang w:val="en-US" w:eastAsia="zh-CN"/>
        </w:rPr>
        <w:t>河街乡农村道路建设项目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3、招标单位：</w:t>
      </w:r>
      <w:r>
        <w:rPr>
          <w:rFonts w:hint="eastAsia" w:ascii="宋体" w:hAnsi="宋体" w:eastAsia="宋体" w:cs="Times New Roman"/>
          <w:color w:val="auto"/>
          <w:sz w:val="24"/>
          <w:highlight w:val="none"/>
          <w:lang w:val="zh-CN"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4、项目规模</w:t>
      </w:r>
      <w:r>
        <w:rPr>
          <w:rFonts w:hint="eastAsia" w:ascii="宋体" w:hAnsi="宋体" w:eastAsia="宋体" w:cs="Times New Roman"/>
          <w:color w:val="auto"/>
          <w:sz w:val="24"/>
          <w:highlight w:val="none"/>
          <w:lang w:val="zh-CN" w:eastAsia="zh-CN"/>
        </w:rPr>
        <w:t>：</w:t>
      </w:r>
      <w:r>
        <w:rPr>
          <w:rFonts w:hint="eastAsia" w:ascii="宋体" w:hAnsi="宋体" w:eastAsia="宋体" w:cs="Times New Roman"/>
          <w:color w:val="auto"/>
          <w:sz w:val="24"/>
          <w:highlight w:val="none"/>
          <w:lang w:val="en-US" w:eastAsia="zh-CN"/>
        </w:rPr>
        <w:t>该项目包括河街乡陈杨村-河苏路道路全长0.7公里，路面宽度为4.5米，路面宽为6米；河街乡陈杨村道路全长0.876公里，路面宽度为4.5米，路基宽为6米；河街乡河苏路-李门村道路全长1.006公里，路面宽度为4.5米，路基宽为6米；河街乡许艾路-邢庄道路全长0.999公里，路面宽度为4.5米，路基宽为6米；河街乡昌盛路-邢庄道路全长1.113公里，路面宽度为4.5米，路基宽为6米；河街乡邢庄村道路全长0.996公里，路面宽度为4.5米，路基宽为6米。</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5、资金预算</w:t>
      </w:r>
      <w:r>
        <w:rPr>
          <w:rFonts w:hint="eastAsia" w:ascii="宋体" w:hAnsi="宋体" w:eastAsia="宋体" w:cs="Times New Roman"/>
          <w:color w:val="auto"/>
          <w:sz w:val="24"/>
          <w:highlight w:val="none"/>
          <w:lang w:val="en-US" w:eastAsia="zh-CN"/>
        </w:rPr>
        <w:t>：4804818.00 元 （财政资金）</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6、计划工期：</w:t>
      </w:r>
      <w:r>
        <w:rPr>
          <w:rFonts w:hint="eastAsia" w:ascii="宋体" w:hAnsi="宋体" w:cs="Times New Roman"/>
          <w:color w:val="auto"/>
          <w:sz w:val="24"/>
          <w:highlight w:val="none"/>
          <w:lang w:val="en-US" w:eastAsia="zh-CN"/>
        </w:rPr>
        <w:t>30</w:t>
      </w:r>
      <w:r>
        <w:rPr>
          <w:rFonts w:hint="eastAsia" w:ascii="宋体" w:hAnsi="宋体" w:eastAsia="宋体" w:cs="Times New Roman"/>
          <w:color w:val="auto"/>
          <w:sz w:val="24"/>
          <w:highlight w:val="none"/>
          <w:lang w:val="en-US" w:eastAsia="zh-CN"/>
        </w:rPr>
        <w:t>日历天</w:t>
      </w:r>
    </w:p>
    <w:p>
      <w:pPr>
        <w:keepNext w:val="0"/>
        <w:keepLines w:val="0"/>
        <w:pageBreakBefore w:val="0"/>
        <w:widowControl w:val="0"/>
        <w:kinsoku/>
        <w:wordWrap/>
        <w:overflowPunct/>
        <w:topLinePunct w:val="0"/>
        <w:bidi w:val="0"/>
        <w:adjustRightInd/>
        <w:snapToGrid/>
        <w:spacing w:line="312" w:lineRule="auto"/>
        <w:ind w:left="0" w:leftChars="0" w:right="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7、质量要求：合格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8、不组织勘察施工现场。</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auto"/>
          <w:sz w:val="24"/>
          <w:highlight w:val="none"/>
        </w:rPr>
      </w:pPr>
      <w:r>
        <w:rPr>
          <w:rFonts w:hint="eastAsia" w:ascii="宋体" w:hAnsi="宋体"/>
          <w:b/>
          <w:color w:val="auto"/>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yellow"/>
        </w:rPr>
      </w:pPr>
      <w:r>
        <w:rPr>
          <w:rFonts w:hint="eastAsia" w:ascii="宋体" w:hAnsi="宋体"/>
          <w:color w:val="auto"/>
          <w:sz w:val="24"/>
          <w:highlight w:val="none"/>
        </w:rPr>
        <w:t>2.1 须具备独立法人资格；</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2.2须具备建设行政主管部门颁发的公路工程施工总承包三级及以上资质，并具备有效的企业安全生产许可证，在人员、设备、资金等方面具有相应的施工能力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3</w:t>
      </w:r>
      <w:r>
        <w:rPr>
          <w:rFonts w:hint="eastAsia" w:ascii="宋体" w:hAnsi="宋体"/>
          <w:color w:val="auto"/>
          <w:sz w:val="24"/>
          <w:highlight w:val="none"/>
        </w:rPr>
        <w:t>拟派建造师须具备贰级及以上公路工程专业注册建造师执业资格，具备有效的安全生产考核合格证书，且未担任其他在施建设项目的项目经理。拟派项目总工</w:t>
      </w:r>
      <w:r>
        <w:rPr>
          <w:rFonts w:hint="eastAsia" w:ascii="宋体" w:hAnsi="宋体"/>
          <w:color w:val="auto"/>
          <w:sz w:val="24"/>
          <w:highlight w:val="none"/>
          <w:lang w:eastAsia="zh-CN"/>
        </w:rPr>
        <w:t>须</w:t>
      </w:r>
      <w:r>
        <w:rPr>
          <w:rFonts w:hint="eastAsia" w:ascii="宋体" w:hAnsi="宋体"/>
          <w:color w:val="auto"/>
          <w:sz w:val="24"/>
          <w:highlight w:val="none"/>
        </w:rPr>
        <w:t>具备中级及以上相关专业技术职称</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新宋体" w:hAnsi="新宋体" w:eastAsia="新宋体" w:cs="新宋体"/>
          <w:sz w:val="24"/>
          <w:szCs w:val="22"/>
          <w:lang w:eastAsia="zh-CN"/>
        </w:rPr>
        <w:t>不接受</w:t>
      </w:r>
      <w:r>
        <w:rPr>
          <w:rFonts w:hint="eastAsia" w:ascii="新宋体" w:hAnsi="新宋体" w:eastAsia="新宋体" w:cs="新宋体"/>
          <w:sz w:val="24"/>
          <w:szCs w:val="22"/>
        </w:rPr>
        <w:t>被</w:t>
      </w:r>
      <w:r>
        <w:rPr>
          <w:rFonts w:hint="eastAsia" w:ascii="新宋体" w:hAnsi="新宋体" w:eastAsia="新宋体" w:cs="新宋体"/>
          <w:sz w:val="24"/>
          <w:szCs w:val="22"/>
          <w:lang w:eastAsia="zh-CN"/>
        </w:rPr>
        <w:t>列入</w:t>
      </w:r>
      <w:r>
        <w:rPr>
          <w:rFonts w:hint="eastAsia" w:ascii="新宋体" w:hAnsi="新宋体" w:eastAsia="新宋体" w:cs="新宋体"/>
          <w:sz w:val="24"/>
          <w:szCs w:val="22"/>
        </w:rPr>
        <w:t>国家发改委等部门联合惩戒备忘录（黑名单）</w:t>
      </w:r>
      <w:r>
        <w:rPr>
          <w:rFonts w:hint="eastAsia" w:ascii="新宋体" w:hAnsi="新宋体" w:eastAsia="新宋体" w:cs="新宋体"/>
          <w:sz w:val="24"/>
          <w:szCs w:val="22"/>
          <w:lang w:eastAsia="zh-CN"/>
        </w:rPr>
        <w:t>及</w:t>
      </w:r>
      <w:r>
        <w:rPr>
          <w:rFonts w:hint="default" w:ascii="新宋体" w:hAnsi="新宋体" w:eastAsia="新宋体" w:cs="新宋体"/>
          <w:sz w:val="24"/>
          <w:szCs w:val="22"/>
        </w:rPr>
        <w:t>“信用中国”</w:t>
      </w:r>
      <w:r>
        <w:rPr>
          <w:rFonts w:hint="eastAsia" w:ascii="新宋体" w:hAnsi="新宋体" w:eastAsia="新宋体" w:cs="新宋体"/>
          <w:sz w:val="24"/>
          <w:szCs w:val="22"/>
          <w:lang w:val="en-US" w:eastAsia="zh-CN"/>
        </w:rPr>
        <w:t>（www.creditchina.gov.cn）</w:t>
      </w:r>
      <w:r>
        <w:rPr>
          <w:rFonts w:hint="default" w:ascii="新宋体" w:hAnsi="新宋体" w:eastAsia="新宋体" w:cs="新宋体"/>
          <w:sz w:val="24"/>
          <w:szCs w:val="22"/>
        </w:rPr>
        <w:t>和“信用河南”</w:t>
      </w:r>
      <w:r>
        <w:rPr>
          <w:rFonts w:hint="eastAsia" w:ascii="新宋体" w:hAnsi="新宋体" w:eastAsia="新宋体" w:cs="新宋体"/>
          <w:sz w:val="24"/>
          <w:szCs w:val="22"/>
          <w:lang w:eastAsia="zh-CN"/>
        </w:rPr>
        <w:t>（http://www.xyhn.gov.cn）</w:t>
      </w:r>
      <w:r>
        <w:rPr>
          <w:rFonts w:hint="default" w:ascii="新宋体" w:hAnsi="新宋体" w:eastAsia="新宋体" w:cs="新宋体"/>
          <w:sz w:val="24"/>
          <w:szCs w:val="22"/>
        </w:rPr>
        <w:t>网站信用信息栏黑名单</w:t>
      </w:r>
      <w:r>
        <w:rPr>
          <w:rFonts w:hint="eastAsia" w:ascii="新宋体" w:hAnsi="新宋体" w:eastAsia="新宋体" w:cs="新宋体"/>
          <w:sz w:val="24"/>
          <w:szCs w:val="22"/>
          <w:lang w:eastAsia="zh-CN"/>
        </w:rPr>
        <w:t>、</w:t>
      </w:r>
      <w:r>
        <w:rPr>
          <w:rFonts w:hint="default" w:ascii="新宋体" w:hAnsi="新宋体" w:eastAsia="新宋体" w:cs="新宋体"/>
          <w:sz w:val="24"/>
          <w:szCs w:val="22"/>
        </w:rPr>
        <w:t>“国家企业信用信息公示系统”</w:t>
      </w:r>
      <w:r>
        <w:rPr>
          <w:rFonts w:hint="eastAsia" w:ascii="新宋体" w:hAnsi="新宋体" w:eastAsia="新宋体" w:cs="新宋体"/>
          <w:sz w:val="24"/>
          <w:szCs w:val="22"/>
          <w:lang w:val="en-US" w:eastAsia="zh-CN"/>
        </w:rPr>
        <w:t>（www.gsxt.gov.cn）</w:t>
      </w:r>
      <w:r>
        <w:rPr>
          <w:rFonts w:hint="default" w:ascii="新宋体" w:hAnsi="新宋体" w:eastAsia="新宋体" w:cs="新宋体"/>
          <w:sz w:val="24"/>
          <w:szCs w:val="22"/>
        </w:rPr>
        <w:t>经营异常名录或严重失信黑名单</w:t>
      </w:r>
      <w:r>
        <w:rPr>
          <w:rFonts w:hint="eastAsia" w:ascii="新宋体" w:hAnsi="新宋体" w:eastAsia="新宋体" w:cs="新宋体"/>
          <w:sz w:val="24"/>
          <w:szCs w:val="22"/>
          <w:lang w:eastAsia="zh-CN"/>
        </w:rPr>
        <w:t>的投标单位</w:t>
      </w:r>
      <w:r>
        <w:rPr>
          <w:rFonts w:hint="eastAsia" w:ascii="宋体" w:hAnsi="宋体"/>
          <w:color w:val="auto"/>
          <w:sz w:val="24"/>
          <w:highlight w:val="none"/>
        </w:rPr>
        <w:t>。</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三、投标报名时间及方式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w:t>
      </w:r>
      <w:r>
        <w:rPr>
          <w:rFonts w:hint="eastAsia" w:ascii="Times New Roman" w:hAnsi="宋体" w:eastAsia="宋体" w:cs="Times New Roman"/>
          <w:color w:val="000000"/>
          <w:sz w:val="24"/>
          <w:highlight w:val="none"/>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2</w:t>
      </w:r>
      <w:r>
        <w:rPr>
          <w:rFonts w:hint="eastAsia" w:ascii="Times New Roman" w:hAnsi="宋体" w:eastAsia="宋体" w:cs="Times New Roman"/>
          <w:color w:val="000000"/>
          <w:sz w:val="24"/>
          <w:highlight w:val="none"/>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四、招标文件和施工图纸的获取</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w:t>
      </w:r>
      <w:r>
        <w:rPr>
          <w:rFonts w:hint="eastAsia" w:hAnsi="宋体" w:cs="宋体"/>
          <w:sz w:val="24"/>
          <w:szCs w:val="24"/>
          <w:lang w:val="en-US" w:eastAsia="zh-CN"/>
        </w:rPr>
        <w:t>P</w:t>
      </w:r>
      <w:r>
        <w:rPr>
          <w:rFonts w:hint="eastAsia" w:hAnsi="宋体" w:cs="宋体"/>
          <w:sz w:val="24"/>
          <w:szCs w:val="24"/>
        </w:rPr>
        <w:t>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widowControl w:val="0"/>
        <w:kinsoku/>
        <w:wordWrap/>
        <w:overflowPunct/>
        <w:topLinePunct w:val="0"/>
        <w:bidi w:val="0"/>
        <w:snapToGrid/>
        <w:spacing w:line="312" w:lineRule="auto"/>
        <w:ind w:firstLine="480" w:firstLineChars="200"/>
        <w:jc w:val="left"/>
        <w:textAlignment w:val="auto"/>
        <w:rPr>
          <w:rFonts w:hAnsi="宋体" w:cs="宋体"/>
          <w:sz w:val="24"/>
          <w:szCs w:val="24"/>
        </w:rPr>
      </w:pP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五、投标文件的递交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1、投标文件递交的</w:t>
      </w:r>
      <w:r>
        <w:rPr>
          <w:rFonts w:hint="eastAsia" w:hAnsi="宋体" w:cs="宋体"/>
          <w:sz w:val="24"/>
          <w:szCs w:val="24"/>
        </w:rPr>
        <w:t>截止时间为201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w:t>
      </w:r>
      <w:r>
        <w:rPr>
          <w:rFonts w:hint="eastAsia" w:hAnsi="宋体" w:cs="宋体"/>
          <w:sz w:val="24"/>
          <w:szCs w:val="24"/>
          <w:lang w:val="en-US" w:eastAsia="zh-CN"/>
        </w:rPr>
        <w:t xml:space="preserve">9 </w:t>
      </w:r>
      <w:r>
        <w:rPr>
          <w:rFonts w:hint="eastAsia" w:hAnsi="宋体" w:cs="宋体"/>
          <w:sz w:val="24"/>
          <w:szCs w:val="24"/>
        </w:rPr>
        <w:t>时</w:t>
      </w:r>
      <w:r>
        <w:rPr>
          <w:rFonts w:hint="eastAsia" w:hAnsi="宋体" w:cs="宋体"/>
          <w:sz w:val="24"/>
          <w:szCs w:val="24"/>
          <w:lang w:val="en-US" w:eastAsia="zh-CN"/>
        </w:rPr>
        <w:t xml:space="preserve">30 </w:t>
      </w:r>
      <w:r>
        <w:rPr>
          <w:rFonts w:hint="eastAsia" w:hAnsi="宋体" w:cs="宋体"/>
          <w:sz w:val="24"/>
          <w:szCs w:val="24"/>
        </w:rPr>
        <w:t>分，地</w:t>
      </w:r>
      <w:r>
        <w:rPr>
          <w:rFonts w:hint="eastAsia" w:hAnsi="宋体"/>
          <w:color w:val="000000"/>
          <w:sz w:val="24"/>
          <w:highlight w:val="none"/>
        </w:rPr>
        <w:t>点为许昌市建安区新元大道兴业大厦4楼</w:t>
      </w:r>
      <w:r>
        <w:rPr>
          <w:rFonts w:hint="eastAsia" w:hAnsi="宋体"/>
          <w:color w:val="000000"/>
          <w:sz w:val="24"/>
          <w:highlight w:val="none"/>
          <w:lang w:val="en-US" w:eastAsia="zh-CN"/>
        </w:rPr>
        <w:t>4167</w:t>
      </w:r>
      <w:r>
        <w:rPr>
          <w:rFonts w:hint="eastAsia" w:hAnsi="宋体"/>
          <w:color w:val="000000"/>
          <w:sz w:val="24"/>
          <w:highlight w:val="none"/>
        </w:rPr>
        <w:t>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2、逾期送达的或者未送达指定地点的投标文件，招标人不予受理。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3、未通过《全国公共资源交易平台（河南省·许昌市）》下载招标文件的投标人，其投标文件不予受理。</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六、发布公告的媒介</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本公告同时在《全国公共资源交易平台(河南省▪许昌市)》、《河南省电子招标投标公共服务平台》上发布。</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auto"/>
          <w:sz w:val="24"/>
          <w:highlight w:val="none"/>
        </w:rPr>
      </w:pPr>
      <w:r>
        <w:rPr>
          <w:rFonts w:hint="eastAsia" w:ascii="宋体" w:hAnsi="宋体"/>
          <w:b/>
          <w:color w:val="auto"/>
          <w:sz w:val="24"/>
          <w:highlight w:val="none"/>
        </w:rPr>
        <w:t>七、联系方式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hAnsi="宋体"/>
          <w:color w:val="000000"/>
          <w:sz w:val="24"/>
          <w:highlight w:val="none"/>
        </w:rPr>
      </w:pPr>
      <w:r>
        <w:rPr>
          <w:rFonts w:hint="eastAsia" w:hAnsi="宋体"/>
          <w:color w:val="000000"/>
          <w:sz w:val="24"/>
          <w:highlight w:val="none"/>
        </w:rPr>
        <w:t>代理  机构：</w:t>
      </w:r>
      <w:r>
        <w:rPr>
          <w:rFonts w:hint="eastAsia" w:hAnsi="宋体"/>
          <w:color w:val="000000"/>
          <w:sz w:val="24"/>
          <w:highlight w:val="none"/>
          <w:lang w:eastAsia="zh-CN"/>
        </w:rPr>
        <w:t>永明项目管理有限公司</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hAnsi="宋体"/>
          <w:color w:val="000000"/>
          <w:sz w:val="24"/>
          <w:highlight w:val="none"/>
        </w:rPr>
      </w:pPr>
      <w:r>
        <w:rPr>
          <w:rFonts w:hint="eastAsia" w:hAnsi="宋体"/>
          <w:color w:val="000000"/>
          <w:sz w:val="24"/>
          <w:highlight w:val="none"/>
        </w:rPr>
        <w:t>项目负责人：</w:t>
      </w:r>
      <w:r>
        <w:rPr>
          <w:rFonts w:hint="eastAsia" w:hAnsi="宋体"/>
          <w:color w:val="000000"/>
          <w:sz w:val="24"/>
          <w:highlight w:val="none"/>
          <w:lang w:eastAsia="zh-CN"/>
        </w:rPr>
        <w:t>徐会娇</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hAnsi="宋体"/>
          <w:color w:val="000000"/>
          <w:sz w:val="24"/>
          <w:highlight w:val="none"/>
          <w:lang w:eastAsia="zh-CN"/>
        </w:rPr>
      </w:pPr>
      <w:r>
        <w:rPr>
          <w:rFonts w:hint="eastAsia" w:hAnsi="宋体"/>
          <w:color w:val="000000"/>
          <w:sz w:val="24"/>
          <w:highlight w:val="none"/>
        </w:rPr>
        <w:t>电    话：</w:t>
      </w:r>
      <w:r>
        <w:rPr>
          <w:rFonts w:hint="eastAsia" w:hAnsi="宋体"/>
          <w:color w:val="000000"/>
          <w:sz w:val="24"/>
          <w:highlight w:val="none"/>
          <w:lang w:val="en-US" w:eastAsia="zh-CN"/>
        </w:rPr>
        <w:t>13333991768</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rPr>
      </w:pP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color w:val="000000"/>
          <w:sz w:val="24"/>
          <w:highlight w:val="none"/>
          <w:lang w:val="zh-CN"/>
        </w:rPr>
      </w:pPr>
      <w:r>
        <w:rPr>
          <w:rFonts w:hint="eastAsia" w:hAnsi="宋体"/>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eastAsia="宋体"/>
          <w:color w:val="000000"/>
          <w:sz w:val="24"/>
          <w:highlight w:val="none"/>
          <w:lang w:val="en-US" w:eastAsia="zh-CN"/>
        </w:rPr>
      </w:pPr>
      <w:r>
        <w:rPr>
          <w:rFonts w:hint="eastAsia" w:hAnsi="宋体"/>
          <w:color w:val="000000"/>
          <w:sz w:val="24"/>
          <w:highlight w:val="none"/>
          <w:lang w:val="en-US" w:eastAsia="zh-CN"/>
        </w:rPr>
        <w:t>2019年2月26 日</w:t>
      </w:r>
    </w:p>
    <w:p>
      <w:pPr>
        <w:spacing w:line="360" w:lineRule="auto"/>
        <w:ind w:firstLine="480" w:firstLineChars="200"/>
        <w:jc w:val="right"/>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color w:val="auto"/>
          <w:sz w:val="24"/>
          <w:highlight w:val="none"/>
        </w:rPr>
      </w:pPr>
    </w:p>
    <w:p>
      <w:pPr>
        <w:jc w:val="center"/>
        <w:outlineLvl w:val="0"/>
        <w:rPr>
          <w:rFonts w:ascii="宋体" w:hAnsi="宋体"/>
          <w:b/>
          <w:bCs w:val="0"/>
          <w:color w:val="auto"/>
          <w:sz w:val="44"/>
          <w:szCs w:val="44"/>
          <w:highlight w:val="none"/>
        </w:rPr>
      </w:pPr>
      <w:bookmarkStart w:id="2" w:name="_Toc30837"/>
      <w:r>
        <w:rPr>
          <w:rFonts w:hint="eastAsia" w:ascii="黑体" w:eastAsia="黑体"/>
          <w:b/>
          <w:bCs w:val="0"/>
          <w:color w:val="auto"/>
          <w:sz w:val="44"/>
          <w:szCs w:val="44"/>
          <w:highlight w:val="none"/>
        </w:rPr>
        <w:t>第二章  投标人须知</w:t>
      </w:r>
      <w:bookmarkEnd w:id="2"/>
    </w:p>
    <w:p>
      <w:pPr>
        <w:spacing w:line="360" w:lineRule="auto"/>
        <w:jc w:val="center"/>
        <w:rPr>
          <w:rFonts w:ascii="宋体" w:hAnsi="宋体"/>
          <w:b/>
          <w:bCs w:val="0"/>
          <w:color w:val="auto"/>
          <w:sz w:val="24"/>
          <w:highlight w:val="none"/>
        </w:rPr>
      </w:pPr>
      <w:bookmarkStart w:id="3" w:name="_Toc234382587"/>
      <w:r>
        <w:rPr>
          <w:rFonts w:hint="eastAsia" w:ascii="黑体" w:eastAsia="黑体"/>
          <w:b/>
          <w:bCs w:val="0"/>
          <w:color w:val="auto"/>
          <w:sz w:val="30"/>
          <w:szCs w:val="30"/>
          <w:highlight w:val="none"/>
        </w:rPr>
        <w:t>投标人须知前附表</w:t>
      </w:r>
      <w:bookmarkEnd w:id="3"/>
      <w:bookmarkStart w:id="4" w:name="_Hlt111980600"/>
      <w:bookmarkEnd w:id="4"/>
    </w:p>
    <w:tbl>
      <w:tblPr>
        <w:tblStyle w:val="1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vAlign w:val="top"/>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textAlignment w:val="auto"/>
              <w:rPr>
                <w:rFonts w:ascii="宋体" w:hAnsi="宋体"/>
                <w:color w:val="auto"/>
                <w:sz w:val="24"/>
                <w:highlight w:val="none"/>
                <w:u w:val="singl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autoSpaceDE w:val="0"/>
              <w:autoSpaceDN w:val="0"/>
              <w:adjustRightInd w:val="0"/>
              <w:spacing w:line="360" w:lineRule="exact"/>
              <w:rPr>
                <w:rFonts w:hint="eastAsia" w:hAnsi="宋体" w:cs="宋体"/>
                <w:sz w:val="24"/>
                <w:szCs w:val="24"/>
                <w:lang w:eastAsia="zh-CN"/>
              </w:rPr>
            </w:pPr>
            <w:r>
              <w:rPr>
                <w:rFonts w:hint="eastAsia" w:hAnsi="宋体"/>
                <w:sz w:val="24"/>
              </w:rPr>
              <w:t>招标代理机构名称：</w:t>
            </w:r>
            <w:r>
              <w:rPr>
                <w:rFonts w:hint="eastAsia" w:hAnsi="宋体" w:cs="宋体"/>
                <w:sz w:val="24"/>
                <w:szCs w:val="24"/>
                <w:lang w:eastAsia="zh-CN"/>
              </w:rPr>
              <w:t>永明项目管理有限公司</w:t>
            </w:r>
          </w:p>
          <w:p>
            <w:pPr>
              <w:autoSpaceDE w:val="0"/>
              <w:autoSpaceDN w:val="0"/>
              <w:adjustRightInd w:val="0"/>
              <w:spacing w:line="360" w:lineRule="exact"/>
              <w:rPr>
                <w:rFonts w:hint="eastAsia" w:hAnsi="宋体"/>
                <w:sz w:val="24"/>
              </w:rPr>
            </w:pPr>
            <w:r>
              <w:rPr>
                <w:rFonts w:hint="eastAsia" w:hAnsi="宋体"/>
                <w:sz w:val="24"/>
              </w:rPr>
              <w:t>项目负责人：</w:t>
            </w:r>
            <w:r>
              <w:rPr>
                <w:rFonts w:hint="eastAsia" w:hAnsi="宋体"/>
                <w:sz w:val="24"/>
                <w:lang w:eastAsia="zh-CN"/>
              </w:rPr>
              <w:t>徐会娇</w:t>
            </w:r>
          </w:p>
          <w:p>
            <w:pPr>
              <w:tabs>
                <w:tab w:val="left" w:pos="4536"/>
              </w:tabs>
              <w:spacing w:line="500" w:lineRule="exact"/>
              <w:rPr>
                <w:rFonts w:ascii="宋体" w:hAnsi="宋体"/>
                <w:color w:val="auto"/>
                <w:sz w:val="24"/>
                <w:highlight w:val="none"/>
              </w:rPr>
            </w:pPr>
            <w:r>
              <w:rPr>
                <w:rFonts w:hint="eastAsia" w:hAnsi="宋体"/>
                <w:sz w:val="24"/>
              </w:rPr>
              <w:t>电    话</w:t>
            </w:r>
            <w:r>
              <w:rPr>
                <w:rFonts w:hint="eastAsia" w:hAnsi="宋体" w:cs="宋体"/>
                <w:sz w:val="24"/>
                <w:szCs w:val="24"/>
                <w:lang w:eastAsia="zh-CN"/>
              </w:rPr>
              <w:t>：</w:t>
            </w:r>
            <w:r>
              <w:rPr>
                <w:rFonts w:hint="eastAsia" w:hAnsi="宋体" w:cs="宋体"/>
                <w:sz w:val="24"/>
                <w:szCs w:val="24"/>
                <w:lang w:val="en-US" w:eastAsia="zh-CN"/>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233" w:type="dxa"/>
            <w:gridSpan w:val="2"/>
            <w:tcBorders>
              <w:right w:val="single" w:color="auto" w:sz="4" w:space="0"/>
            </w:tcBorders>
            <w:vAlign w:val="center"/>
          </w:tcPr>
          <w:p>
            <w:pPr>
              <w:spacing w:line="500" w:lineRule="exact"/>
              <w:jc w:val="cente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项目名称</w:t>
            </w:r>
          </w:p>
        </w:tc>
        <w:tc>
          <w:tcPr>
            <w:tcW w:w="5805" w:type="dxa"/>
            <w:gridSpan w:val="2"/>
            <w:tcBorders>
              <w:left w:val="single" w:color="auto" w:sz="4" w:space="0"/>
              <w:right w:val="single" w:color="auto" w:sz="4" w:space="0"/>
            </w:tcBorders>
            <w:vAlign w:val="center"/>
          </w:tcPr>
          <w:p>
            <w:pPr>
              <w:spacing w:line="500" w:lineRule="exact"/>
              <w:jc w:val="both"/>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 xml:space="preserve">河街乡农村道路建设项目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sz w:val="24"/>
                <w:szCs w:val="24"/>
                <w:lang w:val="zh-CN"/>
              </w:rPr>
              <w:t>位于</w:t>
            </w:r>
            <w:r>
              <w:rPr>
                <w:rFonts w:hint="eastAsia" w:hAnsi="宋体" w:cs="宋体"/>
                <w:sz w:val="24"/>
                <w:szCs w:val="24"/>
                <w:lang w:eastAsia="zh-CN"/>
              </w:rPr>
              <w:t>许昌市建安区河街乡境内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pStyle w:val="16"/>
              <w:snapToGrid w:val="0"/>
              <w:spacing w:line="0" w:lineRule="atLeast"/>
              <w:textAlignment w:val="auto"/>
              <w:outlineLvl w:val="9"/>
              <w:rPr>
                <w:rFonts w:ascii="宋体" w:hAnsi="宋体"/>
                <w:color w:val="auto"/>
                <w:sz w:val="24"/>
                <w:highlight w:val="none"/>
              </w:rPr>
            </w:pPr>
            <w:r>
              <w:rPr>
                <w:rFonts w:hint="eastAsia" w:ascii="宋体" w:hAnsi="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1.2.2</w:t>
            </w:r>
          </w:p>
        </w:tc>
        <w:tc>
          <w:tcPr>
            <w:tcW w:w="2233"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资金落实情况</w:t>
            </w:r>
          </w:p>
        </w:tc>
        <w:tc>
          <w:tcPr>
            <w:tcW w:w="5805" w:type="dxa"/>
            <w:gridSpan w:val="2"/>
            <w:tcBorders>
              <w:top w:val="single" w:color="auto" w:sz="4" w:space="0"/>
            </w:tcBorders>
            <w:vAlign w:val="center"/>
          </w:tcPr>
          <w:p>
            <w:pPr>
              <w:spacing w:line="500" w:lineRule="exact"/>
              <w:rPr>
                <w:rFonts w:hint="eastAsia" w:ascii="宋体" w:hAnsi="宋体"/>
                <w:bCs/>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1.2.3</w:t>
            </w:r>
          </w:p>
        </w:tc>
        <w:tc>
          <w:tcPr>
            <w:tcW w:w="2233" w:type="dxa"/>
            <w:gridSpan w:val="2"/>
            <w:vAlign w:val="center"/>
          </w:tcPr>
          <w:p>
            <w:pPr>
              <w:pStyle w:val="16"/>
              <w:snapToGrid w:val="0"/>
              <w:spacing w:line="0" w:lineRule="atLeast"/>
              <w:jc w:val="center"/>
              <w:textAlignment w:val="auto"/>
              <w:outlineLvl w:val="9"/>
              <w:rPr>
                <w:rFonts w:ascii="宋体" w:hAnsi="宋体"/>
                <w:color w:val="auto"/>
                <w:sz w:val="24"/>
                <w:highlight w:val="none"/>
              </w:rPr>
            </w:pPr>
            <w:r>
              <w:rPr>
                <w:rFonts w:hint="eastAsia" w:ascii="宋体" w:hAnsi="宋体" w:cs="宋体"/>
                <w:sz w:val="24"/>
                <w:szCs w:val="24"/>
              </w:rPr>
              <w:t>批准文号</w:t>
            </w:r>
          </w:p>
        </w:tc>
        <w:tc>
          <w:tcPr>
            <w:tcW w:w="5805" w:type="dxa"/>
            <w:gridSpan w:val="2"/>
            <w:vAlign w:val="center"/>
          </w:tcPr>
          <w:p>
            <w:pPr>
              <w:pStyle w:val="16"/>
              <w:snapToGrid w:val="0"/>
              <w:spacing w:line="0" w:lineRule="atLeast"/>
              <w:jc w:val="center"/>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233"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eastAsia="zh-CN"/>
              </w:rPr>
              <w:t>工期要求</w:t>
            </w:r>
          </w:p>
        </w:tc>
        <w:tc>
          <w:tcPr>
            <w:tcW w:w="5805"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val="en-US" w:eastAsia="zh-CN"/>
              </w:rPr>
              <w:t xml:space="preserve">30 </w:t>
            </w:r>
            <w:r>
              <w:rPr>
                <w:rFonts w:hint="eastAsia" w:ascii="宋体" w:hAnsi="宋体" w:cs="宋体"/>
                <w:color w:val="auto"/>
                <w:kern w:val="0"/>
                <w:sz w:val="24"/>
                <w:highlight w:val="none"/>
                <w:shd w:val="clear" w:color="auto" w:fill="FFFFFF"/>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color w:val="auto"/>
                <w:sz w:val="24"/>
                <w:highlight w:val="none"/>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233"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递交投标文件的截止之日15日前以书面形式提出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2.2.2</w:t>
            </w:r>
          </w:p>
        </w:tc>
        <w:tc>
          <w:tcPr>
            <w:tcW w:w="2233"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9</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20日9 </w:t>
            </w:r>
            <w:r>
              <w:rPr>
                <w:rFonts w:hint="eastAsia" w:ascii="宋体" w:hAnsi="宋体"/>
                <w:color w:val="auto"/>
                <w:sz w:val="24"/>
                <w:highlight w:val="none"/>
              </w:rPr>
              <w:t>时</w:t>
            </w:r>
            <w:r>
              <w:rPr>
                <w:rFonts w:hint="eastAsia" w:ascii="宋体" w:hAnsi="宋体"/>
                <w:color w:val="auto"/>
                <w:sz w:val="24"/>
                <w:highlight w:val="none"/>
                <w:lang w:val="en-US" w:eastAsia="zh-CN"/>
              </w:rPr>
              <w:t xml:space="preserve"> 30 </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2.3.2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24</w:t>
            </w:r>
            <w:r>
              <w:rPr>
                <w:rFonts w:hint="eastAsia" w:ascii="宋体" w:hAnsi="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053" w:type="dxa"/>
            <w:tcBorders>
              <w:left w:val="single" w:color="auto" w:sz="4" w:space="0"/>
            </w:tcBorders>
            <w:vAlign w:val="center"/>
          </w:tcPr>
          <w:p>
            <w:pPr>
              <w:adjustRightInd w:val="0"/>
              <w:snapToGrid w:val="0"/>
              <w:spacing w:line="500" w:lineRule="exact"/>
              <w:jc w:val="center"/>
              <w:rPr>
                <w:color w:val="auto"/>
                <w:sz w:val="24"/>
                <w:highlight w:val="none"/>
              </w:rPr>
            </w:pPr>
            <w:r>
              <w:rPr>
                <w:color w:val="auto"/>
                <w:sz w:val="24"/>
                <w:highlight w:val="none"/>
              </w:rPr>
              <w:t>3.2.4</w:t>
            </w:r>
          </w:p>
        </w:tc>
        <w:tc>
          <w:tcPr>
            <w:tcW w:w="2233"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6</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3.2.9</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3.3.1</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3"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rPr>
                <w:rFonts w:hint="eastAsia" w:ascii="宋体" w:hAnsi="宋体"/>
                <w:color w:val="auto"/>
                <w:sz w:val="24"/>
                <w:highlight w:val="none"/>
              </w:rPr>
            </w:pPr>
            <w:r>
              <w:rPr>
                <w:rFonts w:hint="eastAsia" w:ascii="宋体" w:hAnsi="宋体"/>
                <w:color w:val="auto"/>
                <w:sz w:val="24"/>
                <w:highlight w:val="none"/>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3.7.4</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color w:val="auto"/>
                <w:sz w:val="24"/>
                <w:highlight w:val="none"/>
              </w:rPr>
              <w:t>正本1份，副本4份，</w:t>
            </w:r>
            <w:r>
              <w:rPr>
                <w:rFonts w:hint="eastAsia" w:ascii="宋体" w:hAnsi="宋体"/>
                <w:color w:val="auto"/>
                <w:sz w:val="24"/>
                <w:szCs w:val="28"/>
                <w:highlight w:val="none"/>
              </w:rPr>
              <w:t>U盘电子版本</w:t>
            </w:r>
            <w:r>
              <w:rPr>
                <w:rFonts w:hint="eastAsia" w:ascii="宋体" w:hAnsi="宋体"/>
                <w:color w:val="auto"/>
                <w:sz w:val="24"/>
                <w:highlight w:val="none"/>
              </w:rPr>
              <w:t>1</w:t>
            </w:r>
            <w:r>
              <w:rPr>
                <w:rFonts w:hint="eastAsia" w:ascii="宋体" w:hAnsi="宋体"/>
                <w:color w:val="auto"/>
                <w:sz w:val="24"/>
                <w:szCs w:val="28"/>
                <w:highlight w:val="none"/>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3.7.5</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4.2.2</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rPr>
            </w:pPr>
            <w:r>
              <w:rPr>
                <w:rFonts w:hint="eastAsia" w:ascii="宋体" w:hAnsi="宋体"/>
                <w:color w:val="auto"/>
                <w:sz w:val="24"/>
                <w:highlight w:val="none"/>
              </w:rPr>
              <w:t>许昌市建安区兴业大厦</w:t>
            </w:r>
            <w:r>
              <w:rPr>
                <w:rFonts w:hint="eastAsia" w:ascii="宋体" w:hAnsi="宋体"/>
                <w:color w:val="auto"/>
                <w:sz w:val="24"/>
                <w:highlight w:val="none"/>
                <w:lang w:val="en-US" w:eastAsia="zh-CN"/>
              </w:rPr>
              <w:t>4167</w:t>
            </w:r>
            <w:r>
              <w:rPr>
                <w:rFonts w:hint="eastAsia" w:ascii="宋体" w:hAnsi="宋体"/>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开标时间：20</w:t>
            </w:r>
            <w:r>
              <w:rPr>
                <w:rFonts w:hint="eastAsia" w:ascii="宋体" w:hAnsi="宋体"/>
                <w:color w:val="auto"/>
                <w:sz w:val="24"/>
                <w:highlight w:val="none"/>
                <w:lang w:val="en-US" w:eastAsia="zh-CN"/>
              </w:rPr>
              <w:t>19</w:t>
            </w:r>
            <w:r>
              <w:rPr>
                <w:rFonts w:hint="eastAsia" w:ascii="宋体" w:hAnsi="宋体"/>
                <w:color w:val="auto"/>
                <w:sz w:val="24"/>
                <w:highlight w:val="none"/>
              </w:rPr>
              <w:t>年</w:t>
            </w:r>
            <w:r>
              <w:rPr>
                <w:rFonts w:hint="eastAsia" w:ascii="宋体" w:hAnsi="宋体"/>
                <w:color w:val="auto"/>
                <w:sz w:val="24"/>
                <w:highlight w:val="none"/>
                <w:lang w:val="en-US" w:eastAsia="zh-CN"/>
              </w:rPr>
              <w:t>3 月 20</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9 </w:t>
            </w:r>
            <w:r>
              <w:rPr>
                <w:rFonts w:hint="eastAsia" w:ascii="宋体" w:hAnsi="宋体"/>
                <w:color w:val="auto"/>
                <w:sz w:val="24"/>
                <w:highlight w:val="none"/>
              </w:rPr>
              <w:t>时</w:t>
            </w:r>
            <w:r>
              <w:rPr>
                <w:rFonts w:hint="eastAsia" w:ascii="宋体" w:hAnsi="宋体"/>
                <w:color w:val="auto"/>
                <w:sz w:val="24"/>
                <w:highlight w:val="none"/>
                <w:lang w:val="en-US" w:eastAsia="zh-CN"/>
              </w:rPr>
              <w:t xml:space="preserve"> 30 </w:t>
            </w:r>
            <w:r>
              <w:rPr>
                <w:rFonts w:hint="eastAsia" w:ascii="宋体" w:hAnsi="宋体"/>
                <w:color w:val="auto"/>
                <w:sz w:val="24"/>
                <w:highlight w:val="none"/>
              </w:rPr>
              <w:t>分</w:t>
            </w:r>
          </w:p>
          <w:p>
            <w:pPr>
              <w:ind w:left="113" w:right="113"/>
              <w:rPr>
                <w:rFonts w:ascii="宋体" w:hAnsi="宋体"/>
                <w:color w:val="auto"/>
                <w:sz w:val="24"/>
                <w:highlight w:val="none"/>
              </w:rPr>
            </w:pPr>
            <w:r>
              <w:rPr>
                <w:rFonts w:hint="eastAsia" w:ascii="宋体" w:hAnsi="宋体"/>
                <w:color w:val="auto"/>
                <w:sz w:val="24"/>
                <w:highlight w:val="none"/>
              </w:rPr>
              <w:t>开标地点：许昌市建安区兴业大厦</w:t>
            </w:r>
            <w:r>
              <w:rPr>
                <w:rFonts w:hint="eastAsia" w:ascii="宋体" w:hAnsi="宋体"/>
                <w:color w:val="auto"/>
                <w:sz w:val="24"/>
                <w:highlight w:val="none"/>
                <w:lang w:val="en-US" w:eastAsia="zh-CN"/>
              </w:rPr>
              <w:t>4167</w:t>
            </w:r>
            <w:r>
              <w:rPr>
                <w:rFonts w:hint="eastAsia" w:ascii="宋体" w:hAnsi="宋体"/>
                <w:color w:val="auto"/>
                <w:sz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6.1.1</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评标委员会的组建</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评标委员会构成： 5 人，其中招标人代表  1 人，专家 4 人；</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6.3</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评标办法</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6.4</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p>
        </w:tc>
        <w:tc>
          <w:tcPr>
            <w:tcW w:w="5805" w:type="dxa"/>
            <w:gridSpan w:val="2"/>
            <w:vAlign w:val="center"/>
          </w:tcPr>
          <w:p>
            <w:pPr>
              <w:ind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r>
              <w:rPr>
                <w:rFonts w:hint="eastAsia" w:ascii="宋体" w:hAnsi="宋体" w:eastAsia="宋体" w:cs="Times New Roman"/>
                <w:color w:val="auto"/>
                <w:sz w:val="24"/>
                <w:highlight w:val="none"/>
                <w:lang w:eastAsia="zh-CN"/>
              </w:rPr>
              <w:t>肆佰捌拾万零肆仟捌佰壹拾捌元整</w:t>
            </w:r>
            <w:r>
              <w:rPr>
                <w:rFonts w:hint="eastAsia" w:ascii="宋体" w:hAnsi="宋体" w:eastAsia="宋体" w:cs="Times New Roman"/>
                <w:color w:val="auto"/>
                <w:sz w:val="24"/>
                <w:highlight w:val="none"/>
              </w:rPr>
              <w:t>（小</w:t>
            </w:r>
            <w:r>
              <w:rPr>
                <w:rFonts w:hint="eastAsia" w:ascii="宋体" w:hAnsi="宋体" w:eastAsia="宋体" w:cs="Times New Roman"/>
                <w:color w:val="auto"/>
                <w:sz w:val="24"/>
                <w:highlight w:val="none"/>
                <w:lang w:eastAsia="zh-CN"/>
              </w:rPr>
              <w:t>写：</w:t>
            </w:r>
            <w:r>
              <w:rPr>
                <w:rFonts w:hint="eastAsia" w:ascii="宋体" w:hAnsi="宋体" w:eastAsia="宋体" w:cs="Times New Roman"/>
                <w:color w:val="auto"/>
                <w:sz w:val="24"/>
                <w:highlight w:val="none"/>
                <w:lang w:val="en-US" w:eastAsia="zh-CN"/>
              </w:rPr>
              <w:t xml:space="preserve">4804818.00 </w:t>
            </w:r>
            <w:r>
              <w:rPr>
                <w:rFonts w:hint="eastAsia" w:ascii="宋体" w:hAnsi="宋体" w:eastAsia="宋体" w:cs="Times New Roman"/>
                <w:color w:val="auto"/>
                <w:sz w:val="24"/>
                <w:highlight w:val="none"/>
                <w:lang w:eastAsia="zh-CN"/>
              </w:rPr>
              <w:t>元）</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凡投标人的投标报价超出“招标控制价”（不含等于“招标控制价”）的，该投标人的投标文件应作废标处理。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6.5</w:t>
            </w:r>
          </w:p>
        </w:tc>
        <w:tc>
          <w:tcPr>
            <w:tcW w:w="2233"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《全国公共资源交易平台（河南省•许昌市）》</w:t>
            </w:r>
            <w:r>
              <w:rPr>
                <w:rFonts w:hint="eastAsia" w:ascii="宋体" w:hAnsi="宋体"/>
                <w:color w:val="auto"/>
                <w:spacing w:val="2"/>
                <w:sz w:val="24"/>
                <w:highlight w:val="none"/>
              </w:rPr>
              <w:t xml:space="preserve">下载招标文件的。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233"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7.2</w:t>
            </w:r>
          </w:p>
        </w:tc>
        <w:tc>
          <w:tcPr>
            <w:tcW w:w="2233" w:type="dxa"/>
            <w:gridSpan w:val="2"/>
            <w:vAlign w:val="center"/>
          </w:tcPr>
          <w:p>
            <w:pPr>
              <w:widowControl w:val="0"/>
              <w:spacing w:line="360" w:lineRule="auto"/>
              <w:ind w:left="-107" w:leftChars="-51" w:right="-107" w:rightChars="-51"/>
              <w:jc w:val="center"/>
              <w:rPr>
                <w:rFonts w:hint="eastAsia" w:ascii="宋体" w:hAnsi="宋体"/>
                <w:color w:val="auto"/>
                <w:sz w:val="24"/>
                <w:highlight w:val="none"/>
              </w:rPr>
            </w:pPr>
            <w:r>
              <w:rPr>
                <w:rFonts w:hint="eastAsia" w:ascii="宋体" w:hAnsi="宋体"/>
                <w:kern w:val="2"/>
                <w:sz w:val="24"/>
                <w:szCs w:val="24"/>
              </w:rPr>
              <w:t>是否采用电子招标投标</w:t>
            </w:r>
          </w:p>
        </w:tc>
        <w:tc>
          <w:tcPr>
            <w:tcW w:w="5805" w:type="dxa"/>
            <w:gridSpan w:val="2"/>
            <w:vAlign w:val="center"/>
          </w:tcPr>
          <w:p>
            <w:pPr>
              <w:widowControl w:val="0"/>
              <w:spacing w:line="360" w:lineRule="auto"/>
              <w:ind w:firstLine="240" w:firstLineChars="100"/>
              <w:jc w:val="both"/>
              <w:rPr>
                <w:rFonts w:hint="eastAsia" w:ascii="宋体" w:hAnsi="宋体"/>
                <w:color w:val="auto"/>
                <w:sz w:val="24"/>
                <w:highlight w:val="none"/>
              </w:rPr>
            </w:pPr>
            <w:r>
              <w:rPr>
                <w:rFonts w:hint="eastAsia" w:ascii="宋体" w:hAnsi="宋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7.3.1</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履约担保</w:t>
            </w:r>
          </w:p>
        </w:tc>
        <w:tc>
          <w:tcPr>
            <w:tcW w:w="5805" w:type="dxa"/>
            <w:gridSpan w:val="2"/>
            <w:vAlign w:val="center"/>
          </w:tcPr>
          <w:p>
            <w:pPr>
              <w:widowControl/>
              <w:spacing w:line="240" w:lineRule="atLeast"/>
              <w:rPr>
                <w:rFonts w:ascii="宋体" w:cs="宋体"/>
                <w:b/>
                <w:bCs/>
                <w:color w:val="auto"/>
                <w:kern w:val="0"/>
                <w:sz w:val="24"/>
                <w:highlight w:val="none"/>
              </w:rPr>
            </w:pPr>
            <w:r>
              <w:rPr>
                <w:rFonts w:hint="eastAsia" w:ascii="宋体" w:hAnsi="宋体"/>
                <w:sz w:val="24"/>
                <w:szCs w:val="24"/>
              </w:rPr>
              <w:t>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在中标通知书发出前，招标人将中标候选人的情况在《全国公共资源交易平台（河南省·许昌市）》、《河南招标采购综合网》和《中国采购与招标网》上予以公示，公示期不少于3日。根据《关于在招标投标活动中全面开展行贿犯罪档案查询的通知》（高检会〔2015〕3号）要求，中标企业领取中标通知书时需提供注册地或项目所在地检察机关出具的行贿犯罪档案查询结果告知函（告知函需在有效期内，查询对象包含单位、法定代表人、项目经理、授权委托人）；若中标候选人第一名存在行贿犯罪记录，按照招标委员会提供的评标报告，按序推荐中标候选人，若均存在行贿犯罪记录，则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类似工程是指指201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年1月1日以来承建过的</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w:t>
            </w:r>
            <w:r>
              <w:rPr>
                <w:rFonts w:hint="eastAsia" w:ascii="宋体" w:hAnsi="宋体"/>
                <w:b/>
                <w:color w:val="auto"/>
                <w:sz w:val="24"/>
                <w:highlight w:val="none"/>
              </w:rPr>
              <w:t>《全国公共资源交易平台（河南省·许昌市）》</w:t>
            </w:r>
            <w:r>
              <w:rPr>
                <w:rFonts w:hint="eastAsia" w:ascii="宋体" w:hAnsi="宋体"/>
                <w:b/>
                <w:bCs/>
                <w:color w:val="auto"/>
                <w:sz w:val="24"/>
                <w:highlight w:val="none"/>
              </w:rPr>
              <w:t>上提出，以其他方式递交的异议不予接受。</w:t>
            </w:r>
          </w:p>
        </w:tc>
      </w:tr>
    </w:tbl>
    <w:p>
      <w:pPr>
        <w:pStyle w:val="4"/>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31404"/>
      <w:bookmarkStart w:id="7" w:name="_Toc486277862"/>
      <w:bookmarkStart w:id="8" w:name="_Toc485889001"/>
      <w:r>
        <w:rPr>
          <w:rFonts w:hint="eastAsia" w:ascii="黑体" w:eastAsia="黑体"/>
          <w:color w:val="auto"/>
          <w:sz w:val="30"/>
          <w:szCs w:val="30"/>
          <w:highlight w:val="none"/>
        </w:rPr>
        <w:t>附录1   资格审查条件(资质最低条件)</w:t>
      </w:r>
      <w:bookmarkEnd w:id="5"/>
      <w:bookmarkEnd w:id="6"/>
      <w:bookmarkEnd w:id="7"/>
      <w:bookmarkEnd w:id="8"/>
    </w:p>
    <w:tbl>
      <w:tblPr>
        <w:tblStyle w:val="10"/>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投标申请人应提交最近三年内（</w:t>
            </w:r>
            <w:r>
              <w:rPr>
                <w:rFonts w:hint="eastAsia" w:ascii="宋体" w:hAnsi="宋体" w:cs="仿宋_GB2312"/>
                <w:color w:val="auto"/>
                <w:sz w:val="24"/>
                <w:highlight w:val="none"/>
              </w:rPr>
              <w:t>201</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年1月1日至201</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)经审计的资产负债表、损益表、现金流量表，证明资格预审申请人的财务状况良好，财务无亏损，没有被接管、冻结、破产状态；必要时，业主将向投标申请人的开户银行进行查询；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ind w:firstLine="2891" w:firstLineChars="1200"/>
              <w:jc w:val="both"/>
              <w:rPr>
                <w:rFonts w:ascii="宋体" w:hAnsi="宋体"/>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不接受</w:t>
            </w:r>
            <w:r>
              <w:rPr>
                <w:rFonts w:hint="eastAsia" w:ascii="宋体" w:hAnsi="宋体" w:eastAsia="宋体" w:cs="Times New Roman"/>
                <w:color w:val="auto"/>
                <w:sz w:val="24"/>
                <w:highlight w:val="none"/>
              </w:rPr>
              <w:t>被</w:t>
            </w:r>
            <w:r>
              <w:rPr>
                <w:rFonts w:hint="eastAsia" w:ascii="宋体" w:hAnsi="宋体" w:eastAsia="宋体" w:cs="Times New Roman"/>
                <w:color w:val="auto"/>
                <w:sz w:val="24"/>
                <w:highlight w:val="none"/>
                <w:lang w:eastAsia="zh-CN"/>
              </w:rPr>
              <w:t>列入</w:t>
            </w:r>
            <w:r>
              <w:rPr>
                <w:rFonts w:hint="eastAsia" w:ascii="宋体" w:hAnsi="宋体" w:eastAsia="宋体" w:cs="Times New Roman"/>
                <w:color w:val="auto"/>
                <w:sz w:val="24"/>
                <w:highlight w:val="none"/>
              </w:rPr>
              <w:t>国家发改委等部门联合惩戒备忘录（黑名单）</w:t>
            </w:r>
            <w:r>
              <w:rPr>
                <w:rFonts w:hint="eastAsia" w:ascii="宋体" w:hAnsi="宋体" w:eastAsia="宋体" w:cs="Times New Roman"/>
                <w:color w:val="auto"/>
                <w:sz w:val="24"/>
                <w:highlight w:val="none"/>
                <w:lang w:eastAsia="zh-CN"/>
              </w:rPr>
              <w:t>及</w:t>
            </w:r>
            <w:r>
              <w:rPr>
                <w:rFonts w:hint="default" w:ascii="宋体" w:hAnsi="宋体" w:eastAsia="宋体" w:cs="Times New Roman"/>
                <w:color w:val="auto"/>
                <w:sz w:val="24"/>
                <w:highlight w:val="none"/>
              </w:rPr>
              <w:t>“信用中国”</w:t>
            </w:r>
            <w:r>
              <w:rPr>
                <w:rFonts w:hint="eastAsia" w:ascii="宋体" w:hAnsi="宋体" w:eastAsia="宋体" w:cs="Times New Roman"/>
                <w:color w:val="auto"/>
                <w:sz w:val="24"/>
                <w:highlight w:val="none"/>
                <w:lang w:val="en-US" w:eastAsia="zh-CN"/>
              </w:rPr>
              <w:t>（www.creditchina.gov.cn）</w:t>
            </w:r>
            <w:r>
              <w:rPr>
                <w:rFonts w:hint="default" w:ascii="宋体" w:hAnsi="宋体" w:eastAsia="宋体" w:cs="Times New Roman"/>
                <w:color w:val="auto"/>
                <w:sz w:val="24"/>
                <w:highlight w:val="none"/>
              </w:rPr>
              <w:t>和“信用河南”</w:t>
            </w:r>
            <w:r>
              <w:rPr>
                <w:rFonts w:hint="eastAsia" w:ascii="宋体" w:hAnsi="宋体" w:eastAsia="宋体" w:cs="Times New Roman"/>
                <w:color w:val="auto"/>
                <w:sz w:val="24"/>
                <w:highlight w:val="none"/>
                <w:lang w:eastAsia="zh-CN"/>
              </w:rPr>
              <w:t>（http://www.xyhn.gov.cn）</w:t>
            </w:r>
            <w:r>
              <w:rPr>
                <w:rFonts w:hint="default" w:ascii="宋体" w:hAnsi="宋体" w:eastAsia="宋体" w:cs="Times New Roman"/>
                <w:color w:val="auto"/>
                <w:sz w:val="24"/>
                <w:highlight w:val="none"/>
              </w:rPr>
              <w:t>网站信用信息栏黑名单</w:t>
            </w:r>
            <w:r>
              <w:rPr>
                <w:rFonts w:hint="eastAsia" w:ascii="宋体" w:hAnsi="宋体" w:eastAsia="宋体" w:cs="Times New Roman"/>
                <w:color w:val="auto"/>
                <w:sz w:val="24"/>
                <w:highlight w:val="none"/>
                <w:lang w:eastAsia="zh-CN"/>
              </w:rPr>
              <w:t>、</w:t>
            </w:r>
            <w:r>
              <w:rPr>
                <w:rFonts w:hint="default" w:ascii="宋体" w:hAnsi="宋体" w:eastAsia="宋体" w:cs="Times New Roman"/>
                <w:color w:val="auto"/>
                <w:sz w:val="24"/>
                <w:highlight w:val="none"/>
              </w:rPr>
              <w:t>“国家企业信用信息公示系统”</w:t>
            </w:r>
            <w:r>
              <w:rPr>
                <w:rFonts w:hint="eastAsia" w:ascii="宋体" w:hAnsi="宋体" w:eastAsia="宋体" w:cs="Times New Roman"/>
                <w:color w:val="auto"/>
                <w:sz w:val="24"/>
                <w:highlight w:val="none"/>
                <w:lang w:val="en-US" w:eastAsia="zh-CN"/>
              </w:rPr>
              <w:t>（www.gsxt.gov.cn）</w:t>
            </w:r>
            <w:r>
              <w:rPr>
                <w:rFonts w:hint="default" w:ascii="宋体" w:hAnsi="宋体" w:eastAsia="宋体" w:cs="Times New Roman"/>
                <w:color w:val="auto"/>
                <w:sz w:val="24"/>
                <w:highlight w:val="none"/>
              </w:rPr>
              <w:t>经营异常名录或严重失信黑名单</w:t>
            </w:r>
            <w:r>
              <w:rPr>
                <w:rFonts w:hint="eastAsia" w:ascii="宋体" w:hAnsi="宋体" w:eastAsia="宋体" w:cs="Times New Roman"/>
                <w:color w:val="auto"/>
                <w:sz w:val="24"/>
                <w:highlight w:val="none"/>
                <w:lang w:eastAsia="zh-CN"/>
              </w:rPr>
              <w:t>的投标单位</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根据《河南省公路建设市场从业单位及人员信用管理办法》第二十一条“对信用考核定级为D级即黑名单的从业单位，”不得参与本项目投标。</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rPr>
          <w:rFonts w:ascii="宋体" w:hAnsi="宋体"/>
          <w:color w:val="auto"/>
          <w:sz w:val="24"/>
          <w:highlight w:val="none"/>
        </w:rPr>
      </w:pPr>
    </w:p>
    <w:p>
      <w:pPr>
        <w:pStyle w:val="4"/>
        <w:spacing w:beforeLines="150" w:after="480" w:line="400" w:lineRule="exact"/>
        <w:rPr>
          <w:rFonts w:ascii="宋体" w:hAnsi="宋体"/>
          <w:color w:val="auto"/>
          <w:sz w:val="24"/>
          <w:szCs w:val="24"/>
          <w:highlight w:val="none"/>
        </w:rPr>
      </w:pPr>
      <w:bookmarkStart w:id="9" w:name="_Toc486277863"/>
      <w:bookmarkStart w:id="10" w:name="_Toc2209"/>
      <w:bookmarkStart w:id="11" w:name="_Toc485889002"/>
      <w:r>
        <w:rPr>
          <w:rFonts w:ascii="宋体" w:hAnsi="宋体"/>
          <w:color w:val="auto"/>
          <w:sz w:val="24"/>
          <w:szCs w:val="24"/>
          <w:highlight w:val="none"/>
        </w:rPr>
        <w:t>1. 总则</w:t>
      </w:r>
      <w:bookmarkEnd w:id="9"/>
      <w:bookmarkEnd w:id="10"/>
      <w:bookmarkEnd w:id="11"/>
    </w:p>
    <w:p>
      <w:pPr>
        <w:pStyle w:val="4"/>
        <w:spacing w:before="0" w:after="0" w:line="400" w:lineRule="exact"/>
        <w:rPr>
          <w:rFonts w:ascii="宋体" w:hAnsi="宋体"/>
          <w:color w:val="auto"/>
          <w:sz w:val="24"/>
          <w:szCs w:val="24"/>
          <w:highlight w:val="none"/>
        </w:rPr>
      </w:pPr>
      <w:bookmarkStart w:id="12" w:name="_Toc485889003"/>
      <w:bookmarkStart w:id="13" w:name="_Toc234382590"/>
      <w:bookmarkStart w:id="14" w:name="_Toc29730"/>
      <w:bookmarkStart w:id="15" w:name="_Toc486277864"/>
      <w:r>
        <w:rPr>
          <w:rFonts w:ascii="宋体" w:hAnsi="宋体"/>
          <w:color w:val="auto"/>
          <w:sz w:val="24"/>
          <w:szCs w:val="24"/>
          <w:highlight w:val="none"/>
        </w:rPr>
        <w:t>1.1 项目概况</w:t>
      </w:r>
      <w:bookmarkEnd w:id="12"/>
      <w:bookmarkEnd w:id="13"/>
      <w:bookmarkEnd w:id="14"/>
      <w:bookmarkEnd w:id="15"/>
    </w:p>
    <w:p>
      <w:pPr>
        <w:spacing w:line="400" w:lineRule="exact"/>
        <w:ind w:firstLine="480"/>
        <w:rPr>
          <w:rFonts w:ascii="宋体" w:hAnsi="宋体"/>
          <w:color w:val="auto"/>
          <w:sz w:val="24"/>
          <w:highlight w:val="none"/>
        </w:rPr>
      </w:pPr>
      <w:bookmarkStart w:id="16"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7" w:name="_Toc485889004"/>
      <w:bookmarkStart w:id="18" w:name="_Toc14323"/>
      <w:bookmarkStart w:id="19" w:name="_Toc486277865"/>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6"/>
      <w:bookmarkEnd w:id="17"/>
      <w:bookmarkEnd w:id="18"/>
      <w:bookmarkEnd w:id="19"/>
    </w:p>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0" w:name="_Toc234382592"/>
      <w:bookmarkStart w:id="21" w:name="_Toc485889005"/>
      <w:bookmarkStart w:id="22" w:name="_Toc486277866"/>
      <w:bookmarkStart w:id="23" w:name="_Toc17973"/>
      <w:r>
        <w:rPr>
          <w:rFonts w:ascii="宋体" w:hAnsi="宋体"/>
          <w:color w:val="auto"/>
          <w:sz w:val="24"/>
          <w:szCs w:val="24"/>
          <w:highlight w:val="none"/>
        </w:rPr>
        <w:t>1.3 招标范围、计划工期和质量要求</w:t>
      </w:r>
      <w:bookmarkEnd w:id="20"/>
      <w:bookmarkEnd w:id="21"/>
      <w:bookmarkEnd w:id="22"/>
      <w:bookmarkEnd w:id="23"/>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4" w:name="_Toc485889006"/>
      <w:bookmarkStart w:id="25" w:name="_Toc2109"/>
      <w:bookmarkStart w:id="26" w:name="_Toc486277867"/>
      <w:bookmarkStart w:id="27" w:name="_Toc234382594"/>
      <w:r>
        <w:rPr>
          <w:rFonts w:ascii="宋体" w:hAnsi="宋体"/>
          <w:color w:val="auto"/>
          <w:sz w:val="24"/>
          <w:szCs w:val="24"/>
          <w:highlight w:val="none"/>
        </w:rPr>
        <w:t>1.4 投标人资格要求（适用于未进行资格预审的）</w:t>
      </w:r>
      <w:bookmarkEnd w:id="24"/>
      <w:bookmarkEnd w:id="25"/>
      <w:bookmarkEnd w:id="26"/>
      <w:bookmarkEnd w:id="27"/>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4"/>
        <w:spacing w:beforeLines="50" w:after="0" w:line="400" w:lineRule="exact"/>
        <w:rPr>
          <w:rFonts w:ascii="宋体" w:hAnsi="宋体"/>
          <w:color w:val="auto"/>
          <w:sz w:val="24"/>
          <w:szCs w:val="24"/>
          <w:highlight w:val="none"/>
        </w:rPr>
      </w:pPr>
      <w:bookmarkStart w:id="28" w:name="_Toc486277868"/>
      <w:bookmarkStart w:id="29" w:name="_Toc485889007"/>
      <w:bookmarkStart w:id="30" w:name="_Toc19946"/>
      <w:bookmarkStart w:id="31" w:name="_Toc234382595"/>
      <w:r>
        <w:rPr>
          <w:rFonts w:ascii="宋体" w:hAnsi="宋体"/>
          <w:color w:val="auto"/>
          <w:sz w:val="24"/>
          <w:szCs w:val="24"/>
          <w:highlight w:val="none"/>
        </w:rPr>
        <w:t>1.5 费用承担</w:t>
      </w:r>
      <w:bookmarkEnd w:id="28"/>
      <w:bookmarkEnd w:id="29"/>
      <w:bookmarkEnd w:id="30"/>
      <w:bookmarkEnd w:id="31"/>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2" w:name="_Toc8968"/>
      <w:bookmarkStart w:id="33" w:name="_Toc485889008"/>
      <w:bookmarkStart w:id="34" w:name="_Toc486277869"/>
      <w:bookmarkStart w:id="35" w:name="_Toc234382596"/>
      <w:r>
        <w:rPr>
          <w:rFonts w:ascii="宋体" w:hAnsi="宋体"/>
          <w:color w:val="auto"/>
          <w:sz w:val="24"/>
          <w:szCs w:val="24"/>
          <w:highlight w:val="none"/>
        </w:rPr>
        <w:t>1.6 保密</w:t>
      </w:r>
      <w:bookmarkEnd w:id="32"/>
      <w:bookmarkEnd w:id="33"/>
      <w:bookmarkEnd w:id="34"/>
      <w:bookmarkEnd w:id="35"/>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6" w:name="_Toc485889009"/>
      <w:bookmarkStart w:id="37" w:name="_Toc486277870"/>
      <w:bookmarkStart w:id="38" w:name="_Toc5358"/>
      <w:bookmarkStart w:id="39" w:name="_Toc234382597"/>
      <w:r>
        <w:rPr>
          <w:rFonts w:ascii="宋体" w:hAnsi="宋体"/>
          <w:color w:val="auto"/>
          <w:sz w:val="24"/>
          <w:szCs w:val="24"/>
          <w:highlight w:val="none"/>
        </w:rPr>
        <w:t>1.7 语言文字</w:t>
      </w:r>
      <w:bookmarkEnd w:id="36"/>
      <w:bookmarkEnd w:id="37"/>
      <w:bookmarkEnd w:id="38"/>
      <w:bookmarkEnd w:id="39"/>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0" w:name="_Toc485889010"/>
      <w:bookmarkStart w:id="41" w:name="_Toc105"/>
      <w:bookmarkStart w:id="42" w:name="_Toc486277871"/>
      <w:bookmarkStart w:id="43" w:name="_Toc234382598"/>
      <w:r>
        <w:rPr>
          <w:rFonts w:ascii="宋体" w:hAnsi="宋体"/>
          <w:color w:val="auto"/>
          <w:sz w:val="24"/>
          <w:szCs w:val="24"/>
          <w:highlight w:val="none"/>
        </w:rPr>
        <w:t>1.8 计量单位</w:t>
      </w:r>
      <w:bookmarkEnd w:id="40"/>
      <w:bookmarkEnd w:id="41"/>
      <w:bookmarkEnd w:id="42"/>
      <w:bookmarkEnd w:id="43"/>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4" w:name="_Toc486277872"/>
      <w:bookmarkStart w:id="45" w:name="_Toc485889011"/>
      <w:bookmarkStart w:id="46" w:name="_Toc31645"/>
      <w:bookmarkStart w:id="47" w:name="_Toc234382599"/>
      <w:r>
        <w:rPr>
          <w:rFonts w:ascii="宋体" w:hAnsi="宋体"/>
          <w:color w:val="auto"/>
          <w:sz w:val="24"/>
          <w:szCs w:val="24"/>
          <w:highlight w:val="none"/>
        </w:rPr>
        <w:t>1.9 踏勘现场</w:t>
      </w:r>
      <w:bookmarkEnd w:id="44"/>
      <w:bookmarkEnd w:id="45"/>
      <w:bookmarkEnd w:id="46"/>
      <w:bookmarkEnd w:id="47"/>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8" w:name="_Toc234382600"/>
      <w:bookmarkStart w:id="49" w:name="_Toc485889012"/>
      <w:bookmarkStart w:id="50" w:name="_Toc3462"/>
      <w:bookmarkStart w:id="51" w:name="_Toc486277873"/>
      <w:r>
        <w:rPr>
          <w:rFonts w:ascii="宋体" w:hAnsi="宋体"/>
          <w:color w:val="auto"/>
          <w:sz w:val="24"/>
          <w:szCs w:val="24"/>
          <w:highlight w:val="none"/>
        </w:rPr>
        <w:t>1.10 投标预备会</w:t>
      </w:r>
      <w:bookmarkEnd w:id="48"/>
      <w:r>
        <w:rPr>
          <w:rFonts w:hint="eastAsia" w:ascii="宋体" w:hAnsi="宋体"/>
          <w:color w:val="auto"/>
          <w:sz w:val="24"/>
          <w:szCs w:val="24"/>
          <w:highlight w:val="none"/>
        </w:rPr>
        <w:t>（无）</w:t>
      </w:r>
      <w:bookmarkEnd w:id="49"/>
      <w:bookmarkEnd w:id="50"/>
      <w:bookmarkEnd w:id="51"/>
    </w:p>
    <w:p>
      <w:pPr>
        <w:pStyle w:val="4"/>
        <w:spacing w:beforeLines="50" w:after="0" w:line="400" w:lineRule="exact"/>
        <w:rPr>
          <w:rFonts w:ascii="宋体" w:hAnsi="宋体"/>
          <w:color w:val="auto"/>
          <w:sz w:val="24"/>
          <w:szCs w:val="24"/>
          <w:highlight w:val="none"/>
        </w:rPr>
      </w:pPr>
      <w:bookmarkStart w:id="52" w:name="_Toc234382601"/>
      <w:bookmarkStart w:id="53" w:name="_Toc22514"/>
      <w:bookmarkStart w:id="54" w:name="_Toc486277874"/>
      <w:bookmarkStart w:id="55" w:name="_Toc485889013"/>
      <w:r>
        <w:rPr>
          <w:rFonts w:ascii="宋体" w:hAnsi="宋体"/>
          <w:color w:val="auto"/>
          <w:sz w:val="24"/>
          <w:szCs w:val="24"/>
          <w:highlight w:val="none"/>
        </w:rPr>
        <w:t>1.11 分包</w:t>
      </w:r>
      <w:bookmarkEnd w:id="52"/>
      <w:bookmarkEnd w:id="53"/>
      <w:bookmarkEnd w:id="54"/>
      <w:bookmarkEnd w:id="55"/>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color w:val="auto"/>
          <w:sz w:val="24"/>
          <w:szCs w:val="24"/>
          <w:highlight w:val="none"/>
          <w:vertAlign w:val="superscript"/>
        </w:rPr>
      </w:pPr>
      <w:bookmarkStart w:id="56" w:name="_Toc486277875"/>
      <w:bookmarkStart w:id="57" w:name="_Toc234382602"/>
      <w:bookmarkStart w:id="58" w:name="_Toc485889014"/>
      <w:bookmarkStart w:id="59" w:name="_Toc6184"/>
      <w:r>
        <w:rPr>
          <w:rFonts w:ascii="宋体" w:hAnsi="宋体"/>
          <w:color w:val="auto"/>
          <w:sz w:val="24"/>
          <w:szCs w:val="24"/>
          <w:highlight w:val="none"/>
        </w:rPr>
        <w:t>1.12 偏离</w:t>
      </w:r>
      <w:bookmarkEnd w:id="56"/>
      <w:bookmarkEnd w:id="57"/>
      <w:bookmarkEnd w:id="58"/>
      <w:bookmarkEnd w:id="59"/>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color w:val="auto"/>
          <w:sz w:val="24"/>
          <w:szCs w:val="24"/>
          <w:highlight w:val="none"/>
        </w:rPr>
      </w:pPr>
      <w:bookmarkStart w:id="60" w:name="_Toc234382603"/>
      <w:bookmarkStart w:id="61" w:name="_Toc486277876"/>
      <w:bookmarkStart w:id="62" w:name="_Toc22855"/>
      <w:bookmarkStart w:id="63" w:name="_Toc485889015"/>
      <w:r>
        <w:rPr>
          <w:rFonts w:ascii="宋体" w:hAnsi="宋体"/>
          <w:color w:val="auto"/>
          <w:sz w:val="24"/>
          <w:szCs w:val="24"/>
          <w:highlight w:val="none"/>
        </w:rPr>
        <w:t>2. 招标文件</w:t>
      </w:r>
      <w:bookmarkEnd w:id="60"/>
      <w:bookmarkEnd w:id="61"/>
      <w:bookmarkEnd w:id="62"/>
      <w:bookmarkEnd w:id="63"/>
    </w:p>
    <w:p>
      <w:pPr>
        <w:pStyle w:val="4"/>
        <w:spacing w:before="0" w:after="0" w:line="400" w:lineRule="exact"/>
        <w:rPr>
          <w:rFonts w:ascii="宋体" w:hAnsi="宋体"/>
          <w:color w:val="auto"/>
          <w:sz w:val="24"/>
          <w:szCs w:val="24"/>
          <w:highlight w:val="none"/>
        </w:rPr>
      </w:pPr>
      <w:bookmarkStart w:id="64" w:name="_Toc12310"/>
      <w:bookmarkStart w:id="65" w:name="_Toc486277877"/>
      <w:bookmarkStart w:id="66" w:name="_Toc234382604"/>
      <w:bookmarkStart w:id="67" w:name="_Toc485889016"/>
      <w:r>
        <w:rPr>
          <w:rFonts w:ascii="宋体" w:hAnsi="宋体"/>
          <w:color w:val="auto"/>
          <w:sz w:val="24"/>
          <w:szCs w:val="24"/>
          <w:highlight w:val="none"/>
        </w:rPr>
        <w:t>2.1 招标文件的组成</w:t>
      </w:r>
      <w:bookmarkEnd w:id="64"/>
      <w:bookmarkEnd w:id="65"/>
      <w:bookmarkEnd w:id="66"/>
      <w:bookmarkEnd w:id="67"/>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bookmarkStart w:id="68" w:name="_Toc486277878"/>
      <w:bookmarkStart w:id="69" w:name="_Toc485889017"/>
      <w:bookmarkStart w:id="70" w:name="_Toc234382605"/>
      <w:bookmarkStart w:id="71" w:name="_Toc16084"/>
      <w:r>
        <w:rPr>
          <w:rFonts w:ascii="宋体" w:hAnsi="宋体"/>
          <w:color w:val="auto"/>
          <w:sz w:val="24"/>
          <w:szCs w:val="24"/>
          <w:highlight w:val="none"/>
        </w:rPr>
        <w:t>2.2 招标文件的澄清</w:t>
      </w:r>
      <w:bookmarkEnd w:id="68"/>
      <w:bookmarkEnd w:id="69"/>
      <w:bookmarkEnd w:id="70"/>
      <w:bookmarkEnd w:id="71"/>
    </w:p>
    <w:p>
      <w:pPr>
        <w:spacing w:line="400" w:lineRule="exact"/>
        <w:ind w:firstLine="480" w:firstLineChars="200"/>
        <w:rPr>
          <w:rFonts w:ascii="宋体" w:hAnsi="宋体" w:cs="宋体"/>
          <w:color w:val="auto"/>
          <w:kern w:val="0"/>
          <w:sz w:val="24"/>
          <w:highlight w:val="none"/>
        </w:rPr>
      </w:pPr>
      <w:bookmarkStart w:id="72"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4"/>
        <w:spacing w:beforeLines="50" w:after="0" w:line="400" w:lineRule="exact"/>
        <w:rPr>
          <w:rFonts w:ascii="宋体" w:hAnsi="宋体"/>
          <w:color w:val="auto"/>
          <w:sz w:val="24"/>
          <w:szCs w:val="24"/>
          <w:highlight w:val="none"/>
        </w:rPr>
      </w:pPr>
      <w:bookmarkStart w:id="73" w:name="_Toc486277879"/>
      <w:bookmarkStart w:id="74" w:name="_Toc29706"/>
      <w:bookmarkStart w:id="75" w:name="_Toc485889018"/>
      <w:r>
        <w:rPr>
          <w:rFonts w:ascii="宋体" w:hAnsi="宋体"/>
          <w:color w:val="auto"/>
          <w:sz w:val="24"/>
          <w:szCs w:val="24"/>
          <w:highlight w:val="none"/>
        </w:rPr>
        <w:t>2.3 招标文件的修改</w:t>
      </w:r>
      <w:bookmarkEnd w:id="72"/>
      <w:bookmarkEnd w:id="73"/>
      <w:bookmarkEnd w:id="74"/>
      <w:bookmarkEnd w:id="75"/>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6"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天前，招标人可以通过全国公共资源交易平台（河南省·许昌市）修改招标文件，如果修改招标文件的时间距投标截止时间不足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7" w:name="_Toc486277880"/>
      <w:bookmarkStart w:id="78" w:name="_Toc485889019"/>
      <w:r>
        <w:rPr>
          <w:rFonts w:hint="eastAsia" w:ascii="宋体" w:hAnsi="宋体"/>
          <w:color w:val="auto"/>
          <w:sz w:val="24"/>
          <w:highlight w:val="none"/>
        </w:rPr>
        <w:t>2.3.2 当招标文件（含评标、定标办法）、补充通知、答疑纪要，内容相互矛盾时，以最后发出的通知（或纪要）为准。</w:t>
      </w:r>
      <w:bookmarkEnd w:id="77"/>
      <w:bookmarkEnd w:id="78"/>
    </w:p>
    <w:p>
      <w:pPr>
        <w:pStyle w:val="4"/>
        <w:spacing w:beforeLines="150" w:after="480" w:line="400" w:lineRule="exact"/>
        <w:rPr>
          <w:rFonts w:ascii="宋体" w:hAnsi="宋体"/>
          <w:color w:val="auto"/>
          <w:sz w:val="24"/>
          <w:szCs w:val="24"/>
          <w:highlight w:val="none"/>
        </w:rPr>
      </w:pPr>
      <w:bookmarkStart w:id="79" w:name="_Toc8003"/>
      <w:bookmarkStart w:id="80" w:name="_Toc485889020"/>
      <w:bookmarkStart w:id="81" w:name="_Toc486277881"/>
      <w:r>
        <w:rPr>
          <w:rFonts w:ascii="宋体" w:hAnsi="宋体"/>
          <w:color w:val="auto"/>
          <w:sz w:val="24"/>
          <w:szCs w:val="24"/>
          <w:highlight w:val="none"/>
        </w:rPr>
        <w:t>3. 投标文件</w:t>
      </w:r>
      <w:bookmarkEnd w:id="76"/>
      <w:bookmarkEnd w:id="79"/>
      <w:bookmarkEnd w:id="80"/>
      <w:bookmarkEnd w:id="81"/>
    </w:p>
    <w:p>
      <w:pPr>
        <w:pStyle w:val="4"/>
        <w:spacing w:before="0" w:after="0" w:line="400" w:lineRule="exact"/>
        <w:rPr>
          <w:rFonts w:ascii="宋体" w:hAnsi="宋体"/>
          <w:color w:val="auto"/>
          <w:sz w:val="24"/>
          <w:szCs w:val="24"/>
          <w:highlight w:val="none"/>
        </w:rPr>
      </w:pPr>
      <w:bookmarkStart w:id="82" w:name="_Toc485889021"/>
      <w:bookmarkStart w:id="83" w:name="_Toc12156"/>
      <w:bookmarkStart w:id="84" w:name="_Toc234382608"/>
      <w:bookmarkStart w:id="85" w:name="_Toc486277882"/>
      <w:r>
        <w:rPr>
          <w:rFonts w:ascii="宋体" w:hAnsi="宋体"/>
          <w:color w:val="auto"/>
          <w:sz w:val="24"/>
          <w:szCs w:val="24"/>
          <w:highlight w:val="none"/>
        </w:rPr>
        <w:t>3.1 投标文件的组成</w:t>
      </w:r>
      <w:bookmarkEnd w:id="82"/>
      <w:bookmarkEnd w:id="83"/>
      <w:bookmarkEnd w:id="84"/>
      <w:bookmarkEnd w:id="85"/>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3.1.2 投标人须知前附表规定不接受联合体投标的，或投标人没有组成联合体的，投标文件不包括本章第 3.1.1（3）目所指的联合体协议书。</w:t>
      </w:r>
    </w:p>
    <w:p>
      <w:pPr>
        <w:pStyle w:val="4"/>
        <w:spacing w:beforeLines="50" w:after="0" w:line="400" w:lineRule="exact"/>
        <w:rPr>
          <w:rFonts w:ascii="宋体" w:hAnsi="宋体"/>
          <w:color w:val="auto"/>
          <w:sz w:val="24"/>
          <w:szCs w:val="24"/>
          <w:highlight w:val="none"/>
        </w:rPr>
      </w:pPr>
      <w:bookmarkStart w:id="86" w:name="_Toc485889022"/>
      <w:bookmarkStart w:id="87" w:name="_Toc486277883"/>
      <w:bookmarkStart w:id="88" w:name="_Toc234382609"/>
      <w:bookmarkStart w:id="89" w:name="_Toc12761"/>
      <w:r>
        <w:rPr>
          <w:rFonts w:ascii="宋体" w:hAnsi="宋体"/>
          <w:color w:val="auto"/>
          <w:sz w:val="24"/>
          <w:szCs w:val="24"/>
          <w:highlight w:val="none"/>
        </w:rPr>
        <w:t>3.2 投标报价</w:t>
      </w:r>
      <w:bookmarkEnd w:id="86"/>
      <w:bookmarkEnd w:id="87"/>
      <w:bookmarkEnd w:id="88"/>
      <w:bookmarkEnd w:id="89"/>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color w:val="auto"/>
          <w:sz w:val="24"/>
          <w:szCs w:val="24"/>
          <w:highlight w:val="none"/>
        </w:rPr>
      </w:pPr>
      <w:bookmarkStart w:id="90" w:name="_Toc6040"/>
      <w:bookmarkStart w:id="91" w:name="_Toc485889023"/>
      <w:bookmarkStart w:id="92" w:name="_Toc486277884"/>
      <w:bookmarkStart w:id="93" w:name="_Toc234382610"/>
      <w:r>
        <w:rPr>
          <w:rFonts w:ascii="宋体" w:hAnsi="宋体"/>
          <w:color w:val="auto"/>
          <w:sz w:val="24"/>
          <w:szCs w:val="24"/>
          <w:highlight w:val="none"/>
        </w:rPr>
        <w:t>3.3 投标有效期</w:t>
      </w:r>
      <w:bookmarkEnd w:id="90"/>
      <w:bookmarkEnd w:id="91"/>
      <w:bookmarkEnd w:id="92"/>
      <w:bookmarkEnd w:id="93"/>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bookmarkStart w:id="94" w:name="_Toc486277885"/>
      <w:bookmarkStart w:id="95" w:name="_Toc19976"/>
      <w:bookmarkStart w:id="96" w:name="_Toc485889024"/>
      <w:bookmarkStart w:id="97" w:name="_Toc234382611"/>
      <w:r>
        <w:rPr>
          <w:rFonts w:ascii="宋体" w:hAnsi="宋体"/>
          <w:color w:val="auto"/>
          <w:sz w:val="24"/>
          <w:szCs w:val="24"/>
          <w:highlight w:val="none"/>
        </w:rPr>
        <w:t xml:space="preserve">3.4 </w:t>
      </w:r>
      <w:bookmarkEnd w:id="94"/>
      <w:bookmarkEnd w:id="95"/>
      <w:bookmarkEnd w:id="96"/>
      <w:bookmarkEnd w:id="97"/>
      <w:bookmarkStart w:id="98" w:name="_Toc234382613"/>
      <w:r>
        <w:rPr>
          <w:rFonts w:hint="eastAsia" w:hAnsi="宋体" w:cs="宋体"/>
          <w:b/>
          <w:bCs/>
          <w:sz w:val="24"/>
        </w:rPr>
        <w:t>投标保证金</w:t>
      </w:r>
      <w:r>
        <w:rPr>
          <w:rFonts w:hint="eastAsia" w:hAnsi="宋体" w:cs="宋体"/>
          <w:b/>
          <w:bCs/>
          <w:sz w:val="24"/>
          <w:szCs w:val="22"/>
        </w:rPr>
        <w:t>（见附表）</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投标保证金的退还：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（1）中标公告发出后，5个工作日内退还非中标候选人投标保证金及银行同期活期存款利息。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（2）在法定期限内签订书面合同，中标人执投标保证金退还申请表（单位加盖行政公章）及合同原件</w:t>
      </w:r>
      <w:r>
        <w:rPr>
          <w:rFonts w:hint="eastAsia" w:ascii="宋体" w:hAnsi="宋体" w:cs="Times New Roman"/>
          <w:color w:val="auto"/>
          <w:sz w:val="24"/>
          <w:highlight w:val="none"/>
          <w:lang w:eastAsia="zh-CN"/>
        </w:rPr>
        <w:t>、履约保证金缴纳通知书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履约保证金转账凭证</w:t>
      </w:r>
      <w:r>
        <w:rPr>
          <w:rFonts w:hint="eastAsia" w:ascii="宋体" w:hAnsi="宋体" w:eastAsia="宋体" w:cs="Times New Roman"/>
          <w:color w:val="auto"/>
          <w:sz w:val="24"/>
          <w:highlight w:val="none"/>
        </w:rPr>
        <w:t>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（3）项目废标或招标人终止招标的，在此后5个工作日内退还投标保证金及银行同期活期存利息。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（6）退还投标保证金，除另有规定外，一般以转账方式一次性退还至投标保证金的原提交账户。</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2、投标人有下列情形之一的，不予退还投标保证金：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（一）在招标文件要求提交投标文件的截止时间后至投标文件有效期满前撤回投标的；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（三）将中标项目转让给他人，或者在投标文件中未说明，且未经招标人同意，将中标项目分包给他人的；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（四）投标人在招投标活动中弄虚作假、围标串标，骗取中标并经招投标行政监督部门调查核实的；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（五）拒绝履行合同义务的；</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（六）相关法律、法规规定不予退还的其它情形。</w:t>
      </w:r>
    </w:p>
    <w:p>
      <w:pPr>
        <w:spacing w:line="40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color w:val="auto"/>
          <w:sz w:val="24"/>
          <w:szCs w:val="24"/>
          <w:highlight w:val="none"/>
        </w:rPr>
      </w:pPr>
      <w:bookmarkStart w:id="99" w:name="_Toc10524"/>
      <w:bookmarkStart w:id="100" w:name="_Toc486277886"/>
      <w:bookmarkStart w:id="101" w:name="_Toc485889025"/>
      <w:r>
        <w:rPr>
          <w:rFonts w:ascii="宋体" w:hAnsi="宋体"/>
          <w:color w:val="auto"/>
          <w:sz w:val="24"/>
          <w:szCs w:val="24"/>
          <w:highlight w:val="none"/>
        </w:rPr>
        <w:t>3.5 资格审查资料</w:t>
      </w:r>
      <w:bookmarkEnd w:id="98"/>
      <w:bookmarkEnd w:id="99"/>
      <w:bookmarkEnd w:id="100"/>
      <w:bookmarkEnd w:id="101"/>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2" w:name="_Toc486277887"/>
      <w:bookmarkStart w:id="103" w:name="_Toc15460"/>
      <w:bookmarkStart w:id="104" w:name="_Toc234382614"/>
      <w:bookmarkStart w:id="105" w:name="_Toc485889026"/>
      <w:r>
        <w:rPr>
          <w:rFonts w:ascii="宋体" w:hAnsi="宋体"/>
          <w:color w:val="auto"/>
          <w:sz w:val="24"/>
          <w:szCs w:val="24"/>
          <w:highlight w:val="none"/>
        </w:rPr>
        <w:t>3.6 备选投标方案</w:t>
      </w:r>
      <w:bookmarkEnd w:id="102"/>
      <w:bookmarkEnd w:id="103"/>
      <w:bookmarkEnd w:id="104"/>
      <w:bookmarkEnd w:id="105"/>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6" w:name="_Toc30194"/>
      <w:bookmarkStart w:id="107" w:name="_Toc485889027"/>
      <w:bookmarkStart w:id="108" w:name="_Toc234382615"/>
      <w:bookmarkStart w:id="109" w:name="_Toc486277888"/>
      <w:r>
        <w:rPr>
          <w:rFonts w:ascii="宋体" w:hAnsi="宋体"/>
          <w:color w:val="auto"/>
          <w:sz w:val="24"/>
          <w:szCs w:val="24"/>
          <w:highlight w:val="none"/>
        </w:rPr>
        <w:t>3.7 投标文件的编制</w:t>
      </w:r>
      <w:bookmarkEnd w:id="106"/>
      <w:bookmarkEnd w:id="107"/>
      <w:bookmarkEnd w:id="108"/>
      <w:bookmarkEnd w:id="109"/>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如果由投标人的法定代表人亲自签署投标文件，则不需提交授权委托书。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签字或盖章的其他要求见投标人须知前附表。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0" w:name="_Toc485889028"/>
      <w:bookmarkStart w:id="111" w:name="_Toc3142"/>
      <w:bookmarkStart w:id="112" w:name="_Toc486277889"/>
      <w:bookmarkStart w:id="113" w:name="_Toc234382616"/>
      <w:r>
        <w:rPr>
          <w:rFonts w:ascii="宋体" w:hAnsi="宋体"/>
          <w:color w:val="auto"/>
          <w:sz w:val="24"/>
          <w:szCs w:val="24"/>
          <w:highlight w:val="none"/>
        </w:rPr>
        <w:t>4. 投标</w:t>
      </w:r>
      <w:bookmarkEnd w:id="110"/>
      <w:bookmarkEnd w:id="111"/>
      <w:bookmarkEnd w:id="112"/>
      <w:bookmarkEnd w:id="113"/>
    </w:p>
    <w:p>
      <w:pPr>
        <w:pStyle w:val="4"/>
        <w:spacing w:before="0" w:after="0" w:line="400" w:lineRule="exact"/>
        <w:rPr>
          <w:rFonts w:ascii="宋体" w:hAnsi="宋体"/>
          <w:color w:val="auto"/>
          <w:sz w:val="24"/>
          <w:szCs w:val="24"/>
          <w:highlight w:val="none"/>
        </w:rPr>
      </w:pPr>
      <w:bookmarkStart w:id="114" w:name="_Toc486277890"/>
      <w:bookmarkStart w:id="115" w:name="_Toc26813"/>
      <w:bookmarkStart w:id="116" w:name="_Toc234382617"/>
      <w:bookmarkStart w:id="117" w:name="_Toc485889029"/>
      <w:r>
        <w:rPr>
          <w:rFonts w:ascii="宋体" w:hAnsi="宋体"/>
          <w:color w:val="auto"/>
          <w:sz w:val="24"/>
          <w:szCs w:val="24"/>
          <w:highlight w:val="none"/>
        </w:rPr>
        <w:t>4.1 投标文件的密封和标记</w:t>
      </w:r>
      <w:bookmarkEnd w:id="114"/>
      <w:bookmarkEnd w:id="115"/>
      <w:bookmarkEnd w:id="116"/>
      <w:bookmarkEnd w:id="11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8" w:name="_Toc485889030"/>
      <w:bookmarkStart w:id="119" w:name="_Toc486277891"/>
      <w:bookmarkStart w:id="120" w:name="_Toc234382618"/>
      <w:bookmarkStart w:id="121" w:name="_Toc31665"/>
      <w:r>
        <w:rPr>
          <w:rFonts w:ascii="宋体" w:hAnsi="宋体"/>
          <w:color w:val="auto"/>
          <w:sz w:val="24"/>
          <w:szCs w:val="24"/>
          <w:highlight w:val="none"/>
        </w:rPr>
        <w:t>4.2 投标文件的递交</w:t>
      </w:r>
      <w:bookmarkEnd w:id="118"/>
      <w:bookmarkEnd w:id="119"/>
      <w:bookmarkEnd w:id="120"/>
      <w:bookmarkEnd w:id="121"/>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4"/>
        <w:spacing w:beforeLines="50" w:after="0" w:line="400" w:lineRule="exact"/>
        <w:rPr>
          <w:rFonts w:ascii="宋体" w:hAnsi="宋体"/>
          <w:color w:val="auto"/>
          <w:sz w:val="24"/>
          <w:szCs w:val="24"/>
          <w:highlight w:val="none"/>
        </w:rPr>
      </w:pPr>
      <w:bookmarkStart w:id="122" w:name="_Toc234382619"/>
      <w:bookmarkStart w:id="123" w:name="_Toc30135"/>
      <w:bookmarkStart w:id="124" w:name="_Toc485889031"/>
      <w:bookmarkStart w:id="125" w:name="_Toc486277892"/>
      <w:r>
        <w:rPr>
          <w:rFonts w:ascii="宋体" w:hAnsi="宋体"/>
          <w:color w:val="auto"/>
          <w:sz w:val="24"/>
          <w:szCs w:val="24"/>
          <w:highlight w:val="none"/>
        </w:rPr>
        <w:t>4.3 投标文件的修改与撤回</w:t>
      </w:r>
      <w:bookmarkEnd w:id="122"/>
      <w:bookmarkEnd w:id="123"/>
      <w:bookmarkEnd w:id="124"/>
      <w:bookmarkEnd w:id="125"/>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color w:val="auto"/>
          <w:sz w:val="24"/>
          <w:szCs w:val="24"/>
          <w:highlight w:val="none"/>
        </w:rPr>
      </w:pPr>
      <w:bookmarkStart w:id="126" w:name="_Toc485889032"/>
      <w:bookmarkStart w:id="127" w:name="_Toc234382620"/>
      <w:bookmarkStart w:id="128" w:name="_Toc11058"/>
      <w:bookmarkStart w:id="129" w:name="_Toc486277893"/>
      <w:r>
        <w:rPr>
          <w:rFonts w:ascii="宋体" w:hAnsi="宋体"/>
          <w:color w:val="auto"/>
          <w:sz w:val="24"/>
          <w:szCs w:val="24"/>
          <w:highlight w:val="none"/>
        </w:rPr>
        <w:t>5. 开标</w:t>
      </w:r>
      <w:bookmarkEnd w:id="126"/>
      <w:bookmarkEnd w:id="127"/>
      <w:bookmarkEnd w:id="128"/>
      <w:bookmarkEnd w:id="129"/>
    </w:p>
    <w:p>
      <w:pPr>
        <w:pStyle w:val="4"/>
        <w:spacing w:before="0" w:after="0" w:line="400" w:lineRule="exact"/>
        <w:rPr>
          <w:rFonts w:ascii="宋体" w:hAnsi="宋体"/>
          <w:color w:val="auto"/>
          <w:sz w:val="24"/>
          <w:szCs w:val="24"/>
          <w:highlight w:val="none"/>
        </w:rPr>
      </w:pPr>
      <w:bookmarkStart w:id="130" w:name="_Toc486277894"/>
      <w:bookmarkStart w:id="131" w:name="_Toc11150"/>
      <w:bookmarkStart w:id="132" w:name="_Toc485889033"/>
      <w:bookmarkStart w:id="133" w:name="_Toc234382622"/>
      <w:r>
        <w:rPr>
          <w:rFonts w:ascii="宋体" w:hAnsi="宋体"/>
          <w:color w:val="auto"/>
          <w:sz w:val="24"/>
          <w:szCs w:val="24"/>
          <w:highlight w:val="none"/>
        </w:rPr>
        <w:t>5.1 开标时间和地点</w:t>
      </w:r>
      <w:bookmarkEnd w:id="130"/>
      <w:bookmarkEnd w:id="131"/>
      <w:bookmarkEnd w:id="132"/>
      <w:bookmarkEnd w:id="133"/>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4" w:name="_Toc26054"/>
      <w:bookmarkStart w:id="135" w:name="_Toc234382624"/>
      <w:bookmarkStart w:id="136" w:name="_Toc485889034"/>
      <w:bookmarkStart w:id="137" w:name="_Toc486277895"/>
      <w:r>
        <w:rPr>
          <w:rFonts w:ascii="宋体" w:hAnsi="宋体"/>
          <w:color w:val="auto"/>
          <w:sz w:val="24"/>
          <w:szCs w:val="24"/>
          <w:highlight w:val="none"/>
        </w:rPr>
        <w:t>5.2 开标程序</w:t>
      </w:r>
      <w:bookmarkEnd w:id="134"/>
      <w:bookmarkEnd w:id="135"/>
      <w:bookmarkEnd w:id="136"/>
      <w:bookmarkEnd w:id="13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14"/>
          <w:rFonts w:ascii="宋体" w:hAnsi="宋体"/>
          <w:color w:val="auto"/>
          <w:sz w:val="24"/>
          <w:highlight w:val="none"/>
        </w:rPr>
        <w:footnoteReference w:id="0"/>
      </w:r>
      <w:r>
        <w:rPr>
          <w:rFonts w:hint="eastAsia" w:ascii="宋体" w:hAnsi="宋体"/>
          <w:color w:val="auto"/>
          <w:sz w:val="24"/>
          <w:highlight w:val="none"/>
        </w:rPr>
        <w:t>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color w:val="auto"/>
          <w:sz w:val="24"/>
          <w:szCs w:val="24"/>
          <w:highlight w:val="none"/>
        </w:rPr>
      </w:pPr>
      <w:bookmarkStart w:id="138" w:name="_Toc485889035"/>
      <w:bookmarkStart w:id="139" w:name="_Toc234382625"/>
      <w:bookmarkStart w:id="140" w:name="_Toc27685"/>
      <w:bookmarkStart w:id="141" w:name="_Toc486277896"/>
      <w:r>
        <w:rPr>
          <w:rFonts w:ascii="宋体" w:hAnsi="宋体"/>
          <w:color w:val="auto"/>
          <w:sz w:val="24"/>
          <w:szCs w:val="24"/>
          <w:highlight w:val="none"/>
        </w:rPr>
        <w:t>6. 评标</w:t>
      </w:r>
      <w:bookmarkEnd w:id="138"/>
      <w:bookmarkEnd w:id="139"/>
      <w:bookmarkEnd w:id="140"/>
      <w:bookmarkEnd w:id="141"/>
    </w:p>
    <w:p>
      <w:pPr>
        <w:pStyle w:val="4"/>
        <w:spacing w:before="0" w:after="0" w:line="400" w:lineRule="exact"/>
        <w:rPr>
          <w:rFonts w:ascii="宋体" w:hAnsi="宋体"/>
          <w:color w:val="auto"/>
          <w:sz w:val="24"/>
          <w:szCs w:val="24"/>
          <w:highlight w:val="none"/>
        </w:rPr>
      </w:pPr>
      <w:bookmarkStart w:id="142" w:name="_Toc234382626"/>
      <w:bookmarkStart w:id="143" w:name="_Toc486277897"/>
      <w:bookmarkStart w:id="144" w:name="_Toc17693"/>
      <w:bookmarkStart w:id="145" w:name="_Toc485889036"/>
      <w:r>
        <w:rPr>
          <w:rFonts w:ascii="宋体" w:hAnsi="宋体"/>
          <w:color w:val="auto"/>
          <w:sz w:val="24"/>
          <w:szCs w:val="24"/>
          <w:highlight w:val="none"/>
        </w:rPr>
        <w:t>6.1 评标委员会</w:t>
      </w:r>
      <w:bookmarkEnd w:id="142"/>
      <w:bookmarkEnd w:id="143"/>
      <w:bookmarkEnd w:id="144"/>
      <w:bookmarkEnd w:id="145"/>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4"/>
        <w:spacing w:beforeLines="50" w:after="0" w:line="400" w:lineRule="exact"/>
        <w:rPr>
          <w:rFonts w:ascii="宋体" w:hAnsi="宋体"/>
          <w:color w:val="auto"/>
          <w:sz w:val="24"/>
          <w:szCs w:val="24"/>
          <w:highlight w:val="none"/>
        </w:rPr>
      </w:pPr>
      <w:bookmarkStart w:id="146" w:name="_Toc486277898"/>
      <w:bookmarkStart w:id="147" w:name="_Toc5222"/>
      <w:bookmarkStart w:id="148" w:name="_Toc234382627"/>
      <w:bookmarkStart w:id="149" w:name="_Toc485889037"/>
      <w:r>
        <w:rPr>
          <w:rFonts w:ascii="宋体" w:hAnsi="宋体"/>
          <w:color w:val="auto"/>
          <w:sz w:val="24"/>
          <w:szCs w:val="24"/>
          <w:highlight w:val="none"/>
        </w:rPr>
        <w:t>6.2 评标原则</w:t>
      </w:r>
      <w:bookmarkEnd w:id="146"/>
      <w:bookmarkEnd w:id="147"/>
      <w:bookmarkEnd w:id="148"/>
      <w:bookmarkEnd w:id="149"/>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0" w:name="_Toc485889038"/>
      <w:bookmarkStart w:id="151" w:name="_Toc31911"/>
      <w:bookmarkStart w:id="152" w:name="_Toc234382628"/>
      <w:bookmarkStart w:id="153" w:name="_Toc486277899"/>
      <w:r>
        <w:rPr>
          <w:rFonts w:ascii="宋体" w:hAnsi="宋体"/>
          <w:color w:val="auto"/>
          <w:sz w:val="24"/>
          <w:szCs w:val="24"/>
          <w:highlight w:val="none"/>
        </w:rPr>
        <w:t>6.3 评标</w:t>
      </w:r>
      <w:bookmarkEnd w:id="150"/>
      <w:bookmarkEnd w:id="151"/>
      <w:bookmarkEnd w:id="152"/>
      <w:bookmarkEnd w:id="153"/>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color w:val="auto"/>
          <w:sz w:val="24"/>
          <w:szCs w:val="24"/>
          <w:highlight w:val="none"/>
        </w:rPr>
      </w:pPr>
      <w:bookmarkStart w:id="154" w:name="_Toc21378"/>
      <w:bookmarkStart w:id="155" w:name="_Toc485889039"/>
      <w:bookmarkStart w:id="156" w:name="_Toc234382629"/>
      <w:bookmarkStart w:id="157" w:name="_Toc486277900"/>
      <w:r>
        <w:rPr>
          <w:rFonts w:ascii="宋体" w:hAnsi="宋体"/>
          <w:color w:val="auto"/>
          <w:sz w:val="24"/>
          <w:szCs w:val="24"/>
          <w:highlight w:val="none"/>
        </w:rPr>
        <w:t>7. 合同授予</w:t>
      </w:r>
      <w:bookmarkEnd w:id="154"/>
      <w:bookmarkEnd w:id="155"/>
      <w:bookmarkEnd w:id="156"/>
      <w:bookmarkEnd w:id="157"/>
    </w:p>
    <w:p>
      <w:pPr>
        <w:pStyle w:val="4"/>
        <w:spacing w:before="0" w:after="0" w:line="400" w:lineRule="exact"/>
        <w:rPr>
          <w:rFonts w:ascii="宋体" w:hAnsi="宋体"/>
          <w:color w:val="auto"/>
          <w:sz w:val="24"/>
          <w:szCs w:val="24"/>
          <w:highlight w:val="none"/>
        </w:rPr>
      </w:pPr>
      <w:bookmarkStart w:id="158" w:name="_Toc485889040"/>
      <w:bookmarkStart w:id="159" w:name="_Toc10828"/>
      <w:bookmarkStart w:id="160" w:name="_Toc486277901"/>
      <w:bookmarkStart w:id="161" w:name="_Toc234382630"/>
      <w:r>
        <w:rPr>
          <w:rFonts w:ascii="宋体" w:hAnsi="宋体"/>
          <w:color w:val="auto"/>
          <w:sz w:val="24"/>
          <w:szCs w:val="24"/>
          <w:highlight w:val="none"/>
        </w:rPr>
        <w:t>7.1 定标方式</w:t>
      </w:r>
      <w:bookmarkEnd w:id="158"/>
      <w:bookmarkEnd w:id="159"/>
      <w:bookmarkEnd w:id="160"/>
      <w:bookmarkEnd w:id="161"/>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color w:val="auto"/>
          <w:sz w:val="24"/>
          <w:szCs w:val="24"/>
          <w:highlight w:val="none"/>
        </w:rPr>
      </w:pPr>
      <w:bookmarkStart w:id="162" w:name="_Toc485889041"/>
      <w:bookmarkStart w:id="163" w:name="_Toc234382631"/>
      <w:bookmarkStart w:id="164" w:name="_Toc13648"/>
      <w:bookmarkStart w:id="165" w:name="_Toc486277902"/>
      <w:r>
        <w:rPr>
          <w:rFonts w:ascii="宋体" w:hAnsi="宋体"/>
          <w:color w:val="auto"/>
          <w:sz w:val="24"/>
          <w:szCs w:val="24"/>
          <w:highlight w:val="none"/>
        </w:rPr>
        <w:t>7.2 中标通知</w:t>
      </w:r>
      <w:bookmarkEnd w:id="162"/>
      <w:bookmarkEnd w:id="163"/>
      <w:bookmarkEnd w:id="164"/>
      <w:bookmarkEnd w:id="165"/>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color w:val="auto"/>
          <w:sz w:val="24"/>
          <w:szCs w:val="24"/>
          <w:highlight w:val="none"/>
        </w:rPr>
      </w:pPr>
      <w:bookmarkStart w:id="166" w:name="_Toc486277903"/>
      <w:bookmarkStart w:id="167" w:name="_Toc485889042"/>
      <w:bookmarkStart w:id="168" w:name="_Toc16842"/>
      <w:bookmarkStart w:id="169" w:name="_Toc234382633"/>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6"/>
      <w:bookmarkEnd w:id="167"/>
      <w:bookmarkEnd w:id="168"/>
      <w:bookmarkEnd w:id="169"/>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autoSpaceDE w:val="0"/>
        <w:autoSpaceDN w:val="0"/>
        <w:jc w:val="left"/>
        <w:outlineLvl w:val="0"/>
        <w:rPr>
          <w:rFonts w:hint="eastAsia" w:ascii="宋体" w:hAnsi="宋体" w:eastAsia="宋体" w:cs="宋体"/>
          <w:b/>
          <w:sz w:val="24"/>
          <w:szCs w:val="22"/>
          <w:lang w:val="en-US" w:eastAsia="zh-CN"/>
        </w:rPr>
      </w:pPr>
      <w:bookmarkStart w:id="170" w:name="_Toc486277904"/>
      <w:bookmarkStart w:id="171" w:name="_Toc16570"/>
      <w:bookmarkStart w:id="172" w:name="_Toc234382634"/>
      <w:bookmarkStart w:id="173" w:name="_Toc485889043"/>
      <w:r>
        <w:rPr>
          <w:rFonts w:hint="eastAsia" w:ascii="宋体" w:hAnsi="宋体" w:eastAsia="宋体" w:cs="宋体"/>
          <w:b/>
          <w:sz w:val="24"/>
          <w:szCs w:val="22"/>
          <w:lang w:val="en-US" w:eastAsia="zh-CN"/>
        </w:rPr>
        <w:t>7.4履约保证金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7.4.1</w:t>
      </w:r>
      <w:r>
        <w:rPr>
          <w:rFonts w:hint="eastAsia" w:ascii="宋体" w:hAnsi="宋体" w:eastAsia="宋体" w:cs="Times New Roman"/>
          <w:color w:val="auto"/>
          <w:sz w:val="24"/>
          <w:highlight w:val="none"/>
        </w:rPr>
        <w:t xml:space="preserve">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1、以网银、银行转账支票、银行电汇方式提交。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2、现金支票和现金不得作为履约保证金提交方式。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3、中标人必须通过其公司账户按照规定的方式提交，其名称应与中标单位的名称一致。</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7.4.2</w:t>
      </w:r>
      <w:r>
        <w:rPr>
          <w:rFonts w:hint="eastAsia" w:ascii="宋体" w:hAnsi="宋体" w:eastAsia="宋体" w:cs="Times New Roman"/>
          <w:color w:val="auto"/>
          <w:sz w:val="24"/>
          <w:highlight w:val="none"/>
        </w:rPr>
        <w:t xml:space="preserve">履约保证金提交比例和数额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履约保证金数额不得超过中标合同金额的10%。</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7.4.3</w:t>
      </w:r>
      <w:r>
        <w:rPr>
          <w:rFonts w:hint="eastAsia" w:ascii="宋体" w:hAnsi="宋体" w:eastAsia="宋体" w:cs="Times New Roman"/>
          <w:color w:val="auto"/>
          <w:sz w:val="24"/>
          <w:highlight w:val="none"/>
        </w:rPr>
        <w:t xml:space="preserve"> 履约保证金的退还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1、项目完工后，由招标人出具《履约保证金退还通知单》，中心财务凭《履约保证金退还通知单》在五个工作日内退还履约保证金及银行同期活期存款利息至中标人账户。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2、中标人因发生质疑、投诉、举报或有关部门立案调查的，中心依据相关行政监督部门的意见暂停退还或没收其履约保证金，待行政监督部门对相关情况处置后，按照有关规定办理。 </w:t>
      </w: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hint="eastAsia" w:ascii="宋体" w:hAnsi="宋体"/>
                <w:sz w:val="24"/>
              </w:rPr>
            </w:pPr>
          </w:p>
        </w:tc>
        <w:tc>
          <w:tcPr>
            <w:tcW w:w="1440" w:type="dxa"/>
            <w:gridSpan w:val="2"/>
            <w:noWrap w:val="0"/>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noWrap w:val="0"/>
            <w:vAlign w:val="center"/>
          </w:tcPr>
          <w:p>
            <w:pPr>
              <w:rPr>
                <w:rFonts w:hint="eastAsia" w:ascii="宋体" w:hAnsi="宋体"/>
                <w:sz w:val="24"/>
              </w:rPr>
            </w:pPr>
          </w:p>
        </w:tc>
        <w:tc>
          <w:tcPr>
            <w:tcW w:w="722" w:type="dxa"/>
            <w:gridSpan w:val="2"/>
            <w:noWrap w:val="0"/>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8. 重新招标和不再招标</w:t>
      </w:r>
      <w:bookmarkEnd w:id="170"/>
      <w:bookmarkEnd w:id="171"/>
      <w:bookmarkEnd w:id="172"/>
      <w:bookmarkEnd w:id="173"/>
    </w:p>
    <w:p>
      <w:pPr>
        <w:pStyle w:val="4"/>
        <w:spacing w:before="0" w:after="0" w:line="400" w:lineRule="exact"/>
        <w:rPr>
          <w:rFonts w:ascii="宋体" w:hAnsi="宋体"/>
          <w:color w:val="auto"/>
          <w:sz w:val="24"/>
          <w:szCs w:val="24"/>
          <w:highlight w:val="none"/>
        </w:rPr>
      </w:pPr>
      <w:bookmarkStart w:id="174" w:name="_Toc485889044"/>
      <w:bookmarkStart w:id="175" w:name="_Toc486277905"/>
      <w:bookmarkStart w:id="176" w:name="_Toc234382635"/>
      <w:bookmarkStart w:id="177" w:name="_Toc4100"/>
      <w:r>
        <w:rPr>
          <w:rFonts w:ascii="宋体" w:hAnsi="宋体"/>
          <w:color w:val="auto"/>
          <w:sz w:val="24"/>
          <w:szCs w:val="24"/>
          <w:highlight w:val="none"/>
        </w:rPr>
        <w:t>8.1 重新招标</w:t>
      </w:r>
      <w:bookmarkEnd w:id="174"/>
      <w:bookmarkEnd w:id="175"/>
      <w:bookmarkEnd w:id="176"/>
      <w:bookmarkEnd w:id="177"/>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78" w:name="_Toc234382636"/>
      <w:bookmarkStart w:id="179" w:name="_Toc485889045"/>
      <w:bookmarkStart w:id="180" w:name="_Toc486277906"/>
      <w:bookmarkStart w:id="181" w:name="_Toc21063"/>
      <w:r>
        <w:rPr>
          <w:rFonts w:ascii="宋体" w:hAnsi="宋体"/>
          <w:color w:val="auto"/>
          <w:sz w:val="24"/>
          <w:szCs w:val="24"/>
          <w:highlight w:val="none"/>
        </w:rPr>
        <w:t>8.2 不再招标</w:t>
      </w:r>
      <w:bookmarkEnd w:id="178"/>
      <w:bookmarkEnd w:id="179"/>
      <w:bookmarkEnd w:id="180"/>
      <w:bookmarkEnd w:id="181"/>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82" w:name="_Toc485889046"/>
      <w:bookmarkStart w:id="183" w:name="_Toc32202"/>
      <w:bookmarkStart w:id="184" w:name="_Toc486277907"/>
      <w:bookmarkStart w:id="185" w:name="_Toc234382637"/>
      <w:r>
        <w:rPr>
          <w:rFonts w:ascii="宋体" w:hAnsi="宋体"/>
          <w:color w:val="auto"/>
          <w:sz w:val="24"/>
          <w:szCs w:val="24"/>
          <w:highlight w:val="none"/>
        </w:rPr>
        <w:t>9. 纪律和监督</w:t>
      </w:r>
      <w:bookmarkEnd w:id="182"/>
      <w:bookmarkEnd w:id="183"/>
      <w:bookmarkEnd w:id="184"/>
      <w:bookmarkEnd w:id="185"/>
    </w:p>
    <w:p>
      <w:pPr>
        <w:pStyle w:val="4"/>
        <w:spacing w:before="0" w:after="0" w:line="400" w:lineRule="exact"/>
        <w:rPr>
          <w:rFonts w:ascii="宋体" w:hAnsi="宋体"/>
          <w:color w:val="auto"/>
          <w:sz w:val="24"/>
          <w:szCs w:val="24"/>
          <w:highlight w:val="none"/>
        </w:rPr>
      </w:pPr>
      <w:bookmarkStart w:id="186" w:name="_Toc234382638"/>
      <w:bookmarkStart w:id="187" w:name="_Toc23625"/>
      <w:bookmarkStart w:id="188" w:name="_Toc485889047"/>
      <w:bookmarkStart w:id="189" w:name="_Toc486277908"/>
      <w:r>
        <w:rPr>
          <w:rFonts w:ascii="宋体" w:hAnsi="宋体"/>
          <w:color w:val="auto"/>
          <w:sz w:val="24"/>
          <w:szCs w:val="24"/>
          <w:highlight w:val="none"/>
        </w:rPr>
        <w:t>9.1 对招标人的纪律要求</w:t>
      </w:r>
      <w:bookmarkEnd w:id="186"/>
      <w:bookmarkEnd w:id="187"/>
      <w:bookmarkEnd w:id="188"/>
      <w:bookmarkEnd w:id="189"/>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90" w:name="_Toc486277909"/>
      <w:bookmarkStart w:id="191" w:name="_Toc485889048"/>
      <w:bookmarkStart w:id="192" w:name="_Toc234382639"/>
      <w:bookmarkStart w:id="193" w:name="_Toc13796"/>
      <w:r>
        <w:rPr>
          <w:rFonts w:ascii="宋体" w:hAnsi="宋体"/>
          <w:color w:val="auto"/>
          <w:sz w:val="24"/>
          <w:szCs w:val="24"/>
          <w:highlight w:val="none"/>
        </w:rPr>
        <w:t>9.2 对投标人的纪律要求</w:t>
      </w:r>
      <w:bookmarkEnd w:id="190"/>
      <w:bookmarkEnd w:id="191"/>
      <w:bookmarkEnd w:id="192"/>
      <w:bookmarkEnd w:id="193"/>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94" w:name="_Toc234382640"/>
      <w:bookmarkStart w:id="195" w:name="_Toc485889049"/>
      <w:bookmarkStart w:id="196" w:name="_Toc486277910"/>
      <w:bookmarkStart w:id="197" w:name="_Toc16702"/>
      <w:r>
        <w:rPr>
          <w:rFonts w:ascii="宋体" w:hAnsi="宋体"/>
          <w:color w:val="auto"/>
          <w:sz w:val="24"/>
          <w:szCs w:val="24"/>
          <w:highlight w:val="none"/>
        </w:rPr>
        <w:t>9.3 对评标委员会成员的纪律要求</w:t>
      </w:r>
      <w:bookmarkEnd w:id="194"/>
      <w:bookmarkEnd w:id="195"/>
      <w:bookmarkEnd w:id="196"/>
      <w:bookmarkEnd w:id="197"/>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98" w:name="_Toc234382641"/>
      <w:bookmarkStart w:id="199" w:name="_Toc486277911"/>
      <w:bookmarkStart w:id="200" w:name="_Toc485889050"/>
      <w:bookmarkStart w:id="201" w:name="_Toc12383"/>
      <w:r>
        <w:rPr>
          <w:rFonts w:ascii="宋体" w:hAnsi="宋体"/>
          <w:color w:val="auto"/>
          <w:sz w:val="24"/>
          <w:szCs w:val="24"/>
          <w:highlight w:val="none"/>
        </w:rPr>
        <w:t>9.4 对与评标活动有关的工作人员的纪律要求</w:t>
      </w:r>
      <w:bookmarkEnd w:id="198"/>
      <w:bookmarkEnd w:id="199"/>
      <w:bookmarkEnd w:id="200"/>
      <w:bookmarkEnd w:id="201"/>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202" w:name="_Toc234382642"/>
      <w:bookmarkStart w:id="203" w:name="_Toc485889051"/>
      <w:bookmarkStart w:id="204" w:name="_Toc486277912"/>
      <w:bookmarkStart w:id="205" w:name="_Toc25179"/>
      <w:r>
        <w:rPr>
          <w:rFonts w:ascii="宋体" w:hAnsi="宋体"/>
          <w:color w:val="auto"/>
          <w:sz w:val="24"/>
          <w:szCs w:val="24"/>
          <w:highlight w:val="none"/>
        </w:rPr>
        <w:t>9.5 投诉</w:t>
      </w:r>
      <w:bookmarkEnd w:id="202"/>
      <w:bookmarkEnd w:id="203"/>
      <w:bookmarkEnd w:id="204"/>
      <w:bookmarkEnd w:id="205"/>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pStyle w:val="4"/>
        <w:spacing w:beforeLines="150" w:after="480" w:line="400" w:lineRule="exact"/>
        <w:rPr>
          <w:rFonts w:ascii="宋体" w:hAnsi="宋体"/>
          <w:color w:val="auto"/>
          <w:sz w:val="24"/>
          <w:szCs w:val="24"/>
          <w:highlight w:val="none"/>
        </w:rPr>
      </w:pPr>
      <w:bookmarkStart w:id="206" w:name="_Toc486277913"/>
      <w:bookmarkStart w:id="207" w:name="_Toc30072"/>
      <w:bookmarkStart w:id="208" w:name="_Toc485889052"/>
      <w:bookmarkStart w:id="209" w:name="_Toc234382643"/>
      <w:r>
        <w:rPr>
          <w:rFonts w:ascii="宋体" w:hAnsi="宋体"/>
          <w:color w:val="auto"/>
          <w:sz w:val="24"/>
          <w:szCs w:val="24"/>
          <w:highlight w:val="none"/>
        </w:rPr>
        <w:t>10. 需要补充的其他内容</w:t>
      </w:r>
      <w:bookmarkEnd w:id="206"/>
      <w:bookmarkEnd w:id="207"/>
      <w:bookmarkEnd w:id="208"/>
      <w:bookmarkEnd w:id="209"/>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rPr>
          <w:rFonts w:ascii="宋体" w:hAnsi="宋体"/>
          <w:color w:val="auto"/>
          <w:sz w:val="24"/>
          <w:highlight w:val="none"/>
        </w:rPr>
      </w:pPr>
      <w:bookmarkStart w:id="210" w:name="_Toc234382644"/>
    </w:p>
    <w:bookmarkEnd w:id="210"/>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建安建工公字〔2019〕37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河街乡农村道路建设项目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玖万元整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90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3"/>
                <w:rFonts w:hint="eastAsia" w:ascii="仿宋_GB2312" w:hAnsi="宋体" w:eastAsia="仿宋_GB2312" w:cs="宋体"/>
                <w:sz w:val="24"/>
              </w:rPr>
              <w:t>http://221.14.6.70:8088/ggzy</w:t>
            </w:r>
            <w:r>
              <w:rPr>
                <w:rStyle w:val="1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ascii="黑体" w:eastAsia="黑体"/>
          <w:b/>
          <w:color w:val="auto"/>
          <w:sz w:val="24"/>
          <w:highlight w:val="none"/>
        </w:rPr>
      </w:pPr>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招标人或代理机构</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签收人签字：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发放人签字：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3、招标人或委托的代理机构和投标单位委托人双方对照目录核查后，由双方签字确认。</w:t>
      </w:r>
    </w:p>
    <w:p>
      <w:pPr>
        <w:pStyle w:val="4"/>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1" w:name="_Toc2916"/>
      <w:bookmarkStart w:id="212" w:name="_Toc485889053"/>
      <w:bookmarkStart w:id="213" w:name="_Toc486277914"/>
      <w:r>
        <w:rPr>
          <w:rFonts w:hint="eastAsia" w:ascii="新宋体" w:hAnsi="新宋体" w:eastAsia="新宋体"/>
          <w:b w:val="0"/>
          <w:bCs w:val="0"/>
          <w:color w:val="auto"/>
          <w:kern w:val="2"/>
          <w:sz w:val="21"/>
          <w:szCs w:val="21"/>
          <w:highlight w:val="none"/>
        </w:rPr>
        <w:t>4、评标委员会依法成立后，不再接受投标人任何材料。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1"/>
      <w:bookmarkEnd w:id="212"/>
      <w:bookmarkEnd w:id="213"/>
    </w:p>
    <w:p>
      <w:pPr>
        <w:rPr>
          <w:rFonts w:ascii="宋体" w:hAnsi="宋体"/>
          <w:color w:val="auto"/>
          <w:sz w:val="24"/>
          <w:highlight w:val="none"/>
        </w:rPr>
      </w:pPr>
    </w:p>
    <w:p>
      <w:pPr>
        <w:pStyle w:val="4"/>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4" w:name="_Toc485889054"/>
      <w:bookmarkStart w:id="215" w:name="_Toc234382645"/>
      <w:bookmarkStart w:id="216" w:name="_Toc486277915"/>
      <w:bookmarkStart w:id="217" w:name="_Toc15502"/>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4"/>
      <w:bookmarkEnd w:id="215"/>
      <w:bookmarkEnd w:id="216"/>
      <w:bookmarkEnd w:id="217"/>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0"/>
        <w:tblW w:w="90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8"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8"/>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19"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numPr>
          <w:ilvl w:val="0"/>
          <w:numId w:val="1"/>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0" w:name="_Toc28210"/>
      <w:r>
        <w:rPr>
          <w:rFonts w:ascii="黑体" w:eastAsia="黑体"/>
          <w:bCs/>
          <w:color w:val="auto"/>
          <w:sz w:val="44"/>
          <w:szCs w:val="44"/>
          <w:highlight w:val="none"/>
        </w:rPr>
        <w:t>评标办法</w:t>
      </w:r>
      <w:bookmarkEnd w:id="220"/>
    </w:p>
    <w:p>
      <w:pPr>
        <w:jc w:val="center"/>
        <w:outlineLvl w:val="0"/>
        <w:rPr>
          <w:rFonts w:ascii="宋体" w:hAnsi="宋体"/>
          <w:color w:val="auto"/>
          <w:sz w:val="44"/>
          <w:szCs w:val="44"/>
          <w:highlight w:val="none"/>
        </w:rPr>
      </w:pPr>
      <w:bookmarkStart w:id="221" w:name="_Toc28682"/>
      <w:r>
        <w:rPr>
          <w:rFonts w:hint="eastAsia" w:ascii="宋体" w:hAnsi="宋体"/>
          <w:color w:val="auto"/>
          <w:sz w:val="44"/>
          <w:szCs w:val="44"/>
          <w:highlight w:val="none"/>
        </w:rPr>
        <w:t>评标办法(技术评分最低标价法)</w:t>
      </w:r>
      <w:bookmarkEnd w:id="221"/>
    </w:p>
    <w:p>
      <w:pPr>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w:t>
      </w:r>
    </w:p>
    <w:p>
      <w:pPr>
        <w:ind w:firstLine="480" w:firstLineChars="200"/>
        <w:rPr>
          <w:rFonts w:ascii="宋体" w:hAnsi="宋体"/>
          <w:color w:val="auto"/>
          <w:sz w:val="30"/>
          <w:szCs w:val="30"/>
          <w:highlight w:val="none"/>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hint="eastAsia"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评标办法前附表</w:t>
      </w:r>
    </w:p>
    <w:tbl>
      <w:tblPr>
        <w:tblStyle w:val="10"/>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工程量固化清单电子文件中的数据、格式和运算定义进行修改。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(5)投标文件正、副本份数符合招标文件第二章“投标人须知”第</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w:t>
            </w:r>
          </w:p>
          <w:p>
            <w:pPr>
              <w:jc w:val="center"/>
              <w:rPr>
                <w:rFonts w:ascii="宋体" w:hAnsi="宋体"/>
                <w:color w:val="auto"/>
                <w:szCs w:val="21"/>
                <w:highlight w:val="none"/>
              </w:rPr>
            </w:pPr>
            <w:r>
              <w:rPr>
                <w:rFonts w:hint="eastAsia" w:ascii="宋体" w:hAnsi="宋体"/>
                <w:color w:val="auto"/>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1、投标人应按以下要点编制施工组织设计（文字宜精炼、内容具有针对性，总体控制在30000字以内）；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（1）总体施工组织布置及规划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（2）主要工程项目的施工方案、方法与技术措施（尤其对重点、关键和难点工程的施工方案、方法及其措施）                  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（3）工期的保证体系及保证措施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（4）工程质量管理体系及保证措施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（5）安全生产管理体系及保证措施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（6）环境保护、水土保持保证体系及保证措施</w:t>
            </w:r>
            <w:r>
              <w:rPr>
                <w:rFonts w:hint="eastAsia" w:ascii="宋体" w:hAnsi="宋体"/>
                <w:b/>
                <w:bCs/>
                <w:color w:val="auto"/>
                <w:szCs w:val="21"/>
                <w:highlight w:val="none"/>
              </w:rPr>
              <w:t xml:space="preserve">（含扬尘治理措施）                                                                  </w:t>
            </w:r>
          </w:p>
          <w:p>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（7）文明施工、文物保护保证体系及保证措施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（8）项目风险预测与防范，事故应急预案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施工组织设计除采用文字表述外可附下列图表，图表及格式要求附后。</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附表一  施工总体计划表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附表二  分项工程进度率计划（斜率图）       0-</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分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附表三  工程管理曲线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附表四  分项工程生产率和施工周期表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附表五  施工总平面图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附表六  劳动力计划表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附表七  临时用地计划表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val="en-US" w:eastAsia="zh-CN"/>
              </w:rPr>
              <w:t xml:space="preserve">                                                                                                                                                          </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附表八  外供电力需求计划表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附表九  合同用款估算表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项目管理机构（0-</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380" w:type="dxa"/>
            <w:tcBorders>
              <w:top w:val="single" w:color="auto" w:sz="4" w:space="0"/>
              <w:left w:val="single" w:color="auto" w:sz="4" w:space="0"/>
            </w:tcBorders>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拟派项目技术负责人中级者得</w:t>
            </w:r>
            <w:r>
              <w:rPr>
                <w:rFonts w:hint="eastAsia" w:ascii="宋体" w:hAnsi="宋体"/>
                <w:color w:val="auto"/>
                <w:szCs w:val="21"/>
                <w:highlight w:val="none"/>
                <w:lang w:val="en-US" w:eastAsia="zh-CN"/>
              </w:rPr>
              <w:t>5</w:t>
            </w:r>
            <w:r>
              <w:rPr>
                <w:rFonts w:hint="eastAsia" w:ascii="宋体" w:hAnsi="宋体"/>
                <w:color w:val="auto"/>
                <w:szCs w:val="21"/>
                <w:highlight w:val="none"/>
              </w:rPr>
              <w:t>分，高级者得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拟派项目班子中施工员、质量员、安全员、材料员、资料员证件齐全者得</w:t>
            </w:r>
            <w:r>
              <w:rPr>
                <w:rFonts w:hint="eastAsia" w:ascii="宋体" w:hAnsi="宋体"/>
                <w:color w:val="auto"/>
                <w:szCs w:val="21"/>
                <w:highlight w:val="none"/>
                <w:lang w:val="en-US" w:eastAsia="zh-CN"/>
              </w:rPr>
              <w:t>10</w:t>
            </w:r>
            <w:r>
              <w:rPr>
                <w:rFonts w:hint="eastAsia" w:ascii="宋体" w:hAnsi="宋体"/>
                <w:color w:val="auto"/>
                <w:szCs w:val="21"/>
                <w:highlight w:val="none"/>
              </w:rPr>
              <w:t>分，缺一项不得分。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企业近年来承建过类似项目者每项得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adjustRightInd w:val="0"/>
              <w:snapToGrid w:val="0"/>
              <w:spacing w:line="480" w:lineRule="exact"/>
              <w:ind w:firstLine="480"/>
              <w:rPr>
                <w:rFonts w:ascii="宋体" w:hAnsi="宋体"/>
                <w:b/>
                <w:bCs/>
                <w:color w:val="auto"/>
                <w:szCs w:val="21"/>
                <w:highlight w:val="none"/>
              </w:rPr>
            </w:pPr>
            <w:r>
              <w:rPr>
                <w:rFonts w:hint="eastAsia" w:ascii="宋体" w:hAnsi="宋体"/>
                <w:color w:val="auto"/>
                <w:szCs w:val="21"/>
                <w:highlight w:val="none"/>
              </w:rPr>
              <w:t>近年来拟派建造师承建过类似项目者每项得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2"/>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业绩合同以合同签订日期为准，获奖证书以发证日期为准，企业业绩和项目经理业绩不重复计分；</w:t>
            </w:r>
          </w:p>
          <w:p>
            <w:pPr>
              <w:numPr>
                <w:ilvl w:val="0"/>
                <w:numId w:val="0"/>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履约信誉（0-10分）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1、企业信用（4分）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eastAsia="宋体" w:cs="Times New Roman"/>
                <w:color w:val="auto"/>
                <w:kern w:val="2"/>
                <w:sz w:val="21"/>
                <w:szCs w:val="21"/>
                <w:highlight w:val="none"/>
                <w:lang w:val="en-US" w:eastAsia="zh-CN" w:bidi="ar-SA"/>
              </w:rPr>
              <w:pict>
                <v:shape id="_x0000_i1025" o:spt="75" type="#_x0000_t75" style="height:11.25pt;width:1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rPr>
              <w:t>2</w:t>
            </w:r>
            <w:r>
              <w:rPr>
                <w:rFonts w:ascii="宋体" w:hAnsi="宋体"/>
                <w:color w:val="auto"/>
                <w:szCs w:val="21"/>
                <w:highlight w:val="none"/>
              </w:rPr>
              <w:t>分，最多得</w:t>
            </w:r>
            <w:r>
              <w:rPr>
                <w:rFonts w:hint="eastAsia" w:ascii="宋体" w:hAnsi="宋体"/>
                <w:color w:val="auto"/>
                <w:szCs w:val="21"/>
                <w:highlight w:val="none"/>
              </w:rPr>
              <w:t>4</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2、服务承诺（含扬尘治理等内容）（6分）</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ascii="宋体" w:hAnsi="宋体"/>
                <w:color w:val="auto"/>
                <w:szCs w:val="21"/>
                <w:highlight w:val="none"/>
              </w:rPr>
            </w:pPr>
            <w:r>
              <w:rPr>
                <w:rFonts w:hint="eastAsia" w:ascii="宋体" w:hAnsi="宋体"/>
                <w:color w:val="auto"/>
                <w:szCs w:val="21"/>
                <w:highlight w:val="none"/>
              </w:rPr>
              <w:t>3、招标人按照第二章“投标人须知”第5.2.4-5.2.6项的规定对投标文件第一信封（商务及技术文件）评审得分前</w:t>
            </w:r>
            <w:r>
              <w:rPr>
                <w:rFonts w:hint="eastAsia" w:ascii="宋体" w:hAnsi="宋体"/>
                <w:color w:val="auto"/>
                <w:szCs w:val="21"/>
                <w:highlight w:val="none"/>
                <w:u w:val="single"/>
              </w:rPr>
              <w:t xml:space="preserve"> 3 </w:t>
            </w:r>
            <w:r>
              <w:rPr>
                <w:rFonts w:hint="eastAsia" w:ascii="宋体" w:hAnsi="宋体"/>
                <w:color w:val="auto"/>
                <w:szCs w:val="21"/>
                <w:highlight w:val="none"/>
              </w:rPr>
              <w:t>名的投标文件第二个信封（投标文件）进行开启。</w:t>
            </w:r>
          </w:p>
          <w:p>
            <w:pPr>
              <w:spacing w:line="340" w:lineRule="exact"/>
              <w:rPr>
                <w:rFonts w:ascii="宋体" w:hAnsi="宋体"/>
                <w:color w:val="auto"/>
                <w:szCs w:val="21"/>
                <w:highlight w:val="none"/>
              </w:rPr>
            </w:pPr>
            <w:r>
              <w:rPr>
                <w:rFonts w:hint="eastAsia" w:ascii="宋体" w:hAnsi="宋体"/>
                <w:color w:val="auto"/>
                <w:szCs w:val="21"/>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color w:val="auto"/>
                <w:szCs w:val="21"/>
                <w:highlight w:val="none"/>
              </w:rPr>
            </w:pPr>
            <w:r>
              <w:rPr>
                <w:rFonts w:hint="eastAsia" w:ascii="宋体" w:hAnsi="宋体"/>
                <w:b/>
                <w:color w:val="auto"/>
                <w:szCs w:val="21"/>
                <w:highlight w:val="none"/>
              </w:rPr>
              <w:t>5、本评分标准中所要求提供的各种证明材料，投标文件中须提供复印件，且在评标时按要求提供与复印件一致的原件，否则不得分。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color w:val="auto"/>
          <w:sz w:val="24"/>
          <w:highlight w:val="none"/>
        </w:rPr>
      </w:pP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履约信誉评审标准：见评标办法前附表。 </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340" w:lineRule="exact"/>
        <w:rPr>
          <w:rFonts w:ascii="宋体" w:hAnsi="宋体"/>
          <w:color w:val="auto"/>
          <w:sz w:val="24"/>
          <w:highlight w:val="none"/>
        </w:rPr>
      </w:pPr>
      <w:r>
        <w:rPr>
          <w:rFonts w:hint="eastAsia" w:ascii="宋体" w:hAnsi="宋体"/>
          <w:color w:val="auto"/>
          <w:sz w:val="24"/>
          <w:highlight w:val="none"/>
        </w:rPr>
        <w:t xml:space="preserve">   3.4.1评标委员会按照通过投标文件第一信封（商务及技术文件）评审的前三名投标报价由低到高的顺序推荐中标候选人。 </w:t>
      </w:r>
    </w:p>
    <w:p>
      <w:pPr>
        <w:spacing w:line="500" w:lineRule="exact"/>
        <w:rPr>
          <w:rFonts w:ascii="宋体" w:hAnsi="宋体"/>
          <w:color w:val="auto"/>
          <w:sz w:val="24"/>
          <w:highlight w:val="none"/>
        </w:rPr>
      </w:pPr>
      <w:r>
        <w:rPr>
          <w:rFonts w:hint="eastAsia" w:ascii="宋体" w:hAnsi="宋体"/>
          <w:color w:val="auto"/>
          <w:sz w:val="24"/>
          <w:highlight w:val="none"/>
        </w:rPr>
        <w:t xml:space="preserve">   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hint="eastAsia" w:ascii="宋体" w:hAnsi="宋体"/>
          <w:b/>
          <w:bCs/>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center"/>
        <w:rPr>
          <w:b/>
          <w:bCs/>
          <w:color w:val="auto"/>
          <w:sz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bookmarkStart w:id="222" w:name="_Toc13221"/>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ascii="黑体" w:eastAsia="黑体"/>
          <w:color w:val="auto"/>
          <w:sz w:val="44"/>
          <w:szCs w:val="44"/>
          <w:highlight w:val="none"/>
        </w:rPr>
      </w:pPr>
      <w:r>
        <w:rPr>
          <w:rFonts w:hint="eastAsia" w:ascii="黑体" w:eastAsia="黑体"/>
          <w:color w:val="auto"/>
          <w:sz w:val="44"/>
          <w:szCs w:val="44"/>
          <w:highlight w:val="none"/>
        </w:rPr>
        <w:t>第四章 合同条款及格式</w:t>
      </w:r>
      <w:bookmarkEnd w:id="222"/>
    </w:p>
    <w:p>
      <w:pPr>
        <w:adjustRightInd w:val="0"/>
        <w:snapToGrid w:val="0"/>
        <w:spacing w:line="360" w:lineRule="auto"/>
        <w:jc w:val="center"/>
        <w:outlineLvl w:val="0"/>
        <w:rPr>
          <w:rFonts w:ascii="黑体" w:eastAsia="黑体"/>
          <w:bCs/>
          <w:color w:val="auto"/>
          <w:sz w:val="36"/>
          <w:szCs w:val="36"/>
          <w:highlight w:val="none"/>
        </w:rPr>
      </w:pPr>
      <w:bookmarkStart w:id="223" w:name="_Toc9501"/>
      <w:r>
        <w:rPr>
          <w:rFonts w:hint="eastAsia" w:ascii="黑体" w:eastAsia="黑体"/>
          <w:bCs/>
          <w:color w:val="auto"/>
          <w:sz w:val="36"/>
          <w:szCs w:val="36"/>
          <w:highlight w:val="none"/>
        </w:rPr>
        <w:t>第一节 通用合同条款</w:t>
      </w:r>
      <w:bookmarkEnd w:id="223"/>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widowControl/>
        <w:jc w:val="left"/>
      </w:pPr>
      <w:r>
        <w:rPr>
          <w:rFonts w:ascii="宋体" w:hAnsi="宋体" w:eastAsia="宋体" w:cs="宋体"/>
          <w:kern w:val="0"/>
          <w:sz w:val="24"/>
          <w:szCs w:val="24"/>
          <w:lang w:val="en-US" w:eastAsia="zh-CN"/>
        </w:rPr>
        <w:pict>
          <v:shape id="_x0000_i1026" o:spt="75" type="#_x0000_t75" style="height:24pt;width:24pt;" fillcolor="#FFFFFF" filled="f" o:preferrelative="t" stroked="f" coordsize="21600,21600">
            <v:path/>
            <v:fill on="f" color2="#FFFFFF" focussize="0,0"/>
            <v:stroke on="f"/>
            <v:imagedata gain="65536f" blacklevel="0f" gamma="0" o:title=""/>
            <o:lock v:ext="edit" position="f" selection="f" grouping="f" rotation="f" cropping="f" text="f" aspectratio="t"/>
            <w10:wrap type="none"/>
            <w10:anchorlock/>
          </v:shape>
        </w:pic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4"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hAnsi="Times New Roman" w:eastAsia="黑体" w:cs="Times New Roman"/>
          <w:color w:val="auto"/>
          <w:kern w:val="2"/>
          <w:position w:val="-34"/>
          <w:sz w:val="40"/>
          <w:szCs w:val="24"/>
          <w:highlight w:val="none"/>
          <w:lang w:val="en-US" w:eastAsia="zh-CN" w:bidi="ar-SA"/>
        </w:rPr>
        <w:object>
          <v:shape id="_x0000_i1027" o:spt="75" type="#_x0000_t75" style="height:40.1pt;width:277.8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s" ShapeID="_x0000_i1027" DrawAspect="Content" ObjectID="_1468075725" r:id="rId10">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10 </w:t>
      </w:r>
      <w:r>
        <w:rPr>
          <w:color w:val="auto"/>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10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line="360" w:lineRule="auto"/>
        <w:ind w:firstLine="480" w:firstLineChars="200"/>
        <w:rPr>
          <w:color w:val="auto"/>
          <w:sz w:val="24"/>
          <w:highlight w:val="none"/>
        </w:rPr>
      </w:pP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hint="eastAsia" w:ascii="黑体" w:eastAsia="黑体"/>
          <w:bCs/>
          <w:color w:val="auto"/>
          <w:sz w:val="36"/>
          <w:szCs w:val="36"/>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ind w:firstLine="480" w:firstLineChars="200"/>
        <w:rPr>
          <w:rFonts w:ascii="宋体" w:hAnsi="宋体"/>
          <w:color w:val="auto"/>
          <w:sz w:val="24"/>
          <w:highlight w:val="none"/>
        </w:rPr>
      </w:pPr>
      <w:r>
        <w:rPr>
          <w:rFonts w:hint="eastAsia"/>
          <w:color w:val="auto"/>
          <w:sz w:val="24"/>
          <w:highlight w:val="none"/>
        </w:rPr>
        <w:t>1.1 项目清单单价杜绝不平衡报价。</w:t>
      </w:r>
      <w:r>
        <w:rPr>
          <w:rFonts w:hint="eastAsia" w:ascii="宋体" w:hAnsi="宋体"/>
          <w:color w:val="auto"/>
          <w:sz w:val="24"/>
          <w:highlight w:val="none"/>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1.2施工过程中，对于施工质量差、进度严重滞后的施工单位，发包人可以将其驱逐出场，或者强行分割其承包工程。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1.3本工程质量目标要求竣工为</w:t>
      </w:r>
      <w:r>
        <w:rPr>
          <w:rFonts w:hint="eastAsia" w:ascii="宋体" w:hAnsi="宋体"/>
          <w:color w:val="auto"/>
          <w:sz w:val="24"/>
          <w:highlight w:val="none"/>
          <w:lang w:eastAsia="zh-CN"/>
        </w:rPr>
        <w:t>合格工程</w:t>
      </w:r>
      <w:r>
        <w:rPr>
          <w:rFonts w:hint="eastAsia" w:ascii="宋体" w:hAnsi="宋体"/>
          <w:color w:val="auto"/>
          <w:sz w:val="24"/>
          <w:highlight w:val="none"/>
        </w:rPr>
        <w:t>，</w:t>
      </w:r>
      <w:r>
        <w:rPr>
          <w:rFonts w:hint="eastAsia" w:ascii="宋体" w:hAnsi="宋体"/>
          <w:color w:val="auto"/>
          <w:sz w:val="24"/>
          <w:highlight w:val="none"/>
          <w:lang w:eastAsia="zh-CN"/>
        </w:rPr>
        <w:t>经验收标段工程不合格的</w:t>
      </w:r>
      <w:r>
        <w:rPr>
          <w:rFonts w:hint="eastAsia" w:ascii="宋体" w:hAnsi="宋体"/>
          <w:color w:val="auto"/>
          <w:sz w:val="24"/>
          <w:highlight w:val="none"/>
        </w:rPr>
        <w:t>质量保证金不予支付，同时在许昌交通建设市场给予通报批评，并上报省</w:t>
      </w:r>
      <w:r>
        <w:rPr>
          <w:rFonts w:ascii="宋体" w:hAnsi="宋体"/>
          <w:color w:val="auto"/>
          <w:sz w:val="24"/>
          <w:highlight w:val="none"/>
        </w:rPr>
        <w:t>交通运输</w:t>
      </w:r>
      <w:r>
        <w:rPr>
          <w:rFonts w:hint="eastAsia" w:ascii="宋体" w:hAnsi="宋体"/>
          <w:color w:val="auto"/>
          <w:sz w:val="24"/>
          <w:highlight w:val="none"/>
        </w:rPr>
        <w:t>厅</w:t>
      </w:r>
      <w:r>
        <w:rPr>
          <w:rFonts w:ascii="宋体" w:hAnsi="宋体"/>
          <w:color w:val="auto"/>
          <w:sz w:val="24"/>
          <w:highlight w:val="none"/>
        </w:rPr>
        <w:t>建议降低</w:t>
      </w:r>
      <w:r>
        <w:rPr>
          <w:rFonts w:hint="eastAsia" w:ascii="宋体" w:hAnsi="宋体"/>
          <w:color w:val="auto"/>
          <w:sz w:val="24"/>
          <w:highlight w:val="none"/>
        </w:rPr>
        <w:t>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因本项目要求工期短，合同期内不调价</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3、双方承担比例：材料价格涨（降）幅度超过10％的部分，由承包人和业主进行协商解决。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4、因施工单位原因造成工期延误的，在延误期间价格变化引起的增加费用由施工单位承担。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both"/>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rPr>
          <w:color w:val="auto"/>
          <w:sz w:val="24"/>
          <w:highlight w:val="none"/>
        </w:rPr>
      </w:pPr>
      <w:r>
        <w:rPr>
          <w:rFonts w:hint="eastAsia"/>
          <w:color w:val="auto"/>
          <w:sz w:val="24"/>
          <w:highlight w:val="none"/>
        </w:rPr>
        <w:t>说明：本数据表是项目专用合同条款中适用于本项目的信息和数据的归纳与提</w:t>
      </w:r>
    </w:p>
    <w:p>
      <w:pPr>
        <w:adjustRightInd w:val="0"/>
        <w:snapToGrid w:val="0"/>
        <w:spacing w:line="360" w:lineRule="auto"/>
        <w:ind w:firstLine="811" w:firstLineChars="338"/>
        <w:rPr>
          <w:color w:val="auto"/>
          <w:sz w:val="24"/>
          <w:highlight w:val="none"/>
        </w:rPr>
      </w:pPr>
      <w:r>
        <w:rPr>
          <w:rFonts w:hint="eastAsia"/>
          <w:color w:val="auto"/>
          <w:sz w:val="24"/>
          <w:highlight w:val="none"/>
        </w:rPr>
        <w:t>示，是项目专用合同条款的组成部分。第三卷投标函附录中的数据（供</w:t>
      </w:r>
    </w:p>
    <w:p>
      <w:pPr>
        <w:adjustRightInd w:val="0"/>
        <w:snapToGrid w:val="0"/>
        <w:spacing w:line="360" w:lineRule="auto"/>
        <w:ind w:firstLine="811" w:firstLineChars="338"/>
        <w:rPr>
          <w:color w:val="auto"/>
          <w:sz w:val="24"/>
          <w:highlight w:val="none"/>
        </w:rPr>
      </w:pPr>
      <w:r>
        <w:rPr>
          <w:rFonts w:hint="eastAsia"/>
          <w:color w:val="auto"/>
          <w:sz w:val="24"/>
          <w:highlight w:val="none"/>
        </w:rPr>
        <w:t>投标人确认）与本表所列有重复。编写招标文件的单位应仔细校核，不</w:t>
      </w:r>
    </w:p>
    <w:p>
      <w:pPr>
        <w:adjustRightInd w:val="0"/>
        <w:snapToGrid w:val="0"/>
        <w:spacing w:line="360" w:lineRule="auto"/>
        <w:ind w:firstLine="811" w:firstLineChars="338"/>
        <w:rPr>
          <w:color w:val="auto"/>
          <w:sz w:val="24"/>
          <w:highlight w:val="none"/>
        </w:rPr>
      </w:pPr>
      <w:r>
        <w:rPr>
          <w:rFonts w:hint="eastAsia"/>
          <w:color w:val="auto"/>
          <w:sz w:val="24"/>
          <w:highlight w:val="none"/>
        </w:rPr>
        <w:t>使数据出现差错或不一致。</w:t>
      </w:r>
    </w:p>
    <w:tbl>
      <w:tblPr>
        <w:tblStyle w:val="10"/>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发包人：</w:t>
            </w:r>
            <w:r>
              <w:rPr>
                <w:rFonts w:hint="eastAsia" w:hAnsi="宋体" w:cs="宋体"/>
                <w:sz w:val="24"/>
                <w:szCs w:val="24"/>
                <w:lang w:val="zh-CN"/>
              </w:rPr>
              <w:t>许昌市建安区交通运输局</w:t>
            </w:r>
          </w:p>
          <w:p>
            <w:pPr>
              <w:adjustRightInd w:val="0"/>
              <w:snapToGrid w:val="0"/>
              <w:spacing w:line="312" w:lineRule="auto"/>
              <w:rPr>
                <w:color w:val="auto"/>
                <w:sz w:val="24"/>
                <w:highlight w:val="none"/>
              </w:rPr>
            </w:pPr>
            <w:r>
              <w:rPr>
                <w:rFonts w:hint="eastAsia"/>
                <w:color w:val="auto"/>
                <w:sz w:val="24"/>
                <w:highlight w:val="none"/>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vAlign w:val="top"/>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vAlign w:val="top"/>
          </w:tcPr>
          <w:p>
            <w:pPr>
              <w:widowControl/>
              <w:spacing w:line="240" w:lineRule="atLeast"/>
              <w:rPr>
                <w:rFonts w:ascii="宋体" w:hAnsi="宋体" w:cs="宋体"/>
                <w:color w:val="auto"/>
                <w:kern w:val="0"/>
                <w:sz w:val="24"/>
                <w:highlight w:val="none"/>
              </w:rPr>
            </w:pPr>
            <w:r>
              <w:rPr>
                <w:rFonts w:hint="eastAsia"/>
                <w:color w:val="auto"/>
                <w:sz w:val="22"/>
                <w:highlight w:val="none"/>
              </w:rPr>
              <w:t>履约担保金额：</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10</w:t>
            </w:r>
            <w:r>
              <w:rPr>
                <w:rFonts w:ascii="宋体" w:hAnsi="宋体" w:cs="宋体"/>
                <w:color w:val="auto"/>
                <w:kern w:val="0"/>
                <w:sz w:val="24"/>
                <w:highlight w:val="none"/>
              </w:rPr>
              <w:t xml:space="preserve">% </w:t>
            </w:r>
          </w:p>
          <w:p>
            <w:pPr>
              <w:adjustRightInd w:val="0"/>
              <w:snapToGrid w:val="0"/>
              <w:spacing w:line="312" w:lineRule="auto"/>
              <w:rPr>
                <w:color w:val="auto"/>
                <w:sz w:val="22"/>
                <w:highlight w:val="none"/>
              </w:rPr>
            </w:pPr>
            <w:r>
              <w:rPr>
                <w:rFonts w:hint="eastAsia"/>
                <w:color w:val="auto"/>
                <w:sz w:val="22"/>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2"/>
                <w:highlight w:val="none"/>
              </w:rPr>
              <w:t>履约担保形式：</w:t>
            </w:r>
            <w:r>
              <w:rPr>
                <w:rFonts w:hint="eastAsia" w:ascii="宋体" w:hAnsi="宋体" w:cs="宋体"/>
                <w:color w:val="auto"/>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vAlign w:val="top"/>
          </w:tcPr>
          <w:p>
            <w:pPr>
              <w:adjustRightInd w:val="0"/>
              <w:snapToGrid w:val="0"/>
              <w:spacing w:line="312" w:lineRule="auto"/>
              <w:rPr>
                <w:color w:val="auto"/>
                <w:sz w:val="24"/>
                <w:highlight w:val="none"/>
              </w:rPr>
            </w:pPr>
            <w:r>
              <w:rPr>
                <w:rFonts w:hint="eastAsia"/>
                <w:color w:val="auto"/>
                <w:sz w:val="22"/>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4"/>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4"/>
                <w:color w:val="auto"/>
                <w:sz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vAlign w:val="top"/>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诉讼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single"/>
              </w:rPr>
              <w:t xml:space="preserve">：  许昌市中级人民法院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hAnsi="Times New Roman" w:eastAsia="黑体" w:cs="Times New Roman"/>
          <w:color w:val="auto"/>
          <w:kern w:val="2"/>
          <w:position w:val="-10"/>
          <w:sz w:val="24"/>
          <w:szCs w:val="24"/>
          <w:highlight w:val="none"/>
          <w:lang w:val="en-US" w:eastAsia="zh-CN" w:bidi="ar-SA"/>
        </w:rPr>
        <w:object>
          <v:shape id="_x0000_i1028" o:spt="75" type="#_x0000_t75" style="height:17pt;width:8.85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quations" ShapeID="_x0000_i1028" DrawAspect="Content" ObjectID="_1468075726" r:id="rId12">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p>
      <w:pPr>
        <w:pStyle w:val="15"/>
        <w:snapToGrid w:val="0"/>
        <w:spacing w:line="300" w:lineRule="auto"/>
        <w:rPr>
          <w:b/>
          <w:bCs/>
          <w:color w:val="auto"/>
          <w:sz w:val="44"/>
          <w:highlight w:val="none"/>
        </w:rPr>
      </w:pPr>
    </w:p>
    <w:bookmarkEnd w:id="224"/>
    <w:p>
      <w:pPr>
        <w:pStyle w:val="15"/>
        <w:snapToGrid w:val="0"/>
        <w:spacing w:line="300" w:lineRule="auto"/>
        <w:rPr>
          <w:b/>
          <w:bCs/>
          <w:color w:val="auto"/>
          <w:sz w:val="44"/>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24"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24"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43"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pStyle w:val="4"/>
        <w:spacing w:after="600" w:line="240" w:lineRule="auto"/>
        <w:jc w:val="center"/>
        <w:rPr>
          <w:b w:val="0"/>
          <w:sz w:val="28"/>
          <w:szCs w:val="28"/>
        </w:rPr>
      </w:pPr>
      <w:bookmarkStart w:id="225" w:name="_Toc237866020"/>
      <w:bookmarkStart w:id="226" w:name="_Toc483496978"/>
      <w:r>
        <w:rPr>
          <w:rFonts w:hint="eastAsia" w:ascii="黑体" w:eastAsia="黑体"/>
          <w:sz w:val="28"/>
          <w:szCs w:val="28"/>
          <w:lang w:eastAsia="zh-CN"/>
        </w:rPr>
        <w:t>第五章、</w:t>
      </w:r>
      <w:r>
        <w:rPr>
          <w:rFonts w:ascii="黑体" w:eastAsia="黑体"/>
          <w:sz w:val="28"/>
          <w:szCs w:val="28"/>
        </w:rPr>
        <w:t>工程量清单说明</w:t>
      </w:r>
      <w:bookmarkEnd w:id="225"/>
      <w:bookmarkEnd w:id="226"/>
    </w:p>
    <w:p>
      <w:pPr>
        <w:spacing w:line="400" w:lineRule="exact"/>
        <w:ind w:firstLine="480" w:firstLineChars="200"/>
        <w:rPr>
          <w:sz w:val="24"/>
        </w:rPr>
      </w:pPr>
      <w:bookmarkStart w:id="227" w:name="_Hlt236721459"/>
      <w:bookmarkEnd w:id="227"/>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编制说明：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施工图设计</w:t>
      </w:r>
      <w:r>
        <w:rPr>
          <w:rFonts w:hint="eastAsia" w:ascii="Times New Roman" w:hAnsi="Times New Roman" w:eastAsia="宋体" w:cs="Times New Roman"/>
          <w:sz w:val="24"/>
        </w:rPr>
        <w:t>；</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交通部颁发的《公路工程预算定额》</w:t>
      </w:r>
      <w:r>
        <w:rPr>
          <w:rFonts w:hint="eastAsia" w:ascii="Times New Roman" w:hAnsi="Times New Roman" w:eastAsia="宋体" w:cs="Times New Roman"/>
          <w:sz w:val="24"/>
          <w:lang w:val="en-US" w:eastAsia="zh-CN"/>
        </w:rPr>
        <w:t>(JTC/TB06-02-2007)及《公路工程机械台班费用定额》(JTC/TB06-02-2007)</w:t>
      </w:r>
      <w:r>
        <w:rPr>
          <w:rFonts w:hint="eastAsia" w:ascii="Times New Roman" w:hAnsi="Times New Roman" w:eastAsia="宋体" w:cs="Times New Roman"/>
          <w:sz w:val="24"/>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3.</w:t>
      </w:r>
      <w:r>
        <w:rPr>
          <w:rFonts w:hint="eastAsia" w:ascii="Times New Roman" w:hAnsi="Times New Roman" w:eastAsia="宋体" w:cs="Times New Roman"/>
          <w:sz w:val="24"/>
          <w:lang w:val="en-US" w:eastAsia="zh-CN"/>
        </w:rPr>
        <w:t>税金按豫建设标【2018】22号《河南省住房和城乡建设厅关于调整建设工程计价依据增值税税率的通知》计入</w:t>
      </w:r>
      <w:r>
        <w:rPr>
          <w:rFonts w:hint="eastAsia" w:ascii="Times New Roman" w:hAnsi="Times New Roman" w:eastAsia="宋体" w:cs="Times New Roman"/>
          <w:sz w:val="24"/>
          <w:lang w:val="en-US"/>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4.主要材料价格参考《许昌信息价》2018年第4期，及结合市场询价；</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5、材料价格依据2018年《许昌工程造价信息》第5期、2018年12月份主材及市场调查价调整</w:t>
      </w:r>
    </w:p>
    <w:p>
      <w:pPr>
        <w:spacing w:before="240" w:after="120"/>
        <w:rPr>
          <w:rFonts w:ascii="黑体" w:eastAsia="黑体"/>
          <w:sz w:val="28"/>
          <w:szCs w:val="28"/>
          <w:lang w:val="en-US"/>
        </w:rPr>
      </w:pPr>
      <w:r>
        <w:rPr>
          <w:rFonts w:hint="eastAsia" w:ascii="黑体" w:eastAsia="黑体"/>
          <w:sz w:val="28"/>
          <w:szCs w:val="28"/>
          <w:lang w:val="en-US"/>
        </w:rPr>
        <w:t>5.工程量清单（另附）。</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both"/>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bookmarkStart w:id="228" w:name="_Toc20155"/>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宋体" w:hAnsi="宋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（另附）</w:t>
      </w:r>
      <w:bookmarkEnd w:id="228"/>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29"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29"/>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0"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0"/>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eastAsia="zh-CN"/>
        </w:rPr>
        <w:t>项目</w:t>
      </w: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val="en-US" w:eastAsia="zh-CN"/>
        </w:rPr>
        <w:t xml:space="preserve">标段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31" w:name="_Toc4791"/>
      <w:bookmarkStart w:id="232" w:name="_Toc485889055"/>
      <w:bookmarkStart w:id="233" w:name="_Toc234382957"/>
      <w:bookmarkStart w:id="234" w:name="_Toc486277922"/>
      <w:r>
        <w:rPr>
          <w:rFonts w:hint="eastAsia" w:ascii="黑体" w:hAnsi="宋体" w:eastAsia="黑体"/>
          <w:color w:val="auto"/>
          <w:sz w:val="28"/>
          <w:szCs w:val="28"/>
          <w:highlight w:val="none"/>
        </w:rPr>
        <w:t>一、投标函及投标函附录</w:t>
      </w:r>
      <w:bookmarkEnd w:id="231"/>
      <w:bookmarkEnd w:id="232"/>
      <w:bookmarkEnd w:id="233"/>
      <w:bookmarkEnd w:id="234"/>
    </w:p>
    <w:p>
      <w:pPr>
        <w:pStyle w:val="4"/>
        <w:spacing w:beforeLines="50" w:after="0" w:line="360" w:lineRule="exact"/>
        <w:jc w:val="center"/>
        <w:rPr>
          <w:rFonts w:ascii="黑体" w:hAnsi="宋体" w:eastAsia="黑体"/>
          <w:color w:val="auto"/>
          <w:sz w:val="28"/>
          <w:szCs w:val="28"/>
          <w:highlight w:val="none"/>
        </w:rPr>
      </w:pPr>
      <w:bookmarkStart w:id="235" w:name="_Toc486277923"/>
      <w:bookmarkStart w:id="236" w:name="_Toc485889056"/>
      <w:bookmarkStart w:id="237" w:name="_Toc18643"/>
      <w:bookmarkStart w:id="238" w:name="_Toc234382958"/>
      <w:r>
        <w:rPr>
          <w:rFonts w:hint="eastAsia" w:ascii="黑体" w:hAnsi="宋体" w:eastAsia="黑体"/>
          <w:color w:val="auto"/>
          <w:sz w:val="28"/>
          <w:szCs w:val="28"/>
          <w:highlight w:val="none"/>
        </w:rPr>
        <w:t>（一）投标函</w:t>
      </w:r>
      <w:bookmarkEnd w:id="235"/>
      <w:bookmarkEnd w:id="236"/>
      <w:bookmarkEnd w:id="237"/>
      <w:bookmarkEnd w:id="238"/>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39" w:name="_Toc485889057"/>
      <w:bookmarkStart w:id="240" w:name="_Toc486277924"/>
      <w:bookmarkStart w:id="241" w:name="_Toc5832"/>
      <w:bookmarkStart w:id="242" w:name="_Toc234382959"/>
      <w:r>
        <w:rPr>
          <w:rFonts w:hint="eastAsia" w:ascii="黑体" w:hAnsi="宋体" w:eastAsia="黑体"/>
          <w:color w:val="auto"/>
          <w:sz w:val="28"/>
          <w:szCs w:val="28"/>
          <w:highlight w:val="none"/>
        </w:rPr>
        <w:t>（二）投标函附录</w:t>
      </w:r>
      <w:bookmarkEnd w:id="239"/>
      <w:bookmarkEnd w:id="240"/>
      <w:bookmarkEnd w:id="241"/>
      <w:bookmarkEnd w:id="24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4"/>
        <w:spacing w:beforeLines="50" w:after="0" w:line="360" w:lineRule="exact"/>
        <w:jc w:val="center"/>
        <w:rPr>
          <w:rFonts w:ascii="黑体" w:hAnsi="宋体" w:eastAsia="黑体"/>
          <w:color w:val="auto"/>
          <w:sz w:val="28"/>
          <w:szCs w:val="28"/>
          <w:highlight w:val="none"/>
        </w:rPr>
      </w:pPr>
      <w:bookmarkStart w:id="243" w:name="_Toc485889059"/>
      <w:bookmarkStart w:id="244" w:name="_Toc234382961"/>
      <w:bookmarkStart w:id="245" w:name="_Toc29117"/>
      <w:bookmarkStart w:id="246" w:name="_Toc486277926"/>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3"/>
      <w:bookmarkEnd w:id="244"/>
      <w:bookmarkEnd w:id="245"/>
      <w:bookmarkEnd w:id="246"/>
    </w:p>
    <w:p>
      <w:pPr>
        <w:pStyle w:val="4"/>
        <w:spacing w:beforeLines="100" w:afterLines="150" w:line="360" w:lineRule="exact"/>
        <w:jc w:val="center"/>
        <w:rPr>
          <w:rFonts w:ascii="黑体" w:hAnsi="宋体" w:eastAsia="黑体"/>
          <w:color w:val="auto"/>
          <w:sz w:val="28"/>
          <w:szCs w:val="28"/>
          <w:highlight w:val="none"/>
        </w:rPr>
      </w:pPr>
      <w:bookmarkStart w:id="247" w:name="_Toc234382962"/>
      <w:bookmarkStart w:id="248" w:name="_Toc485889060"/>
      <w:bookmarkStart w:id="249" w:name="_Toc486277927"/>
      <w:bookmarkStart w:id="250" w:name="_Toc4437"/>
      <w:r>
        <w:rPr>
          <w:rFonts w:hint="eastAsia" w:ascii="黑体" w:hAnsi="宋体" w:eastAsia="黑体"/>
          <w:color w:val="auto"/>
          <w:sz w:val="28"/>
          <w:szCs w:val="28"/>
          <w:highlight w:val="none"/>
        </w:rPr>
        <w:t>（一）法定代表人身份证明</w:t>
      </w:r>
      <w:bookmarkEnd w:id="247"/>
      <w:bookmarkEnd w:id="248"/>
      <w:bookmarkEnd w:id="249"/>
      <w:bookmarkEnd w:id="250"/>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4"/>
        <w:spacing w:beforeLines="100" w:afterLines="150" w:line="360" w:lineRule="exact"/>
        <w:jc w:val="center"/>
        <w:rPr>
          <w:rFonts w:ascii="黑体" w:hAnsi="宋体" w:eastAsia="黑体"/>
          <w:color w:val="auto"/>
          <w:sz w:val="28"/>
          <w:szCs w:val="28"/>
          <w:highlight w:val="none"/>
        </w:rPr>
      </w:pPr>
      <w:bookmarkStart w:id="251" w:name="_Toc234382964"/>
      <w:r>
        <w:rPr>
          <w:rFonts w:ascii="黑体" w:hAnsi="宋体" w:eastAsia="黑体"/>
          <w:color w:val="auto"/>
          <w:sz w:val="28"/>
          <w:szCs w:val="28"/>
          <w:highlight w:val="none"/>
        </w:rPr>
        <w:br w:type="page"/>
      </w:r>
      <w:bookmarkStart w:id="252" w:name="_Toc486277928"/>
      <w:bookmarkStart w:id="253" w:name="_Toc25686"/>
      <w:bookmarkStart w:id="254" w:name="_Toc485889061"/>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1"/>
      <w:bookmarkEnd w:id="252"/>
      <w:bookmarkEnd w:id="253"/>
      <w:bookmarkEnd w:id="254"/>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4"/>
        <w:spacing w:beforeLines="100" w:afterLines="150" w:line="360" w:lineRule="exact"/>
        <w:jc w:val="center"/>
        <w:rPr>
          <w:color w:val="auto"/>
          <w:highlight w:val="none"/>
        </w:rPr>
      </w:pPr>
      <w:r>
        <w:rPr>
          <w:rFonts w:ascii="宋体"/>
          <w:color w:val="auto"/>
          <w:highlight w:val="none"/>
        </w:rPr>
        <w:br w:type="page"/>
      </w:r>
      <w:bookmarkStart w:id="255" w:name="_Toc486277929"/>
      <w:bookmarkStart w:id="256" w:name="_Toc485889062"/>
      <w:bookmarkStart w:id="257" w:name="_Toc19556"/>
      <w:bookmarkStart w:id="258" w:name="_Toc234382966"/>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5"/>
      <w:bookmarkEnd w:id="256"/>
      <w:bookmarkEnd w:id="257"/>
      <w:bookmarkEnd w:id="258"/>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cols w:space="720" w:num="1"/>
        </w:sectPr>
      </w:pPr>
      <w:bookmarkStart w:id="259" w:name="_Toc19898"/>
      <w:bookmarkStart w:id="260" w:name="_Toc234382974"/>
      <w:bookmarkStart w:id="261" w:name="_Toc485889070"/>
      <w:bookmarkStart w:id="262" w:name="_Toc486277936"/>
    </w:p>
    <w:p>
      <w:pPr>
        <w:pStyle w:val="5"/>
        <w:spacing w:before="120" w:after="120" w:line="377" w:lineRule="auto"/>
        <w:rPr>
          <w:rFonts w:hint="eastAsia"/>
          <w:color w:val="auto"/>
          <w:highlight w:val="none"/>
        </w:rPr>
      </w:pPr>
      <w:r>
        <w:rPr>
          <w:rFonts w:hint="eastAsia"/>
          <w:color w:val="auto"/>
          <w:highlight w:val="none"/>
        </w:rPr>
        <w:t>附表一   施工总体计划表</w:t>
      </w:r>
    </w:p>
    <w:tbl>
      <w:tblPr>
        <w:tblStyle w:val="10"/>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5"/>
        <w:spacing w:before="120" w:after="0" w:line="240" w:lineRule="auto"/>
        <w:rPr>
          <w:color w:val="auto"/>
          <w:highlight w:val="none"/>
        </w:rPr>
      </w:pPr>
    </w:p>
    <w:p>
      <w:pPr>
        <w:pStyle w:val="5"/>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color w:val="auto"/>
          <w:szCs w:val="21"/>
          <w:highlight w:val="none"/>
        </w:rPr>
        <w:t xml:space="preserve">    2.各个项目的进程可用线条的长短来表示。</w:t>
      </w:r>
    </w:p>
    <w:p>
      <w:pPr>
        <w:pStyle w:val="4"/>
        <w:spacing w:beforeLines="50" w:after="0" w:line="400" w:lineRule="exact"/>
        <w:rPr>
          <w:rFonts w:ascii="Arial" w:hAnsi="Arial" w:eastAsia="黑体"/>
          <w:color w:val="auto"/>
          <w:kern w:val="2"/>
          <w:sz w:val="28"/>
          <w:szCs w:val="28"/>
          <w:highlight w:val="none"/>
        </w:rPr>
      </w:pPr>
      <w:bookmarkStart w:id="263"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shape id="自选图形 3" o:spid="_x0000_s1026" o:spt="32" type="#_x0000_t32" style="position:absolute;left:0pt;margin-left:-5.9pt;margin-top:-0.3pt;height:44.35pt;width:110pt;z-index:2516592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color w:val="auto"/>
                <w:highlight w:val="none"/>
              </w:rPr>
              <w:t xml:space="preserve">            年  度</w:t>
            </w:r>
          </w:p>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4" o:spid="_x0000_s1027" o:spt="1" style="position:absolute;left:0pt;margin-left:61.5pt;margin-top:1.6pt;height:21.55pt;width:17.1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季</w:t>
                        </w:r>
                      </w:p>
                    </w:txbxContent>
                  </v:textbox>
                </v:rect>
              </w:pic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5" o:spid="_x0000_s1028" o:spt="1" style="position:absolute;left:0pt;margin-left:84pt;margin-top:-0.45pt;height:21.55pt;width:17.1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度</w:t>
                        </w:r>
                      </w:p>
                    </w:txbxContent>
                  </v:textbox>
                </v:rect>
              </w:pic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6" o:spid="_x0000_s1029" o:spt="1" style="position:absolute;left:0pt;margin-left:-5.55pt;margin-top:19.35pt;height:454.5pt;width:89.9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hAnsi="Times New Roman" w:eastAsia="隶书" w:cs="Times New Roman"/>
          <w:color w:val="auto"/>
          <w:kern w:val="2"/>
          <w:sz w:val="24"/>
          <w:szCs w:val="24"/>
          <w:highlight w:val="none"/>
          <w:lang w:val="en-US" w:eastAsia="zh-CN" w:bidi="ar-SA"/>
        </w:rPr>
        <w:pict>
          <v:rect id="文本框 2" o:spid="_x0000_s1025" o:spt="1" style="position:absolute;left:0pt;margin-left:72.35pt;margin-top:29.85pt;height:23pt;width:288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ascii="宋体" w:hAnsi="宋体"/>
                    </w:rPr>
                  </w:pPr>
                  <w:r>
                    <w:rPr>
                      <w:rFonts w:hint="eastAsia" w:ascii="宋体" w:hAnsi="宋体"/>
                    </w:rPr>
                    <w:t>工期历程的百分比（%）</w:t>
                  </w:r>
                </w:p>
              </w:txbxContent>
            </v:textbox>
          </v:rect>
        </w:pict>
      </w:r>
      <w:r>
        <w:rPr>
          <w:rFonts w:ascii="Times New Roman" w:hAnsi="Times New Roman" w:eastAsia="宋体" w:cs="Times New Roman"/>
          <w:color w:val="auto"/>
          <w:kern w:val="2"/>
          <w:sz w:val="21"/>
          <w:szCs w:val="24"/>
          <w:highlight w:val="none"/>
          <w:lang w:val="en-US" w:eastAsia="zh-CN" w:bidi="ar-SA"/>
        </w:rPr>
        <w:pict>
          <v:rect id="矩形 19" o:spid="_x0000_s1030" o:spt="1" style="position:absolute;left:0pt;margin-left:90.5pt;margin-top:1.65pt;height:21.05pt;width:410.9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0     10     20     30     40      50     60     70     80     90    100</w:t>
                  </w:r>
                </w:p>
              </w:txbxContent>
            </v:textbox>
          </v:rect>
        </w:pic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64"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4"/>
    </w:p>
    <w:tbl>
      <w:tblPr>
        <w:tblStyle w:val="10"/>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65"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5"/>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bookmarkStart w:id="266"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6"/>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7"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7"/>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4"/>
        <w:spacing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68" w:name="_Toc234382972"/>
      <w:r>
        <w:rPr>
          <w:rFonts w:hint="eastAsia" w:ascii="Arial" w:hAnsi="Arial" w:eastAsia="黑体"/>
          <w:color w:val="auto"/>
          <w:kern w:val="2"/>
          <w:sz w:val="28"/>
          <w:szCs w:val="28"/>
          <w:highlight w:val="none"/>
        </w:rPr>
        <w:t>附表八  外供电力需求计划表</w:t>
      </w:r>
      <w:bookmarkEnd w:id="268"/>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4"/>
        <w:spacing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0"/>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4"/>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59"/>
      <w:bookmarkEnd w:id="260"/>
      <w:bookmarkEnd w:id="261"/>
      <w:bookmarkEnd w:id="262"/>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4"/>
        <w:spacing w:beforeLines="100" w:afterLines="150" w:line="360" w:lineRule="exact"/>
        <w:jc w:val="center"/>
        <w:rPr>
          <w:rFonts w:ascii="黑体" w:hAnsi="宋体" w:eastAsia="黑体"/>
          <w:color w:val="auto"/>
          <w:sz w:val="28"/>
          <w:szCs w:val="28"/>
          <w:highlight w:val="none"/>
        </w:rPr>
      </w:pPr>
      <w:bookmarkStart w:id="269" w:name="_Toc486277938"/>
      <w:bookmarkStart w:id="270" w:name="_Toc485889072"/>
      <w:bookmarkStart w:id="271" w:name="_Toc18211"/>
      <w:bookmarkStart w:id="272" w:name="_Toc234382977"/>
      <w:r>
        <w:rPr>
          <w:rFonts w:hint="eastAsia" w:ascii="黑体" w:hAnsi="宋体" w:eastAsia="黑体"/>
          <w:color w:val="auto"/>
          <w:sz w:val="28"/>
          <w:szCs w:val="28"/>
          <w:highlight w:val="none"/>
        </w:rPr>
        <w:t>六、资格审查资料</w:t>
      </w:r>
      <w:bookmarkEnd w:id="269"/>
      <w:bookmarkEnd w:id="270"/>
      <w:bookmarkEnd w:id="271"/>
      <w:bookmarkEnd w:id="272"/>
    </w:p>
    <w:p>
      <w:pPr>
        <w:pStyle w:val="4"/>
        <w:spacing w:beforeLines="100" w:afterLines="150" w:line="360" w:lineRule="exact"/>
        <w:jc w:val="center"/>
        <w:rPr>
          <w:rFonts w:ascii="黑体" w:hAnsi="宋体" w:eastAsia="黑体"/>
          <w:color w:val="auto"/>
          <w:sz w:val="28"/>
          <w:szCs w:val="28"/>
          <w:highlight w:val="none"/>
        </w:rPr>
      </w:pPr>
      <w:bookmarkStart w:id="273" w:name="_Toc486277939"/>
      <w:bookmarkStart w:id="274" w:name="_Toc234382978"/>
      <w:bookmarkStart w:id="275" w:name="_Toc485889073"/>
      <w:bookmarkStart w:id="276" w:name="_Toc9432"/>
      <w:r>
        <w:rPr>
          <w:rFonts w:hint="eastAsia" w:ascii="黑体" w:hAnsi="宋体" w:eastAsia="黑体"/>
          <w:color w:val="auto"/>
          <w:sz w:val="28"/>
          <w:szCs w:val="28"/>
          <w:highlight w:val="none"/>
        </w:rPr>
        <w:t>（一）投标人基本情况表</w:t>
      </w:r>
      <w:bookmarkEnd w:id="273"/>
      <w:bookmarkEnd w:id="274"/>
      <w:bookmarkEnd w:id="275"/>
      <w:bookmarkEnd w:id="276"/>
    </w:p>
    <w:tbl>
      <w:tblPr>
        <w:tblStyle w:val="10"/>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color w:val="auto"/>
          <w:sz w:val="28"/>
          <w:szCs w:val="28"/>
          <w:highlight w:val="none"/>
        </w:rPr>
      </w:pPr>
      <w:bookmarkStart w:id="277" w:name="_Toc10076"/>
      <w:bookmarkStart w:id="278" w:name="_Toc485889074"/>
      <w:bookmarkStart w:id="279" w:name="_Toc234382979"/>
      <w:bookmarkStart w:id="280" w:name="_Toc486277940"/>
      <w:r>
        <w:rPr>
          <w:rFonts w:hint="eastAsia" w:ascii="黑体" w:hAnsi="宋体" w:eastAsia="黑体"/>
          <w:color w:val="auto"/>
          <w:sz w:val="28"/>
          <w:szCs w:val="28"/>
          <w:highlight w:val="none"/>
        </w:rPr>
        <w:t>（二）投标人企业组织结构框图</w:t>
      </w:r>
      <w:bookmarkEnd w:id="277"/>
      <w:bookmarkEnd w:id="278"/>
      <w:bookmarkEnd w:id="279"/>
      <w:bookmarkEnd w:id="280"/>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vAlign w:val="top"/>
          </w:tcPr>
          <w:p>
            <w:pPr>
              <w:rPr>
                <w:color w:val="auto"/>
                <w:highlight w:val="none"/>
              </w:rPr>
            </w:pPr>
          </w:p>
          <w:p>
            <w:pPr>
              <w:rPr>
                <w:rFonts w:cs="宋体"/>
                <w:color w:val="auto"/>
                <w:szCs w:val="21"/>
                <w:highlight w:val="none"/>
              </w:rPr>
            </w:pPr>
            <w:r>
              <w:rPr>
                <w:rFonts w:hint="eastAsia" w:cs="宋体"/>
                <w:color w:val="auto"/>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vAlign w:val="top"/>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4"/>
        <w:spacing w:beforeLines="100" w:afterLines="150" w:line="360" w:lineRule="exact"/>
        <w:jc w:val="center"/>
        <w:rPr>
          <w:color w:val="auto"/>
          <w:highlight w:val="none"/>
        </w:rPr>
      </w:pPr>
      <w:r>
        <w:rPr>
          <w:color w:val="auto"/>
          <w:highlight w:val="none"/>
        </w:rPr>
        <w:br w:type="page"/>
      </w:r>
      <w:bookmarkStart w:id="281" w:name="_Toc485889075"/>
      <w:bookmarkStart w:id="282" w:name="_Toc486277941"/>
      <w:bookmarkStart w:id="283" w:name="_Toc234382980"/>
      <w:bookmarkStart w:id="284" w:name="_Toc8347"/>
      <w:r>
        <w:rPr>
          <w:rFonts w:hint="eastAsia" w:ascii="黑体" w:hAnsi="宋体" w:eastAsia="黑体"/>
          <w:color w:val="auto"/>
          <w:sz w:val="28"/>
          <w:szCs w:val="28"/>
          <w:highlight w:val="none"/>
        </w:rPr>
        <w:t>（三）拟委任的项目经理和项目总工资历表</w:t>
      </w:r>
      <w:bookmarkEnd w:id="281"/>
      <w:bookmarkEnd w:id="282"/>
      <w:bookmarkEnd w:id="283"/>
      <w:bookmarkEnd w:id="284"/>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5" w:name="_Toc234242180"/>
      <w:bookmarkStart w:id="286" w:name="_Toc193904176"/>
      <w:bookmarkStart w:id="287" w:name="_Toc234382981"/>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88" w:name="_Toc485889076"/>
      <w:r>
        <w:rPr>
          <w:rFonts w:hint="eastAsia" w:ascii="黑体" w:hAnsi="宋体" w:eastAsia="黑体"/>
          <w:b/>
          <w:bCs/>
          <w:color w:val="auto"/>
          <w:kern w:val="44"/>
          <w:sz w:val="28"/>
          <w:szCs w:val="28"/>
          <w:highlight w:val="none"/>
        </w:rPr>
        <w:t>（四）近年财务状况表</w:t>
      </w:r>
      <w:bookmarkEnd w:id="285"/>
      <w:bookmarkEnd w:id="286"/>
      <w:bookmarkEnd w:id="287"/>
      <w:bookmarkEnd w:id="288"/>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289" w:name="_Toc30568"/>
      <w:bookmarkStart w:id="290" w:name="_Toc234382982"/>
      <w:bookmarkStart w:id="291" w:name="_Toc234242181"/>
      <w:bookmarkStart w:id="292" w:name="_Toc485889077"/>
      <w:bookmarkStart w:id="293" w:name="_Toc486277942"/>
      <w:r>
        <w:rPr>
          <w:rFonts w:hint="eastAsia" w:ascii="黑体" w:hAnsi="宋体" w:eastAsia="黑体"/>
          <w:color w:val="auto"/>
          <w:sz w:val="28"/>
          <w:szCs w:val="28"/>
          <w:highlight w:val="none"/>
        </w:rPr>
        <w:t>（五）近年完成的类似项目汇总表</w:t>
      </w:r>
      <w:bookmarkEnd w:id="289"/>
      <w:bookmarkEnd w:id="290"/>
      <w:bookmarkEnd w:id="291"/>
      <w:bookmarkEnd w:id="292"/>
      <w:bookmarkEnd w:id="29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注：1.本汇总表必须与近年（自2014年1月1日以来）完成的类似项目情况表中的内容相对应。</w:t>
      </w:r>
    </w:p>
    <w:p>
      <w:pPr>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4" w:name="_Toc486277943"/>
      <w:bookmarkStart w:id="295" w:name="_Toc234382983"/>
      <w:bookmarkStart w:id="296" w:name="_Toc193904177"/>
      <w:bookmarkStart w:id="297" w:name="_Toc7313"/>
      <w:bookmarkStart w:id="298" w:name="_Toc234242182"/>
      <w:bookmarkStart w:id="299" w:name="_Toc485889078"/>
      <w:r>
        <w:rPr>
          <w:rFonts w:hint="eastAsia" w:ascii="黑体" w:hAnsi="宋体" w:eastAsia="黑体"/>
          <w:color w:val="auto"/>
          <w:sz w:val="28"/>
          <w:szCs w:val="28"/>
          <w:highlight w:val="none"/>
        </w:rPr>
        <w:t>（六）正在施工和新承接的项目情况表</w:t>
      </w:r>
      <w:bookmarkEnd w:id="294"/>
      <w:bookmarkEnd w:id="295"/>
      <w:bookmarkEnd w:id="296"/>
      <w:bookmarkEnd w:id="297"/>
      <w:bookmarkEnd w:id="298"/>
      <w:bookmarkEnd w:id="299"/>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300" w:name="_Toc234382984"/>
      <w:bookmarkStart w:id="301" w:name="_Toc486277944"/>
      <w:bookmarkStart w:id="302" w:name="_Toc485889079"/>
      <w:bookmarkStart w:id="303" w:name="_Toc7381"/>
      <w:r>
        <w:rPr>
          <w:rFonts w:hint="eastAsia" w:ascii="黑体" w:hAnsi="宋体" w:eastAsia="黑体"/>
          <w:color w:val="auto"/>
          <w:sz w:val="28"/>
          <w:szCs w:val="28"/>
          <w:highlight w:val="none"/>
        </w:rPr>
        <w:t>（七）近年发生的诉讼及仲裁情况</w:t>
      </w:r>
      <w:bookmarkEnd w:id="300"/>
      <w:bookmarkEnd w:id="301"/>
      <w:bookmarkEnd w:id="302"/>
      <w:bookmarkEnd w:id="30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0"/>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4"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bookmarkEnd w:id="304"/>
    <w:p>
      <w:pPr>
        <w:spacing w:before="120" w:after="120"/>
        <w:jc w:val="center"/>
        <w:rPr>
          <w:rFonts w:ascii="黑体" w:eastAsia="黑体"/>
          <w:b/>
          <w:bCs/>
          <w:color w:val="auto"/>
          <w:kern w:val="44"/>
          <w:sz w:val="30"/>
          <w:szCs w:val="30"/>
          <w:highlight w:val="none"/>
        </w:rPr>
      </w:pPr>
      <w:bookmarkStart w:id="305" w:name="_Toc234382990"/>
      <w:r>
        <w:rPr>
          <w:rFonts w:hint="eastAsia" w:ascii="黑体" w:eastAsia="黑体"/>
          <w:b/>
          <w:bCs/>
          <w:color w:val="auto"/>
          <w:kern w:val="44"/>
          <w:sz w:val="30"/>
          <w:szCs w:val="30"/>
          <w:highlight w:val="none"/>
          <w:lang w:eastAsia="zh-CN"/>
        </w:rPr>
        <w:t>八</w:t>
      </w:r>
      <w:r>
        <w:rPr>
          <w:rFonts w:hint="eastAsia" w:ascii="黑体" w:eastAsia="黑体"/>
          <w:b/>
          <w:bCs/>
          <w:color w:val="auto"/>
          <w:kern w:val="44"/>
          <w:sz w:val="30"/>
          <w:szCs w:val="30"/>
          <w:highlight w:val="none"/>
        </w:rPr>
        <w:t>、</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ascii="黑体" w:eastAsia="黑体"/>
          <w:color w:val="auto"/>
          <w:sz w:val="30"/>
          <w:szCs w:val="30"/>
          <w:highlight w:val="none"/>
        </w:rPr>
      </w:pPr>
      <w:bookmarkStart w:id="306" w:name="_Toc18302"/>
      <w:bookmarkStart w:id="307" w:name="_Toc486277945"/>
      <w:bookmarkStart w:id="308" w:name="_Toc485889080"/>
      <w:r>
        <w:rPr>
          <w:rFonts w:hint="eastAsia" w:ascii="黑体" w:eastAsia="黑体"/>
          <w:color w:val="auto"/>
          <w:sz w:val="30"/>
          <w:szCs w:val="30"/>
          <w:highlight w:val="none"/>
          <w:lang w:eastAsia="zh-CN"/>
        </w:rPr>
        <w:t>九</w:t>
      </w:r>
      <w:r>
        <w:rPr>
          <w:rFonts w:hint="eastAsia" w:ascii="黑体" w:eastAsia="黑体"/>
          <w:color w:val="auto"/>
          <w:sz w:val="30"/>
          <w:szCs w:val="30"/>
          <w:highlight w:val="none"/>
        </w:rPr>
        <w:t>、扬尘治理专项承诺书</w:t>
      </w:r>
      <w:bookmarkEnd w:id="306"/>
      <w:bookmarkEnd w:id="307"/>
      <w:bookmarkEnd w:id="308"/>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30"/>
          <w:szCs w:val="30"/>
          <w:highlight w:val="none"/>
        </w:rPr>
      </w:pPr>
    </w:p>
    <w:p>
      <w:pPr>
        <w:pStyle w:val="4"/>
        <w:spacing w:beforeLines="100" w:afterLines="150" w:line="360" w:lineRule="exact"/>
        <w:jc w:val="center"/>
        <w:rPr>
          <w:rFonts w:ascii="黑体" w:hAnsi="宋体" w:eastAsia="黑体"/>
          <w:color w:val="auto"/>
          <w:sz w:val="30"/>
          <w:szCs w:val="30"/>
          <w:highlight w:val="none"/>
        </w:rPr>
      </w:pPr>
      <w:bookmarkStart w:id="309" w:name="_Toc5401"/>
      <w:bookmarkStart w:id="310" w:name="_Toc486277946"/>
      <w:bookmarkStart w:id="311" w:name="_Toc485889081"/>
      <w:r>
        <w:rPr>
          <w:rFonts w:hint="eastAsia" w:ascii="黑体" w:hAnsi="宋体" w:eastAsia="黑体"/>
          <w:color w:val="auto"/>
          <w:sz w:val="30"/>
          <w:szCs w:val="30"/>
          <w:highlight w:val="none"/>
        </w:rPr>
        <w:t>十、其 他 材 料</w:t>
      </w:r>
      <w:bookmarkEnd w:id="305"/>
      <w:bookmarkEnd w:id="309"/>
      <w:bookmarkEnd w:id="310"/>
      <w:bookmarkEnd w:id="311"/>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lang w:eastAsia="zh-CN"/>
        </w:rPr>
        <w:t>项目</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标段</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（投标报价及工程量清单）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宋体" w:hAnsi="宋体" w:eastAsia="宋体"/>
          <w:color w:val="auto"/>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pPr>
        <w:spacing w:line="360" w:lineRule="auto"/>
        <w:jc w:val="center"/>
        <w:rPr>
          <w:rFonts w:ascii="宋体" w:hAnsi="宋体" w:eastAsia="宋体"/>
          <w:b/>
          <w:color w:val="auto"/>
          <w:sz w:val="32"/>
          <w:szCs w:val="32"/>
          <w:highlight w:val="none"/>
        </w:rPr>
      </w:pP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二、已标价工程量清单</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三、拟分包项目情况表</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四、合同用款估算表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一、投标函</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投 标 函</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_________________________(招标人名称)：</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eastAsia="宋体"/>
          <w:color w:val="auto"/>
          <w:sz w:val="24"/>
          <w:highlight w:val="none"/>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3．__________________________________(其他补充说明)。</w:t>
      </w:r>
    </w:p>
    <w:p>
      <w:pPr>
        <w:spacing w:line="360" w:lineRule="auto"/>
        <w:ind w:firstLine="480" w:firstLineChars="200"/>
        <w:jc w:val="left"/>
        <w:rPr>
          <w:rFonts w:ascii="宋体" w:hAnsi="宋体" w:eastAsia="宋体"/>
          <w:color w:val="auto"/>
          <w:sz w:val="24"/>
          <w:highlight w:val="none"/>
        </w:rPr>
      </w:pPr>
    </w:p>
    <w:p>
      <w:pPr>
        <w:spacing w:line="360" w:lineRule="auto"/>
        <w:ind w:firstLine="480" w:firstLineChars="200"/>
        <w:jc w:val="left"/>
        <w:rPr>
          <w:rFonts w:ascii="宋体" w:hAnsi="宋体" w:eastAsia="宋体"/>
          <w:color w:val="auto"/>
          <w:sz w:val="24"/>
          <w:highlight w:val="none"/>
        </w:rPr>
      </w:pP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投 标 人：___________________(盖单位章)</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法定代表人或其委托代理人:____________(签字)</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地址：________________________________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网址：________________________________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电话：________________________________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传真：________________________________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邮政编码：____________________________</w:t>
      </w:r>
    </w:p>
    <w:p>
      <w:pPr>
        <w:spacing w:line="360" w:lineRule="auto"/>
        <w:ind w:left="3543" w:leftChars="1687"/>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r>
        <w:rPr>
          <w:rFonts w:hint="eastAsia" w:ascii="宋体" w:hAnsi="宋体" w:eastAsia="宋体"/>
          <w:color w:val="auto"/>
          <w:sz w:val="24"/>
          <w:highlight w:val="none"/>
        </w:rPr>
        <w:t>________年______月_______日</w:t>
      </w:r>
    </w:p>
    <w:p>
      <w:pPr>
        <w:spacing w:line="360" w:lineRule="auto"/>
        <w:ind w:left="1"/>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ind w:left="1"/>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二、已标价工程量清单</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投标人应按照第五章“工程量清单”的要求逐项填报工程量清单，包括工程量清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单说明、投标报价说明、计日工说明、其他说明及工程量清单各项表格（工程量清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单表 5.1～表 5.5）</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both"/>
        <w:rPr>
          <w:rFonts w:ascii="宋体" w:hAnsi="宋体" w:eastAsia="宋体"/>
          <w:b/>
          <w:color w:val="auto"/>
          <w:sz w:val="32"/>
          <w:szCs w:val="32"/>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三、拟分包项目情况表</w:t>
      </w:r>
    </w:p>
    <w:p>
      <w:pPr>
        <w:rPr>
          <w:rFonts w:ascii="宋体" w:hAnsi="宋体" w:cs="宋体"/>
          <w:color w:val="auto"/>
          <w:highlight w:val="none"/>
        </w:rPr>
      </w:pPr>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vAlign w:val="top"/>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pStyle w:val="4"/>
        <w:spacing w:beforeLines="50" w:after="240" w:line="400" w:lineRule="exact"/>
        <w:jc w:val="both"/>
        <w:rPr>
          <w:rFonts w:hint="eastAsia" w:ascii="宋体" w:hAnsi="宋体" w:eastAsia="宋体"/>
          <w:color w:val="auto"/>
          <w:kern w:val="2"/>
          <w:sz w:val="32"/>
          <w:szCs w:val="28"/>
          <w:highlight w:val="none"/>
        </w:rPr>
      </w:pPr>
      <w:bookmarkStart w:id="312" w:name="_Toc486277947"/>
      <w:bookmarkStart w:id="313" w:name="_Toc485889069"/>
      <w:bookmarkStart w:id="314" w:name="_Toc234382973"/>
      <w:bookmarkStart w:id="315" w:name="_Toc5044"/>
    </w:p>
    <w:p>
      <w:pPr>
        <w:pStyle w:val="4"/>
        <w:spacing w:beforeLines="50" w:after="240" w:line="400" w:lineRule="exact"/>
        <w:ind w:firstLine="2570" w:firstLineChars="800"/>
        <w:jc w:val="both"/>
        <w:rPr>
          <w:rFonts w:ascii="宋体" w:hAnsi="宋体" w:eastAsia="宋体"/>
          <w:color w:val="auto"/>
          <w:kern w:val="2"/>
          <w:sz w:val="32"/>
          <w:szCs w:val="28"/>
          <w:highlight w:val="none"/>
        </w:rPr>
      </w:pPr>
      <w:r>
        <w:rPr>
          <w:rFonts w:hint="eastAsia" w:ascii="宋体" w:hAnsi="宋体" w:eastAsia="宋体"/>
          <w:color w:val="auto"/>
          <w:kern w:val="2"/>
          <w:sz w:val="32"/>
          <w:szCs w:val="28"/>
          <w:highlight w:val="none"/>
        </w:rPr>
        <w:t>四、合同用款估算表</w:t>
      </w:r>
      <w:bookmarkEnd w:id="312"/>
      <w:bookmarkEnd w:id="313"/>
      <w:bookmarkEnd w:id="314"/>
      <w:bookmarkEnd w:id="315"/>
    </w:p>
    <w:tbl>
      <w:tblPr>
        <w:tblStyle w:val="10"/>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3462"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color w:val="auto"/>
                <w:szCs w:val="21"/>
                <w:highlight w:val="none"/>
              </w:rPr>
            </w:pPr>
            <w:r>
              <w:rPr>
                <w:rFonts w:hint="eastAsia" w:ascii="宋体" w:hAnsi="宋体"/>
                <w:color w:val="auto"/>
                <w:szCs w:val="21"/>
                <w:highlight w:val="none"/>
              </w:rPr>
              <w:t>说</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隶书" w:hAnsi="宋体" w:eastAsia="隶书"/>
          <w:color w:val="auto"/>
          <w:sz w:val="24"/>
          <w:highlight w:val="none"/>
        </w:rPr>
      </w:pPr>
    </w:p>
    <w:p>
      <w:pPr>
        <w:rPr>
          <w:rFonts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rPr>
          <w:color w:val="auto"/>
          <w:highlight w:val="none"/>
        </w:rPr>
      </w:pPr>
    </w:p>
    <w:p>
      <w:pPr>
        <w:spacing w:line="360" w:lineRule="auto"/>
        <w:rPr>
          <w:color w:val="auto"/>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316" w:name="_Toc12556"/>
      <w:r>
        <w:rPr>
          <w:rFonts w:hint="eastAsia" w:ascii="黑体" w:eastAsia="黑体"/>
          <w:bCs/>
          <w:color w:val="auto"/>
          <w:sz w:val="44"/>
          <w:szCs w:val="44"/>
          <w:highlight w:val="none"/>
        </w:rPr>
        <w:t>第九章 投标人须知前附表规定的其他材料</w:t>
      </w:r>
      <w:bookmarkEnd w:id="316"/>
    </w:p>
    <w:p>
      <w:pPr>
        <w:rPr>
          <w:color w:val="auto"/>
          <w:highlight w:val="none"/>
        </w:rPr>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altName w:val="微软雅黑"/>
    <w:panose1 w:val="02010609060101010101"/>
    <w:charset w:val="86"/>
    <w:family w:val="auto"/>
    <w:pitch w:val="default"/>
    <w:sig w:usb0="00000000" w:usb1="00000000" w:usb2="00000016" w:usb3="00000000" w:csb0="00040001"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7"/>
      </w:rPr>
    </w:pP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7"/>
      </w:rPr>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p>
    <w:pPr>
      <w:pStyle w:val="6"/>
      <w:ind w:right="360"/>
      <w:jc w:val="both"/>
    </w:pPr>
    <w:r>
      <w:rPr>
        <w:rFonts w:hint="eastAsia"/>
      </w:rPr>
      <w:t xml:space="preserve">                                                       </w:t>
    </w:r>
  </w:p>
  <w:p>
    <w:pPr>
      <w:pStyle w:val="6"/>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4"/>
        </w:rPr>
        <w:footnoteRef/>
      </w:r>
      <w:r>
        <w:t xml:space="preserve"> </w:t>
      </w:r>
      <w:r>
        <w:rPr>
          <w:rFonts w:hint="eastAsia"/>
        </w:rPr>
        <w:t>若投标函中的投标价大小写金额不一致，应以大写金额为准。</w:t>
      </w:r>
    </w:p>
  </w:footnote>
  <w:footnote w:id="1">
    <w:p>
      <w:pPr>
        <w:pStyle w:val="9"/>
      </w:pPr>
      <w:r>
        <w:rPr>
          <w:rStyle w:val="14"/>
        </w:rPr>
        <w:footnoteRef/>
      </w:r>
      <w:r>
        <w:rPr>
          <w:rFonts w:hint="eastAsia" w:ascii="宋体" w:hAnsi="宋体"/>
          <w:sz w:val="15"/>
          <w:szCs w:val="15"/>
        </w:rPr>
        <w:t xml:space="preserve"> 指主要材料，一般应为70％-75%，最低不少于60％。</w:t>
      </w:r>
    </w:p>
  </w:footnote>
  <w:footnote w:id="2">
    <w:p>
      <w:pPr>
        <w:pStyle w:val="9"/>
      </w:pPr>
      <w:r>
        <w:rPr>
          <w:rStyle w:val="14"/>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u w:val="single"/>
      </w:rPr>
    </w:pPr>
    <w:r>
      <w:rPr>
        <w:rFonts w:hint="eastAsia" w:ascii="仿宋" w:hAnsi="仿宋" w:eastAsia="仿宋" w:cs="仿宋"/>
        <w:b/>
        <w:bCs/>
        <w:sz w:val="21"/>
        <w:szCs w:val="21"/>
        <w:u w:val="single"/>
        <w:lang w:val="en-US" w:eastAsia="zh-CN"/>
      </w:rPr>
      <w:t xml:space="preserve">河街乡农村道路建设项目        </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3"/>
      <w:numFmt w:val="chineseCounting"/>
      <w:suff w:val="space"/>
      <w:lvlText w:val="第%1章"/>
      <w:lvlJc w:val="left"/>
    </w:lvl>
  </w:abstractNum>
  <w:abstractNum w:abstractNumId="1">
    <w:nsid w:val="0000000D"/>
    <w:multiLevelType w:val="singleLevel"/>
    <w:tmpl w:val="000000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71799F"/>
    <w:rsid w:val="05D34285"/>
    <w:rsid w:val="15850763"/>
    <w:rsid w:val="57B81892"/>
    <w:rsid w:val="5B8C7AFA"/>
    <w:rsid w:val="5ED638C9"/>
    <w:rsid w:val="7E1B5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iPriority w:val="0"/>
    <w:pPr>
      <w:keepNext/>
      <w:keepLines/>
      <w:spacing w:before="280" w:after="290" w:line="376" w:lineRule="auto"/>
      <w:outlineLvl w:val="3"/>
    </w:pPr>
    <w:rPr>
      <w:rFonts w:ascii="Arial" w:hAnsi="Arial" w:eastAsia="黑体"/>
      <w:b/>
      <w:bCs/>
      <w:kern w:val="2"/>
      <w:sz w:val="28"/>
      <w:szCs w:val="28"/>
      <w:lang w:val="en-US" w:eastAsia="zh-CN" w:bidi="ar-SA"/>
    </w:rPr>
  </w:style>
  <w:style w:type="character" w:default="1" w:styleId="11">
    <w:name w:val="Default Paragraph Fon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before="100" w:beforeAutospacing="1" w:after="0"/>
      <w:ind w:firstLine="420" w:firstLineChars="100"/>
    </w:pPr>
  </w:style>
  <w:style w:type="paragraph" w:styleId="3">
    <w:name w:val="Body Text"/>
    <w:basedOn w:val="1"/>
    <w:qFormat/>
    <w:uiPriority w:val="0"/>
    <w:pPr>
      <w:jc w:val="center"/>
    </w:pPr>
    <w:rPr>
      <w:sz w:val="7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szCs w:val="20"/>
    </w:rPr>
  </w:style>
  <w:style w:type="paragraph" w:styleId="9">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Hyperlink"/>
    <w:basedOn w:val="11"/>
    <w:qFormat/>
    <w:uiPriority w:val="0"/>
    <w:rPr>
      <w:color w:val="000000"/>
      <w:u w:val="none"/>
    </w:rPr>
  </w:style>
  <w:style w:type="character" w:styleId="14">
    <w:name w:val="footnote reference"/>
    <w:qFormat/>
    <w:uiPriority w:val="0"/>
    <w:rPr>
      <w:vertAlign w:val="superscript"/>
    </w:rPr>
  </w:style>
  <w:style w:type="paragraph" w:customStyle="1" w:styleId="15">
    <w:name w:val="Plain Text"/>
    <w:basedOn w:val="1"/>
    <w:qFormat/>
    <w:uiPriority w:val="0"/>
    <w:rPr>
      <w:rFonts w:ascii="宋体" w:hAnsi="Courier New"/>
      <w:color w:val="000000"/>
      <w:szCs w:val="20"/>
    </w:rPr>
  </w:style>
  <w:style w:type="paragraph" w:customStyle="1" w:styleId="16">
    <w:name w:val="p0"/>
    <w:basedOn w:val="1"/>
    <w:qFormat/>
    <w:uiPriority w:val="0"/>
    <w:pPr>
      <w:widowControl/>
    </w:pPr>
    <w:rPr>
      <w:kern w:val="0"/>
      <w:szCs w:val="21"/>
    </w:rPr>
  </w:style>
  <w:style w:type="character" w:customStyle="1" w:styleId="17">
    <w:name w:val="page numb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2017-07-25T16:53:00Z</dcterms:created>
  <dc:creator>Administrator</dc:creator>
  <cp:lastModifiedBy>Administrator</cp:lastModifiedBy>
  <cp:lastPrinted>2017-12-15T06:46:00Z</cp:lastPrinted>
  <dcterms:modified xsi:type="dcterms:W3CDTF">2019-02-22T08:04:37Z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