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t>投标分项报价一览表</w:t>
      </w:r>
    </w:p>
    <w:tbl>
      <w:tblPr>
        <w:tblStyle w:val="18"/>
        <w:tblW w:w="1442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477"/>
        <w:gridCol w:w="464"/>
        <w:gridCol w:w="8945"/>
        <w:gridCol w:w="505"/>
        <w:gridCol w:w="423"/>
        <w:gridCol w:w="981"/>
        <w:gridCol w:w="1064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8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37" w:leftChars="57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4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轻型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泡沫消防车</w:t>
            </w:r>
          </w:p>
        </w:tc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天河牌</w:t>
            </w:r>
          </w:p>
        </w:tc>
        <w:tc>
          <w:tcPr>
            <w:tcW w:w="8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360" w:lineRule="auto"/>
              <w:ind w:firstLine="480"/>
              <w:rPr>
                <w:rFonts w:hint="default"/>
              </w:rPr>
            </w:pPr>
            <w:r>
              <w:rPr>
                <w:rFonts w:hint="default"/>
              </w:rPr>
              <w:t>LLX5175GXFPM60/L型泡沫消防车，系采用庆铃汽车股份有限公司QL5190GXFWMFRY型载重汽车二类底盘改装而成。</w:t>
            </w:r>
          </w:p>
          <w:p>
            <w:pPr>
              <w:spacing w:line="360" w:lineRule="auto"/>
              <w:ind w:firstLine="480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</w:rPr>
              <w:t>整车由消防员乘员室和后部车身两大部分组成。</w:t>
            </w:r>
            <w:r>
              <w:rPr>
                <w:rFonts w:hint="eastAsia"/>
                <w:lang w:eastAsia="zh-CN"/>
              </w:rPr>
              <w:t>发动机额定功率为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221kW</w:t>
            </w:r>
            <w:r>
              <w:rPr>
                <w:rFonts w:hint="eastAsia" w:ascii="Times New Roman" w:hAnsi="Times New Roman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驱动形式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为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4×2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/>
                <w:lang w:eastAsia="zh-CN"/>
              </w:rPr>
              <w:t>乘员人数为</w:t>
            </w:r>
            <w:r>
              <w:rPr>
                <w:rFonts w:hint="eastAsia"/>
                <w:lang w:val="en-US" w:eastAsia="zh-CN"/>
              </w:rPr>
              <w:t>6人。</w:t>
            </w:r>
            <w:r>
              <w:rPr>
                <w:rFonts w:hint="default"/>
              </w:rPr>
              <w:t>消防员室顶部装有警灯和电子警报器，以突出执行消防任务时的特殊标志和音响。车身前部是器材箱、中部是载液罐，后部是泵房。载液罐体为优质碳钢，载水</w:t>
            </w:r>
            <w:r>
              <w:rPr>
                <w:rFonts w:hint="default"/>
                <w:lang w:val="en-US" w:eastAsia="zh-CN"/>
              </w:rPr>
              <w:t>5</w:t>
            </w:r>
            <w:r>
              <w:rPr>
                <w:rFonts w:hint="default"/>
              </w:rPr>
              <w:t>000kg，泡沫液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default"/>
              </w:rPr>
              <w:t>000kg。配备CB10/60型车用消防泵，流量60L/s，成都威斯特消防机械有限公司</w:t>
            </w:r>
            <w:r>
              <w:rPr>
                <w:rFonts w:hint="eastAsia"/>
                <w:lang w:eastAsia="zh-CN"/>
              </w:rPr>
              <w:t>生产</w:t>
            </w:r>
            <w:bookmarkStart w:id="0" w:name="_GoBack"/>
            <w:bookmarkEnd w:id="0"/>
            <w:r>
              <w:rPr>
                <w:rFonts w:hint="eastAsia"/>
                <w:lang w:eastAsia="zh-CN"/>
              </w:rPr>
              <w:t>的</w:t>
            </w:r>
            <w:r>
              <w:rPr>
                <w:rFonts w:hint="default"/>
              </w:rPr>
              <w:t>PL48型水/泡沫两用消防炮，流量48 L/s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射程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水≥60m 泡沫≥55 m</w:t>
            </w:r>
            <w:r>
              <w:rPr>
                <w:rFonts w:hint="default"/>
              </w:rPr>
              <w:t>。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PH48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型泡沫比例混合系统，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混合液流量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为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instrText xml:space="preserve"> HYPERLINK mailto:9L@10 </w:instrTex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48L/s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fldChar w:fldCharType="end"/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eastAsia="zh-CN"/>
              </w:rPr>
              <w:t>。配备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HNTN-TX8型消防应急通信指挥平台系统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36" w:lineRule="auto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一</w:t>
            </w:r>
            <w:r>
              <w:rPr>
                <w:rFonts w:hint="default" w:ascii="Times New Roman" w:hAnsi="Times New Roman" w:eastAsia="宋体" w:cs="Times New Roman"/>
                <w:sz w:val="24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整车主要参数 </w:t>
            </w:r>
          </w:p>
          <w:tbl>
            <w:tblPr>
              <w:tblStyle w:val="18"/>
              <w:tblW w:w="8640" w:type="dxa"/>
              <w:jc w:val="center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17"/>
              <w:gridCol w:w="6323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pacing w:after="60" w:line="336" w:lineRule="auto"/>
                    <w:ind w:right="-512" w:firstLine="420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名称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 w:val="0"/>
                    <w:autoSpaceDN w:val="0"/>
                    <w:bidi w:val="0"/>
                    <w:adjustRightInd w:val="0"/>
                    <w:spacing w:after="60" w:line="336" w:lineRule="auto"/>
                    <w:ind w:right="-512" w:firstLine="1575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技术参数及要求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外廓尺寸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8260 mm×2480 mm×3500mm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满载质量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17</w:t>
                  </w: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200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kg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载液量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泡沫车：水</w:t>
                  </w: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000kg、泡沫</w:t>
                  </w: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000 kg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发动机最大功率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221kW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最高车速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bidi w:val="0"/>
                    <w:spacing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105km/h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排放标准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国Ⅴ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消防泵流量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60L/s @1.0MPa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车顶炮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泡沫车：48L/s，射程 水≥60m 泡沫≥55 m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 xml:space="preserve">乘员人数 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1+1+4人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比功率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221/17.2=12.8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0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接近角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≥15°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6" w:hRule="atLeast"/>
                <w:jc w:val="center"/>
              </w:trPr>
              <w:tc>
                <w:tcPr>
                  <w:tcW w:w="231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24"/>
                    </w:rPr>
                    <w:t>离去角</w:t>
                  </w:r>
                </w:p>
              </w:tc>
              <w:tc>
                <w:tcPr>
                  <w:tcW w:w="6323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bidi w:val="0"/>
                    <w:spacing w:after="60" w:line="336" w:lineRule="auto"/>
                    <w:jc w:val="left"/>
                    <w:textAlignment w:val="auto"/>
                    <w:outlineLvl w:val="9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≥14°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336" w:lineRule="auto"/>
              <w:textAlignment w:val="auto"/>
              <w:outlineLvl w:val="9"/>
              <w:rPr>
                <w:rFonts w:hint="default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  <w:t>其他内容详见《技术规格书》</w:t>
            </w:r>
          </w:p>
        </w:tc>
        <w:tc>
          <w:tcPr>
            <w:tcW w:w="5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辆</w:t>
            </w:r>
          </w:p>
        </w:tc>
        <w:tc>
          <w:tcPr>
            <w:tcW w:w="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936000.00元</w:t>
            </w:r>
          </w:p>
        </w:tc>
        <w:tc>
          <w:tcPr>
            <w:tcW w:w="10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936000.00元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山东临沂、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8"/>
                <w:lang w:val="en-US" w:eastAsia="zh-CN"/>
              </w:rPr>
              <w:t>山东省天河消防车辆装备有限公司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合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>计</w:t>
            </w:r>
          </w:p>
        </w:tc>
        <w:tc>
          <w:tcPr>
            <w:tcW w:w="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</w:p>
        </w:tc>
        <w:tc>
          <w:tcPr>
            <w:tcW w:w="129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hd w:val="clear"/>
              <w:autoSpaceDE w:val="0"/>
              <w:autoSpaceDN w:val="0"/>
              <w:adjustRightInd w:val="0"/>
              <w:spacing w:line="360" w:lineRule="auto"/>
              <w:ind w:left="720" w:hanging="720" w:hangingChars="300"/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shd w:val="clear"/>
                <w:lang w:val="zh-CN"/>
              </w:rPr>
              <w:t>大写：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zh-CN"/>
              </w:rPr>
              <w:t>玖拾叁万陆仟元整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zh-CN"/>
              </w:rPr>
              <w:t xml:space="preserve"> 小写：</w:t>
            </w:r>
            <w:r>
              <w:rPr>
                <w:rFonts w:hint="eastAsia" w:ascii="宋体" w:hAnsi="宋体" w:eastAsia="宋体" w:cs="宋体"/>
                <w:snapToGrid w:val="0"/>
                <w:kern w:val="0"/>
                <w:szCs w:val="24"/>
                <w:u w:val="none"/>
                <w:shd w:val="clear"/>
              </w:rPr>
              <w:t>￥</w:t>
            </w:r>
            <w:r>
              <w:rPr>
                <w:rFonts w:hint="eastAsia" w:ascii="Times New Roman" w:hAnsi="Times New Roman" w:cs="Times New Roman"/>
                <w:sz w:val="24"/>
                <w:szCs w:val="24"/>
                <w:u w:val="none"/>
                <w:lang w:val="en-US" w:eastAsia="zh-CN"/>
              </w:rPr>
              <w:t>936000.00元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default" w:ascii="Times New Roman" w:hAnsi="Times New Roman" w:eastAsia="宋体" w:cs="Times New Roman"/>
          <w:sz w:val="24"/>
          <w:szCs w:val="24"/>
          <w:lang w:val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D4A69"/>
    <w:multiLevelType w:val="multilevel"/>
    <w:tmpl w:val="23DD4A69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710C99"/>
    <w:rsid w:val="00846979"/>
    <w:rsid w:val="0177359B"/>
    <w:rsid w:val="03677388"/>
    <w:rsid w:val="03754B8A"/>
    <w:rsid w:val="04A40438"/>
    <w:rsid w:val="04A51BD8"/>
    <w:rsid w:val="0555529D"/>
    <w:rsid w:val="05D940E4"/>
    <w:rsid w:val="061833BE"/>
    <w:rsid w:val="0673033C"/>
    <w:rsid w:val="06F47860"/>
    <w:rsid w:val="0703616A"/>
    <w:rsid w:val="074B58D3"/>
    <w:rsid w:val="12A56E0E"/>
    <w:rsid w:val="12FE0F23"/>
    <w:rsid w:val="13722DFF"/>
    <w:rsid w:val="13B91048"/>
    <w:rsid w:val="14236538"/>
    <w:rsid w:val="14A32E4A"/>
    <w:rsid w:val="14F07F18"/>
    <w:rsid w:val="16E718F6"/>
    <w:rsid w:val="17042ACE"/>
    <w:rsid w:val="171E28B9"/>
    <w:rsid w:val="1860634E"/>
    <w:rsid w:val="1A6F2191"/>
    <w:rsid w:val="1CDF651F"/>
    <w:rsid w:val="1F226C4B"/>
    <w:rsid w:val="1F2C4E73"/>
    <w:rsid w:val="20193E50"/>
    <w:rsid w:val="202A46D9"/>
    <w:rsid w:val="21767F5E"/>
    <w:rsid w:val="23A340B5"/>
    <w:rsid w:val="26066860"/>
    <w:rsid w:val="263507A6"/>
    <w:rsid w:val="26686A77"/>
    <w:rsid w:val="26E74D66"/>
    <w:rsid w:val="274A240B"/>
    <w:rsid w:val="275D107E"/>
    <w:rsid w:val="284376AD"/>
    <w:rsid w:val="289D3955"/>
    <w:rsid w:val="28C91392"/>
    <w:rsid w:val="29F92EDA"/>
    <w:rsid w:val="2A7C6358"/>
    <w:rsid w:val="2AA9034F"/>
    <w:rsid w:val="2ABF75D9"/>
    <w:rsid w:val="2B100900"/>
    <w:rsid w:val="2B163BB1"/>
    <w:rsid w:val="2CE256D7"/>
    <w:rsid w:val="2D8807AB"/>
    <w:rsid w:val="2E143CAF"/>
    <w:rsid w:val="2E5C7B93"/>
    <w:rsid w:val="2E990164"/>
    <w:rsid w:val="30072757"/>
    <w:rsid w:val="30A219D4"/>
    <w:rsid w:val="331C1825"/>
    <w:rsid w:val="36E3272B"/>
    <w:rsid w:val="373D78A7"/>
    <w:rsid w:val="379976FA"/>
    <w:rsid w:val="37CB3C31"/>
    <w:rsid w:val="381D1ECF"/>
    <w:rsid w:val="395072F1"/>
    <w:rsid w:val="39683F5F"/>
    <w:rsid w:val="3AD43A8D"/>
    <w:rsid w:val="3C035108"/>
    <w:rsid w:val="3C6D0975"/>
    <w:rsid w:val="3D310A30"/>
    <w:rsid w:val="3E0C4EE1"/>
    <w:rsid w:val="414B081A"/>
    <w:rsid w:val="417A1498"/>
    <w:rsid w:val="42795851"/>
    <w:rsid w:val="42D148F9"/>
    <w:rsid w:val="44BC1622"/>
    <w:rsid w:val="46024AFC"/>
    <w:rsid w:val="47775973"/>
    <w:rsid w:val="48081EC4"/>
    <w:rsid w:val="48D51278"/>
    <w:rsid w:val="48E3072E"/>
    <w:rsid w:val="497844A7"/>
    <w:rsid w:val="4B356BCD"/>
    <w:rsid w:val="4BFC4D8E"/>
    <w:rsid w:val="4C4E65B5"/>
    <w:rsid w:val="4CB52BCA"/>
    <w:rsid w:val="4CC425B0"/>
    <w:rsid w:val="4CE16B2E"/>
    <w:rsid w:val="4D057F56"/>
    <w:rsid w:val="4D827918"/>
    <w:rsid w:val="4F4340A6"/>
    <w:rsid w:val="4FC733E3"/>
    <w:rsid w:val="502500B9"/>
    <w:rsid w:val="5101347D"/>
    <w:rsid w:val="51EB13BB"/>
    <w:rsid w:val="52591207"/>
    <w:rsid w:val="54950C28"/>
    <w:rsid w:val="54DC3B25"/>
    <w:rsid w:val="56350C25"/>
    <w:rsid w:val="56412EE9"/>
    <w:rsid w:val="57971387"/>
    <w:rsid w:val="582D2CA3"/>
    <w:rsid w:val="594D112F"/>
    <w:rsid w:val="59960893"/>
    <w:rsid w:val="5ABB6477"/>
    <w:rsid w:val="5BA77D29"/>
    <w:rsid w:val="5C0344B1"/>
    <w:rsid w:val="5C5D4638"/>
    <w:rsid w:val="5CF64691"/>
    <w:rsid w:val="5D9C47BC"/>
    <w:rsid w:val="5E323080"/>
    <w:rsid w:val="5E485AC5"/>
    <w:rsid w:val="5E8724B2"/>
    <w:rsid w:val="60AB6A26"/>
    <w:rsid w:val="60CF4FE4"/>
    <w:rsid w:val="615D71D5"/>
    <w:rsid w:val="61AA51C9"/>
    <w:rsid w:val="63144E28"/>
    <w:rsid w:val="63E72BAD"/>
    <w:rsid w:val="65915872"/>
    <w:rsid w:val="65B35295"/>
    <w:rsid w:val="669007AA"/>
    <w:rsid w:val="66B81134"/>
    <w:rsid w:val="67C25291"/>
    <w:rsid w:val="683538B5"/>
    <w:rsid w:val="69094B49"/>
    <w:rsid w:val="6E2C4D75"/>
    <w:rsid w:val="6FC43F3B"/>
    <w:rsid w:val="6FF124AD"/>
    <w:rsid w:val="70264CBA"/>
    <w:rsid w:val="70A82797"/>
    <w:rsid w:val="71FB0275"/>
    <w:rsid w:val="7307147B"/>
    <w:rsid w:val="73723A5D"/>
    <w:rsid w:val="73762C95"/>
    <w:rsid w:val="74D02A5C"/>
    <w:rsid w:val="74D75874"/>
    <w:rsid w:val="769F559C"/>
    <w:rsid w:val="77B770F4"/>
    <w:rsid w:val="78811F8E"/>
    <w:rsid w:val="7B1E1055"/>
    <w:rsid w:val="7BD3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left="0" w:leftChars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4">
    <w:name w:val="heading 3"/>
    <w:basedOn w:val="1"/>
    <w:next w:val="1"/>
    <w:link w:val="23"/>
    <w:semiHidden/>
    <w:unhideWhenUsed/>
    <w:qFormat/>
    <w:uiPriority w:val="0"/>
    <w:pPr>
      <w:keepNext/>
      <w:keepLines/>
      <w:spacing w:line="360" w:lineRule="auto"/>
      <w:jc w:val="center"/>
      <w:outlineLvl w:val="2"/>
    </w:pPr>
    <w:rPr>
      <w:rFonts w:ascii="Times New Roman" w:hAnsi="Times New Roman" w:eastAsia="宋体"/>
      <w:b/>
      <w:bCs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0"/>
    <w:pPr>
      <w:keepNext/>
      <w:keepLines/>
      <w:numPr>
        <w:ilvl w:val="3"/>
        <w:numId w:val="1"/>
      </w:numPr>
      <w:spacing w:beforeLines="0" w:afterLines="0" w:line="360" w:lineRule="auto"/>
      <w:ind w:firstLine="402" w:firstLineChars="0"/>
      <w:jc w:val="center"/>
      <w:outlineLvl w:val="3"/>
    </w:pPr>
    <w:rPr>
      <w:rFonts w:ascii="Cambria" w:hAnsi="Cambria" w:cs="Times New Roman"/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Lines="0" w:beforeAutospacing="0" w:afterLines="0" w:afterAutospacing="0" w:line="360" w:lineRule="auto"/>
      <w:ind w:firstLine="40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unhideWhenUsed/>
    <w:uiPriority w:val="1"/>
  </w:style>
  <w:style w:type="table" w:default="1" w:styleId="1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qFormat/>
    <w:uiPriority w:val="0"/>
    <w:pPr>
      <w:ind w:left="0" w:leftChars="0" w:firstLine="0" w:firstLineChars="0"/>
    </w:pPr>
  </w:style>
  <w:style w:type="paragraph" w:styleId="12">
    <w:name w:val="table of authorities"/>
    <w:basedOn w:val="1"/>
    <w:next w:val="1"/>
    <w:qFormat/>
    <w:uiPriority w:val="0"/>
    <w:pPr>
      <w:ind w:left="420" w:leftChars="200"/>
    </w:pPr>
  </w:style>
  <w:style w:type="paragraph" w:styleId="13">
    <w:name w:val="Body Text"/>
    <w:basedOn w:val="1"/>
    <w:next w:val="1"/>
    <w:qFormat/>
    <w:uiPriority w:val="0"/>
    <w:rPr>
      <w:kern w:val="0"/>
      <w:sz w:val="24"/>
    </w:rPr>
  </w:style>
  <w:style w:type="paragraph" w:styleId="1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5">
    <w:name w:val="Body Text First Indent 2"/>
    <w:basedOn w:val="1"/>
    <w:next w:val="1"/>
    <w:qFormat/>
    <w:uiPriority w:val="0"/>
    <w:pPr>
      <w:ind w:firstLine="420"/>
    </w:pPr>
  </w:style>
  <w:style w:type="paragraph" w:styleId="16">
    <w:name w:val="toc 1"/>
    <w:basedOn w:val="1"/>
    <w:next w:val="1"/>
    <w:qFormat/>
    <w:uiPriority w:val="0"/>
    <w:pPr>
      <w:tabs>
        <w:tab w:val="left" w:pos="1080"/>
        <w:tab w:val="right" w:leader="dot" w:pos="8853"/>
      </w:tabs>
      <w:adjustRightInd w:val="0"/>
      <w:snapToGrid w:val="0"/>
      <w:spacing w:line="600" w:lineRule="exact"/>
    </w:pPr>
    <w:rPr>
      <w:rFonts w:ascii="宋体" w:hAnsi="宋体"/>
      <w:szCs w:val="20"/>
    </w:rPr>
  </w:style>
  <w:style w:type="paragraph" w:customStyle="1" w:styleId="19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0">
    <w:name w:val="标题 4 Char"/>
    <w:link w:val="5"/>
    <w:qFormat/>
    <w:uiPriority w:val="0"/>
    <w:rPr>
      <w:rFonts w:ascii="Cambria" w:hAnsi="Cambria" w:eastAsia="宋体" w:cs="Times New Roman"/>
      <w:b/>
      <w:sz w:val="28"/>
      <w:szCs w:val="24"/>
    </w:rPr>
  </w:style>
  <w:style w:type="character" w:customStyle="1" w:styleId="21">
    <w:name w:val="标题 2 Char"/>
    <w:basedOn w:val="17"/>
    <w:link w:val="3"/>
    <w:qFormat/>
    <w:uiPriority w:val="0"/>
    <w:rPr>
      <w:rFonts w:ascii="Cambria" w:hAnsi="Cambria" w:eastAsia="宋体"/>
      <w:b/>
      <w:bCs/>
      <w:kern w:val="2"/>
      <w:sz w:val="32"/>
      <w:szCs w:val="32"/>
    </w:rPr>
  </w:style>
  <w:style w:type="paragraph" w:customStyle="1" w:styleId="22">
    <w:name w:val="正文_0_0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customStyle="1" w:styleId="23">
    <w:name w:val="标题 3 Char"/>
    <w:basedOn w:val="17"/>
    <w:link w:val="4"/>
    <w:qFormat/>
    <w:uiPriority w:val="0"/>
    <w:rPr>
      <w:rFonts w:ascii="Times New Roman" w:hAnsi="Times New Roman" w:eastAsia="宋体"/>
      <w:b/>
      <w:bCs/>
      <w:kern w:val="2"/>
      <w:sz w:val="32"/>
      <w:szCs w:val="32"/>
    </w:rPr>
  </w:style>
  <w:style w:type="character" w:customStyle="1" w:styleId="24">
    <w:name w:val="标题 1 Char"/>
    <w:basedOn w:val="17"/>
    <w:link w:val="2"/>
    <w:qFormat/>
    <w:uiPriority w:val="0"/>
    <w:rPr>
      <w:rFonts w:ascii="Times New Roman" w:hAnsi="Times New Roman" w:eastAsia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杨晓丽</cp:lastModifiedBy>
  <dcterms:modified xsi:type="dcterms:W3CDTF">2019-02-25T01:52:36Z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