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许昌市魏都区城乡统筹发展局“16条道路路灯管护项目”</w:t>
      </w:r>
    </w:p>
    <w:p>
      <w:pPr>
        <w:pStyle w:val="2"/>
        <w:ind w:firstLine="0" w:firstLineChars="0"/>
      </w:pPr>
    </w:p>
    <w:p>
      <w:pPr>
        <w:pStyle w:val="2"/>
        <w:ind w:firstLine="340"/>
      </w:pPr>
    </w:p>
    <w:p>
      <w:pPr>
        <w:pStyle w:val="2"/>
        <w:ind w:firstLine="340"/>
      </w:pPr>
    </w:p>
    <w:p>
      <w:pPr>
        <w:pStyle w:val="2"/>
        <w:ind w:firstLine="340"/>
      </w:pPr>
    </w:p>
    <w:p>
      <w:pPr>
        <w:jc w:val="center"/>
        <w:rPr>
          <w:rFonts w:ascii="微软简隶书" w:eastAsia="微软简隶书"/>
        </w:rPr>
      </w:pPr>
      <w:r>
        <w:rPr>
          <w:rFonts w:hint="eastAsia" w:asciiTheme="majorEastAsia" w:hAnsiTheme="majorEastAsia" w:eastAsiaTheme="majorEastAsia" w:cstheme="majorEastAsia"/>
          <w:bCs/>
          <w:w w:val="90"/>
          <w:sz w:val="96"/>
          <w:szCs w:val="120"/>
        </w:rPr>
        <w:t>招　标　文　件</w:t>
      </w:r>
    </w:p>
    <w:p>
      <w:pPr>
        <w:jc w:val="center"/>
        <w:rPr>
          <w:rFonts w:asciiTheme="majorEastAsia" w:hAnsiTheme="majorEastAsia" w:eastAsiaTheme="majorEastAsia" w:cstheme="majorEastAsia"/>
          <w:bCs/>
          <w:w w:val="90"/>
          <w:sz w:val="120"/>
          <w:szCs w:val="120"/>
        </w:rPr>
      </w:pPr>
    </w:p>
    <w:p>
      <w:pPr>
        <w:rPr>
          <w:rFonts w:ascii="微软简隶书" w:eastAsia="微软简隶书"/>
        </w:rPr>
      </w:pPr>
    </w:p>
    <w:p>
      <w:pPr>
        <w:rPr>
          <w:rFonts w:ascii="微软简隶书" w:eastAsia="微软简隶书"/>
        </w:rPr>
      </w:pPr>
    </w:p>
    <w:p>
      <w:pPr>
        <w:rPr>
          <w:rFonts w:ascii="微软简隶书" w:eastAsia="微软简隶书"/>
        </w:rPr>
      </w:pPr>
    </w:p>
    <w:p>
      <w:pPr>
        <w:pStyle w:val="2"/>
        <w:ind w:firstLine="340"/>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w:t>
      </w:r>
      <w:r>
        <w:rPr>
          <w:rFonts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bCs/>
          <w:sz w:val="36"/>
          <w:szCs w:val="36"/>
        </w:rPr>
        <w:t>项目编号：JZFCG-G2019007号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采购单位：许昌市魏都区城乡统筹发展局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代理机构：中大国信工程管理有限公司</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二〇一九年一月</w:t>
      </w:r>
    </w:p>
    <w:p>
      <w:pPr>
        <w:autoSpaceDE w:val="0"/>
        <w:autoSpaceDN w:val="0"/>
        <w:adjustRightInd w:val="0"/>
        <w:spacing w:line="700" w:lineRule="exact"/>
        <w:ind w:firstLine="551"/>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政府采购政策功能Y</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pStyle w:val="2"/>
        <w:ind w:firstLine="340"/>
      </w:pPr>
    </w:p>
    <w:p>
      <w:pPr>
        <w:pStyle w:val="2"/>
        <w:ind w:firstLine="340"/>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1"/>
        <w:widowControl/>
        <w:shd w:val="clear" w:color="auto" w:fill="FFFFFF"/>
        <w:spacing w:line="360" w:lineRule="auto"/>
        <w:contextualSpacing/>
        <w:jc w:val="left"/>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shd w:val="clear" w:color="auto" w:fill="FFFFFF"/>
        </w:rPr>
        <w:t>一、项目基本情况</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（一）项目名称：16条道路路灯管护项目</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 xml:space="preserve">（二）项目编号：JZFCG-G2019007号    </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（三）采购方式：公开招标</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四）项目主要内容、数量及要求：为进一步规范市政基础设施日常保养工作，针对霸陵路、五一路等16条道路进行路灯设施（线路、灯杆及基础、灯具、箱式变电站）的日常运行与管理维修、路灯使用过程中的安全责任及风险等。具体详见招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（五）预算金额：</w:t>
      </w:r>
      <w:r>
        <w:rPr>
          <w:rFonts w:hint="eastAsia" w:cs="仿宋_GB2312" w:asciiTheme="minorEastAsia" w:hAnsiTheme="minorEastAsia" w:eastAsiaTheme="minorEastAsia"/>
          <w:sz w:val="21"/>
          <w:szCs w:val="21"/>
          <w:u w:val="single"/>
          <w:shd w:val="clear" w:color="auto" w:fill="FFFFFF"/>
        </w:rPr>
        <w:t>3840532.35元</w:t>
      </w:r>
      <w:r>
        <w:rPr>
          <w:rFonts w:hint="eastAsia" w:cs="仿宋_GB2312" w:asciiTheme="minorEastAsia" w:hAnsiTheme="minorEastAsia" w:eastAsiaTheme="minorEastAsia"/>
          <w:sz w:val="21"/>
          <w:szCs w:val="21"/>
          <w:shd w:val="clear" w:color="auto" w:fill="FFFFFF"/>
        </w:rPr>
        <w:t>。最高限价：</w:t>
      </w:r>
      <w:r>
        <w:rPr>
          <w:rFonts w:hint="eastAsia" w:cs="仿宋_GB2312" w:asciiTheme="minorEastAsia" w:hAnsiTheme="minorEastAsia" w:eastAsiaTheme="minorEastAsia"/>
          <w:sz w:val="21"/>
          <w:szCs w:val="21"/>
          <w:u w:val="single"/>
          <w:shd w:val="clear" w:color="auto" w:fill="FFFFFF"/>
        </w:rPr>
        <w:t>3840532.35元</w:t>
      </w:r>
      <w:r>
        <w:rPr>
          <w:rFonts w:hint="eastAsia" w:cs="仿宋_GB2312" w:asciiTheme="minorEastAsia" w:hAnsiTheme="minorEastAsia" w:eastAsiaTheme="minorEastAsia"/>
          <w:sz w:val="21"/>
          <w:szCs w:val="21"/>
          <w:shd w:val="clear" w:color="auto" w:fill="FFFFFF"/>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 xml:space="preserve">（六）交付（服务、完工）时间 ：自合同签订之日起3年。 </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（七）交付（服务、完工）地点： 许昌市。</w:t>
      </w:r>
    </w:p>
    <w:p>
      <w:pPr>
        <w:pStyle w:val="21"/>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本项目落实</w:t>
      </w:r>
      <w:r>
        <w:rPr>
          <w:rFonts w:hint="eastAsia" w:cs="仿宋_GB2312" w:asciiTheme="minorEastAsia" w:hAnsiTheme="minorEastAsia" w:eastAsiaTheme="minorEastAsia"/>
          <w:sz w:val="21"/>
          <w:szCs w:val="21"/>
          <w:u w:val="single"/>
          <w:shd w:val="clear" w:color="auto" w:fill="FFFFFF"/>
        </w:rPr>
        <w:t>节能环保</w:t>
      </w:r>
      <w:r>
        <w:rPr>
          <w:rFonts w:hint="eastAsia" w:cs="仿宋_GB2312" w:asciiTheme="minorEastAsia" w:hAnsiTheme="minorEastAsia" w:eastAsiaTheme="minorEastAsia"/>
          <w:sz w:val="21"/>
          <w:szCs w:val="21"/>
          <w:shd w:val="clear" w:color="auto" w:fill="FFFFFF"/>
        </w:rPr>
        <w:t>、</w:t>
      </w:r>
      <w:r>
        <w:rPr>
          <w:rFonts w:hint="eastAsia" w:cs="仿宋_GB2312" w:asciiTheme="minorEastAsia" w:hAnsiTheme="minorEastAsia" w:eastAsiaTheme="minorEastAsia"/>
          <w:sz w:val="21"/>
          <w:szCs w:val="21"/>
          <w:u w:val="single"/>
          <w:shd w:val="clear" w:color="auto" w:fill="FFFFFF"/>
        </w:rPr>
        <w:t>中小微型企业</w:t>
      </w:r>
      <w:r>
        <w:rPr>
          <w:rFonts w:hint="eastAsia" w:cs="仿宋_GB2312" w:asciiTheme="minorEastAsia" w:hAnsiTheme="minorEastAsia" w:eastAsiaTheme="minorEastAsia"/>
          <w:sz w:val="21"/>
          <w:szCs w:val="21"/>
          <w:shd w:val="clear" w:color="auto" w:fill="FFFFFF"/>
        </w:rPr>
        <w:t>、</w:t>
      </w:r>
      <w:r>
        <w:rPr>
          <w:rFonts w:hint="eastAsia" w:cs="仿宋_GB2312" w:asciiTheme="minorEastAsia" w:hAnsiTheme="minorEastAsia" w:eastAsiaTheme="minorEastAsia"/>
          <w:sz w:val="21"/>
          <w:szCs w:val="21"/>
          <w:u w:val="single"/>
          <w:shd w:val="clear" w:color="auto" w:fill="FFFFFF"/>
        </w:rPr>
        <w:t>残疾人福利性单位</w:t>
      </w:r>
      <w:r>
        <w:rPr>
          <w:rFonts w:hint="eastAsia" w:cs="仿宋_GB2312" w:asciiTheme="minorEastAsia" w:hAnsiTheme="minorEastAsia" w:eastAsiaTheme="minorEastAsia"/>
          <w:sz w:val="21"/>
          <w:szCs w:val="21"/>
          <w:shd w:val="clear" w:color="auto" w:fill="FFFFFF"/>
        </w:rPr>
        <w:t>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三、投标人资格要求</w:t>
      </w:r>
    </w:p>
    <w:p>
      <w:pPr>
        <w:pStyle w:val="21"/>
        <w:widowControl/>
        <w:shd w:val="clear" w:color="auto" w:fill="FFFFFF"/>
        <w:spacing w:line="360" w:lineRule="auto"/>
        <w:ind w:firstLine="315" w:firstLineChars="15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（一）符合《中华人民共和国政府采购法》第二十二条之规定；</w:t>
      </w:r>
    </w:p>
    <w:p>
      <w:pPr>
        <w:pStyle w:val="21"/>
        <w:widowControl/>
        <w:shd w:val="clear" w:color="auto" w:fill="FFFFFF"/>
        <w:spacing w:line="360" w:lineRule="auto"/>
        <w:ind w:firstLine="315" w:firstLineChars="15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（二）投标人须具备市政公用工程施工总承包二级及以上资质；</w:t>
      </w:r>
    </w:p>
    <w:p>
      <w:pPr>
        <w:pStyle w:val="21"/>
        <w:widowControl/>
        <w:shd w:val="clear" w:color="auto" w:fill="FFFFFF"/>
        <w:spacing w:line="360" w:lineRule="auto"/>
        <w:ind w:firstLine="315" w:firstLineChars="15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（三）未被列入“信用中国”网站(www.creditchina.gov.cn)失信被执行人、重大税收违法案件当事人名单、政府采购严重违法失信名单的投标人；“中国政府采购网”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（四）本次招标不接受联合体投标。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（一）网上下载招标文件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（二）招标文件售价</w:t>
      </w:r>
      <w:r>
        <w:rPr>
          <w:rFonts w:hint="eastAsia" w:cs="仿宋_GB2312" w:asciiTheme="minorEastAsia" w:hAnsiTheme="minorEastAsia" w:eastAsiaTheme="minorEastAsia"/>
          <w:sz w:val="21"/>
          <w:szCs w:val="21"/>
          <w:u w:val="single"/>
          <w:shd w:val="clear" w:color="auto" w:fill="FFFFFF"/>
        </w:rPr>
        <w:t>300</w:t>
      </w:r>
      <w:r>
        <w:rPr>
          <w:rFonts w:hint="eastAsia" w:cs="仿宋_GB2312" w:asciiTheme="minorEastAsia" w:hAnsiTheme="minorEastAsia" w:eastAsiaTheme="minorEastAsia"/>
          <w:sz w:val="21"/>
          <w:szCs w:val="21"/>
          <w:shd w:val="clear" w:color="auto" w:fill="FFFFFF"/>
        </w:rPr>
        <w:t>元/套，投标人在递交投标文件时向采购代理机构交纳采购文件费用，售后不退。</w:t>
      </w:r>
    </w:p>
    <w:p>
      <w:pPr>
        <w:pStyle w:val="21"/>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（一）投标截止及开标时间：2019年2月21日9时30分（北京时间），逾期提交或不符合规定的投标文件不予接受。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（二）开标地点：许昌市公共资源交易中心（</w:t>
      </w:r>
      <w:r>
        <w:rPr>
          <w:rFonts w:cs="Arial" w:asciiTheme="minorEastAsia" w:hAnsiTheme="minorEastAsia" w:eastAsiaTheme="minorEastAsia"/>
          <w:sz w:val="21"/>
          <w:szCs w:val="21"/>
        </w:rPr>
        <w:t>龙兴路与竹林路交汇处</w:t>
      </w:r>
      <w:r>
        <w:rPr>
          <w:rFonts w:hint="eastAsia" w:cs="仿宋_GB2312" w:asciiTheme="minorEastAsia" w:hAnsiTheme="minorEastAsia" w:eastAsiaTheme="minorEastAsia"/>
          <w:sz w:val="21"/>
          <w:szCs w:val="21"/>
        </w:rPr>
        <w:t>公共资源大厦）三楼开标五室。</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1、加密电子投标文件</w:t>
      </w:r>
      <w:r>
        <w:rPr>
          <w:rFonts w:hint="eastAsia" w:cs="宋体" w:asciiTheme="minorEastAsia" w:hAnsiTheme="minorEastAsia"/>
          <w:sz w:val="21"/>
          <w:szCs w:val="21"/>
        </w:rPr>
        <w:t>（</w:t>
      </w:r>
      <w:r>
        <w:rPr>
          <w:rFonts w:asciiTheme="minorEastAsia" w:hAnsiTheme="minorEastAsia" w:eastAsiaTheme="minorEastAsia"/>
          <w:sz w:val="21"/>
          <w:szCs w:val="21"/>
        </w:rPr>
        <w:t>.file</w:t>
      </w:r>
      <w:r>
        <w:rPr>
          <w:rFonts w:hint="eastAsia" w:cs="宋体" w:asciiTheme="minorEastAsia" w:hAnsiTheme="minorEastAsia"/>
          <w:sz w:val="21"/>
          <w:szCs w:val="21"/>
        </w:rPr>
        <w:t>格式）须</w:t>
      </w:r>
      <w:r>
        <w:rPr>
          <w:rFonts w:hint="eastAsia" w:cs="仿宋_GB2312" w:asciiTheme="minorEastAsia" w:hAnsiTheme="minorEastAsia" w:eastAsiaTheme="minorEastAsia"/>
          <w:sz w:val="21"/>
          <w:szCs w:val="21"/>
        </w:rPr>
        <w:t>在投标截止时间（开标时间）前通过《全国公共资源交易平台(河南省</w:t>
      </w:r>
      <w:r>
        <w:rPr>
          <w:rFonts w:hint="eastAsia" w:ascii="MS Mincho" w:hAnsi="MS Mincho" w:eastAsia="MS Mincho" w:cs="MS Mincho"/>
          <w:sz w:val="21"/>
          <w:szCs w:val="21"/>
        </w:rPr>
        <w:t>▪</w:t>
      </w:r>
      <w:r>
        <w:rPr>
          <w:rFonts w:hint="eastAsia" w:ascii="宋体" w:hAnsi="宋体" w:cs="宋体"/>
          <w:sz w:val="21"/>
          <w:szCs w:val="21"/>
        </w:rPr>
        <w:t>许昌市</w:t>
      </w:r>
      <w:r>
        <w:rPr>
          <w:rFonts w:hint="eastAsia" w:cs="仿宋_GB2312" w:asciiTheme="minorEastAsia" w:hAnsiTheme="minorEastAsia" w:eastAsiaTheme="minorEastAsia"/>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shd w:val="pct10" w:color="auto" w:fill="FFFFFF"/>
        </w:rPr>
      </w:pPr>
      <w:r>
        <w:rPr>
          <w:rFonts w:hint="eastAsia" w:cs="仿宋_GB2312" w:asciiTheme="minorEastAsia" w:hAnsiTheme="minorEastAsia" w:eastAsiaTheme="minorEastAsia"/>
          <w:sz w:val="21"/>
          <w:szCs w:val="21"/>
        </w:rPr>
        <w:t>2、纸质投标文件（正本、副本各1份）和备份文件1份</w:t>
      </w:r>
      <w:r>
        <w:rPr>
          <w:rFonts w:hint="eastAsia" w:hAnsi="宋体"/>
          <w:sz w:val="21"/>
          <w:szCs w:val="21"/>
        </w:rPr>
        <w:t>（使用电子介质存储）</w:t>
      </w:r>
      <w:r>
        <w:rPr>
          <w:rFonts w:hint="eastAsia" w:cs="仿宋_GB2312" w:asciiTheme="minorEastAsia" w:hAnsiTheme="minorEastAsia" w:eastAsiaTheme="minorEastAsia"/>
          <w:sz w:val="21"/>
          <w:szCs w:val="21"/>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rPr>
        <w:t>八、联系方式</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采购人：许昌市魏都区城乡统筹发展局</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地 址：许昌市天宝路魏都区政府办公楼7楼759室</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联 系 人：张腾浩    联系电话：0374-5055536</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代理机构：中大国信工程管理有限公司</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地    址：许昌市府西路万象春天2栋3单元2001室</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联 系 人：刘岩   联系电话：15617285069</w:t>
      </w:r>
    </w:p>
    <w:p>
      <w:pPr>
        <w:pStyle w:val="21"/>
        <w:widowControl/>
        <w:shd w:val="clear" w:color="auto" w:fill="FFFFFF"/>
        <w:spacing w:line="360" w:lineRule="auto"/>
        <w:ind w:firstLine="420"/>
        <w:contextualSpacing/>
        <w:jc w:val="right"/>
        <w:rPr>
          <w:rFonts w:cs="仿宋_GB2312" w:asciiTheme="minorEastAsia" w:hAnsiTheme="minorEastAsia"/>
          <w:szCs w:val="21"/>
        </w:rPr>
      </w:pPr>
    </w:p>
    <w:p>
      <w:pPr>
        <w:pStyle w:val="21"/>
        <w:widowControl/>
        <w:shd w:val="clear" w:color="auto" w:fill="FFFFFF"/>
        <w:spacing w:line="360" w:lineRule="auto"/>
        <w:ind w:firstLine="420"/>
        <w:contextualSpacing/>
        <w:jc w:val="right"/>
        <w:rPr>
          <w:rFonts w:cs="仿宋_GB2312" w:asciiTheme="minorEastAsia" w:hAnsiTheme="minorEastAsia" w:eastAsiaTheme="minorEastAsia"/>
          <w:sz w:val="21"/>
          <w:szCs w:val="21"/>
        </w:rPr>
      </w:pPr>
      <w:r>
        <w:rPr>
          <w:rFonts w:hint="eastAsia" w:cs="仿宋_GB2312" w:asciiTheme="minorEastAsia" w:hAnsiTheme="minorEastAsia"/>
          <w:szCs w:val="21"/>
        </w:rPr>
        <w:t>许昌市魏都区城乡统筹发展局</w:t>
      </w:r>
    </w:p>
    <w:p>
      <w:pPr>
        <w:autoSpaceDE w:val="0"/>
        <w:autoSpaceDN w:val="0"/>
        <w:adjustRightInd w:val="0"/>
        <w:spacing w:line="700" w:lineRule="exact"/>
        <w:ind w:right="840"/>
        <w:jc w:val="right"/>
        <w:rPr>
          <w:rFonts w:cs="仿宋_GB2312" w:asciiTheme="minorEastAsia" w:hAnsiTheme="minorEastAsia"/>
          <w:szCs w:val="21"/>
        </w:rPr>
      </w:pPr>
      <w:r>
        <w:rPr>
          <w:rFonts w:hint="eastAsia" w:cs="仿宋_GB2312" w:asciiTheme="minorEastAsia" w:hAnsiTheme="minorEastAsia"/>
          <w:szCs w:val="21"/>
        </w:rPr>
        <w:t xml:space="preserve">二〇一九年一月 </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1.</w:t>
      </w:r>
      <w:r>
        <w:rPr>
          <w:rFonts w:hint="eastAsia" w:hAnsi="宋体"/>
          <w:b/>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2</w:t>
      </w:r>
      <w:r>
        <w:rPr>
          <w:rFonts w:asciiTheme="minorEastAsia" w:hAnsiTheme="minorEastAsia"/>
          <w:b/>
          <w:szCs w:val="21"/>
        </w:rPr>
        <w:t>.</w:t>
      </w:r>
      <w:r>
        <w:rPr>
          <w:rFonts w:hint="eastAsia" w:hAnsi="宋体"/>
          <w:b/>
          <w:szCs w:val="21"/>
        </w:rPr>
        <w:t>电子文件下载、制作、提交期间和开标（</w:t>
      </w:r>
      <w:r>
        <w:rPr>
          <w:rFonts w:hint="eastAsia" w:hAnsi="宋体"/>
          <w:szCs w:val="21"/>
        </w:rPr>
        <w:t>电子投标文件的解密</w:t>
      </w:r>
      <w:r>
        <w:rPr>
          <w:rFonts w:hint="eastAsia" w:hAnsi="宋体"/>
          <w:b/>
          <w:szCs w:val="21"/>
        </w:rPr>
        <w:t>）环节，投标人须使用</w:t>
      </w:r>
      <w:r>
        <w:rPr>
          <w:rFonts w:hAnsi="宋体"/>
          <w:b/>
          <w:szCs w:val="21"/>
        </w:rPr>
        <w:t>CA数字证书</w:t>
      </w:r>
      <w:r>
        <w:rPr>
          <w:rFonts w:hint="eastAsia" w:hAnsi="宋体"/>
          <w:b/>
          <w:szCs w:val="21"/>
        </w:rPr>
        <w:t>（证书须在有效期内）</w:t>
      </w:r>
      <w:r>
        <w:rPr>
          <w:rFonts w:hAnsi="宋体"/>
          <w:b/>
          <w:szCs w:val="21"/>
        </w:rPr>
        <w:t>。</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3</w:t>
      </w:r>
      <w:r>
        <w:rPr>
          <w:rFonts w:hint="eastAsia" w:asciiTheme="minorEastAsia" w:hAnsiTheme="minorEastAsia"/>
          <w:b/>
          <w:szCs w:val="21"/>
        </w:rPr>
        <w:t>.</w:t>
      </w:r>
      <w:r>
        <w:rPr>
          <w:rFonts w:hint="eastAsia" w:hAnsi="宋体"/>
          <w:b/>
          <w:szCs w:val="21"/>
        </w:rPr>
        <w:t>电子投标文件的制作</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.1</w:t>
      </w:r>
      <w:r>
        <w:rPr>
          <w:rFonts w:hint="eastAsia" w:hAnsi="宋体"/>
          <w:szCs w:val="21"/>
        </w:rPr>
        <w:t xml:space="preserve"> 投标人登录《全国公共资源交易平台</w:t>
      </w:r>
      <w:r>
        <w:rPr>
          <w:rFonts w:hint="eastAsia" w:asciiTheme="majorEastAsia" w:hAnsiTheme="majorEastAsia" w:eastAsiaTheme="majorEastAsia"/>
          <w:szCs w:val="21"/>
        </w:rPr>
        <w:t>(</w:t>
      </w:r>
      <w:r>
        <w:rPr>
          <w:rFonts w:hint="eastAsia" w:hAnsi="宋体"/>
          <w:szCs w:val="21"/>
        </w:rPr>
        <w:t>河南省▪许昌市</w:t>
      </w:r>
      <w:r>
        <w:rPr>
          <w:rFonts w:hint="eastAsia" w:asciiTheme="minorEastAsia" w:hAnsiTheme="minorEastAsia"/>
          <w:szCs w:val="21"/>
        </w:rPr>
        <w:t>)</w:t>
      </w:r>
      <w:r>
        <w:rPr>
          <w:rFonts w:hint="eastAsia" w:hAnsi="宋体"/>
          <w:szCs w:val="21"/>
        </w:rPr>
        <w:t>》公共资源交易系统（</w:t>
      </w:r>
      <w:r>
        <w:fldChar w:fldCharType="begin"/>
      </w:r>
      <w:r>
        <w:instrText xml:space="preserve"> HYPERLINK "http://221.14.6.70:8088/ggzy/" </w:instrText>
      </w:r>
      <w:r>
        <w:fldChar w:fldCharType="separate"/>
      </w:r>
      <w:r>
        <w:rPr>
          <w:rStyle w:val="25"/>
          <w:rFonts w:hAnsi="宋体"/>
          <w:color w:val="auto"/>
          <w:szCs w:val="21"/>
        </w:rPr>
        <w:t>http://221.14.6.70:8088/ggzy/</w:t>
      </w:r>
      <w:r>
        <w:rPr>
          <w:rStyle w:val="25"/>
          <w:rFonts w:hAnsi="宋体"/>
          <w:color w:val="auto"/>
          <w:szCs w:val="21"/>
        </w:rPr>
        <w:fldChar w:fldCharType="end"/>
      </w:r>
      <w:r>
        <w:rPr>
          <w:rFonts w:hint="eastAsia" w:hAnsi="宋体"/>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szCs w:val="21"/>
        </w:rPr>
      </w:pPr>
      <w:r>
        <w:rPr>
          <w:rFonts w:hint="eastAsia" w:hAnsi="宋体"/>
          <w:szCs w:val="21"/>
        </w:rPr>
        <w:t>电子投标文件的制作，参考《全国公共资源交易平台</w:t>
      </w:r>
      <w:r>
        <w:rPr>
          <w:rFonts w:hint="eastAsia" w:asciiTheme="minorEastAsia" w:hAnsiTheme="min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》公共资源交易系统——组件下载——交易系统操作手册（投标人、供应商）。</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w:t>
      </w:r>
      <w:r>
        <w:rPr>
          <w:rFonts w:asciiTheme="minorEastAsia" w:hAnsiTheme="minorEastAsia"/>
          <w:szCs w:val="21"/>
        </w:rPr>
        <w:t>2</w:t>
      </w:r>
      <w:r>
        <w:rPr>
          <w:rFonts w:hint="eastAsia" w:hAnsi="宋体"/>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szCs w:val="21"/>
        </w:rPr>
      </w:pPr>
      <w:r>
        <w:rPr>
          <w:rFonts w:asciiTheme="minorEastAsia" w:hAnsiTheme="minorEastAsia"/>
          <w:szCs w:val="21"/>
        </w:rPr>
        <w:t>3.3</w:t>
      </w:r>
      <w:r>
        <w:rPr>
          <w:rFonts w:hint="eastAsia" w:hAnsi="宋体"/>
          <w:szCs w:val="21"/>
        </w:rPr>
        <w:t>投标人对同一项目多个标段进行投标的，应分别下载所投标段的招标文件，按标段制作电子投标文件，并</w:t>
      </w:r>
      <w:r>
        <w:rPr>
          <w:rFonts w:hAnsi="宋体"/>
          <w:szCs w:val="21"/>
        </w:rPr>
        <w:t>按招标文件要求在相应位置加盖</w:t>
      </w:r>
      <w:r>
        <w:rPr>
          <w:rFonts w:hint="eastAsia" w:hAnsi="宋体"/>
          <w:szCs w:val="21"/>
        </w:rPr>
        <w:t>投标人</w:t>
      </w:r>
      <w:r>
        <w:rPr>
          <w:rFonts w:hAnsi="宋体"/>
          <w:szCs w:val="21"/>
        </w:rPr>
        <w:t>电子印章</w:t>
      </w:r>
      <w:r>
        <w:rPr>
          <w:rFonts w:hint="eastAsia" w:hAnsi="宋体"/>
          <w:szCs w:val="21"/>
        </w:rPr>
        <w:t>和法人电子印章。</w:t>
      </w:r>
    </w:p>
    <w:p>
      <w:pPr>
        <w:tabs>
          <w:tab w:val="left" w:pos="7095"/>
        </w:tabs>
        <w:spacing w:line="360" w:lineRule="auto"/>
        <w:ind w:left="105" w:leftChars="50" w:firstLine="315" w:firstLineChars="150"/>
        <w:contextualSpacing/>
        <w:rPr>
          <w:rFonts w:hAnsi="宋体"/>
          <w:szCs w:val="21"/>
        </w:rPr>
      </w:pPr>
      <w:r>
        <w:rPr>
          <w:rFonts w:hint="eastAsia" w:hAnsi="宋体"/>
          <w:szCs w:val="21"/>
        </w:rPr>
        <w:t>一个标段对应生成一个文件夹（xxxx项目xx标段）, 其中包含2个文件和1个文件夹。后缀名为“</w:t>
      </w:r>
      <w:r>
        <w:rPr>
          <w:rFonts w:hAnsi="宋体"/>
          <w:szCs w:val="21"/>
        </w:rPr>
        <w:t>.file</w:t>
      </w:r>
      <w:r>
        <w:rPr>
          <w:rFonts w:hint="eastAsia" w:hAnsi="宋体"/>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4</w:t>
      </w:r>
      <w:r>
        <w:rPr>
          <w:rFonts w:hint="eastAsia" w:asciiTheme="minorEastAsia" w:hAnsiTheme="minorEastAsia"/>
          <w:b/>
          <w:szCs w:val="21"/>
        </w:rPr>
        <w:t>.加密</w:t>
      </w:r>
      <w:r>
        <w:rPr>
          <w:rFonts w:hint="eastAsia" w:hAnsi="宋体"/>
          <w:b/>
          <w:szCs w:val="21"/>
        </w:rPr>
        <w:t>电子投标文件的提交</w:t>
      </w:r>
    </w:p>
    <w:p>
      <w:pPr>
        <w:tabs>
          <w:tab w:val="left" w:pos="7095"/>
        </w:tabs>
        <w:spacing w:line="360" w:lineRule="auto"/>
        <w:contextualSpacing/>
        <w:rPr>
          <w:rFonts w:hAnsi="宋体"/>
          <w:szCs w:val="21"/>
        </w:rPr>
      </w:pPr>
      <w:r>
        <w:rPr>
          <w:rFonts w:asciiTheme="minorEastAsia" w:hAnsiTheme="minorEastAsia"/>
          <w:szCs w:val="21"/>
        </w:rPr>
        <w:t>4</w:t>
      </w:r>
      <w:r>
        <w:rPr>
          <w:rFonts w:hint="eastAsia" w:asciiTheme="minorEastAsia" w:hAnsiTheme="minorEastAsia"/>
          <w:szCs w:val="21"/>
        </w:rPr>
        <w:t>.1加密</w:t>
      </w:r>
      <w:r>
        <w:rPr>
          <w:rFonts w:hint="eastAsia" w:hAnsi="宋体"/>
          <w:szCs w:val="21"/>
        </w:rPr>
        <w:t>电子投标文件应在招标文件规定的投标截止时间（开标时间）之前成功提交至《全国公共资源交易平台(河南省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fldChar w:fldCharType="begin"/>
      </w:r>
      <w:r>
        <w:instrText xml:space="preserve"> HYPERLINK "http://221.14.6.70:8088/ggzy/" </w:instrText>
      </w:r>
      <w:r>
        <w:fldChar w:fldCharType="separate"/>
      </w:r>
      <w:r>
        <w:rPr>
          <w:rStyle w:val="25"/>
          <w:rFonts w:hAnsi="宋体"/>
          <w:color w:val="auto"/>
          <w:szCs w:val="21"/>
        </w:rPr>
        <w:t>http://221.14.6.70:8088/ggzy/</w:t>
      </w:r>
      <w:r>
        <w:rPr>
          <w:rStyle w:val="25"/>
          <w:rFonts w:hAnsi="宋体"/>
          <w:color w:val="auto"/>
          <w:szCs w:val="21"/>
        </w:rPr>
        <w:fldChar w:fldCharType="end"/>
      </w:r>
      <w:r>
        <w:rPr>
          <w:rFonts w:hint="eastAsia" w:hAnsi="宋体"/>
          <w:szCs w:val="21"/>
        </w:rPr>
        <w:t>）。</w:t>
      </w:r>
    </w:p>
    <w:p>
      <w:pPr>
        <w:tabs>
          <w:tab w:val="left" w:pos="7095"/>
        </w:tabs>
        <w:spacing w:line="360" w:lineRule="auto"/>
        <w:ind w:firstLine="420" w:firstLineChars="200"/>
        <w:contextualSpacing/>
        <w:rPr>
          <w:rFonts w:hAnsi="宋体"/>
          <w:szCs w:val="21"/>
        </w:rPr>
      </w:pPr>
      <w:r>
        <w:rPr>
          <w:rFonts w:hint="eastAsia" w:hAnsi="宋体"/>
          <w:szCs w:val="21"/>
        </w:rPr>
        <w:t>投标人应充分考虑并预留技术处理和上传数据所需时间。</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 xml:space="preserve">2 </w:t>
      </w:r>
      <w:r>
        <w:rPr>
          <w:rFonts w:hint="eastAsia" w:hAnsi="宋体"/>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 xml:space="preserve"> 加密</w:t>
      </w:r>
      <w:r>
        <w:rPr>
          <w:rFonts w:hint="eastAsia" w:hAnsi="宋体"/>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5</w:t>
      </w:r>
      <w:r>
        <w:rPr>
          <w:rFonts w:hint="eastAsia" w:asciiTheme="minorEastAsia" w:hAnsiTheme="minorEastAsia"/>
          <w:b/>
          <w:szCs w:val="21"/>
        </w:rPr>
        <w:t>.</w:t>
      </w:r>
      <w:r>
        <w:rPr>
          <w:rFonts w:hint="eastAsia" w:hAnsi="宋体"/>
          <w:b/>
          <w:szCs w:val="21"/>
        </w:rPr>
        <w:t>评标依据</w:t>
      </w:r>
    </w:p>
    <w:p>
      <w:pPr>
        <w:tabs>
          <w:tab w:val="left" w:pos="7095"/>
        </w:tabs>
        <w:spacing w:line="360" w:lineRule="auto"/>
        <w:ind w:firstLine="420" w:firstLineChars="200"/>
        <w:contextualSpacing/>
        <w:rPr>
          <w:rFonts w:hAnsi="宋体"/>
          <w:szCs w:val="21"/>
        </w:rPr>
      </w:pPr>
      <w:r>
        <w:rPr>
          <w:rFonts w:hint="eastAsia" w:asciiTheme="minorEastAsia" w:hAnsiTheme="minorEastAsia"/>
          <w:szCs w:val="21"/>
        </w:rPr>
        <w:t>5.1</w:t>
      </w:r>
      <w:r>
        <w:rPr>
          <w:rFonts w:hint="eastAsia" w:hAnsi="宋体"/>
          <w:szCs w:val="21"/>
        </w:rPr>
        <w:t>采用全流程电子化交易评标时，评标委员会以电子投标文件为依据评标。</w:t>
      </w:r>
    </w:p>
    <w:p>
      <w:pPr>
        <w:tabs>
          <w:tab w:val="left" w:pos="7095"/>
        </w:tabs>
        <w:spacing w:line="360" w:lineRule="auto"/>
        <w:ind w:firstLine="420" w:firstLineChars="200"/>
        <w:contextualSpacing/>
        <w:rPr>
          <w:rFonts w:hAnsi="宋体"/>
          <w:szCs w:val="21"/>
        </w:rPr>
      </w:pPr>
      <w:r>
        <w:rPr>
          <w:rFonts w:hint="eastAsia" w:asciiTheme="minorEastAsia" w:hAnsiTheme="minorEastAsia"/>
          <w:szCs w:val="21"/>
        </w:rPr>
        <w:t>5.2</w:t>
      </w:r>
      <w:r>
        <w:rPr>
          <w:rFonts w:hint="eastAsia" w:hAnsi="宋体"/>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pStyle w:val="2"/>
        <w:ind w:firstLine="340"/>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 项目需求</w:t>
      </w:r>
    </w:p>
    <w:p>
      <w:pPr>
        <w:spacing w:line="360" w:lineRule="auto"/>
        <w:ind w:firstLine="482" w:firstLineChars="200"/>
        <w:contextualSpacing/>
        <w:rPr>
          <w:rFonts w:ascii="宋体" w:hAnsi="宋体" w:cs="宋体"/>
          <w:b/>
          <w:bCs/>
          <w:kern w:val="0"/>
          <w:sz w:val="24"/>
          <w:shd w:val="clear" w:color="auto" w:fill="FFFFFF"/>
        </w:rPr>
      </w:pPr>
      <w:r>
        <w:rPr>
          <w:rFonts w:hint="eastAsia" w:ascii="宋体" w:hAnsi="宋体" w:cs="宋体"/>
          <w:b/>
          <w:bCs/>
          <w:kern w:val="0"/>
          <w:sz w:val="24"/>
          <w:shd w:val="clear" w:color="auto" w:fill="FFFFFF"/>
        </w:rPr>
        <w:t>一、本项目需实现的功能或者目标：</w:t>
      </w:r>
    </w:p>
    <w:p>
      <w:pPr>
        <w:spacing w:line="360" w:lineRule="auto"/>
        <w:ind w:firstLine="480" w:firstLineChars="200"/>
        <w:contextualSpacing/>
        <w:rPr>
          <w:rFonts w:cs="仿宋_GB2312" w:asciiTheme="minorEastAsia" w:hAnsiTheme="minorEastAsia"/>
          <w:sz w:val="24"/>
          <w:szCs w:val="24"/>
          <w:shd w:val="clear" w:color="auto" w:fill="FFFFFF"/>
        </w:rPr>
      </w:pPr>
      <w:bookmarkStart w:id="0" w:name="_Hlk534991355"/>
      <w:r>
        <w:rPr>
          <w:rFonts w:hint="eastAsia" w:cs="仿宋_GB2312" w:asciiTheme="minorEastAsia" w:hAnsiTheme="minorEastAsia"/>
          <w:sz w:val="24"/>
          <w:szCs w:val="24"/>
          <w:shd w:val="clear" w:color="auto" w:fill="FFFFFF"/>
        </w:rPr>
        <w:t>为进一步规范市政基础设施日常保养工作，针对霸陵路、五一路等16条道路进行路灯设施（线路、灯杆及基础、灯具、箱式变电站）的日常运行与管理维修、路灯使用过程中的安全责任及风险等。</w:t>
      </w:r>
      <w:bookmarkEnd w:id="0"/>
    </w:p>
    <w:p>
      <w:pPr>
        <w:spacing w:line="360" w:lineRule="auto"/>
        <w:ind w:firstLine="480" w:firstLineChars="200"/>
        <w:contextualSpacing/>
        <w:rPr>
          <w:rFonts w:cs="仿宋_GB2312" w:asciiTheme="minorEastAsia" w:hAnsiTheme="minorEastAsia"/>
          <w:sz w:val="24"/>
          <w:szCs w:val="24"/>
          <w:shd w:val="clear" w:color="auto" w:fill="FFFFFF"/>
        </w:rPr>
      </w:pPr>
      <w:r>
        <w:rPr>
          <w:rFonts w:hint="eastAsia" w:cs="仿宋_GB2312" w:asciiTheme="minorEastAsia" w:hAnsiTheme="minorEastAsia"/>
          <w:sz w:val="24"/>
          <w:szCs w:val="24"/>
          <w:shd w:val="clear" w:color="auto" w:fill="FFFFFF"/>
        </w:rPr>
        <w:t>具体养护范围及详细参数如下表：</w:t>
      </w:r>
    </w:p>
    <w:tbl>
      <w:tblPr>
        <w:tblStyle w:val="27"/>
        <w:tblW w:w="103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721"/>
        <w:gridCol w:w="850"/>
        <w:gridCol w:w="851"/>
        <w:gridCol w:w="850"/>
        <w:gridCol w:w="851"/>
        <w:gridCol w:w="908"/>
        <w:gridCol w:w="963"/>
        <w:gridCol w:w="1460"/>
        <w:gridCol w:w="756"/>
        <w:gridCol w:w="876"/>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vAlign w:val="center"/>
          </w:tcPr>
          <w:p>
            <w:pPr>
              <w:rPr>
                <w:rFonts w:eastAsia="宋体"/>
                <w:szCs w:val="21"/>
              </w:rPr>
            </w:pPr>
            <w:r>
              <w:rPr>
                <w:rFonts w:hint="eastAsia"/>
                <w:szCs w:val="21"/>
              </w:rPr>
              <w:t>序号</w:t>
            </w:r>
          </w:p>
        </w:tc>
        <w:tc>
          <w:tcPr>
            <w:tcW w:w="721" w:type="dxa"/>
            <w:vAlign w:val="center"/>
          </w:tcPr>
          <w:p>
            <w:pPr>
              <w:rPr>
                <w:rFonts w:eastAsia="宋体"/>
                <w:szCs w:val="21"/>
              </w:rPr>
            </w:pPr>
            <w:r>
              <w:rPr>
                <w:rFonts w:hint="eastAsia"/>
                <w:szCs w:val="21"/>
              </w:rPr>
              <w:t>道路名称</w:t>
            </w:r>
          </w:p>
        </w:tc>
        <w:tc>
          <w:tcPr>
            <w:tcW w:w="850" w:type="dxa"/>
            <w:vAlign w:val="center"/>
          </w:tcPr>
          <w:p>
            <w:pPr>
              <w:rPr>
                <w:rFonts w:eastAsia="宋体"/>
                <w:szCs w:val="21"/>
              </w:rPr>
            </w:pPr>
            <w:r>
              <w:rPr>
                <w:rFonts w:hint="eastAsia"/>
                <w:szCs w:val="21"/>
              </w:rPr>
              <w:t>亮化地点范围</w:t>
            </w:r>
          </w:p>
        </w:tc>
        <w:tc>
          <w:tcPr>
            <w:tcW w:w="851" w:type="dxa"/>
            <w:vAlign w:val="center"/>
          </w:tcPr>
          <w:p>
            <w:pPr>
              <w:rPr>
                <w:rFonts w:eastAsia="宋体"/>
                <w:szCs w:val="21"/>
              </w:rPr>
            </w:pPr>
            <w:r>
              <w:rPr>
                <w:rFonts w:hint="eastAsia"/>
                <w:szCs w:val="21"/>
              </w:rPr>
              <w:t>灯杆基数（根）</w:t>
            </w:r>
          </w:p>
        </w:tc>
        <w:tc>
          <w:tcPr>
            <w:tcW w:w="850" w:type="dxa"/>
            <w:vAlign w:val="center"/>
          </w:tcPr>
          <w:p>
            <w:pPr>
              <w:rPr>
                <w:rFonts w:eastAsia="宋体"/>
                <w:szCs w:val="21"/>
              </w:rPr>
            </w:pPr>
            <w:r>
              <w:rPr>
                <w:rFonts w:hint="eastAsia"/>
                <w:szCs w:val="21"/>
              </w:rPr>
              <w:t>每杆灯头（盏）</w:t>
            </w:r>
          </w:p>
        </w:tc>
        <w:tc>
          <w:tcPr>
            <w:tcW w:w="851" w:type="dxa"/>
            <w:vAlign w:val="center"/>
          </w:tcPr>
          <w:p>
            <w:pPr>
              <w:rPr>
                <w:rFonts w:eastAsia="宋体"/>
                <w:szCs w:val="21"/>
              </w:rPr>
            </w:pPr>
            <w:r>
              <w:rPr>
                <w:rFonts w:hint="eastAsia"/>
                <w:szCs w:val="21"/>
              </w:rPr>
              <w:t>每盏数（盏）</w:t>
            </w:r>
          </w:p>
        </w:tc>
        <w:tc>
          <w:tcPr>
            <w:tcW w:w="908" w:type="dxa"/>
            <w:vAlign w:val="center"/>
          </w:tcPr>
          <w:p>
            <w:pPr>
              <w:rPr>
                <w:rFonts w:eastAsia="宋体"/>
                <w:szCs w:val="21"/>
              </w:rPr>
            </w:pPr>
            <w:r>
              <w:rPr>
                <w:rFonts w:hint="eastAsia"/>
                <w:szCs w:val="21"/>
              </w:rPr>
              <w:t>道路长度</w:t>
            </w:r>
            <w:r>
              <w:rPr>
                <w:rFonts w:hint="eastAsia"/>
                <w:sz w:val="18"/>
                <w:szCs w:val="18"/>
              </w:rPr>
              <w:t>（米）</w:t>
            </w:r>
          </w:p>
        </w:tc>
        <w:tc>
          <w:tcPr>
            <w:tcW w:w="963" w:type="dxa"/>
            <w:vAlign w:val="center"/>
          </w:tcPr>
          <w:p>
            <w:pPr>
              <w:rPr>
                <w:rFonts w:eastAsia="宋体"/>
                <w:szCs w:val="21"/>
              </w:rPr>
            </w:pPr>
            <w:r>
              <w:rPr>
                <w:rFonts w:hint="eastAsia"/>
                <w:szCs w:val="21"/>
              </w:rPr>
              <w:t>电缆敷设长度</w:t>
            </w:r>
            <w:r>
              <w:rPr>
                <w:rFonts w:hint="eastAsia"/>
                <w:sz w:val="18"/>
                <w:szCs w:val="18"/>
              </w:rPr>
              <w:t>（米）</w:t>
            </w:r>
          </w:p>
        </w:tc>
        <w:tc>
          <w:tcPr>
            <w:tcW w:w="1460" w:type="dxa"/>
            <w:vAlign w:val="center"/>
          </w:tcPr>
          <w:p>
            <w:pPr>
              <w:rPr>
                <w:rFonts w:eastAsia="宋体"/>
                <w:szCs w:val="21"/>
              </w:rPr>
            </w:pPr>
            <w:r>
              <w:rPr>
                <w:rFonts w:hint="eastAsia"/>
                <w:szCs w:val="21"/>
              </w:rPr>
              <w:t>光源类型及功率</w:t>
            </w:r>
          </w:p>
        </w:tc>
        <w:tc>
          <w:tcPr>
            <w:tcW w:w="756" w:type="dxa"/>
            <w:vAlign w:val="center"/>
          </w:tcPr>
          <w:p>
            <w:pPr>
              <w:rPr>
                <w:rFonts w:eastAsia="宋体"/>
                <w:szCs w:val="21"/>
              </w:rPr>
            </w:pPr>
            <w:r>
              <w:rPr>
                <w:rFonts w:hint="eastAsia"/>
                <w:szCs w:val="21"/>
              </w:rPr>
              <w:t>灯杆高度</w:t>
            </w:r>
            <w:r>
              <w:rPr>
                <w:rFonts w:hint="eastAsia"/>
                <w:sz w:val="18"/>
                <w:szCs w:val="18"/>
              </w:rPr>
              <w:t>（米）</w:t>
            </w:r>
          </w:p>
        </w:tc>
        <w:tc>
          <w:tcPr>
            <w:tcW w:w="876" w:type="dxa"/>
            <w:vAlign w:val="center"/>
          </w:tcPr>
          <w:p>
            <w:pPr>
              <w:rPr>
                <w:rFonts w:eastAsia="宋体"/>
                <w:szCs w:val="21"/>
              </w:rPr>
            </w:pPr>
            <w:r>
              <w:rPr>
                <w:rFonts w:hint="eastAsia"/>
                <w:szCs w:val="21"/>
              </w:rPr>
              <w:t>变压器及控制柜</w:t>
            </w:r>
          </w:p>
        </w:tc>
        <w:tc>
          <w:tcPr>
            <w:tcW w:w="707" w:type="dxa"/>
            <w:vAlign w:val="center"/>
          </w:tcPr>
          <w:p>
            <w:pPr>
              <w:rPr>
                <w:rFonts w:eastAsia="宋体"/>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vAlign w:val="center"/>
          </w:tcPr>
          <w:p>
            <w:pPr>
              <w:rPr>
                <w:rFonts w:eastAsia="宋体"/>
                <w:szCs w:val="21"/>
              </w:rPr>
            </w:pPr>
            <w:r>
              <w:rPr>
                <w:rFonts w:hint="eastAsia"/>
                <w:szCs w:val="21"/>
              </w:rPr>
              <w:t>1</w:t>
            </w:r>
          </w:p>
        </w:tc>
        <w:tc>
          <w:tcPr>
            <w:tcW w:w="721" w:type="dxa"/>
            <w:vAlign w:val="center"/>
          </w:tcPr>
          <w:p>
            <w:pPr>
              <w:jc w:val="left"/>
              <w:rPr>
                <w:rFonts w:eastAsia="宋体"/>
                <w:szCs w:val="21"/>
              </w:rPr>
            </w:pPr>
            <w:r>
              <w:rPr>
                <w:rFonts w:hint="eastAsia"/>
                <w:szCs w:val="21"/>
              </w:rPr>
              <w:t>竹林路</w:t>
            </w:r>
          </w:p>
        </w:tc>
        <w:tc>
          <w:tcPr>
            <w:tcW w:w="850" w:type="dxa"/>
            <w:vAlign w:val="center"/>
          </w:tcPr>
          <w:p>
            <w:pPr>
              <w:jc w:val="left"/>
              <w:rPr>
                <w:rFonts w:eastAsia="宋体"/>
                <w:szCs w:val="21"/>
              </w:rPr>
            </w:pPr>
            <w:r>
              <w:rPr>
                <w:rFonts w:hint="eastAsia"/>
                <w:szCs w:val="21"/>
              </w:rPr>
              <w:t>北外环-文轩路</w:t>
            </w:r>
          </w:p>
        </w:tc>
        <w:tc>
          <w:tcPr>
            <w:tcW w:w="851" w:type="dxa"/>
            <w:vAlign w:val="center"/>
          </w:tcPr>
          <w:p>
            <w:pPr>
              <w:ind w:firstLine="210"/>
              <w:rPr>
                <w:rFonts w:eastAsia="宋体"/>
                <w:szCs w:val="21"/>
              </w:rPr>
            </w:pPr>
            <w:r>
              <w:rPr>
                <w:rFonts w:hint="eastAsia"/>
                <w:szCs w:val="21"/>
              </w:rPr>
              <w:t>52</w:t>
            </w:r>
          </w:p>
        </w:tc>
        <w:tc>
          <w:tcPr>
            <w:tcW w:w="850" w:type="dxa"/>
            <w:vAlign w:val="center"/>
          </w:tcPr>
          <w:p>
            <w:pPr>
              <w:ind w:firstLine="210"/>
              <w:rPr>
                <w:rFonts w:eastAsia="宋体"/>
                <w:szCs w:val="21"/>
              </w:rPr>
            </w:pPr>
            <w:r>
              <w:rPr>
                <w:rFonts w:hint="eastAsia"/>
                <w:szCs w:val="21"/>
              </w:rPr>
              <w:t>2</w:t>
            </w:r>
          </w:p>
        </w:tc>
        <w:tc>
          <w:tcPr>
            <w:tcW w:w="851" w:type="dxa"/>
            <w:vAlign w:val="center"/>
          </w:tcPr>
          <w:p>
            <w:pPr>
              <w:ind w:firstLine="210"/>
              <w:rPr>
                <w:rFonts w:eastAsia="宋体"/>
                <w:szCs w:val="21"/>
              </w:rPr>
            </w:pPr>
            <w:r>
              <w:rPr>
                <w:rFonts w:hint="eastAsia"/>
                <w:szCs w:val="21"/>
              </w:rPr>
              <w:t>104</w:t>
            </w:r>
          </w:p>
        </w:tc>
        <w:tc>
          <w:tcPr>
            <w:tcW w:w="908" w:type="dxa"/>
            <w:vAlign w:val="center"/>
          </w:tcPr>
          <w:p>
            <w:pPr>
              <w:rPr>
                <w:rFonts w:eastAsia="宋体"/>
                <w:szCs w:val="21"/>
              </w:rPr>
            </w:pPr>
            <w:r>
              <w:rPr>
                <w:rFonts w:hint="eastAsia"/>
                <w:szCs w:val="21"/>
              </w:rPr>
              <w:t>739米</w:t>
            </w:r>
          </w:p>
        </w:tc>
        <w:tc>
          <w:tcPr>
            <w:tcW w:w="963" w:type="dxa"/>
            <w:vAlign w:val="center"/>
          </w:tcPr>
          <w:p>
            <w:pPr>
              <w:rPr>
                <w:rFonts w:eastAsia="宋体"/>
                <w:szCs w:val="21"/>
              </w:rPr>
            </w:pPr>
            <w:r>
              <w:rPr>
                <w:rFonts w:hint="eastAsia"/>
                <w:szCs w:val="21"/>
              </w:rPr>
              <w:t>1553米</w:t>
            </w:r>
          </w:p>
        </w:tc>
        <w:tc>
          <w:tcPr>
            <w:tcW w:w="1460" w:type="dxa"/>
            <w:vAlign w:val="center"/>
          </w:tcPr>
          <w:p>
            <w:pPr>
              <w:ind w:firstLine="210"/>
              <w:jc w:val="center"/>
              <w:rPr>
                <w:rFonts w:eastAsia="宋体"/>
                <w:szCs w:val="21"/>
              </w:rPr>
            </w:pPr>
            <w:r>
              <w:rPr>
                <w:rFonts w:hint="eastAsia"/>
                <w:szCs w:val="21"/>
              </w:rPr>
              <w:t>200W/150WLED</w:t>
            </w:r>
          </w:p>
        </w:tc>
        <w:tc>
          <w:tcPr>
            <w:tcW w:w="756" w:type="dxa"/>
            <w:vAlign w:val="center"/>
          </w:tcPr>
          <w:p>
            <w:pPr>
              <w:rPr>
                <w:rFonts w:eastAsia="宋体"/>
                <w:szCs w:val="21"/>
              </w:rPr>
            </w:pPr>
            <w:r>
              <w:rPr>
                <w:rFonts w:hint="eastAsia"/>
                <w:szCs w:val="21"/>
              </w:rPr>
              <w:t>10米</w:t>
            </w:r>
          </w:p>
        </w:tc>
        <w:tc>
          <w:tcPr>
            <w:tcW w:w="876" w:type="dxa"/>
            <w:vAlign w:val="center"/>
          </w:tcPr>
          <w:p>
            <w:pPr>
              <w:ind w:firstLine="210"/>
              <w:jc w:val="center"/>
              <w:rPr>
                <w:rFonts w:eastAsia="宋体"/>
                <w:szCs w:val="21"/>
              </w:rPr>
            </w:pPr>
            <w:r>
              <w:rPr>
                <w:rFonts w:hint="eastAsia"/>
                <w:szCs w:val="21"/>
              </w:rPr>
              <w:t>1台250KVA箱变</w:t>
            </w:r>
          </w:p>
        </w:tc>
        <w:tc>
          <w:tcPr>
            <w:tcW w:w="707" w:type="dxa"/>
            <w:vAlign w:val="center"/>
          </w:tcPr>
          <w:p>
            <w:pPr>
              <w:ind w:firstLine="21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vAlign w:val="center"/>
          </w:tcPr>
          <w:p>
            <w:pPr>
              <w:rPr>
                <w:rFonts w:eastAsia="宋体"/>
                <w:szCs w:val="21"/>
              </w:rPr>
            </w:pPr>
            <w:r>
              <w:rPr>
                <w:rFonts w:hint="eastAsia"/>
                <w:szCs w:val="21"/>
              </w:rPr>
              <w:t>2</w:t>
            </w:r>
          </w:p>
        </w:tc>
        <w:tc>
          <w:tcPr>
            <w:tcW w:w="721" w:type="dxa"/>
            <w:vAlign w:val="center"/>
          </w:tcPr>
          <w:p>
            <w:pPr>
              <w:jc w:val="left"/>
              <w:rPr>
                <w:rFonts w:eastAsia="宋体"/>
                <w:szCs w:val="21"/>
              </w:rPr>
            </w:pPr>
            <w:r>
              <w:rPr>
                <w:rFonts w:hint="eastAsia"/>
                <w:szCs w:val="21"/>
              </w:rPr>
              <w:t>青梅路</w:t>
            </w:r>
          </w:p>
        </w:tc>
        <w:tc>
          <w:tcPr>
            <w:tcW w:w="850" w:type="dxa"/>
            <w:vAlign w:val="center"/>
          </w:tcPr>
          <w:p>
            <w:pPr>
              <w:jc w:val="left"/>
              <w:rPr>
                <w:szCs w:val="21"/>
              </w:rPr>
            </w:pPr>
            <w:r>
              <w:rPr>
                <w:rFonts w:hint="eastAsia"/>
                <w:szCs w:val="21"/>
              </w:rPr>
              <w:t>北外环-东城区界</w:t>
            </w:r>
          </w:p>
        </w:tc>
        <w:tc>
          <w:tcPr>
            <w:tcW w:w="851" w:type="dxa"/>
            <w:vAlign w:val="center"/>
          </w:tcPr>
          <w:p>
            <w:pPr>
              <w:ind w:firstLine="210"/>
              <w:rPr>
                <w:szCs w:val="21"/>
              </w:rPr>
            </w:pPr>
            <w:r>
              <w:rPr>
                <w:rFonts w:hint="eastAsia"/>
                <w:szCs w:val="21"/>
              </w:rPr>
              <w:t>50</w:t>
            </w:r>
          </w:p>
        </w:tc>
        <w:tc>
          <w:tcPr>
            <w:tcW w:w="850" w:type="dxa"/>
            <w:vAlign w:val="center"/>
          </w:tcPr>
          <w:p>
            <w:pPr>
              <w:ind w:firstLine="210"/>
              <w:rPr>
                <w:szCs w:val="21"/>
              </w:rPr>
            </w:pPr>
            <w:r>
              <w:rPr>
                <w:rFonts w:hint="eastAsia"/>
                <w:szCs w:val="21"/>
              </w:rPr>
              <w:t>2</w:t>
            </w:r>
          </w:p>
        </w:tc>
        <w:tc>
          <w:tcPr>
            <w:tcW w:w="851" w:type="dxa"/>
            <w:vAlign w:val="center"/>
          </w:tcPr>
          <w:p>
            <w:pPr>
              <w:ind w:firstLine="210"/>
              <w:rPr>
                <w:szCs w:val="21"/>
              </w:rPr>
            </w:pPr>
            <w:r>
              <w:rPr>
                <w:rFonts w:hint="eastAsia"/>
                <w:szCs w:val="21"/>
              </w:rPr>
              <w:t>100</w:t>
            </w:r>
          </w:p>
        </w:tc>
        <w:tc>
          <w:tcPr>
            <w:tcW w:w="908" w:type="dxa"/>
            <w:vAlign w:val="center"/>
          </w:tcPr>
          <w:p>
            <w:pPr>
              <w:rPr>
                <w:szCs w:val="21"/>
              </w:rPr>
            </w:pPr>
            <w:r>
              <w:rPr>
                <w:rFonts w:hint="eastAsia"/>
                <w:szCs w:val="21"/>
              </w:rPr>
              <w:t>716米</w:t>
            </w:r>
          </w:p>
        </w:tc>
        <w:tc>
          <w:tcPr>
            <w:tcW w:w="963" w:type="dxa"/>
            <w:vAlign w:val="center"/>
          </w:tcPr>
          <w:p>
            <w:pPr>
              <w:rPr>
                <w:szCs w:val="21"/>
              </w:rPr>
            </w:pPr>
            <w:r>
              <w:rPr>
                <w:rFonts w:hint="eastAsia"/>
                <w:szCs w:val="21"/>
              </w:rPr>
              <w:t>1306米</w:t>
            </w:r>
          </w:p>
        </w:tc>
        <w:tc>
          <w:tcPr>
            <w:tcW w:w="1460" w:type="dxa"/>
            <w:vAlign w:val="center"/>
          </w:tcPr>
          <w:p>
            <w:pPr>
              <w:ind w:firstLine="210"/>
              <w:jc w:val="center"/>
              <w:rPr>
                <w:szCs w:val="21"/>
              </w:rPr>
            </w:pPr>
            <w:r>
              <w:rPr>
                <w:rFonts w:hint="eastAsia"/>
                <w:szCs w:val="21"/>
              </w:rPr>
              <w:t>250W/150WLED</w:t>
            </w:r>
          </w:p>
        </w:tc>
        <w:tc>
          <w:tcPr>
            <w:tcW w:w="756" w:type="dxa"/>
            <w:vAlign w:val="center"/>
          </w:tcPr>
          <w:p>
            <w:pPr>
              <w:rPr>
                <w:szCs w:val="21"/>
              </w:rPr>
            </w:pPr>
            <w:r>
              <w:rPr>
                <w:rFonts w:hint="eastAsia"/>
                <w:szCs w:val="21"/>
              </w:rPr>
              <w:t>10米</w:t>
            </w:r>
          </w:p>
        </w:tc>
        <w:tc>
          <w:tcPr>
            <w:tcW w:w="876" w:type="dxa"/>
            <w:vAlign w:val="center"/>
          </w:tcPr>
          <w:p>
            <w:pPr>
              <w:ind w:firstLine="210"/>
              <w:jc w:val="center"/>
              <w:rPr>
                <w:szCs w:val="21"/>
              </w:rPr>
            </w:pPr>
            <w:r>
              <w:rPr>
                <w:rFonts w:hint="eastAsia"/>
                <w:szCs w:val="21"/>
              </w:rPr>
              <w:t>1台250KVA箱变</w:t>
            </w:r>
          </w:p>
        </w:tc>
        <w:tc>
          <w:tcPr>
            <w:tcW w:w="707" w:type="dxa"/>
            <w:vAlign w:val="center"/>
          </w:tcPr>
          <w:p>
            <w:pPr>
              <w:ind w:firstLine="21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vAlign w:val="center"/>
          </w:tcPr>
          <w:p>
            <w:pPr>
              <w:rPr>
                <w:rFonts w:eastAsia="宋体"/>
                <w:szCs w:val="21"/>
              </w:rPr>
            </w:pPr>
            <w:r>
              <w:rPr>
                <w:rFonts w:hint="eastAsia"/>
                <w:szCs w:val="21"/>
              </w:rPr>
              <w:t>3</w:t>
            </w:r>
          </w:p>
        </w:tc>
        <w:tc>
          <w:tcPr>
            <w:tcW w:w="721" w:type="dxa"/>
            <w:vAlign w:val="center"/>
          </w:tcPr>
          <w:p>
            <w:pPr>
              <w:jc w:val="left"/>
              <w:rPr>
                <w:rFonts w:eastAsia="宋体"/>
                <w:szCs w:val="21"/>
              </w:rPr>
            </w:pPr>
            <w:r>
              <w:rPr>
                <w:rFonts w:hint="eastAsia"/>
                <w:szCs w:val="21"/>
              </w:rPr>
              <w:t>龙祥路</w:t>
            </w:r>
          </w:p>
        </w:tc>
        <w:tc>
          <w:tcPr>
            <w:tcW w:w="850" w:type="dxa"/>
            <w:vAlign w:val="center"/>
          </w:tcPr>
          <w:p>
            <w:pPr>
              <w:jc w:val="left"/>
              <w:rPr>
                <w:szCs w:val="21"/>
              </w:rPr>
            </w:pPr>
            <w:r>
              <w:rPr>
                <w:rFonts w:hint="eastAsia"/>
                <w:szCs w:val="21"/>
              </w:rPr>
              <w:t>北外环-天宝路</w:t>
            </w:r>
          </w:p>
        </w:tc>
        <w:tc>
          <w:tcPr>
            <w:tcW w:w="851" w:type="dxa"/>
            <w:vAlign w:val="center"/>
          </w:tcPr>
          <w:p>
            <w:pPr>
              <w:ind w:firstLine="210"/>
              <w:rPr>
                <w:rFonts w:eastAsia="宋体"/>
                <w:szCs w:val="21"/>
              </w:rPr>
            </w:pPr>
            <w:r>
              <w:rPr>
                <w:rFonts w:hint="eastAsia"/>
                <w:szCs w:val="21"/>
              </w:rPr>
              <w:t>98</w:t>
            </w:r>
          </w:p>
        </w:tc>
        <w:tc>
          <w:tcPr>
            <w:tcW w:w="850" w:type="dxa"/>
            <w:vAlign w:val="center"/>
          </w:tcPr>
          <w:p>
            <w:pPr>
              <w:ind w:firstLine="210"/>
              <w:rPr>
                <w:rFonts w:eastAsia="宋体"/>
                <w:szCs w:val="21"/>
              </w:rPr>
            </w:pPr>
            <w:r>
              <w:rPr>
                <w:rFonts w:hint="eastAsia"/>
                <w:szCs w:val="21"/>
              </w:rPr>
              <w:t>1</w:t>
            </w:r>
          </w:p>
        </w:tc>
        <w:tc>
          <w:tcPr>
            <w:tcW w:w="851" w:type="dxa"/>
            <w:vAlign w:val="center"/>
          </w:tcPr>
          <w:p>
            <w:pPr>
              <w:ind w:firstLine="210"/>
              <w:rPr>
                <w:rFonts w:eastAsia="宋体"/>
                <w:szCs w:val="21"/>
              </w:rPr>
            </w:pPr>
            <w:r>
              <w:rPr>
                <w:rFonts w:hint="eastAsia"/>
                <w:szCs w:val="21"/>
              </w:rPr>
              <w:t>98</w:t>
            </w:r>
          </w:p>
        </w:tc>
        <w:tc>
          <w:tcPr>
            <w:tcW w:w="908" w:type="dxa"/>
            <w:vAlign w:val="center"/>
          </w:tcPr>
          <w:p>
            <w:pPr>
              <w:rPr>
                <w:szCs w:val="21"/>
              </w:rPr>
            </w:pPr>
            <w:r>
              <w:rPr>
                <w:rFonts w:hint="eastAsia"/>
                <w:szCs w:val="21"/>
              </w:rPr>
              <w:t>1785米</w:t>
            </w:r>
          </w:p>
        </w:tc>
        <w:tc>
          <w:tcPr>
            <w:tcW w:w="963" w:type="dxa"/>
            <w:vAlign w:val="center"/>
          </w:tcPr>
          <w:p>
            <w:pPr>
              <w:rPr>
                <w:szCs w:val="21"/>
              </w:rPr>
            </w:pPr>
            <w:r>
              <w:rPr>
                <w:rFonts w:hint="eastAsia"/>
                <w:szCs w:val="21"/>
              </w:rPr>
              <w:t>4084米</w:t>
            </w:r>
          </w:p>
        </w:tc>
        <w:tc>
          <w:tcPr>
            <w:tcW w:w="1460" w:type="dxa"/>
            <w:vAlign w:val="center"/>
          </w:tcPr>
          <w:p>
            <w:pPr>
              <w:ind w:firstLine="210"/>
              <w:jc w:val="center"/>
              <w:rPr>
                <w:szCs w:val="21"/>
              </w:rPr>
            </w:pPr>
            <w:r>
              <w:rPr>
                <w:rFonts w:hint="eastAsia"/>
                <w:szCs w:val="21"/>
              </w:rPr>
              <w:t>150WLED</w:t>
            </w:r>
          </w:p>
        </w:tc>
        <w:tc>
          <w:tcPr>
            <w:tcW w:w="756" w:type="dxa"/>
            <w:vAlign w:val="center"/>
          </w:tcPr>
          <w:p>
            <w:pPr>
              <w:rPr>
                <w:szCs w:val="21"/>
              </w:rPr>
            </w:pPr>
            <w:r>
              <w:rPr>
                <w:rFonts w:hint="eastAsia"/>
                <w:szCs w:val="21"/>
              </w:rPr>
              <w:t>9米</w:t>
            </w:r>
          </w:p>
        </w:tc>
        <w:tc>
          <w:tcPr>
            <w:tcW w:w="876" w:type="dxa"/>
            <w:vAlign w:val="center"/>
          </w:tcPr>
          <w:p>
            <w:pPr>
              <w:ind w:firstLine="210"/>
              <w:jc w:val="center"/>
              <w:rPr>
                <w:szCs w:val="21"/>
              </w:rPr>
            </w:pPr>
            <w:r>
              <w:rPr>
                <w:rFonts w:hint="eastAsia"/>
                <w:szCs w:val="21"/>
              </w:rPr>
              <w:t>1台250KVA</w:t>
            </w:r>
          </w:p>
        </w:tc>
        <w:tc>
          <w:tcPr>
            <w:tcW w:w="707" w:type="dxa"/>
            <w:vAlign w:val="center"/>
          </w:tcPr>
          <w:p>
            <w:pPr>
              <w:ind w:firstLine="21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vAlign w:val="center"/>
          </w:tcPr>
          <w:p>
            <w:pPr>
              <w:rPr>
                <w:rFonts w:eastAsia="宋体"/>
                <w:szCs w:val="21"/>
              </w:rPr>
            </w:pPr>
            <w:r>
              <w:rPr>
                <w:rFonts w:hint="eastAsia"/>
                <w:szCs w:val="21"/>
              </w:rPr>
              <w:t>4</w:t>
            </w:r>
          </w:p>
        </w:tc>
        <w:tc>
          <w:tcPr>
            <w:tcW w:w="721" w:type="dxa"/>
            <w:vAlign w:val="center"/>
          </w:tcPr>
          <w:p>
            <w:pPr>
              <w:jc w:val="left"/>
              <w:rPr>
                <w:rFonts w:eastAsia="宋体"/>
                <w:szCs w:val="21"/>
              </w:rPr>
            </w:pPr>
            <w:r>
              <w:rPr>
                <w:rFonts w:hint="eastAsia"/>
                <w:szCs w:val="21"/>
              </w:rPr>
              <w:t>陈庄街</w:t>
            </w:r>
          </w:p>
        </w:tc>
        <w:tc>
          <w:tcPr>
            <w:tcW w:w="850" w:type="dxa"/>
            <w:vAlign w:val="center"/>
          </w:tcPr>
          <w:p>
            <w:pPr>
              <w:jc w:val="left"/>
              <w:rPr>
                <w:rFonts w:eastAsia="宋体"/>
                <w:szCs w:val="21"/>
              </w:rPr>
            </w:pPr>
            <w:r>
              <w:rPr>
                <w:rFonts w:hint="eastAsia"/>
                <w:szCs w:val="21"/>
              </w:rPr>
              <w:t>延安路-龙祥路</w:t>
            </w:r>
          </w:p>
        </w:tc>
        <w:tc>
          <w:tcPr>
            <w:tcW w:w="851" w:type="dxa"/>
            <w:vAlign w:val="center"/>
          </w:tcPr>
          <w:p>
            <w:pPr>
              <w:ind w:firstLine="210"/>
              <w:rPr>
                <w:szCs w:val="21"/>
              </w:rPr>
            </w:pPr>
            <w:r>
              <w:rPr>
                <w:rFonts w:hint="eastAsia"/>
                <w:szCs w:val="21"/>
              </w:rPr>
              <w:t>76</w:t>
            </w:r>
          </w:p>
        </w:tc>
        <w:tc>
          <w:tcPr>
            <w:tcW w:w="850" w:type="dxa"/>
            <w:vAlign w:val="center"/>
          </w:tcPr>
          <w:p>
            <w:pPr>
              <w:ind w:firstLine="210"/>
              <w:rPr>
                <w:szCs w:val="21"/>
              </w:rPr>
            </w:pPr>
            <w:r>
              <w:rPr>
                <w:rFonts w:hint="eastAsia"/>
                <w:szCs w:val="21"/>
              </w:rPr>
              <w:t>2</w:t>
            </w:r>
          </w:p>
        </w:tc>
        <w:tc>
          <w:tcPr>
            <w:tcW w:w="851" w:type="dxa"/>
            <w:vAlign w:val="center"/>
          </w:tcPr>
          <w:p>
            <w:pPr>
              <w:ind w:firstLine="210"/>
              <w:rPr>
                <w:szCs w:val="21"/>
              </w:rPr>
            </w:pPr>
            <w:r>
              <w:rPr>
                <w:rFonts w:hint="eastAsia"/>
                <w:szCs w:val="21"/>
              </w:rPr>
              <w:t>152</w:t>
            </w:r>
          </w:p>
        </w:tc>
        <w:tc>
          <w:tcPr>
            <w:tcW w:w="908" w:type="dxa"/>
            <w:vAlign w:val="center"/>
          </w:tcPr>
          <w:p>
            <w:pPr>
              <w:rPr>
                <w:szCs w:val="21"/>
              </w:rPr>
            </w:pPr>
            <w:r>
              <w:rPr>
                <w:rFonts w:hint="eastAsia"/>
                <w:szCs w:val="21"/>
              </w:rPr>
              <w:t>1159米</w:t>
            </w:r>
          </w:p>
        </w:tc>
        <w:tc>
          <w:tcPr>
            <w:tcW w:w="963" w:type="dxa"/>
            <w:vAlign w:val="center"/>
          </w:tcPr>
          <w:p>
            <w:pPr>
              <w:rPr>
                <w:szCs w:val="21"/>
              </w:rPr>
            </w:pPr>
            <w:r>
              <w:rPr>
                <w:rFonts w:hint="eastAsia"/>
                <w:szCs w:val="21"/>
              </w:rPr>
              <w:t>2600米</w:t>
            </w:r>
          </w:p>
        </w:tc>
        <w:tc>
          <w:tcPr>
            <w:tcW w:w="1460" w:type="dxa"/>
            <w:vAlign w:val="center"/>
          </w:tcPr>
          <w:p>
            <w:pPr>
              <w:ind w:firstLine="210"/>
              <w:jc w:val="center"/>
              <w:rPr>
                <w:szCs w:val="21"/>
              </w:rPr>
            </w:pPr>
            <w:r>
              <w:rPr>
                <w:rFonts w:hint="eastAsia"/>
                <w:szCs w:val="21"/>
              </w:rPr>
              <w:t>200W/120WLED</w:t>
            </w:r>
          </w:p>
        </w:tc>
        <w:tc>
          <w:tcPr>
            <w:tcW w:w="756" w:type="dxa"/>
            <w:vAlign w:val="center"/>
          </w:tcPr>
          <w:p>
            <w:pPr>
              <w:rPr>
                <w:szCs w:val="21"/>
              </w:rPr>
            </w:pPr>
            <w:r>
              <w:rPr>
                <w:rFonts w:hint="eastAsia"/>
                <w:szCs w:val="21"/>
              </w:rPr>
              <w:t>10米</w:t>
            </w:r>
          </w:p>
        </w:tc>
        <w:tc>
          <w:tcPr>
            <w:tcW w:w="876" w:type="dxa"/>
            <w:vAlign w:val="center"/>
          </w:tcPr>
          <w:p>
            <w:pPr>
              <w:ind w:firstLine="210"/>
              <w:jc w:val="center"/>
              <w:rPr>
                <w:szCs w:val="21"/>
              </w:rPr>
            </w:pPr>
            <w:r>
              <w:rPr>
                <w:rFonts w:hint="eastAsia"/>
                <w:szCs w:val="21"/>
              </w:rPr>
              <w:t>1台250KVA</w:t>
            </w:r>
          </w:p>
        </w:tc>
        <w:tc>
          <w:tcPr>
            <w:tcW w:w="707" w:type="dxa"/>
            <w:vAlign w:val="center"/>
          </w:tcPr>
          <w:p>
            <w:pPr>
              <w:ind w:firstLine="21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vAlign w:val="center"/>
          </w:tcPr>
          <w:p>
            <w:pPr>
              <w:rPr>
                <w:rFonts w:eastAsia="宋体"/>
                <w:szCs w:val="21"/>
              </w:rPr>
            </w:pPr>
            <w:r>
              <w:rPr>
                <w:rFonts w:hint="eastAsia"/>
                <w:szCs w:val="21"/>
              </w:rPr>
              <w:t>5</w:t>
            </w:r>
          </w:p>
        </w:tc>
        <w:tc>
          <w:tcPr>
            <w:tcW w:w="721" w:type="dxa"/>
            <w:vAlign w:val="center"/>
          </w:tcPr>
          <w:p>
            <w:pPr>
              <w:jc w:val="left"/>
              <w:rPr>
                <w:rFonts w:eastAsia="宋体"/>
                <w:szCs w:val="21"/>
              </w:rPr>
            </w:pPr>
            <w:r>
              <w:rPr>
                <w:rFonts w:hint="eastAsia"/>
                <w:szCs w:val="21"/>
              </w:rPr>
              <w:t>解放路</w:t>
            </w:r>
          </w:p>
        </w:tc>
        <w:tc>
          <w:tcPr>
            <w:tcW w:w="850" w:type="dxa"/>
            <w:vAlign w:val="center"/>
          </w:tcPr>
          <w:p>
            <w:pPr>
              <w:jc w:val="left"/>
              <w:rPr>
                <w:rFonts w:eastAsia="宋体"/>
                <w:szCs w:val="21"/>
              </w:rPr>
            </w:pPr>
            <w:r>
              <w:rPr>
                <w:rFonts w:hint="eastAsia"/>
                <w:szCs w:val="21"/>
              </w:rPr>
              <w:t>八一路-许由路</w:t>
            </w:r>
          </w:p>
        </w:tc>
        <w:tc>
          <w:tcPr>
            <w:tcW w:w="851" w:type="dxa"/>
            <w:vAlign w:val="center"/>
          </w:tcPr>
          <w:p>
            <w:pPr>
              <w:ind w:firstLine="210"/>
              <w:rPr>
                <w:szCs w:val="21"/>
              </w:rPr>
            </w:pPr>
            <w:r>
              <w:rPr>
                <w:rFonts w:hint="eastAsia"/>
                <w:szCs w:val="21"/>
              </w:rPr>
              <w:t>207</w:t>
            </w:r>
          </w:p>
        </w:tc>
        <w:tc>
          <w:tcPr>
            <w:tcW w:w="850" w:type="dxa"/>
            <w:vAlign w:val="center"/>
          </w:tcPr>
          <w:p>
            <w:pPr>
              <w:ind w:firstLine="210"/>
              <w:rPr>
                <w:szCs w:val="21"/>
              </w:rPr>
            </w:pPr>
            <w:r>
              <w:rPr>
                <w:rFonts w:hint="eastAsia"/>
                <w:szCs w:val="21"/>
              </w:rPr>
              <w:t>1</w:t>
            </w:r>
          </w:p>
        </w:tc>
        <w:tc>
          <w:tcPr>
            <w:tcW w:w="851" w:type="dxa"/>
            <w:vAlign w:val="center"/>
          </w:tcPr>
          <w:p>
            <w:pPr>
              <w:ind w:firstLine="210"/>
              <w:rPr>
                <w:szCs w:val="21"/>
              </w:rPr>
            </w:pPr>
            <w:r>
              <w:rPr>
                <w:rFonts w:hint="eastAsia"/>
                <w:szCs w:val="21"/>
              </w:rPr>
              <w:t>207</w:t>
            </w:r>
          </w:p>
        </w:tc>
        <w:tc>
          <w:tcPr>
            <w:tcW w:w="908" w:type="dxa"/>
            <w:vAlign w:val="center"/>
          </w:tcPr>
          <w:p>
            <w:pPr>
              <w:rPr>
                <w:szCs w:val="21"/>
              </w:rPr>
            </w:pPr>
            <w:r>
              <w:rPr>
                <w:rFonts w:hint="eastAsia"/>
                <w:szCs w:val="21"/>
              </w:rPr>
              <w:t>3746米</w:t>
            </w:r>
          </w:p>
        </w:tc>
        <w:tc>
          <w:tcPr>
            <w:tcW w:w="963" w:type="dxa"/>
            <w:vAlign w:val="center"/>
          </w:tcPr>
          <w:p>
            <w:pPr>
              <w:rPr>
                <w:szCs w:val="21"/>
              </w:rPr>
            </w:pPr>
            <w:r>
              <w:rPr>
                <w:rFonts w:hint="eastAsia"/>
                <w:szCs w:val="21"/>
              </w:rPr>
              <w:t>6000米</w:t>
            </w:r>
          </w:p>
        </w:tc>
        <w:tc>
          <w:tcPr>
            <w:tcW w:w="1460" w:type="dxa"/>
            <w:vAlign w:val="center"/>
          </w:tcPr>
          <w:p>
            <w:pPr>
              <w:ind w:firstLine="210"/>
              <w:jc w:val="center"/>
              <w:rPr>
                <w:szCs w:val="21"/>
              </w:rPr>
            </w:pPr>
            <w:r>
              <w:rPr>
                <w:rFonts w:hint="eastAsia"/>
                <w:szCs w:val="21"/>
              </w:rPr>
              <w:t>节能型LED路灯（灯头为住建局安装）</w:t>
            </w:r>
          </w:p>
        </w:tc>
        <w:tc>
          <w:tcPr>
            <w:tcW w:w="756" w:type="dxa"/>
            <w:vAlign w:val="center"/>
          </w:tcPr>
          <w:p>
            <w:pPr>
              <w:rPr>
                <w:szCs w:val="21"/>
              </w:rPr>
            </w:pPr>
            <w:r>
              <w:rPr>
                <w:rFonts w:hint="eastAsia"/>
                <w:szCs w:val="21"/>
              </w:rPr>
              <w:t>10米</w:t>
            </w:r>
          </w:p>
        </w:tc>
        <w:tc>
          <w:tcPr>
            <w:tcW w:w="876" w:type="dxa"/>
            <w:vAlign w:val="center"/>
          </w:tcPr>
          <w:p>
            <w:pPr>
              <w:ind w:firstLine="210"/>
              <w:jc w:val="center"/>
              <w:rPr>
                <w:szCs w:val="21"/>
              </w:rPr>
            </w:pPr>
            <w:r>
              <w:rPr>
                <w:rFonts w:hint="eastAsia"/>
                <w:szCs w:val="21"/>
              </w:rPr>
              <w:t>3台箱变（箱变为原路灯所</w:t>
            </w:r>
          </w:p>
        </w:tc>
        <w:tc>
          <w:tcPr>
            <w:tcW w:w="707" w:type="dxa"/>
            <w:vAlign w:val="center"/>
          </w:tcPr>
          <w:p>
            <w:pPr>
              <w:ind w:firstLine="210"/>
              <w:jc w:val="center"/>
              <w:rPr>
                <w:rFonts w:eastAsia="宋体"/>
                <w:szCs w:val="21"/>
              </w:rPr>
            </w:pPr>
            <w:r>
              <w:rPr>
                <w:rFonts w:hint="eastAsia"/>
                <w:szCs w:val="21"/>
              </w:rPr>
              <w:t>灯杆、线缆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vAlign w:val="center"/>
          </w:tcPr>
          <w:p>
            <w:pPr>
              <w:rPr>
                <w:rFonts w:eastAsia="宋体"/>
                <w:szCs w:val="21"/>
              </w:rPr>
            </w:pPr>
            <w:r>
              <w:rPr>
                <w:rFonts w:hint="eastAsia"/>
                <w:szCs w:val="21"/>
              </w:rPr>
              <w:t>6</w:t>
            </w:r>
          </w:p>
        </w:tc>
        <w:tc>
          <w:tcPr>
            <w:tcW w:w="721" w:type="dxa"/>
            <w:vAlign w:val="center"/>
          </w:tcPr>
          <w:p>
            <w:pPr>
              <w:jc w:val="left"/>
              <w:rPr>
                <w:rFonts w:eastAsia="宋体"/>
                <w:szCs w:val="21"/>
              </w:rPr>
            </w:pPr>
            <w:r>
              <w:rPr>
                <w:rFonts w:hint="eastAsia"/>
                <w:szCs w:val="21"/>
              </w:rPr>
              <w:t>五一路</w:t>
            </w:r>
          </w:p>
        </w:tc>
        <w:tc>
          <w:tcPr>
            <w:tcW w:w="850" w:type="dxa"/>
            <w:vAlign w:val="center"/>
          </w:tcPr>
          <w:p>
            <w:pPr>
              <w:jc w:val="left"/>
              <w:rPr>
                <w:rFonts w:eastAsia="宋体"/>
                <w:szCs w:val="21"/>
              </w:rPr>
            </w:pPr>
            <w:r>
              <w:rPr>
                <w:rFonts w:hint="eastAsia"/>
                <w:szCs w:val="21"/>
              </w:rPr>
              <w:t>八一路-天宝路</w:t>
            </w:r>
          </w:p>
        </w:tc>
        <w:tc>
          <w:tcPr>
            <w:tcW w:w="851" w:type="dxa"/>
            <w:vAlign w:val="center"/>
          </w:tcPr>
          <w:p>
            <w:pPr>
              <w:ind w:firstLine="210"/>
              <w:rPr>
                <w:szCs w:val="21"/>
              </w:rPr>
            </w:pPr>
            <w:r>
              <w:rPr>
                <w:rFonts w:hint="eastAsia"/>
                <w:szCs w:val="21"/>
              </w:rPr>
              <w:t>51</w:t>
            </w:r>
          </w:p>
        </w:tc>
        <w:tc>
          <w:tcPr>
            <w:tcW w:w="850" w:type="dxa"/>
            <w:vAlign w:val="center"/>
          </w:tcPr>
          <w:p>
            <w:pPr>
              <w:ind w:firstLine="210"/>
              <w:rPr>
                <w:rFonts w:eastAsia="宋体"/>
                <w:szCs w:val="21"/>
              </w:rPr>
            </w:pPr>
            <w:r>
              <w:rPr>
                <w:rFonts w:hint="eastAsia"/>
                <w:szCs w:val="21"/>
              </w:rPr>
              <w:t>1</w:t>
            </w:r>
          </w:p>
        </w:tc>
        <w:tc>
          <w:tcPr>
            <w:tcW w:w="851" w:type="dxa"/>
            <w:vAlign w:val="center"/>
          </w:tcPr>
          <w:p>
            <w:pPr>
              <w:ind w:firstLine="210"/>
              <w:rPr>
                <w:rFonts w:eastAsia="宋体"/>
                <w:szCs w:val="21"/>
              </w:rPr>
            </w:pPr>
            <w:r>
              <w:rPr>
                <w:rFonts w:hint="eastAsia"/>
                <w:szCs w:val="21"/>
              </w:rPr>
              <w:t>51</w:t>
            </w:r>
          </w:p>
        </w:tc>
        <w:tc>
          <w:tcPr>
            <w:tcW w:w="908" w:type="dxa"/>
            <w:vAlign w:val="center"/>
          </w:tcPr>
          <w:p>
            <w:pPr>
              <w:rPr>
                <w:szCs w:val="21"/>
              </w:rPr>
            </w:pPr>
            <w:r>
              <w:rPr>
                <w:rFonts w:hint="eastAsia"/>
                <w:szCs w:val="21"/>
              </w:rPr>
              <w:t>915米</w:t>
            </w:r>
          </w:p>
        </w:tc>
        <w:tc>
          <w:tcPr>
            <w:tcW w:w="963" w:type="dxa"/>
            <w:vAlign w:val="center"/>
          </w:tcPr>
          <w:p>
            <w:pPr>
              <w:rPr>
                <w:szCs w:val="21"/>
              </w:rPr>
            </w:pPr>
            <w:r>
              <w:rPr>
                <w:rFonts w:hint="eastAsia"/>
                <w:szCs w:val="21"/>
              </w:rPr>
              <w:t>1800米</w:t>
            </w:r>
          </w:p>
        </w:tc>
        <w:tc>
          <w:tcPr>
            <w:tcW w:w="1460" w:type="dxa"/>
            <w:vAlign w:val="center"/>
          </w:tcPr>
          <w:p>
            <w:pPr>
              <w:ind w:firstLine="210"/>
              <w:jc w:val="center"/>
              <w:rPr>
                <w:szCs w:val="21"/>
              </w:rPr>
            </w:pPr>
            <w:r>
              <w:rPr>
                <w:rFonts w:hint="eastAsia"/>
                <w:szCs w:val="21"/>
              </w:rPr>
              <w:t>200WLED</w:t>
            </w:r>
          </w:p>
        </w:tc>
        <w:tc>
          <w:tcPr>
            <w:tcW w:w="756" w:type="dxa"/>
            <w:vAlign w:val="center"/>
          </w:tcPr>
          <w:p>
            <w:pPr>
              <w:rPr>
                <w:szCs w:val="21"/>
              </w:rPr>
            </w:pPr>
            <w:r>
              <w:rPr>
                <w:rFonts w:hint="eastAsia"/>
                <w:szCs w:val="21"/>
              </w:rPr>
              <w:t>9米</w:t>
            </w:r>
          </w:p>
        </w:tc>
        <w:tc>
          <w:tcPr>
            <w:tcW w:w="876" w:type="dxa"/>
            <w:vAlign w:val="center"/>
          </w:tcPr>
          <w:p>
            <w:pPr>
              <w:ind w:firstLine="210"/>
              <w:jc w:val="center"/>
              <w:rPr>
                <w:szCs w:val="21"/>
              </w:rPr>
            </w:pPr>
            <w:r>
              <w:rPr>
                <w:rFonts w:hint="eastAsia"/>
                <w:szCs w:val="21"/>
              </w:rPr>
              <w:t>1台控制柜</w:t>
            </w:r>
          </w:p>
        </w:tc>
        <w:tc>
          <w:tcPr>
            <w:tcW w:w="707" w:type="dxa"/>
            <w:vAlign w:val="center"/>
          </w:tcPr>
          <w:p>
            <w:pPr>
              <w:ind w:firstLine="21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vAlign w:val="center"/>
          </w:tcPr>
          <w:p>
            <w:pPr>
              <w:rPr>
                <w:rFonts w:eastAsia="宋体"/>
                <w:szCs w:val="21"/>
              </w:rPr>
            </w:pPr>
            <w:r>
              <w:rPr>
                <w:rFonts w:hint="eastAsia"/>
                <w:szCs w:val="21"/>
              </w:rPr>
              <w:t>7</w:t>
            </w:r>
          </w:p>
        </w:tc>
        <w:tc>
          <w:tcPr>
            <w:tcW w:w="721" w:type="dxa"/>
            <w:vAlign w:val="center"/>
          </w:tcPr>
          <w:p>
            <w:pPr>
              <w:jc w:val="left"/>
              <w:rPr>
                <w:rFonts w:eastAsia="宋体"/>
                <w:szCs w:val="21"/>
              </w:rPr>
            </w:pPr>
            <w:r>
              <w:rPr>
                <w:rFonts w:hint="eastAsia"/>
                <w:szCs w:val="21"/>
              </w:rPr>
              <w:t>北关大街</w:t>
            </w:r>
          </w:p>
        </w:tc>
        <w:tc>
          <w:tcPr>
            <w:tcW w:w="850" w:type="dxa"/>
            <w:vAlign w:val="center"/>
          </w:tcPr>
          <w:p>
            <w:pPr>
              <w:jc w:val="left"/>
              <w:rPr>
                <w:rFonts w:eastAsia="宋体"/>
                <w:szCs w:val="21"/>
              </w:rPr>
            </w:pPr>
            <w:r>
              <w:rPr>
                <w:rFonts w:hint="eastAsia"/>
                <w:szCs w:val="21"/>
              </w:rPr>
              <w:t>天宝路-八一路</w:t>
            </w:r>
          </w:p>
        </w:tc>
        <w:tc>
          <w:tcPr>
            <w:tcW w:w="851" w:type="dxa"/>
            <w:vAlign w:val="center"/>
          </w:tcPr>
          <w:p>
            <w:pPr>
              <w:ind w:firstLine="210"/>
              <w:rPr>
                <w:szCs w:val="21"/>
              </w:rPr>
            </w:pPr>
            <w:r>
              <w:rPr>
                <w:rFonts w:hint="eastAsia"/>
                <w:szCs w:val="21"/>
              </w:rPr>
              <w:t>60</w:t>
            </w:r>
          </w:p>
        </w:tc>
        <w:tc>
          <w:tcPr>
            <w:tcW w:w="850" w:type="dxa"/>
            <w:vAlign w:val="center"/>
          </w:tcPr>
          <w:p>
            <w:pPr>
              <w:ind w:firstLine="210"/>
              <w:rPr>
                <w:rFonts w:eastAsia="宋体"/>
                <w:szCs w:val="21"/>
              </w:rPr>
            </w:pPr>
            <w:r>
              <w:rPr>
                <w:rFonts w:hint="eastAsia"/>
                <w:szCs w:val="21"/>
              </w:rPr>
              <w:t>1</w:t>
            </w:r>
          </w:p>
        </w:tc>
        <w:tc>
          <w:tcPr>
            <w:tcW w:w="851" w:type="dxa"/>
            <w:vAlign w:val="center"/>
          </w:tcPr>
          <w:p>
            <w:pPr>
              <w:ind w:firstLine="210"/>
              <w:rPr>
                <w:szCs w:val="21"/>
              </w:rPr>
            </w:pPr>
            <w:r>
              <w:rPr>
                <w:rFonts w:hint="eastAsia"/>
                <w:szCs w:val="21"/>
              </w:rPr>
              <w:t>60</w:t>
            </w:r>
          </w:p>
        </w:tc>
        <w:tc>
          <w:tcPr>
            <w:tcW w:w="908" w:type="dxa"/>
            <w:vAlign w:val="center"/>
          </w:tcPr>
          <w:p>
            <w:pPr>
              <w:rPr>
                <w:szCs w:val="21"/>
              </w:rPr>
            </w:pPr>
            <w:r>
              <w:rPr>
                <w:rFonts w:hint="eastAsia"/>
                <w:szCs w:val="21"/>
              </w:rPr>
              <w:t>800米</w:t>
            </w:r>
          </w:p>
        </w:tc>
        <w:tc>
          <w:tcPr>
            <w:tcW w:w="963" w:type="dxa"/>
            <w:vAlign w:val="center"/>
          </w:tcPr>
          <w:p>
            <w:pPr>
              <w:rPr>
                <w:szCs w:val="21"/>
              </w:rPr>
            </w:pPr>
            <w:r>
              <w:rPr>
                <w:rFonts w:hint="eastAsia"/>
                <w:szCs w:val="21"/>
              </w:rPr>
              <w:t>2000米</w:t>
            </w:r>
          </w:p>
        </w:tc>
        <w:tc>
          <w:tcPr>
            <w:tcW w:w="1460" w:type="dxa"/>
            <w:vAlign w:val="center"/>
          </w:tcPr>
          <w:p>
            <w:pPr>
              <w:ind w:firstLine="210"/>
              <w:jc w:val="center"/>
              <w:rPr>
                <w:szCs w:val="21"/>
              </w:rPr>
            </w:pPr>
            <w:r>
              <w:rPr>
                <w:rFonts w:hint="eastAsia"/>
                <w:szCs w:val="21"/>
              </w:rPr>
              <w:t>180WLED</w:t>
            </w:r>
          </w:p>
        </w:tc>
        <w:tc>
          <w:tcPr>
            <w:tcW w:w="756" w:type="dxa"/>
            <w:vAlign w:val="center"/>
          </w:tcPr>
          <w:p>
            <w:pPr>
              <w:rPr>
                <w:szCs w:val="21"/>
              </w:rPr>
            </w:pPr>
            <w:r>
              <w:rPr>
                <w:rFonts w:hint="eastAsia"/>
                <w:szCs w:val="21"/>
              </w:rPr>
              <w:t>10米</w:t>
            </w:r>
          </w:p>
        </w:tc>
        <w:tc>
          <w:tcPr>
            <w:tcW w:w="876" w:type="dxa"/>
            <w:vAlign w:val="center"/>
          </w:tcPr>
          <w:p>
            <w:pPr>
              <w:ind w:firstLine="210"/>
              <w:jc w:val="center"/>
              <w:rPr>
                <w:szCs w:val="21"/>
              </w:rPr>
            </w:pPr>
            <w:r>
              <w:rPr>
                <w:rFonts w:hint="eastAsia"/>
                <w:szCs w:val="21"/>
              </w:rPr>
              <w:t>1台250KVA</w:t>
            </w:r>
          </w:p>
        </w:tc>
        <w:tc>
          <w:tcPr>
            <w:tcW w:w="707" w:type="dxa"/>
            <w:vAlign w:val="center"/>
          </w:tcPr>
          <w:p>
            <w:pPr>
              <w:ind w:firstLine="21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vAlign w:val="center"/>
          </w:tcPr>
          <w:p>
            <w:pPr>
              <w:rPr>
                <w:rFonts w:eastAsia="宋体"/>
                <w:szCs w:val="21"/>
              </w:rPr>
            </w:pPr>
            <w:r>
              <w:rPr>
                <w:rFonts w:hint="eastAsia"/>
                <w:szCs w:val="21"/>
              </w:rPr>
              <w:t>8</w:t>
            </w:r>
          </w:p>
        </w:tc>
        <w:tc>
          <w:tcPr>
            <w:tcW w:w="721" w:type="dxa"/>
            <w:vAlign w:val="center"/>
          </w:tcPr>
          <w:p>
            <w:pPr>
              <w:jc w:val="left"/>
              <w:rPr>
                <w:rFonts w:eastAsia="宋体"/>
                <w:szCs w:val="21"/>
              </w:rPr>
            </w:pPr>
            <w:r>
              <w:rPr>
                <w:rFonts w:hint="eastAsia"/>
                <w:szCs w:val="21"/>
              </w:rPr>
              <w:t>光明路</w:t>
            </w:r>
          </w:p>
        </w:tc>
        <w:tc>
          <w:tcPr>
            <w:tcW w:w="850" w:type="dxa"/>
            <w:vAlign w:val="center"/>
          </w:tcPr>
          <w:p>
            <w:pPr>
              <w:jc w:val="left"/>
              <w:rPr>
                <w:rFonts w:eastAsia="宋体"/>
                <w:szCs w:val="21"/>
              </w:rPr>
            </w:pPr>
            <w:r>
              <w:rPr>
                <w:rFonts w:hint="eastAsia"/>
                <w:szCs w:val="21"/>
              </w:rPr>
              <w:t>延安路-灞陵路</w:t>
            </w:r>
          </w:p>
        </w:tc>
        <w:tc>
          <w:tcPr>
            <w:tcW w:w="851" w:type="dxa"/>
            <w:vAlign w:val="center"/>
          </w:tcPr>
          <w:p>
            <w:pPr>
              <w:ind w:firstLine="210"/>
              <w:rPr>
                <w:szCs w:val="21"/>
              </w:rPr>
            </w:pPr>
            <w:r>
              <w:rPr>
                <w:rFonts w:hint="eastAsia"/>
                <w:szCs w:val="21"/>
              </w:rPr>
              <w:t>26</w:t>
            </w:r>
          </w:p>
        </w:tc>
        <w:tc>
          <w:tcPr>
            <w:tcW w:w="850" w:type="dxa"/>
            <w:vAlign w:val="center"/>
          </w:tcPr>
          <w:p>
            <w:pPr>
              <w:ind w:firstLine="210"/>
              <w:rPr>
                <w:szCs w:val="21"/>
              </w:rPr>
            </w:pPr>
            <w:r>
              <w:rPr>
                <w:rFonts w:hint="eastAsia"/>
                <w:szCs w:val="21"/>
              </w:rPr>
              <w:t>2</w:t>
            </w:r>
          </w:p>
        </w:tc>
        <w:tc>
          <w:tcPr>
            <w:tcW w:w="851" w:type="dxa"/>
            <w:vAlign w:val="center"/>
          </w:tcPr>
          <w:p>
            <w:pPr>
              <w:ind w:firstLine="210"/>
              <w:rPr>
                <w:szCs w:val="21"/>
              </w:rPr>
            </w:pPr>
            <w:r>
              <w:rPr>
                <w:rFonts w:hint="eastAsia"/>
                <w:szCs w:val="21"/>
              </w:rPr>
              <w:t>52</w:t>
            </w:r>
          </w:p>
        </w:tc>
        <w:tc>
          <w:tcPr>
            <w:tcW w:w="908" w:type="dxa"/>
            <w:vAlign w:val="center"/>
          </w:tcPr>
          <w:p>
            <w:pPr>
              <w:rPr>
                <w:szCs w:val="21"/>
              </w:rPr>
            </w:pPr>
            <w:r>
              <w:rPr>
                <w:rFonts w:hint="eastAsia"/>
                <w:szCs w:val="21"/>
              </w:rPr>
              <w:t>900米</w:t>
            </w:r>
          </w:p>
        </w:tc>
        <w:tc>
          <w:tcPr>
            <w:tcW w:w="963" w:type="dxa"/>
            <w:vAlign w:val="center"/>
          </w:tcPr>
          <w:p>
            <w:pPr>
              <w:rPr>
                <w:szCs w:val="21"/>
              </w:rPr>
            </w:pPr>
            <w:r>
              <w:rPr>
                <w:rFonts w:hint="eastAsia"/>
                <w:szCs w:val="21"/>
              </w:rPr>
              <w:t>1800米</w:t>
            </w:r>
          </w:p>
        </w:tc>
        <w:tc>
          <w:tcPr>
            <w:tcW w:w="1460" w:type="dxa"/>
            <w:vAlign w:val="center"/>
          </w:tcPr>
          <w:p>
            <w:pPr>
              <w:ind w:firstLine="210"/>
              <w:jc w:val="center"/>
              <w:rPr>
                <w:szCs w:val="21"/>
              </w:rPr>
            </w:pPr>
            <w:r>
              <w:rPr>
                <w:rFonts w:hint="eastAsia"/>
                <w:szCs w:val="21"/>
              </w:rPr>
              <w:t>200W/200WLED</w:t>
            </w:r>
          </w:p>
        </w:tc>
        <w:tc>
          <w:tcPr>
            <w:tcW w:w="756" w:type="dxa"/>
            <w:vAlign w:val="center"/>
          </w:tcPr>
          <w:p>
            <w:pPr>
              <w:rPr>
                <w:szCs w:val="21"/>
              </w:rPr>
            </w:pPr>
            <w:r>
              <w:rPr>
                <w:rFonts w:hint="eastAsia"/>
                <w:szCs w:val="21"/>
              </w:rPr>
              <w:t>9米</w:t>
            </w:r>
          </w:p>
        </w:tc>
        <w:tc>
          <w:tcPr>
            <w:tcW w:w="876" w:type="dxa"/>
            <w:vAlign w:val="center"/>
          </w:tcPr>
          <w:p>
            <w:pPr>
              <w:ind w:firstLine="210"/>
              <w:jc w:val="center"/>
              <w:rPr>
                <w:szCs w:val="21"/>
              </w:rPr>
            </w:pPr>
            <w:r>
              <w:rPr>
                <w:rFonts w:hint="eastAsia"/>
                <w:szCs w:val="21"/>
              </w:rPr>
              <w:t>1台250KVA</w:t>
            </w:r>
          </w:p>
        </w:tc>
        <w:tc>
          <w:tcPr>
            <w:tcW w:w="707" w:type="dxa"/>
            <w:vAlign w:val="center"/>
          </w:tcPr>
          <w:p>
            <w:pPr>
              <w:ind w:firstLine="21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vAlign w:val="center"/>
          </w:tcPr>
          <w:p>
            <w:pPr>
              <w:rPr>
                <w:rFonts w:eastAsia="宋体"/>
                <w:szCs w:val="21"/>
              </w:rPr>
            </w:pPr>
            <w:r>
              <w:rPr>
                <w:rFonts w:hint="eastAsia"/>
                <w:szCs w:val="21"/>
              </w:rPr>
              <w:t>9</w:t>
            </w:r>
          </w:p>
        </w:tc>
        <w:tc>
          <w:tcPr>
            <w:tcW w:w="721" w:type="dxa"/>
            <w:vAlign w:val="center"/>
          </w:tcPr>
          <w:p>
            <w:pPr>
              <w:jc w:val="left"/>
              <w:rPr>
                <w:rFonts w:eastAsia="宋体"/>
                <w:szCs w:val="21"/>
              </w:rPr>
            </w:pPr>
            <w:r>
              <w:rPr>
                <w:rFonts w:hint="eastAsia"/>
                <w:szCs w:val="21"/>
              </w:rPr>
              <w:t>灞陵路</w:t>
            </w:r>
          </w:p>
        </w:tc>
        <w:tc>
          <w:tcPr>
            <w:tcW w:w="850" w:type="dxa"/>
            <w:vAlign w:val="center"/>
          </w:tcPr>
          <w:p>
            <w:pPr>
              <w:jc w:val="left"/>
              <w:rPr>
                <w:rFonts w:eastAsia="宋体"/>
                <w:szCs w:val="21"/>
              </w:rPr>
            </w:pPr>
            <w:r>
              <w:rPr>
                <w:rFonts w:hint="eastAsia"/>
                <w:szCs w:val="21"/>
              </w:rPr>
              <w:t>新兴路-许由路</w:t>
            </w:r>
          </w:p>
        </w:tc>
        <w:tc>
          <w:tcPr>
            <w:tcW w:w="851" w:type="dxa"/>
            <w:vAlign w:val="center"/>
          </w:tcPr>
          <w:p>
            <w:pPr>
              <w:ind w:firstLine="210"/>
              <w:rPr>
                <w:szCs w:val="21"/>
              </w:rPr>
            </w:pPr>
            <w:r>
              <w:rPr>
                <w:rFonts w:hint="eastAsia"/>
                <w:szCs w:val="21"/>
              </w:rPr>
              <w:t>86</w:t>
            </w:r>
          </w:p>
        </w:tc>
        <w:tc>
          <w:tcPr>
            <w:tcW w:w="850" w:type="dxa"/>
            <w:vAlign w:val="center"/>
          </w:tcPr>
          <w:p>
            <w:pPr>
              <w:ind w:firstLine="210"/>
              <w:rPr>
                <w:rFonts w:eastAsia="宋体"/>
                <w:szCs w:val="21"/>
              </w:rPr>
            </w:pPr>
            <w:r>
              <w:rPr>
                <w:rFonts w:hint="eastAsia"/>
                <w:szCs w:val="21"/>
              </w:rPr>
              <w:t>1</w:t>
            </w:r>
          </w:p>
        </w:tc>
        <w:tc>
          <w:tcPr>
            <w:tcW w:w="851" w:type="dxa"/>
            <w:vAlign w:val="center"/>
          </w:tcPr>
          <w:p>
            <w:pPr>
              <w:ind w:firstLine="210"/>
              <w:rPr>
                <w:rFonts w:eastAsia="宋体"/>
                <w:szCs w:val="21"/>
              </w:rPr>
            </w:pPr>
            <w:r>
              <w:rPr>
                <w:rFonts w:hint="eastAsia"/>
                <w:szCs w:val="21"/>
              </w:rPr>
              <w:t>86</w:t>
            </w:r>
          </w:p>
        </w:tc>
        <w:tc>
          <w:tcPr>
            <w:tcW w:w="908" w:type="dxa"/>
            <w:vAlign w:val="center"/>
          </w:tcPr>
          <w:p>
            <w:pPr>
              <w:rPr>
                <w:szCs w:val="21"/>
              </w:rPr>
            </w:pPr>
            <w:r>
              <w:rPr>
                <w:rFonts w:hint="eastAsia"/>
                <w:szCs w:val="21"/>
              </w:rPr>
              <w:t>1342米</w:t>
            </w:r>
          </w:p>
        </w:tc>
        <w:tc>
          <w:tcPr>
            <w:tcW w:w="963" w:type="dxa"/>
            <w:vAlign w:val="center"/>
          </w:tcPr>
          <w:p>
            <w:pPr>
              <w:rPr>
                <w:szCs w:val="21"/>
              </w:rPr>
            </w:pPr>
            <w:r>
              <w:rPr>
                <w:rFonts w:hint="eastAsia"/>
                <w:szCs w:val="21"/>
              </w:rPr>
              <w:t>2440米</w:t>
            </w:r>
          </w:p>
        </w:tc>
        <w:tc>
          <w:tcPr>
            <w:tcW w:w="1460" w:type="dxa"/>
            <w:vAlign w:val="center"/>
          </w:tcPr>
          <w:p>
            <w:pPr>
              <w:ind w:firstLine="210"/>
              <w:jc w:val="center"/>
              <w:rPr>
                <w:szCs w:val="21"/>
              </w:rPr>
            </w:pPr>
            <w:r>
              <w:rPr>
                <w:rFonts w:hint="eastAsia"/>
                <w:szCs w:val="21"/>
              </w:rPr>
              <w:t>200WLED</w:t>
            </w:r>
          </w:p>
        </w:tc>
        <w:tc>
          <w:tcPr>
            <w:tcW w:w="756" w:type="dxa"/>
            <w:vAlign w:val="center"/>
          </w:tcPr>
          <w:p>
            <w:pPr>
              <w:rPr>
                <w:szCs w:val="21"/>
              </w:rPr>
            </w:pPr>
            <w:r>
              <w:rPr>
                <w:rFonts w:hint="eastAsia"/>
                <w:szCs w:val="21"/>
              </w:rPr>
              <w:t>12米</w:t>
            </w:r>
          </w:p>
        </w:tc>
        <w:tc>
          <w:tcPr>
            <w:tcW w:w="876" w:type="dxa"/>
            <w:vAlign w:val="center"/>
          </w:tcPr>
          <w:p>
            <w:pPr>
              <w:ind w:firstLine="210"/>
              <w:jc w:val="center"/>
              <w:rPr>
                <w:szCs w:val="21"/>
              </w:rPr>
            </w:pPr>
            <w:r>
              <w:rPr>
                <w:rFonts w:hint="eastAsia"/>
                <w:szCs w:val="21"/>
              </w:rPr>
              <w:t>1台250KVA</w:t>
            </w:r>
          </w:p>
        </w:tc>
        <w:tc>
          <w:tcPr>
            <w:tcW w:w="707" w:type="dxa"/>
            <w:vAlign w:val="center"/>
          </w:tcPr>
          <w:p>
            <w:pPr>
              <w:ind w:firstLine="21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vAlign w:val="center"/>
          </w:tcPr>
          <w:p>
            <w:pPr>
              <w:rPr>
                <w:rFonts w:eastAsia="宋体"/>
                <w:szCs w:val="21"/>
              </w:rPr>
            </w:pPr>
            <w:r>
              <w:rPr>
                <w:rFonts w:hint="eastAsia"/>
                <w:szCs w:val="21"/>
              </w:rPr>
              <w:t>10</w:t>
            </w:r>
          </w:p>
        </w:tc>
        <w:tc>
          <w:tcPr>
            <w:tcW w:w="721" w:type="dxa"/>
            <w:vAlign w:val="center"/>
          </w:tcPr>
          <w:p>
            <w:pPr>
              <w:jc w:val="left"/>
              <w:rPr>
                <w:rFonts w:eastAsia="宋体"/>
                <w:szCs w:val="21"/>
              </w:rPr>
            </w:pPr>
            <w:r>
              <w:rPr>
                <w:rFonts w:hint="eastAsia"/>
                <w:szCs w:val="21"/>
              </w:rPr>
              <w:t>许由路</w:t>
            </w:r>
          </w:p>
        </w:tc>
        <w:tc>
          <w:tcPr>
            <w:tcW w:w="850" w:type="dxa"/>
            <w:vAlign w:val="center"/>
          </w:tcPr>
          <w:p>
            <w:pPr>
              <w:jc w:val="left"/>
              <w:rPr>
                <w:rFonts w:eastAsia="宋体"/>
                <w:szCs w:val="21"/>
              </w:rPr>
            </w:pPr>
            <w:r>
              <w:rPr>
                <w:rFonts w:hint="eastAsia"/>
                <w:szCs w:val="21"/>
              </w:rPr>
              <w:t>京广铁路桥-延安路</w:t>
            </w:r>
          </w:p>
        </w:tc>
        <w:tc>
          <w:tcPr>
            <w:tcW w:w="851" w:type="dxa"/>
            <w:vAlign w:val="center"/>
          </w:tcPr>
          <w:p>
            <w:pPr>
              <w:ind w:firstLine="210"/>
              <w:rPr>
                <w:szCs w:val="21"/>
              </w:rPr>
            </w:pPr>
            <w:r>
              <w:rPr>
                <w:rFonts w:hint="eastAsia"/>
                <w:szCs w:val="21"/>
              </w:rPr>
              <w:t>83</w:t>
            </w:r>
          </w:p>
        </w:tc>
        <w:tc>
          <w:tcPr>
            <w:tcW w:w="850" w:type="dxa"/>
            <w:vAlign w:val="center"/>
          </w:tcPr>
          <w:p>
            <w:pPr>
              <w:ind w:firstLine="210"/>
              <w:rPr>
                <w:rFonts w:eastAsia="宋体"/>
                <w:szCs w:val="21"/>
              </w:rPr>
            </w:pPr>
            <w:r>
              <w:rPr>
                <w:rFonts w:hint="eastAsia"/>
                <w:szCs w:val="21"/>
              </w:rPr>
              <w:t>1</w:t>
            </w:r>
          </w:p>
        </w:tc>
        <w:tc>
          <w:tcPr>
            <w:tcW w:w="851" w:type="dxa"/>
            <w:vAlign w:val="center"/>
          </w:tcPr>
          <w:p>
            <w:pPr>
              <w:ind w:firstLine="210"/>
              <w:rPr>
                <w:rFonts w:eastAsia="宋体"/>
                <w:szCs w:val="21"/>
              </w:rPr>
            </w:pPr>
            <w:r>
              <w:rPr>
                <w:rFonts w:hint="eastAsia"/>
                <w:szCs w:val="21"/>
              </w:rPr>
              <w:t>83</w:t>
            </w:r>
          </w:p>
        </w:tc>
        <w:tc>
          <w:tcPr>
            <w:tcW w:w="908" w:type="dxa"/>
            <w:vAlign w:val="center"/>
          </w:tcPr>
          <w:p>
            <w:pPr>
              <w:rPr>
                <w:szCs w:val="21"/>
              </w:rPr>
            </w:pPr>
            <w:r>
              <w:rPr>
                <w:rFonts w:hint="eastAsia"/>
                <w:szCs w:val="21"/>
              </w:rPr>
              <w:t>2666米</w:t>
            </w:r>
          </w:p>
        </w:tc>
        <w:tc>
          <w:tcPr>
            <w:tcW w:w="963" w:type="dxa"/>
            <w:vAlign w:val="center"/>
          </w:tcPr>
          <w:p>
            <w:pPr>
              <w:rPr>
                <w:szCs w:val="21"/>
              </w:rPr>
            </w:pPr>
            <w:r>
              <w:rPr>
                <w:rFonts w:hint="eastAsia"/>
                <w:szCs w:val="21"/>
              </w:rPr>
              <w:t>2150米</w:t>
            </w:r>
          </w:p>
        </w:tc>
        <w:tc>
          <w:tcPr>
            <w:tcW w:w="1460" w:type="dxa"/>
            <w:vAlign w:val="center"/>
          </w:tcPr>
          <w:p>
            <w:pPr>
              <w:ind w:firstLine="210"/>
              <w:jc w:val="center"/>
              <w:rPr>
                <w:szCs w:val="21"/>
              </w:rPr>
            </w:pPr>
            <w:r>
              <w:rPr>
                <w:rFonts w:hint="eastAsia"/>
                <w:szCs w:val="21"/>
              </w:rPr>
              <w:t>180WLED（灯头为住建局安装）</w:t>
            </w:r>
          </w:p>
        </w:tc>
        <w:tc>
          <w:tcPr>
            <w:tcW w:w="756" w:type="dxa"/>
            <w:vAlign w:val="center"/>
          </w:tcPr>
          <w:p>
            <w:pPr>
              <w:rPr>
                <w:szCs w:val="21"/>
              </w:rPr>
            </w:pPr>
            <w:r>
              <w:rPr>
                <w:rFonts w:hint="eastAsia"/>
                <w:szCs w:val="21"/>
              </w:rPr>
              <w:t>10米</w:t>
            </w:r>
          </w:p>
        </w:tc>
        <w:tc>
          <w:tcPr>
            <w:tcW w:w="876" w:type="dxa"/>
            <w:vAlign w:val="center"/>
          </w:tcPr>
          <w:p>
            <w:pPr>
              <w:ind w:firstLine="210"/>
              <w:jc w:val="center"/>
              <w:rPr>
                <w:szCs w:val="21"/>
              </w:rPr>
            </w:pPr>
            <w:r>
              <w:rPr>
                <w:rFonts w:hint="eastAsia"/>
                <w:szCs w:val="21"/>
              </w:rPr>
              <w:t>2台250KVA箱变</w:t>
            </w:r>
          </w:p>
        </w:tc>
        <w:tc>
          <w:tcPr>
            <w:tcW w:w="707" w:type="dxa"/>
            <w:vAlign w:val="center"/>
          </w:tcPr>
          <w:p>
            <w:pPr>
              <w:ind w:firstLine="210"/>
              <w:jc w:val="center"/>
              <w:rPr>
                <w:szCs w:val="21"/>
              </w:rPr>
            </w:pPr>
            <w:r>
              <w:rPr>
                <w:rFonts w:hint="eastAsia"/>
                <w:szCs w:val="21"/>
              </w:rPr>
              <w:t>灯杆、线缆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vAlign w:val="center"/>
          </w:tcPr>
          <w:p>
            <w:pPr>
              <w:rPr>
                <w:rFonts w:eastAsia="宋体"/>
                <w:szCs w:val="21"/>
              </w:rPr>
            </w:pPr>
            <w:r>
              <w:rPr>
                <w:rFonts w:hint="eastAsia"/>
                <w:szCs w:val="21"/>
              </w:rPr>
              <w:t>11</w:t>
            </w:r>
          </w:p>
        </w:tc>
        <w:tc>
          <w:tcPr>
            <w:tcW w:w="721" w:type="dxa"/>
            <w:vAlign w:val="center"/>
          </w:tcPr>
          <w:p>
            <w:pPr>
              <w:jc w:val="left"/>
              <w:rPr>
                <w:rFonts w:eastAsia="宋体"/>
                <w:szCs w:val="21"/>
              </w:rPr>
            </w:pPr>
            <w:r>
              <w:rPr>
                <w:rFonts w:hint="eastAsia"/>
                <w:szCs w:val="21"/>
              </w:rPr>
              <w:t>许禹快速通道</w:t>
            </w:r>
          </w:p>
        </w:tc>
        <w:tc>
          <w:tcPr>
            <w:tcW w:w="850" w:type="dxa"/>
            <w:vAlign w:val="center"/>
          </w:tcPr>
          <w:p>
            <w:pPr>
              <w:jc w:val="left"/>
              <w:rPr>
                <w:rFonts w:eastAsia="宋体"/>
                <w:szCs w:val="21"/>
              </w:rPr>
            </w:pPr>
            <w:r>
              <w:rPr>
                <w:rFonts w:hint="eastAsia"/>
                <w:szCs w:val="21"/>
              </w:rPr>
              <w:t>西外环-魏都区界</w:t>
            </w:r>
          </w:p>
        </w:tc>
        <w:tc>
          <w:tcPr>
            <w:tcW w:w="851" w:type="dxa"/>
            <w:vAlign w:val="center"/>
          </w:tcPr>
          <w:p>
            <w:pPr>
              <w:ind w:firstLine="210"/>
              <w:rPr>
                <w:szCs w:val="21"/>
              </w:rPr>
            </w:pPr>
            <w:r>
              <w:rPr>
                <w:rFonts w:hint="eastAsia"/>
                <w:szCs w:val="21"/>
              </w:rPr>
              <w:t>138</w:t>
            </w:r>
          </w:p>
        </w:tc>
        <w:tc>
          <w:tcPr>
            <w:tcW w:w="850" w:type="dxa"/>
            <w:vAlign w:val="center"/>
          </w:tcPr>
          <w:p>
            <w:pPr>
              <w:ind w:firstLine="210"/>
              <w:rPr>
                <w:szCs w:val="21"/>
              </w:rPr>
            </w:pPr>
            <w:r>
              <w:rPr>
                <w:rFonts w:hint="eastAsia"/>
                <w:szCs w:val="21"/>
              </w:rPr>
              <w:t>2</w:t>
            </w:r>
          </w:p>
        </w:tc>
        <w:tc>
          <w:tcPr>
            <w:tcW w:w="851" w:type="dxa"/>
            <w:vAlign w:val="center"/>
          </w:tcPr>
          <w:p>
            <w:pPr>
              <w:ind w:firstLine="210"/>
              <w:rPr>
                <w:szCs w:val="21"/>
              </w:rPr>
            </w:pPr>
            <w:r>
              <w:rPr>
                <w:rFonts w:hint="eastAsia"/>
                <w:szCs w:val="21"/>
              </w:rPr>
              <w:t>276</w:t>
            </w:r>
          </w:p>
        </w:tc>
        <w:tc>
          <w:tcPr>
            <w:tcW w:w="908" w:type="dxa"/>
            <w:vAlign w:val="center"/>
          </w:tcPr>
          <w:p>
            <w:pPr>
              <w:rPr>
                <w:szCs w:val="21"/>
              </w:rPr>
            </w:pPr>
            <w:r>
              <w:rPr>
                <w:rFonts w:hint="eastAsia"/>
                <w:szCs w:val="21"/>
              </w:rPr>
              <w:t>2500米</w:t>
            </w:r>
          </w:p>
        </w:tc>
        <w:tc>
          <w:tcPr>
            <w:tcW w:w="963" w:type="dxa"/>
            <w:vAlign w:val="center"/>
          </w:tcPr>
          <w:p>
            <w:pPr>
              <w:ind w:firstLine="210"/>
              <w:rPr>
                <w:szCs w:val="21"/>
              </w:rPr>
            </w:pPr>
            <w:r>
              <w:rPr>
                <w:rFonts w:hint="eastAsia"/>
                <w:szCs w:val="21"/>
              </w:rPr>
              <w:t>无</w:t>
            </w:r>
          </w:p>
        </w:tc>
        <w:tc>
          <w:tcPr>
            <w:tcW w:w="1460" w:type="dxa"/>
            <w:vAlign w:val="center"/>
          </w:tcPr>
          <w:p>
            <w:pPr>
              <w:ind w:firstLine="210"/>
              <w:jc w:val="center"/>
              <w:rPr>
                <w:szCs w:val="21"/>
              </w:rPr>
            </w:pPr>
            <w:r>
              <w:rPr>
                <w:rFonts w:hint="eastAsia"/>
                <w:szCs w:val="21"/>
              </w:rPr>
              <w:t>80W/30W风光互补</w:t>
            </w:r>
          </w:p>
        </w:tc>
        <w:tc>
          <w:tcPr>
            <w:tcW w:w="756" w:type="dxa"/>
            <w:vAlign w:val="center"/>
          </w:tcPr>
          <w:p>
            <w:pPr>
              <w:rPr>
                <w:szCs w:val="21"/>
              </w:rPr>
            </w:pPr>
            <w:r>
              <w:rPr>
                <w:rFonts w:hint="eastAsia"/>
                <w:szCs w:val="21"/>
              </w:rPr>
              <w:t>11米</w:t>
            </w:r>
          </w:p>
        </w:tc>
        <w:tc>
          <w:tcPr>
            <w:tcW w:w="876" w:type="dxa"/>
            <w:vAlign w:val="center"/>
          </w:tcPr>
          <w:p>
            <w:pPr>
              <w:ind w:firstLine="210"/>
              <w:jc w:val="center"/>
              <w:rPr>
                <w:szCs w:val="21"/>
              </w:rPr>
            </w:pPr>
            <w:r>
              <w:rPr>
                <w:rFonts w:hint="eastAsia"/>
                <w:szCs w:val="21"/>
              </w:rPr>
              <w:t>无</w:t>
            </w:r>
          </w:p>
        </w:tc>
        <w:tc>
          <w:tcPr>
            <w:tcW w:w="707" w:type="dxa"/>
            <w:vAlign w:val="center"/>
          </w:tcPr>
          <w:p>
            <w:pPr>
              <w:ind w:firstLine="21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vAlign w:val="center"/>
          </w:tcPr>
          <w:p>
            <w:pPr>
              <w:rPr>
                <w:szCs w:val="21"/>
              </w:rPr>
            </w:pPr>
            <w:r>
              <w:rPr>
                <w:rFonts w:hint="eastAsia"/>
                <w:szCs w:val="21"/>
              </w:rPr>
              <w:t>12</w:t>
            </w:r>
          </w:p>
        </w:tc>
        <w:tc>
          <w:tcPr>
            <w:tcW w:w="721" w:type="dxa"/>
            <w:vAlign w:val="center"/>
          </w:tcPr>
          <w:p>
            <w:pPr>
              <w:jc w:val="left"/>
              <w:rPr>
                <w:rFonts w:eastAsia="宋体"/>
                <w:szCs w:val="21"/>
              </w:rPr>
            </w:pPr>
            <w:r>
              <w:rPr>
                <w:rFonts w:hint="eastAsia"/>
                <w:szCs w:val="21"/>
              </w:rPr>
              <w:t>永登高速引线</w:t>
            </w:r>
          </w:p>
        </w:tc>
        <w:tc>
          <w:tcPr>
            <w:tcW w:w="850" w:type="dxa"/>
            <w:vAlign w:val="center"/>
          </w:tcPr>
          <w:p>
            <w:pPr>
              <w:jc w:val="left"/>
              <w:rPr>
                <w:szCs w:val="21"/>
              </w:rPr>
            </w:pPr>
            <w:r>
              <w:rPr>
                <w:rFonts w:hint="eastAsia"/>
                <w:szCs w:val="21"/>
              </w:rPr>
              <w:t>西外环-魏都区界</w:t>
            </w:r>
          </w:p>
        </w:tc>
        <w:tc>
          <w:tcPr>
            <w:tcW w:w="851" w:type="dxa"/>
            <w:vAlign w:val="center"/>
          </w:tcPr>
          <w:p>
            <w:pPr>
              <w:ind w:firstLine="210"/>
              <w:rPr>
                <w:szCs w:val="21"/>
              </w:rPr>
            </w:pPr>
            <w:r>
              <w:rPr>
                <w:rFonts w:hint="eastAsia"/>
                <w:szCs w:val="21"/>
              </w:rPr>
              <w:t>76</w:t>
            </w:r>
          </w:p>
        </w:tc>
        <w:tc>
          <w:tcPr>
            <w:tcW w:w="850" w:type="dxa"/>
            <w:vAlign w:val="center"/>
          </w:tcPr>
          <w:p>
            <w:pPr>
              <w:ind w:firstLine="210"/>
              <w:rPr>
                <w:szCs w:val="21"/>
              </w:rPr>
            </w:pPr>
            <w:r>
              <w:rPr>
                <w:rFonts w:hint="eastAsia"/>
                <w:szCs w:val="21"/>
              </w:rPr>
              <w:t>2</w:t>
            </w:r>
          </w:p>
        </w:tc>
        <w:tc>
          <w:tcPr>
            <w:tcW w:w="851" w:type="dxa"/>
            <w:vAlign w:val="center"/>
          </w:tcPr>
          <w:p>
            <w:pPr>
              <w:ind w:firstLine="210"/>
              <w:rPr>
                <w:szCs w:val="21"/>
              </w:rPr>
            </w:pPr>
            <w:r>
              <w:rPr>
                <w:rFonts w:hint="eastAsia"/>
                <w:szCs w:val="21"/>
              </w:rPr>
              <w:t>152</w:t>
            </w:r>
          </w:p>
        </w:tc>
        <w:tc>
          <w:tcPr>
            <w:tcW w:w="908" w:type="dxa"/>
            <w:vAlign w:val="center"/>
          </w:tcPr>
          <w:p>
            <w:pPr>
              <w:rPr>
                <w:szCs w:val="21"/>
              </w:rPr>
            </w:pPr>
            <w:r>
              <w:rPr>
                <w:rFonts w:hint="eastAsia"/>
                <w:szCs w:val="21"/>
              </w:rPr>
              <w:t>1370米</w:t>
            </w:r>
          </w:p>
        </w:tc>
        <w:tc>
          <w:tcPr>
            <w:tcW w:w="963" w:type="dxa"/>
            <w:vAlign w:val="center"/>
          </w:tcPr>
          <w:p>
            <w:pPr>
              <w:ind w:firstLine="210"/>
              <w:rPr>
                <w:szCs w:val="21"/>
              </w:rPr>
            </w:pPr>
            <w:r>
              <w:rPr>
                <w:rFonts w:hint="eastAsia"/>
                <w:szCs w:val="21"/>
              </w:rPr>
              <w:t>无</w:t>
            </w:r>
          </w:p>
        </w:tc>
        <w:tc>
          <w:tcPr>
            <w:tcW w:w="1460" w:type="dxa"/>
            <w:vAlign w:val="center"/>
          </w:tcPr>
          <w:p>
            <w:pPr>
              <w:ind w:firstLine="210"/>
              <w:jc w:val="center"/>
              <w:rPr>
                <w:rFonts w:eastAsia="宋体"/>
                <w:szCs w:val="21"/>
              </w:rPr>
            </w:pPr>
            <w:r>
              <w:rPr>
                <w:szCs w:val="21"/>
              </w:rPr>
              <w:t>L</w:t>
            </w:r>
            <w:r>
              <w:rPr>
                <w:rFonts w:hint="eastAsia"/>
                <w:szCs w:val="21"/>
              </w:rPr>
              <w:t>ED风光互补灯</w:t>
            </w:r>
          </w:p>
        </w:tc>
        <w:tc>
          <w:tcPr>
            <w:tcW w:w="756" w:type="dxa"/>
            <w:vAlign w:val="center"/>
          </w:tcPr>
          <w:p>
            <w:pPr>
              <w:rPr>
                <w:szCs w:val="21"/>
              </w:rPr>
            </w:pPr>
            <w:r>
              <w:rPr>
                <w:rFonts w:hint="eastAsia"/>
                <w:szCs w:val="21"/>
              </w:rPr>
              <w:t>10米</w:t>
            </w:r>
          </w:p>
        </w:tc>
        <w:tc>
          <w:tcPr>
            <w:tcW w:w="876" w:type="dxa"/>
            <w:vAlign w:val="center"/>
          </w:tcPr>
          <w:p>
            <w:pPr>
              <w:ind w:firstLine="210"/>
              <w:jc w:val="center"/>
              <w:rPr>
                <w:szCs w:val="21"/>
              </w:rPr>
            </w:pPr>
            <w:r>
              <w:rPr>
                <w:rFonts w:hint="eastAsia"/>
                <w:szCs w:val="21"/>
              </w:rPr>
              <w:t>无</w:t>
            </w:r>
          </w:p>
        </w:tc>
        <w:tc>
          <w:tcPr>
            <w:tcW w:w="707" w:type="dxa"/>
            <w:vAlign w:val="center"/>
          </w:tcPr>
          <w:p>
            <w:pPr>
              <w:ind w:firstLine="21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vAlign w:val="center"/>
          </w:tcPr>
          <w:p>
            <w:pPr>
              <w:rPr>
                <w:szCs w:val="21"/>
              </w:rPr>
            </w:pPr>
            <w:r>
              <w:rPr>
                <w:rFonts w:hint="eastAsia"/>
                <w:szCs w:val="21"/>
              </w:rPr>
              <w:t>13</w:t>
            </w:r>
          </w:p>
        </w:tc>
        <w:tc>
          <w:tcPr>
            <w:tcW w:w="721" w:type="dxa"/>
            <w:vAlign w:val="center"/>
          </w:tcPr>
          <w:p>
            <w:pPr>
              <w:jc w:val="left"/>
              <w:rPr>
                <w:rFonts w:eastAsia="宋体"/>
                <w:szCs w:val="21"/>
              </w:rPr>
            </w:pPr>
            <w:r>
              <w:rPr>
                <w:rFonts w:hint="eastAsia"/>
                <w:szCs w:val="21"/>
              </w:rPr>
              <w:t>许继大道环岛亮化工程</w:t>
            </w:r>
          </w:p>
        </w:tc>
        <w:tc>
          <w:tcPr>
            <w:tcW w:w="850" w:type="dxa"/>
            <w:vAlign w:val="center"/>
          </w:tcPr>
          <w:p>
            <w:pPr>
              <w:jc w:val="left"/>
              <w:rPr>
                <w:szCs w:val="21"/>
              </w:rPr>
            </w:pPr>
            <w:r>
              <w:rPr>
                <w:rFonts w:hint="eastAsia"/>
                <w:szCs w:val="21"/>
              </w:rPr>
              <w:t>许继大道延安路交叉口转盘</w:t>
            </w:r>
          </w:p>
        </w:tc>
        <w:tc>
          <w:tcPr>
            <w:tcW w:w="851" w:type="dxa"/>
            <w:vAlign w:val="center"/>
          </w:tcPr>
          <w:p>
            <w:pPr>
              <w:ind w:firstLine="210"/>
              <w:rPr>
                <w:szCs w:val="21"/>
              </w:rPr>
            </w:pPr>
            <w:r>
              <w:rPr>
                <w:rFonts w:hint="eastAsia"/>
                <w:szCs w:val="21"/>
              </w:rPr>
              <w:t>1</w:t>
            </w:r>
          </w:p>
        </w:tc>
        <w:tc>
          <w:tcPr>
            <w:tcW w:w="850" w:type="dxa"/>
            <w:vAlign w:val="center"/>
          </w:tcPr>
          <w:p>
            <w:pPr>
              <w:ind w:firstLine="210"/>
              <w:rPr>
                <w:szCs w:val="21"/>
              </w:rPr>
            </w:pPr>
            <w:r>
              <w:rPr>
                <w:rFonts w:hint="eastAsia"/>
                <w:szCs w:val="21"/>
              </w:rPr>
              <w:t>12</w:t>
            </w:r>
          </w:p>
        </w:tc>
        <w:tc>
          <w:tcPr>
            <w:tcW w:w="851" w:type="dxa"/>
            <w:vAlign w:val="center"/>
          </w:tcPr>
          <w:p>
            <w:pPr>
              <w:ind w:firstLine="210"/>
              <w:rPr>
                <w:szCs w:val="21"/>
              </w:rPr>
            </w:pPr>
            <w:r>
              <w:rPr>
                <w:rFonts w:hint="eastAsia"/>
                <w:szCs w:val="21"/>
              </w:rPr>
              <w:t>12</w:t>
            </w:r>
          </w:p>
        </w:tc>
        <w:tc>
          <w:tcPr>
            <w:tcW w:w="908" w:type="dxa"/>
            <w:vAlign w:val="center"/>
          </w:tcPr>
          <w:p>
            <w:pPr>
              <w:ind w:firstLine="210"/>
              <w:jc w:val="center"/>
              <w:rPr>
                <w:szCs w:val="21"/>
              </w:rPr>
            </w:pPr>
            <w:r>
              <w:rPr>
                <w:rFonts w:hint="eastAsia"/>
                <w:szCs w:val="21"/>
              </w:rPr>
              <w:t>/</w:t>
            </w:r>
          </w:p>
        </w:tc>
        <w:tc>
          <w:tcPr>
            <w:tcW w:w="963" w:type="dxa"/>
            <w:vAlign w:val="center"/>
          </w:tcPr>
          <w:p>
            <w:pPr>
              <w:rPr>
                <w:szCs w:val="21"/>
              </w:rPr>
            </w:pPr>
            <w:r>
              <w:rPr>
                <w:rFonts w:hint="eastAsia"/>
                <w:szCs w:val="21"/>
              </w:rPr>
              <w:t>200米</w:t>
            </w:r>
          </w:p>
        </w:tc>
        <w:tc>
          <w:tcPr>
            <w:tcW w:w="1460" w:type="dxa"/>
            <w:vAlign w:val="center"/>
          </w:tcPr>
          <w:p>
            <w:pPr>
              <w:ind w:firstLine="210"/>
              <w:jc w:val="center"/>
              <w:rPr>
                <w:szCs w:val="21"/>
              </w:rPr>
            </w:pPr>
            <w:r>
              <w:rPr>
                <w:rFonts w:hint="eastAsia"/>
                <w:szCs w:val="21"/>
              </w:rPr>
              <w:t>400W高杆灯</w:t>
            </w:r>
          </w:p>
        </w:tc>
        <w:tc>
          <w:tcPr>
            <w:tcW w:w="756" w:type="dxa"/>
            <w:vAlign w:val="center"/>
          </w:tcPr>
          <w:p>
            <w:pPr>
              <w:rPr>
                <w:szCs w:val="21"/>
              </w:rPr>
            </w:pPr>
            <w:r>
              <w:rPr>
                <w:rFonts w:hint="eastAsia"/>
                <w:szCs w:val="21"/>
              </w:rPr>
              <w:t>16米</w:t>
            </w:r>
          </w:p>
        </w:tc>
        <w:tc>
          <w:tcPr>
            <w:tcW w:w="876" w:type="dxa"/>
            <w:vAlign w:val="center"/>
          </w:tcPr>
          <w:p>
            <w:pPr>
              <w:ind w:firstLine="210"/>
              <w:jc w:val="center"/>
              <w:rPr>
                <w:szCs w:val="21"/>
              </w:rPr>
            </w:pPr>
            <w:r>
              <w:rPr>
                <w:rFonts w:hint="eastAsia"/>
                <w:szCs w:val="21"/>
              </w:rPr>
              <w:t>/</w:t>
            </w:r>
          </w:p>
        </w:tc>
        <w:tc>
          <w:tcPr>
            <w:tcW w:w="707" w:type="dxa"/>
            <w:vAlign w:val="center"/>
          </w:tcPr>
          <w:p>
            <w:pPr>
              <w:ind w:firstLine="210"/>
              <w:jc w:val="center"/>
              <w:rPr>
                <w:rFonts w:eastAsia="宋体"/>
                <w:szCs w:val="21"/>
              </w:rPr>
            </w:pPr>
            <w:r>
              <w:rPr>
                <w:rFonts w:hint="eastAsia"/>
                <w:szCs w:val="21"/>
              </w:rPr>
              <w:t>未通电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vAlign w:val="center"/>
          </w:tcPr>
          <w:p>
            <w:pPr>
              <w:rPr>
                <w:szCs w:val="21"/>
              </w:rPr>
            </w:pPr>
            <w:r>
              <w:rPr>
                <w:rFonts w:hint="eastAsia"/>
                <w:szCs w:val="21"/>
              </w:rPr>
              <w:t>14</w:t>
            </w:r>
          </w:p>
        </w:tc>
        <w:tc>
          <w:tcPr>
            <w:tcW w:w="721" w:type="dxa"/>
            <w:vAlign w:val="center"/>
          </w:tcPr>
          <w:p>
            <w:pPr>
              <w:jc w:val="left"/>
              <w:rPr>
                <w:rFonts w:eastAsia="宋体"/>
                <w:szCs w:val="21"/>
              </w:rPr>
            </w:pPr>
            <w:r>
              <w:rPr>
                <w:rFonts w:hint="eastAsia"/>
                <w:szCs w:val="21"/>
              </w:rPr>
              <w:t>天宝路立交亮化（按现状）</w:t>
            </w:r>
          </w:p>
        </w:tc>
        <w:tc>
          <w:tcPr>
            <w:tcW w:w="850" w:type="dxa"/>
            <w:vAlign w:val="center"/>
          </w:tcPr>
          <w:p>
            <w:pPr>
              <w:jc w:val="left"/>
              <w:rPr>
                <w:rFonts w:eastAsia="宋体"/>
                <w:szCs w:val="21"/>
              </w:rPr>
            </w:pPr>
            <w:r>
              <w:rPr>
                <w:rFonts w:hint="eastAsia"/>
                <w:szCs w:val="21"/>
              </w:rPr>
              <w:t>天宝路京广铁路桥</w:t>
            </w:r>
          </w:p>
        </w:tc>
        <w:tc>
          <w:tcPr>
            <w:tcW w:w="851" w:type="dxa"/>
            <w:vAlign w:val="center"/>
          </w:tcPr>
          <w:p>
            <w:pPr>
              <w:ind w:firstLine="210"/>
              <w:rPr>
                <w:szCs w:val="21"/>
              </w:rPr>
            </w:pPr>
            <w:r>
              <w:rPr>
                <w:rFonts w:hint="eastAsia"/>
                <w:szCs w:val="21"/>
              </w:rPr>
              <w:t>/</w:t>
            </w:r>
          </w:p>
        </w:tc>
        <w:tc>
          <w:tcPr>
            <w:tcW w:w="850" w:type="dxa"/>
            <w:vAlign w:val="center"/>
          </w:tcPr>
          <w:p>
            <w:pPr>
              <w:ind w:firstLine="210"/>
              <w:rPr>
                <w:szCs w:val="21"/>
              </w:rPr>
            </w:pPr>
            <w:r>
              <w:rPr>
                <w:rFonts w:hint="eastAsia"/>
                <w:szCs w:val="21"/>
              </w:rPr>
              <w:t>/</w:t>
            </w:r>
          </w:p>
        </w:tc>
        <w:tc>
          <w:tcPr>
            <w:tcW w:w="851" w:type="dxa"/>
            <w:vAlign w:val="center"/>
          </w:tcPr>
          <w:p>
            <w:pPr>
              <w:ind w:firstLine="210"/>
              <w:rPr>
                <w:szCs w:val="21"/>
              </w:rPr>
            </w:pPr>
            <w:r>
              <w:rPr>
                <w:rFonts w:hint="eastAsia"/>
                <w:szCs w:val="21"/>
              </w:rPr>
              <w:t>LED幻灯带990m，LED单色150米，投光灯32套，电源40台，智能回路控制器4台</w:t>
            </w:r>
          </w:p>
        </w:tc>
        <w:tc>
          <w:tcPr>
            <w:tcW w:w="908" w:type="dxa"/>
            <w:vAlign w:val="center"/>
          </w:tcPr>
          <w:p>
            <w:pPr>
              <w:ind w:firstLine="210"/>
              <w:jc w:val="center"/>
              <w:rPr>
                <w:szCs w:val="21"/>
              </w:rPr>
            </w:pPr>
            <w:r>
              <w:rPr>
                <w:rFonts w:hint="eastAsia"/>
                <w:szCs w:val="21"/>
              </w:rPr>
              <w:t>/</w:t>
            </w:r>
          </w:p>
        </w:tc>
        <w:tc>
          <w:tcPr>
            <w:tcW w:w="963" w:type="dxa"/>
            <w:vAlign w:val="center"/>
          </w:tcPr>
          <w:p>
            <w:pPr>
              <w:ind w:firstLine="210"/>
              <w:jc w:val="center"/>
              <w:rPr>
                <w:rFonts w:eastAsia="宋体"/>
                <w:szCs w:val="21"/>
              </w:rPr>
            </w:pPr>
            <w:r>
              <w:rPr>
                <w:rFonts w:hint="eastAsia"/>
                <w:szCs w:val="21"/>
              </w:rPr>
              <w:t>RVV2*1.5电缆350米，YJV3*4电缆1300米，穿线管1210米</w:t>
            </w:r>
          </w:p>
        </w:tc>
        <w:tc>
          <w:tcPr>
            <w:tcW w:w="1460" w:type="dxa"/>
            <w:vAlign w:val="center"/>
          </w:tcPr>
          <w:p>
            <w:pPr>
              <w:ind w:firstLine="210"/>
              <w:jc w:val="center"/>
              <w:rPr>
                <w:rFonts w:eastAsia="宋体"/>
                <w:szCs w:val="21"/>
              </w:rPr>
            </w:pPr>
            <w:r>
              <w:rPr>
                <w:rFonts w:hint="eastAsia"/>
                <w:szCs w:val="21"/>
              </w:rPr>
              <w:t>投光灯50W大功率，LED灯带24W/米12W/米</w:t>
            </w:r>
          </w:p>
        </w:tc>
        <w:tc>
          <w:tcPr>
            <w:tcW w:w="756" w:type="dxa"/>
            <w:vAlign w:val="center"/>
          </w:tcPr>
          <w:p>
            <w:pPr>
              <w:ind w:firstLine="210"/>
              <w:jc w:val="center"/>
              <w:rPr>
                <w:szCs w:val="21"/>
              </w:rPr>
            </w:pPr>
            <w:r>
              <w:rPr>
                <w:rFonts w:hint="eastAsia"/>
                <w:szCs w:val="21"/>
              </w:rPr>
              <w:t>/</w:t>
            </w:r>
          </w:p>
        </w:tc>
        <w:tc>
          <w:tcPr>
            <w:tcW w:w="876" w:type="dxa"/>
            <w:vAlign w:val="center"/>
          </w:tcPr>
          <w:p>
            <w:pPr>
              <w:ind w:firstLine="210"/>
              <w:jc w:val="center"/>
              <w:rPr>
                <w:szCs w:val="21"/>
              </w:rPr>
            </w:pPr>
            <w:r>
              <w:rPr>
                <w:rFonts w:hint="eastAsia"/>
                <w:szCs w:val="21"/>
              </w:rPr>
              <w:t>1台220KVA箱变</w:t>
            </w:r>
          </w:p>
        </w:tc>
        <w:tc>
          <w:tcPr>
            <w:tcW w:w="707" w:type="dxa"/>
            <w:vAlign w:val="center"/>
          </w:tcPr>
          <w:p>
            <w:pPr>
              <w:ind w:firstLine="21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vAlign w:val="center"/>
          </w:tcPr>
          <w:p>
            <w:pPr>
              <w:rPr>
                <w:szCs w:val="21"/>
              </w:rPr>
            </w:pPr>
            <w:r>
              <w:rPr>
                <w:rFonts w:hint="eastAsia"/>
                <w:szCs w:val="21"/>
              </w:rPr>
              <w:t>15</w:t>
            </w:r>
          </w:p>
        </w:tc>
        <w:tc>
          <w:tcPr>
            <w:tcW w:w="721" w:type="dxa"/>
            <w:vAlign w:val="center"/>
          </w:tcPr>
          <w:p>
            <w:pPr>
              <w:jc w:val="left"/>
              <w:rPr>
                <w:rFonts w:eastAsia="宋体"/>
                <w:szCs w:val="21"/>
              </w:rPr>
            </w:pPr>
            <w:r>
              <w:rPr>
                <w:rFonts w:hint="eastAsia"/>
                <w:szCs w:val="21"/>
              </w:rPr>
              <w:t>五一路北段</w:t>
            </w:r>
          </w:p>
        </w:tc>
        <w:tc>
          <w:tcPr>
            <w:tcW w:w="850" w:type="dxa"/>
            <w:vAlign w:val="center"/>
          </w:tcPr>
          <w:p>
            <w:pPr>
              <w:jc w:val="left"/>
              <w:rPr>
                <w:rFonts w:eastAsia="宋体"/>
                <w:szCs w:val="21"/>
              </w:rPr>
            </w:pPr>
            <w:r>
              <w:rPr>
                <w:rFonts w:hint="eastAsia"/>
                <w:szCs w:val="21"/>
              </w:rPr>
              <w:t>天宝路-陈庄</w:t>
            </w:r>
          </w:p>
        </w:tc>
        <w:tc>
          <w:tcPr>
            <w:tcW w:w="851" w:type="dxa"/>
            <w:vAlign w:val="center"/>
          </w:tcPr>
          <w:p>
            <w:pPr>
              <w:ind w:firstLine="210"/>
              <w:rPr>
                <w:szCs w:val="21"/>
              </w:rPr>
            </w:pPr>
            <w:r>
              <w:rPr>
                <w:rFonts w:hint="eastAsia"/>
                <w:szCs w:val="21"/>
              </w:rPr>
              <w:t>54</w:t>
            </w:r>
          </w:p>
        </w:tc>
        <w:tc>
          <w:tcPr>
            <w:tcW w:w="850" w:type="dxa"/>
            <w:vAlign w:val="center"/>
          </w:tcPr>
          <w:p>
            <w:pPr>
              <w:ind w:firstLine="210"/>
              <w:rPr>
                <w:rFonts w:eastAsia="宋体"/>
                <w:szCs w:val="21"/>
              </w:rPr>
            </w:pPr>
            <w:r>
              <w:rPr>
                <w:rFonts w:hint="eastAsia"/>
                <w:szCs w:val="21"/>
              </w:rPr>
              <w:t>1</w:t>
            </w:r>
          </w:p>
        </w:tc>
        <w:tc>
          <w:tcPr>
            <w:tcW w:w="851" w:type="dxa"/>
            <w:vAlign w:val="center"/>
          </w:tcPr>
          <w:p>
            <w:pPr>
              <w:ind w:firstLine="210"/>
              <w:rPr>
                <w:szCs w:val="21"/>
              </w:rPr>
            </w:pPr>
            <w:r>
              <w:rPr>
                <w:rFonts w:hint="eastAsia"/>
                <w:szCs w:val="21"/>
              </w:rPr>
              <w:t>54</w:t>
            </w:r>
          </w:p>
        </w:tc>
        <w:tc>
          <w:tcPr>
            <w:tcW w:w="908" w:type="dxa"/>
            <w:vAlign w:val="center"/>
          </w:tcPr>
          <w:p>
            <w:pPr>
              <w:rPr>
                <w:szCs w:val="21"/>
              </w:rPr>
            </w:pPr>
            <w:r>
              <w:rPr>
                <w:rFonts w:hint="eastAsia"/>
                <w:szCs w:val="21"/>
              </w:rPr>
              <w:t>780米</w:t>
            </w:r>
          </w:p>
        </w:tc>
        <w:tc>
          <w:tcPr>
            <w:tcW w:w="963" w:type="dxa"/>
            <w:vAlign w:val="center"/>
          </w:tcPr>
          <w:p>
            <w:pPr>
              <w:rPr>
                <w:szCs w:val="21"/>
              </w:rPr>
            </w:pPr>
            <w:r>
              <w:rPr>
                <w:rFonts w:hint="eastAsia"/>
                <w:szCs w:val="21"/>
              </w:rPr>
              <w:t>1800米</w:t>
            </w:r>
          </w:p>
        </w:tc>
        <w:tc>
          <w:tcPr>
            <w:tcW w:w="1460" w:type="dxa"/>
            <w:vAlign w:val="center"/>
          </w:tcPr>
          <w:p>
            <w:pPr>
              <w:ind w:firstLine="210"/>
              <w:jc w:val="center"/>
              <w:rPr>
                <w:szCs w:val="21"/>
              </w:rPr>
            </w:pPr>
            <w:r>
              <w:rPr>
                <w:rFonts w:hint="eastAsia"/>
                <w:szCs w:val="21"/>
              </w:rPr>
              <w:t>/</w:t>
            </w:r>
          </w:p>
        </w:tc>
        <w:tc>
          <w:tcPr>
            <w:tcW w:w="756" w:type="dxa"/>
            <w:vAlign w:val="center"/>
          </w:tcPr>
          <w:p>
            <w:pPr>
              <w:rPr>
                <w:szCs w:val="21"/>
              </w:rPr>
            </w:pPr>
            <w:r>
              <w:rPr>
                <w:rFonts w:hint="eastAsia"/>
                <w:szCs w:val="21"/>
              </w:rPr>
              <w:t>9米</w:t>
            </w:r>
          </w:p>
        </w:tc>
        <w:tc>
          <w:tcPr>
            <w:tcW w:w="876" w:type="dxa"/>
            <w:vAlign w:val="center"/>
          </w:tcPr>
          <w:p>
            <w:pPr>
              <w:ind w:firstLine="210"/>
              <w:jc w:val="center"/>
              <w:rPr>
                <w:szCs w:val="21"/>
              </w:rPr>
            </w:pPr>
            <w:r>
              <w:rPr>
                <w:rFonts w:hint="eastAsia"/>
                <w:szCs w:val="21"/>
              </w:rPr>
              <w:t>1台250KVA箱变</w:t>
            </w:r>
          </w:p>
        </w:tc>
        <w:tc>
          <w:tcPr>
            <w:tcW w:w="707" w:type="dxa"/>
            <w:vAlign w:val="center"/>
          </w:tcPr>
          <w:p>
            <w:pPr>
              <w:ind w:firstLine="21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8" w:type="dxa"/>
            <w:vAlign w:val="center"/>
          </w:tcPr>
          <w:p>
            <w:pPr>
              <w:rPr>
                <w:szCs w:val="21"/>
              </w:rPr>
            </w:pPr>
            <w:r>
              <w:rPr>
                <w:rFonts w:hint="eastAsia"/>
                <w:szCs w:val="21"/>
              </w:rPr>
              <w:t>16</w:t>
            </w:r>
          </w:p>
        </w:tc>
        <w:tc>
          <w:tcPr>
            <w:tcW w:w="721" w:type="dxa"/>
            <w:vAlign w:val="center"/>
          </w:tcPr>
          <w:p>
            <w:pPr>
              <w:jc w:val="left"/>
              <w:rPr>
                <w:rFonts w:eastAsia="宋体"/>
                <w:szCs w:val="21"/>
              </w:rPr>
            </w:pPr>
            <w:r>
              <w:rPr>
                <w:rFonts w:hint="eastAsia"/>
                <w:szCs w:val="21"/>
              </w:rPr>
              <w:t>灞陵路</w:t>
            </w:r>
          </w:p>
        </w:tc>
        <w:tc>
          <w:tcPr>
            <w:tcW w:w="850" w:type="dxa"/>
            <w:vAlign w:val="center"/>
          </w:tcPr>
          <w:p>
            <w:pPr>
              <w:jc w:val="left"/>
              <w:rPr>
                <w:rFonts w:eastAsia="宋体"/>
                <w:szCs w:val="21"/>
              </w:rPr>
            </w:pPr>
            <w:r>
              <w:rPr>
                <w:rFonts w:hint="eastAsia"/>
                <w:szCs w:val="21"/>
              </w:rPr>
              <w:t>八一路-华佗路</w:t>
            </w:r>
          </w:p>
        </w:tc>
        <w:tc>
          <w:tcPr>
            <w:tcW w:w="851" w:type="dxa"/>
            <w:vAlign w:val="center"/>
          </w:tcPr>
          <w:p>
            <w:pPr>
              <w:ind w:firstLine="210"/>
              <w:rPr>
                <w:szCs w:val="21"/>
              </w:rPr>
            </w:pPr>
            <w:r>
              <w:rPr>
                <w:rFonts w:hint="eastAsia"/>
                <w:szCs w:val="21"/>
              </w:rPr>
              <w:t>66</w:t>
            </w:r>
          </w:p>
        </w:tc>
        <w:tc>
          <w:tcPr>
            <w:tcW w:w="850" w:type="dxa"/>
            <w:vAlign w:val="center"/>
          </w:tcPr>
          <w:p>
            <w:pPr>
              <w:rPr>
                <w:szCs w:val="21"/>
              </w:rPr>
            </w:pPr>
            <w:r>
              <w:rPr>
                <w:rFonts w:hint="eastAsia"/>
                <w:szCs w:val="21"/>
              </w:rPr>
              <w:t>单/双</w:t>
            </w:r>
          </w:p>
        </w:tc>
        <w:tc>
          <w:tcPr>
            <w:tcW w:w="851" w:type="dxa"/>
            <w:vAlign w:val="center"/>
          </w:tcPr>
          <w:p>
            <w:pPr>
              <w:ind w:firstLine="210"/>
              <w:rPr>
                <w:szCs w:val="21"/>
              </w:rPr>
            </w:pPr>
            <w:r>
              <w:rPr>
                <w:rFonts w:hint="eastAsia"/>
                <w:szCs w:val="21"/>
              </w:rPr>
              <w:t>122</w:t>
            </w:r>
          </w:p>
        </w:tc>
        <w:tc>
          <w:tcPr>
            <w:tcW w:w="908" w:type="dxa"/>
            <w:vAlign w:val="center"/>
          </w:tcPr>
          <w:p>
            <w:pPr>
              <w:rPr>
                <w:szCs w:val="21"/>
              </w:rPr>
            </w:pPr>
            <w:r>
              <w:rPr>
                <w:rFonts w:hint="eastAsia"/>
                <w:szCs w:val="21"/>
              </w:rPr>
              <w:t>900米</w:t>
            </w:r>
          </w:p>
        </w:tc>
        <w:tc>
          <w:tcPr>
            <w:tcW w:w="963" w:type="dxa"/>
            <w:vAlign w:val="center"/>
          </w:tcPr>
          <w:p>
            <w:pPr>
              <w:rPr>
                <w:szCs w:val="21"/>
              </w:rPr>
            </w:pPr>
            <w:r>
              <w:rPr>
                <w:rFonts w:hint="eastAsia"/>
                <w:szCs w:val="21"/>
              </w:rPr>
              <w:t>1800米</w:t>
            </w:r>
          </w:p>
        </w:tc>
        <w:tc>
          <w:tcPr>
            <w:tcW w:w="1460" w:type="dxa"/>
            <w:vAlign w:val="center"/>
          </w:tcPr>
          <w:p>
            <w:pPr>
              <w:ind w:firstLine="210"/>
              <w:jc w:val="center"/>
              <w:rPr>
                <w:szCs w:val="21"/>
              </w:rPr>
            </w:pPr>
            <w:r>
              <w:rPr>
                <w:rFonts w:hint="eastAsia"/>
                <w:szCs w:val="21"/>
              </w:rPr>
              <w:t>/</w:t>
            </w:r>
          </w:p>
        </w:tc>
        <w:tc>
          <w:tcPr>
            <w:tcW w:w="756" w:type="dxa"/>
            <w:vAlign w:val="center"/>
          </w:tcPr>
          <w:p>
            <w:pPr>
              <w:ind w:firstLine="210"/>
              <w:jc w:val="center"/>
              <w:rPr>
                <w:szCs w:val="21"/>
              </w:rPr>
            </w:pPr>
            <w:r>
              <w:rPr>
                <w:rFonts w:hint="eastAsia"/>
                <w:szCs w:val="21"/>
              </w:rPr>
              <w:t>6米38根/10米28根</w:t>
            </w:r>
          </w:p>
        </w:tc>
        <w:tc>
          <w:tcPr>
            <w:tcW w:w="876" w:type="dxa"/>
            <w:vAlign w:val="center"/>
          </w:tcPr>
          <w:p>
            <w:pPr>
              <w:ind w:firstLine="210"/>
              <w:jc w:val="center"/>
              <w:rPr>
                <w:szCs w:val="21"/>
              </w:rPr>
            </w:pPr>
            <w:r>
              <w:rPr>
                <w:rFonts w:hint="eastAsia"/>
                <w:szCs w:val="21"/>
              </w:rPr>
              <w:t>1台250KVA箱变</w:t>
            </w:r>
          </w:p>
        </w:tc>
        <w:tc>
          <w:tcPr>
            <w:tcW w:w="707" w:type="dxa"/>
            <w:vAlign w:val="center"/>
          </w:tcPr>
          <w:p>
            <w:pPr>
              <w:ind w:firstLine="210"/>
              <w:jc w:val="center"/>
              <w:rPr>
                <w:szCs w:val="21"/>
              </w:rPr>
            </w:pPr>
          </w:p>
        </w:tc>
      </w:tr>
    </w:tbl>
    <w:p>
      <w:pPr>
        <w:spacing w:line="360" w:lineRule="auto"/>
        <w:ind w:firstLine="482" w:firstLineChars="200"/>
        <w:contextualSpacing/>
        <w:rPr>
          <w:rFonts w:ascii="宋体" w:hAnsi="宋体" w:cs="宋体"/>
          <w:b/>
          <w:bCs/>
          <w:kern w:val="0"/>
          <w:sz w:val="24"/>
          <w:shd w:val="clear" w:color="auto" w:fill="FFFFFF"/>
        </w:rPr>
      </w:pPr>
      <w:r>
        <w:rPr>
          <w:rFonts w:hint="eastAsia" w:cs="微软雅黑" w:asciiTheme="minorEastAsia" w:hAnsiTheme="minorEastAsia"/>
          <w:b/>
          <w:sz w:val="24"/>
          <w:szCs w:val="24"/>
        </w:rPr>
        <w:t>★</w:t>
      </w:r>
      <w:r>
        <w:rPr>
          <w:rFonts w:hint="eastAsia" w:ascii="宋体" w:hAnsi="宋体" w:cs="宋体"/>
          <w:b/>
          <w:bCs/>
          <w:kern w:val="0"/>
          <w:sz w:val="24"/>
          <w:shd w:val="clear" w:color="auto" w:fill="FFFFFF"/>
        </w:rPr>
        <w:t>二、项目概况及服务要求：</w:t>
      </w:r>
    </w:p>
    <w:p>
      <w:pPr>
        <w:wordWrap w:val="0"/>
        <w:topLinePunct/>
        <w:autoSpaceDE w:val="0"/>
        <w:autoSpaceDN w:val="0"/>
        <w:adjustRightInd w:val="0"/>
        <w:spacing w:line="360" w:lineRule="auto"/>
        <w:ind w:firstLine="480" w:firstLineChars="200"/>
        <w:rPr>
          <w:rFonts w:ascii="宋体" w:cs="宋体"/>
          <w:sz w:val="24"/>
        </w:rPr>
      </w:pPr>
      <w:r>
        <w:rPr>
          <w:rFonts w:hint="eastAsia" w:ascii="宋体" w:cs="宋体"/>
          <w:sz w:val="24"/>
        </w:rPr>
        <w:t>服务要求：应按照《河南省城市照明管理实施细则》等文件要求标准进行管理维护，保证主干道亮灯率不低于98%；对路灯设施进行经常性巡视、检测等。</w:t>
      </w:r>
    </w:p>
    <w:p>
      <w:pPr>
        <w:widowControl/>
        <w:shd w:val="clear" w:color="auto" w:fill="FFFFFF"/>
        <w:spacing w:line="360" w:lineRule="auto"/>
        <w:ind w:firstLine="480" w:firstLineChars="200"/>
        <w:contextualSpacing/>
        <w:jc w:val="left"/>
        <w:rPr>
          <w:rFonts w:cs="仿宋" w:asciiTheme="minorEastAsia" w:hAnsiTheme="minorEastAsia"/>
          <w:color w:val="000000"/>
          <w:kern w:val="0"/>
          <w:sz w:val="24"/>
          <w:szCs w:val="24"/>
          <w:shd w:val="clear" w:color="auto" w:fill="FFFFFF"/>
        </w:rPr>
      </w:pPr>
      <w:r>
        <w:rPr>
          <w:rFonts w:hint="eastAsia" w:ascii="宋体" w:hAnsi="宋体" w:cs="宋体"/>
          <w:sz w:val="24"/>
          <w:szCs w:val="24"/>
          <w:lang w:val="zh-CN"/>
        </w:rPr>
        <w:t>本招标文件所列需求为最低要求，维保过程中所提供产品不得低于现有产品的标准，</w:t>
      </w:r>
      <w:r>
        <w:rPr>
          <w:rFonts w:hint="eastAsia" w:ascii="宋体" w:hAnsi="宋体" w:cs="宋体"/>
          <w:b/>
          <w:sz w:val="24"/>
          <w:szCs w:val="24"/>
          <w:lang w:val="zh-CN"/>
        </w:rPr>
        <w:t>否则为无效投标。</w:t>
      </w:r>
    </w:p>
    <w:p>
      <w:pPr>
        <w:widowControl/>
        <w:shd w:val="clear" w:color="auto" w:fill="FFFFFF"/>
        <w:spacing w:line="360" w:lineRule="auto"/>
        <w:ind w:firstLine="482" w:firstLineChars="200"/>
        <w:contextualSpacing/>
        <w:jc w:val="left"/>
        <w:rPr>
          <w:rFonts w:ascii="楷体" w:hAnsi="楷体" w:eastAsia="楷体" w:cs="宋体"/>
          <w:kern w:val="0"/>
          <w:sz w:val="24"/>
          <w:szCs w:val="24"/>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三、验收标准</w:t>
      </w:r>
    </w:p>
    <w:p>
      <w:pPr>
        <w:pStyle w:val="21"/>
        <w:widowControl/>
        <w:shd w:val="clear" w:color="auto" w:fill="FFFFFF"/>
        <w:spacing w:line="360" w:lineRule="auto"/>
        <w:ind w:firstLine="420"/>
        <w:contextualSpacing/>
        <w:jc w:val="left"/>
        <w:rPr>
          <w:rFonts w:cs="宋体" w:asciiTheme="minorEastAsia" w:hAnsiTheme="minorEastAsia"/>
          <w:kern w:val="0"/>
          <w:szCs w:val="21"/>
          <w:lang w:val="zh-CN"/>
        </w:rPr>
      </w:pPr>
      <w:r>
        <w:rPr>
          <w:rFonts w:hint="eastAsia" w:ascii="宋体" w:cs="宋体"/>
          <w:lang w:val="zh-CN"/>
        </w:rPr>
        <w:t>由采购人成立验收小组，按照采购合同的约定对中标人履约情况进行验收。验收时，按照采购合同的约定对中标人的服务承诺结合招标文件等要求进行综合评定。验收结束后出具总体评价报告书，由验收双方共同签署</w:t>
      </w:r>
      <w:r>
        <w:rPr>
          <w:rFonts w:hint="eastAsia" w:ascii="宋体" w:hAnsi="宋体" w:cs="宋体"/>
          <w:kern w:val="0"/>
        </w:rPr>
        <w:t>。</w:t>
      </w:r>
    </w:p>
    <w:p>
      <w:pPr>
        <w:pStyle w:val="21"/>
        <w:widowControl/>
        <w:shd w:val="clear" w:color="auto" w:fill="FFFFFF"/>
        <w:spacing w:line="360" w:lineRule="auto"/>
        <w:ind w:firstLine="420"/>
        <w:contextualSpacing/>
        <w:jc w:val="left"/>
        <w:rPr>
          <w:rFonts w:cs="宋体" w:asciiTheme="minorEastAsia" w:hAnsiTheme="minorEastAsia"/>
          <w:b/>
          <w:kern w:val="0"/>
          <w:szCs w:val="21"/>
          <w:lang w:val="zh-CN"/>
        </w:rPr>
      </w:pPr>
      <w:r>
        <w:rPr>
          <w:rFonts w:hint="eastAsia" w:cs="宋体" w:asciiTheme="minorEastAsia" w:hAnsiTheme="minorEastAsia"/>
          <w:b/>
          <w:kern w:val="0"/>
          <w:szCs w:val="21"/>
          <w:lang w:val="zh-CN"/>
        </w:rPr>
        <w:t>★四、本项目预算金额3840532.35元。最高限价3840532.35元。超出最高限价的投标无效。</w:t>
      </w:r>
    </w:p>
    <w:p>
      <w:pPr>
        <w:pStyle w:val="21"/>
        <w:widowControl/>
        <w:shd w:val="clear" w:color="auto" w:fill="FFFFFF"/>
        <w:spacing w:line="360" w:lineRule="auto"/>
        <w:ind w:firstLine="420"/>
        <w:contextualSpacing/>
        <w:jc w:val="left"/>
        <w:rPr>
          <w:rFonts w:cs="宋体" w:asciiTheme="minorEastAsia" w:hAnsiTheme="minorEastAsia"/>
          <w:b/>
          <w:kern w:val="0"/>
          <w:szCs w:val="21"/>
          <w:lang w:val="zh-CN"/>
        </w:rPr>
      </w:pPr>
      <w:r>
        <w:rPr>
          <w:rFonts w:hint="eastAsia" w:cs="宋体" w:asciiTheme="minorEastAsia" w:hAnsiTheme="minorEastAsia"/>
          <w:b/>
          <w:kern w:val="0"/>
          <w:szCs w:val="21"/>
          <w:lang w:val="zh-CN"/>
        </w:rPr>
        <w:t>★五、资金支付</w:t>
      </w:r>
    </w:p>
    <w:p>
      <w:pPr>
        <w:pStyle w:val="21"/>
        <w:widowControl/>
        <w:shd w:val="clear" w:color="auto" w:fill="FFFFFF"/>
        <w:spacing w:line="360" w:lineRule="auto"/>
        <w:ind w:firstLine="420"/>
        <w:contextualSpacing/>
        <w:jc w:val="left"/>
        <w:rPr>
          <w:rFonts w:cs="宋体" w:asciiTheme="minorEastAsia" w:hAnsiTheme="minorEastAsia"/>
          <w:kern w:val="0"/>
          <w:szCs w:val="21"/>
          <w:lang w:val="zh-CN"/>
        </w:rPr>
      </w:pPr>
      <w:r>
        <w:rPr>
          <w:rFonts w:hint="eastAsia" w:cs="宋体" w:asciiTheme="minorEastAsia" w:hAnsiTheme="minorEastAsia"/>
          <w:kern w:val="0"/>
          <w:szCs w:val="21"/>
          <w:lang w:val="zh-CN"/>
        </w:rPr>
        <w:t>1、支付方式：银行转账。</w:t>
      </w:r>
    </w:p>
    <w:p>
      <w:pPr>
        <w:pStyle w:val="21"/>
        <w:widowControl/>
        <w:shd w:val="clear" w:color="auto" w:fill="FFFFFF"/>
        <w:spacing w:line="360" w:lineRule="auto"/>
        <w:ind w:firstLine="420"/>
        <w:contextualSpacing/>
        <w:jc w:val="left"/>
        <w:rPr>
          <w:rFonts w:cs="宋体" w:asciiTheme="minorEastAsia" w:hAnsiTheme="minorEastAsia"/>
          <w:kern w:val="0"/>
          <w:szCs w:val="21"/>
          <w:lang w:val="zh-CN"/>
        </w:rPr>
      </w:pPr>
      <w:r>
        <w:rPr>
          <w:rFonts w:hint="eastAsia" w:cs="宋体" w:asciiTheme="minorEastAsia" w:hAnsiTheme="minorEastAsia"/>
          <w:kern w:val="0"/>
          <w:szCs w:val="21"/>
          <w:lang w:val="zh-CN"/>
        </w:rPr>
        <w:t>2、支付时间及条件：服务期三年内，每半年支付每年合同价款的50%。</w:t>
      </w:r>
    </w:p>
    <w:p>
      <w:pPr>
        <w:pStyle w:val="21"/>
        <w:widowControl/>
        <w:shd w:val="clear" w:color="auto" w:fill="FFFFFF"/>
        <w:spacing w:line="360" w:lineRule="auto"/>
        <w:ind w:firstLine="420"/>
        <w:contextualSpacing/>
        <w:jc w:val="left"/>
        <w:rPr>
          <w:rFonts w:cs="宋体" w:asciiTheme="minorEastAsia" w:hAnsiTheme="minorEastAsia"/>
          <w:b/>
          <w:kern w:val="0"/>
          <w:szCs w:val="21"/>
          <w:lang w:val="zh-CN"/>
        </w:rPr>
      </w:pPr>
      <w:r>
        <w:rPr>
          <w:rFonts w:hint="eastAsia" w:cs="宋体" w:asciiTheme="minorEastAsia" w:hAnsiTheme="minorEastAsia"/>
          <w:b/>
          <w:kern w:val="0"/>
          <w:szCs w:val="21"/>
          <w:lang w:val="zh-CN"/>
        </w:rPr>
        <w:t>★六、其他要求</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1、投标人应就该项目完整投标，</w:t>
      </w:r>
      <w:r>
        <w:rPr>
          <w:rFonts w:hint="eastAsia" w:ascii="宋体" w:cs="宋体"/>
          <w:b/>
          <w:sz w:val="24"/>
          <w:lang w:val="zh-CN"/>
        </w:rPr>
        <w:t>否则为无效投标。</w:t>
      </w:r>
    </w:p>
    <w:p>
      <w:pPr>
        <w:pStyle w:val="2"/>
        <w:spacing w:after="0" w:line="360" w:lineRule="auto"/>
        <w:ind w:firstLine="480" w:firstLineChars="200"/>
        <w:rPr>
          <w:rFonts w:cs="宋体"/>
          <w:sz w:val="24"/>
          <w:lang w:val="zh-CN"/>
        </w:rPr>
      </w:pPr>
      <w:r>
        <w:rPr>
          <w:rFonts w:hint="eastAsia" w:cs="宋体"/>
          <w:sz w:val="24"/>
          <w:lang w:val="zh-CN"/>
        </w:rPr>
        <w:t>2、本项目为交钥匙工程。（项目预算金额为总包价，包含设备采购、运输、装卸、备品备件、专用工具、特殊工具、安装调试、检测验收、现场协调、质保、税金等一切费用）。</w:t>
      </w:r>
    </w:p>
    <w:p>
      <w:pPr>
        <w:wordWrap w:val="0"/>
        <w:topLinePunct/>
        <w:autoSpaceDE w:val="0"/>
        <w:autoSpaceDN w:val="0"/>
        <w:adjustRightInd w:val="0"/>
        <w:spacing w:line="360" w:lineRule="auto"/>
        <w:ind w:firstLine="480" w:firstLineChars="200"/>
        <w:rPr>
          <w:rFonts w:ascii="宋体" w:cs="宋体"/>
          <w:sz w:val="24"/>
        </w:rPr>
      </w:pPr>
      <w:r>
        <w:rPr>
          <w:rFonts w:hint="eastAsia" w:ascii="宋体" w:cs="宋体"/>
          <w:sz w:val="24"/>
        </w:rPr>
        <w:t>3.投标人须提供项目组织机构、项目负责人、技术负责人、维保人员一览表，格式自拟，</w:t>
      </w:r>
      <w:r>
        <w:rPr>
          <w:rFonts w:hint="eastAsia" w:ascii="宋体" w:cs="宋体"/>
          <w:b/>
          <w:bCs/>
          <w:sz w:val="24"/>
        </w:rPr>
        <w:t>否则为无效投标。</w:t>
      </w:r>
    </w:p>
    <w:p>
      <w:pPr>
        <w:pStyle w:val="2"/>
        <w:spacing w:after="0" w:line="360" w:lineRule="auto"/>
        <w:ind w:firstLine="482" w:firstLineChars="200"/>
        <w:rPr>
          <w:rFonts w:ascii="Arial" w:hAnsi="Arial" w:cs="Arial" w:eastAsiaTheme="minorEastAsia"/>
          <w:kern w:val="2"/>
          <w:sz w:val="24"/>
          <w:szCs w:val="24"/>
        </w:rPr>
      </w:pPr>
      <w:r>
        <w:rPr>
          <w:rFonts w:hint="eastAsia" w:cs="微软雅黑" w:asciiTheme="minorEastAsia" w:hAnsiTheme="minorEastAsia"/>
          <w:b/>
          <w:sz w:val="24"/>
          <w:szCs w:val="24"/>
        </w:rPr>
        <w:t>本项目需求中所列要求为最低要求，不允许负偏离，否则将承担其投标被视为非实质性响应投标的风险。</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 xml:space="preserve"> </w:t>
      </w:r>
    </w:p>
    <w:p>
      <w:pPr>
        <w:pStyle w:val="2"/>
        <w:ind w:firstLine="0" w:firstLineChars="0"/>
        <w:jc w:val="left"/>
        <w:sectPr>
          <w:footerReference r:id="rId3" w:type="default"/>
          <w:pgSz w:w="11906" w:h="16838"/>
          <w:pgMar w:top="2098" w:right="1474" w:bottom="1928" w:left="1588" w:header="851" w:footer="992" w:gutter="0"/>
          <w:cols w:space="425" w:num="1"/>
          <w:docGrid w:type="lines" w:linePitch="312" w:charSpace="0"/>
        </w:sect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504"/>
        <w:gridCol w:w="7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1504"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7577"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1504"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7577"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项目名称：16条道路路灯管护项目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项目编号：JZFCG-G2019007号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shd w:val="clear" w:color="auto" w:fill="FFFFFF"/>
              </w:rPr>
              <w:t xml:space="preserve">为进一步规范市政基础设施日常保养工作，针对霸陵路、五一路等16条道路进行路灯设施（线路、灯杆及基础、灯具、箱式变电站）的日常运行与管理维修、路灯使用过程中的安全责任及风险等。 </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项目地址：竹林路、青梅路、龙祥路、陈庄街、解放路、北关大街、光明路、灞陵路、许由路、许禹快速通道、永登高速引线、许继大道环岛亮化工程、天宝路立交亮化（按现状）、五一路等。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1504" w:type="dxa"/>
            <w:vAlign w:val="center"/>
          </w:tcPr>
          <w:p>
            <w:pPr>
              <w:autoSpaceDE w:val="0"/>
              <w:autoSpaceDN w:val="0"/>
              <w:adjustRightInd w:val="0"/>
              <w:spacing w:line="360" w:lineRule="auto"/>
              <w:jc w:val="center"/>
              <w:rPr>
                <w:rFonts w:eastAsia="宋体" w:cs="仿宋_GB2312" w:asciiTheme="minorEastAsia" w:hAnsiTheme="minorEastAsia"/>
                <w:szCs w:val="21"/>
              </w:rPr>
            </w:pPr>
            <w:r>
              <w:rPr>
                <w:rFonts w:hint="eastAsia" w:eastAsia="宋体" w:cs="仿宋_GB2312" w:asciiTheme="minorEastAsia" w:hAnsiTheme="minorEastAsia"/>
                <w:szCs w:val="21"/>
              </w:rPr>
              <w:t>采购人</w:t>
            </w:r>
          </w:p>
        </w:tc>
        <w:tc>
          <w:tcPr>
            <w:tcW w:w="7577" w:type="dxa"/>
            <w:vAlign w:val="center"/>
          </w:tcPr>
          <w:p>
            <w:pPr>
              <w:pStyle w:val="21"/>
              <w:widowControl/>
              <w:shd w:val="clear" w:color="auto" w:fill="FFFFFF"/>
              <w:spacing w:line="360" w:lineRule="auto"/>
              <w:contextualSpacing/>
              <w:jc w:val="left"/>
              <w:rPr>
                <w:rFonts w:cs="仿宋_GB2312" w:asciiTheme="minorEastAsia" w:hAnsiTheme="minorEastAsia"/>
                <w:sz w:val="21"/>
                <w:szCs w:val="21"/>
              </w:rPr>
            </w:pPr>
            <w:r>
              <w:rPr>
                <w:rFonts w:hint="eastAsia" w:cs="仿宋_GB2312" w:asciiTheme="minorEastAsia" w:hAnsiTheme="minorEastAsia"/>
                <w:sz w:val="21"/>
                <w:szCs w:val="21"/>
              </w:rPr>
              <w:t>名称：许昌市魏都区城乡统筹发展局</w:t>
            </w:r>
          </w:p>
          <w:p>
            <w:pPr>
              <w:pStyle w:val="21"/>
              <w:spacing w:line="360" w:lineRule="auto"/>
              <w:jc w:val="left"/>
              <w:rPr>
                <w:rFonts w:cs="仿宋_GB2312" w:asciiTheme="minorEastAsia" w:hAnsiTheme="minorEastAsia"/>
                <w:sz w:val="21"/>
                <w:szCs w:val="21"/>
              </w:rPr>
            </w:pPr>
            <w:r>
              <w:rPr>
                <w:rFonts w:hint="eastAsia" w:cs="仿宋_GB2312" w:asciiTheme="minorEastAsia" w:hAnsiTheme="minorEastAsia"/>
                <w:sz w:val="21"/>
                <w:szCs w:val="21"/>
              </w:rPr>
              <w:t>地 址：许昌市天宝路魏都区政府办公楼7楼759室</w:t>
            </w:r>
          </w:p>
          <w:p>
            <w:pPr>
              <w:pStyle w:val="21"/>
              <w:spacing w:line="360" w:lineRule="auto"/>
              <w:jc w:val="left"/>
              <w:rPr>
                <w:rFonts w:cs="仿宋_GB2312" w:asciiTheme="minorEastAsia" w:hAnsiTheme="minorEastAsia"/>
                <w:sz w:val="21"/>
                <w:szCs w:val="21"/>
              </w:rPr>
            </w:pPr>
            <w:r>
              <w:rPr>
                <w:rFonts w:hint="eastAsia" w:cs="仿宋_GB2312" w:asciiTheme="minorEastAsia" w:hAnsiTheme="minorEastAsia"/>
                <w:sz w:val="21"/>
                <w:szCs w:val="21"/>
              </w:rPr>
              <w:t>联 系 人：张腾浩    联系电话：0374-5055536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1504" w:type="dxa"/>
            <w:vAlign w:val="center"/>
          </w:tcPr>
          <w:p>
            <w:pPr>
              <w:autoSpaceDE w:val="0"/>
              <w:autoSpaceDN w:val="0"/>
              <w:adjustRightInd w:val="0"/>
              <w:spacing w:line="360" w:lineRule="auto"/>
              <w:jc w:val="center"/>
              <w:rPr>
                <w:rFonts w:eastAsia="宋体" w:cs="仿宋_GB2312" w:asciiTheme="minorEastAsia" w:hAnsiTheme="minorEastAsia"/>
                <w:szCs w:val="21"/>
              </w:rPr>
            </w:pPr>
            <w:r>
              <w:rPr>
                <w:rFonts w:hint="eastAsia" w:eastAsia="宋体" w:cs="仿宋_GB2312" w:asciiTheme="minorEastAsia" w:hAnsiTheme="minorEastAsia"/>
                <w:szCs w:val="21"/>
              </w:rPr>
              <w:t>代理机构</w:t>
            </w:r>
          </w:p>
        </w:tc>
        <w:tc>
          <w:tcPr>
            <w:tcW w:w="7577" w:type="dxa"/>
            <w:vAlign w:val="center"/>
          </w:tcPr>
          <w:p>
            <w:pPr>
              <w:autoSpaceDE w:val="0"/>
              <w:autoSpaceDN w:val="0"/>
              <w:adjustRightInd w:val="0"/>
              <w:spacing w:line="360" w:lineRule="auto"/>
              <w:jc w:val="left"/>
              <w:rPr>
                <w:rFonts w:eastAsia="宋体" w:cs="仿宋_GB2312" w:asciiTheme="minorEastAsia" w:hAnsiTheme="minorEastAsia"/>
                <w:szCs w:val="21"/>
              </w:rPr>
            </w:pPr>
            <w:r>
              <w:rPr>
                <w:rFonts w:hint="eastAsia" w:eastAsia="宋体" w:cs="仿宋_GB2312" w:asciiTheme="minorEastAsia" w:hAnsiTheme="minorEastAsia"/>
                <w:szCs w:val="21"/>
              </w:rPr>
              <w:t>名称：中大国信工程管理有限公司</w:t>
            </w:r>
          </w:p>
          <w:p>
            <w:pPr>
              <w:autoSpaceDE w:val="0"/>
              <w:autoSpaceDN w:val="0"/>
              <w:adjustRightInd w:val="0"/>
              <w:spacing w:line="360" w:lineRule="auto"/>
              <w:jc w:val="left"/>
              <w:rPr>
                <w:rFonts w:eastAsia="宋体" w:cs="仿宋_GB2312" w:asciiTheme="minorEastAsia" w:hAnsiTheme="minorEastAsia"/>
                <w:szCs w:val="21"/>
              </w:rPr>
            </w:pPr>
            <w:r>
              <w:rPr>
                <w:rFonts w:hint="eastAsia" w:eastAsia="宋体" w:cs="仿宋_GB2312" w:asciiTheme="minorEastAsia" w:hAnsiTheme="minorEastAsia"/>
                <w:szCs w:val="21"/>
              </w:rPr>
              <w:t>地址：许昌市府西路万象春天2栋3单元2001室</w:t>
            </w:r>
          </w:p>
          <w:p>
            <w:pPr>
              <w:autoSpaceDE w:val="0"/>
              <w:autoSpaceDN w:val="0"/>
              <w:adjustRightInd w:val="0"/>
              <w:spacing w:line="360" w:lineRule="auto"/>
              <w:jc w:val="left"/>
              <w:rPr>
                <w:rFonts w:eastAsia="宋体" w:cs="仿宋_GB2312" w:asciiTheme="minorEastAsia" w:hAnsiTheme="minorEastAsia"/>
                <w:szCs w:val="21"/>
              </w:rPr>
            </w:pPr>
            <w:r>
              <w:rPr>
                <w:rFonts w:hint="eastAsia" w:eastAsia="宋体" w:cs="仿宋_GB2312" w:asciiTheme="minorEastAsia" w:hAnsiTheme="minorEastAsia"/>
                <w:szCs w:val="21"/>
              </w:rPr>
              <w:t>联系人：刘岩      联系电话：15617285069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1504"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投标人资格</w:t>
            </w:r>
          </w:p>
        </w:tc>
        <w:tc>
          <w:tcPr>
            <w:tcW w:w="7577" w:type="dxa"/>
            <w:vAlign w:val="center"/>
          </w:tcPr>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一、</w:t>
            </w:r>
            <w:r>
              <w:rPr>
                <w:rFonts w:cs="宋体" w:asciiTheme="minorEastAsia" w:hAnsiTheme="minorEastAsia"/>
                <w:kern w:val="0"/>
                <w:szCs w:val="21"/>
              </w:rPr>
              <w:t>法人或者其他组织的营业执照等证明文件，自然人的身份证明</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1、企业法人营业执照或营业执照。（企业投标提供）</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2、事业单位法人证书。（事业单位投标提供）</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3、执业许可证。（非专业服务机构投标提供）</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4、个体工商户营业执照。（个体工商户投标提供）</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5、自然人身份证明。（自然人投标提供）</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二、财务状况报告相关材料</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三、依法缴纳税收相关材料</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投标截止时间前三个月内任意一个月缴纳税收凭据。（依法免税的投标人，应提供相应文件证明依法免税）</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四、依法缴纳社会保障资金的证明材料</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投标截止时间前三个月内任意一个月缴纳社会保险凭据。（依法不需要缴纳社会保障资金的投标人，应提供相应文件证明依法不需要缴纳社会保障资金）</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五、履行合同所必须的设备和专业技术能力的证明材料</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专业技术人员职称证书或者附投标人相关承诺函或声明。</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六、</w:t>
            </w:r>
            <w:r>
              <w:rPr>
                <w:rFonts w:cs="宋体" w:asciiTheme="minorEastAsia" w:hAnsiTheme="minorEastAsia"/>
                <w:kern w:val="0"/>
                <w:szCs w:val="21"/>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投标人“</w:t>
            </w:r>
            <w:r>
              <w:rPr>
                <w:rFonts w:cs="宋体" w:asciiTheme="minorEastAsia" w:hAnsiTheme="minorEastAsia"/>
                <w:kern w:val="0"/>
                <w:szCs w:val="21"/>
              </w:rPr>
              <w:t>参加政府采购活动前3年内在经营活动中没有重大违法记录的书面声明</w:t>
            </w:r>
            <w:r>
              <w:rPr>
                <w:rFonts w:hint="eastAsia" w:cs="宋体" w:asciiTheme="minorEastAsia" w:hAnsiTheme="minorEastAsia"/>
                <w:kern w:val="0"/>
                <w:szCs w:val="21"/>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七、未被列入“信用中国”网站(www.creditchina.gov.cn)失信被执行人、重大税收违法案件当事人名单、政府采购严重违法失信名单的投标人；“中国政府采购网”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）和“中国政府采购网”（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pStyle w:val="2"/>
              <w:ind w:firstLine="0" w:firstLineChars="0"/>
              <w:contextualSpacing/>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八、投标人须具备市政公用工程施工总承包二级及以上资质。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1504"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7577"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1504"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最高限价</w:t>
            </w:r>
          </w:p>
        </w:tc>
        <w:tc>
          <w:tcPr>
            <w:tcW w:w="7577"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3840532.35元，超出最高限价的投标无效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1504"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7577"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1504"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7577"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1504"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7577"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1504"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7577"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1504"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7577"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1504"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7577"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2019年2月21日9时30分</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1504"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7577"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许昌市公共资源交易中心三楼开标五室（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1504"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7577"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金额：柒万陆仟元整（¥76</w:t>
            </w:r>
            <w:r>
              <w:rPr>
                <w:rFonts w:hint="eastAsia" w:cs="仿宋_GB2312" w:asciiTheme="minorEastAsia" w:hAnsiTheme="minorEastAsia"/>
                <w:szCs w:val="21"/>
              </w:rPr>
              <w:t>000.</w:t>
            </w:r>
            <w:r>
              <w:rPr>
                <w:rFonts w:cs="仿宋_GB2312" w:asciiTheme="minorEastAsia" w:hAnsiTheme="minorEastAsia"/>
                <w:szCs w:val="21"/>
              </w:rPr>
              <w:t>00</w:t>
            </w:r>
            <w:r>
              <w:rPr>
                <w:rFonts w:hint="eastAsia" w:cs="仿宋_GB2312" w:asciiTheme="minorEastAsia" w:hAnsiTheme="minorEastAsia"/>
                <w:szCs w:val="21"/>
              </w:rPr>
              <w:t>元</w:t>
            </w:r>
            <w:r>
              <w:rPr>
                <w:rFonts w:hint="eastAsia" w:cs="仿宋_GB2312" w:asciiTheme="minorEastAsia" w:hAnsiTheme="minorEastAsia"/>
                <w:szCs w:val="21"/>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1504"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7577"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1504"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7577"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1504"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7577"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1504"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7577"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1504"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7577"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1504"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7577"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1504"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7577"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1504"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7577"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1504"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7577"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1504"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7577"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不收取</w:t>
            </w:r>
          </w:p>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收取中标人。</w:t>
            </w:r>
            <w:r>
              <w:rPr>
                <w:rFonts w:hint="eastAsia" w:cs="宋体" w:asciiTheme="minorEastAsia" w:hAnsiTheme="minorEastAsia"/>
                <w:b/>
                <w:bCs/>
                <w:szCs w:val="21"/>
                <w:lang w:val="zh-CN"/>
              </w:rPr>
              <w:t>□</w:t>
            </w:r>
            <w:r>
              <w:rPr>
                <w:rFonts w:hint="eastAsia" w:cs="宋体" w:asciiTheme="minorEastAsia" w:hAnsiTheme="minorEastAsia"/>
                <w:bCs/>
                <w:szCs w:val="21"/>
                <w:lang w:val="zh-CN"/>
              </w:rPr>
              <w:t>收取采购人。</w:t>
            </w:r>
            <w:r>
              <w:rPr>
                <w:rFonts w:hint="eastAsia" w:cs="宋体" w:asciiTheme="minorEastAsia" w:hAnsiTheme="minorEastAsia"/>
                <w:szCs w:val="21"/>
              </w:rPr>
              <w:t>收取标准:中标合同金额的</w:t>
            </w:r>
            <w:r>
              <w:rPr>
                <w:rFonts w:hint="eastAsia" w:cs="宋体" w:asciiTheme="minorEastAsia" w:hAnsiTheme="minorEastAsia"/>
                <w:szCs w:val="21"/>
                <w:u w:val="single"/>
              </w:rPr>
              <w:t>1.5</w:t>
            </w:r>
            <w:r>
              <w:rPr>
                <w:rFonts w:hint="eastAsia" w:cs="宋体" w:asciiTheme="minorEastAsia" w:hAnsiTheme="minorEastAsia"/>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1504"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7577"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Cs w:val="21"/>
              </w:rPr>
              <w:t>zdgxzbcg@163.com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1504"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7577"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sectPr>
          <w:pgSz w:w="11906" w:h="16838"/>
          <w:pgMar w:top="2098" w:right="1474" w:bottom="1928" w:left="1588" w:header="851" w:footer="992" w:gutter="0"/>
          <w:cols w:space="425" w:num="1"/>
          <w:docGrid w:type="lines" w:linePitch="312" w:charSpace="0"/>
        </w:sect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9"/>
        <w:numPr>
          <w:ilvl w:val="1"/>
          <w:numId w:val="7"/>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9"/>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szCs w:val="21"/>
          <w:shd w:val="clear" w:color="auto" w:fill="FFFFFF"/>
        </w:rPr>
        <w:t>政府采购严重违法失信名单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9"/>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abs>
          <w:tab w:val="left" w:pos="1260"/>
        </w:tabs>
        <w:autoSpaceDE w:val="0"/>
        <w:autoSpaceDN w:val="0"/>
        <w:adjustRightInd w:val="0"/>
        <w:spacing w:line="360" w:lineRule="auto"/>
        <w:contextualSpacing/>
        <w:jc w:val="center"/>
        <w:rPr>
          <w:rFonts w:cs="仿宋_GB2312" w:asciiTheme="minorEastAsia" w:hAnsiTheme="minorEastAsia"/>
          <w:lang w:val="zh-CN"/>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b/>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3、财务状况报告相关材料</w:t>
            </w:r>
          </w:p>
          <w:p>
            <w:pPr>
              <w:spacing w:line="360" w:lineRule="auto"/>
              <w:rPr>
                <w:rFonts w:asciiTheme="minorEastAsia" w:hAnsiTheme="minorEastAsia"/>
                <w:b/>
                <w:szCs w:val="21"/>
              </w:rPr>
            </w:pPr>
            <w:r>
              <w:rPr>
                <w:rFonts w:hint="eastAsia" w:asciiTheme="minorEastAsia" w:hAnsiTheme="minorEastAsia"/>
                <w:bCs/>
                <w:szCs w:val="21"/>
              </w:rPr>
              <w:t>（1）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4、依法缴纳税收相关材料</w:t>
            </w:r>
          </w:p>
          <w:p>
            <w:pPr>
              <w:spacing w:line="360" w:lineRule="auto"/>
              <w:rPr>
                <w:rFonts w:asciiTheme="minorEastAsia" w:hAnsiTheme="minorEastAsia"/>
                <w:b/>
                <w:szCs w:val="21"/>
              </w:rPr>
            </w:pP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6、履行合同所必须专业技术能力的证明材料</w:t>
            </w:r>
          </w:p>
          <w:p>
            <w:pPr>
              <w:spacing w:line="360" w:lineRule="auto"/>
              <w:rPr>
                <w:rFonts w:asciiTheme="minorEastAsia" w:hAnsiTheme="minorEastAsia"/>
                <w:b/>
                <w:bCs/>
                <w:szCs w:val="21"/>
              </w:rPr>
            </w:pPr>
            <w:r>
              <w:rPr>
                <w:rFonts w:hint="eastAsia" w:asciiTheme="minorEastAsia" w:hAnsiTheme="minorEastAsia"/>
                <w:bCs/>
                <w:szCs w:val="21"/>
              </w:rPr>
              <w:t>专业技术人员职称证书、用工合同等或者附相关承诺函或声明。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8、</w:t>
            </w:r>
            <w:r>
              <w:rPr>
                <w:rFonts w:cs="仿宋_GB2312" w:asciiTheme="minorEastAsia" w:hAnsiTheme="minorEastAsia"/>
                <w:b/>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cs="仿宋_GB2312" w:asciiTheme="minorEastAsia" w:hAnsiTheme="minorEastAsia"/>
                <w:b/>
                <w:szCs w:val="21"/>
                <w:shd w:val="clear" w:color="auto" w:fill="FFFFFF"/>
              </w:rPr>
              <w:t>“国家企业信用公示系统”网站（www.gsxt.gov.cn）严重违法失信企业名单（黑名单）的投标人</w:t>
            </w:r>
            <w:r>
              <w:rPr>
                <w:rFonts w:hint="eastAsia" w:asciiTheme="minorEastAsia" w:hAnsiTheme="minorEastAsia"/>
                <w:b/>
                <w:bCs/>
                <w:szCs w:val="21"/>
              </w:rPr>
              <w:t>。</w:t>
            </w:r>
          </w:p>
          <w:p>
            <w:pPr>
              <w:spacing w:line="360"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（1）查询渠道：“信用中国”网站（www.creditchina.gov.cn）、“中国政府采购网”（www.ccgp.gov.cn）和国家企业信用公示系统”网站（www.gsxt.gov.cn）。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9、资质要求</w:t>
            </w:r>
          </w:p>
          <w:p>
            <w:pPr>
              <w:spacing w:line="360" w:lineRule="auto"/>
              <w:rPr>
                <w:rFonts w:asciiTheme="minorEastAsia" w:hAnsiTheme="minorEastAsia"/>
                <w:bCs/>
                <w:szCs w:val="21"/>
              </w:rPr>
            </w:pPr>
            <w:r>
              <w:rPr>
                <w:rFonts w:hint="eastAsia" w:asciiTheme="minorEastAsia" w:hAnsiTheme="minorEastAsia"/>
                <w:bCs/>
                <w:szCs w:val="21"/>
              </w:rPr>
              <w:t>须具备市政公用工程施工总承包二级及以上资质；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Cs w:val="21"/>
                <w:lang w:val="zh-CN"/>
              </w:rPr>
            </w:pPr>
            <w:r>
              <w:rPr>
                <w:rFonts w:hint="eastAsia" w:asciiTheme="minorEastAsia" w:hAnsiTheme="minorEastAsia"/>
                <w:b/>
                <w:bCs/>
                <w:szCs w:val="21"/>
              </w:rPr>
              <w:t>9、</w:t>
            </w:r>
            <w:r>
              <w:rPr>
                <w:rFonts w:hint="eastAsia" w:cs="仿宋_GB2312" w:asciiTheme="minorEastAsia" w:hAnsiTheme="minorEastAsia"/>
                <w:b/>
                <w:szCs w:val="21"/>
                <w:lang w:val="zh-CN"/>
              </w:rPr>
              <w:t>报价</w:t>
            </w:r>
          </w:p>
          <w:p>
            <w:pPr>
              <w:spacing w:line="360" w:lineRule="auto"/>
              <w:rPr>
                <w:rFonts w:asciiTheme="minorEastAsia" w:hAnsiTheme="minorEastAsia"/>
                <w:b/>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10、联合体协议</w:t>
            </w:r>
          </w:p>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Cs w:val="21"/>
              </w:rPr>
            </w:pPr>
            <w:r>
              <w:rPr>
                <w:rFonts w:hint="eastAsia" w:asciiTheme="minorEastAsia" w:hAnsiTheme="minorEastAsia"/>
                <w:b/>
                <w:szCs w:val="21"/>
              </w:rPr>
              <w:t>11、投标保证金</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w:t>
      </w:r>
      <w:r>
        <w:rPr>
          <w:rFonts w:hint="eastAsia" w:cs="仿宋_GB2312" w:asciiTheme="minorEastAsia" w:hAnsiTheme="minorEastAsia"/>
          <w:sz w:val="21"/>
          <w:szCs w:val="21"/>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关于相同品牌产品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）产品查询结果截图并加盖投标人公章或中国信息安全认证中心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6"/>
        <w:tblpPr w:leftFromText="180" w:rightFromText="180" w:vertAnchor="text" w:horzAnchor="page" w:tblpX="1606" w:tblpY="452"/>
        <w:tblOverlap w:val="never"/>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762" w:type="dxa"/>
            <w:vAlign w:val="center"/>
          </w:tcPr>
          <w:p>
            <w:pPr>
              <w:spacing w:line="360" w:lineRule="auto"/>
              <w:jc w:val="center"/>
              <w:rPr>
                <w:rFonts w:asciiTheme="minorEastAsia" w:hAnsiTheme="minorEastAsia"/>
                <w:sz w:val="24"/>
              </w:rPr>
            </w:pPr>
            <w:r>
              <w:rPr>
                <w:rFonts w:hint="eastAsia" w:asciiTheme="minorEastAsia" w:hAnsiTheme="minorEastAsia"/>
                <w:sz w:val="24"/>
              </w:rPr>
              <w:t>分值构成</w:t>
            </w:r>
          </w:p>
          <w:p>
            <w:pPr>
              <w:spacing w:line="360" w:lineRule="auto"/>
              <w:jc w:val="center"/>
              <w:rPr>
                <w:rFonts w:asciiTheme="minorEastAsia" w:hAnsiTheme="minorEastAsia"/>
                <w:sz w:val="24"/>
              </w:rPr>
            </w:pPr>
            <w:r>
              <w:rPr>
                <w:rFonts w:hint="eastAsia" w:asciiTheme="minorEastAsia" w:hAnsiTheme="minorEastAsia"/>
                <w:sz w:val="24"/>
              </w:rPr>
              <w:t>(总分100分)</w:t>
            </w:r>
          </w:p>
        </w:tc>
        <w:tc>
          <w:tcPr>
            <w:tcW w:w="7204" w:type="dxa"/>
            <w:gridSpan w:val="2"/>
            <w:vAlign w:val="center"/>
          </w:tcPr>
          <w:p>
            <w:pPr>
              <w:spacing w:line="360" w:lineRule="auto"/>
              <w:ind w:firstLine="480" w:firstLineChars="200"/>
              <w:rPr>
                <w:rFonts w:asciiTheme="minorEastAsia" w:hAnsiTheme="minorEastAsia"/>
                <w:sz w:val="24"/>
              </w:rPr>
            </w:pPr>
            <w:r>
              <w:rPr>
                <w:rFonts w:hint="eastAsia" w:asciiTheme="minorEastAsia" w:hAnsiTheme="minorEastAsia"/>
                <w:sz w:val="24"/>
              </w:rPr>
              <w:t>价格分值：</w:t>
            </w:r>
            <w:r>
              <w:rPr>
                <w:rFonts w:hint="eastAsia" w:asciiTheme="minorEastAsia" w:hAnsiTheme="minorEastAsia"/>
                <w:sz w:val="24"/>
                <w:u w:val="single"/>
              </w:rPr>
              <w:t>20</w:t>
            </w:r>
            <w:r>
              <w:rPr>
                <w:rFonts w:hint="eastAsia" w:asciiTheme="minorEastAsia" w:hAnsiTheme="minorEastAsia"/>
                <w:sz w:val="24"/>
              </w:rPr>
              <w:t>分</w:t>
            </w:r>
          </w:p>
          <w:p>
            <w:pPr>
              <w:spacing w:line="360" w:lineRule="auto"/>
              <w:ind w:firstLine="480" w:firstLineChars="200"/>
              <w:rPr>
                <w:rFonts w:asciiTheme="minorEastAsia" w:hAnsiTheme="minorEastAsia"/>
                <w:sz w:val="24"/>
              </w:rPr>
            </w:pPr>
            <w:r>
              <w:rPr>
                <w:rFonts w:hint="eastAsia" w:asciiTheme="minorEastAsia" w:hAnsiTheme="minorEastAsia"/>
                <w:sz w:val="24"/>
              </w:rPr>
              <w:t>商务部分：</w:t>
            </w:r>
            <w:r>
              <w:rPr>
                <w:rFonts w:hint="eastAsia" w:asciiTheme="minorEastAsia" w:hAnsiTheme="minorEastAsia"/>
                <w:sz w:val="24"/>
                <w:u w:val="single"/>
              </w:rPr>
              <w:t>45</w:t>
            </w:r>
            <w:r>
              <w:rPr>
                <w:rFonts w:hint="eastAsia" w:asciiTheme="minorEastAsia" w:hAnsiTheme="minorEastAsia"/>
                <w:sz w:val="24"/>
              </w:rPr>
              <w:t>分</w:t>
            </w:r>
          </w:p>
          <w:p>
            <w:pPr>
              <w:spacing w:line="360" w:lineRule="auto"/>
              <w:ind w:firstLine="480" w:firstLineChars="200"/>
              <w:rPr>
                <w:rFonts w:asciiTheme="minorEastAsia" w:hAnsiTheme="minorEastAsia"/>
                <w:sz w:val="24"/>
              </w:rPr>
            </w:pPr>
            <w:r>
              <w:rPr>
                <w:rFonts w:hint="eastAsia" w:asciiTheme="minorEastAsia" w:hAnsiTheme="minorEastAsia"/>
                <w:sz w:val="24"/>
              </w:rPr>
              <w:t>技术部分：</w:t>
            </w:r>
            <w:r>
              <w:rPr>
                <w:rFonts w:hint="eastAsia" w:asciiTheme="minorEastAsia" w:hAnsiTheme="minorEastAsia"/>
                <w:sz w:val="24"/>
                <w:u w:val="single"/>
              </w:rPr>
              <w:t>35</w:t>
            </w:r>
            <w:r>
              <w:rPr>
                <w:rFonts w:hint="eastAsia" w:asciiTheme="minorEastAsia" w:hAnsi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8966" w:type="dxa"/>
            <w:gridSpan w:val="3"/>
            <w:tcBorders>
              <w:bottom w:val="single" w:color="auto" w:sz="4" w:space="0"/>
            </w:tcBorders>
            <w:vAlign w:val="center"/>
          </w:tcPr>
          <w:p>
            <w:pPr>
              <w:jc w:val="center"/>
              <w:rPr>
                <w:rFonts w:asciiTheme="minorEastAsia" w:hAnsiTheme="minorEastAsia"/>
                <w:b/>
                <w:sz w:val="24"/>
              </w:rPr>
            </w:pPr>
            <w:r>
              <w:rPr>
                <w:rFonts w:hint="eastAsia" w:asciiTheme="minorEastAsia" w:hAnsiTheme="minorEastAsia"/>
                <w:b/>
                <w:sz w:val="24"/>
              </w:rPr>
              <w:t>价格部分（满分</w:t>
            </w:r>
            <w:r>
              <w:rPr>
                <w:rFonts w:hint="eastAsia" w:asciiTheme="minorEastAsia" w:hAnsiTheme="minorEastAsia"/>
                <w:b/>
                <w:sz w:val="24"/>
                <w:u w:val="single"/>
              </w:rPr>
              <w:t>20</w:t>
            </w:r>
            <w:r>
              <w:rPr>
                <w:rFonts w:hint="eastAsia" w:asciiTheme="minorEastAsia" w:hAnsiTheme="minorEastAsia"/>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762" w:type="dxa"/>
            <w:tcBorders>
              <w:top w:val="single" w:color="auto" w:sz="4" w:space="0"/>
            </w:tcBorders>
            <w:vAlign w:val="center"/>
          </w:tcPr>
          <w:p>
            <w:pPr>
              <w:jc w:val="center"/>
              <w:rPr>
                <w:rFonts w:asciiTheme="minorEastAsia" w:hAnsiTheme="minorEastAsia"/>
                <w:b/>
                <w:sz w:val="24"/>
              </w:rPr>
            </w:pPr>
            <w:r>
              <w:rPr>
                <w:rFonts w:hint="eastAsia" w:asciiTheme="minorEastAsia" w:hAnsiTheme="minorEastAsia"/>
                <w:b/>
                <w:sz w:val="24"/>
              </w:rPr>
              <w:t>评分因素</w:t>
            </w:r>
          </w:p>
        </w:tc>
        <w:tc>
          <w:tcPr>
            <w:tcW w:w="6237" w:type="dxa"/>
            <w:tcBorders>
              <w:top w:val="single" w:color="auto" w:sz="4" w:space="0"/>
            </w:tcBorders>
            <w:vAlign w:val="center"/>
          </w:tcPr>
          <w:p>
            <w:pPr>
              <w:jc w:val="center"/>
              <w:rPr>
                <w:rFonts w:asciiTheme="minorEastAsia" w:hAnsiTheme="minorEastAsia"/>
                <w:b/>
                <w:sz w:val="24"/>
              </w:rPr>
            </w:pPr>
            <w:r>
              <w:rPr>
                <w:rFonts w:hint="eastAsia" w:asciiTheme="minorEastAsia" w:hAnsiTheme="minorEastAsia"/>
                <w:b/>
                <w:sz w:val="24"/>
              </w:rPr>
              <w:t>评标标准</w:t>
            </w:r>
          </w:p>
        </w:tc>
        <w:tc>
          <w:tcPr>
            <w:tcW w:w="967" w:type="dxa"/>
            <w:tcBorders>
              <w:top w:val="single" w:color="auto" w:sz="4" w:space="0"/>
            </w:tcBorders>
            <w:vAlign w:val="center"/>
          </w:tcPr>
          <w:p>
            <w:pPr>
              <w:jc w:val="center"/>
              <w:rPr>
                <w:rFonts w:asciiTheme="minorEastAsia" w:hAnsiTheme="minorEastAsia"/>
                <w:b/>
                <w:sz w:val="24"/>
              </w:rPr>
            </w:pPr>
            <w:r>
              <w:rPr>
                <w:rFonts w:hint="eastAsia" w:asciiTheme="minorEastAsia" w:hAnsiTheme="minorEastAsia"/>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762" w:type="dxa"/>
            <w:tcBorders>
              <w:top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投标报价</w:t>
            </w:r>
          </w:p>
          <w:p>
            <w:pPr>
              <w:spacing w:line="360" w:lineRule="auto"/>
              <w:jc w:val="center"/>
              <w:rPr>
                <w:rFonts w:asciiTheme="minorEastAsia" w:hAnsiTheme="minorEastAsia"/>
                <w:sz w:val="24"/>
              </w:rPr>
            </w:pPr>
            <w:r>
              <w:rPr>
                <w:rFonts w:hint="eastAsia" w:asciiTheme="minorEastAsia" w:hAnsiTheme="minorEastAsia"/>
                <w:sz w:val="24"/>
              </w:rPr>
              <w:t>评分标准</w:t>
            </w:r>
          </w:p>
        </w:tc>
        <w:tc>
          <w:tcPr>
            <w:tcW w:w="6237" w:type="dxa"/>
            <w:tcBorders>
              <w:top w:val="single" w:color="auto" w:sz="4" w:space="0"/>
            </w:tcBorders>
            <w:vAlign w:val="center"/>
          </w:tcPr>
          <w:p>
            <w:pPr>
              <w:spacing w:line="360" w:lineRule="auto"/>
              <w:rPr>
                <w:rFonts w:asciiTheme="minorEastAsia" w:hAnsiTheme="minorEastAsia"/>
                <w:sz w:val="24"/>
              </w:rPr>
            </w:pPr>
            <w:r>
              <w:rPr>
                <w:rFonts w:hint="eastAsia" w:asciiTheme="minorEastAsia" w:hAnsiTheme="minorEastAsia"/>
                <w:sz w:val="24"/>
              </w:rPr>
              <w:t>评标基准价：满足招标文件要求的有效投标报价中，最低的投标报价为评标基准价。</w:t>
            </w:r>
          </w:p>
          <w:p>
            <w:pPr>
              <w:spacing w:line="360" w:lineRule="auto"/>
              <w:rPr>
                <w:rFonts w:asciiTheme="minorEastAsia" w:hAnsiTheme="minorEastAsia"/>
                <w:sz w:val="24"/>
              </w:rPr>
            </w:pPr>
            <w:r>
              <w:rPr>
                <w:rFonts w:hint="eastAsia" w:asciiTheme="minorEastAsia" w:hAnsiTheme="minorEastAsia"/>
                <w:sz w:val="24"/>
              </w:rPr>
              <w:t>投标报价得分=（评标基准价/投标报价）×</w:t>
            </w:r>
            <w:r>
              <w:rPr>
                <w:rFonts w:hint="eastAsia" w:asciiTheme="minorEastAsia" w:hAnsiTheme="minorEastAsia"/>
                <w:sz w:val="24"/>
                <w:u w:val="single"/>
              </w:rPr>
              <w:t>20</w:t>
            </w:r>
          </w:p>
        </w:tc>
        <w:tc>
          <w:tcPr>
            <w:tcW w:w="967" w:type="dxa"/>
            <w:tcBorders>
              <w:top w:val="single" w:color="auto" w:sz="4" w:space="0"/>
            </w:tcBorders>
            <w:vAlign w:val="center"/>
          </w:tcPr>
          <w:p>
            <w:pPr>
              <w:jc w:val="center"/>
              <w:rPr>
                <w:rFonts w:asciiTheme="minorEastAsia" w:hAnsiTheme="minorEastAsia"/>
                <w:sz w:val="24"/>
              </w:rPr>
            </w:pPr>
            <w:r>
              <w:rPr>
                <w:rFonts w:hint="eastAsia" w:asciiTheme="minorEastAsia" w:hAnsiTheme="minorEastAsia"/>
                <w:sz w:val="24"/>
                <w:u w:val="single"/>
              </w:rPr>
              <w:t>20</w:t>
            </w:r>
            <w:r>
              <w:rPr>
                <w:rFonts w:hint="eastAsia" w:asciiTheme="minorEastAsia" w:hAnsi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vAlign w:val="center"/>
          </w:tcPr>
          <w:p>
            <w:pPr>
              <w:jc w:val="center"/>
              <w:rPr>
                <w:rFonts w:asciiTheme="minorEastAsia" w:hAnsiTheme="minorEastAsia"/>
                <w:b/>
                <w:sz w:val="24"/>
              </w:rPr>
            </w:pPr>
            <w:r>
              <w:rPr>
                <w:rFonts w:hint="eastAsia" w:asciiTheme="minorEastAsia" w:hAnsiTheme="minorEastAsia"/>
                <w:b/>
                <w:sz w:val="24"/>
              </w:rPr>
              <w:t>商务部分（满分</w:t>
            </w:r>
            <w:r>
              <w:rPr>
                <w:rFonts w:hint="eastAsia" w:asciiTheme="minorEastAsia" w:hAnsiTheme="minorEastAsia"/>
                <w:b/>
                <w:sz w:val="24"/>
                <w:u w:val="single"/>
              </w:rPr>
              <w:t>45</w:t>
            </w:r>
            <w:r>
              <w:rPr>
                <w:rFonts w:hint="eastAsia" w:asciiTheme="minorEastAsia" w:hAnsiTheme="minorEastAsia"/>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62" w:type="dxa"/>
            <w:tcBorders>
              <w:bottom w:val="single" w:color="auto" w:sz="4" w:space="0"/>
            </w:tcBorders>
            <w:vAlign w:val="center"/>
          </w:tcPr>
          <w:p>
            <w:pPr>
              <w:jc w:val="center"/>
              <w:rPr>
                <w:rFonts w:asciiTheme="minorEastAsia" w:hAnsiTheme="minorEastAsia"/>
                <w:b/>
                <w:sz w:val="24"/>
              </w:rPr>
            </w:pPr>
            <w:r>
              <w:rPr>
                <w:rFonts w:hint="eastAsia" w:asciiTheme="minorEastAsia" w:hAnsiTheme="minorEastAsia"/>
                <w:b/>
                <w:sz w:val="24"/>
              </w:rPr>
              <w:t>评分因素</w:t>
            </w:r>
          </w:p>
        </w:tc>
        <w:tc>
          <w:tcPr>
            <w:tcW w:w="6237" w:type="dxa"/>
            <w:vAlign w:val="center"/>
          </w:tcPr>
          <w:p>
            <w:pPr>
              <w:jc w:val="center"/>
              <w:rPr>
                <w:rFonts w:asciiTheme="minorEastAsia" w:hAnsiTheme="minorEastAsia"/>
                <w:b/>
                <w:sz w:val="24"/>
              </w:rPr>
            </w:pPr>
            <w:r>
              <w:rPr>
                <w:rFonts w:hint="eastAsia" w:asciiTheme="minorEastAsia" w:hAnsiTheme="minorEastAsia"/>
                <w:b/>
                <w:sz w:val="24"/>
              </w:rPr>
              <w:t>评标标准</w:t>
            </w:r>
          </w:p>
        </w:tc>
        <w:tc>
          <w:tcPr>
            <w:tcW w:w="967" w:type="dxa"/>
            <w:vAlign w:val="center"/>
          </w:tcPr>
          <w:p>
            <w:pPr>
              <w:jc w:val="center"/>
              <w:rPr>
                <w:rFonts w:asciiTheme="minorEastAsia" w:hAnsiTheme="minorEastAsia"/>
                <w:b/>
                <w:sz w:val="24"/>
              </w:rPr>
            </w:pPr>
            <w:r>
              <w:rPr>
                <w:rFonts w:hint="eastAsia" w:asciiTheme="minorEastAsia" w:hAnsiTheme="minorEastAsia"/>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exact"/>
              <w:jc w:val="center"/>
              <w:rPr>
                <w:rFonts w:ascii="仿宋" w:hAnsi="仿宋" w:eastAsia="仿宋"/>
                <w:sz w:val="28"/>
                <w:szCs w:val="28"/>
              </w:rPr>
            </w:pPr>
            <w:r>
              <w:rPr>
                <w:rFonts w:hint="eastAsia" w:asciiTheme="minorEastAsia" w:hAnsiTheme="minorEastAsia"/>
                <w:sz w:val="24"/>
              </w:rPr>
              <w:t>企业业绩</w:t>
            </w:r>
          </w:p>
        </w:tc>
        <w:tc>
          <w:tcPr>
            <w:tcW w:w="6237" w:type="dxa"/>
            <w:vAlign w:val="center"/>
          </w:tcPr>
          <w:p>
            <w:pPr>
              <w:snapToGrid w:val="0"/>
              <w:spacing w:line="360" w:lineRule="auto"/>
              <w:rPr>
                <w:color w:val="FF0000"/>
                <w:sz w:val="24"/>
                <w:szCs w:val="24"/>
              </w:rPr>
            </w:pPr>
            <w:r>
              <w:rPr>
                <w:rFonts w:hint="eastAsia"/>
                <w:sz w:val="24"/>
                <w:szCs w:val="24"/>
              </w:rPr>
              <w:t>1、投标人自2016年以来具有类似路灯维修或路灯管护项目，每个2分，满分4分。（需提供中标通知书和合同协议书扫描件，以中标通知书和合同协议书签订日期为准）</w:t>
            </w:r>
          </w:p>
          <w:p>
            <w:pPr>
              <w:snapToGrid w:val="0"/>
              <w:spacing w:line="360" w:lineRule="auto"/>
              <w:rPr>
                <w:sz w:val="24"/>
                <w:szCs w:val="24"/>
              </w:rPr>
            </w:pPr>
            <w:r>
              <w:rPr>
                <w:rFonts w:hint="eastAsia"/>
                <w:sz w:val="24"/>
                <w:szCs w:val="24"/>
              </w:rPr>
              <w:t>2、投标人养护项目2016年1月1日以来获得过省级荣誉者每项得4分，获得过国级荣誉者每项得8分，最高得16分。（需提供获奖证书和同级奖励文件扫描件，以证书时间为准）</w:t>
            </w:r>
          </w:p>
        </w:tc>
        <w:tc>
          <w:tcPr>
            <w:tcW w:w="967" w:type="dxa"/>
            <w:vAlign w:val="center"/>
          </w:tcPr>
          <w:p>
            <w:pPr>
              <w:jc w:val="center"/>
              <w:rPr>
                <w:rFonts w:ascii="仿宋" w:hAnsi="仿宋" w:eastAsia="仿宋"/>
                <w:sz w:val="28"/>
                <w:szCs w:val="28"/>
              </w:rPr>
            </w:pPr>
            <w:r>
              <w:rPr>
                <w:rFonts w:hint="eastAsia" w:ascii="仿宋" w:hAnsi="仿宋" w:eastAsia="仿宋"/>
                <w:sz w:val="24"/>
              </w:rPr>
              <w:t>20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1762" w:type="dxa"/>
            <w:vAlign w:val="center"/>
          </w:tcPr>
          <w:p>
            <w:pPr>
              <w:spacing w:line="360" w:lineRule="exact"/>
              <w:jc w:val="center"/>
              <w:rPr>
                <w:rFonts w:asciiTheme="minorEastAsia" w:hAnsiTheme="minorEastAsia"/>
                <w:sz w:val="24"/>
              </w:rPr>
            </w:pPr>
            <w:r>
              <w:rPr>
                <w:rFonts w:hint="eastAsia" w:asciiTheme="minorEastAsia" w:hAnsiTheme="minorEastAsia"/>
                <w:sz w:val="24"/>
              </w:rPr>
              <w:t>企业实力</w:t>
            </w:r>
          </w:p>
        </w:tc>
        <w:tc>
          <w:tcPr>
            <w:tcW w:w="6237" w:type="dxa"/>
            <w:vAlign w:val="center"/>
          </w:tcPr>
          <w:p>
            <w:pPr>
              <w:snapToGrid w:val="0"/>
              <w:spacing w:line="360" w:lineRule="auto"/>
              <w:rPr>
                <w:sz w:val="24"/>
                <w:szCs w:val="24"/>
              </w:rPr>
            </w:pPr>
            <w:r>
              <w:rPr>
                <w:rFonts w:hint="eastAsia"/>
                <w:sz w:val="24"/>
                <w:szCs w:val="24"/>
              </w:rPr>
              <w:t>1、2016年1月1日以来企业一年内同时荣获省级以上（含省级）市政公用工程施工质量管理先进企业称号和省级以上（含省级）市政公用工程优秀施工企业称号者得6分，两项证书缺一不得分；（需提供获奖证书和同级奖励文件扫描件，以证书时间为准）</w:t>
            </w:r>
          </w:p>
          <w:p>
            <w:pPr>
              <w:snapToGrid w:val="0"/>
              <w:spacing w:line="360" w:lineRule="auto"/>
              <w:rPr>
                <w:sz w:val="24"/>
                <w:szCs w:val="24"/>
              </w:rPr>
            </w:pPr>
            <w:r>
              <w:rPr>
                <w:rFonts w:hint="eastAsia"/>
                <w:sz w:val="24"/>
                <w:szCs w:val="24"/>
              </w:rPr>
              <w:t>2、2016年1月1日以来企业连续两年获得过省级以上（含省级）建设工程招标投标“诚实守信单位”者得2分，缺一不得分；（需提供获奖证书和同级奖励文件扫描件，以证书时间为准）</w:t>
            </w:r>
          </w:p>
          <w:p>
            <w:pPr>
              <w:snapToGrid w:val="0"/>
              <w:spacing w:line="360" w:lineRule="auto"/>
              <w:rPr>
                <w:rFonts w:asciiTheme="minorEastAsia" w:hAnsiTheme="minorEastAsia"/>
                <w:sz w:val="24"/>
              </w:rPr>
            </w:pPr>
            <w:r>
              <w:rPr>
                <w:rFonts w:hint="eastAsia" w:asciiTheme="minorEastAsia" w:hAnsiTheme="minorEastAsia"/>
                <w:sz w:val="24"/>
              </w:rPr>
              <w:t>3、投标人提供质量管理体系认证得2分、环境管理体系认证得2分、职业健康安全管理体系认证得2分。</w:t>
            </w:r>
            <w:r>
              <w:rPr>
                <w:rFonts w:hint="eastAsia"/>
                <w:sz w:val="24"/>
                <w:szCs w:val="24"/>
              </w:rPr>
              <w:t>（需提供证书扫描件）</w:t>
            </w:r>
          </w:p>
        </w:tc>
        <w:tc>
          <w:tcPr>
            <w:tcW w:w="967" w:type="dxa"/>
            <w:vAlign w:val="center"/>
          </w:tcPr>
          <w:p>
            <w:pPr>
              <w:jc w:val="center"/>
              <w:rPr>
                <w:rFonts w:ascii="仿宋" w:hAnsi="仿宋" w:eastAsia="仿宋"/>
                <w:sz w:val="28"/>
                <w:szCs w:val="28"/>
                <w:u w:val="single"/>
              </w:rPr>
            </w:pPr>
            <w:r>
              <w:rPr>
                <w:rFonts w:hint="eastAsia" w:ascii="仿宋" w:hAnsi="仿宋" w:eastAsia="仿宋"/>
                <w:sz w:val="24"/>
                <w:u w:val="single"/>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1762" w:type="dxa"/>
            <w:vAlign w:val="center"/>
          </w:tcPr>
          <w:p>
            <w:pPr>
              <w:spacing w:line="360" w:lineRule="exact"/>
              <w:jc w:val="center"/>
              <w:rPr>
                <w:rFonts w:asciiTheme="minorEastAsia" w:hAnsiTheme="minorEastAsia"/>
                <w:sz w:val="24"/>
              </w:rPr>
            </w:pPr>
            <w:r>
              <w:rPr>
                <w:rFonts w:hint="eastAsia" w:ascii="宋体" w:hAnsi="宋体"/>
                <w:b/>
                <w:bCs/>
                <w:sz w:val="24"/>
              </w:rPr>
              <w:t>售后服务</w:t>
            </w:r>
          </w:p>
        </w:tc>
        <w:tc>
          <w:tcPr>
            <w:tcW w:w="6237" w:type="dxa"/>
            <w:vAlign w:val="center"/>
          </w:tcPr>
          <w:p>
            <w:pPr>
              <w:snapToGrid w:val="0"/>
              <w:spacing w:line="360" w:lineRule="auto"/>
              <w:rPr>
                <w:rFonts w:asciiTheme="minorEastAsia" w:hAnsiTheme="minorEastAsia"/>
                <w:sz w:val="24"/>
              </w:rPr>
            </w:pPr>
            <w:r>
              <w:rPr>
                <w:rFonts w:hint="eastAsia" w:asciiTheme="minorEastAsia" w:hAnsiTheme="minorEastAsia"/>
                <w:sz w:val="24"/>
              </w:rPr>
              <w:t>1、解决问题时间以小时为单位（四舍五入法，30分钟及以上按1小时计算），以8小时为起点，基本分6分，每减少2小时，加2分，满分11分。8小时以上的不得分。</w:t>
            </w:r>
          </w:p>
        </w:tc>
        <w:tc>
          <w:tcPr>
            <w:tcW w:w="967" w:type="dxa"/>
            <w:vAlign w:val="center"/>
          </w:tcPr>
          <w:p>
            <w:pPr>
              <w:jc w:val="center"/>
              <w:rPr>
                <w:rFonts w:ascii="仿宋" w:hAnsi="仿宋" w:eastAsia="仿宋"/>
                <w:sz w:val="24"/>
                <w:u w:val="single"/>
              </w:rPr>
            </w:pPr>
            <w:r>
              <w:rPr>
                <w:rFonts w:hint="eastAsia" w:asciiTheme="minorEastAsia" w:hAnsiTheme="minorEastAsia"/>
                <w:sz w:val="24"/>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8966" w:type="dxa"/>
            <w:gridSpan w:val="3"/>
            <w:vAlign w:val="center"/>
          </w:tcPr>
          <w:p>
            <w:pPr>
              <w:jc w:val="center"/>
              <w:rPr>
                <w:rFonts w:asciiTheme="minorEastAsia" w:hAnsiTheme="minorEastAsia"/>
                <w:b/>
                <w:sz w:val="24"/>
              </w:rPr>
            </w:pPr>
            <w:r>
              <w:rPr>
                <w:rFonts w:hint="eastAsia" w:asciiTheme="minorEastAsia" w:hAnsiTheme="minorEastAsia"/>
                <w:b/>
                <w:sz w:val="24"/>
              </w:rPr>
              <w:t>技术部分（满分</w:t>
            </w:r>
            <w:r>
              <w:rPr>
                <w:rFonts w:hint="eastAsia" w:asciiTheme="minorEastAsia" w:hAnsiTheme="minorEastAsia"/>
                <w:b/>
                <w:sz w:val="24"/>
                <w:u w:val="single"/>
              </w:rPr>
              <w:t>35</w:t>
            </w:r>
            <w:r>
              <w:rPr>
                <w:rFonts w:hint="eastAsia" w:asciiTheme="minorEastAsia" w:hAnsiTheme="minorEastAsia"/>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jc w:val="center"/>
              <w:rPr>
                <w:rFonts w:asciiTheme="minorEastAsia" w:hAnsiTheme="minorEastAsia"/>
                <w:b/>
                <w:sz w:val="24"/>
              </w:rPr>
            </w:pPr>
            <w:r>
              <w:rPr>
                <w:rFonts w:hint="eastAsia" w:asciiTheme="minorEastAsia" w:hAnsiTheme="minorEastAsia"/>
                <w:b/>
                <w:sz w:val="24"/>
              </w:rPr>
              <w:t>评分因素</w:t>
            </w:r>
          </w:p>
        </w:tc>
        <w:tc>
          <w:tcPr>
            <w:tcW w:w="6237" w:type="dxa"/>
            <w:vAlign w:val="center"/>
          </w:tcPr>
          <w:p>
            <w:pPr>
              <w:jc w:val="center"/>
              <w:rPr>
                <w:rFonts w:asciiTheme="minorEastAsia" w:hAnsiTheme="minorEastAsia"/>
                <w:b/>
                <w:sz w:val="24"/>
              </w:rPr>
            </w:pPr>
            <w:r>
              <w:rPr>
                <w:rFonts w:hint="eastAsia" w:asciiTheme="minorEastAsia" w:hAnsiTheme="minorEastAsia"/>
                <w:b/>
                <w:sz w:val="24"/>
              </w:rPr>
              <w:t>评标标准</w:t>
            </w:r>
          </w:p>
        </w:tc>
        <w:tc>
          <w:tcPr>
            <w:tcW w:w="967" w:type="dxa"/>
            <w:vAlign w:val="center"/>
          </w:tcPr>
          <w:p>
            <w:pPr>
              <w:jc w:val="center"/>
              <w:rPr>
                <w:rFonts w:asciiTheme="minorEastAsia" w:hAnsiTheme="minorEastAsia"/>
                <w:b/>
                <w:sz w:val="24"/>
              </w:rPr>
            </w:pPr>
            <w:r>
              <w:rPr>
                <w:rFonts w:hint="eastAsia" w:asciiTheme="minorEastAsia" w:hAnsiTheme="minorEastAsia"/>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trPr>
        <w:tc>
          <w:tcPr>
            <w:tcW w:w="1762" w:type="dxa"/>
            <w:vMerge w:val="restart"/>
            <w:vAlign w:val="center"/>
          </w:tcPr>
          <w:p>
            <w:pPr>
              <w:jc w:val="center"/>
              <w:rPr>
                <w:rFonts w:asciiTheme="minorEastAsia" w:hAnsiTheme="minorEastAsia"/>
                <w:sz w:val="24"/>
              </w:rPr>
            </w:pPr>
            <w:r>
              <w:rPr>
                <w:rFonts w:hint="eastAsia" w:asciiTheme="minorEastAsia" w:hAnsiTheme="minorEastAsia"/>
                <w:sz w:val="24"/>
              </w:rPr>
              <w:t>投标文件的规范程度</w:t>
            </w:r>
          </w:p>
        </w:tc>
        <w:tc>
          <w:tcPr>
            <w:tcW w:w="6237" w:type="dxa"/>
            <w:vAlign w:val="center"/>
          </w:tcPr>
          <w:p>
            <w:pPr>
              <w:widowControl/>
              <w:jc w:val="left"/>
              <w:rPr>
                <w:rFonts w:ascii="仿宋" w:hAnsi="仿宋" w:eastAsia="仿宋"/>
                <w:b/>
                <w:sz w:val="24"/>
              </w:rPr>
            </w:pPr>
            <w:r>
              <w:rPr>
                <w:rFonts w:hint="eastAsia" w:ascii="宋体" w:hAnsi="宋体" w:cs="Courier New"/>
                <w:bCs/>
                <w:sz w:val="24"/>
              </w:rPr>
              <w:t>1、投标文件的编制符合招标文件的规定，装订整齐规范的，得2分。</w:t>
            </w:r>
          </w:p>
        </w:tc>
        <w:tc>
          <w:tcPr>
            <w:tcW w:w="967" w:type="dxa"/>
            <w:vAlign w:val="center"/>
          </w:tcPr>
          <w:p>
            <w:pPr>
              <w:jc w:val="center"/>
              <w:rPr>
                <w:rFonts w:asciiTheme="minorEastAsia" w:hAnsiTheme="minorEastAsia"/>
                <w:sz w:val="24"/>
              </w:rPr>
            </w:pPr>
            <w:r>
              <w:rPr>
                <w:rFonts w:hint="eastAsia" w:asciiTheme="minorEastAsia" w:hAnsiTheme="minorEastAsia"/>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762" w:type="dxa"/>
            <w:vMerge w:val="continue"/>
            <w:vAlign w:val="center"/>
          </w:tcPr>
          <w:p>
            <w:pPr>
              <w:spacing w:line="360" w:lineRule="auto"/>
              <w:jc w:val="center"/>
              <w:rPr>
                <w:rFonts w:ascii="仿宋" w:hAnsi="仿宋" w:eastAsia="仿宋"/>
                <w:sz w:val="24"/>
              </w:rPr>
            </w:pPr>
          </w:p>
        </w:tc>
        <w:tc>
          <w:tcPr>
            <w:tcW w:w="6237" w:type="dxa"/>
            <w:vAlign w:val="center"/>
          </w:tcPr>
          <w:p>
            <w:pPr>
              <w:spacing w:line="360" w:lineRule="exact"/>
              <w:rPr>
                <w:rFonts w:ascii="仿宋" w:hAnsi="仿宋" w:eastAsia="仿宋"/>
                <w:sz w:val="24"/>
              </w:rPr>
            </w:pPr>
            <w:r>
              <w:rPr>
                <w:rFonts w:hint="eastAsia" w:ascii="宋体" w:hAnsi="宋体" w:cs="Courier New"/>
                <w:bCs/>
                <w:sz w:val="24"/>
              </w:rPr>
              <w:t>2、投标人编制投标文件逻辑严紧、描述规范、无文字错误的，得3分。</w:t>
            </w:r>
          </w:p>
        </w:tc>
        <w:tc>
          <w:tcPr>
            <w:tcW w:w="967" w:type="dxa"/>
            <w:vAlign w:val="center"/>
          </w:tcPr>
          <w:p>
            <w:pPr>
              <w:jc w:val="center"/>
              <w:rPr>
                <w:rFonts w:asciiTheme="minorEastAsia" w:hAnsiTheme="minorEastAsia"/>
                <w:sz w:val="24"/>
              </w:rPr>
            </w:pPr>
            <w:r>
              <w:rPr>
                <w:rFonts w:hint="eastAsia" w:asciiTheme="minorEastAsia" w:hAnsiTheme="minorEastAsia"/>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9" w:hRule="atLeast"/>
        </w:trPr>
        <w:tc>
          <w:tcPr>
            <w:tcW w:w="1762" w:type="dxa"/>
            <w:vAlign w:val="center"/>
          </w:tcPr>
          <w:p>
            <w:pPr>
              <w:spacing w:line="360" w:lineRule="exact"/>
              <w:jc w:val="center"/>
              <w:rPr>
                <w:rFonts w:ascii="仿宋" w:hAnsi="仿宋" w:eastAsia="仿宋"/>
                <w:sz w:val="28"/>
                <w:szCs w:val="28"/>
              </w:rPr>
            </w:pPr>
            <w:r>
              <w:rPr>
                <w:rFonts w:hint="eastAsia" w:asciiTheme="minorEastAsia" w:hAnsiTheme="minorEastAsia"/>
                <w:sz w:val="24"/>
              </w:rPr>
              <w:t>对招标文件的响应程度</w:t>
            </w:r>
          </w:p>
        </w:tc>
        <w:tc>
          <w:tcPr>
            <w:tcW w:w="6237" w:type="dxa"/>
            <w:vAlign w:val="center"/>
          </w:tcPr>
          <w:p>
            <w:pPr>
              <w:snapToGrid w:val="0"/>
              <w:spacing w:line="360" w:lineRule="auto"/>
              <w:rPr>
                <w:rFonts w:ascii="宋体" w:hAnsi="宋体" w:cs="宋体"/>
                <w:bCs/>
                <w:sz w:val="24"/>
              </w:rPr>
            </w:pPr>
            <w:r>
              <w:rPr>
                <w:rFonts w:hint="eastAsia" w:ascii="宋体" w:hAnsi="宋体" w:cs="宋体"/>
                <w:bCs/>
                <w:sz w:val="24"/>
              </w:rPr>
              <w:t>投标文件中有以下内容的，根据内容完整、合理程度每项在0-</w:t>
            </w:r>
            <w:r>
              <w:rPr>
                <w:rFonts w:hint="eastAsia" w:ascii="宋体" w:hAnsi="宋体" w:cs="宋体"/>
                <w:bCs/>
                <w:sz w:val="24"/>
                <w:lang w:val="en-US" w:eastAsia="zh-CN"/>
              </w:rPr>
              <w:t>6</w:t>
            </w:r>
            <w:bookmarkStart w:id="15" w:name="_GoBack"/>
            <w:bookmarkEnd w:id="15"/>
            <w:r>
              <w:rPr>
                <w:rFonts w:hint="eastAsia" w:ascii="宋体" w:hAnsi="宋体" w:cs="宋体"/>
                <w:bCs/>
                <w:sz w:val="24"/>
              </w:rPr>
              <w:t>分范围内进行打分，满分30分。</w:t>
            </w:r>
          </w:p>
          <w:p>
            <w:pPr>
              <w:snapToGrid w:val="0"/>
              <w:spacing w:line="360" w:lineRule="auto"/>
              <w:rPr>
                <w:rFonts w:ascii="宋体" w:hAnsi="宋体" w:cs="宋体"/>
                <w:bCs/>
                <w:sz w:val="24"/>
              </w:rPr>
            </w:pPr>
            <w:r>
              <w:rPr>
                <w:rFonts w:hint="eastAsia" w:ascii="宋体" w:hAnsi="宋体" w:cs="宋体"/>
                <w:bCs/>
                <w:sz w:val="24"/>
              </w:rPr>
              <w:t xml:space="preserve">1、有关项目的合理分析及解决方案； </w:t>
            </w:r>
            <w:r>
              <w:rPr>
                <w:rFonts w:ascii="宋体" w:hAnsi="宋体" w:cs="宋体"/>
                <w:bCs/>
                <w:sz w:val="24"/>
              </w:rPr>
              <w:t xml:space="preserve">     </w:t>
            </w:r>
          </w:p>
          <w:p>
            <w:pPr>
              <w:snapToGrid w:val="0"/>
              <w:spacing w:line="360" w:lineRule="auto"/>
              <w:rPr>
                <w:rFonts w:ascii="宋体" w:hAnsi="宋体" w:cs="宋体"/>
                <w:bCs/>
                <w:sz w:val="24"/>
              </w:rPr>
            </w:pPr>
            <w:r>
              <w:rPr>
                <w:rFonts w:hint="eastAsia" w:ascii="宋体" w:hAnsi="宋体" w:cs="宋体"/>
                <w:bCs/>
                <w:sz w:val="24"/>
              </w:rPr>
              <w:t xml:space="preserve">2、确保一年内维保技术措施； </w:t>
            </w:r>
            <w:r>
              <w:rPr>
                <w:rFonts w:ascii="宋体" w:hAnsi="宋体" w:cs="宋体"/>
                <w:bCs/>
                <w:sz w:val="24"/>
              </w:rPr>
              <w:t xml:space="preserve">           </w:t>
            </w:r>
          </w:p>
          <w:p>
            <w:pPr>
              <w:snapToGrid w:val="0"/>
              <w:spacing w:line="360" w:lineRule="auto"/>
              <w:rPr>
                <w:rFonts w:ascii="宋体" w:hAnsi="宋体" w:cs="宋体"/>
                <w:bCs/>
                <w:sz w:val="24"/>
              </w:rPr>
            </w:pPr>
            <w:r>
              <w:rPr>
                <w:rFonts w:hint="eastAsia" w:ascii="宋体" w:hAnsi="宋体" w:cs="宋体"/>
                <w:bCs/>
                <w:sz w:val="24"/>
              </w:rPr>
              <w:t xml:space="preserve">3、确保安全生产、文明施工、环境保护的技术组织措施；4、确保完成工程建设的技术和管理措施； </w:t>
            </w:r>
            <w:r>
              <w:rPr>
                <w:rFonts w:ascii="宋体" w:hAnsi="宋体" w:cs="宋体"/>
                <w:bCs/>
                <w:sz w:val="24"/>
              </w:rPr>
              <w:t xml:space="preserve">  </w:t>
            </w:r>
          </w:p>
          <w:p>
            <w:pPr>
              <w:snapToGrid w:val="0"/>
              <w:spacing w:line="360" w:lineRule="auto"/>
              <w:rPr>
                <w:rFonts w:ascii="宋体" w:hAnsi="宋体" w:cs="宋体"/>
                <w:bCs/>
                <w:sz w:val="24"/>
              </w:rPr>
            </w:pPr>
            <w:r>
              <w:rPr>
                <w:rFonts w:hint="eastAsia" w:ascii="宋体" w:hAnsi="宋体" w:cs="宋体"/>
                <w:bCs/>
                <w:sz w:val="24"/>
              </w:rPr>
              <w:t>5、员工培训计划。</w:t>
            </w:r>
          </w:p>
        </w:tc>
        <w:tc>
          <w:tcPr>
            <w:tcW w:w="967" w:type="dxa"/>
            <w:vAlign w:val="center"/>
          </w:tcPr>
          <w:p>
            <w:pPr>
              <w:jc w:val="center"/>
              <w:rPr>
                <w:rFonts w:asciiTheme="minorEastAsia" w:hAnsiTheme="minorEastAsia"/>
                <w:sz w:val="24"/>
              </w:rPr>
            </w:pPr>
            <w:r>
              <w:rPr>
                <w:rFonts w:hint="eastAsia" w:asciiTheme="minorEastAsia" w:hAnsiTheme="minorEastAsia"/>
                <w:sz w:val="24"/>
              </w:rPr>
              <w:t>30分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szCs w:val="21"/>
                <w:lang w:val="en-GB"/>
              </w:rPr>
            </w:pPr>
            <w:r>
              <w:rPr>
                <w:rFonts w:hint="eastAsia" w:ascii="宋体" w:hAnsi="宋体"/>
                <w:szCs w:val="21"/>
                <w:lang w:val="en-GB"/>
              </w:rPr>
              <w:t>非联合体投标人</w:t>
            </w:r>
          </w:p>
          <w:p>
            <w:pPr>
              <w:jc w:val="center"/>
              <w:rPr>
                <w:rFonts w:ascii="宋体" w:hAnsi="宋体"/>
                <w:b/>
                <w:szCs w:val="21"/>
                <w:lang w:val="en-GB"/>
              </w:rPr>
            </w:pPr>
            <w:r>
              <w:rPr>
                <w:rFonts w:hint="eastAsia" w:ascii="宋体" w:hAnsi="宋体"/>
                <w:szCs w:val="21"/>
                <w:lang w:val="en-GB"/>
              </w:rPr>
              <w:t>（投标人须为中小企业）</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评标价格＝投标报价—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评标价格＝投标报价×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评标价格＝投标报价—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spacing w:line="360" w:lineRule="auto"/>
        <w:ind w:firstLine="480" w:firstLineChars="200"/>
        <w:rPr>
          <w:rFonts w:ascii="宋体" w:hAnsi="宋体"/>
          <w:sz w:val="24"/>
        </w:rPr>
      </w:pPr>
      <w:r>
        <w:rPr>
          <w:rFonts w:hint="eastAsia" w:ascii="宋体" w:hAnsi="宋体"/>
          <w:sz w:val="24"/>
        </w:rPr>
        <w:t>1. 定义</w:t>
      </w:r>
    </w:p>
    <w:p>
      <w:pPr>
        <w:spacing w:line="360" w:lineRule="auto"/>
        <w:ind w:firstLine="480" w:firstLineChars="200"/>
        <w:rPr>
          <w:rFonts w:ascii="宋体" w:hAnsi="宋体"/>
          <w:sz w:val="24"/>
        </w:rPr>
      </w:pPr>
      <w:r>
        <w:rPr>
          <w:rFonts w:hint="eastAsia" w:ascii="宋体" w:hAnsi="宋体"/>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sz w:val="24"/>
        </w:rPr>
      </w:pPr>
      <w:r>
        <w:rPr>
          <w:rFonts w:hint="eastAsia" w:ascii="宋体" w:hAnsi="宋体"/>
          <w:sz w:val="24"/>
        </w:rPr>
        <w:t xml:space="preserve">1.2“合同价格”系指根据合同规定，在乙方全面正确地履行合同义务时应支付给乙方的款项。 </w:t>
      </w:r>
    </w:p>
    <w:p>
      <w:pPr>
        <w:spacing w:line="360" w:lineRule="auto"/>
        <w:ind w:firstLine="480" w:firstLineChars="200"/>
        <w:rPr>
          <w:rFonts w:ascii="宋体" w:hAnsi="宋体"/>
          <w:sz w:val="24"/>
        </w:rPr>
      </w:pPr>
      <w:r>
        <w:rPr>
          <w:rFonts w:hint="eastAsia" w:ascii="宋体" w:hAnsi="宋体"/>
          <w:sz w:val="24"/>
        </w:rPr>
        <w:t>1.3“甲方”系指通过招标方式，接受合同服务的采购人</w:t>
      </w:r>
    </w:p>
    <w:p>
      <w:pPr>
        <w:spacing w:line="360" w:lineRule="auto"/>
        <w:ind w:firstLine="480" w:firstLineChars="200"/>
        <w:rPr>
          <w:rFonts w:ascii="宋体" w:hAnsi="宋体"/>
          <w:sz w:val="24"/>
        </w:rPr>
      </w:pPr>
      <w:r>
        <w:rPr>
          <w:rFonts w:hint="eastAsia" w:ascii="宋体" w:hAnsi="宋体"/>
          <w:sz w:val="24"/>
        </w:rPr>
        <w:t>1.4“乙方”系指中标后提供合同服务的</w:t>
      </w:r>
      <w:r>
        <w:rPr>
          <w:rFonts w:hint="eastAsia" w:ascii="宋体" w:hAnsi="宋体"/>
          <w:bCs/>
          <w:sz w:val="24"/>
        </w:rPr>
        <w:t>中标方</w:t>
      </w:r>
      <w:r>
        <w:rPr>
          <w:rFonts w:hint="eastAsia" w:ascii="宋体" w:hAnsi="宋体"/>
          <w:sz w:val="24"/>
        </w:rPr>
        <w:t>或供应商。</w:t>
      </w:r>
    </w:p>
    <w:p>
      <w:pPr>
        <w:spacing w:line="360" w:lineRule="auto"/>
        <w:ind w:firstLine="480" w:firstLineChars="200"/>
        <w:rPr>
          <w:rFonts w:ascii="宋体" w:hAnsi="宋体"/>
          <w:sz w:val="24"/>
        </w:rPr>
      </w:pPr>
      <w:r>
        <w:rPr>
          <w:rFonts w:hint="eastAsia" w:ascii="宋体" w:hAnsi="宋体"/>
          <w:sz w:val="24"/>
        </w:rPr>
        <w:t>2.适用范围</w:t>
      </w:r>
    </w:p>
    <w:p>
      <w:pPr>
        <w:spacing w:line="360" w:lineRule="auto"/>
        <w:ind w:firstLine="480" w:firstLineChars="200"/>
        <w:rPr>
          <w:rFonts w:ascii="宋体" w:hAnsi="宋体"/>
          <w:sz w:val="24"/>
        </w:rPr>
      </w:pPr>
      <w:r>
        <w:rPr>
          <w:rFonts w:hint="eastAsia" w:ascii="宋体" w:hAnsi="宋体"/>
          <w:sz w:val="24"/>
        </w:rPr>
        <w:t>本合同条款仅适用于本次招标活动。</w:t>
      </w:r>
    </w:p>
    <w:p>
      <w:pPr>
        <w:spacing w:line="360" w:lineRule="auto"/>
        <w:ind w:firstLine="480" w:firstLineChars="200"/>
        <w:rPr>
          <w:rFonts w:ascii="宋体" w:hAnsi="宋体"/>
          <w:sz w:val="24"/>
        </w:rPr>
      </w:pPr>
      <w:r>
        <w:rPr>
          <w:rFonts w:hint="eastAsia" w:ascii="宋体" w:hAnsi="宋体"/>
          <w:sz w:val="24"/>
        </w:rPr>
        <w:t>3.技术规格和标准</w:t>
      </w:r>
    </w:p>
    <w:p>
      <w:pPr>
        <w:pStyle w:val="15"/>
        <w:spacing w:line="360" w:lineRule="auto"/>
        <w:ind w:firstLine="480"/>
        <w:rPr>
          <w:rFonts w:ascii="宋体" w:hAnsi="宋体" w:eastAsia="宋体"/>
          <w:sz w:val="24"/>
        </w:rPr>
      </w:pPr>
      <w:r>
        <w:rPr>
          <w:rFonts w:hint="eastAsia" w:ascii="宋体" w:hAnsi="宋体" w:eastAsia="宋体"/>
          <w:sz w:val="24"/>
        </w:rPr>
        <w:t>本合同项下所提供服务的技术规格标准应与本招标文件技术规格规定的标准相一致。</w:t>
      </w:r>
    </w:p>
    <w:p>
      <w:pPr>
        <w:spacing w:line="360" w:lineRule="auto"/>
        <w:ind w:firstLine="480" w:firstLineChars="200"/>
        <w:rPr>
          <w:rFonts w:ascii="宋体" w:hAnsi="宋体"/>
          <w:sz w:val="24"/>
        </w:rPr>
      </w:pPr>
      <w:r>
        <w:rPr>
          <w:rFonts w:hint="eastAsia" w:ascii="宋体" w:hAnsi="宋体"/>
          <w:sz w:val="24"/>
        </w:rPr>
        <w:t>4.合同期限</w:t>
      </w:r>
    </w:p>
    <w:p>
      <w:pPr>
        <w:spacing w:line="360" w:lineRule="auto"/>
        <w:ind w:firstLine="480" w:firstLineChars="200"/>
        <w:rPr>
          <w:rFonts w:ascii="宋体" w:hAnsi="宋体"/>
          <w:sz w:val="24"/>
        </w:rPr>
      </w:pPr>
      <w:r>
        <w:rPr>
          <w:rFonts w:hint="eastAsia" w:ascii="宋体" w:hAnsi="宋体"/>
          <w:sz w:val="24"/>
        </w:rPr>
        <w:t>即自</w:t>
      </w:r>
      <w:r>
        <w:rPr>
          <w:rFonts w:hint="eastAsia" w:ascii="宋体" w:hAnsi="宋体"/>
          <w:sz w:val="24"/>
        </w:rPr>
        <w:tab/>
      </w:r>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日起至</w:t>
      </w:r>
      <w:r>
        <w:rPr>
          <w:rFonts w:hint="eastAsia" w:ascii="宋体" w:hAnsi="宋体"/>
          <w:sz w:val="24"/>
        </w:rPr>
        <w:tab/>
      </w:r>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日止。</w:t>
      </w:r>
    </w:p>
    <w:p>
      <w:pPr>
        <w:spacing w:line="360" w:lineRule="auto"/>
        <w:ind w:firstLine="480" w:firstLineChars="200"/>
        <w:rPr>
          <w:rFonts w:ascii="宋体" w:hAnsi="宋体"/>
          <w:sz w:val="24"/>
        </w:rPr>
      </w:pPr>
      <w:r>
        <w:rPr>
          <w:rFonts w:hint="eastAsia" w:ascii="宋体" w:hAnsi="宋体"/>
          <w:sz w:val="24"/>
        </w:rPr>
        <w:t>5.价格</w:t>
      </w:r>
    </w:p>
    <w:p>
      <w:pPr>
        <w:spacing w:line="360" w:lineRule="auto"/>
        <w:ind w:firstLine="480" w:firstLineChars="200"/>
        <w:rPr>
          <w:rFonts w:ascii="宋体" w:hAnsi="宋体"/>
          <w:sz w:val="24"/>
        </w:rPr>
      </w:pPr>
      <w:r>
        <w:rPr>
          <w:rFonts w:hint="eastAsia" w:ascii="宋体" w:hAnsi="宋体"/>
          <w:sz w:val="24"/>
        </w:rPr>
        <w:t>除非合同中另有规定，乙方为其所提供货物设备和服务而要求甲方支付的金额应与其投标报价一致。</w:t>
      </w:r>
    </w:p>
    <w:p>
      <w:pPr>
        <w:spacing w:line="360" w:lineRule="auto"/>
        <w:ind w:firstLine="480" w:firstLineChars="200"/>
        <w:rPr>
          <w:rFonts w:ascii="宋体" w:hAnsi="宋体"/>
          <w:sz w:val="24"/>
        </w:rPr>
      </w:pPr>
      <w:r>
        <w:rPr>
          <w:rFonts w:hint="eastAsia" w:ascii="宋体" w:hAnsi="宋体"/>
          <w:sz w:val="24"/>
        </w:rPr>
        <w:t>6.索赔</w:t>
      </w:r>
    </w:p>
    <w:p>
      <w:pPr>
        <w:spacing w:line="360" w:lineRule="auto"/>
        <w:ind w:firstLine="480" w:firstLineChars="200"/>
        <w:rPr>
          <w:rFonts w:ascii="宋体" w:hAnsi="宋体"/>
          <w:sz w:val="24"/>
        </w:rPr>
      </w:pPr>
      <w:r>
        <w:rPr>
          <w:rFonts w:hint="eastAsia" w:ascii="宋体" w:hAnsi="宋体"/>
          <w:sz w:val="24"/>
        </w:rPr>
        <w:t>6.1乙方对所提供服务与合同要求不符负有责任，并且甲方已于合同规定的期限内提出索赔，乙方应按甲方同意的下述一种或多种方法解决索赔事宜。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sz w:val="24"/>
        </w:rPr>
      </w:pPr>
      <w:r>
        <w:rPr>
          <w:rFonts w:hint="eastAsia" w:ascii="宋体" w:hAnsi="宋体"/>
          <w:sz w:val="24"/>
        </w:rPr>
        <w:t>6.1.1乙方同意甲方取消其不符合要求的服务项目，退还已经收取的款项。</w:t>
      </w:r>
    </w:p>
    <w:p>
      <w:pPr>
        <w:spacing w:line="360" w:lineRule="auto"/>
        <w:ind w:firstLine="480" w:firstLineChars="200"/>
        <w:rPr>
          <w:rFonts w:ascii="宋体" w:hAnsi="宋体"/>
          <w:sz w:val="24"/>
        </w:rPr>
      </w:pPr>
      <w:r>
        <w:rPr>
          <w:rFonts w:hint="eastAsia" w:ascii="宋体" w:hAnsi="宋体"/>
          <w:sz w:val="24"/>
        </w:rPr>
        <w:t>6.1.2对于情节严重、造成甲方损失金额巨大的，同意甲方终止全部项目合同，并赔偿甲方因此造成的损失。</w:t>
      </w:r>
    </w:p>
    <w:p>
      <w:pPr>
        <w:spacing w:line="360" w:lineRule="auto"/>
        <w:ind w:firstLine="480" w:firstLineChars="200"/>
        <w:rPr>
          <w:rFonts w:ascii="宋体" w:hAnsi="宋体"/>
          <w:sz w:val="24"/>
        </w:rPr>
      </w:pPr>
      <w:r>
        <w:rPr>
          <w:rFonts w:hint="eastAsia" w:ascii="宋体" w:hAnsi="宋体"/>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sz w:val="24"/>
        </w:rPr>
      </w:pPr>
      <w:r>
        <w:rPr>
          <w:rFonts w:hint="eastAsia" w:ascii="宋体" w:hAnsi="宋体"/>
          <w:sz w:val="24"/>
        </w:rPr>
        <w:t>7.不可抗力</w:t>
      </w:r>
    </w:p>
    <w:p>
      <w:pPr>
        <w:spacing w:line="360" w:lineRule="auto"/>
        <w:ind w:firstLine="480" w:firstLineChars="200"/>
        <w:rPr>
          <w:rFonts w:ascii="宋体" w:hAnsi="宋体"/>
          <w:sz w:val="24"/>
        </w:rPr>
      </w:pPr>
      <w:r>
        <w:rPr>
          <w:rFonts w:hint="eastAsia" w:ascii="宋体" w:hAnsi="宋体"/>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sz w:val="24"/>
        </w:rPr>
      </w:pPr>
      <w:r>
        <w:rPr>
          <w:rFonts w:hint="eastAsia" w:ascii="宋体" w:hAnsi="宋体"/>
          <w:sz w:val="24"/>
        </w:rPr>
        <w:t>7.2受损一方应在不可抗力事故发生后尽快用电报、传真或电传通知对方，并于事故发生后 14天内将有关部门出具的证明文件用特快专递或挂号信寄给对方审阅确认。</w:t>
      </w:r>
      <w:r>
        <w:rPr>
          <w:rFonts w:hint="eastAsia" w:ascii="宋体" w:hAnsi="宋体"/>
          <w:sz w:val="24"/>
          <w:u w:val="single"/>
        </w:rPr>
        <w:t>一旦不可抗力事故的影响持续 60天以上</w:t>
      </w:r>
      <w:r>
        <w:rPr>
          <w:rFonts w:hint="eastAsia" w:ascii="宋体" w:hAnsi="宋体"/>
          <w:sz w:val="24"/>
        </w:rPr>
        <w:t>，双方应通过友好协商，在合理的时间内达成进一步履行合同的协议。</w:t>
      </w:r>
    </w:p>
    <w:p>
      <w:pPr>
        <w:spacing w:line="360" w:lineRule="auto"/>
        <w:ind w:firstLine="480" w:firstLineChars="200"/>
        <w:rPr>
          <w:rFonts w:ascii="宋体" w:hAnsi="宋体"/>
          <w:sz w:val="24"/>
        </w:rPr>
      </w:pPr>
      <w:r>
        <w:rPr>
          <w:rFonts w:hint="eastAsia" w:ascii="宋体" w:hAnsi="宋体"/>
          <w:sz w:val="24"/>
        </w:rPr>
        <w:t>8.履约保证金</w:t>
      </w:r>
    </w:p>
    <w:p>
      <w:pPr>
        <w:spacing w:line="360" w:lineRule="auto"/>
        <w:ind w:firstLine="480" w:firstLineChars="200"/>
        <w:rPr>
          <w:rFonts w:ascii="宋体" w:hAnsi="宋体"/>
          <w:sz w:val="24"/>
        </w:rPr>
      </w:pPr>
      <w:r>
        <w:rPr>
          <w:rFonts w:hint="eastAsia" w:ascii="宋体" w:hAnsi="宋体"/>
          <w:sz w:val="24"/>
        </w:rPr>
        <w:t>8.1履约保证金的有效期至供货完毕且验收合格。</w:t>
      </w:r>
    </w:p>
    <w:p>
      <w:pPr>
        <w:spacing w:line="360" w:lineRule="auto"/>
        <w:ind w:firstLine="480" w:firstLineChars="200"/>
        <w:rPr>
          <w:rFonts w:ascii="宋体" w:hAnsi="宋体"/>
          <w:sz w:val="24"/>
        </w:rPr>
      </w:pPr>
      <w:r>
        <w:rPr>
          <w:rFonts w:hint="eastAsia" w:ascii="宋体" w:hAnsi="宋体"/>
          <w:sz w:val="24"/>
        </w:rPr>
        <w:t>8.2乙方提供的履约保证金按规定格式以现金、转帐支票、电汇的形式提供，与此有关的费用由乙方负担。</w:t>
      </w:r>
    </w:p>
    <w:p>
      <w:pPr>
        <w:spacing w:line="360" w:lineRule="auto"/>
        <w:ind w:firstLine="480" w:firstLineChars="200"/>
        <w:rPr>
          <w:rFonts w:ascii="宋体" w:hAnsi="宋体"/>
          <w:sz w:val="24"/>
        </w:rPr>
      </w:pPr>
      <w:r>
        <w:rPr>
          <w:rFonts w:hint="eastAsia" w:ascii="宋体" w:hAnsi="宋体"/>
          <w:sz w:val="24"/>
        </w:rPr>
        <w:t>8.3如果乙方未能按合同规定履行其义务，甲方有权从履约保证金取得补偿。</w:t>
      </w:r>
    </w:p>
    <w:p>
      <w:pPr>
        <w:spacing w:line="360" w:lineRule="auto"/>
        <w:ind w:firstLine="480" w:firstLineChars="200"/>
        <w:rPr>
          <w:rFonts w:ascii="宋体" w:hAnsi="宋体"/>
          <w:sz w:val="24"/>
        </w:rPr>
      </w:pPr>
      <w:r>
        <w:rPr>
          <w:rFonts w:hint="eastAsia" w:ascii="宋体" w:hAnsi="宋体"/>
          <w:sz w:val="24"/>
        </w:rPr>
        <w:t>9.争议的解决</w:t>
      </w:r>
    </w:p>
    <w:p>
      <w:pPr>
        <w:spacing w:line="360" w:lineRule="auto"/>
        <w:ind w:firstLine="480" w:firstLineChars="200"/>
        <w:rPr>
          <w:rFonts w:ascii="宋体" w:hAnsi="宋体"/>
          <w:sz w:val="24"/>
        </w:rPr>
      </w:pPr>
      <w:r>
        <w:rPr>
          <w:rFonts w:hint="eastAsia" w:ascii="宋体" w:hAnsi="宋体"/>
          <w:sz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sz w:val="24"/>
        </w:rPr>
      </w:pPr>
      <w:r>
        <w:rPr>
          <w:rFonts w:hint="eastAsia" w:ascii="宋体" w:hAnsi="宋体"/>
          <w:sz w:val="24"/>
        </w:rPr>
        <w:t>9.</w:t>
      </w:r>
      <w:r>
        <w:rPr>
          <w:rFonts w:ascii="宋体" w:hAnsi="宋体"/>
          <w:sz w:val="24"/>
        </w:rPr>
        <w:t>2</w:t>
      </w:r>
      <w:r>
        <w:rPr>
          <w:rFonts w:hint="eastAsia" w:ascii="宋体" w:hAnsi="宋体"/>
          <w:sz w:val="24"/>
        </w:rPr>
        <w:t>合同双方均为国内法人的，其争端的仲裁应由合同发生地许昌市仲裁委员会根据其仲裁程序进行。</w:t>
      </w:r>
    </w:p>
    <w:p>
      <w:pPr>
        <w:spacing w:line="360" w:lineRule="auto"/>
        <w:ind w:firstLine="480" w:firstLineChars="200"/>
        <w:rPr>
          <w:rFonts w:ascii="宋体" w:hAnsi="宋体"/>
          <w:sz w:val="24"/>
        </w:rPr>
      </w:pPr>
      <w:r>
        <w:rPr>
          <w:rFonts w:hint="eastAsia" w:ascii="宋体" w:hAnsi="宋体"/>
          <w:sz w:val="24"/>
        </w:rPr>
        <w:t>9.3 仲裁裁决应为最终决定，并对双方具有约束力。</w:t>
      </w:r>
    </w:p>
    <w:p>
      <w:pPr>
        <w:spacing w:line="360" w:lineRule="auto"/>
        <w:ind w:firstLine="480" w:firstLineChars="200"/>
        <w:rPr>
          <w:rFonts w:ascii="宋体" w:hAnsi="宋体"/>
          <w:sz w:val="24"/>
        </w:rPr>
      </w:pPr>
      <w:r>
        <w:rPr>
          <w:rFonts w:hint="eastAsia" w:ascii="宋体" w:hAnsi="宋体"/>
          <w:sz w:val="24"/>
        </w:rPr>
        <w:t>9.4 除另有裁决外，仲裁费应由败诉方负担。</w:t>
      </w:r>
    </w:p>
    <w:p>
      <w:pPr>
        <w:spacing w:line="360" w:lineRule="auto"/>
        <w:ind w:firstLine="480" w:firstLineChars="200"/>
        <w:rPr>
          <w:rFonts w:ascii="宋体" w:hAnsi="宋体"/>
          <w:sz w:val="24"/>
        </w:rPr>
      </w:pPr>
      <w:r>
        <w:rPr>
          <w:rFonts w:hint="eastAsia" w:ascii="宋体" w:hAnsi="宋体"/>
          <w:sz w:val="24"/>
        </w:rPr>
        <w:t>9.5 在仲裁期间，除正在进行的仲裁部分外，合同其他部分继续执行。</w:t>
      </w:r>
    </w:p>
    <w:p>
      <w:pPr>
        <w:spacing w:line="360" w:lineRule="auto"/>
        <w:ind w:firstLine="480" w:firstLineChars="200"/>
        <w:rPr>
          <w:rFonts w:ascii="宋体" w:hAnsi="宋体"/>
          <w:sz w:val="24"/>
        </w:rPr>
      </w:pPr>
      <w:r>
        <w:rPr>
          <w:rFonts w:hint="eastAsia" w:ascii="宋体" w:hAnsi="宋体"/>
          <w:sz w:val="24"/>
        </w:rPr>
        <w:t>10.合同终止</w:t>
      </w:r>
    </w:p>
    <w:p>
      <w:pPr>
        <w:spacing w:line="360" w:lineRule="auto"/>
        <w:ind w:firstLine="480" w:firstLineChars="200"/>
        <w:rPr>
          <w:rFonts w:ascii="宋体" w:hAnsi="宋体"/>
          <w:sz w:val="24"/>
        </w:rPr>
      </w:pPr>
      <w:r>
        <w:rPr>
          <w:rFonts w:hint="eastAsia" w:ascii="宋体" w:hAnsi="宋体"/>
          <w:sz w:val="24"/>
        </w:rPr>
        <w:t>10.1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sz w:val="24"/>
        </w:rPr>
      </w:pPr>
      <w:r>
        <w:rPr>
          <w:rFonts w:hint="eastAsia" w:ascii="宋体" w:hAnsi="宋体"/>
          <w:sz w:val="24"/>
        </w:rPr>
        <w:t>10.2 出现下列情况时合同自动终止：</w:t>
      </w:r>
    </w:p>
    <w:p>
      <w:pPr>
        <w:spacing w:line="360" w:lineRule="auto"/>
        <w:ind w:firstLine="480" w:firstLineChars="200"/>
        <w:rPr>
          <w:rFonts w:ascii="宋体" w:hAnsi="宋体"/>
          <w:sz w:val="24"/>
        </w:rPr>
      </w:pPr>
      <w:r>
        <w:rPr>
          <w:rFonts w:hint="eastAsia" w:ascii="宋体" w:hAnsi="宋体"/>
          <w:sz w:val="24"/>
        </w:rPr>
        <w:t>10.2.1发生不可抗力时。</w:t>
      </w:r>
    </w:p>
    <w:p>
      <w:pPr>
        <w:spacing w:line="360" w:lineRule="auto"/>
        <w:ind w:firstLine="480" w:firstLineChars="200"/>
        <w:rPr>
          <w:rFonts w:ascii="宋体" w:hAnsi="宋体"/>
          <w:sz w:val="24"/>
        </w:rPr>
      </w:pPr>
      <w:r>
        <w:rPr>
          <w:rFonts w:hint="eastAsia" w:ascii="宋体" w:hAnsi="宋体"/>
          <w:sz w:val="24"/>
        </w:rPr>
        <w:t>10.2.2一方不履行合同条款，造成另一方无法执行合同协议，协商又不能求得解决，合同终止，责任方赔偿损失。</w:t>
      </w:r>
    </w:p>
    <w:p>
      <w:pPr>
        <w:spacing w:line="360" w:lineRule="auto"/>
        <w:ind w:firstLine="480" w:firstLineChars="200"/>
        <w:rPr>
          <w:rFonts w:ascii="宋体" w:hAnsi="宋体"/>
          <w:sz w:val="24"/>
        </w:rPr>
      </w:pPr>
      <w:r>
        <w:rPr>
          <w:rFonts w:hint="eastAsia" w:ascii="宋体" w:hAnsi="宋体"/>
          <w:sz w:val="24"/>
        </w:rPr>
        <w:t>11.合同修改</w:t>
      </w:r>
    </w:p>
    <w:p>
      <w:pPr>
        <w:spacing w:line="360" w:lineRule="auto"/>
        <w:ind w:firstLine="480" w:firstLineChars="200"/>
        <w:rPr>
          <w:rFonts w:ascii="宋体" w:hAnsi="宋体"/>
          <w:sz w:val="24"/>
        </w:rPr>
      </w:pPr>
      <w:r>
        <w:rPr>
          <w:rFonts w:hint="eastAsia" w:ascii="宋体" w:hAnsi="宋体"/>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sz w:val="24"/>
        </w:rPr>
      </w:pPr>
      <w:r>
        <w:rPr>
          <w:rFonts w:hint="eastAsia" w:ascii="宋体" w:hAnsi="宋体"/>
          <w:sz w:val="24"/>
        </w:rPr>
        <w:t>12.适用法律</w:t>
      </w:r>
    </w:p>
    <w:p>
      <w:pPr>
        <w:spacing w:line="360" w:lineRule="auto"/>
        <w:ind w:firstLine="480" w:firstLineChars="200"/>
        <w:rPr>
          <w:rFonts w:ascii="宋体" w:hAnsi="宋体"/>
          <w:sz w:val="24"/>
        </w:rPr>
      </w:pPr>
      <w:r>
        <w:rPr>
          <w:rFonts w:hint="eastAsia" w:ascii="宋体" w:hAnsi="宋体"/>
          <w:sz w:val="24"/>
        </w:rPr>
        <w:t>本合同应按中华人民共和国的法律解释。</w:t>
      </w:r>
    </w:p>
    <w:p>
      <w:pPr>
        <w:spacing w:line="360" w:lineRule="auto"/>
        <w:ind w:firstLine="480" w:firstLineChars="200"/>
        <w:rPr>
          <w:rFonts w:ascii="宋体" w:hAnsi="宋体"/>
          <w:sz w:val="24"/>
        </w:rPr>
      </w:pPr>
      <w:r>
        <w:rPr>
          <w:rFonts w:hint="eastAsia" w:ascii="宋体" w:hAnsi="宋体"/>
          <w:sz w:val="24"/>
        </w:rPr>
        <w:t>13.主导语言与计量单位</w:t>
      </w:r>
    </w:p>
    <w:p>
      <w:pPr>
        <w:spacing w:line="360" w:lineRule="auto"/>
        <w:ind w:firstLine="480" w:firstLineChars="200"/>
        <w:rPr>
          <w:rFonts w:ascii="宋体" w:hAnsi="宋体"/>
          <w:sz w:val="24"/>
        </w:rPr>
      </w:pPr>
      <w:r>
        <w:rPr>
          <w:rFonts w:hint="eastAsia" w:ascii="宋体" w:hAnsi="宋体"/>
          <w:sz w:val="24"/>
        </w:rPr>
        <w:t>13.1 合同书写应用中文书写。合同五份，甲乙双方及采购代理机构和许昌市政府采购管理办公室及相关业务科室（备案）各执一份，具有同等法律效力。</w:t>
      </w:r>
    </w:p>
    <w:p>
      <w:pPr>
        <w:spacing w:line="360" w:lineRule="auto"/>
        <w:ind w:firstLine="480" w:firstLineChars="200"/>
        <w:rPr>
          <w:rFonts w:ascii="宋体" w:hAnsi="宋体"/>
          <w:sz w:val="24"/>
        </w:rPr>
      </w:pPr>
      <w:r>
        <w:rPr>
          <w:rFonts w:hint="eastAsia" w:ascii="宋体" w:hAnsi="宋体"/>
          <w:sz w:val="24"/>
        </w:rPr>
        <w:t>13.2 除技术规格另有规定外，计量单位均使用中华人民共和国法定计量单位。</w:t>
      </w:r>
    </w:p>
    <w:p>
      <w:pPr>
        <w:spacing w:line="360" w:lineRule="auto"/>
        <w:ind w:firstLine="480" w:firstLineChars="200"/>
        <w:rPr>
          <w:rFonts w:ascii="宋体" w:hAnsi="宋体"/>
          <w:sz w:val="24"/>
        </w:rPr>
      </w:pPr>
      <w:r>
        <w:rPr>
          <w:rFonts w:hint="eastAsia" w:ascii="宋体" w:hAnsi="宋体"/>
          <w:sz w:val="24"/>
        </w:rPr>
        <w:t>14.合同生效</w:t>
      </w:r>
    </w:p>
    <w:p>
      <w:pPr>
        <w:pStyle w:val="13"/>
        <w:spacing w:line="360" w:lineRule="auto"/>
        <w:contextualSpacing/>
        <w:jc w:val="left"/>
        <w:rPr>
          <w:rFonts w:ascii="宋体" w:hAnsi="宋体" w:cs="宋体"/>
          <w:b/>
          <w:kern w:val="0"/>
          <w:sz w:val="21"/>
          <w:szCs w:val="21"/>
        </w:rPr>
      </w:pPr>
      <w:r>
        <w:rPr>
          <w:rFonts w:hint="eastAsia" w:ascii="宋体" w:hAnsi="宋体"/>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jc w:val="left"/>
        <w:rPr>
          <w:rStyle w:val="29"/>
          <w:rFonts w:ascii="宋体" w:hAnsi="宋体" w:eastAsia="宋体"/>
        </w:rPr>
      </w:pPr>
      <w:r>
        <w:rPr>
          <w:rStyle w:val="29"/>
          <w:rFonts w:hint="eastAsia" w:ascii="宋体" w:hAnsi="宋体" w:eastAsia="宋体"/>
        </w:rPr>
        <w:t>投标文件封皮格式</w:t>
      </w:r>
      <w:bookmarkStart w:id="2" w:name="_Toc14398"/>
      <w:bookmarkStart w:id="3" w:name="_Toc12595"/>
      <w:bookmarkStart w:id="4" w:name="_Toc16238"/>
      <w:bookmarkStart w:id="5" w:name="_Toc5131"/>
    </w:p>
    <w:p>
      <w:pPr>
        <w:pStyle w:val="2"/>
        <w:ind w:firstLine="340"/>
      </w:pPr>
    </w:p>
    <w:p>
      <w:pPr>
        <w:jc w:val="right"/>
        <w:rPr>
          <w:rStyle w:val="29"/>
          <w:rFonts w:ascii="宋体" w:hAnsi="宋体" w:eastAsia="宋体"/>
        </w:rPr>
      </w:pPr>
      <w:r>
        <w:rPr>
          <w:rStyle w:val="29"/>
          <w:rFonts w:hint="eastAsia" w:ascii="宋体" w:hAnsi="宋体" w:eastAsia="宋体"/>
        </w:rPr>
        <w:t>正本/副本</w:t>
      </w:r>
    </w:p>
    <w:bookmarkEnd w:id="2"/>
    <w:bookmarkEnd w:id="3"/>
    <w:bookmarkEnd w:id="4"/>
    <w:bookmarkEnd w:id="5"/>
    <w:p>
      <w:pPr>
        <w:jc w:val="left"/>
        <w:rPr>
          <w:rStyle w:val="29"/>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cs="黑体"/>
          <w:b/>
          <w:bCs/>
          <w:sz w:val="44"/>
          <w:szCs w:val="44"/>
          <w:lang w:val="zh-CN"/>
        </w:rPr>
      </w:pPr>
      <w:r>
        <w:rPr>
          <w:rFonts w:hint="eastAsia" w:ascii="宋体" w:hAnsi="宋体" w:eastAsia="宋体" w:cs="微软雅黑"/>
          <w:sz w:val="28"/>
          <w:szCs w:val="28"/>
        </w:rPr>
        <w:t>年  月  日</w:t>
      </w:r>
    </w:p>
    <w:p>
      <w:pPr>
        <w:pStyle w:val="2"/>
        <w:ind w:firstLine="340"/>
      </w:pP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86274126"/>
      <w:bookmarkStart w:id="7" w:name="_Toc174185203"/>
      <w:bookmarkStart w:id="8" w:name="_Toc184023138"/>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sz w:val="21"/>
                <w:szCs w:val="21"/>
              </w:rPr>
            </w:pPr>
            <w:r>
              <w:rPr>
                <w:rFonts w:hint="eastAsia" w:hAnsi="宋体"/>
                <w:kern w:val="0"/>
                <w:sz w:val="21"/>
                <w:szCs w:val="21"/>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纳税凭据复印件</w:t>
            </w:r>
          </w:p>
        </w:tc>
        <w:tc>
          <w:tcPr>
            <w:tcW w:w="1559" w:type="dxa"/>
            <w:vAlign w:val="center"/>
          </w:tcPr>
          <w:p>
            <w:pPr>
              <w:pStyle w:val="13"/>
              <w:rPr>
                <w:rFonts w:ascii="宋体" w:hAnsi="宋体" w:cs="微软雅黑"/>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服务承诺</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项目班子配备</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服务期 （年）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注：交付日期指完成该项目的最终时间。</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pStyle w:val="2"/>
        <w:ind w:firstLine="340"/>
        <w:rPr>
          <w:lang w:val="zh-CN"/>
        </w:rPr>
      </w:pPr>
    </w:p>
    <w:p>
      <w:pPr>
        <w:pStyle w:val="2"/>
        <w:ind w:firstLine="340"/>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投标人法定代表人（或法定代表人授权代表）签字或盖章：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1"/>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1"/>
        <w:spacing w:line="480" w:lineRule="auto"/>
        <w:ind w:firstLine="472" w:firstLineChars="225"/>
        <w:jc w:val="left"/>
        <w:rPr>
          <w:rFonts w:asciiTheme="minorEastAsia" w:hAnsiTheme="minorEastAsia"/>
          <w:sz w:val="21"/>
          <w:szCs w:val="21"/>
        </w:rPr>
      </w:pPr>
    </w:p>
    <w:p>
      <w:pPr>
        <w:pStyle w:val="41"/>
        <w:spacing w:line="480" w:lineRule="auto"/>
        <w:ind w:firstLine="472" w:firstLineChars="225"/>
        <w:jc w:val="left"/>
        <w:rPr>
          <w:rFonts w:asciiTheme="minorEastAsia" w:hAnsiTheme="minorEastAsia"/>
          <w:sz w:val="21"/>
          <w:szCs w:val="21"/>
        </w:rPr>
      </w:pPr>
    </w:p>
    <w:p>
      <w:pPr>
        <w:pStyle w:val="41"/>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1"/>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pPr>
        <w:pStyle w:val="44"/>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3"/>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法定代表人授权代表：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9" w:name="_资格证明文件"/>
            <w:bookmarkEnd w:id="9"/>
            <w:bookmarkStart w:id="10" w:name="_Toc364329026"/>
            <w:r>
              <w:rPr>
                <w:rFonts w:hint="eastAsia" w:asciiTheme="minorEastAsia" w:hAnsiTheme="minorEastAsia"/>
                <w:szCs w:val="21"/>
              </w:rPr>
              <w:t>法定代表人授权代表身份证（正面）</w:t>
            </w:r>
            <w:bookmarkEnd w:id="10"/>
          </w:p>
        </w:tc>
        <w:tc>
          <w:tcPr>
            <w:tcW w:w="4492" w:type="dxa"/>
            <w:gridSpan w:val="2"/>
            <w:vAlign w:val="center"/>
          </w:tcPr>
          <w:p>
            <w:pPr>
              <w:jc w:val="center"/>
              <w:rPr>
                <w:rFonts w:asciiTheme="minorEastAsia" w:hAnsiTheme="minorEastAsia"/>
                <w:szCs w:val="21"/>
              </w:rPr>
            </w:pPr>
            <w:bookmarkStart w:id="11" w:name="_Toc364329027"/>
            <w:r>
              <w:rPr>
                <w:rFonts w:hint="eastAsia" w:asciiTheme="minorEastAsia" w:hAnsiTheme="minorEastAsia"/>
                <w:szCs w:val="21"/>
              </w:rPr>
              <w:t>法定代表人授权代表身份证（反面）</w:t>
            </w:r>
            <w:bookmarkEnd w:id="11"/>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156" w:beforeLines="50" w:after="156" w:afterLines="50"/>
        <w:jc w:val="center"/>
        <w:rPr>
          <w:rFonts w:ascii="宋体" w:hAnsi="宋体" w:cs="Arial"/>
          <w:kern w:val="0"/>
          <w:sz w:val="28"/>
          <w:szCs w:val="28"/>
        </w:rPr>
      </w:pPr>
      <w:r>
        <w:rPr>
          <w:rFonts w:hint="eastAsia" w:ascii="宋体" w:hAnsi="宋体" w:cs="Arial"/>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w:t>
      </w:r>
      <w:r>
        <w:rPr>
          <w:rFonts w:ascii="宋体" w:hAnsi="宋体"/>
          <w:b/>
          <w:bCs/>
          <w:sz w:val="24"/>
          <w:szCs w:val="24"/>
        </w:rPr>
        <w:t xml:space="preserve"> </w:t>
      </w:r>
      <w:r>
        <w:rPr>
          <w:rFonts w:hint="eastAsia" w:ascii="宋体" w:hAnsi="宋体"/>
          <w:b/>
          <w:bCs/>
          <w:sz w:val="24"/>
          <w:szCs w:val="24"/>
        </w:rPr>
        <w:t>服务承诺</w:t>
      </w:r>
    </w:p>
    <w:p>
      <w:pPr>
        <w:autoSpaceDE w:val="0"/>
        <w:autoSpaceDN w:val="0"/>
        <w:adjustRightInd w:val="0"/>
        <w:spacing w:line="360" w:lineRule="auto"/>
        <w:jc w:val="center"/>
        <w:rPr>
          <w:rFonts w:cs="宋体" w:asciiTheme="minorEastAsia" w:hAnsiTheme="minorEastAsia"/>
          <w:szCs w:val="21"/>
          <w:lang w:val="zh-CN"/>
        </w:rPr>
      </w:pPr>
      <w:bookmarkStart w:id="12" w:name="_Hlk530996322"/>
      <w:r>
        <w:rPr>
          <w:rFonts w:hint="eastAsia" w:cs="宋体" w:asciiTheme="minorEastAsia" w:hAnsiTheme="minorEastAsia"/>
          <w:szCs w:val="21"/>
          <w:lang w:val="zh-CN"/>
        </w:rPr>
        <w:t>（投标人根据招标文件要求自行编制。）</w:t>
      </w:r>
      <w:bookmarkEnd w:id="12"/>
    </w:p>
    <w:p>
      <w:pPr>
        <w:spacing w:after="156" w:afterLines="50" w:line="320" w:lineRule="exact"/>
        <w:rPr>
          <w:rFonts w:ascii="宋体" w:hAnsi="宋体" w:cs="Arial"/>
          <w:sz w:val="24"/>
          <w:szCs w:val="24"/>
        </w:rPr>
      </w:pPr>
    </w:p>
    <w:p>
      <w:pPr>
        <w:pStyle w:val="2"/>
        <w:ind w:firstLine="340"/>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w:t>
      </w:r>
      <w:r>
        <w:rPr>
          <w:rFonts w:ascii="宋体" w:hAnsi="宋体"/>
          <w:b/>
          <w:bCs/>
          <w:sz w:val="24"/>
          <w:szCs w:val="24"/>
        </w:rPr>
        <w:t xml:space="preserve"> </w:t>
      </w:r>
      <w:r>
        <w:rPr>
          <w:rFonts w:hint="eastAsia" w:ascii="宋体" w:hAnsi="宋体"/>
          <w:b/>
          <w:bCs/>
          <w:sz w:val="24"/>
          <w:szCs w:val="24"/>
        </w:rPr>
        <w:t>技术方案</w:t>
      </w:r>
    </w:p>
    <w:p>
      <w:pPr>
        <w:pStyle w:val="2"/>
        <w:ind w:firstLine="210"/>
        <w:jc w:val="center"/>
        <w:rPr>
          <w:sz w:val="21"/>
          <w:szCs w:val="21"/>
        </w:rPr>
      </w:pPr>
      <w:r>
        <w:rPr>
          <w:rFonts w:hint="eastAsia"/>
          <w:sz w:val="21"/>
          <w:szCs w:val="21"/>
        </w:rPr>
        <w:t>（投标人根据招标文件要求自行编制。）</w:t>
      </w:r>
    </w:p>
    <w:p>
      <w:pPr>
        <w:pStyle w:val="2"/>
        <w:ind w:firstLine="0" w:firstLineChars="0"/>
        <w:rPr>
          <w:sz w:val="21"/>
          <w:szCs w:val="21"/>
        </w:rPr>
      </w:pPr>
    </w:p>
    <w:p>
      <w:pPr>
        <w:pStyle w:val="2"/>
        <w:ind w:firstLine="0" w:firstLineChars="0"/>
        <w:rPr>
          <w:sz w:val="21"/>
          <w:szCs w:val="21"/>
        </w:rPr>
      </w:pPr>
    </w:p>
    <w:p>
      <w:pPr>
        <w:pStyle w:val="2"/>
        <w:ind w:firstLine="0" w:firstLineChars="0"/>
        <w:jc w:val="center"/>
        <w:rPr>
          <w:rFonts w:cs="宋体"/>
          <w:b/>
          <w:sz w:val="24"/>
        </w:rPr>
      </w:pPr>
      <w:r>
        <w:rPr>
          <w:rFonts w:hint="eastAsia" w:cs="宋体"/>
          <w:b/>
          <w:sz w:val="24"/>
        </w:rPr>
        <w:t>4.3项目班子配备</w:t>
      </w:r>
    </w:p>
    <w:p>
      <w:pPr>
        <w:pStyle w:val="2"/>
        <w:ind w:firstLine="0" w:firstLineChars="0"/>
        <w:jc w:val="center"/>
        <w:rPr>
          <w:sz w:val="21"/>
          <w:szCs w:val="21"/>
        </w:rPr>
      </w:pPr>
      <w:r>
        <w:rPr>
          <w:rFonts w:hint="eastAsia" w:cs="宋体"/>
          <w:sz w:val="24"/>
        </w:rPr>
        <w:t>（投标人须提供项目组织机构、项目负责人、技术负责人、维保人员一览表，格式自拟）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w:t>
      </w:r>
      <w:r>
        <w:rPr>
          <w:rFonts w:ascii="宋体" w:hAnsi="宋体"/>
          <w:b/>
          <w:bCs/>
          <w:sz w:val="24"/>
          <w:szCs w:val="24"/>
        </w:rPr>
        <w:t xml:space="preserve"> </w:t>
      </w:r>
      <w:r>
        <w:rPr>
          <w:rFonts w:hint="eastAsia" w:ascii="宋体" w:hAnsi="宋体"/>
          <w:b/>
          <w:bCs/>
          <w:sz w:val="24"/>
          <w:szCs w:val="24"/>
        </w:rPr>
        <w:t>业绩情况表</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w:t>
      </w:r>
      <w:r>
        <w:rPr>
          <w:rFonts w:ascii="宋体" w:hAnsi="宋体"/>
          <w:b/>
          <w:bCs/>
          <w:sz w:val="24"/>
          <w:szCs w:val="24"/>
        </w:rPr>
        <w:t xml:space="preserve"> </w:t>
      </w:r>
      <w:r>
        <w:rPr>
          <w:rFonts w:hint="eastAsia" w:ascii="宋体" w:hAnsi="宋体"/>
          <w:b/>
          <w:bCs/>
          <w:sz w:val="24"/>
          <w:szCs w:val="24"/>
        </w:rPr>
        <w:t>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szCs w:val="21"/>
        </w:rPr>
      </w:pPr>
    </w:p>
    <w:p>
      <w:pPr>
        <w:widowControl/>
        <w:spacing w:before="100" w:beforeAutospacing="1" w:after="100" w:afterAutospacing="1" w:line="360" w:lineRule="auto"/>
        <w:jc w:val="left"/>
        <w:rPr>
          <w:rFonts w:ascii="宋体" w:hAnsi="宋体"/>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bookmarkStart w:id="13" w:name="OLE_LINK13"/>
      <w:bookmarkStart w:id="14" w:name="OLE_LINK14"/>
      <w:r>
        <w:rPr>
          <w:rFonts w:hint="eastAsia" w:ascii="宋体" w:hAnsi="宋体"/>
          <w:b/>
          <w:bCs/>
          <w:sz w:val="24"/>
          <w:szCs w:val="24"/>
        </w:rPr>
        <w:t>4.6</w:t>
      </w:r>
      <w:r>
        <w:rPr>
          <w:rFonts w:ascii="宋体" w:hAnsi="宋体"/>
          <w:b/>
          <w:bCs/>
          <w:sz w:val="24"/>
          <w:szCs w:val="24"/>
        </w:rPr>
        <w:t xml:space="preserve"> </w:t>
      </w:r>
      <w:r>
        <w:rPr>
          <w:rFonts w:hint="eastAsia" w:ascii="宋体" w:hAnsi="宋体"/>
          <w:b/>
          <w:bCs/>
          <w:sz w:val="24"/>
          <w:szCs w:val="24"/>
        </w:rPr>
        <w:t>残疾人福利性单位声明函</w:t>
      </w:r>
    </w:p>
    <w:bookmarkEnd w:id="13"/>
    <w:bookmarkEnd w:id="14"/>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微软简隶书">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2050" o:spid="_x0000_s2050"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59F817E8"/>
    <w:multiLevelType w:val="singleLevel"/>
    <w:tmpl w:val="59F817E8"/>
    <w:lvl w:ilvl="0" w:tentative="0">
      <w:start w:val="1"/>
      <w:numFmt w:val="chineseCounting"/>
      <w:pStyle w:val="50"/>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4"/>
  </w:num>
  <w:num w:numId="4">
    <w:abstractNumId w:val="13"/>
  </w:num>
  <w:num w:numId="5">
    <w:abstractNumId w:val="7"/>
  </w:num>
  <w:num w:numId="6">
    <w:abstractNumId w:val="15"/>
  </w:num>
  <w:num w:numId="7">
    <w:abstractNumId w:val="16"/>
  </w:num>
  <w:num w:numId="8">
    <w:abstractNumId w:val="11"/>
  </w:num>
  <w:num w:numId="9">
    <w:abstractNumId w:val="8"/>
  </w:num>
  <w:num w:numId="10">
    <w:abstractNumId w:val="4"/>
  </w:num>
  <w:num w:numId="11">
    <w:abstractNumId w:val="5"/>
  </w:num>
  <w:num w:numId="12">
    <w:abstractNumId w:val="18"/>
  </w:num>
  <w:num w:numId="13">
    <w:abstractNumId w:val="10"/>
  </w:num>
  <w:num w:numId="14">
    <w:abstractNumId w:val="17"/>
  </w:num>
  <w:num w:numId="15">
    <w:abstractNumId w:val="3"/>
  </w:num>
  <w:num w:numId="16">
    <w:abstractNumId w:val="6"/>
  </w:num>
  <w:num w:numId="17">
    <w:abstractNumId w:val="12"/>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20A3"/>
    <w:rsid w:val="00000A27"/>
    <w:rsid w:val="000043E4"/>
    <w:rsid w:val="000108F5"/>
    <w:rsid w:val="0001129F"/>
    <w:rsid w:val="00012712"/>
    <w:rsid w:val="000178D4"/>
    <w:rsid w:val="00020353"/>
    <w:rsid w:val="00022000"/>
    <w:rsid w:val="00022021"/>
    <w:rsid w:val="00022F6F"/>
    <w:rsid w:val="000300B0"/>
    <w:rsid w:val="000318E9"/>
    <w:rsid w:val="0003238A"/>
    <w:rsid w:val="00033D27"/>
    <w:rsid w:val="00034324"/>
    <w:rsid w:val="00043AD1"/>
    <w:rsid w:val="00046E36"/>
    <w:rsid w:val="00050434"/>
    <w:rsid w:val="000554D6"/>
    <w:rsid w:val="00061EBD"/>
    <w:rsid w:val="00066076"/>
    <w:rsid w:val="00074086"/>
    <w:rsid w:val="00076053"/>
    <w:rsid w:val="00086AFB"/>
    <w:rsid w:val="000938BE"/>
    <w:rsid w:val="000A7A0E"/>
    <w:rsid w:val="000B0281"/>
    <w:rsid w:val="000B0639"/>
    <w:rsid w:val="000B1380"/>
    <w:rsid w:val="000B76FE"/>
    <w:rsid w:val="000C016B"/>
    <w:rsid w:val="000C15AC"/>
    <w:rsid w:val="000C5472"/>
    <w:rsid w:val="000C6661"/>
    <w:rsid w:val="000D0962"/>
    <w:rsid w:val="000D24B4"/>
    <w:rsid w:val="000D3714"/>
    <w:rsid w:val="000D4F8E"/>
    <w:rsid w:val="000D56C3"/>
    <w:rsid w:val="000E102E"/>
    <w:rsid w:val="000F3964"/>
    <w:rsid w:val="000F53A1"/>
    <w:rsid w:val="001135F0"/>
    <w:rsid w:val="00113A6C"/>
    <w:rsid w:val="00114F7B"/>
    <w:rsid w:val="00116F79"/>
    <w:rsid w:val="00126F2E"/>
    <w:rsid w:val="001309C7"/>
    <w:rsid w:val="0013622E"/>
    <w:rsid w:val="001368E9"/>
    <w:rsid w:val="00137A21"/>
    <w:rsid w:val="001413B0"/>
    <w:rsid w:val="0014292A"/>
    <w:rsid w:val="00144ABF"/>
    <w:rsid w:val="001453AC"/>
    <w:rsid w:val="0014609A"/>
    <w:rsid w:val="00157BFD"/>
    <w:rsid w:val="001611DC"/>
    <w:rsid w:val="0016162A"/>
    <w:rsid w:val="00162961"/>
    <w:rsid w:val="0017046B"/>
    <w:rsid w:val="001729F5"/>
    <w:rsid w:val="00175E00"/>
    <w:rsid w:val="001812E3"/>
    <w:rsid w:val="001858C1"/>
    <w:rsid w:val="0019137B"/>
    <w:rsid w:val="001A1B6C"/>
    <w:rsid w:val="001A3DE4"/>
    <w:rsid w:val="001B3201"/>
    <w:rsid w:val="001B3B1F"/>
    <w:rsid w:val="001B3FA7"/>
    <w:rsid w:val="001B5D03"/>
    <w:rsid w:val="001C128F"/>
    <w:rsid w:val="001C1E92"/>
    <w:rsid w:val="001D0306"/>
    <w:rsid w:val="001D1F28"/>
    <w:rsid w:val="001D2862"/>
    <w:rsid w:val="001D6381"/>
    <w:rsid w:val="001D6D29"/>
    <w:rsid w:val="001E3E55"/>
    <w:rsid w:val="00201F94"/>
    <w:rsid w:val="002039E8"/>
    <w:rsid w:val="00204F49"/>
    <w:rsid w:val="00212A04"/>
    <w:rsid w:val="00220941"/>
    <w:rsid w:val="00220A8C"/>
    <w:rsid w:val="00221BB1"/>
    <w:rsid w:val="00230051"/>
    <w:rsid w:val="00234499"/>
    <w:rsid w:val="00235DB3"/>
    <w:rsid w:val="002373EF"/>
    <w:rsid w:val="002408D3"/>
    <w:rsid w:val="002447F3"/>
    <w:rsid w:val="00247D4B"/>
    <w:rsid w:val="00247EBC"/>
    <w:rsid w:val="00251DBD"/>
    <w:rsid w:val="0025286F"/>
    <w:rsid w:val="0025438E"/>
    <w:rsid w:val="002557F6"/>
    <w:rsid w:val="00257170"/>
    <w:rsid w:val="00257C0C"/>
    <w:rsid w:val="00257C27"/>
    <w:rsid w:val="002644FB"/>
    <w:rsid w:val="00267E72"/>
    <w:rsid w:val="00274792"/>
    <w:rsid w:val="00274F8B"/>
    <w:rsid w:val="00282D0F"/>
    <w:rsid w:val="002856D5"/>
    <w:rsid w:val="002A15BC"/>
    <w:rsid w:val="002A4363"/>
    <w:rsid w:val="002A4A94"/>
    <w:rsid w:val="002A5218"/>
    <w:rsid w:val="002C2F9E"/>
    <w:rsid w:val="002C71AF"/>
    <w:rsid w:val="002D086E"/>
    <w:rsid w:val="002D5CAA"/>
    <w:rsid w:val="002E3710"/>
    <w:rsid w:val="002E410B"/>
    <w:rsid w:val="002E671A"/>
    <w:rsid w:val="002F56B1"/>
    <w:rsid w:val="002F68B9"/>
    <w:rsid w:val="00300379"/>
    <w:rsid w:val="00301814"/>
    <w:rsid w:val="00304216"/>
    <w:rsid w:val="00305973"/>
    <w:rsid w:val="00307037"/>
    <w:rsid w:val="003103B1"/>
    <w:rsid w:val="00313750"/>
    <w:rsid w:val="003149D4"/>
    <w:rsid w:val="00315BEB"/>
    <w:rsid w:val="003176AD"/>
    <w:rsid w:val="00322385"/>
    <w:rsid w:val="00323554"/>
    <w:rsid w:val="00323B0A"/>
    <w:rsid w:val="00325EC7"/>
    <w:rsid w:val="003315A3"/>
    <w:rsid w:val="00333DA4"/>
    <w:rsid w:val="0033593F"/>
    <w:rsid w:val="00336C58"/>
    <w:rsid w:val="00337220"/>
    <w:rsid w:val="00355A48"/>
    <w:rsid w:val="00360D44"/>
    <w:rsid w:val="00361029"/>
    <w:rsid w:val="00361EF7"/>
    <w:rsid w:val="00365D02"/>
    <w:rsid w:val="0037403C"/>
    <w:rsid w:val="0038011A"/>
    <w:rsid w:val="00380D7C"/>
    <w:rsid w:val="00383B76"/>
    <w:rsid w:val="00384D2C"/>
    <w:rsid w:val="003A1563"/>
    <w:rsid w:val="003A1CDD"/>
    <w:rsid w:val="003B47AA"/>
    <w:rsid w:val="003B602C"/>
    <w:rsid w:val="003B6371"/>
    <w:rsid w:val="003C6456"/>
    <w:rsid w:val="003D2B2F"/>
    <w:rsid w:val="003D3FB5"/>
    <w:rsid w:val="003E149A"/>
    <w:rsid w:val="003E2DBE"/>
    <w:rsid w:val="003E60D9"/>
    <w:rsid w:val="00403846"/>
    <w:rsid w:val="0040787D"/>
    <w:rsid w:val="0041124B"/>
    <w:rsid w:val="00412829"/>
    <w:rsid w:val="00414486"/>
    <w:rsid w:val="00415A4E"/>
    <w:rsid w:val="00417373"/>
    <w:rsid w:val="004212CB"/>
    <w:rsid w:val="0042172E"/>
    <w:rsid w:val="004226E9"/>
    <w:rsid w:val="00425942"/>
    <w:rsid w:val="00436090"/>
    <w:rsid w:val="0043763F"/>
    <w:rsid w:val="00445971"/>
    <w:rsid w:val="00447141"/>
    <w:rsid w:val="00453CFB"/>
    <w:rsid w:val="0045627E"/>
    <w:rsid w:val="00471D9E"/>
    <w:rsid w:val="0048788B"/>
    <w:rsid w:val="004A3EBE"/>
    <w:rsid w:val="004B2239"/>
    <w:rsid w:val="004B22D3"/>
    <w:rsid w:val="004B6F46"/>
    <w:rsid w:val="004B7646"/>
    <w:rsid w:val="004C3729"/>
    <w:rsid w:val="004C3977"/>
    <w:rsid w:val="004C488A"/>
    <w:rsid w:val="004D339F"/>
    <w:rsid w:val="004E2C91"/>
    <w:rsid w:val="004E5ED0"/>
    <w:rsid w:val="004E6481"/>
    <w:rsid w:val="004F1DBB"/>
    <w:rsid w:val="004F5BE4"/>
    <w:rsid w:val="005020CD"/>
    <w:rsid w:val="00502AD2"/>
    <w:rsid w:val="00504542"/>
    <w:rsid w:val="00512A12"/>
    <w:rsid w:val="00515675"/>
    <w:rsid w:val="00521E2C"/>
    <w:rsid w:val="00522091"/>
    <w:rsid w:val="00522697"/>
    <w:rsid w:val="0053759D"/>
    <w:rsid w:val="00544270"/>
    <w:rsid w:val="00547C51"/>
    <w:rsid w:val="005549F8"/>
    <w:rsid w:val="005615A7"/>
    <w:rsid w:val="00561C5B"/>
    <w:rsid w:val="00565552"/>
    <w:rsid w:val="00573D06"/>
    <w:rsid w:val="00574864"/>
    <w:rsid w:val="005768AB"/>
    <w:rsid w:val="00577061"/>
    <w:rsid w:val="0058043E"/>
    <w:rsid w:val="0058324E"/>
    <w:rsid w:val="005856E5"/>
    <w:rsid w:val="005A0399"/>
    <w:rsid w:val="005A0CBC"/>
    <w:rsid w:val="005A14CE"/>
    <w:rsid w:val="005A3071"/>
    <w:rsid w:val="005C23DC"/>
    <w:rsid w:val="005E3409"/>
    <w:rsid w:val="005E3F3F"/>
    <w:rsid w:val="005F0B1E"/>
    <w:rsid w:val="005F1DF2"/>
    <w:rsid w:val="00601F92"/>
    <w:rsid w:val="00604B56"/>
    <w:rsid w:val="0060569D"/>
    <w:rsid w:val="00614304"/>
    <w:rsid w:val="0061792B"/>
    <w:rsid w:val="00622B0B"/>
    <w:rsid w:val="00623C73"/>
    <w:rsid w:val="00624843"/>
    <w:rsid w:val="00633A05"/>
    <w:rsid w:val="006357B0"/>
    <w:rsid w:val="006369BE"/>
    <w:rsid w:val="00636AAD"/>
    <w:rsid w:val="0063754C"/>
    <w:rsid w:val="00642FE8"/>
    <w:rsid w:val="0065294F"/>
    <w:rsid w:val="00653D9B"/>
    <w:rsid w:val="00654B93"/>
    <w:rsid w:val="006626FF"/>
    <w:rsid w:val="00665CC1"/>
    <w:rsid w:val="0067408D"/>
    <w:rsid w:val="00674726"/>
    <w:rsid w:val="00677857"/>
    <w:rsid w:val="00685F13"/>
    <w:rsid w:val="006906FE"/>
    <w:rsid w:val="0069301E"/>
    <w:rsid w:val="00695567"/>
    <w:rsid w:val="006A7085"/>
    <w:rsid w:val="006B11BB"/>
    <w:rsid w:val="006B2344"/>
    <w:rsid w:val="006B59F9"/>
    <w:rsid w:val="006C1ABC"/>
    <w:rsid w:val="006C2217"/>
    <w:rsid w:val="006C4A8D"/>
    <w:rsid w:val="006D0589"/>
    <w:rsid w:val="006D2F3B"/>
    <w:rsid w:val="006D5390"/>
    <w:rsid w:val="006E6EAB"/>
    <w:rsid w:val="006F0427"/>
    <w:rsid w:val="006F2C6A"/>
    <w:rsid w:val="006F3FC8"/>
    <w:rsid w:val="006F63C9"/>
    <w:rsid w:val="006F68CC"/>
    <w:rsid w:val="0070010A"/>
    <w:rsid w:val="00701F64"/>
    <w:rsid w:val="00704032"/>
    <w:rsid w:val="00704BF9"/>
    <w:rsid w:val="00705BA9"/>
    <w:rsid w:val="0070636C"/>
    <w:rsid w:val="00707A61"/>
    <w:rsid w:val="0071546D"/>
    <w:rsid w:val="00716F27"/>
    <w:rsid w:val="00717E7B"/>
    <w:rsid w:val="00721226"/>
    <w:rsid w:val="00721711"/>
    <w:rsid w:val="007327FC"/>
    <w:rsid w:val="00737DB9"/>
    <w:rsid w:val="007401C3"/>
    <w:rsid w:val="00740E91"/>
    <w:rsid w:val="00745390"/>
    <w:rsid w:val="00746A32"/>
    <w:rsid w:val="007568C2"/>
    <w:rsid w:val="007570E2"/>
    <w:rsid w:val="00760543"/>
    <w:rsid w:val="00762F01"/>
    <w:rsid w:val="00765CB6"/>
    <w:rsid w:val="007727E6"/>
    <w:rsid w:val="0077455F"/>
    <w:rsid w:val="00776FCF"/>
    <w:rsid w:val="00784774"/>
    <w:rsid w:val="0078780A"/>
    <w:rsid w:val="0079352C"/>
    <w:rsid w:val="00796672"/>
    <w:rsid w:val="007A31F4"/>
    <w:rsid w:val="007A34F1"/>
    <w:rsid w:val="007A449C"/>
    <w:rsid w:val="007A48E9"/>
    <w:rsid w:val="007B30DE"/>
    <w:rsid w:val="007B39C7"/>
    <w:rsid w:val="007C07ED"/>
    <w:rsid w:val="007C3B03"/>
    <w:rsid w:val="007C6705"/>
    <w:rsid w:val="007D2A0A"/>
    <w:rsid w:val="007D2B0C"/>
    <w:rsid w:val="007D3A74"/>
    <w:rsid w:val="007D4BAD"/>
    <w:rsid w:val="007D6D78"/>
    <w:rsid w:val="007E1FE9"/>
    <w:rsid w:val="007E4D6F"/>
    <w:rsid w:val="007E5964"/>
    <w:rsid w:val="007E6183"/>
    <w:rsid w:val="007F0A64"/>
    <w:rsid w:val="007F6FB7"/>
    <w:rsid w:val="00801EED"/>
    <w:rsid w:val="0080260F"/>
    <w:rsid w:val="00802BB9"/>
    <w:rsid w:val="00805CD1"/>
    <w:rsid w:val="008101FB"/>
    <w:rsid w:val="00811BB1"/>
    <w:rsid w:val="0083199A"/>
    <w:rsid w:val="00832E87"/>
    <w:rsid w:val="00833C6A"/>
    <w:rsid w:val="0084302F"/>
    <w:rsid w:val="00847088"/>
    <w:rsid w:val="0085005A"/>
    <w:rsid w:val="0085213A"/>
    <w:rsid w:val="00855D0D"/>
    <w:rsid w:val="0086265C"/>
    <w:rsid w:val="008656DB"/>
    <w:rsid w:val="008734AD"/>
    <w:rsid w:val="008753FE"/>
    <w:rsid w:val="008768A2"/>
    <w:rsid w:val="00877C6C"/>
    <w:rsid w:val="00882763"/>
    <w:rsid w:val="008833DC"/>
    <w:rsid w:val="008834FE"/>
    <w:rsid w:val="00884D0F"/>
    <w:rsid w:val="00884F11"/>
    <w:rsid w:val="00887FE7"/>
    <w:rsid w:val="0089369E"/>
    <w:rsid w:val="00893B24"/>
    <w:rsid w:val="00896816"/>
    <w:rsid w:val="00897CCA"/>
    <w:rsid w:val="008A1EE5"/>
    <w:rsid w:val="008A4543"/>
    <w:rsid w:val="008A5850"/>
    <w:rsid w:val="008B411E"/>
    <w:rsid w:val="008B57FF"/>
    <w:rsid w:val="008B5A12"/>
    <w:rsid w:val="008B7AF4"/>
    <w:rsid w:val="008C40A8"/>
    <w:rsid w:val="008C4BEA"/>
    <w:rsid w:val="008C53A7"/>
    <w:rsid w:val="008D2EAE"/>
    <w:rsid w:val="008D58A3"/>
    <w:rsid w:val="008E1C41"/>
    <w:rsid w:val="008E62A2"/>
    <w:rsid w:val="008F0E43"/>
    <w:rsid w:val="008F3208"/>
    <w:rsid w:val="00902A7F"/>
    <w:rsid w:val="00903B04"/>
    <w:rsid w:val="00905A17"/>
    <w:rsid w:val="00920609"/>
    <w:rsid w:val="00920892"/>
    <w:rsid w:val="009209F7"/>
    <w:rsid w:val="0092409E"/>
    <w:rsid w:val="00930F65"/>
    <w:rsid w:val="009365F3"/>
    <w:rsid w:val="00945983"/>
    <w:rsid w:val="00973D36"/>
    <w:rsid w:val="0097535A"/>
    <w:rsid w:val="00976128"/>
    <w:rsid w:val="009776A9"/>
    <w:rsid w:val="00985EBA"/>
    <w:rsid w:val="0098622D"/>
    <w:rsid w:val="009A452D"/>
    <w:rsid w:val="009B15D1"/>
    <w:rsid w:val="009B2B36"/>
    <w:rsid w:val="009B5BC7"/>
    <w:rsid w:val="009B6EA8"/>
    <w:rsid w:val="009C12AB"/>
    <w:rsid w:val="009C5BE8"/>
    <w:rsid w:val="009C5BF0"/>
    <w:rsid w:val="009D1F9C"/>
    <w:rsid w:val="009D203C"/>
    <w:rsid w:val="009D20A3"/>
    <w:rsid w:val="009D3502"/>
    <w:rsid w:val="009E23B8"/>
    <w:rsid w:val="009E6699"/>
    <w:rsid w:val="00A045C1"/>
    <w:rsid w:val="00A0474D"/>
    <w:rsid w:val="00A05574"/>
    <w:rsid w:val="00A1234A"/>
    <w:rsid w:val="00A1375D"/>
    <w:rsid w:val="00A154A6"/>
    <w:rsid w:val="00A159FC"/>
    <w:rsid w:val="00A15F7A"/>
    <w:rsid w:val="00A21DDF"/>
    <w:rsid w:val="00A23F1B"/>
    <w:rsid w:val="00A27AA9"/>
    <w:rsid w:val="00A307BF"/>
    <w:rsid w:val="00A339F0"/>
    <w:rsid w:val="00A36206"/>
    <w:rsid w:val="00A4096D"/>
    <w:rsid w:val="00A42751"/>
    <w:rsid w:val="00A43F8F"/>
    <w:rsid w:val="00A44605"/>
    <w:rsid w:val="00A52737"/>
    <w:rsid w:val="00A53C23"/>
    <w:rsid w:val="00A54E5B"/>
    <w:rsid w:val="00A61AF6"/>
    <w:rsid w:val="00A63C44"/>
    <w:rsid w:val="00A65E8A"/>
    <w:rsid w:val="00A678EF"/>
    <w:rsid w:val="00A74AC9"/>
    <w:rsid w:val="00A75A79"/>
    <w:rsid w:val="00A7712D"/>
    <w:rsid w:val="00A910F1"/>
    <w:rsid w:val="00A94A0F"/>
    <w:rsid w:val="00A97272"/>
    <w:rsid w:val="00AA0F1B"/>
    <w:rsid w:val="00AA32BF"/>
    <w:rsid w:val="00AA4CCD"/>
    <w:rsid w:val="00AA5EB9"/>
    <w:rsid w:val="00AA753F"/>
    <w:rsid w:val="00AA7BC4"/>
    <w:rsid w:val="00AB7536"/>
    <w:rsid w:val="00AB7901"/>
    <w:rsid w:val="00AC01FE"/>
    <w:rsid w:val="00AC0CE6"/>
    <w:rsid w:val="00AC49CE"/>
    <w:rsid w:val="00AC4FD2"/>
    <w:rsid w:val="00AD6E73"/>
    <w:rsid w:val="00AE03A1"/>
    <w:rsid w:val="00AE3298"/>
    <w:rsid w:val="00B018CE"/>
    <w:rsid w:val="00B02024"/>
    <w:rsid w:val="00B05115"/>
    <w:rsid w:val="00B07980"/>
    <w:rsid w:val="00B12A55"/>
    <w:rsid w:val="00B1564B"/>
    <w:rsid w:val="00B15872"/>
    <w:rsid w:val="00B16E78"/>
    <w:rsid w:val="00B20FA0"/>
    <w:rsid w:val="00B24D17"/>
    <w:rsid w:val="00B277AA"/>
    <w:rsid w:val="00B30127"/>
    <w:rsid w:val="00B3236F"/>
    <w:rsid w:val="00B32542"/>
    <w:rsid w:val="00B32A03"/>
    <w:rsid w:val="00B4067A"/>
    <w:rsid w:val="00B41493"/>
    <w:rsid w:val="00B42330"/>
    <w:rsid w:val="00B42703"/>
    <w:rsid w:val="00B47396"/>
    <w:rsid w:val="00B5289C"/>
    <w:rsid w:val="00B53BAE"/>
    <w:rsid w:val="00B601A6"/>
    <w:rsid w:val="00B61615"/>
    <w:rsid w:val="00B616DF"/>
    <w:rsid w:val="00B775F1"/>
    <w:rsid w:val="00B9704F"/>
    <w:rsid w:val="00BA68F5"/>
    <w:rsid w:val="00BB1F82"/>
    <w:rsid w:val="00BB2ACA"/>
    <w:rsid w:val="00BB33D2"/>
    <w:rsid w:val="00BB33E6"/>
    <w:rsid w:val="00BB6706"/>
    <w:rsid w:val="00BC02B3"/>
    <w:rsid w:val="00BC09E9"/>
    <w:rsid w:val="00BC2F99"/>
    <w:rsid w:val="00BC30AC"/>
    <w:rsid w:val="00BC4761"/>
    <w:rsid w:val="00BC548C"/>
    <w:rsid w:val="00BC6746"/>
    <w:rsid w:val="00BD26E3"/>
    <w:rsid w:val="00BD46B3"/>
    <w:rsid w:val="00BD4844"/>
    <w:rsid w:val="00BD4F16"/>
    <w:rsid w:val="00BD62A9"/>
    <w:rsid w:val="00BD6B19"/>
    <w:rsid w:val="00BD7252"/>
    <w:rsid w:val="00BD77B4"/>
    <w:rsid w:val="00BE2907"/>
    <w:rsid w:val="00BF14CC"/>
    <w:rsid w:val="00BF1566"/>
    <w:rsid w:val="00BF2BE8"/>
    <w:rsid w:val="00C214C3"/>
    <w:rsid w:val="00C21A0B"/>
    <w:rsid w:val="00C22847"/>
    <w:rsid w:val="00C23C88"/>
    <w:rsid w:val="00C3639D"/>
    <w:rsid w:val="00C41183"/>
    <w:rsid w:val="00C42020"/>
    <w:rsid w:val="00C42E82"/>
    <w:rsid w:val="00C44B22"/>
    <w:rsid w:val="00C46BF7"/>
    <w:rsid w:val="00C52340"/>
    <w:rsid w:val="00C57015"/>
    <w:rsid w:val="00C6417E"/>
    <w:rsid w:val="00C70AC1"/>
    <w:rsid w:val="00C70FB9"/>
    <w:rsid w:val="00C735D3"/>
    <w:rsid w:val="00C736B5"/>
    <w:rsid w:val="00C73B5B"/>
    <w:rsid w:val="00C75E17"/>
    <w:rsid w:val="00C821C3"/>
    <w:rsid w:val="00C9449C"/>
    <w:rsid w:val="00C967BD"/>
    <w:rsid w:val="00CA60C0"/>
    <w:rsid w:val="00CB5D80"/>
    <w:rsid w:val="00CB7BBD"/>
    <w:rsid w:val="00CC635B"/>
    <w:rsid w:val="00CD0DF3"/>
    <w:rsid w:val="00CD108B"/>
    <w:rsid w:val="00CD1688"/>
    <w:rsid w:val="00CD275D"/>
    <w:rsid w:val="00CE03F4"/>
    <w:rsid w:val="00CE0D24"/>
    <w:rsid w:val="00CE0E68"/>
    <w:rsid w:val="00CE1F97"/>
    <w:rsid w:val="00CE3B68"/>
    <w:rsid w:val="00CE5C22"/>
    <w:rsid w:val="00CF5739"/>
    <w:rsid w:val="00D03251"/>
    <w:rsid w:val="00D12085"/>
    <w:rsid w:val="00D13B7F"/>
    <w:rsid w:val="00D17952"/>
    <w:rsid w:val="00D22B67"/>
    <w:rsid w:val="00D255E5"/>
    <w:rsid w:val="00D273E8"/>
    <w:rsid w:val="00D276CD"/>
    <w:rsid w:val="00D301AB"/>
    <w:rsid w:val="00D306DE"/>
    <w:rsid w:val="00D335E7"/>
    <w:rsid w:val="00D37098"/>
    <w:rsid w:val="00D37C79"/>
    <w:rsid w:val="00D40911"/>
    <w:rsid w:val="00D42A85"/>
    <w:rsid w:val="00D50424"/>
    <w:rsid w:val="00D53F80"/>
    <w:rsid w:val="00D615B9"/>
    <w:rsid w:val="00D65B94"/>
    <w:rsid w:val="00D65D54"/>
    <w:rsid w:val="00D76F25"/>
    <w:rsid w:val="00D812C2"/>
    <w:rsid w:val="00D85EE9"/>
    <w:rsid w:val="00DA0B6E"/>
    <w:rsid w:val="00DB0C70"/>
    <w:rsid w:val="00DB0DE6"/>
    <w:rsid w:val="00DC21F0"/>
    <w:rsid w:val="00DC6509"/>
    <w:rsid w:val="00DE0BA3"/>
    <w:rsid w:val="00DE35F4"/>
    <w:rsid w:val="00DF1A9A"/>
    <w:rsid w:val="00DF2776"/>
    <w:rsid w:val="00DF323D"/>
    <w:rsid w:val="00DF4B0D"/>
    <w:rsid w:val="00E03D77"/>
    <w:rsid w:val="00E07ABD"/>
    <w:rsid w:val="00E147F5"/>
    <w:rsid w:val="00E26814"/>
    <w:rsid w:val="00E301A5"/>
    <w:rsid w:val="00E31290"/>
    <w:rsid w:val="00E34343"/>
    <w:rsid w:val="00E4123F"/>
    <w:rsid w:val="00E533A3"/>
    <w:rsid w:val="00E53E54"/>
    <w:rsid w:val="00E554FC"/>
    <w:rsid w:val="00E57228"/>
    <w:rsid w:val="00E7089C"/>
    <w:rsid w:val="00E7246F"/>
    <w:rsid w:val="00E81BC8"/>
    <w:rsid w:val="00E970F5"/>
    <w:rsid w:val="00EA678F"/>
    <w:rsid w:val="00EB0809"/>
    <w:rsid w:val="00EB122F"/>
    <w:rsid w:val="00EC0E9E"/>
    <w:rsid w:val="00EC12C7"/>
    <w:rsid w:val="00EC52FD"/>
    <w:rsid w:val="00EC5F8C"/>
    <w:rsid w:val="00EC6291"/>
    <w:rsid w:val="00ED12B1"/>
    <w:rsid w:val="00ED4E2E"/>
    <w:rsid w:val="00ED57DC"/>
    <w:rsid w:val="00EE15D9"/>
    <w:rsid w:val="00EE5B9D"/>
    <w:rsid w:val="00EF1B01"/>
    <w:rsid w:val="00EF5261"/>
    <w:rsid w:val="00F001F0"/>
    <w:rsid w:val="00F028D6"/>
    <w:rsid w:val="00F04FC6"/>
    <w:rsid w:val="00F07983"/>
    <w:rsid w:val="00F105D7"/>
    <w:rsid w:val="00F216B5"/>
    <w:rsid w:val="00F227EF"/>
    <w:rsid w:val="00F270AE"/>
    <w:rsid w:val="00F2739F"/>
    <w:rsid w:val="00F309C1"/>
    <w:rsid w:val="00F314E6"/>
    <w:rsid w:val="00F33712"/>
    <w:rsid w:val="00F36EAE"/>
    <w:rsid w:val="00F566F9"/>
    <w:rsid w:val="00F6323A"/>
    <w:rsid w:val="00F6614B"/>
    <w:rsid w:val="00F700DD"/>
    <w:rsid w:val="00F726CB"/>
    <w:rsid w:val="00F756E6"/>
    <w:rsid w:val="00F771F3"/>
    <w:rsid w:val="00F823FB"/>
    <w:rsid w:val="00F84F9D"/>
    <w:rsid w:val="00F94449"/>
    <w:rsid w:val="00F9450D"/>
    <w:rsid w:val="00F95117"/>
    <w:rsid w:val="00FA3464"/>
    <w:rsid w:val="00FA3518"/>
    <w:rsid w:val="00FA69A3"/>
    <w:rsid w:val="00FB10E1"/>
    <w:rsid w:val="00FC1E9C"/>
    <w:rsid w:val="00FC5937"/>
    <w:rsid w:val="00FC7550"/>
    <w:rsid w:val="00FD2FE5"/>
    <w:rsid w:val="00FE0F7C"/>
    <w:rsid w:val="00FE434B"/>
    <w:rsid w:val="00FE5F6A"/>
    <w:rsid w:val="00FE6A83"/>
    <w:rsid w:val="00FF2E8B"/>
    <w:rsid w:val="00FF7E23"/>
    <w:rsid w:val="00FF7FE0"/>
    <w:rsid w:val="06BF1EA6"/>
    <w:rsid w:val="06D84C2B"/>
    <w:rsid w:val="070C11A2"/>
    <w:rsid w:val="072B4937"/>
    <w:rsid w:val="07405120"/>
    <w:rsid w:val="09CB7734"/>
    <w:rsid w:val="0B174CFF"/>
    <w:rsid w:val="0C6322DD"/>
    <w:rsid w:val="0E370BC9"/>
    <w:rsid w:val="0E920B1C"/>
    <w:rsid w:val="0FF24399"/>
    <w:rsid w:val="14464F15"/>
    <w:rsid w:val="159407BD"/>
    <w:rsid w:val="193256C8"/>
    <w:rsid w:val="1E231C31"/>
    <w:rsid w:val="1F5023DC"/>
    <w:rsid w:val="205A6931"/>
    <w:rsid w:val="20FE2263"/>
    <w:rsid w:val="232C34A4"/>
    <w:rsid w:val="2699369F"/>
    <w:rsid w:val="2BBA039F"/>
    <w:rsid w:val="2D9D3A14"/>
    <w:rsid w:val="2F952B22"/>
    <w:rsid w:val="31BD208A"/>
    <w:rsid w:val="34AB19F6"/>
    <w:rsid w:val="353676A3"/>
    <w:rsid w:val="38F96EAA"/>
    <w:rsid w:val="39656B66"/>
    <w:rsid w:val="3EE016B7"/>
    <w:rsid w:val="3F2C3390"/>
    <w:rsid w:val="3FFB3BAF"/>
    <w:rsid w:val="4199386E"/>
    <w:rsid w:val="42982FF7"/>
    <w:rsid w:val="43107F6B"/>
    <w:rsid w:val="45DC0799"/>
    <w:rsid w:val="47897C75"/>
    <w:rsid w:val="4F0F1C31"/>
    <w:rsid w:val="51C34EAB"/>
    <w:rsid w:val="54822946"/>
    <w:rsid w:val="55C9186A"/>
    <w:rsid w:val="56164523"/>
    <w:rsid w:val="58443E8B"/>
    <w:rsid w:val="5895333B"/>
    <w:rsid w:val="5A9138C7"/>
    <w:rsid w:val="5E8D3844"/>
    <w:rsid w:val="60B4658E"/>
    <w:rsid w:val="65456C34"/>
    <w:rsid w:val="661E7A63"/>
    <w:rsid w:val="67132BEA"/>
    <w:rsid w:val="68131D94"/>
    <w:rsid w:val="6A50263F"/>
    <w:rsid w:val="6C3A144F"/>
    <w:rsid w:val="713C0C8D"/>
    <w:rsid w:val="766462B9"/>
    <w:rsid w:val="78A53551"/>
    <w:rsid w:val="791848FA"/>
    <w:rsid w:val="7A001347"/>
    <w:rsid w:val="7A2F7FEF"/>
    <w:rsid w:val="7A3F43BD"/>
    <w:rsid w:val="7A59367A"/>
    <w:rsid w:val="7AB01D2F"/>
    <w:rsid w:val="7C7D2474"/>
    <w:rsid w:val="7CAE41C1"/>
    <w:rsid w:val="7E02066A"/>
    <w:rsid w:val="7F1C314B"/>
    <w:rsid w:val="7F52700A"/>
    <w:rsid w:val="7FCF47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uiPriority w:val="1"/>
  </w:style>
  <w:style w:type="table" w:default="1" w:styleId="26">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link w:val="52"/>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1"/>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7"/>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Body Text Indent 2"/>
    <w:basedOn w:val="1"/>
    <w:semiHidden/>
    <w:unhideWhenUsed/>
    <w:qFormat/>
    <w:uiPriority w:val="99"/>
    <w:pPr>
      <w:spacing w:line="440" w:lineRule="exact"/>
      <w:ind w:firstLine="560" w:firstLineChars="200"/>
    </w:pPr>
    <w:rPr>
      <w:rFonts w:ascii="仿宋_GB2312" w:eastAsia="仿宋_GB2312"/>
      <w:sz w:val="28"/>
    </w:rPr>
  </w:style>
  <w:style w:type="paragraph" w:styleId="16">
    <w:name w:val="Balloon Text"/>
    <w:basedOn w:val="1"/>
    <w:link w:val="55"/>
    <w:semiHidden/>
    <w:unhideWhenUsed/>
    <w:qFormat/>
    <w:uiPriority w:val="99"/>
    <w:rPr>
      <w:sz w:val="18"/>
      <w:szCs w:val="18"/>
    </w:r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rPr>
  </w:style>
  <w:style w:type="character" w:styleId="25">
    <w:name w:val="Hyperlink"/>
    <w:basedOn w:val="22"/>
    <w:unhideWhenUsed/>
    <w:qFormat/>
    <w:uiPriority w:val="99"/>
    <w:rPr>
      <w:color w:val="0000FF"/>
      <w:u w:val="single"/>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8">
    <w:name w:val="标题 1 字符"/>
    <w:basedOn w:val="22"/>
    <w:link w:val="4"/>
    <w:qFormat/>
    <w:uiPriority w:val="0"/>
    <w:rPr>
      <w:rFonts w:ascii="Calibri" w:hAnsi="Calibri" w:eastAsia="宋体" w:cs="Times New Roman"/>
      <w:b/>
      <w:bCs/>
      <w:kern w:val="44"/>
      <w:sz w:val="44"/>
      <w:szCs w:val="44"/>
    </w:rPr>
  </w:style>
  <w:style w:type="character" w:customStyle="1" w:styleId="29">
    <w:name w:val="标题 2 字符"/>
    <w:basedOn w:val="22"/>
    <w:link w:val="5"/>
    <w:qFormat/>
    <w:uiPriority w:val="0"/>
    <w:rPr>
      <w:rFonts w:ascii="Arial" w:hAnsi="Arial" w:eastAsia="黑体" w:cs="Times New Roman"/>
      <w:b/>
      <w:bCs/>
      <w:kern w:val="0"/>
      <w:sz w:val="32"/>
      <w:szCs w:val="32"/>
    </w:rPr>
  </w:style>
  <w:style w:type="character" w:customStyle="1" w:styleId="30">
    <w:name w:val="标题 3 字符"/>
    <w:basedOn w:val="22"/>
    <w:link w:val="6"/>
    <w:qFormat/>
    <w:uiPriority w:val="0"/>
    <w:rPr>
      <w:rFonts w:ascii="宋体" w:hAnsi="宋体" w:eastAsia="宋体" w:cs="Times New Roman"/>
      <w:b/>
      <w:color w:val="000000"/>
      <w:kern w:val="0"/>
      <w:sz w:val="24"/>
      <w:szCs w:val="20"/>
      <w:lang w:val="en-GB"/>
    </w:rPr>
  </w:style>
  <w:style w:type="character" w:customStyle="1" w:styleId="31">
    <w:name w:val="标题 4 字符"/>
    <w:basedOn w:val="22"/>
    <w:link w:val="7"/>
    <w:qFormat/>
    <w:uiPriority w:val="0"/>
    <w:rPr>
      <w:rFonts w:ascii="Arial" w:hAnsi="Arial" w:eastAsia="黑体" w:cs="Times New Roman"/>
      <w:b/>
      <w:bCs/>
      <w:kern w:val="0"/>
      <w:sz w:val="28"/>
      <w:szCs w:val="28"/>
    </w:rPr>
  </w:style>
  <w:style w:type="character" w:customStyle="1" w:styleId="32">
    <w:name w:val="纯文本 字符"/>
    <w:basedOn w:val="22"/>
    <w:link w:val="13"/>
    <w:qFormat/>
    <w:uiPriority w:val="0"/>
    <w:rPr>
      <w:rFonts w:eastAsia="宋体"/>
      <w:sz w:val="24"/>
    </w:rPr>
  </w:style>
  <w:style w:type="character" w:customStyle="1" w:styleId="33">
    <w:name w:val="日期 字符"/>
    <w:basedOn w:val="22"/>
    <w:link w:val="14"/>
    <w:qFormat/>
    <w:uiPriority w:val="99"/>
  </w:style>
  <w:style w:type="character" w:customStyle="1" w:styleId="34">
    <w:name w:val="页脚 字符"/>
    <w:basedOn w:val="22"/>
    <w:link w:val="17"/>
    <w:qFormat/>
    <w:uiPriority w:val="99"/>
    <w:rPr>
      <w:sz w:val="18"/>
      <w:szCs w:val="18"/>
    </w:rPr>
  </w:style>
  <w:style w:type="character" w:customStyle="1" w:styleId="35">
    <w:name w:val="页眉 字符"/>
    <w:basedOn w:val="22"/>
    <w:link w:val="18"/>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link w:val="56"/>
    <w:unhideWhenUsed/>
    <w:qFormat/>
    <w:uiPriority w:val="34"/>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字符"/>
    <w:basedOn w:val="22"/>
    <w:link w:val="10"/>
    <w:qFormat/>
    <w:uiPriority w:val="0"/>
    <w:rPr>
      <w:rFonts w:ascii="Times New Roman" w:hAnsi="Times New Roman" w:eastAsia="宋体" w:cs="Times New Roman"/>
      <w:color w:val="FF0000"/>
      <w:sz w:val="24"/>
      <w:szCs w:val="24"/>
    </w:rPr>
  </w:style>
  <w:style w:type="character" w:customStyle="1" w:styleId="48">
    <w:name w:val="edittexttarea"/>
    <w:basedOn w:val="22"/>
    <w:qFormat/>
    <w:uiPriority w:val="0"/>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字符"/>
    <w:basedOn w:val="22"/>
    <w:link w:val="3"/>
    <w:semiHidden/>
    <w:qFormat/>
    <w:uiPriority w:val="99"/>
  </w:style>
  <w:style w:type="character" w:customStyle="1" w:styleId="52">
    <w:name w:val="正文文本首行缩进 字符"/>
    <w:basedOn w:val="51"/>
    <w:link w:val="2"/>
    <w:qFormat/>
    <w:uiPriority w:val="0"/>
    <w:rPr>
      <w:rFonts w:ascii="宋体" w:hAnsi="Times New Roman" w:eastAsia="宋体" w:cs="Times New Roman"/>
      <w:kern w:val="0"/>
      <w:sz w:val="34"/>
      <w:szCs w:val="20"/>
    </w:rPr>
  </w:style>
  <w:style w:type="character" w:customStyle="1" w:styleId="53">
    <w:name w:val="HTML 预设格式 字符"/>
    <w:basedOn w:val="22"/>
    <w:link w:val="20"/>
    <w:semiHidden/>
    <w:qFormat/>
    <w:uiPriority w:val="99"/>
    <w:rPr>
      <w:rFonts w:ascii="宋体" w:hAnsi="宋体" w:eastAsia="宋体" w:cs="宋体"/>
      <w:kern w:val="0"/>
      <w:sz w:val="24"/>
      <w:szCs w:val="24"/>
    </w:rPr>
  </w:style>
  <w:style w:type="paragraph" w:customStyle="1" w:styleId="54">
    <w:name w:val="列出段落2"/>
    <w:basedOn w:val="1"/>
    <w:qFormat/>
    <w:uiPriority w:val="0"/>
    <w:pPr>
      <w:adjustRightInd w:val="0"/>
      <w:snapToGrid w:val="0"/>
      <w:spacing w:line="360" w:lineRule="auto"/>
      <w:ind w:firstLine="420" w:firstLineChars="200"/>
    </w:pPr>
    <w:rPr>
      <w:rFonts w:ascii="Times New Roman" w:hAnsi="Times New Roman" w:eastAsia="宋体" w:cs="Times New Roman"/>
      <w:color w:val="000000"/>
      <w:szCs w:val="21"/>
    </w:rPr>
  </w:style>
  <w:style w:type="character" w:customStyle="1" w:styleId="55">
    <w:name w:val="批注框文本 字符"/>
    <w:basedOn w:val="22"/>
    <w:link w:val="16"/>
    <w:semiHidden/>
    <w:qFormat/>
    <w:uiPriority w:val="99"/>
    <w:rPr>
      <w:rFonts w:asciiTheme="minorHAnsi" w:hAnsiTheme="minorHAnsi" w:eastAsiaTheme="minorEastAsia" w:cstheme="minorBidi"/>
      <w:kern w:val="2"/>
      <w:sz w:val="18"/>
      <w:szCs w:val="18"/>
    </w:rPr>
  </w:style>
  <w:style w:type="character" w:customStyle="1" w:styleId="56">
    <w:name w:val="列表段落 字符"/>
    <w:link w:val="39"/>
    <w:qFormat/>
    <w:uiPriority w:val="34"/>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DD65F4-33C6-4FBC-9609-68D300409743}">
  <ds:schemaRefs/>
</ds:datastoreItem>
</file>

<file path=docProps/app.xml><?xml version="1.0" encoding="utf-8"?>
<Properties xmlns="http://schemas.openxmlformats.org/officeDocument/2006/extended-properties" xmlns:vt="http://schemas.openxmlformats.org/officeDocument/2006/docPropsVTypes">
  <Template>Normal</Template>
  <Pages>59</Pages>
  <Words>5412</Words>
  <Characters>30854</Characters>
  <Lines>257</Lines>
  <Paragraphs>72</Paragraphs>
  <TotalTime>424</TotalTime>
  <ScaleCrop>false</ScaleCrop>
  <LinksUpToDate>false</LinksUpToDate>
  <CharactersWithSpaces>36194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Administrator</cp:lastModifiedBy>
  <cp:lastPrinted>2019-01-14T08:44:00Z</cp:lastPrinted>
  <dcterms:modified xsi:type="dcterms:W3CDTF">2019-02-21T07:14:42Z</dcterms:modified>
  <cp:revision>618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