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spacing w:val="20"/>
          <w:sz w:val="48"/>
          <w:szCs w:val="48"/>
        </w:rPr>
      </w:pPr>
    </w:p>
    <w:p>
      <w:pPr>
        <w:snapToGrid w:val="0"/>
        <w:spacing w:beforeLines="50"/>
        <w:jc w:val="center"/>
        <w:rPr>
          <w:b/>
          <w:sz w:val="52"/>
          <w:szCs w:val="52"/>
        </w:rPr>
      </w:pPr>
      <w:r>
        <w:rPr>
          <w:rFonts w:hint="eastAsia"/>
          <w:b/>
          <w:sz w:val="52"/>
          <w:szCs w:val="52"/>
        </w:rPr>
        <w:t>许昌中天置业有限公司红星广场（一期）项目</w:t>
      </w:r>
    </w:p>
    <w:p>
      <w:pPr>
        <w:rPr>
          <w:b/>
          <w:bCs/>
          <w:sz w:val="44"/>
        </w:rPr>
      </w:pPr>
    </w:p>
    <w:p>
      <w:pPr>
        <w:rPr>
          <w:b/>
          <w:bCs/>
          <w:sz w:val="44"/>
        </w:rPr>
      </w:pPr>
    </w:p>
    <w:p>
      <w:pPr>
        <w:rPr>
          <w:b/>
          <w:bCs/>
          <w:sz w:val="44"/>
        </w:rPr>
      </w:pPr>
    </w:p>
    <w:p>
      <w:pPr>
        <w:tabs>
          <w:tab w:val="left" w:pos="6919"/>
        </w:tabs>
        <w:jc w:val="center"/>
        <w:rPr>
          <w:rFonts w:ascii="黑体" w:hAnsi="黑体" w:eastAsia="黑体" w:cs="黑体"/>
          <w:b/>
          <w:bCs/>
          <w:sz w:val="72"/>
        </w:rPr>
      </w:pPr>
      <w:r>
        <w:rPr>
          <w:rFonts w:hint="eastAsia"/>
          <w:b/>
          <w:sz w:val="72"/>
          <w:szCs w:val="72"/>
        </w:rPr>
        <w:t>施工招标文件</w:t>
      </w:r>
    </w:p>
    <w:p>
      <w:pPr>
        <w:rPr>
          <w:rFonts w:ascii="黑体" w:hAnsi="黑体" w:eastAsia="黑体" w:cs="黑体"/>
          <w:b/>
          <w:bCs/>
          <w:sz w:val="30"/>
        </w:rPr>
      </w:pPr>
    </w:p>
    <w:p>
      <w:pPr>
        <w:jc w:val="center"/>
        <w:rPr>
          <w:rFonts w:hint="eastAsia" w:ascii="黑体" w:hAnsi="黑体" w:eastAsia="宋体" w:cs="黑体"/>
          <w:b/>
          <w:bCs/>
          <w:sz w:val="32"/>
          <w:lang w:eastAsia="zh-CN"/>
        </w:rPr>
      </w:pPr>
      <w:r>
        <w:rPr>
          <w:rFonts w:hint="eastAsia" w:hAnsi="宋体" w:cs="宋体"/>
          <w:b/>
          <w:bCs/>
          <w:kern w:val="2"/>
          <w:sz w:val="32"/>
          <w:szCs w:val="32"/>
        </w:rPr>
        <w:t>项目编号：</w:t>
      </w:r>
      <w:r>
        <w:rPr>
          <w:rFonts w:hint="eastAsia" w:hAnsi="宋体" w:cs="宋体"/>
          <w:b/>
          <w:bCs/>
          <w:kern w:val="2"/>
          <w:sz w:val="32"/>
          <w:szCs w:val="32"/>
          <w:lang w:eastAsia="zh-CN"/>
        </w:rPr>
        <w:t>XCGC-F2019038号</w:t>
      </w: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jc w:val="center"/>
        <w:rPr>
          <w:rFonts w:hint="eastAsia"/>
          <w:b/>
          <w:bCs/>
          <w:sz w:val="32"/>
          <w:lang w:val="en-US" w:eastAsia="zh-CN"/>
        </w:rPr>
      </w:pPr>
      <w:r>
        <w:rPr>
          <w:rFonts w:hint="eastAsia"/>
          <w:b/>
          <w:bCs/>
          <w:sz w:val="32"/>
        </w:rPr>
        <w:t xml:space="preserve">  </w:t>
      </w:r>
      <w:r>
        <w:rPr>
          <w:rFonts w:hint="eastAsia"/>
          <w:b/>
          <w:bCs/>
          <w:sz w:val="32"/>
          <w:lang w:val="en-US" w:eastAsia="zh-CN"/>
        </w:rPr>
        <w:t xml:space="preserve">   </w:t>
      </w:r>
    </w:p>
    <w:p>
      <w:pPr>
        <w:jc w:val="center"/>
        <w:rPr>
          <w:rFonts w:hint="eastAsia"/>
          <w:b/>
          <w:bCs/>
          <w:sz w:val="32"/>
          <w:lang w:val="en-US" w:eastAsia="zh-CN"/>
        </w:rPr>
      </w:pPr>
    </w:p>
    <w:p>
      <w:pPr>
        <w:jc w:val="center"/>
        <w:rPr>
          <w:b/>
          <w:bCs/>
          <w:sz w:val="32"/>
        </w:rPr>
      </w:pPr>
      <w:r>
        <w:rPr>
          <w:rFonts w:hint="eastAsia"/>
          <w:b/>
          <w:bCs/>
          <w:sz w:val="32"/>
          <w:lang w:val="en-US" w:eastAsia="zh-CN"/>
        </w:rPr>
        <w:t xml:space="preserve">     </w:t>
      </w:r>
      <w:r>
        <w:rPr>
          <w:rFonts w:hint="eastAsia"/>
          <w:b/>
          <w:bCs/>
          <w:sz w:val="32"/>
        </w:rPr>
        <w:t>招标单位：许昌市中天置业有限公司</w:t>
      </w:r>
    </w:p>
    <w:p>
      <w:pPr>
        <w:ind w:firstLine="2560" w:firstLineChars="800"/>
        <w:rPr>
          <w:rFonts w:hAnsi="宋体" w:cs="黑体"/>
          <w:b/>
          <w:sz w:val="32"/>
          <w:szCs w:val="32"/>
        </w:rPr>
      </w:pPr>
      <w:r>
        <w:rPr>
          <w:rFonts w:hint="eastAsia" w:hAnsi="宋体" w:cs="黑体"/>
          <w:b/>
          <w:sz w:val="32"/>
          <w:szCs w:val="32"/>
        </w:rPr>
        <w:t>代理机构：河南招标采购服务有限公司</w:t>
      </w:r>
    </w:p>
    <w:p>
      <w:pPr>
        <w:ind w:firstLine="2240" w:firstLineChars="700"/>
        <w:rPr>
          <w:rFonts w:ascii="黑体" w:hAnsi="宋体" w:eastAsia="黑体"/>
          <w:b/>
          <w:sz w:val="44"/>
        </w:rPr>
      </w:pPr>
      <w:r>
        <w:rPr>
          <w:rFonts w:hint="eastAsia" w:hAnsi="宋体" w:cs="黑体"/>
          <w:b/>
          <w:sz w:val="32"/>
          <w:szCs w:val="32"/>
        </w:rPr>
        <w:t xml:space="preserve">         二〇一九年</w:t>
      </w:r>
      <w:r>
        <w:rPr>
          <w:rFonts w:hint="eastAsia" w:hAnsi="宋体" w:cs="黑体"/>
          <w:b/>
          <w:sz w:val="32"/>
          <w:szCs w:val="32"/>
          <w:lang w:val="en-US" w:eastAsia="zh-CN"/>
        </w:rPr>
        <w:t>二</w:t>
      </w:r>
      <w:r>
        <w:rPr>
          <w:rFonts w:hint="eastAsia" w:hAnsi="宋体" w:cs="黑体"/>
          <w:b/>
          <w:sz w:val="32"/>
          <w:szCs w:val="32"/>
        </w:rPr>
        <w:t>月</w:t>
      </w:r>
    </w:p>
    <w:p>
      <w:pPr>
        <w:pStyle w:val="2"/>
        <w:ind w:left="0" w:leftChars="0" w:firstLine="0" w:firstLineChars="0"/>
        <w:jc w:val="center"/>
        <w:rPr>
          <w:rFonts w:hint="eastAsia" w:hAnsi="宋体"/>
          <w:b/>
          <w:sz w:val="24"/>
          <w:szCs w:val="24"/>
        </w:rPr>
      </w:pPr>
      <w:r>
        <w:rPr>
          <w:rFonts w:hint="eastAsia" w:hAnsi="宋体"/>
          <w:b/>
          <w:sz w:val="28"/>
          <w:szCs w:val="28"/>
        </w:rPr>
        <w:drawing>
          <wp:inline distT="0" distB="0" distL="114300" distR="114300">
            <wp:extent cx="662305" cy="508000"/>
            <wp:effectExtent l="0" t="0" r="4445" b="635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4"/>
                    <a:stretch>
                      <a:fillRect/>
                    </a:stretch>
                  </pic:blipFill>
                  <pic:spPr>
                    <a:xfrm>
                      <a:off x="0" y="0"/>
                      <a:ext cx="662305" cy="508000"/>
                    </a:xfrm>
                    <a:prstGeom prst="rect">
                      <a:avLst/>
                    </a:prstGeom>
                    <a:noFill/>
                    <a:ln w="9525">
                      <a:noFill/>
                    </a:ln>
                  </pic:spPr>
                </pic:pic>
              </a:graphicData>
            </a:graphic>
          </wp:inline>
        </w:drawing>
      </w:r>
      <w:r>
        <w:rPr>
          <w:rFonts w:hint="eastAsia" w:hAnsi="宋体"/>
          <w:b/>
          <w:sz w:val="24"/>
          <w:szCs w:val="24"/>
        </w:rPr>
        <w:drawing>
          <wp:inline distT="0" distB="0" distL="114300" distR="114300">
            <wp:extent cx="4387850" cy="375285"/>
            <wp:effectExtent l="0" t="0" r="12700" b="571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5"/>
                    <a:stretch>
                      <a:fillRect/>
                    </a:stretch>
                  </pic:blipFill>
                  <pic:spPr>
                    <a:xfrm>
                      <a:off x="0" y="0"/>
                      <a:ext cx="4387850" cy="375285"/>
                    </a:xfrm>
                    <a:prstGeom prst="rect">
                      <a:avLst/>
                    </a:prstGeom>
                    <a:noFill/>
                    <a:ln w="9525">
                      <a:noFill/>
                    </a:ln>
                  </pic:spPr>
                </pic:pic>
              </a:graphicData>
            </a:graphic>
          </wp:inline>
        </w:drawing>
      </w:r>
    </w:p>
    <w:p>
      <w:pPr>
        <w:pStyle w:val="2"/>
        <w:jc w:val="center"/>
        <w:rPr>
          <w:rFonts w:hAnsi="宋体" w:cs="宋体"/>
          <w:b/>
          <w:sz w:val="44"/>
        </w:rPr>
      </w:pPr>
      <w:r>
        <w:rPr>
          <w:rFonts w:hint="eastAsia" w:hAnsi="宋体"/>
          <w:b/>
          <w:sz w:val="32"/>
          <w:szCs w:val="32"/>
          <w:lang w:val="en-US" w:eastAsia="zh-CN"/>
        </w:rPr>
        <w:t>HENAN TENDER-PURCHASE SERVICE CO.,LTD.</w:t>
      </w:r>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fmt="decimal"/>
          <w:cols w:space="720" w:num="1"/>
          <w:titlePg/>
          <w:docGrid w:type="linesAndChars" w:linePitch="312" w:charSpace="0"/>
        </w:sectPr>
      </w:pP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9" w:type="default"/>
          <w:footerReference r:id="rId10" w:type="default"/>
          <w:pgSz w:w="11906" w:h="16838"/>
          <w:pgMar w:top="1304" w:right="1134" w:bottom="1304" w:left="1134" w:header="851" w:footer="992" w:gutter="0"/>
          <w:pgNumType w:fmt="decimal"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7"/>
        <w:tabs>
          <w:tab w:val="right" w:leader="dot" w:pos="9638"/>
        </w:tabs>
        <w:spacing w:line="360" w:lineRule="auto"/>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28"/>
          <w:szCs w:val="32"/>
        </w:rPr>
        <w:t>第一章 招标公告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_Toc508875364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28"/>
          <w:szCs w:val="32"/>
        </w:rPr>
        <w:t>第二章 投标人须知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_Toc508875365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28"/>
          <w:szCs w:val="32"/>
        </w:rPr>
        <w:t>第三章 评标办法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_Toc508875366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28"/>
          <w:szCs w:val="32"/>
        </w:rPr>
        <w:t>第四章 合同条款及格式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_Toc508875369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28"/>
          <w:szCs w:val="32"/>
        </w:rPr>
        <w:t>第五章 工程量清单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_Toc508875370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39</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28"/>
          <w:szCs w:val="32"/>
        </w:rPr>
        <w:t>第六章 图纸</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_Toc508875371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28"/>
          <w:szCs w:val="32"/>
        </w:rPr>
        <w:t>第七章 技术标准和要求</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_Toc508875372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28"/>
          <w:szCs w:val="32"/>
        </w:rPr>
        <w:t>第八章 投标文件格式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_Toc508875373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pgNumType w:fmt="decimal"/>
          <w:cols w:space="720" w:num="1"/>
          <w:titlePg/>
          <w:docGrid w:type="lines" w:linePitch="312" w:charSpace="0"/>
        </w:sectPr>
      </w:pPr>
    </w:p>
    <w:p>
      <w:pPr>
        <w:pStyle w:val="4"/>
        <w:jc w:val="center"/>
        <w:rPr>
          <w:rFonts w:hint="eastAsia" w:asciiTheme="minorEastAsia" w:hAnsiTheme="minorEastAsia" w:eastAsiaTheme="minorEastAsia" w:cstheme="minorEastAsia"/>
        </w:rPr>
      </w:pPr>
      <w:bookmarkStart w:id="1" w:name="_Toc2465"/>
      <w:bookmarkStart w:id="2" w:name="_Toc508875364"/>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第一章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招标公告</w:t>
      </w:r>
      <w:bookmarkEnd w:id="1"/>
      <w:bookmarkEnd w:id="2"/>
    </w:p>
    <w:p>
      <w:pPr>
        <w:numPr>
          <w:ilvl w:val="0"/>
          <w:numId w:val="0"/>
        </w:numPr>
        <w:spacing w:line="360" w:lineRule="auto"/>
        <w:jc w:val="center"/>
        <w:rPr>
          <w:rFonts w:hAnsi="宋体" w:cs="宋体"/>
          <w:b/>
          <w:sz w:val="30"/>
          <w:szCs w:val="30"/>
        </w:rPr>
      </w:pPr>
      <w:r>
        <w:rPr>
          <w:rFonts w:hint="eastAsia" w:hAnsi="宋体" w:cs="宋体"/>
          <w:b/>
          <w:sz w:val="30"/>
          <w:szCs w:val="30"/>
          <w:lang w:eastAsia="zh-CN"/>
        </w:rPr>
        <w:t>XCGC-F2019038号</w:t>
      </w:r>
      <w:r>
        <w:rPr>
          <w:rFonts w:hint="eastAsia" w:hAnsi="宋体" w:cs="宋体"/>
          <w:b/>
          <w:sz w:val="30"/>
          <w:szCs w:val="30"/>
        </w:rPr>
        <w:t>许昌中天置业有限公司红星广场（一期）项目</w:t>
      </w:r>
    </w:p>
    <w:p>
      <w:pPr>
        <w:spacing w:line="360" w:lineRule="auto"/>
        <w:ind w:firstLine="904" w:firstLineChars="300"/>
        <w:jc w:val="center"/>
        <w:rPr>
          <w:rFonts w:asciiTheme="minorEastAsia" w:hAnsiTheme="minorEastAsia" w:eastAsiaTheme="minorEastAsia" w:cstheme="minorEastAsia"/>
        </w:rPr>
      </w:pPr>
      <w:r>
        <w:rPr>
          <w:rFonts w:hint="eastAsia" w:hAnsi="宋体" w:cs="宋体"/>
          <w:b/>
          <w:sz w:val="30"/>
          <w:szCs w:val="30"/>
        </w:rPr>
        <w:t>招标公告</w:t>
      </w:r>
    </w:p>
    <w:p>
      <w:pPr>
        <w:widowControl/>
        <w:spacing w:line="360" w:lineRule="auto"/>
        <w:rPr>
          <w:rFonts w:hAnsi="宋体" w:cs="宋体"/>
          <w:b/>
          <w:sz w:val="24"/>
        </w:rPr>
      </w:pPr>
      <w:r>
        <w:rPr>
          <w:rFonts w:hint="eastAsia" w:hAnsi="宋体" w:cs="宋体"/>
          <w:b/>
          <w:sz w:val="24"/>
        </w:rPr>
        <w:t>1、招标条件</w:t>
      </w:r>
    </w:p>
    <w:p>
      <w:pPr>
        <w:widowControl/>
        <w:spacing w:line="360" w:lineRule="auto"/>
        <w:ind w:firstLine="480" w:firstLineChars="200"/>
        <w:rPr>
          <w:rFonts w:hAnsi="宋体" w:cs="宋体"/>
          <w:bCs/>
          <w:sz w:val="24"/>
          <w:szCs w:val="24"/>
        </w:rPr>
      </w:pPr>
      <w:r>
        <w:rPr>
          <w:rFonts w:hint="eastAsia" w:hAnsi="宋体" w:cs="宋体"/>
          <w:bCs/>
          <w:sz w:val="24"/>
          <w:szCs w:val="24"/>
        </w:rPr>
        <w:t>许昌中天置业有限公司红星广场（一期）项目已由相关部门批准建设，招标人为许昌市中天置业有限公司。建设资金来自自筹资金，项目出资比例为100%。项目已具备招标条件，现对该项目进行国内公开招标。</w:t>
      </w:r>
    </w:p>
    <w:p>
      <w:pPr>
        <w:widowControl/>
        <w:spacing w:line="360" w:lineRule="auto"/>
        <w:rPr>
          <w:rFonts w:hAnsi="宋体" w:cs="宋体"/>
          <w:b/>
          <w:sz w:val="24"/>
        </w:rPr>
      </w:pPr>
      <w:r>
        <w:rPr>
          <w:rFonts w:hint="eastAsia" w:hAnsi="宋体" w:cs="宋体"/>
          <w:b/>
          <w:sz w:val="24"/>
        </w:rPr>
        <w:t>2、项目概况与招标内容</w:t>
      </w:r>
    </w:p>
    <w:p>
      <w:pPr>
        <w:pStyle w:val="10"/>
        <w:spacing w:before="0" w:beforeAutospacing="0" w:after="0" w:afterAutospacing="0" w:line="360" w:lineRule="auto"/>
        <w:ind w:firstLine="480" w:firstLineChars="200"/>
        <w:contextualSpacing/>
        <w:jc w:val="both"/>
        <w:rPr>
          <w:rFonts w:hint="eastAsia" w:eastAsia="宋体"/>
          <w:szCs w:val="24"/>
          <w:lang w:eastAsia="zh-CN"/>
        </w:rPr>
      </w:pPr>
      <w:r>
        <w:rPr>
          <w:rFonts w:hint="eastAsia"/>
          <w:szCs w:val="24"/>
        </w:rPr>
        <w:t>2.1项目编号：</w:t>
      </w:r>
      <w:r>
        <w:rPr>
          <w:rFonts w:hint="eastAsia"/>
          <w:szCs w:val="24"/>
          <w:lang w:eastAsia="zh-CN"/>
        </w:rPr>
        <w:t>XCGC-F2019038号</w:t>
      </w:r>
    </w:p>
    <w:p>
      <w:pPr>
        <w:pStyle w:val="10"/>
        <w:spacing w:before="0" w:beforeAutospacing="0" w:after="0" w:afterAutospacing="0" w:line="360" w:lineRule="auto"/>
        <w:ind w:firstLine="480" w:firstLineChars="200"/>
        <w:contextualSpacing/>
        <w:jc w:val="both"/>
        <w:rPr>
          <w:szCs w:val="24"/>
          <w:highlight w:val="yellow"/>
        </w:rPr>
      </w:pPr>
      <w:r>
        <w:rPr>
          <w:rFonts w:hint="eastAsia"/>
          <w:szCs w:val="24"/>
        </w:rPr>
        <w:t>2.2项目概况：</w:t>
      </w:r>
      <w:r>
        <w:rPr>
          <w:rFonts w:hint="eastAsia"/>
          <w:szCs w:val="24"/>
          <w:lang w:eastAsia="zh-CN"/>
        </w:rPr>
        <w:t>本项目</w:t>
      </w:r>
      <w:r>
        <w:rPr>
          <w:rFonts w:hint="eastAsia"/>
        </w:rPr>
        <w:t>位于许昌市城区延安路以西、帝豪路以南，</w:t>
      </w:r>
      <w:r>
        <w:rPr>
          <w:rFonts w:hint="eastAsia" w:asciiTheme="minorEastAsia" w:hAnsiTheme="minorEastAsia" w:eastAsiaTheme="minorEastAsia" w:cstheme="minorEastAsia"/>
          <w:kern w:val="2"/>
          <w:szCs w:val="24"/>
        </w:rPr>
        <w:t>许继大道以北、灞陵路以东</w:t>
      </w:r>
      <w:r>
        <w:rPr>
          <w:rFonts w:hint="eastAsia" w:asciiTheme="minorEastAsia" w:hAnsiTheme="minorEastAsia" w:eastAsiaTheme="minorEastAsia" w:cstheme="minorEastAsia"/>
          <w:kern w:val="2"/>
          <w:szCs w:val="24"/>
          <w:lang w:eastAsia="zh-CN"/>
        </w:rPr>
        <w:t>；1#楼地下二层，地下一层为储藏室，夹层为非机动车停车位，地上一及二层为社区养老服务用房、配套公共服务用房，三至二十五层均为住宅，建筑面积共计12669.12㎡；2#楼地下二层均为储藏室，地上一及二层为室内体育活动用房、便民店、物业管理用房、配套公共服务用房，三至二十五层均为住宅，建筑面积共计12650.47㎡；3#楼地下一层为停车位，夹层为储藏室，地上八层均为住宅，建筑面积共计5638.2㎡；地下汽车库，地下一层框架结构，为地下停车场，建筑面积共计6889.3㎡。</w:t>
      </w:r>
    </w:p>
    <w:p>
      <w:pPr>
        <w:pStyle w:val="10"/>
        <w:spacing w:before="0" w:beforeAutospacing="0" w:after="0" w:afterAutospacing="0" w:line="360" w:lineRule="auto"/>
        <w:ind w:firstLine="480" w:firstLineChars="200"/>
        <w:contextualSpacing/>
        <w:jc w:val="both"/>
        <w:rPr>
          <w:szCs w:val="24"/>
        </w:rPr>
      </w:pPr>
      <w:r>
        <w:rPr>
          <w:rFonts w:hint="eastAsia"/>
          <w:szCs w:val="24"/>
        </w:rPr>
        <w:t>2.3建设地点：</w:t>
      </w:r>
      <w:r>
        <w:rPr>
          <w:rFonts w:hint="eastAsia" w:asciiTheme="minorEastAsia" w:hAnsiTheme="minorEastAsia" w:eastAsiaTheme="minorEastAsia" w:cstheme="minorEastAsia"/>
          <w:kern w:val="2"/>
          <w:szCs w:val="24"/>
        </w:rPr>
        <w:t>许昌市城区延安路以西、帝豪路以南,许继大道以北、灞陵路以东。</w:t>
      </w:r>
    </w:p>
    <w:p>
      <w:pPr>
        <w:pStyle w:val="10"/>
        <w:spacing w:before="0" w:beforeAutospacing="0" w:after="0" w:afterAutospacing="0" w:line="360" w:lineRule="auto"/>
        <w:ind w:firstLine="480" w:firstLineChars="200"/>
        <w:contextualSpacing/>
        <w:jc w:val="both"/>
        <w:rPr>
          <w:szCs w:val="24"/>
        </w:rPr>
      </w:pPr>
      <w:r>
        <w:rPr>
          <w:rFonts w:hint="eastAsia"/>
          <w:szCs w:val="24"/>
        </w:rPr>
        <w:t>2.4招标控制价：一标段：88086246.01元；二标段：880862.46元</w:t>
      </w:r>
    </w:p>
    <w:p>
      <w:pPr>
        <w:pStyle w:val="10"/>
        <w:spacing w:before="0" w:beforeAutospacing="0" w:after="0" w:afterAutospacing="0" w:line="360" w:lineRule="auto"/>
        <w:ind w:firstLine="480" w:firstLineChars="200"/>
        <w:contextualSpacing/>
        <w:jc w:val="both"/>
        <w:rPr>
          <w:szCs w:val="24"/>
        </w:rPr>
      </w:pPr>
      <w:r>
        <w:rPr>
          <w:rFonts w:hint="eastAsia"/>
          <w:szCs w:val="24"/>
        </w:rPr>
        <w:t>2.5招标范围：</w:t>
      </w:r>
      <w:r>
        <w:rPr>
          <w:rFonts w:hint="eastAsia"/>
        </w:rPr>
        <w:t>招标文件、答疑纪要（如有）和补充文件（如有）范围内的全部内容。</w:t>
      </w:r>
    </w:p>
    <w:p>
      <w:pPr>
        <w:pStyle w:val="10"/>
        <w:spacing w:before="0" w:beforeAutospacing="0" w:after="0" w:afterAutospacing="0" w:line="360" w:lineRule="auto"/>
        <w:ind w:firstLine="480" w:firstLineChars="200"/>
        <w:contextualSpacing/>
        <w:jc w:val="both"/>
        <w:rPr>
          <w:szCs w:val="24"/>
        </w:rPr>
      </w:pPr>
      <w:r>
        <w:rPr>
          <w:rFonts w:hint="eastAsia"/>
          <w:szCs w:val="24"/>
        </w:rPr>
        <w:t>2.6标段划分：本项目共设两个标段，一个施工标段和一个监理标段；</w:t>
      </w:r>
    </w:p>
    <w:p>
      <w:pPr>
        <w:pStyle w:val="10"/>
        <w:spacing w:before="0" w:beforeAutospacing="0" w:after="0" w:afterAutospacing="0" w:line="360" w:lineRule="auto"/>
        <w:ind w:firstLine="480" w:firstLineChars="200"/>
        <w:contextualSpacing/>
        <w:jc w:val="both"/>
        <w:rPr>
          <w:szCs w:val="24"/>
        </w:rPr>
      </w:pPr>
      <w:r>
        <w:rPr>
          <w:rFonts w:hint="eastAsia"/>
          <w:szCs w:val="24"/>
        </w:rPr>
        <w:t>2.7计划工期</w:t>
      </w:r>
      <w:r>
        <w:rPr>
          <w:rFonts w:hint="eastAsia"/>
        </w:rPr>
        <w:t xml:space="preserve">：一标段：600日历天；二标段：同施工工期（含保修期）。 </w:t>
      </w:r>
    </w:p>
    <w:p>
      <w:pPr>
        <w:pStyle w:val="10"/>
        <w:spacing w:before="0" w:beforeAutospacing="0" w:after="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cs="宋体"/>
          <w:b/>
          <w:sz w:val="24"/>
        </w:rPr>
      </w:pPr>
      <w:r>
        <w:rPr>
          <w:rFonts w:hint="eastAsia" w:hAnsi="宋体" w:cs="宋体"/>
          <w:b/>
          <w:sz w:val="24"/>
        </w:rPr>
        <w:t>3、投标人资格要求</w:t>
      </w:r>
    </w:p>
    <w:p>
      <w:pPr>
        <w:tabs>
          <w:tab w:val="left" w:pos="7095"/>
        </w:tabs>
        <w:spacing w:line="360" w:lineRule="auto"/>
        <w:ind w:firstLine="480" w:firstLineChars="200"/>
        <w:rPr>
          <w:rFonts w:hAnsi="宋体" w:cs="宋体"/>
          <w:sz w:val="24"/>
        </w:rPr>
      </w:pPr>
      <w:r>
        <w:rPr>
          <w:rFonts w:hint="eastAsia" w:hAnsi="宋体" w:cs="宋体"/>
          <w:sz w:val="24"/>
        </w:rPr>
        <w:t>3.1投标人在中华人民共和国境内注册，具有独立企业法人资格，具有有效的营业执照、税务登记证、组织机构代码证（或三证合一的营业执照）。</w:t>
      </w:r>
    </w:p>
    <w:p>
      <w:pPr>
        <w:tabs>
          <w:tab w:val="left" w:pos="7095"/>
        </w:tabs>
        <w:spacing w:line="360" w:lineRule="auto"/>
        <w:ind w:firstLine="480" w:firstLineChars="200"/>
        <w:rPr>
          <w:rFonts w:hAnsi="宋体" w:cs="宋体"/>
          <w:sz w:val="24"/>
        </w:rPr>
      </w:pPr>
      <w:r>
        <w:rPr>
          <w:rFonts w:hint="eastAsia" w:hAnsi="宋体" w:cs="宋体"/>
          <w:sz w:val="24"/>
        </w:rPr>
        <w:t>3.2一标段</w:t>
      </w:r>
    </w:p>
    <w:p>
      <w:pPr>
        <w:tabs>
          <w:tab w:val="left" w:pos="7095"/>
        </w:tabs>
        <w:spacing w:line="360" w:lineRule="auto"/>
        <w:ind w:firstLine="360" w:firstLineChars="150"/>
        <w:rPr>
          <w:rFonts w:hAnsi="宋体" w:cs="宋体"/>
          <w:sz w:val="24"/>
        </w:rPr>
      </w:pPr>
      <w:r>
        <w:rPr>
          <w:rFonts w:hint="eastAsia" w:hAnsi="宋体" w:cs="宋体"/>
          <w:sz w:val="24"/>
        </w:rPr>
        <w:t>（1）投标人须建设行政主管部门颁发的</w:t>
      </w:r>
      <w:r>
        <w:rPr>
          <w:rFonts w:hint="eastAsia" w:hAnsi="宋体" w:cs="宋体"/>
          <w:kern w:val="2"/>
          <w:sz w:val="24"/>
          <w:szCs w:val="22"/>
          <w:lang w:val="zh-CN"/>
        </w:rPr>
        <w:t>建筑工程施工总承包企业资质叁级及以上资质，</w:t>
      </w:r>
      <w:r>
        <w:rPr>
          <w:rFonts w:hint="eastAsia" w:hAnsi="宋体" w:cs="宋体"/>
          <w:sz w:val="24"/>
        </w:rPr>
        <w:t>且具有有效的安全生产许可证。</w:t>
      </w:r>
    </w:p>
    <w:p>
      <w:pPr>
        <w:tabs>
          <w:tab w:val="left" w:pos="7095"/>
        </w:tabs>
        <w:spacing w:line="360" w:lineRule="auto"/>
        <w:ind w:firstLine="360" w:firstLineChars="150"/>
        <w:rPr>
          <w:rFonts w:hAnsi="宋体" w:cs="宋体"/>
          <w:sz w:val="24"/>
        </w:rPr>
      </w:pPr>
      <w:r>
        <w:rPr>
          <w:rFonts w:hint="eastAsia" w:hAnsi="宋体" w:cs="宋体"/>
          <w:sz w:val="24"/>
        </w:rPr>
        <w:t>（2）拟派项目负责人必须具备建筑工程专业贰级及以上（不含临时）注册建造师资格和有效的安全生产考核合格证，且未担任其他在施建设工程项目的项目负责人。</w:t>
      </w:r>
    </w:p>
    <w:p>
      <w:pPr>
        <w:pStyle w:val="10"/>
        <w:spacing w:before="0" w:beforeAutospacing="0" w:after="0" w:afterAutospacing="0" w:line="360" w:lineRule="auto"/>
        <w:ind w:firstLine="480" w:firstLineChars="200"/>
        <w:contextualSpacing/>
        <w:jc w:val="both"/>
        <w:rPr>
          <w:szCs w:val="24"/>
        </w:rPr>
      </w:pPr>
      <w:r>
        <w:rPr>
          <w:rFonts w:hint="eastAsia"/>
          <w:szCs w:val="24"/>
        </w:rPr>
        <w:t>二标段：</w:t>
      </w:r>
    </w:p>
    <w:p>
      <w:pPr>
        <w:pStyle w:val="10"/>
        <w:spacing w:before="0" w:beforeAutospacing="0" w:after="0" w:afterAutospacing="0" w:line="360" w:lineRule="auto"/>
        <w:ind w:firstLine="480" w:firstLineChars="200"/>
        <w:contextualSpacing/>
        <w:jc w:val="both"/>
        <w:rPr>
          <w:szCs w:val="24"/>
        </w:rPr>
      </w:pPr>
      <w:r>
        <w:rPr>
          <w:rFonts w:hint="eastAsia"/>
          <w:szCs w:val="24"/>
        </w:rPr>
        <w:t>投标人须同时具备行政主管部门颁发的工程监理综合资质或房屋建筑工程监理乙级及以上资质，具有独立法人资格，项目总监具有房屋建筑工程专业注册监理工程师资格。</w:t>
      </w:r>
    </w:p>
    <w:p>
      <w:pPr>
        <w:pStyle w:val="10"/>
        <w:spacing w:before="0" w:beforeAutospacing="0" w:after="0" w:afterAutospacing="0" w:line="360" w:lineRule="auto"/>
        <w:ind w:firstLine="480" w:firstLineChars="200"/>
        <w:contextualSpacing/>
        <w:jc w:val="both"/>
        <w:rPr>
          <w:szCs w:val="24"/>
        </w:rPr>
      </w:pPr>
      <w:r>
        <w:rPr>
          <w:rFonts w:hint="eastAsia"/>
          <w:szCs w:val="24"/>
        </w:rPr>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pStyle w:val="10"/>
        <w:spacing w:before="0" w:beforeAutospacing="0" w:after="0" w:afterAutospacing="0" w:line="360" w:lineRule="auto"/>
        <w:ind w:firstLine="480" w:firstLineChars="200"/>
        <w:contextualSpacing/>
        <w:jc w:val="both"/>
        <w:rPr>
          <w:szCs w:val="24"/>
        </w:rPr>
      </w:pPr>
      <w:r>
        <w:rPr>
          <w:rFonts w:hint="eastAsia"/>
          <w:szCs w:val="24"/>
        </w:rPr>
        <w:t>3.4本次招标不接受联合体投标。</w:t>
      </w:r>
    </w:p>
    <w:p>
      <w:pPr>
        <w:pStyle w:val="10"/>
        <w:spacing w:before="0" w:beforeAutospacing="0" w:after="0" w:afterAutospacing="0" w:line="360" w:lineRule="auto"/>
        <w:ind w:firstLine="480" w:firstLineChars="200"/>
        <w:contextualSpacing/>
        <w:jc w:val="both"/>
        <w:rPr>
          <w:szCs w:val="24"/>
        </w:rPr>
      </w:pPr>
      <w:r>
        <w:rPr>
          <w:rFonts w:hint="eastAsia"/>
          <w:szCs w:val="24"/>
        </w:rPr>
        <w:t>3.5本次招标实行资格后审。</w:t>
      </w:r>
    </w:p>
    <w:p>
      <w:pPr>
        <w:widowControl/>
        <w:spacing w:line="360" w:lineRule="auto"/>
        <w:rPr>
          <w:rFonts w:hAnsi="宋体" w:cs="宋体"/>
          <w:b/>
          <w:sz w:val="24"/>
        </w:rPr>
      </w:pPr>
      <w:r>
        <w:rPr>
          <w:rFonts w:hint="eastAsia" w:hAnsi="宋体" w:cs="宋体"/>
          <w:b/>
          <w:bCs/>
          <w:sz w:val="24"/>
        </w:rPr>
        <w:t>4、网上下载招标文件</w:t>
      </w:r>
    </w:p>
    <w:p>
      <w:pPr>
        <w:pStyle w:val="10"/>
        <w:spacing w:before="0" w:beforeAutospacing="0" w:after="0" w:afterAutospacing="0" w:line="360" w:lineRule="auto"/>
        <w:ind w:firstLine="480" w:firstLineChars="200"/>
        <w:rPr>
          <w:szCs w:val="24"/>
        </w:rPr>
      </w:pPr>
      <w:r>
        <w:rPr>
          <w:rFonts w:hint="eastAsia"/>
          <w:szCs w:val="24"/>
        </w:rPr>
        <w:t>4.1</w:t>
      </w:r>
      <w:r>
        <w:rPr>
          <w:rFonts w:hint="eastAsia"/>
        </w:rPr>
        <w:t>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0" w:beforeAutospacing="0" w:after="0" w:afterAutospacing="0" w:line="360" w:lineRule="auto"/>
        <w:ind w:firstLine="480" w:firstLineChars="200"/>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cs="宋体"/>
          <w:b/>
          <w:sz w:val="24"/>
          <w:szCs w:val="24"/>
        </w:rPr>
      </w:pPr>
      <w:r>
        <w:rPr>
          <w:rFonts w:hint="eastAsia" w:hAnsi="宋体" w:cs="宋体"/>
          <w:b/>
          <w:sz w:val="24"/>
          <w:szCs w:val="24"/>
        </w:rPr>
        <w:t>5.招标文件和施工图纸的获取</w:t>
      </w:r>
    </w:p>
    <w:p>
      <w:pPr>
        <w:widowControl/>
        <w:spacing w:line="300" w:lineRule="auto"/>
        <w:rPr>
          <w:rFonts w:hAnsi="宋体" w:cs="宋体"/>
          <w:sz w:val="24"/>
        </w:rPr>
      </w:pPr>
      <w:r>
        <w:rPr>
          <w:rFonts w:hint="eastAsia" w:hAnsi="宋体" w:cs="宋体"/>
          <w:sz w:val="24"/>
        </w:rPr>
        <w:t xml:space="preserve"> 5.1</w:t>
      </w:r>
      <w:r>
        <w:rPr>
          <w:rFonts w:hint="eastAsia" w:hAnsi="宋体"/>
          <w:sz w:val="24"/>
        </w:rPr>
        <w:t>招标文件和工程量清单的下载：投标人于投标文件递交截止时间前均可登录《全国公共资源交易平台(河南省▪许昌市)》</w:t>
      </w:r>
      <w:r>
        <w:rPr>
          <w:rFonts w:hint="eastAsia" w:hAnsi="宋体"/>
          <w:bCs/>
          <w:sz w:val="24"/>
          <w:szCs w:val="22"/>
        </w:rPr>
        <w:t>（http://www.xcggzy.gov.cn/）</w:t>
      </w:r>
      <w:r>
        <w:rPr>
          <w:rFonts w:hint="eastAsia" w:hAnsi="宋体"/>
          <w:sz w:val="24"/>
        </w:rPr>
        <w:t>，通过“投标人/供应商登录” 入口自行下载。</w:t>
      </w:r>
    </w:p>
    <w:p>
      <w:pPr>
        <w:tabs>
          <w:tab w:val="left" w:pos="7095"/>
        </w:tabs>
        <w:spacing w:line="360" w:lineRule="auto"/>
        <w:ind w:firstLine="360" w:firstLineChars="150"/>
        <w:rPr>
          <w:rFonts w:hAnsi="宋体" w:cs="宋体"/>
          <w:sz w:val="24"/>
        </w:rPr>
      </w:pPr>
      <w:r>
        <w:rPr>
          <w:rFonts w:hint="eastAsia" w:hAnsi="宋体" w:cs="宋体"/>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cs="宋体"/>
          <w:sz w:val="24"/>
        </w:rPr>
        <w:t>5.3招标文件每套售价</w:t>
      </w:r>
      <w:r>
        <w:rPr>
          <w:rFonts w:hint="eastAsia" w:hAnsi="宋体" w:cs="宋体"/>
          <w:sz w:val="24"/>
          <w:u w:val="single"/>
        </w:rPr>
        <w:t xml:space="preserve"> 300 </w:t>
      </w:r>
      <w:r>
        <w:rPr>
          <w:rFonts w:hint="eastAsia" w:hAnsi="宋体" w:cs="宋体"/>
          <w:sz w:val="24"/>
        </w:rPr>
        <w:t>元，于提交电子介质存储的投标文件时缴纳给招标代理机构，售后不退。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360" w:lineRule="auto"/>
        <w:ind w:firstLine="465"/>
        <w:rPr>
          <w:rFonts w:hAnsi="宋体" w:cs="宋体"/>
          <w:sz w:val="24"/>
        </w:rPr>
      </w:pPr>
      <w:r>
        <w:rPr>
          <w:rFonts w:hint="eastAsia" w:hAnsi="宋体" w:cs="宋体"/>
          <w:sz w:val="24"/>
        </w:rPr>
        <w:t>6.1 本项目为全流程电子化交易项目，须提交电子投标文件。</w:t>
      </w:r>
    </w:p>
    <w:p>
      <w:pPr>
        <w:spacing w:line="360" w:lineRule="auto"/>
        <w:ind w:firstLine="465"/>
        <w:rPr>
          <w:rFonts w:hAnsi="宋体" w:cs="宋体"/>
          <w:sz w:val="24"/>
        </w:rPr>
      </w:pPr>
      <w:r>
        <w:rPr>
          <w:rFonts w:hint="eastAsia" w:hAnsi="宋体" w:cs="宋体"/>
          <w:sz w:val="24"/>
        </w:rPr>
        <w:t>6.2 投标文件提交的截止时间及开标时间：2019年</w:t>
      </w:r>
      <w:r>
        <w:rPr>
          <w:rFonts w:hint="eastAsia" w:hAnsi="宋体" w:cs="宋体"/>
          <w:sz w:val="24"/>
          <w:lang w:val="en-US" w:eastAsia="zh-CN"/>
        </w:rPr>
        <w:t>2</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p>
    <w:p>
      <w:pPr>
        <w:spacing w:line="360" w:lineRule="auto"/>
        <w:ind w:firstLine="465"/>
        <w:rPr>
          <w:rFonts w:hAnsi="宋体" w:cs="宋体"/>
          <w:sz w:val="24"/>
        </w:rPr>
      </w:pPr>
      <w:r>
        <w:rPr>
          <w:rFonts w:hint="eastAsia" w:hAnsi="宋体" w:cs="宋体"/>
          <w:sz w:val="24"/>
        </w:rPr>
        <w:t>6.3电子投标文件的提交：电子投标文件应在投标文件提交截止时间（开标时间）之前成功提交至《全国公共资源交易平台(河南省▪许昌市)》公共资源交易系统，并提交1份使用电子介质存储的备份文件。</w:t>
      </w:r>
    </w:p>
    <w:p>
      <w:pPr>
        <w:spacing w:line="360" w:lineRule="auto"/>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lang w:val="en-US" w:eastAsia="zh-CN"/>
        </w:rPr>
        <w:t>一</w:t>
      </w:r>
      <w:r>
        <w:rPr>
          <w:rFonts w:hint="eastAsia" w:hAnsi="宋体" w:cs="宋体"/>
          <w:sz w:val="24"/>
        </w:rPr>
        <w:t>室。</w:t>
      </w:r>
    </w:p>
    <w:p>
      <w:pPr>
        <w:spacing w:line="360" w:lineRule="auto"/>
        <w:ind w:firstLine="465"/>
        <w:rPr>
          <w:rFonts w:hAnsi="宋体" w:cs="宋体"/>
          <w:sz w:val="24"/>
        </w:rPr>
      </w:pPr>
      <w:r>
        <w:rPr>
          <w:rFonts w:hint="eastAsia" w:hAnsi="宋体" w:cs="宋体"/>
          <w:sz w:val="24"/>
        </w:rPr>
        <w:t>6.5逾期送达的或者未送达指定地点的投标文件，招标人不予受理。</w:t>
      </w:r>
    </w:p>
    <w:p>
      <w:pPr>
        <w:spacing w:line="360" w:lineRule="auto"/>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60" w:lineRule="auto"/>
        <w:rPr>
          <w:rFonts w:hAnsi="宋体" w:cs="宋体"/>
          <w:b/>
          <w:sz w:val="24"/>
        </w:rPr>
      </w:pPr>
      <w:r>
        <w:rPr>
          <w:rFonts w:hint="eastAsia" w:hAnsi="宋体" w:cs="宋体"/>
          <w:b/>
          <w:sz w:val="24"/>
        </w:rPr>
        <w:t>8、联系方式</w:t>
      </w:r>
    </w:p>
    <w:p>
      <w:pPr>
        <w:adjustRightInd w:val="0"/>
        <w:snapToGrid w:val="0"/>
        <w:spacing w:line="360" w:lineRule="auto"/>
        <w:ind w:firstLine="480" w:firstLineChars="200"/>
        <w:jc w:val="left"/>
        <w:rPr>
          <w:rFonts w:hAnsi="宋体" w:cs="宋体"/>
          <w:sz w:val="24"/>
        </w:rPr>
      </w:pPr>
      <w:r>
        <w:rPr>
          <w:rFonts w:hint="eastAsia" w:hAnsi="宋体" w:cs="宋体"/>
          <w:sz w:val="24"/>
        </w:rPr>
        <w:t>招 标 人：许昌市中天置业有限公司</w:t>
      </w:r>
    </w:p>
    <w:p>
      <w:pPr>
        <w:adjustRightInd w:val="0"/>
        <w:snapToGrid w:val="0"/>
        <w:spacing w:line="360" w:lineRule="auto"/>
        <w:ind w:firstLine="480" w:firstLineChars="200"/>
        <w:jc w:val="left"/>
        <w:rPr>
          <w:rFonts w:asciiTheme="minorEastAsia" w:hAnsiTheme="minorEastAsia" w:eastAsiaTheme="minorEastAsia" w:cstheme="minorEastAsia"/>
          <w:kern w:val="2"/>
          <w:sz w:val="24"/>
          <w:szCs w:val="22"/>
        </w:rPr>
      </w:pPr>
      <w:r>
        <w:rPr>
          <w:rFonts w:hint="eastAsia" w:hAnsi="宋体" w:cs="宋体"/>
          <w:sz w:val="24"/>
        </w:rPr>
        <w:t>地    址：许昌市天宝路中奥鑫天东楼9023室</w:t>
      </w:r>
    </w:p>
    <w:p>
      <w:pPr>
        <w:adjustRightInd w:val="0"/>
        <w:snapToGrid w:val="0"/>
        <w:spacing w:line="360" w:lineRule="auto"/>
        <w:ind w:firstLine="480" w:firstLineChars="200"/>
        <w:jc w:val="left"/>
        <w:rPr>
          <w:rFonts w:hAnsi="宋体" w:cs="宋体"/>
          <w:sz w:val="24"/>
        </w:rPr>
      </w:pPr>
      <w:r>
        <w:rPr>
          <w:rFonts w:hint="eastAsia" w:hAnsi="宋体" w:cs="宋体"/>
          <w:sz w:val="24"/>
        </w:rPr>
        <w:t>联 系 人：翟女士</w:t>
      </w:r>
    </w:p>
    <w:p>
      <w:pPr>
        <w:adjustRightInd w:val="0"/>
        <w:snapToGrid w:val="0"/>
        <w:spacing w:line="360" w:lineRule="auto"/>
        <w:ind w:firstLine="480" w:firstLineChars="200"/>
        <w:jc w:val="left"/>
        <w:rPr>
          <w:rFonts w:hAnsi="宋体" w:cs="宋体"/>
          <w:sz w:val="24"/>
          <w:szCs w:val="22"/>
        </w:rPr>
      </w:pPr>
      <w:r>
        <w:rPr>
          <w:rFonts w:hint="eastAsia" w:hAnsi="宋体" w:cs="宋体"/>
          <w:sz w:val="24"/>
        </w:rPr>
        <w:t>电    话：13137400100</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代理机构：河南招标采购服务有限公司</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地    址：郑州市金水区纬四路13号</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联 系 人：刘女士</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联系电话：13937120256</w:t>
      </w:r>
    </w:p>
    <w:p>
      <w:pPr>
        <w:pStyle w:val="2"/>
        <w:ind w:firstLine="340"/>
        <w:rPr>
          <w:rFonts w:hAnsi="宋体" w:cs="宋体"/>
        </w:rPr>
      </w:pPr>
    </w:p>
    <w:p>
      <w:pPr>
        <w:pStyle w:val="2"/>
        <w:ind w:firstLine="240"/>
        <w:jc w:val="right"/>
        <w:rPr>
          <w:rFonts w:hAnsi="宋体" w:cs="宋体"/>
          <w:sz w:val="24"/>
          <w:szCs w:val="22"/>
        </w:rPr>
      </w:pPr>
      <w:bookmarkStart w:id="99" w:name="_GoBack"/>
      <w:bookmarkEnd w:id="99"/>
      <w:r>
        <w:rPr>
          <w:rFonts w:hint="eastAsia" w:hAnsi="宋体" w:cs="宋体"/>
          <w:sz w:val="24"/>
          <w:szCs w:val="22"/>
        </w:rPr>
        <w:t>许昌市中天置业有限公司</w:t>
      </w:r>
    </w:p>
    <w:p>
      <w:pPr>
        <w:pStyle w:val="2"/>
        <w:ind w:firstLine="240"/>
        <w:jc w:val="right"/>
        <w:rPr>
          <w:rFonts w:hAnsi="宋体" w:cs="宋体"/>
          <w:sz w:val="24"/>
          <w:szCs w:val="22"/>
        </w:rPr>
      </w:pPr>
      <w:r>
        <w:rPr>
          <w:rFonts w:hint="eastAsia" w:hAnsi="宋体" w:cs="宋体"/>
          <w:sz w:val="24"/>
          <w:szCs w:val="22"/>
        </w:rPr>
        <w:t>2019年</w:t>
      </w:r>
      <w:r>
        <w:rPr>
          <w:rFonts w:hint="eastAsia" w:hAnsi="宋体" w:cs="宋体"/>
          <w:sz w:val="24"/>
          <w:szCs w:val="22"/>
          <w:lang w:val="en-US" w:eastAsia="zh-CN"/>
        </w:rPr>
        <w:t>2</w:t>
      </w:r>
      <w:r>
        <w:rPr>
          <w:rFonts w:hint="eastAsia" w:hAnsi="宋体" w:cs="宋体"/>
          <w:sz w:val="24"/>
          <w:szCs w:val="22"/>
        </w:rPr>
        <w:t>月</w:t>
      </w:r>
      <w:r>
        <w:rPr>
          <w:rFonts w:hint="eastAsia" w:hAnsi="宋体" w:cs="宋体"/>
          <w:sz w:val="24"/>
          <w:szCs w:val="22"/>
          <w:lang w:val="en-US" w:eastAsia="zh-CN"/>
        </w:rPr>
        <w:t>3</w:t>
      </w:r>
      <w:r>
        <w:rPr>
          <w:rFonts w:hint="eastAsia" w:hAnsi="宋体" w:cs="宋体"/>
          <w:sz w:val="24"/>
          <w:szCs w:val="22"/>
        </w:rPr>
        <w:t>日</w:t>
      </w:r>
    </w:p>
    <w:p>
      <w:pPr>
        <w:pStyle w:val="2"/>
        <w:ind w:firstLine="340"/>
        <w:rPr>
          <w:rFonts w:hAnsi="宋体" w:cs="宋体"/>
        </w:rPr>
      </w:pPr>
    </w:p>
    <w:p>
      <w:pPr>
        <w:widowControl/>
        <w:spacing w:line="360" w:lineRule="auto"/>
        <w:rPr>
          <w:rFonts w:hAnsi="宋体" w:cs="宋体"/>
          <w:b/>
          <w:sz w:val="28"/>
          <w:szCs w:val="28"/>
        </w:rPr>
      </w:pPr>
      <w:r>
        <w:rPr>
          <w:rFonts w:hint="eastAsia" w:hAnsi="宋体" w:cs="宋体"/>
          <w:b/>
          <w:sz w:val="28"/>
          <w:szCs w:val="28"/>
        </w:rPr>
        <w:t>温馨提示：</w:t>
      </w:r>
    </w:p>
    <w:p>
      <w:pPr>
        <w:spacing w:line="360" w:lineRule="auto"/>
        <w:ind w:firstLine="562" w:firstLineChars="200"/>
        <w:rPr>
          <w:rFonts w:hAnsi="宋体" w:cs="宋体"/>
          <w:b/>
          <w:sz w:val="28"/>
          <w:szCs w:val="28"/>
        </w:rPr>
      </w:pPr>
      <w:r>
        <w:rPr>
          <w:rFonts w:hint="eastAsia" w:hAnsi="宋体" w:cs="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cs="宋体"/>
          <w:b/>
          <w:sz w:val="24"/>
        </w:rPr>
      </w:pPr>
      <w:r>
        <w:rPr>
          <w:rFonts w:hint="eastAsia" w:hAnsi="宋体" w:cs="宋体"/>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cs="宋体"/>
          <w:b/>
          <w:sz w:val="24"/>
        </w:rPr>
      </w:pPr>
      <w:r>
        <w:rPr>
          <w:rFonts w:hint="eastAsia" w:hAnsi="宋体" w:cs="宋体"/>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Ansi="宋体" w:cs="宋体"/>
          <w:b/>
          <w:sz w:val="24"/>
        </w:rPr>
      </w:pPr>
      <w:r>
        <w:rPr>
          <w:rFonts w:hint="eastAsia" w:hAnsi="宋体" w:cs="宋体"/>
          <w:b/>
          <w:sz w:val="24"/>
        </w:rPr>
        <w:t>3.电子投标文件的制作</w:t>
      </w:r>
    </w:p>
    <w:p>
      <w:pPr>
        <w:tabs>
          <w:tab w:val="left" w:pos="7095"/>
        </w:tabs>
        <w:spacing w:line="360" w:lineRule="auto"/>
        <w:ind w:firstLine="480" w:firstLineChars="200"/>
        <w:contextualSpacing/>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15"/>
          <w:rFonts w:hint="eastAsia" w:hAnsi="宋体" w:cs="宋体"/>
          <w:sz w:val="24"/>
        </w:rPr>
        <w:t>http://221.14.6.70:8088/ggzy/</w:t>
      </w:r>
      <w:r>
        <w:rPr>
          <w:rStyle w:val="15"/>
          <w:rFonts w:hint="eastAsia" w:hAnsi="宋体" w:cs="宋体"/>
          <w:sz w:val="24"/>
        </w:rPr>
        <w:fldChar w:fldCharType="end"/>
      </w:r>
      <w:r>
        <w:rPr>
          <w:rFonts w:hint="eastAsia" w:hAnsi="宋体" w:cs="宋体"/>
          <w:sz w:val="24"/>
        </w:rPr>
        <w:t>）下载“许昌投标文件制作系统SEARUN V1.1”，按招标文件要求制作电子投标文件。</w:t>
      </w:r>
    </w:p>
    <w:p>
      <w:pPr>
        <w:tabs>
          <w:tab w:val="left" w:pos="7095"/>
        </w:tabs>
        <w:spacing w:line="360" w:lineRule="auto"/>
        <w:ind w:firstLine="480" w:firstLineChars="200"/>
        <w:contextualSpacing/>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Ansi="宋体" w:cs="宋体"/>
          <w:b/>
          <w:sz w:val="24"/>
        </w:rPr>
      </w:pPr>
      <w:r>
        <w:rPr>
          <w:rFonts w:hint="eastAsia" w:hAnsi="宋体" w:cs="宋体"/>
          <w:b/>
          <w:sz w:val="24"/>
        </w:rPr>
        <w:t>4.电子投标文件的提交</w:t>
      </w:r>
    </w:p>
    <w:p>
      <w:pPr>
        <w:tabs>
          <w:tab w:val="left" w:pos="7095"/>
        </w:tabs>
        <w:spacing w:line="360" w:lineRule="auto"/>
        <w:contextualSpacing/>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5"/>
          <w:rFonts w:hint="eastAsia" w:hAnsi="宋体" w:cs="宋体"/>
          <w:sz w:val="24"/>
        </w:rPr>
        <w:t>http://221.14.6.70:8088/ggzy/</w:t>
      </w:r>
      <w:r>
        <w:rPr>
          <w:rStyle w:val="15"/>
          <w:rFonts w:hint="eastAsia" w:hAnsi="宋体" w:cs="宋体"/>
          <w:sz w:val="24"/>
        </w:rPr>
        <w:fldChar w:fldCharType="end"/>
      </w:r>
      <w:r>
        <w:rPr>
          <w:rFonts w:hint="eastAsia" w:hAnsi="宋体" w:cs="宋体"/>
          <w:sz w:val="24"/>
        </w:rPr>
        <w:t>）。</w:t>
      </w:r>
    </w:p>
    <w:p>
      <w:pPr>
        <w:tabs>
          <w:tab w:val="left" w:pos="7095"/>
        </w:tabs>
        <w:spacing w:line="360" w:lineRule="auto"/>
        <w:ind w:firstLine="480" w:firstLineChars="200"/>
        <w:contextualSpacing/>
        <w:rPr>
          <w:rFonts w:hAnsi="宋体" w:cs="宋体"/>
          <w:sz w:val="24"/>
        </w:rPr>
      </w:pPr>
      <w:r>
        <w:rPr>
          <w:rFonts w:hint="eastAsia" w:hAnsi="宋体" w:cs="宋体"/>
          <w:sz w:val="24"/>
        </w:rPr>
        <w:t>投标人应充分考虑并预留技术处理和上传数据所需时间。</w:t>
      </w:r>
    </w:p>
    <w:p>
      <w:pPr>
        <w:tabs>
          <w:tab w:val="left" w:pos="7095"/>
        </w:tabs>
        <w:spacing w:line="360" w:lineRule="auto"/>
        <w:ind w:firstLine="480" w:firstLineChars="200"/>
        <w:contextualSpacing/>
        <w:rPr>
          <w:rFonts w:hAnsi="宋体" w:cs="宋体"/>
          <w:sz w:val="24"/>
        </w:rPr>
      </w:pPr>
      <w:r>
        <w:rPr>
          <w:rFonts w:hint="eastAsia" w:hAnsi="宋体" w:cs="宋体"/>
          <w:sz w:val="24"/>
        </w:rPr>
        <w:t>4.2 投标人对同一项目多个标段进行投标的，电子投标文件应按标段分别提交。</w:t>
      </w:r>
    </w:p>
    <w:p>
      <w:pPr>
        <w:tabs>
          <w:tab w:val="left" w:pos="7095"/>
        </w:tabs>
        <w:spacing w:line="360" w:lineRule="auto"/>
        <w:ind w:firstLine="480" w:firstLineChars="200"/>
        <w:contextualSpacing/>
        <w:rPr>
          <w:rFonts w:hAnsi="宋体" w:cs="宋体"/>
          <w:sz w:val="24"/>
        </w:rPr>
      </w:pPr>
      <w:r>
        <w:rPr>
          <w:rFonts w:hint="eastAsia" w:hAnsi="宋体" w:cs="宋体"/>
          <w:sz w:val="24"/>
        </w:rPr>
        <w:t>4.3 电子投标文件成功提交后，投标人应打印“投标文件提交回执单”，供开标现场备查。</w:t>
      </w:r>
    </w:p>
    <w:p>
      <w:pPr>
        <w:tabs>
          <w:tab w:val="left" w:pos="7095"/>
        </w:tabs>
        <w:spacing w:line="360" w:lineRule="auto"/>
        <w:ind w:firstLine="482" w:firstLineChars="200"/>
        <w:contextualSpacing/>
        <w:rPr>
          <w:rFonts w:hAnsi="宋体" w:cs="宋体"/>
          <w:b/>
          <w:sz w:val="24"/>
        </w:rPr>
      </w:pPr>
      <w:r>
        <w:rPr>
          <w:rFonts w:hint="eastAsia" w:hAnsi="宋体" w:cs="宋体"/>
          <w:b/>
          <w:sz w:val="24"/>
        </w:rPr>
        <w:t>5.评标依据</w:t>
      </w:r>
    </w:p>
    <w:p>
      <w:pPr>
        <w:tabs>
          <w:tab w:val="left" w:pos="7095"/>
        </w:tabs>
        <w:spacing w:line="360" w:lineRule="auto"/>
        <w:ind w:firstLine="480" w:firstLineChars="200"/>
        <w:contextualSpacing/>
        <w:rPr>
          <w:rFonts w:hAnsi="宋体" w:cs="宋体"/>
          <w:sz w:val="24"/>
        </w:rPr>
      </w:pPr>
      <w:r>
        <w:rPr>
          <w:rFonts w:hint="eastAsia" w:hAnsi="宋体" w:cs="宋体"/>
          <w:sz w:val="24"/>
        </w:rPr>
        <w:t>5.1采用全流程电子化交易评标时，评标委员会以电子投标文件为依据评标。</w:t>
      </w:r>
    </w:p>
    <w:p>
      <w:pPr>
        <w:tabs>
          <w:tab w:val="left" w:pos="7095"/>
        </w:tabs>
        <w:spacing w:line="336" w:lineRule="auto"/>
        <w:ind w:firstLine="480" w:firstLineChars="200"/>
        <w:contextualSpacing/>
        <w:rPr>
          <w:rFonts w:hAnsi="宋体" w:cs="宋体"/>
          <w:sz w:val="24"/>
          <w:szCs w:val="24"/>
        </w:rPr>
      </w:pPr>
      <w:r>
        <w:rPr>
          <w:rFonts w:hint="eastAsia" w:hAnsi="宋体" w:cs="宋体"/>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cs="宋体"/>
          <w:sz w:val="24"/>
          <w:szCs w:val="24"/>
        </w:rPr>
      </w:pPr>
    </w:p>
    <w:p>
      <w:pPr>
        <w:pStyle w:val="4"/>
        <w:jc w:val="center"/>
        <w:rPr>
          <w:rFonts w:asciiTheme="minorEastAsia" w:hAnsiTheme="minorEastAsia" w:eastAsiaTheme="minorEastAsia" w:cstheme="minorEastAsia"/>
        </w:rPr>
      </w:pPr>
      <w:r>
        <w:rPr>
          <w:rFonts w:hint="eastAsia" w:hAnsi="宋体" w:cs="宋体"/>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1"/>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条款名称</w:t>
            </w:r>
          </w:p>
        </w:tc>
        <w:tc>
          <w:tcPr>
            <w:tcW w:w="6412"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w:t>
            </w:r>
          </w:p>
        </w:tc>
        <w:tc>
          <w:tcPr>
            <w:tcW w:w="6412"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 标 人：许昌中天置业有限公司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w:t>
            </w:r>
            <w:r>
              <w:rPr>
                <w:rFonts w:hint="eastAsia" w:hAnsi="宋体" w:cs="宋体"/>
                <w:sz w:val="24"/>
              </w:rPr>
              <w:t>许昌市天宝路中奥鑫天东楼9023室</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 系 人：翟女士</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    话：13137400100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w:t>
            </w:r>
          </w:p>
        </w:tc>
        <w:tc>
          <w:tcPr>
            <w:tcW w:w="6412"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代理机构：河南招标采购服务有限公司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址：郑州市金水区纬四路13号</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 系 人：刘宝丰</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联系电话：13937120256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412"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许昌中天置业有限公司红星广场（一期）项目</w:t>
            </w:r>
          </w:p>
        </w:tc>
      </w:tr>
      <w:tr>
        <w:tblPrEx>
          <w:tblLayout w:type="fixed"/>
          <w:tblCellMar>
            <w:top w:w="0" w:type="dxa"/>
            <w:left w:w="108" w:type="dxa"/>
            <w:bottom w:w="0" w:type="dxa"/>
            <w:right w:w="108" w:type="dxa"/>
          </w:tblCellMar>
        </w:tblPrEx>
        <w:trPr>
          <w:trHeight w:val="46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建设地点</w:t>
            </w:r>
          </w:p>
        </w:tc>
        <w:tc>
          <w:tcPr>
            <w:tcW w:w="6412"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4"/>
              </w:rPr>
              <w:t>许昌市城区延安路以西、帝豪路以南,许继大道以北、灞陵路以东。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资金来源</w:t>
            </w:r>
          </w:p>
        </w:tc>
        <w:tc>
          <w:tcPr>
            <w:tcW w:w="6412"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出资比例</w:t>
            </w:r>
          </w:p>
        </w:tc>
        <w:tc>
          <w:tcPr>
            <w:tcW w:w="6412"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资金落实情况</w:t>
            </w:r>
          </w:p>
        </w:tc>
        <w:tc>
          <w:tcPr>
            <w:tcW w:w="6412"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招标范围</w:t>
            </w:r>
          </w:p>
        </w:tc>
        <w:tc>
          <w:tcPr>
            <w:tcW w:w="6412"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计划工期</w:t>
            </w:r>
          </w:p>
        </w:tc>
        <w:tc>
          <w:tcPr>
            <w:tcW w:w="6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质量要求</w:t>
            </w:r>
          </w:p>
        </w:tc>
        <w:tc>
          <w:tcPr>
            <w:tcW w:w="6412"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投标人资质条件</w:t>
            </w:r>
          </w:p>
        </w:tc>
        <w:tc>
          <w:tcPr>
            <w:tcW w:w="6412" w:type="dxa"/>
            <w:gridSpan w:val="2"/>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1、投标人在中华人民共和国境内注册，具有独立企业法人资格，具有有效的营业执照、税务登记证、组织机构代码证（或三证合一的营业执照）。</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2、一标段</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（1）投标人须建设行政主管部门颁发的建筑工程施工总承包企业资质叁级及以上资质，且具有有效的安全生产许可证。</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 xml:space="preserve">（2）拟派项目负责人必须具备建筑工程专业贰级及以上（不含临时）注册建造师资格和有效的安全生产考核合格证，且未担任其他在施建设工程项目的项目负责人。 </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 w:val="24"/>
                <w:szCs w:val="22"/>
                <w:lang w:val="zh-CN"/>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是否接受联合体投标</w:t>
            </w:r>
          </w:p>
        </w:tc>
        <w:tc>
          <w:tcPr>
            <w:tcW w:w="6412"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踏勘现场</w:t>
            </w:r>
          </w:p>
        </w:tc>
        <w:tc>
          <w:tcPr>
            <w:tcW w:w="6412"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投标预备会</w:t>
            </w:r>
          </w:p>
        </w:tc>
        <w:tc>
          <w:tcPr>
            <w:tcW w:w="6412"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投标人提出问题的截止时间</w:t>
            </w:r>
          </w:p>
        </w:tc>
        <w:tc>
          <w:tcPr>
            <w:tcW w:w="6412"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1.10.3</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招标人澄清的时间</w:t>
            </w:r>
          </w:p>
        </w:tc>
        <w:tc>
          <w:tcPr>
            <w:tcW w:w="6412"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分包</w:t>
            </w:r>
          </w:p>
        </w:tc>
        <w:tc>
          <w:tcPr>
            <w:tcW w:w="6412"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偏离</w:t>
            </w:r>
          </w:p>
        </w:tc>
        <w:tc>
          <w:tcPr>
            <w:tcW w:w="6412"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图纸的获取</w:t>
            </w:r>
          </w:p>
        </w:tc>
        <w:tc>
          <w:tcPr>
            <w:tcW w:w="6412"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32"/>
              </w:rPr>
            </w:pPr>
            <w:r>
              <w:rPr>
                <w:rFonts w:hint="eastAsia" w:asciiTheme="minorEastAsia" w:hAnsiTheme="minorEastAsia" w:eastAsiaTheme="minorEastAsia" w:cstheme="minorEastAsia"/>
                <w:kern w:val="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kern w:val="2"/>
                <w:sz w:val="24"/>
                <w:szCs w:val="22"/>
              </w:rPr>
              <w:t>http://www.xcggzy.gov.cn/</w:t>
            </w:r>
            <w:r>
              <w:rPr>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构成招标文件的其他材料</w:t>
            </w:r>
          </w:p>
        </w:tc>
        <w:tc>
          <w:tcPr>
            <w:tcW w:w="6412"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投标人要求澄清招标文件的截止时间</w:t>
            </w:r>
          </w:p>
        </w:tc>
        <w:tc>
          <w:tcPr>
            <w:tcW w:w="6412"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hAnsi="宋体" w:cs="宋体"/>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投标截止时间</w:t>
            </w:r>
          </w:p>
        </w:tc>
        <w:tc>
          <w:tcPr>
            <w:tcW w:w="6412"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hAnsi="宋体" w:cs="宋体"/>
                <w:sz w:val="24"/>
              </w:rPr>
              <w:t>2019年</w:t>
            </w:r>
            <w:r>
              <w:rPr>
                <w:rFonts w:hint="eastAsia" w:hAnsi="宋体" w:cs="宋体"/>
                <w:sz w:val="24"/>
                <w:lang w:val="en-US" w:eastAsia="zh-CN"/>
              </w:rPr>
              <w:t>2</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r>
              <w:rPr>
                <w:rFonts w:hint="eastAsia" w:asciiTheme="minorEastAsia" w:hAnsiTheme="minorEastAsia" w:eastAsiaTheme="minorEastAsia" w:cstheme="minorEastAsia"/>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投标人确认收到招标文件澄清的时间</w:t>
            </w:r>
          </w:p>
        </w:tc>
        <w:tc>
          <w:tcPr>
            <w:tcW w:w="6412"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投标人确认收到招标文件修改的时间</w:t>
            </w:r>
          </w:p>
        </w:tc>
        <w:tc>
          <w:tcPr>
            <w:tcW w:w="6412"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构成投标文件的其他材料</w:t>
            </w:r>
          </w:p>
        </w:tc>
        <w:tc>
          <w:tcPr>
            <w:tcW w:w="6412"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412"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bookmarkStart w:id="6" w:name="OLE_LINK3" w:colFirst="0" w:colLast="2"/>
            <w:bookmarkStart w:id="7" w:name="OLE_LINK4" w:colFirst="0" w:colLast="2"/>
            <w:bookmarkStart w:id="8" w:name="_Hlk424659721"/>
            <w:r>
              <w:rPr>
                <w:rFonts w:hint="eastAsia" w:asciiTheme="minorEastAsia" w:hAnsiTheme="minorEastAsia" w:eastAsiaTheme="minorEastAsia" w:cstheme="minorEastAsia"/>
                <w:kern w:val="2"/>
                <w:sz w:val="24"/>
                <w:szCs w:val="22"/>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投标保证金须知</w:t>
            </w:r>
          </w:p>
        </w:tc>
        <w:tc>
          <w:tcPr>
            <w:tcW w:w="6412"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tc>
        <w:tc>
          <w:tcPr>
            <w:tcW w:w="6412"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投标保证金递交截止时间：同投标截止时间。</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一标段：</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金额：大写：捌拾万元整（小写¥：800000元）</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kern w:val="2"/>
                <w:sz w:val="24"/>
                <w:szCs w:val="22"/>
                <w:lang w:val="zh-CN"/>
              </w:rPr>
              <w:t>http://221.14.6.70:8088/ggzy</w:t>
            </w:r>
            <w:r>
              <w:rPr>
                <w:rFonts w:hint="eastAsia" w:asciiTheme="minorEastAsia" w:hAnsiTheme="minorEastAsia" w:eastAsiaTheme="minorEastAsia" w:cstheme="minorEastAsia"/>
                <w:kern w:val="2"/>
                <w:sz w:val="24"/>
                <w:szCs w:val="22"/>
                <w:lang w:val="zh-CN"/>
              </w:rPr>
              <w:fldChar w:fldCharType="end"/>
            </w:r>
            <w:r>
              <w:rPr>
                <w:rFonts w:hint="eastAsia" w:asciiTheme="minorEastAsia" w:hAnsiTheme="minorEastAsia" w:eastAsiaTheme="minorEastAsia" w:cstheme="minorEastAsia"/>
                <w:kern w:val="2"/>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3.5.2</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近年财务状况要求</w:t>
            </w:r>
          </w:p>
        </w:tc>
        <w:tc>
          <w:tcPr>
            <w:tcW w:w="6412" w:type="dxa"/>
            <w:gridSpan w:val="2"/>
            <w:vAlign w:val="center"/>
          </w:tcPr>
          <w:p>
            <w:pPr>
              <w:autoSpaceDE w:val="0"/>
              <w:autoSpaceDN w:val="0"/>
              <w:adjustRightInd w:val="0"/>
              <w:jc w:val="left"/>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kern w:val="2"/>
                <w:sz w:val="24"/>
                <w:szCs w:val="22"/>
              </w:rPr>
              <w:t>近年，指</w:t>
            </w:r>
            <w:r>
              <w:rPr>
                <w:rFonts w:hint="eastAsia" w:asciiTheme="minorEastAsia" w:hAnsiTheme="minorEastAsia" w:eastAsiaTheme="minorEastAsia" w:cstheme="minorEastAsia"/>
                <w:kern w:val="2"/>
                <w:sz w:val="24"/>
                <w:szCs w:val="22"/>
                <w:lang w:val="en-US" w:eastAsia="zh-CN"/>
              </w:rPr>
              <w:t>2015、</w:t>
            </w:r>
            <w:r>
              <w:rPr>
                <w:rFonts w:hint="eastAsia" w:asciiTheme="minorEastAsia" w:hAnsiTheme="minorEastAsia" w:eastAsiaTheme="minorEastAsia" w:cstheme="minorEastAsia"/>
                <w:kern w:val="2"/>
                <w:sz w:val="24"/>
                <w:szCs w:val="22"/>
              </w:rPr>
              <w:t>201</w:t>
            </w:r>
            <w:r>
              <w:rPr>
                <w:rFonts w:hint="eastAsia" w:asciiTheme="minorEastAsia" w:hAnsiTheme="minorEastAsia" w:eastAsiaTheme="minorEastAsia" w:cstheme="minorEastAsia"/>
                <w:kern w:val="2"/>
                <w:sz w:val="24"/>
                <w:szCs w:val="22"/>
                <w:lang w:val="en-US" w:eastAsia="zh-CN"/>
              </w:rPr>
              <w:t>6</w:t>
            </w:r>
            <w:r>
              <w:rPr>
                <w:rFonts w:hint="eastAsia" w:asciiTheme="minorEastAsia" w:hAnsiTheme="minorEastAsia" w:eastAsiaTheme="minorEastAsia" w:cstheme="minorEastAsia"/>
                <w:kern w:val="2"/>
                <w:sz w:val="24"/>
                <w:szCs w:val="22"/>
              </w:rPr>
              <w:t>、201</w:t>
            </w:r>
            <w:r>
              <w:rPr>
                <w:rFonts w:hint="eastAsia" w:asciiTheme="minorEastAsia" w:hAnsiTheme="minorEastAsia" w:eastAsiaTheme="minorEastAsia" w:cstheme="minorEastAsia"/>
                <w:kern w:val="2"/>
                <w:sz w:val="24"/>
                <w:szCs w:val="22"/>
                <w:lang w:val="en-US" w:eastAsia="zh-CN"/>
              </w:rPr>
              <w:t>7</w:t>
            </w:r>
            <w:r>
              <w:rPr>
                <w:rFonts w:hint="eastAsia" w:asciiTheme="minorEastAsia" w:hAnsiTheme="minorEastAsia" w:eastAsiaTheme="minorEastAsia" w:cstheme="minorEastAsia"/>
                <w:kern w:val="2"/>
                <w:sz w:val="24"/>
                <w:szCs w:val="22"/>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近年完成的类似项目</w:t>
            </w:r>
          </w:p>
        </w:tc>
        <w:tc>
          <w:tcPr>
            <w:tcW w:w="6412"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近年，指201</w:t>
            </w:r>
            <w:r>
              <w:rPr>
                <w:rFonts w:hint="eastAsia" w:asciiTheme="minorEastAsia" w:hAnsiTheme="minorEastAsia" w:eastAsiaTheme="minorEastAsia" w:cstheme="minorEastAsia"/>
                <w:kern w:val="2"/>
                <w:sz w:val="24"/>
                <w:szCs w:val="22"/>
                <w:lang w:val="en-US" w:eastAsia="zh-CN"/>
              </w:rPr>
              <w:t>5</w:t>
            </w:r>
            <w:r>
              <w:rPr>
                <w:rFonts w:hint="eastAsia" w:asciiTheme="minorEastAsia" w:hAnsiTheme="minorEastAsia" w:eastAsiaTheme="minorEastAsia" w:cstheme="minorEastAsia"/>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近年发生的诉讼及仲裁</w:t>
            </w:r>
          </w:p>
        </w:tc>
        <w:tc>
          <w:tcPr>
            <w:tcW w:w="6412"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是否允许递交备选投标方案</w:t>
            </w:r>
          </w:p>
        </w:tc>
        <w:tc>
          <w:tcPr>
            <w:tcW w:w="6412"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签字或盖章要求</w:t>
            </w:r>
          </w:p>
        </w:tc>
        <w:tc>
          <w:tcPr>
            <w:tcW w:w="6412"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投标文件份数</w:t>
            </w:r>
          </w:p>
        </w:tc>
        <w:tc>
          <w:tcPr>
            <w:tcW w:w="6412"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装订要求</w:t>
            </w:r>
          </w:p>
        </w:tc>
        <w:tc>
          <w:tcPr>
            <w:tcW w:w="6412"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使用电子介质存储的投标文件单独密封、盖章，并在开标现场提交。</w:t>
            </w:r>
          </w:p>
        </w:tc>
      </w:tr>
      <w:tr>
        <w:tblPrEx>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电子版封套上写明</w:t>
            </w:r>
          </w:p>
        </w:tc>
        <w:tc>
          <w:tcPr>
            <w:tcW w:w="6412"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招标人地址：</w:t>
            </w:r>
          </w:p>
          <w:p>
            <w:pPr>
              <w:autoSpaceDE w:val="0"/>
              <w:autoSpaceDN w:val="0"/>
              <w:adjustRightInd w:val="0"/>
              <w:spacing w:line="360" w:lineRule="exact"/>
              <w:jc w:val="left"/>
              <w:rPr>
                <w:rFonts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招标人名称：</w:t>
            </w:r>
            <w:r>
              <w:rPr>
                <w:rFonts w:hint="eastAsia" w:asciiTheme="minorEastAsia" w:hAnsiTheme="minorEastAsia" w:eastAsiaTheme="minorEastAsia"/>
                <w:kern w:val="2"/>
                <w:sz w:val="24"/>
                <w:szCs w:val="22"/>
              </w:rPr>
              <w:t>　</w:t>
            </w:r>
          </w:p>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rPr>
            </w:pPr>
            <w:r>
              <w:rPr>
                <w:rFonts w:hint="eastAsia" w:asciiTheme="minorEastAsia" w:hAnsiTheme="minorEastAsia" w:eastAsiaTheme="minorEastAsia"/>
                <w:kern w:val="2"/>
                <w:sz w:val="24"/>
                <w:szCs w:val="22"/>
                <w:u w:val="single"/>
              </w:rPr>
              <w:t xml:space="preserve">         （工程名称、标段）     </w:t>
            </w:r>
            <w:r>
              <w:rPr>
                <w:rFonts w:hint="eastAsia" w:cs="仿宋_GB2312" w:asciiTheme="minorEastAsia" w:hAnsiTheme="minorEastAsia" w:eastAsiaTheme="minorEastAsia"/>
                <w:kern w:val="2"/>
                <w:sz w:val="24"/>
                <w:szCs w:val="22"/>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cs="仿宋_GB2312" w:asciiTheme="minorEastAsia" w:hAnsiTheme="minorEastAsia" w:eastAsiaTheme="minorEastAsia"/>
                <w:kern w:val="2"/>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递交投标文件地点</w:t>
            </w:r>
          </w:p>
        </w:tc>
        <w:tc>
          <w:tcPr>
            <w:tcW w:w="6412"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u w:val="single"/>
              </w:rPr>
            </w:pPr>
            <w:r>
              <w:rPr>
                <w:rFonts w:hint="eastAsia" w:asciiTheme="minorEastAsia" w:hAnsiTheme="minorEastAsia" w:eastAsiaTheme="minorEastAsia" w:cstheme="minorEastAsia"/>
                <w:kern w:val="2"/>
                <w:sz w:val="24"/>
                <w:szCs w:val="22"/>
              </w:rPr>
              <w:t>许昌市公共资源交易中心开标</w:t>
            </w:r>
            <w:r>
              <w:rPr>
                <w:rFonts w:hint="eastAsia" w:asciiTheme="minorEastAsia" w:hAnsiTheme="minorEastAsia" w:eastAsiaTheme="minorEastAsia" w:cstheme="minorEastAsia"/>
                <w:kern w:val="2"/>
                <w:sz w:val="24"/>
                <w:szCs w:val="22"/>
                <w:lang w:val="en-US" w:eastAsia="zh-CN"/>
              </w:rPr>
              <w:t>一</w:t>
            </w:r>
            <w:r>
              <w:rPr>
                <w:rFonts w:hint="eastAsia" w:asciiTheme="minorEastAsia" w:hAnsiTheme="minorEastAsia" w:eastAsiaTheme="minorEastAsia" w:cstheme="minorEastAsia"/>
                <w:kern w:val="2"/>
                <w:sz w:val="24"/>
                <w:szCs w:val="22"/>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是否退还投标文件</w:t>
            </w:r>
          </w:p>
        </w:tc>
        <w:tc>
          <w:tcPr>
            <w:tcW w:w="6412"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开标时间和地点</w:t>
            </w:r>
          </w:p>
        </w:tc>
        <w:tc>
          <w:tcPr>
            <w:tcW w:w="6412"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开标地点：许昌市公共资源交易中心开标</w:t>
            </w:r>
            <w:r>
              <w:rPr>
                <w:rFonts w:hint="eastAsia" w:asciiTheme="minorEastAsia" w:hAnsiTheme="minorEastAsia" w:eastAsiaTheme="minorEastAsia" w:cstheme="minorEastAsia"/>
                <w:kern w:val="2"/>
                <w:sz w:val="24"/>
                <w:szCs w:val="22"/>
                <w:lang w:val="en-US" w:eastAsia="zh-CN"/>
              </w:rPr>
              <w:t>一</w:t>
            </w:r>
            <w:r>
              <w:rPr>
                <w:rFonts w:hint="eastAsia" w:asciiTheme="minorEastAsia" w:hAnsiTheme="minorEastAsia" w:eastAsiaTheme="minorEastAsia" w:cstheme="minorEastAsia"/>
                <w:kern w:val="2"/>
                <w:sz w:val="24"/>
                <w:szCs w:val="22"/>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开标程序</w:t>
            </w:r>
          </w:p>
        </w:tc>
        <w:tc>
          <w:tcPr>
            <w:tcW w:w="6412"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评标委员会的组建</w:t>
            </w:r>
          </w:p>
        </w:tc>
        <w:tc>
          <w:tcPr>
            <w:tcW w:w="6412" w:type="dxa"/>
            <w:gridSpan w:val="2"/>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评标委员会构成（共7人）：从河南省综合评标专家库中随机抽取5人和具有相应能力的招标人代表2人组成评标委员会。（其中注册造价工程师不少于2人）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是否授权评标委员会确定中标人</w:t>
            </w:r>
          </w:p>
        </w:tc>
        <w:tc>
          <w:tcPr>
            <w:tcW w:w="6412"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2"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62"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类似项目</w:t>
            </w:r>
          </w:p>
        </w:tc>
        <w:tc>
          <w:tcPr>
            <w:tcW w:w="7214" w:type="dxa"/>
            <w:gridSpan w:val="3"/>
            <w:vAlign w:val="center"/>
          </w:tcPr>
          <w:p>
            <w:pPr>
              <w:autoSpaceDE w:val="0"/>
              <w:autoSpaceDN w:val="0"/>
              <w:adjustRightInd w:val="0"/>
              <w:spacing w:line="420" w:lineRule="exact"/>
              <w:jc w:val="left"/>
              <w:rPr>
                <w:rFonts w:asciiTheme="minorEastAsia" w:hAnsiTheme="minorEastAsia" w:eastAsiaTheme="minorEastAsia" w:cstheme="minorEastAsia"/>
                <w:kern w:val="2"/>
                <w:szCs w:val="22"/>
              </w:rPr>
            </w:pPr>
            <w:r>
              <w:rPr>
                <w:rFonts w:hint="eastAsia" w:hAnsi="宋体" w:cs="宋体"/>
                <w:sz w:val="24"/>
              </w:rPr>
              <w:t>指 201</w:t>
            </w:r>
            <w:r>
              <w:rPr>
                <w:rFonts w:hint="eastAsia" w:hAnsi="宋体" w:cs="宋体"/>
                <w:sz w:val="24"/>
                <w:lang w:val="en-US" w:eastAsia="zh-CN"/>
              </w:rPr>
              <w:t>5</w:t>
            </w:r>
            <w:r>
              <w:rPr>
                <w:rFonts w:hint="eastAsia" w:hAnsi="宋体" w:cs="宋体"/>
                <w:sz w:val="24"/>
              </w:rPr>
              <w:t>年1月1日以来（以合同签订时间为准）以来已经完成的单项合同金额不低于本项目招标控制价的房屋建筑工程。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62"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招标控制价</w:t>
            </w:r>
          </w:p>
        </w:tc>
        <w:tc>
          <w:tcPr>
            <w:tcW w:w="7214"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本工程设招标控制价：</w:t>
            </w:r>
          </w:p>
          <w:p>
            <w:pPr>
              <w:autoSpaceDE w:val="0"/>
              <w:autoSpaceDN w:val="0"/>
              <w:adjustRightInd w:val="0"/>
              <w:spacing w:line="420" w:lineRule="exact"/>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大写：捌仟捌佰零捌万陆仟贰佰肆拾陆元零角壹分</w:t>
            </w:r>
          </w:p>
          <w:p>
            <w:pPr>
              <w:autoSpaceDE w:val="0"/>
              <w:autoSpaceDN w:val="0"/>
              <w:adjustRightInd w:val="0"/>
              <w:spacing w:line="420" w:lineRule="exact"/>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小写：¥ 88086246.01元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技术标是否采用“暗标”评审方式</w:t>
            </w:r>
          </w:p>
        </w:tc>
        <w:tc>
          <w:tcPr>
            <w:tcW w:w="5748" w:type="dxa"/>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spacing w:line="312" w:lineRule="auto"/>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bCs/>
                <w:kern w:val="2"/>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numPr>
                <w:ilvl w:val="0"/>
                <w:numId w:val="2"/>
              </w:numPr>
              <w:spacing w:line="276"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rPr>
              <w:t>《河南省电子招标投标公共服务平台》</w:t>
            </w:r>
            <w:r>
              <w:rPr>
                <w:rFonts w:hint="eastAsia" w:asciiTheme="minorEastAsia" w:hAnsiTheme="minorEastAsia" w:eastAsiaTheme="minorEastAsia" w:cstheme="minorEastAsia"/>
                <w:kern w:val="2"/>
                <w:sz w:val="24"/>
                <w:szCs w:val="22"/>
              </w:rPr>
              <w:t>予以公示，公示期不少于3日。</w:t>
            </w:r>
          </w:p>
          <w:p>
            <w:pPr>
              <w:spacing w:line="276"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bCs/>
                <w:kern w:val="2"/>
                <w:sz w:val="24"/>
                <w:szCs w:val="22"/>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做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62"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62" w:type="dxa"/>
            <w:gridSpan w:val="6"/>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2"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rPr>
            </w:pPr>
            <w:bookmarkStart w:id="9" w:name="_Toc225243456"/>
            <w:bookmarkStart w:id="10" w:name="_Toc283559965"/>
            <w:r>
              <w:rPr>
                <w:rFonts w:hint="eastAsia" w:asciiTheme="minorEastAsia" w:hAnsiTheme="minorEastAsia" w:eastAsiaTheme="minorEastAsia" w:cstheme="minorEastAsia"/>
                <w:kern w:val="2"/>
                <w:sz w:val="24"/>
                <w:szCs w:val="22"/>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785"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4、开标时法人或授权委托人（持有效的授权委托书）未携带本人身份证到开标现场并签到的。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2"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10.12.1</w:t>
            </w:r>
          </w:p>
        </w:tc>
        <w:tc>
          <w:tcPr>
            <w:tcW w:w="8785"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10.12.2</w:t>
            </w:r>
          </w:p>
        </w:tc>
        <w:tc>
          <w:tcPr>
            <w:tcW w:w="8785" w:type="dxa"/>
            <w:gridSpan w:val="4"/>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付款方式：</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1、单体一次结构主体封顶付至其合同总款的55%；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2、单体二次结构完成付至总款的65%；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3、单体内外粉刷、门窗完成付至总款的75%；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4、单体工程竣工具备验收条件累计付至其总款85%；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5、单体竣工验收完成付至其总款的95%；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6、单体竣工结算完成付至其总款的97%；</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7、其余3%为质保金。</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 投标人应具备承担本项目施工的资质条件、能力和信誉。</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（1）资质条件：见投标人须知前附表；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（2）项目负责人资格：见投标人须知前附表；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（3）财务要求：见投标人须知前附表；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（4）业绩要求：见投标人须知前附表；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（5）其他要求：见投标人须知前附表。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1.4.2 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bookmarkStart w:id="13" w:name="_Toc179632552"/>
      <w:bookmarkStart w:id="14" w:name="_Toc144974503"/>
      <w:bookmarkStart w:id="15" w:name="_Toc152045535"/>
      <w:bookmarkStart w:id="16" w:name="_Toc152042311"/>
      <w:r>
        <w:rPr>
          <w:rFonts w:hint="eastAsia" w:asciiTheme="minorEastAsia" w:hAnsiTheme="minorEastAsia" w:eastAsiaTheme="minorEastAsia" w:cstheme="minorEastAsia"/>
          <w:sz w:val="24"/>
          <w:szCs w:val="22"/>
        </w:rPr>
        <w:t>（1）为招标人不具有独立法人资格的附属机构（单位）；</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（2）为本招标项目前期准备提供设计或咨询服务的；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（3）为本招标项目的监理人；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（4）为本招标项目的代建人；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（5）为本招标项目提供招标代理服务的；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（6）与本招标项目的监理人或代建人或招标代理机构同为一个法定代表人的；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（7）与本招标项目的监理人或代建人或招标代理机构相互控股或参股的；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（8）与本招标项目的监理人或代建人或招标代理机构相互任职或工作的；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（12）在最近三年内有骗取中标或严重违约或重大工程质量问题的；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（13）经认定会对承担本项目造成重大影响的正在诉讼的案件。</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1.4.3 单位负责人为同一人或者存在控股、管理关系的不同单位，不得同时参加本招标项目投标。</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5536"/>
      <w:bookmarkStart w:id="18" w:name="_Toc152042312"/>
      <w:bookmarkStart w:id="19" w:name="_Toc144974504"/>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79632554"/>
      <w:bookmarkStart w:id="23" w:name="_Toc152042313"/>
      <w:bookmarkStart w:id="24" w:name="_Toc152045537"/>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52042314"/>
      <w:bookmarkStart w:id="26" w:name="_Toc152045538"/>
      <w:bookmarkStart w:id="27" w:name="_Toc179632555"/>
      <w:bookmarkStart w:id="28" w:name="_Toc144974506"/>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6"/>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spacing w:line="450" w:lineRule="exact"/>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50" w:lineRule="exact"/>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2.2.3 所有澄清、答疑全部以公共资源交易系统电子平台发出的为准，不再接受书面形式的递交。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当招标文件（含评标、定标办法）、补充通知、答疑纪要，内容相互矛盾时，以最后发出的通知或纪要为准。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52045546"/>
      <w:bookmarkStart w:id="37" w:name="_Toc152042322"/>
      <w:bookmarkStart w:id="38" w:name="_Toc144974514"/>
      <w:bookmarkStart w:id="39" w:name="_Toc17963256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3060"/>
        </w:tabs>
        <w:autoSpaceDE w:val="0"/>
        <w:autoSpaceDN w:val="0"/>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w:t>
      </w:r>
      <w:bookmarkEnd w:id="41"/>
      <w:r>
        <w:rPr>
          <w:rFonts w:hint="eastAsia" w:asciiTheme="minorEastAsia" w:hAnsiTheme="minorEastAsia" w:eastAsiaTheme="minorEastAsia" w:cstheme="minorEastAsia"/>
          <w:b/>
          <w:sz w:val="24"/>
          <w:szCs w:val="24"/>
        </w:rPr>
        <w:t>（1）按照住建部《建设工程工程量清单计价规范》（GB50857-2013）及省住建厅有关规定，安全文明施工措施费为不可竞争费用；规费和税金应按规定费（税）率足额计取，即费（税）率不可竞争。规费、税金、安全文明施工措施费计入投标总报价，并在投标函、投标函附录中单列，不参与商务标评审。</w:t>
      </w:r>
    </w:p>
    <w:p>
      <w:pPr>
        <w:tabs>
          <w:tab w:val="left" w:pos="3060"/>
        </w:tabs>
        <w:autoSpaceDE w:val="0"/>
        <w:autoSpaceDN w:val="0"/>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（2）根据《关于调整河南省建设工程安全文明施工措施费计取办法的通知》（豫建设标【2014】57号）规定，措施费项目中的安全文明施工措施费属不可竞争费用。</w:t>
      </w:r>
    </w:p>
    <w:p>
      <w:pPr>
        <w:tabs>
          <w:tab w:val="left" w:pos="3060"/>
        </w:tabs>
        <w:autoSpaceDE w:val="0"/>
        <w:autoSpaceDN w:val="0"/>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3060"/>
        </w:tabs>
        <w:autoSpaceDE w:val="0"/>
        <w:autoSpaceDN w:val="0"/>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3060"/>
        </w:tabs>
        <w:autoSpaceDE w:val="0"/>
        <w:autoSpaceDN w:val="0"/>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投标人网上报名后</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szCs w:val="22"/>
        </w:rPr>
        <w:t>http://221.14.6.70:8088/ggzy</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lang w:val="zh-CN"/>
        </w:rPr>
        <w:t>系统</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依次点击</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会员向导</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参与投标</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费用缴纳说明</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保证金缴纳说明单</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获取缴费说明单</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根据每个标段的缴纳说明单在缴纳截止时间前缴纳</w:t>
      </w:r>
      <w:r>
        <w:rPr>
          <w:rFonts w:hint="eastAsia" w:asciiTheme="minorEastAsia" w:hAnsiTheme="minorEastAsia" w:eastAsiaTheme="minorEastAsia" w:cstheme="minorEastAsia"/>
          <w:sz w:val="24"/>
          <w:szCs w:val="22"/>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成功缴纳后重新登录前述系统</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依次点击</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会员向导</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参与投标</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保证金绑定</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绑定</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3.4.2.3 每个投标人每个项目每个标段只有唯一缴纳账号，</w:t>
      </w:r>
      <w:r>
        <w:rPr>
          <w:rFonts w:hint="eastAsia" w:asciiTheme="minorEastAsia" w:hAnsiTheme="minorEastAsia" w:eastAsiaTheme="minorEastAsia" w:cstheme="minorEastAsia"/>
          <w:sz w:val="24"/>
          <w:szCs w:val="22"/>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3.4.2.4</w:t>
      </w:r>
      <w:r>
        <w:rPr>
          <w:rFonts w:hint="eastAsia" w:asciiTheme="minorEastAsia" w:hAnsiTheme="minorEastAsia" w:eastAsiaTheme="minorEastAsia" w:cstheme="minorEastAsia"/>
          <w:sz w:val="24"/>
          <w:szCs w:val="22"/>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 xml:space="preserve">3.4.2.6 </w:t>
      </w:r>
      <w:r>
        <w:rPr>
          <w:rFonts w:hint="eastAsia" w:asciiTheme="minorEastAsia" w:hAnsiTheme="minorEastAsia" w:eastAsiaTheme="minorEastAsia" w:cstheme="minorEastAsia"/>
          <w:sz w:val="24"/>
          <w:szCs w:val="22"/>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（3）项目废标或招标人终止招标的，在此后5个工作日内退还投标保证金及银行同期活期存利息。</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（8）特殊情况处理</w:t>
      </w:r>
    </w:p>
    <w:p>
      <w:pPr>
        <w:tabs>
          <w:tab w:val="left" w:pos="1260"/>
        </w:tabs>
        <w:autoSpaceDE w:val="0"/>
        <w:autoSpaceDN w:val="0"/>
        <w:adjustRightInd w:val="0"/>
        <w:spacing w:line="440" w:lineRule="exact"/>
        <w:ind w:firstLine="480" w:firstLineChars="200"/>
        <w:jc w:val="left"/>
        <w:rPr>
          <w:rFonts w:hAnsi="宋体" w:cs="宋体"/>
          <w:sz w:val="21"/>
          <w:szCs w:val="21"/>
        </w:rPr>
      </w:pPr>
      <w:r>
        <w:rPr>
          <w:rFonts w:hint="eastAsia" w:asciiTheme="minorEastAsia" w:hAnsiTheme="minorEastAsia" w:eastAsiaTheme="minorEastAsia" w:cstheme="minor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（3）将中标项目转让给他人，或者在投标文件中未说明，且未经招标人同意，将中标项目分包给他人的；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44974521"/>
      <w:bookmarkStart w:id="45" w:name="_Toc152045553"/>
      <w:bookmarkStart w:id="46" w:name="_Toc179632571"/>
      <w:bookmarkStart w:id="47" w:name="_Toc152042329"/>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79632587"/>
      <w:bookmarkStart w:id="61" w:name="_Toc152045569"/>
      <w:bookmarkStart w:id="62" w:name="_Toc144974537"/>
      <w:bookmarkStart w:id="63" w:name="_Toc152042345"/>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60"/>
      <w:bookmarkEnd w:id="61"/>
      <w:bookmarkEnd w:id="62"/>
      <w:bookmarkEnd w:id="63"/>
      <w:bookmarkStart w:id="64" w:name="_Toc283559977"/>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6"/>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6"/>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请将上述问题的澄清、说明或者补正于  年  月  日 时前密封递交至 </w:t>
      </w:r>
      <w:r>
        <w:rPr>
          <w:rFonts w:hint="eastAsia" w:asciiTheme="minorEastAsia" w:hAnsiTheme="minorEastAsia" w:eastAsiaTheme="minorEastAsia" w:cstheme="minorEastAsia"/>
          <w:sz w:val="24"/>
          <w:u w:val="single"/>
        </w:rPr>
        <w:t>（详细地址）</w:t>
      </w:r>
      <w:r>
        <w:rPr>
          <w:rFonts w:hint="eastAsia" w:asciiTheme="minorEastAsia" w:hAnsiTheme="minorEastAsia" w:eastAsiaTheme="minorEastAsia" w:cstheme="minorEastAsia"/>
          <w:sz w:val="24"/>
        </w:rPr>
        <w:t>。</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招标评标委员会</w:t>
      </w:r>
    </w:p>
    <w:p>
      <w:pPr>
        <w:spacing w:line="48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6720" w:firstLineChars="28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pStyle w:val="2"/>
        <w:ind w:firstLine="0" w:firstLineChars="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w:t>
      </w:r>
      <w:r>
        <w:rPr>
          <w:rFonts w:hint="eastAsia" w:asciiTheme="minorEastAsia" w:hAnsiTheme="minorEastAsia" w:eastAsiaTheme="minorEastAsia" w:cstheme="minorEastAsia"/>
          <w:sz w:val="24"/>
          <w:u w:val="single"/>
        </w:rPr>
        <w:t>编号：</w:t>
      </w:r>
      <w:r>
        <w:rPr>
          <w:rFonts w:hint="eastAsia" w:asciiTheme="minorEastAsia" w:hAnsiTheme="minorEastAsia" w:eastAsiaTheme="minorEastAsia" w:cstheme="minorEastAsia"/>
          <w:sz w:val="24"/>
        </w:rPr>
        <w:t>）已收悉，现澄清、说明或者补正如下：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2081"/>
      <w:bookmarkStart w:id="76"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二、评标由招标人依法组建的评标委员会负责，评标委员会成员从河南省综合评标专家库中随机抽取5人和招标人代表2人组成，其中注册造价工程师不少于2人。与投标人有利害关系的专家不得进入评标委员会。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3546398"/>
      <w:bookmarkStart w:id="78" w:name="_Toc295572535"/>
      <w:bookmarkStart w:id="79" w:name="_Toc272833453"/>
      <w:bookmarkStart w:id="80" w:name="_Toc270931534"/>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综合单价=人工费+材料费+机械费+管理费+利润之和；</w:t>
            </w:r>
          </w:p>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asciiTheme="minorEastAsia" w:hAnsiTheme="minorEastAsia" w:eastAsiaTheme="minorEastAsia" w:cstheme="minorEastAsia"/>
          <w:b/>
          <w:sz w:val="24"/>
          <w:szCs w:val="24"/>
        </w:rPr>
        <w:t>（1）</w:t>
      </w: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（3）投标人是否符合国家或者招标文件规定的资格条件，项目负责人是否符合招标文件规定的资格要求；</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（6）投标内容、投标范围、工期、工程质量、投标有效期、付款方式是否符合招标文件规定；</w:t>
      </w:r>
    </w:p>
    <w:p>
      <w:pPr>
        <w:widowControl/>
        <w:spacing w:line="4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widowControl/>
        <w:spacing w:line="400" w:lineRule="exact"/>
        <w:ind w:firstLine="480" w:firstLineChars="200"/>
        <w:jc w:val="left"/>
        <w:rPr>
          <w:rFonts w:asciiTheme="minorEastAsia" w:hAnsiTheme="minorEastAsia" w:eastAsiaTheme="minorEastAsia" w:cstheme="minorEastAsia"/>
          <w:sz w:val="24"/>
        </w:rPr>
      </w:pPr>
      <w:r>
        <w:rPr>
          <w:rFonts w:hint="eastAsia" w:ascii="新宋体" w:hAnsi="新宋体" w:eastAsia="新宋体" w:cs="宋体"/>
          <w:bCs/>
          <w:sz w:val="24"/>
          <w:szCs w:val="22"/>
        </w:rPr>
        <w:t>（8）未被列入“信用中国”网站(www.creditchina.gov.cn)失信被执行人名单的投标人。</w:t>
      </w:r>
      <w:r>
        <w:rPr>
          <w:rFonts w:hint="eastAsia" w:hAnsi="宋体"/>
          <w:sz w:val="24"/>
          <w:szCs w:val="24"/>
        </w:rPr>
        <w:t>未被工商行政管理机关在全国企业信用信息公示系统中（www.gsxt.gov.cn）列入严重违法失信企业名单的投标人。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numPr>
          <w:ilvl w:val="0"/>
          <w:numId w:val="3"/>
        </w:numPr>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详细评审</w:t>
      </w:r>
    </w:p>
    <w:p>
      <w:pPr>
        <w:spacing w:line="400" w:lineRule="exact"/>
        <w:ind w:firstLine="480" w:firstLineChars="200"/>
        <w:rPr>
          <w:rFonts w:asciiTheme="minorEastAsia" w:hAnsiTheme="minorEastAsia" w:eastAsiaTheme="minorEastAsia" w:cstheme="minorEastAsia"/>
          <w:b/>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w:t>
      </w:r>
      <w:r>
        <w:rPr>
          <w:rFonts w:hint="eastAsia" w:asciiTheme="minorEastAsia" w:hAnsiTheme="minorEastAsia" w:eastAsiaTheme="minorEastAsia" w:cstheme="minorEastAsia"/>
          <w:b/>
          <w:bCs/>
          <w:sz w:val="24"/>
          <w:szCs w:val="24"/>
          <w:shd w:val="clear" w:color="auto" w:fill="FFFFFF"/>
        </w:rPr>
        <w:t>（一）工程量清单总报价评标基准价按下列公式确定：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numPr>
          <w:ilvl w:val="0"/>
          <w:numId w:val="4"/>
        </w:num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技术标（20分）</w:t>
      </w:r>
    </w:p>
    <w:p>
      <w:pPr>
        <w:pStyle w:val="2"/>
        <w:ind w:left="360" w:firstLine="0" w:firstLineChars="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评审内容：</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highlight w:val="yellow"/>
        </w:rPr>
      </w:pPr>
      <w:r>
        <w:rPr>
          <w:rFonts w:hint="eastAsia" w:hAnsi="宋体" w:cs="宋体"/>
          <w:b/>
          <w:bCs/>
          <w:sz w:val="24"/>
          <w:szCs w:val="24"/>
          <w:highlight w:val="yellow"/>
        </w:rPr>
        <w:t>（四）综合（信用）标（20分）</w:t>
      </w:r>
    </w:p>
    <w:p>
      <w:pPr>
        <w:spacing w:line="360" w:lineRule="auto"/>
        <w:rPr>
          <w:color w:val="000000"/>
          <w:sz w:val="24"/>
          <w:szCs w:val="24"/>
          <w:highlight w:val="yellow"/>
        </w:rPr>
      </w:pPr>
      <w:r>
        <w:rPr>
          <w:rFonts w:hint="eastAsia"/>
          <w:b/>
          <w:bCs/>
          <w:color w:val="000000"/>
          <w:sz w:val="24"/>
          <w:szCs w:val="24"/>
          <w:highlight w:val="yellow"/>
        </w:rPr>
        <w:t xml:space="preserve"> 1、项目班子配备0-3分</w:t>
      </w:r>
    </w:p>
    <w:p>
      <w:pPr>
        <w:spacing w:line="360" w:lineRule="auto"/>
        <w:rPr>
          <w:color w:val="000000"/>
          <w:sz w:val="24"/>
          <w:szCs w:val="24"/>
          <w:highlight w:val="yellow"/>
        </w:rPr>
      </w:pPr>
      <w:r>
        <w:rPr>
          <w:rFonts w:hint="eastAsia"/>
          <w:color w:val="000000"/>
          <w:sz w:val="24"/>
          <w:szCs w:val="24"/>
          <w:highlight w:val="yellow"/>
        </w:rPr>
        <w:t xml:space="preserve">    1.1拟派项目</w:t>
      </w:r>
      <w:r>
        <w:rPr>
          <w:rFonts w:hint="eastAsia"/>
          <w:color w:val="0000FF"/>
          <w:sz w:val="24"/>
          <w:szCs w:val="24"/>
          <w:highlight w:val="yellow"/>
        </w:rPr>
        <w:t>技术负责人为中级</w:t>
      </w:r>
      <w:r>
        <w:rPr>
          <w:rFonts w:hint="eastAsia"/>
          <w:color w:val="000000"/>
          <w:sz w:val="24"/>
          <w:szCs w:val="24"/>
          <w:highlight w:val="yellow"/>
        </w:rPr>
        <w:t>及以上者得1分（以人社部门颁发的证书为准）。</w:t>
      </w:r>
    </w:p>
    <w:p>
      <w:pPr>
        <w:spacing w:line="360" w:lineRule="auto"/>
        <w:ind w:firstLine="480"/>
        <w:rPr>
          <w:sz w:val="24"/>
          <w:szCs w:val="24"/>
          <w:highlight w:val="yellow"/>
        </w:rPr>
      </w:pPr>
      <w:r>
        <w:rPr>
          <w:rFonts w:hint="eastAsia"/>
          <w:color w:val="000000"/>
          <w:sz w:val="24"/>
          <w:szCs w:val="24"/>
          <w:highlight w:val="yellow"/>
        </w:rPr>
        <w:t>1.2拟派项目班子中</w:t>
      </w:r>
      <w:r>
        <w:rPr>
          <w:rFonts w:hint="eastAsia" w:hAnsi="宋体" w:cs="宋体"/>
          <w:bCs/>
          <w:color w:val="0000FF"/>
          <w:sz w:val="24"/>
          <w:highlight w:val="yellow"/>
        </w:rPr>
        <w:t>施工员、质量员、安全员、材料员、预算员、资料员、机械员、测量员、劳务员、取样员</w:t>
      </w:r>
      <w:r>
        <w:rPr>
          <w:rFonts w:hint="eastAsia"/>
          <w:color w:val="000000"/>
          <w:sz w:val="24"/>
          <w:szCs w:val="24"/>
          <w:highlight w:val="yellow"/>
        </w:rPr>
        <w:t>证件齐全者得2分，</w:t>
      </w:r>
      <w:r>
        <w:rPr>
          <w:rFonts w:hint="eastAsia"/>
          <w:sz w:val="24"/>
          <w:szCs w:val="24"/>
          <w:highlight w:val="yellow"/>
        </w:rPr>
        <w:t>缺1个本项得0分（须提供近期社保证明）。</w:t>
      </w:r>
    </w:p>
    <w:p>
      <w:pPr>
        <w:spacing w:line="360" w:lineRule="auto"/>
        <w:ind w:firstLine="480"/>
        <w:rPr>
          <w:rFonts w:hAnsi="宋体" w:cs="宋体"/>
          <w:sz w:val="24"/>
          <w:szCs w:val="24"/>
          <w:highlight w:val="yellow"/>
        </w:rPr>
      </w:pPr>
      <w:r>
        <w:rPr>
          <w:rFonts w:hint="eastAsia" w:hAnsi="宋体" w:cs="宋体"/>
          <w:b/>
          <w:bCs/>
          <w:sz w:val="24"/>
          <w:szCs w:val="24"/>
          <w:highlight w:val="yellow"/>
        </w:rPr>
        <w:t>2、</w:t>
      </w:r>
      <w:r>
        <w:rPr>
          <w:rFonts w:hint="eastAsia"/>
          <w:b/>
          <w:bCs/>
          <w:color w:val="000000"/>
          <w:sz w:val="24"/>
          <w:szCs w:val="24"/>
          <w:highlight w:val="yellow"/>
        </w:rPr>
        <w:t>企业综合信用0-10分</w:t>
      </w:r>
    </w:p>
    <w:p>
      <w:pPr>
        <w:autoSpaceDE w:val="0"/>
        <w:autoSpaceDN w:val="0"/>
        <w:snapToGrid w:val="0"/>
        <w:spacing w:line="360" w:lineRule="auto"/>
        <w:ind w:firstLine="480" w:firstLineChars="200"/>
        <w:jc w:val="left"/>
        <w:rPr>
          <w:rFonts w:hAnsi="宋体" w:cs="宋体"/>
          <w:sz w:val="24"/>
          <w:szCs w:val="24"/>
          <w:highlight w:val="yellow"/>
        </w:rPr>
      </w:pPr>
      <w:r>
        <w:rPr>
          <w:rFonts w:hint="eastAsia" w:hAnsi="宋体" w:cs="宋体"/>
          <w:color w:val="000000"/>
          <w:sz w:val="24"/>
          <w:highlight w:val="yellow"/>
        </w:rPr>
        <w:t>2.1 自</w:t>
      </w:r>
      <w:r>
        <w:rPr>
          <w:rFonts w:hint="eastAsia" w:ascii="新宋体" w:hAnsi="新宋体" w:eastAsia="新宋体"/>
          <w:color w:val="000000"/>
          <w:sz w:val="24"/>
          <w:highlight w:val="yellow"/>
        </w:rPr>
        <w:t>2015年1月1日以来</w:t>
      </w:r>
      <w:r>
        <w:rPr>
          <w:rFonts w:hint="eastAsia" w:cs="宋体"/>
          <w:color w:val="000000"/>
          <w:sz w:val="24"/>
          <w:highlight w:val="yellow"/>
        </w:rPr>
        <w:t>企业具有</w:t>
      </w:r>
      <w:r>
        <w:rPr>
          <w:rFonts w:hint="eastAsia" w:cs="宋体"/>
          <w:color w:val="0000FF"/>
          <w:sz w:val="24"/>
          <w:highlight w:val="yellow"/>
        </w:rPr>
        <w:t>类似工程施工业绩</w:t>
      </w:r>
      <w:r>
        <w:rPr>
          <w:rFonts w:hint="eastAsia" w:cs="宋体"/>
          <w:color w:val="000000"/>
          <w:sz w:val="24"/>
          <w:highlight w:val="yellow"/>
        </w:rPr>
        <w:t>者每项得1分，本项最高得2分。（以施工合同和竣工验收备案表为准或以施工合同和中标通知书为准）。</w:t>
      </w:r>
    </w:p>
    <w:p>
      <w:pPr>
        <w:spacing w:line="440" w:lineRule="exact"/>
        <w:ind w:firstLine="480" w:firstLineChars="200"/>
        <w:rPr>
          <w:rFonts w:hAnsi="宋体" w:cs="宋体"/>
          <w:bCs/>
          <w:sz w:val="24"/>
          <w:highlight w:val="yellow"/>
        </w:rPr>
      </w:pPr>
      <w:r>
        <w:rPr>
          <w:rFonts w:hint="eastAsia" w:hAnsi="宋体" w:cs="宋体"/>
          <w:bCs/>
          <w:sz w:val="24"/>
          <w:highlight w:val="yellow"/>
        </w:rPr>
        <w:t>2.2 2015年1月1日以来企业获得</w:t>
      </w:r>
      <w:r>
        <w:rPr>
          <w:rFonts w:hint="eastAsia" w:hAnsi="宋体" w:cs="宋体"/>
          <w:bCs/>
          <w:color w:val="FF0000"/>
          <w:sz w:val="24"/>
          <w:highlight w:val="yellow"/>
        </w:rPr>
        <w:t>优秀或先进施工企业</w:t>
      </w:r>
      <w:r>
        <w:rPr>
          <w:rFonts w:hint="eastAsia" w:hAnsi="宋体" w:cs="宋体"/>
          <w:bCs/>
          <w:sz w:val="24"/>
          <w:highlight w:val="yellow"/>
        </w:rPr>
        <w:t>的，省级及以上得2分，市级得1分，本项最高得2分。（</w:t>
      </w:r>
      <w:r>
        <w:rPr>
          <w:rFonts w:hint="eastAsia"/>
          <w:sz w:val="24"/>
          <w:szCs w:val="24"/>
          <w:highlight w:val="yellow"/>
        </w:rPr>
        <w:t>需提供获奖证书和同级奖励文件扫描件，以证书时间为准</w:t>
      </w:r>
      <w:r>
        <w:rPr>
          <w:rFonts w:hint="eastAsia" w:hAnsi="宋体" w:cs="宋体"/>
          <w:bCs/>
          <w:sz w:val="24"/>
          <w:highlight w:val="yellow"/>
        </w:rPr>
        <w:t>）。</w:t>
      </w:r>
    </w:p>
    <w:p>
      <w:pPr>
        <w:spacing w:line="440" w:lineRule="exact"/>
        <w:ind w:firstLine="480" w:firstLineChars="200"/>
        <w:rPr>
          <w:rFonts w:hAnsi="宋体" w:cs="宋体"/>
          <w:bCs/>
          <w:sz w:val="24"/>
          <w:highlight w:val="yellow"/>
        </w:rPr>
      </w:pPr>
      <w:r>
        <w:rPr>
          <w:rFonts w:hint="eastAsia" w:hAnsi="宋体" w:cs="宋体"/>
          <w:bCs/>
          <w:sz w:val="24"/>
          <w:highlight w:val="yellow"/>
        </w:rPr>
        <w:t>2.3 2015年1月1日以来企业</w:t>
      </w:r>
      <w:r>
        <w:rPr>
          <w:rFonts w:hint="eastAsia" w:hAnsi="宋体" w:cs="宋体"/>
          <w:bCs/>
          <w:color w:val="FF0000"/>
          <w:sz w:val="24"/>
          <w:highlight w:val="yellow"/>
        </w:rPr>
        <w:t>被建设工程招标投标协会命名为招标投标诚实守信单位的</w:t>
      </w:r>
      <w:r>
        <w:rPr>
          <w:rFonts w:hint="eastAsia" w:hAnsi="宋体" w:cs="宋体"/>
          <w:bCs/>
          <w:sz w:val="24"/>
          <w:highlight w:val="yellow"/>
        </w:rPr>
        <w:t>，省级及以上得2分，市级得1分，本项最高得2分。（</w:t>
      </w:r>
      <w:r>
        <w:rPr>
          <w:rFonts w:hint="eastAsia"/>
          <w:sz w:val="24"/>
          <w:szCs w:val="24"/>
          <w:highlight w:val="yellow"/>
        </w:rPr>
        <w:t>需提供获奖证书和同级奖励文件扫描件，以证书时间为准</w:t>
      </w:r>
      <w:r>
        <w:rPr>
          <w:rFonts w:hint="eastAsia" w:hAnsi="宋体" w:cs="宋体"/>
          <w:bCs/>
          <w:sz w:val="24"/>
          <w:highlight w:val="yellow"/>
        </w:rPr>
        <w:t>）。</w:t>
      </w:r>
    </w:p>
    <w:p>
      <w:pPr>
        <w:spacing w:line="440" w:lineRule="exact"/>
        <w:ind w:firstLine="480" w:firstLineChars="200"/>
        <w:rPr>
          <w:rFonts w:hAnsi="宋体" w:cs="宋体"/>
          <w:sz w:val="24"/>
          <w:szCs w:val="24"/>
          <w:highlight w:val="yellow"/>
        </w:rPr>
      </w:pPr>
      <w:r>
        <w:rPr>
          <w:rFonts w:hint="eastAsia" w:hAnsi="宋体" w:cs="宋体"/>
          <w:bCs/>
          <w:sz w:val="24"/>
          <w:highlight w:val="yellow"/>
        </w:rPr>
        <w:t>2.4 2015年1月1日以来企业获得</w:t>
      </w:r>
      <w:r>
        <w:rPr>
          <w:rFonts w:hint="eastAsia" w:hAnsi="宋体" w:cs="宋体"/>
          <w:bCs/>
          <w:color w:val="FF0000"/>
          <w:sz w:val="24"/>
          <w:highlight w:val="yellow"/>
        </w:rPr>
        <w:t>工商行政管理部门颁发的“守合同重信用”企业</w:t>
      </w:r>
      <w:r>
        <w:rPr>
          <w:rFonts w:hint="eastAsia" w:hAnsi="宋体" w:cs="宋体"/>
          <w:bCs/>
          <w:sz w:val="24"/>
          <w:highlight w:val="yellow"/>
        </w:rPr>
        <w:t>的得2分。（</w:t>
      </w:r>
      <w:r>
        <w:rPr>
          <w:rFonts w:hint="eastAsia"/>
          <w:sz w:val="24"/>
          <w:szCs w:val="24"/>
          <w:highlight w:val="yellow"/>
        </w:rPr>
        <w:t>需提供获奖证书扫描件，以证书时间为准</w:t>
      </w:r>
      <w:r>
        <w:rPr>
          <w:rFonts w:hint="eastAsia" w:hAnsi="宋体" w:cs="宋体"/>
          <w:bCs/>
          <w:sz w:val="24"/>
          <w:highlight w:val="yellow"/>
        </w:rPr>
        <w:t>）。</w:t>
      </w:r>
    </w:p>
    <w:p>
      <w:pPr>
        <w:autoSpaceDE w:val="0"/>
        <w:autoSpaceDN w:val="0"/>
        <w:snapToGrid w:val="0"/>
        <w:spacing w:line="360" w:lineRule="auto"/>
        <w:ind w:firstLine="480" w:firstLineChars="200"/>
        <w:jc w:val="left"/>
        <w:rPr>
          <w:rFonts w:cs="宋体"/>
          <w:color w:val="000000"/>
          <w:sz w:val="24"/>
          <w:highlight w:val="yellow"/>
        </w:rPr>
      </w:pPr>
      <w:r>
        <w:rPr>
          <w:rFonts w:hint="eastAsia" w:cs="宋体"/>
          <w:color w:val="000000"/>
          <w:sz w:val="24"/>
          <w:highlight w:val="yellow"/>
        </w:rPr>
        <w:t>2.5企业取得质量、职业健康安全、环境管理体系的，三证齐全者得1分。</w:t>
      </w:r>
    </w:p>
    <w:p>
      <w:pPr>
        <w:autoSpaceDE w:val="0"/>
        <w:autoSpaceDN w:val="0"/>
        <w:snapToGrid w:val="0"/>
        <w:spacing w:line="360" w:lineRule="auto"/>
        <w:ind w:firstLine="480" w:firstLineChars="200"/>
        <w:jc w:val="left"/>
        <w:rPr>
          <w:rFonts w:cs="宋体"/>
          <w:color w:val="000000"/>
          <w:sz w:val="24"/>
          <w:highlight w:val="yellow"/>
        </w:rPr>
      </w:pPr>
      <w:r>
        <w:rPr>
          <w:rFonts w:hint="eastAsia" w:cs="宋体"/>
          <w:color w:val="000000"/>
          <w:sz w:val="24"/>
          <w:highlight w:val="yellow"/>
        </w:rPr>
        <w:t>2.6投标人提供</w:t>
      </w:r>
      <w:r>
        <w:rPr>
          <w:rFonts w:hint="eastAsia" w:cs="宋体"/>
          <w:color w:val="0000FF"/>
          <w:sz w:val="24"/>
          <w:highlight w:val="yellow"/>
        </w:rPr>
        <w:t>企业所在地税务主管部门出具的纳税情况证明</w:t>
      </w:r>
      <w:r>
        <w:rPr>
          <w:rFonts w:hint="eastAsia" w:cs="宋体"/>
          <w:color w:val="000000"/>
          <w:sz w:val="24"/>
          <w:highlight w:val="yellow"/>
        </w:rPr>
        <w:t>等信用情况，无不良信息者得1分，未提供或有不良信息者不得分，本项最高得1分。</w:t>
      </w:r>
    </w:p>
    <w:p>
      <w:pPr>
        <w:adjustRightInd w:val="0"/>
        <w:snapToGrid w:val="0"/>
        <w:spacing w:line="360" w:lineRule="auto"/>
        <w:ind w:firstLine="361" w:firstLineChars="150"/>
        <w:rPr>
          <w:rFonts w:hAnsi="宋体" w:cs="宋体"/>
          <w:sz w:val="24"/>
          <w:szCs w:val="24"/>
          <w:highlight w:val="yellow"/>
        </w:rPr>
      </w:pPr>
      <w:r>
        <w:rPr>
          <w:rFonts w:hint="eastAsia" w:hAnsi="宋体" w:cs="宋体"/>
          <w:b/>
          <w:bCs/>
          <w:sz w:val="24"/>
          <w:szCs w:val="24"/>
          <w:highlight w:val="yellow"/>
        </w:rPr>
        <w:t>3、项目负责人业绩及信用</w:t>
      </w:r>
      <w:r>
        <w:rPr>
          <w:rFonts w:hint="eastAsia"/>
          <w:b/>
          <w:bCs/>
          <w:color w:val="000000"/>
          <w:sz w:val="24"/>
          <w:szCs w:val="24"/>
          <w:highlight w:val="yellow"/>
        </w:rPr>
        <w:t>0-2</w:t>
      </w:r>
      <w:r>
        <w:rPr>
          <w:rFonts w:hint="eastAsia" w:hAnsi="宋体" w:cs="宋体"/>
          <w:b/>
          <w:bCs/>
          <w:sz w:val="24"/>
          <w:szCs w:val="24"/>
          <w:highlight w:val="yellow"/>
        </w:rPr>
        <w:t>分</w:t>
      </w:r>
    </w:p>
    <w:p>
      <w:pPr>
        <w:spacing w:line="440" w:lineRule="exact"/>
        <w:ind w:firstLine="480" w:firstLineChars="200"/>
        <w:rPr>
          <w:rFonts w:hAnsi="宋体" w:cs="宋体"/>
          <w:bCs/>
          <w:sz w:val="24"/>
          <w:highlight w:val="yellow"/>
        </w:rPr>
      </w:pPr>
      <w:r>
        <w:rPr>
          <w:rFonts w:hint="eastAsia" w:hAnsi="宋体" w:cs="宋体"/>
          <w:bCs/>
          <w:sz w:val="24"/>
          <w:highlight w:val="yellow"/>
        </w:rPr>
        <w:t>3.1 拟派</w:t>
      </w:r>
      <w:r>
        <w:rPr>
          <w:rFonts w:hint="eastAsia" w:hAnsi="宋体" w:cs="宋体"/>
          <w:bCs/>
          <w:color w:val="0000FF"/>
          <w:sz w:val="24"/>
          <w:highlight w:val="yellow"/>
        </w:rPr>
        <w:t>项目负责人为中级及以上职称者得1分</w:t>
      </w:r>
      <w:r>
        <w:rPr>
          <w:rFonts w:hint="eastAsia" w:hAnsi="宋体" w:cs="宋体"/>
          <w:bCs/>
          <w:sz w:val="24"/>
          <w:highlight w:val="yellow"/>
        </w:rPr>
        <w:t>。（以人社部门颁发的职称证书为准）</w:t>
      </w:r>
    </w:p>
    <w:p>
      <w:pPr>
        <w:spacing w:line="440" w:lineRule="exact"/>
        <w:ind w:firstLine="480" w:firstLineChars="200"/>
        <w:rPr>
          <w:rFonts w:hAnsi="宋体" w:cs="宋体"/>
          <w:sz w:val="24"/>
          <w:szCs w:val="24"/>
          <w:highlight w:val="yellow"/>
        </w:rPr>
      </w:pPr>
      <w:r>
        <w:rPr>
          <w:rFonts w:hint="eastAsia" w:hAnsi="宋体" w:cs="宋体"/>
          <w:bCs/>
          <w:sz w:val="24"/>
          <w:highlight w:val="yellow"/>
        </w:rPr>
        <w:t>3.2 2015年1月1日以来拟派项目负责人具有已完成类似业绩得1分，最多得1分。（以施工合同和竣工验收备案表为准或以施工合同和中标通知书为准，若不显示项目负责人名字，需提供建设单位或招投标监管部门出具的相关证明），项目经理业绩与企业业绩不重复计分）。</w:t>
      </w:r>
    </w:p>
    <w:p>
      <w:pPr>
        <w:adjustRightInd w:val="0"/>
        <w:snapToGrid w:val="0"/>
        <w:spacing w:line="360" w:lineRule="auto"/>
        <w:rPr>
          <w:rFonts w:hAnsi="宋体" w:cs="宋体"/>
          <w:b/>
          <w:bCs/>
          <w:color w:val="FF0000"/>
          <w:sz w:val="24"/>
          <w:szCs w:val="24"/>
          <w:highlight w:val="yellow"/>
        </w:rPr>
      </w:pPr>
      <w:r>
        <w:rPr>
          <w:rFonts w:hint="eastAsia" w:hAnsi="宋体" w:cs="宋体"/>
          <w:b/>
          <w:bCs/>
          <w:sz w:val="24"/>
          <w:szCs w:val="24"/>
          <w:highlight w:val="yellow"/>
        </w:rPr>
        <w:t xml:space="preserve">    4、</w:t>
      </w:r>
      <w:r>
        <w:rPr>
          <w:rFonts w:hint="eastAsia" w:hAnsi="宋体" w:cs="宋体"/>
          <w:b/>
          <w:bCs/>
          <w:color w:val="000000"/>
          <w:sz w:val="24"/>
          <w:szCs w:val="24"/>
          <w:highlight w:val="yellow"/>
        </w:rPr>
        <w:t>服务承诺（含不拖欠农民工工资承诺、扬尘治理等内容）0-5分</w:t>
      </w:r>
    </w:p>
    <w:p>
      <w:pPr>
        <w:snapToGrid w:val="0"/>
        <w:spacing w:line="360" w:lineRule="auto"/>
        <w:ind w:firstLine="480" w:firstLineChars="200"/>
        <w:rPr>
          <w:rFonts w:hAnsi="宋体" w:cs="宋体"/>
          <w:b/>
          <w:sz w:val="24"/>
          <w:szCs w:val="24"/>
        </w:rPr>
      </w:pPr>
      <w:r>
        <w:rPr>
          <w:rFonts w:hint="eastAsia" w:hAnsi="宋体" w:cs="宋体"/>
          <w:bCs/>
          <w:color w:val="000000"/>
          <w:sz w:val="24"/>
          <w:szCs w:val="24"/>
          <w:highlight w:val="yellow"/>
        </w:rPr>
        <w:t>投标人针对招标项目的特点和要求，结合自身条件和潜力做出优惠和服务承诺。由评委根据投标文件表述的具体内容酌情打分。</w:t>
      </w:r>
    </w:p>
    <w:bookmarkEnd w:id="77"/>
    <w:bookmarkEnd w:id="78"/>
    <w:bookmarkEnd w:id="79"/>
    <w:bookmarkEnd w:id="80"/>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2" w:firstLineChars="200"/>
        <w:rPr>
          <w:rFonts w:ascii="新宋体" w:hAnsi="新宋体" w:eastAsia="新宋体" w:cs="宋体"/>
          <w:b/>
          <w:sz w:val="24"/>
        </w:rPr>
      </w:pPr>
      <w:bookmarkStart w:id="81" w:name="_Toc508875367"/>
      <w:r>
        <w:rPr>
          <w:rFonts w:hint="eastAsia" w:ascii="新宋体" w:hAnsi="新宋体" w:eastAsia="新宋体" w:cs="宋体"/>
          <w:b/>
          <w:sz w:val="24"/>
        </w:rPr>
        <w:t>九、评标注意事项</w:t>
      </w:r>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18"/>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十、评标报告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8"/>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十一、</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pacing w:val="-3"/>
          <w:sz w:val="24"/>
        </w:rPr>
        <w:br w:type="page"/>
      </w: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pStyle w:val="2"/>
        <w:ind w:firstLine="340"/>
      </w:pPr>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2321"/>
      <w:bookmarkStart w:id="87" w:name="_Toc508875370"/>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《河南省房屋建筑与装饰工程预算定额》（2016）、《河南省市政工程预算定额》（2016）及有关配套文件、《建设工程工程量清单计价规范》（GB50500－2013）</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材料价依据2018许昌市《许昌工程造价信息》第四期及2018年10月份主材价格，部分价格依据市场价询价；</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w:t>
      </w:r>
      <w:r>
        <w:fldChar w:fldCharType="begin"/>
      </w:r>
      <w:r>
        <w:instrText xml:space="preserve"> HYPERLINK "http://www.xczbtb.com/" </w:instrText>
      </w:r>
      <w:r>
        <w:fldChar w:fldCharType="separate"/>
      </w:r>
      <w:r>
        <w:rPr>
          <w:rStyle w:val="15"/>
          <w:rFonts w:hint="eastAsia" w:asciiTheme="minorEastAsia" w:hAnsiTheme="minorEastAsia" w:eastAsiaTheme="minorEastAsia" w:cstheme="minorEastAsia"/>
          <w:bCs/>
          <w:color w:val="auto"/>
          <w:sz w:val="24"/>
        </w:rPr>
        <w:t>http://www.xcggzy.gov.cn/</w:t>
      </w:r>
      <w:r>
        <w:rPr>
          <w:rStyle w:val="15"/>
          <w:rFonts w:hint="eastAsia" w:asciiTheme="minorEastAsia" w:hAnsiTheme="minorEastAsia" w:eastAsiaTheme="minorEastAsia" w:cstheme="minorEastAsia"/>
          <w:bCs/>
          <w:color w:val="auto"/>
          <w:sz w:val="24"/>
        </w:rPr>
        <w:fldChar w:fldCharType="end"/>
      </w:r>
      <w:r>
        <w:rPr>
          <w:rFonts w:hint="eastAsia" w:asciiTheme="minorEastAsia" w:hAnsiTheme="minorEastAsia" w:eastAsiaTheme="minorEastAsia" w:cstheme="minorEastAsia"/>
          <w:bCs/>
          <w:sz w:val="24"/>
        </w:rPr>
        <w:t>），通过“投标人/供应商登录”后自行下载。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24"/>
          <w:u w:val="single"/>
        </w:rPr>
      </w:pPr>
    </w:p>
    <w:p>
      <w:pPr>
        <w:pStyle w:val="2"/>
        <w:ind w:firstLine="340"/>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508875371"/>
      <w:bookmarkStart w:id="89" w:name="_Toc8264"/>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7"/>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25579"/>
      <w:bookmarkStart w:id="95" w:name="_Toc508875373"/>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p>
    <w:p>
      <w:pPr>
        <w:pStyle w:val="2"/>
        <w:ind w:firstLine="4494" w:firstLineChars="700"/>
        <w:rPr>
          <w:rFonts w:asciiTheme="minorEastAsia" w:hAnsiTheme="minorEastAsia" w:eastAsiaTheme="minorEastAsia" w:cstheme="minorEastAsia"/>
          <w:b/>
          <w:spacing w:val="60"/>
          <w:sz w:val="52"/>
          <w:szCs w:val="52"/>
        </w:rPr>
      </w:pPr>
      <w:r>
        <w:rPr>
          <w:rFonts w:hint="eastAsia" w:asciiTheme="minorEastAsia" w:hAnsiTheme="minorEastAsia" w:eastAsiaTheme="minorEastAsia" w:cstheme="minorEastAsia"/>
          <w:b/>
          <w:spacing w:val="60"/>
          <w:sz w:val="52"/>
          <w:szCs w:val="52"/>
          <w:u w:val="single"/>
        </w:rPr>
        <w:t xml:space="preserve">  </w:t>
      </w:r>
      <w:r>
        <w:rPr>
          <w:rFonts w:hint="eastAsia" w:asciiTheme="minorEastAsia" w:hAnsiTheme="minorEastAsia" w:eastAsiaTheme="minorEastAsia" w:cstheme="minorEastAsia"/>
          <w:b/>
          <w:spacing w:val="60"/>
          <w:sz w:val="52"/>
          <w:szCs w:val="52"/>
        </w:rPr>
        <w:t>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p>
    <w:p>
      <w:pPr>
        <w:pStyle w:val="2"/>
        <w:ind w:firstLine="4494" w:firstLineChars="700"/>
        <w:rPr>
          <w:rFonts w:asciiTheme="minorEastAsia" w:hAnsiTheme="minorEastAsia" w:eastAsiaTheme="minorEastAsia" w:cstheme="minorEastAsia"/>
          <w:b/>
          <w:spacing w:val="60"/>
          <w:sz w:val="52"/>
          <w:szCs w:val="52"/>
        </w:rPr>
      </w:pPr>
      <w:r>
        <w:rPr>
          <w:rFonts w:hint="eastAsia" w:asciiTheme="minorEastAsia" w:hAnsiTheme="minorEastAsia" w:eastAsiaTheme="minorEastAsia" w:cstheme="minorEastAsia"/>
          <w:b/>
          <w:spacing w:val="60"/>
          <w:sz w:val="52"/>
          <w:szCs w:val="52"/>
          <w:u w:val="single"/>
        </w:rPr>
        <w:t xml:space="preserve">  </w:t>
      </w:r>
      <w:r>
        <w:rPr>
          <w:rFonts w:hint="eastAsia" w:asciiTheme="minorEastAsia" w:hAnsiTheme="minorEastAsia" w:eastAsiaTheme="minorEastAsia" w:cstheme="minorEastAsia"/>
          <w:b/>
          <w:spacing w:val="60"/>
          <w:sz w:val="52"/>
          <w:szCs w:val="52"/>
        </w:rPr>
        <w:t>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天（日历日）内竣工，并确保工程质量达到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工程名称</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投标总报价</w:t>
            </w:r>
          </w:p>
        </w:tc>
        <w:tc>
          <w:tcPr>
            <w:tcW w:w="3320" w:type="dxa"/>
            <w:gridSpan w:val="3"/>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w:t>
            </w:r>
          </w:p>
        </w:tc>
        <w:tc>
          <w:tcPr>
            <w:tcW w:w="2694" w:type="dxa"/>
            <w:gridSpan w:val="2"/>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规费RMB￥：      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税金RMB￥：      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投标工期</w:t>
            </w:r>
          </w:p>
        </w:tc>
        <w:tc>
          <w:tcPr>
            <w:tcW w:w="6014" w:type="dxa"/>
            <w:gridSpan w:val="5"/>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u w:val="single"/>
              </w:rPr>
              <w:t xml:space="preserve">     </w:t>
            </w: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年       月       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w:t>
      </w:r>
      <w:r>
        <w:rPr>
          <w:rFonts w:hint="eastAsia" w:asciiTheme="minorEastAsia" w:hAnsiTheme="minorEastAsia" w:eastAsiaTheme="minorEastAsia" w:cstheme="minorEastAsia"/>
          <w:sz w:val="24"/>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（投标人名称）</w:t>
      </w:r>
      <w:r>
        <w:rPr>
          <w:rFonts w:hint="eastAsia" w:asciiTheme="minorEastAsia" w:hAnsiTheme="minorEastAsia" w:eastAsiaTheme="minorEastAsia" w:cstheme="minorEastAsia"/>
          <w:sz w:val="24"/>
        </w:rPr>
        <w:t>的法定代表人，现委托</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4300" w:firstLineChars="179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6"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附投标保证金有效银行转账凭证复印件、保证金绑定回执单及基本户开户许可证原件扫描件（或图片）；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spacing w:beforeLines="50" w:afterLines="100" w:line="420" w:lineRule="exact"/>
        <w:jc w:val="center"/>
        <w:rPr>
          <w:rFonts w:hAnsi="宋体" w:cs="宋体"/>
          <w:b/>
          <w:sz w:val="28"/>
          <w:szCs w:val="28"/>
        </w:rPr>
      </w:pPr>
    </w:p>
    <w:p>
      <w:pPr>
        <w:spacing w:beforeLines="50" w:afterLines="100" w:line="420" w:lineRule="exact"/>
        <w:jc w:val="center"/>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竣工验收备案登记表原件扫描件（或图片）。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（招标人名称）</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（项目名称）</w:t>
      </w:r>
      <w:r>
        <w:rPr>
          <w:rFonts w:hint="eastAsia" w:hAnsi="宋体" w:cs="宋体"/>
          <w:sz w:val="24"/>
        </w:rPr>
        <w:t>（以下简称“本工程”）的项目负责人</w:t>
      </w:r>
      <w:r>
        <w:rPr>
          <w:rFonts w:hint="eastAsia" w:hAnsi="宋体" w:cs="宋体"/>
          <w:sz w:val="24"/>
          <w:u w:val="single"/>
        </w:rPr>
        <w:t xml:space="preserve">    （项目负责人姓名）</w:t>
      </w:r>
      <w:r>
        <w:rPr>
          <w:rFonts w:hint="eastAsia" w:hAnsi="宋体" w:cs="宋体"/>
          <w:sz w:val="24"/>
        </w:rPr>
        <w:t>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w:t>
      </w:r>
      <w:r>
        <w:rPr>
          <w:rFonts w:hint="eastAsia" w:asciiTheme="minorEastAsia" w:hAnsiTheme="minorEastAsia" w:eastAsiaTheme="minorEastAsia" w:cstheme="minorEastAsia"/>
          <w:sz w:val="24"/>
          <w:szCs w:val="24"/>
        </w:rPr>
        <w:t>原件扫描件（或图片）</w:t>
      </w:r>
      <w:r>
        <w:rPr>
          <w:rFonts w:hint="eastAsia" w:asciiTheme="minorEastAsia" w:hAnsiTheme="minorEastAsia" w:eastAsiaTheme="minorEastAsia" w:cstheme="minorEastAsia"/>
          <w:sz w:val="24"/>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r>
        <w:rPr>
          <w:rFonts w:hint="eastAsia" w:asciiTheme="minorEastAsia" w:hAnsiTheme="minorEastAsia" w:eastAsiaTheme="minorEastAsia" w:cstheme="minorEastAsia"/>
          <w:sz w:val="24"/>
          <w:szCs w:val="24"/>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rPr>
          <w:rFonts w:asciiTheme="minorEastAsia" w:hAnsiTheme="minorEastAsia" w:eastAsiaTheme="minorEastAsia" w:cstheme="minorEastAsia"/>
          <w:b/>
          <w:sz w:val="32"/>
          <w:szCs w:val="32"/>
        </w:rPr>
      </w:pPr>
    </w:p>
    <w:p>
      <w:pPr>
        <w:numPr>
          <w:ilvl w:val="0"/>
          <w:numId w:val="8"/>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bl>
    <w:p>
      <w:pPr>
        <w:wordWrap w:val="0"/>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wordWrap w:val="0"/>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年   月   日</w:t>
      </w:r>
    </w:p>
    <w:p>
      <w:pPr>
        <w:pStyle w:val="2"/>
        <w:ind w:firstLine="0" w:firstLineChars="0"/>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w:t>
      </w:r>
    </w:p>
    <w:p>
      <w:pPr>
        <w:pStyle w:val="2"/>
        <w:ind w:firstLine="4494" w:firstLineChars="700"/>
        <w:rPr>
          <w:rFonts w:asciiTheme="minorEastAsia" w:hAnsiTheme="minorEastAsia" w:eastAsiaTheme="minorEastAsia" w:cstheme="minorEastAsia"/>
          <w:b/>
          <w:spacing w:val="60"/>
          <w:sz w:val="52"/>
          <w:szCs w:val="52"/>
        </w:rPr>
      </w:pPr>
      <w:r>
        <w:rPr>
          <w:rFonts w:hint="eastAsia" w:asciiTheme="minorEastAsia" w:hAnsiTheme="minorEastAsia" w:eastAsiaTheme="minorEastAsia" w:cstheme="minorEastAsia"/>
          <w:b/>
          <w:spacing w:val="60"/>
          <w:sz w:val="52"/>
          <w:szCs w:val="52"/>
          <w:u w:val="single"/>
        </w:rPr>
        <w:t xml:space="preserve">  </w:t>
      </w:r>
      <w:r>
        <w:rPr>
          <w:rFonts w:hint="eastAsia" w:asciiTheme="minorEastAsia" w:hAnsiTheme="minorEastAsia" w:eastAsiaTheme="minorEastAsia" w:cstheme="minorEastAsia"/>
          <w:b/>
          <w:spacing w:val="60"/>
          <w:sz w:val="52"/>
          <w:szCs w:val="52"/>
        </w:rPr>
        <w:t>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leftChars="53" w:firstLine="4337" w:firstLineChars="135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jc w:val="center"/>
        <w:rPr>
          <w:rFonts w:asciiTheme="minorEastAsia" w:hAnsiTheme="minorEastAsia" w:eastAsiaTheme="minorEastAsia" w:cstheme="minorEastAsia"/>
          <w:b/>
          <w:sz w:val="36"/>
          <w:szCs w:val="36"/>
        </w:rPr>
      </w:pPr>
    </w:p>
    <w:p>
      <w:pPr>
        <w:pStyle w:val="2"/>
        <w:ind w:firstLine="340"/>
      </w:pPr>
    </w:p>
    <w:p>
      <w:pPr>
        <w:autoSpaceDE w:val="0"/>
        <w:autoSpaceDN w:val="0"/>
        <w:spacing w:line="540" w:lineRule="exact"/>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20" w:lineRule="exact"/>
        <w:jc w:val="center"/>
        <w:rPr>
          <w:rFonts w:asciiTheme="minorEastAsia" w:hAnsiTheme="minorEastAsia" w:eastAsiaTheme="minorEastAsia" w:cstheme="minorEastAsia"/>
          <w:szCs w:val="21"/>
        </w:rPr>
      </w:pPr>
    </w:p>
    <w:sectPr>
      <w:footerReference r:id="rId12" w:type="first"/>
      <w:footerReference r:id="rId11" w:type="default"/>
      <w:pgSz w:w="11906" w:h="16838"/>
      <w:pgMar w:top="1644" w:right="1418" w:bottom="164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_x0000_s3089" o:spid="_x0000_s3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r>
      <w:rPr>
        <w:sz w:val="18"/>
      </w:rPr>
      <w:pict>
        <v:shape id="_x0000_s3090" o:spid="_x0000_s309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tabs>
        <w:tab w:val="center" w:pos="4819"/>
        <w:tab w:val="clear" w:pos="4153"/>
      </w:tabs>
    </w:pPr>
    <w:r>
      <w:rPr>
        <w:sz w:val="18"/>
      </w:rPr>
      <w:pict>
        <v:shape id="_x0000_s3091" o:spid="_x0000_s309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tabs>
        <w:tab w:val="left" w:pos="8664"/>
        <w:tab w:val="clear" w:pos="4153"/>
      </w:tabs>
      <w:ind w:right="360"/>
      <w:jc w:val="both"/>
    </w:pPr>
    <w:r>
      <w:rPr>
        <w:sz w:val="18"/>
      </w:rPr>
      <w:pict>
        <v:shape id="_x0000_s3092" o:spid="_x0000_s309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3085" o:spid="_x0000_s3085"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pPr>
                  <w:pStyle w:val="8"/>
                </w:pPr>
              </w:p>
            </w:txbxContent>
          </v:textbox>
        </v:shape>
      </w:pict>
    </w:r>
    <w:r>
      <w:pict>
        <v:shape id="_x0000_s3086" o:spid="_x0000_s3086" o:spt="202" type="#_x0000_t202" style="position:absolute;left:0pt;margin-left:245.65pt;margin-top:-1.05pt;height:11.65pt;width:4.55pt;mso-position-horizontal-relative:margin;mso-wrap-style:none;z-index:25169817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ind w:firstLine="240" w:firstLineChars="100"/>
      <w:rPr>
        <w:rFonts w:asciiTheme="minorEastAsia" w:hAnsiTheme="minorEastAsia" w:eastAsiaTheme="minorEastAsia"/>
      </w:rPr>
    </w:pPr>
    <w:r>
      <w:rPr>
        <w:rFonts w:hint="eastAsia" w:asciiTheme="minorEastAsia" w:hAnsiTheme="minorEastAsia" w:eastAsiaTheme="minorEastAsia" w:cstheme="minorEastAsia"/>
        <w:kern w:val="2"/>
        <w:sz w:val="24"/>
        <w:szCs w:val="22"/>
      </w:rPr>
      <w:t>许昌中天置业有限公司红星广场（一期）项目</w:t>
    </w:r>
    <w:r>
      <w:rPr>
        <w:rFonts w:hint="eastAsia" w:asciiTheme="minorEastAsia" w:hAnsiTheme="minorEastAsia" w:eastAsiaTheme="minorEastAsia"/>
        <w:bCs/>
        <w:sz w:val="21"/>
        <w:szCs w:val="21"/>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CCE58"/>
    <w:multiLevelType w:val="singleLevel"/>
    <w:tmpl w:val="A12CCE58"/>
    <w:lvl w:ilvl="0" w:tentative="0">
      <w:start w:val="7"/>
      <w:numFmt w:val="chineseCounting"/>
      <w:suff w:val="nothing"/>
      <w:lvlText w:val="%1、"/>
      <w:lvlJc w:val="left"/>
      <w:rPr>
        <w:rFonts w:hint="eastAsia"/>
      </w:rPr>
    </w:lvl>
  </w:abstractNum>
  <w:abstractNum w:abstractNumId="1">
    <w:nsid w:val="F05CFE75"/>
    <w:multiLevelType w:val="singleLevel"/>
    <w:tmpl w:val="F05CFE75"/>
    <w:lvl w:ilvl="0" w:tentative="0">
      <w:start w:val="2"/>
      <w:numFmt w:val="chineseCounting"/>
      <w:suff w:val="nothing"/>
      <w:lvlText w:val="（%1）"/>
      <w:lvlJc w:val="left"/>
      <w:pPr>
        <w:ind w:left="360" w:firstLine="0"/>
      </w:pPr>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4DFCD4"/>
    <w:multiLevelType w:val="singleLevel"/>
    <w:tmpl w:val="014DFCD4"/>
    <w:lvl w:ilvl="0" w:tentative="0">
      <w:start w:val="1"/>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7">
    <w:nsid w:val="5A31E9E0"/>
    <w:multiLevelType w:val="singleLevel"/>
    <w:tmpl w:val="5A31E9E0"/>
    <w:lvl w:ilvl="0" w:tentative="0">
      <w:start w:val="9"/>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A264DE5"/>
    <w:rsid w:val="000129D0"/>
    <w:rsid w:val="00046BB3"/>
    <w:rsid w:val="00050077"/>
    <w:rsid w:val="00065514"/>
    <w:rsid w:val="000A449E"/>
    <w:rsid w:val="000B56B6"/>
    <w:rsid w:val="000C0E4C"/>
    <w:rsid w:val="000D26E2"/>
    <w:rsid w:val="000E18B8"/>
    <w:rsid w:val="00104CE0"/>
    <w:rsid w:val="001160B6"/>
    <w:rsid w:val="00123C6C"/>
    <w:rsid w:val="00125ADD"/>
    <w:rsid w:val="00141B92"/>
    <w:rsid w:val="0014478E"/>
    <w:rsid w:val="001456AB"/>
    <w:rsid w:val="00151E3F"/>
    <w:rsid w:val="00173127"/>
    <w:rsid w:val="001751FE"/>
    <w:rsid w:val="001779DF"/>
    <w:rsid w:val="00181B09"/>
    <w:rsid w:val="0019592D"/>
    <w:rsid w:val="001B4F62"/>
    <w:rsid w:val="001D6ACB"/>
    <w:rsid w:val="001E2074"/>
    <w:rsid w:val="001E6E22"/>
    <w:rsid w:val="001E774A"/>
    <w:rsid w:val="001F05C9"/>
    <w:rsid w:val="001F1BF2"/>
    <w:rsid w:val="00200917"/>
    <w:rsid w:val="002017C9"/>
    <w:rsid w:val="0022657F"/>
    <w:rsid w:val="00263049"/>
    <w:rsid w:val="00276286"/>
    <w:rsid w:val="0027628D"/>
    <w:rsid w:val="002B6288"/>
    <w:rsid w:val="002D371C"/>
    <w:rsid w:val="002D503E"/>
    <w:rsid w:val="002D6E15"/>
    <w:rsid w:val="0030635A"/>
    <w:rsid w:val="00307DF3"/>
    <w:rsid w:val="003144B1"/>
    <w:rsid w:val="00323A1C"/>
    <w:rsid w:val="00347E19"/>
    <w:rsid w:val="00350802"/>
    <w:rsid w:val="003615BE"/>
    <w:rsid w:val="003802EC"/>
    <w:rsid w:val="003902EB"/>
    <w:rsid w:val="003A7ACD"/>
    <w:rsid w:val="003B3553"/>
    <w:rsid w:val="003D3DE0"/>
    <w:rsid w:val="003D4CDE"/>
    <w:rsid w:val="003E6622"/>
    <w:rsid w:val="003F3C39"/>
    <w:rsid w:val="003F5CCC"/>
    <w:rsid w:val="004345B7"/>
    <w:rsid w:val="00463413"/>
    <w:rsid w:val="004843AA"/>
    <w:rsid w:val="00500E55"/>
    <w:rsid w:val="00514C2C"/>
    <w:rsid w:val="00572E82"/>
    <w:rsid w:val="005A0308"/>
    <w:rsid w:val="005B33DE"/>
    <w:rsid w:val="005F1A6F"/>
    <w:rsid w:val="0062388B"/>
    <w:rsid w:val="006279AA"/>
    <w:rsid w:val="00674B7A"/>
    <w:rsid w:val="0068003B"/>
    <w:rsid w:val="00684020"/>
    <w:rsid w:val="00696443"/>
    <w:rsid w:val="006C04BE"/>
    <w:rsid w:val="00732558"/>
    <w:rsid w:val="00747A9E"/>
    <w:rsid w:val="0078131C"/>
    <w:rsid w:val="007C559B"/>
    <w:rsid w:val="007E3260"/>
    <w:rsid w:val="008119FD"/>
    <w:rsid w:val="00827A0F"/>
    <w:rsid w:val="00833E5B"/>
    <w:rsid w:val="008418D6"/>
    <w:rsid w:val="00865784"/>
    <w:rsid w:val="00871D6B"/>
    <w:rsid w:val="00872C9E"/>
    <w:rsid w:val="008B68F4"/>
    <w:rsid w:val="008C37E4"/>
    <w:rsid w:val="008E28B5"/>
    <w:rsid w:val="008F3CD1"/>
    <w:rsid w:val="00927617"/>
    <w:rsid w:val="00934A30"/>
    <w:rsid w:val="0095323F"/>
    <w:rsid w:val="0098768F"/>
    <w:rsid w:val="00996562"/>
    <w:rsid w:val="009A2DEC"/>
    <w:rsid w:val="009C17DB"/>
    <w:rsid w:val="00A10597"/>
    <w:rsid w:val="00A1215D"/>
    <w:rsid w:val="00A425BE"/>
    <w:rsid w:val="00A556DC"/>
    <w:rsid w:val="00A570DF"/>
    <w:rsid w:val="00A7055E"/>
    <w:rsid w:val="00A72E36"/>
    <w:rsid w:val="00A977E0"/>
    <w:rsid w:val="00B03F87"/>
    <w:rsid w:val="00B149B4"/>
    <w:rsid w:val="00B60881"/>
    <w:rsid w:val="00B65D9F"/>
    <w:rsid w:val="00B865E9"/>
    <w:rsid w:val="00B90CBC"/>
    <w:rsid w:val="00B91D0B"/>
    <w:rsid w:val="00B93C32"/>
    <w:rsid w:val="00BA7CDA"/>
    <w:rsid w:val="00BC7B23"/>
    <w:rsid w:val="00BD1119"/>
    <w:rsid w:val="00BD2760"/>
    <w:rsid w:val="00BF3FB7"/>
    <w:rsid w:val="00C673B8"/>
    <w:rsid w:val="00C81316"/>
    <w:rsid w:val="00C87378"/>
    <w:rsid w:val="00CA3C1A"/>
    <w:rsid w:val="00CC53ED"/>
    <w:rsid w:val="00CD5A69"/>
    <w:rsid w:val="00CE2161"/>
    <w:rsid w:val="00D16DA2"/>
    <w:rsid w:val="00D17D29"/>
    <w:rsid w:val="00D32883"/>
    <w:rsid w:val="00D3340C"/>
    <w:rsid w:val="00D410B0"/>
    <w:rsid w:val="00D457E2"/>
    <w:rsid w:val="00D52288"/>
    <w:rsid w:val="00D71ED5"/>
    <w:rsid w:val="00D778B3"/>
    <w:rsid w:val="00DA6972"/>
    <w:rsid w:val="00DB0486"/>
    <w:rsid w:val="00DE5779"/>
    <w:rsid w:val="00DE67E1"/>
    <w:rsid w:val="00EB3AFB"/>
    <w:rsid w:val="00EE3124"/>
    <w:rsid w:val="00F31B5C"/>
    <w:rsid w:val="00F37730"/>
    <w:rsid w:val="00F4233D"/>
    <w:rsid w:val="00F4782A"/>
    <w:rsid w:val="00F55920"/>
    <w:rsid w:val="00F61472"/>
    <w:rsid w:val="00F70494"/>
    <w:rsid w:val="00F77E3F"/>
    <w:rsid w:val="00F87A0B"/>
    <w:rsid w:val="00FA69D3"/>
    <w:rsid w:val="00FA790B"/>
    <w:rsid w:val="024D6472"/>
    <w:rsid w:val="032C45FF"/>
    <w:rsid w:val="04CF0F64"/>
    <w:rsid w:val="05424414"/>
    <w:rsid w:val="067236BC"/>
    <w:rsid w:val="08434713"/>
    <w:rsid w:val="0866144C"/>
    <w:rsid w:val="0A095282"/>
    <w:rsid w:val="0AD84C81"/>
    <w:rsid w:val="0CEA12DE"/>
    <w:rsid w:val="0F9C0344"/>
    <w:rsid w:val="0FB4175C"/>
    <w:rsid w:val="10DB5197"/>
    <w:rsid w:val="11CC2726"/>
    <w:rsid w:val="121858C7"/>
    <w:rsid w:val="126D7D79"/>
    <w:rsid w:val="128E6C9D"/>
    <w:rsid w:val="143A0938"/>
    <w:rsid w:val="16232571"/>
    <w:rsid w:val="16907C51"/>
    <w:rsid w:val="171D2BE0"/>
    <w:rsid w:val="17B866E4"/>
    <w:rsid w:val="198A0034"/>
    <w:rsid w:val="199262EF"/>
    <w:rsid w:val="19E14AD5"/>
    <w:rsid w:val="1AE81C4B"/>
    <w:rsid w:val="1BBE6232"/>
    <w:rsid w:val="1BD71FCF"/>
    <w:rsid w:val="1CE162E1"/>
    <w:rsid w:val="1E725B05"/>
    <w:rsid w:val="1F04193F"/>
    <w:rsid w:val="1F261A6E"/>
    <w:rsid w:val="20450C73"/>
    <w:rsid w:val="21654725"/>
    <w:rsid w:val="22B13CBF"/>
    <w:rsid w:val="23D6530A"/>
    <w:rsid w:val="244E3676"/>
    <w:rsid w:val="24A773B2"/>
    <w:rsid w:val="24A957F8"/>
    <w:rsid w:val="25105251"/>
    <w:rsid w:val="251C3574"/>
    <w:rsid w:val="26D21339"/>
    <w:rsid w:val="2709386E"/>
    <w:rsid w:val="28936163"/>
    <w:rsid w:val="28C45894"/>
    <w:rsid w:val="28D8189E"/>
    <w:rsid w:val="290C2FAD"/>
    <w:rsid w:val="299B3161"/>
    <w:rsid w:val="2A3E687E"/>
    <w:rsid w:val="2A6F725D"/>
    <w:rsid w:val="2B2C2555"/>
    <w:rsid w:val="2C1E52B8"/>
    <w:rsid w:val="2D2E6CB2"/>
    <w:rsid w:val="2D3B2B58"/>
    <w:rsid w:val="2D484B5A"/>
    <w:rsid w:val="2E0B7476"/>
    <w:rsid w:val="2E507499"/>
    <w:rsid w:val="2E622B17"/>
    <w:rsid w:val="2E8D3E9D"/>
    <w:rsid w:val="300206D5"/>
    <w:rsid w:val="307A3948"/>
    <w:rsid w:val="31DA41B2"/>
    <w:rsid w:val="32C51A38"/>
    <w:rsid w:val="33B249E2"/>
    <w:rsid w:val="33E62CCA"/>
    <w:rsid w:val="36B0127E"/>
    <w:rsid w:val="387A70B7"/>
    <w:rsid w:val="38B61968"/>
    <w:rsid w:val="399E0DA4"/>
    <w:rsid w:val="3A3B289B"/>
    <w:rsid w:val="3A4A09C2"/>
    <w:rsid w:val="3CE53B12"/>
    <w:rsid w:val="3D2B43D3"/>
    <w:rsid w:val="3DD823E6"/>
    <w:rsid w:val="3DE60053"/>
    <w:rsid w:val="3E0C0964"/>
    <w:rsid w:val="3E8518DB"/>
    <w:rsid w:val="3F395E9F"/>
    <w:rsid w:val="3F632D24"/>
    <w:rsid w:val="3F7F3AD2"/>
    <w:rsid w:val="3FFC4CDB"/>
    <w:rsid w:val="41C664D6"/>
    <w:rsid w:val="421B46C6"/>
    <w:rsid w:val="433722FA"/>
    <w:rsid w:val="45356D76"/>
    <w:rsid w:val="45EE0949"/>
    <w:rsid w:val="47D35C42"/>
    <w:rsid w:val="489413D8"/>
    <w:rsid w:val="4A1641FC"/>
    <w:rsid w:val="4A264DE5"/>
    <w:rsid w:val="4A6D6CA3"/>
    <w:rsid w:val="4BB56FE1"/>
    <w:rsid w:val="4BD44A11"/>
    <w:rsid w:val="4BF74224"/>
    <w:rsid w:val="4CCD5936"/>
    <w:rsid w:val="4DF56CDE"/>
    <w:rsid w:val="4E8B375A"/>
    <w:rsid w:val="4F084792"/>
    <w:rsid w:val="51983146"/>
    <w:rsid w:val="51A94CBF"/>
    <w:rsid w:val="521F08BE"/>
    <w:rsid w:val="52464AA9"/>
    <w:rsid w:val="53B152AD"/>
    <w:rsid w:val="54470CE3"/>
    <w:rsid w:val="545757B6"/>
    <w:rsid w:val="549A3683"/>
    <w:rsid w:val="54C50956"/>
    <w:rsid w:val="576B1E4C"/>
    <w:rsid w:val="57810D04"/>
    <w:rsid w:val="57A92FD2"/>
    <w:rsid w:val="5864257E"/>
    <w:rsid w:val="59A37EBA"/>
    <w:rsid w:val="5BD01CC7"/>
    <w:rsid w:val="5BF63518"/>
    <w:rsid w:val="5E7C2DC3"/>
    <w:rsid w:val="5EEC297E"/>
    <w:rsid w:val="5F184D14"/>
    <w:rsid w:val="5F243405"/>
    <w:rsid w:val="60786F3B"/>
    <w:rsid w:val="60812F37"/>
    <w:rsid w:val="611E6221"/>
    <w:rsid w:val="6146504C"/>
    <w:rsid w:val="61C16503"/>
    <w:rsid w:val="62EB519F"/>
    <w:rsid w:val="63C80EEF"/>
    <w:rsid w:val="64DA765E"/>
    <w:rsid w:val="65A9660E"/>
    <w:rsid w:val="65F46ED2"/>
    <w:rsid w:val="67972B1B"/>
    <w:rsid w:val="67D44082"/>
    <w:rsid w:val="689C7E4D"/>
    <w:rsid w:val="68D233D5"/>
    <w:rsid w:val="6A5906BE"/>
    <w:rsid w:val="6B4C5EFE"/>
    <w:rsid w:val="6B8051EF"/>
    <w:rsid w:val="6BFC3DD7"/>
    <w:rsid w:val="6C803988"/>
    <w:rsid w:val="6D535020"/>
    <w:rsid w:val="6E6E3FE3"/>
    <w:rsid w:val="6EB67E04"/>
    <w:rsid w:val="6EE4674B"/>
    <w:rsid w:val="6FFD0016"/>
    <w:rsid w:val="73FA648B"/>
    <w:rsid w:val="74CE2085"/>
    <w:rsid w:val="75385002"/>
    <w:rsid w:val="7BD61CDC"/>
    <w:rsid w:val="7CAE6B57"/>
    <w:rsid w:val="7DC5037A"/>
    <w:rsid w:val="7DD17D79"/>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qFormat/>
    <w:uiPriority w:val="0"/>
    <w:pPr>
      <w:ind w:firstLine="420" w:firstLineChars="100"/>
    </w:pPr>
  </w:style>
  <w:style w:type="paragraph" w:styleId="3">
    <w:name w:val="Body Text"/>
    <w:basedOn w:val="1"/>
    <w:link w:val="20"/>
    <w:qFormat/>
    <w:uiPriority w:val="0"/>
    <w:pPr>
      <w:spacing w:after="120"/>
    </w:pPr>
  </w:style>
  <w:style w:type="paragraph" w:styleId="6">
    <w:name w:val="Date"/>
    <w:basedOn w:val="1"/>
    <w:next w:val="1"/>
    <w:link w:val="19"/>
    <w:qFormat/>
    <w:uiPriority w:val="0"/>
    <w:pPr>
      <w:ind w:left="100" w:leftChars="2500"/>
    </w:pPr>
  </w:style>
  <w:style w:type="paragraph" w:styleId="7">
    <w:name w:val="Balloon Text"/>
    <w:basedOn w:val="1"/>
    <w:link w:val="33"/>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qFormat/>
    <w:uiPriority w:val="99"/>
    <w:rPr>
      <w:color w:val="000000"/>
      <w:u w:val="non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9">
    <w:name w:val="日期 Char"/>
    <w:basedOn w:val="12"/>
    <w:link w:val="6"/>
    <w:qFormat/>
    <w:uiPriority w:val="0"/>
    <w:rPr>
      <w:rFonts w:ascii="宋体"/>
      <w:sz w:val="34"/>
    </w:rPr>
  </w:style>
  <w:style w:type="character" w:customStyle="1" w:styleId="20">
    <w:name w:val="正文文本 Char"/>
    <w:basedOn w:val="12"/>
    <w:link w:val="3"/>
    <w:qFormat/>
    <w:uiPriority w:val="0"/>
    <w:rPr>
      <w:kern w:val="2"/>
      <w:sz w:val="21"/>
    </w:rPr>
  </w:style>
  <w:style w:type="character" w:customStyle="1" w:styleId="21">
    <w:name w:val="正文首行缩进 Char"/>
    <w:basedOn w:val="20"/>
    <w:link w:val="2"/>
    <w:qFormat/>
    <w:uiPriority w:val="0"/>
    <w:rPr>
      <w:kern w:val="2"/>
      <w:sz w:val="21"/>
    </w:rPr>
  </w:style>
  <w:style w:type="character" w:customStyle="1" w:styleId="22">
    <w:name w:val="blue"/>
    <w:basedOn w:val="12"/>
    <w:qFormat/>
    <w:uiPriority w:val="0"/>
    <w:rPr>
      <w:color w:val="0371C6"/>
      <w:sz w:val="21"/>
      <w:szCs w:val="21"/>
    </w:rPr>
  </w:style>
  <w:style w:type="character" w:customStyle="1" w:styleId="23">
    <w:name w:val="right"/>
    <w:basedOn w:val="12"/>
    <w:qFormat/>
    <w:uiPriority w:val="0"/>
    <w:rPr>
      <w:color w:val="999999"/>
      <w:sz w:val="18"/>
      <w:szCs w:val="18"/>
    </w:rPr>
  </w:style>
  <w:style w:type="character" w:customStyle="1" w:styleId="24">
    <w:name w:val="green"/>
    <w:basedOn w:val="12"/>
    <w:qFormat/>
    <w:uiPriority w:val="0"/>
    <w:rPr>
      <w:color w:val="66AE00"/>
      <w:sz w:val="18"/>
      <w:szCs w:val="18"/>
    </w:rPr>
  </w:style>
  <w:style w:type="character" w:customStyle="1" w:styleId="25">
    <w:name w:val="green1"/>
    <w:basedOn w:val="12"/>
    <w:qFormat/>
    <w:uiPriority w:val="0"/>
    <w:rPr>
      <w:color w:val="66AE00"/>
      <w:sz w:val="18"/>
      <w:szCs w:val="18"/>
    </w:rPr>
  </w:style>
  <w:style w:type="character" w:customStyle="1" w:styleId="26">
    <w:name w:val="red"/>
    <w:basedOn w:val="12"/>
    <w:qFormat/>
    <w:uiPriority w:val="0"/>
    <w:rPr>
      <w:color w:val="FF0000"/>
      <w:sz w:val="18"/>
      <w:szCs w:val="18"/>
    </w:rPr>
  </w:style>
  <w:style w:type="character" w:customStyle="1" w:styleId="27">
    <w:name w:val="red1"/>
    <w:basedOn w:val="12"/>
    <w:qFormat/>
    <w:uiPriority w:val="0"/>
    <w:rPr>
      <w:color w:val="FF0000"/>
      <w:sz w:val="18"/>
      <w:szCs w:val="18"/>
    </w:rPr>
  </w:style>
  <w:style w:type="character" w:customStyle="1" w:styleId="28">
    <w:name w:val="red2"/>
    <w:basedOn w:val="12"/>
    <w:qFormat/>
    <w:uiPriority w:val="0"/>
    <w:rPr>
      <w:color w:val="CC0000"/>
    </w:rPr>
  </w:style>
  <w:style w:type="character" w:customStyle="1" w:styleId="29">
    <w:name w:val="red3"/>
    <w:basedOn w:val="12"/>
    <w:qFormat/>
    <w:uiPriority w:val="0"/>
    <w:rPr>
      <w:color w:val="FF0000"/>
    </w:rPr>
  </w:style>
  <w:style w:type="character" w:customStyle="1" w:styleId="30">
    <w:name w:val="hover24"/>
    <w:basedOn w:val="12"/>
    <w:qFormat/>
    <w:uiPriority w:val="0"/>
  </w:style>
  <w:style w:type="character" w:customStyle="1" w:styleId="31">
    <w:name w:val="gb-jt"/>
    <w:basedOn w:val="12"/>
    <w:qFormat/>
    <w:uiPriority w:val="0"/>
  </w:style>
  <w:style w:type="character" w:customStyle="1" w:styleId="32">
    <w:name w:val="hover25"/>
    <w:basedOn w:val="12"/>
    <w:qFormat/>
    <w:uiPriority w:val="0"/>
  </w:style>
  <w:style w:type="character" w:customStyle="1" w:styleId="33">
    <w:name w:val="批注框文本 Char"/>
    <w:basedOn w:val="12"/>
    <w:link w:val="7"/>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9" textRotate="1"/>
    <customShpInfo spid="_x0000_s3090" textRotate="1"/>
    <customShpInfo spid="_x0000_s3091" textRotate="1"/>
    <customShpInfo spid="_x0000_s3092" textRotate="1"/>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63</Pages>
  <Words>5436</Words>
  <Characters>30989</Characters>
  <Lines>258</Lines>
  <Paragraphs>72</Paragraphs>
  <TotalTime>36</TotalTime>
  <ScaleCrop>false</ScaleCrop>
  <LinksUpToDate>false</LinksUpToDate>
  <CharactersWithSpaces>36353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画楼听雨1386144901</cp:lastModifiedBy>
  <cp:lastPrinted>2019-02-02T06:21:04Z</cp:lastPrinted>
  <dcterms:modified xsi:type="dcterms:W3CDTF">2019-02-02T07:56:36Z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